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博州图书馆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“未来视界·科普体验空间”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少儿科普体验空间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建设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项目竞价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项目名称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“未来视界·科普体验空间”少儿科普体验空间建设项目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采购单位：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博州图书馆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采购方式：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政采云平台线上竞价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预算/最高限价：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150，000（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报价总金额不得高于本限价，超限价报价直接作废）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交付地点: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博州图书馆指定区域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交付工期：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合同签订后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个工作日内完成全部供货、布线、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装修、设施设备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安装、调试、培训、验收交付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报价形式：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全包闭口总价，含设备、辅材、运输、人工安装、布线施工、调试、税费、培训、3年质保、售后维保等全部费用，项目实施全过程无任何增项费用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8.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成交条件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在资格条件、技术参数、售后服务保障方案（含本地化服务能力、故障响应时效、备品备件供应周期、维保人员配置等）满足采购需求的前提下，按有效报价由低到高排序，报价最低的供应商成交。（注：售后服务保障方案将作为实质性响应条款，不满足或方案不可行者视为无效报价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补充说明：成交供应商须在竞价结束后 3个工作日内提交详细的售后服务承诺函（包括但不限于：服务热线、现场到达时限、定期巡检计划、质保期外维保收费标准等），否则视为自动放弃成交资格，由下一顺序供应商递补。采购人保留对供应商本地服务能力进行核实（如实地考察、电话回访既往客户）的权利，若发现虚假承诺，取消成交资格并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流标规则：有效参与供应商（即资格、技术、售后服务均通过审核）不足3家时，本次竞价作废，重新发起竞价。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heading_3"/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内容</w:t>
      </w:r>
      <w:r>
        <w:rPr>
          <w:rFonts w:hint="eastAsia" w:ascii="黑体" w:hAnsi="黑体" w:eastAsia="黑体" w:cs="黑体"/>
          <w:sz w:val="32"/>
          <w:szCs w:val="32"/>
        </w:rPr>
        <w:t>与采购需求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bookmarkStart w:id="1" w:name="heading_4"/>
      <w:r>
        <w:rPr>
          <w:rFonts w:hint="eastAsia" w:ascii="方正楷体_GBK" w:hAnsi="方正楷体_GBK" w:eastAsia="方正楷体_GBK" w:cs="方正楷体_GBK"/>
          <w:sz w:val="32"/>
          <w:szCs w:val="32"/>
        </w:rPr>
        <w:t>（一）项目</w:t>
      </w:r>
      <w:bookmarkEnd w:id="1"/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本项目为博州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图书馆少儿阅读体验空间建设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，通过采购安装3D打印、AR互动、全息投影、智慧编程机器人积木、网络布线及相关配套设施，打造集“科学启蒙、动手实践、互动体验、科技展示”于一体的少儿科普体验空间，满足儿童及青少年开展科普阅读、科技体验、创新实践等活动需要，提升图书馆少儿科普服务能力和公共文化服务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本项目为交钥匙工程，全套设备采购、运输、现场布线、安装、调试、操作人员培训、3年整机及工程质保、终身售后咨询全部包含在内。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</w:rPr>
      </w:pPr>
      <w:bookmarkStart w:id="2" w:name="heading_5"/>
      <w:r>
        <w:rPr>
          <w:rFonts w:hint="default" w:ascii="方正楷体_GBK" w:hAnsi="方正楷体_GBK" w:eastAsia="方正楷体_GBK" w:cs="方正楷体_GBK"/>
          <w:sz w:val="32"/>
          <w:szCs w:val="32"/>
        </w:rPr>
        <w:t>核心硬性建设指标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2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1. AR智能互动沙盘：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设备数量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AR魔幻沙盘： [ 1 ] 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②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基本功能要求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具备AR互动展示功能，可实现沙盘地形变化、场景投影、互动演示等效果。适合少儿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体验，具有较强的趣味性、科普性和互动性。能展示地形、地貌、水系、生态、城市规划等科普内容。支持多人互动体验，系统运行稳定，画面清晰。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需采用互动投影、红外感应、动作捕捉、图像识别和压力传感等交互技术。通过增强现实技术将沙盘投影和沙盒造型进行实时增强，能模拟出沙盘区域的地形变化、火山河流等自然环境变化。涵盖化石挖掘、沙滩、火山喷发、自然生态、昆虫王国、沙滩乐园等互动科普内容场景；可实现投影的成像，随着沙堆高度的增加而逐渐呈现出海洋、岛屿、海岸、陆地、丘陵、高山和火山等地形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③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主要技术参数要求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显示方式：投影叠加或同类互动显示方式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识别方式：支持深度识别、手势识别、图像识别等互动方式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沙盘材质：环保、安全、适合儿童使用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内容库：内置不少于 [ 5 ] 类科普互动内容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互动延迟：低延迟响应，满足实时互动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分辨率：清晰可视，满足科普展示效果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使用环境：适用于室内公共教育空间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硬件配置要求：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处理器:10代I3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及以上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6核12线程，主频2.5GHz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及以上；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内存:DDR4 8G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及以上；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硬盘：240G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及以上；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主板:千兆有线网口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显卡：独立显卡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体感摄像头配备1080p高清广角摄像头，适应低光环境的主动式红外摄像头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麦克风(零点平衡)，识别6人、25个骨骼点(每个人有25个骨骼关节)拇指追踪、手指末端追踪，打开和收缩的手势识投影技术:3LCD，液晶板尺寸≥0.63英寸； 标准亮度≥3600流明（ISO21118标准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3800流明中心亮度）；对比度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≥20000：1；标准分辨率1024*768（XGA），兼容16 :10，16:9；手动1.2倍变焦，投射比：1.48-1.78 :1；▲灯泡功率≥230W灯泡，整机功耗≤300W，节能待机功耗≤0.5W；灯泡寿命≥10000小时，节能模式下寿命≥20000小时；机器重量≥3 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服务要求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提供系统安装、互动内容调试、使用培训及后续维护。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具备可更新扩展内容的能力。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3D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多色基础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打印机及配套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专用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t>主机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设备数量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3D打印机： [ 1 ] 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配套专用主机： [ 1 ] 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基本功能要求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支持常见3D打印文件格式导入与打印。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可稳定打印常用教育类模型、科普模型、创意模型。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具备断电续打、耗材检测、自动暂停、异常保护等功能。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主机用于建模、切片、数据处理和打印控制，运行稳定、兼容性强。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主要技术参数要求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耗材兼容：支持PLA, PETG, TPU, PVA或同等及以上其他环保耗材；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打印精度：满足教学与科普展示需求，层厚可调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材质框架: 钢材 &amp; 铝材；挤出机齿轮: 硬化钢；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喷头数量：单喷头或多喷头可选，需满足常规教学应用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加热平台：具备热床功能，升温稳定，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热床支持最高温度: 100 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部件冷却风扇:：闭环控制；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热端风扇: 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传感器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需支持：断料检测、耗材用量、断电续打、缠料检测；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监控摄像头: 1920 x 1080（支持延时摄影）；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电子器件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：需支持触摸、Wi-Fi、SD卡存储、手机端APP及电脑端APP、LED补光灯、软件升级等功能。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专用主机：需具备独立显卡且性能不低于5060，CPU性能需在I5及以上；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配套要求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提供完整的打印软件、驱动及使用说明。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配套提供必要工具包、喷嘴、刮刀、清洁工具等。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提供适配主机及显示设备所需连接线材。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3D多色多功能打印机及配套专用主机；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设备数量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3D打印机： [ 1 ] 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配套专用主机： [ 1 ] 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②基本功能要求：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支持常见3D打印文件格式导入与打印。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可稳定打印常用教育类模型、科普模型、创意模型。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具备断电续打、耗材检测、自动暂停、异常保护等功能。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主机用于建模、切片、数据处理和打印控制，运行稳定、兼容性强。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主要技术参数要求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框架材质：塑胶和钢材；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外壳：塑胶、玻璃和金属；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挤出机齿轮: 硬化钢，喷嘴: 硬化钢；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热床支持最高需支持温度: 120℃；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部件冷却风扇: 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热端风扇: 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主控板风扇: 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腔体加热循环风扇: 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辅助部件冷却风扇: 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外排风扇: 闭环控制；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空气滤芯: G3、H12、椰壳活性炭、VOC 过滤和颗粒物过滤；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需支持触摸、Wi-Fi、SD卡存储、手机端APP及电脑端APP、LED补光灯、软件升级等功能。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传感器需支持：断料续打、断电续打、缠料检测、实况摄像头：1920*1080及以上、工具头摄像头：1600*1200及以上，耗材用量及余料检测: 配合 AMS 使用时支持；5 英寸及以上 1280*720 触摸屏；支持Wifi (5G&amp;2.4G)、内置 8 GB EMMC、外挂U盘，控制界面: 触摸屏、手机端应用、电脑端应用、LED照明，神经网络处理单元: 2TOPS、USB输出功率: 5 V/1.2 A。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主喷嘴支持: PLA, PETG, ABS, ASA, TPU, PET, PA, PC；PLA 支撑专用耗材, PLA/PETG 支撑专用耗材, ABS 支撑专用耗材, PA/PET 支撑专用耗材, PVA 水溶性支撑耗材；碳纤/玻纤增强: PLA、PETG、ABS、ASA、PA6、PAHT、PPA、PET。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辅助喷嘴支持: PLA (不含发泡 PLA), PETG, ABS, ASA, AMS 专用 TPU, PET, PA, PC；PLA 支撑专用耗材, PLA/PETG 支撑专用耗材, ABS 支撑专用耗材, PA/PET 支撑专用耗材, PVA 水溶性支撑耗材；碳纤/玻纤增强: PLA、PETG、ABS、ASA、PA6、PAHT、PET。保证修复漏洞和更新功能。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专用主机：需具备独立显卡且性能不低于5060，CPU性能需在I5及以上；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配套要求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提供完整的打印软件、驱动及使用说明。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配套提供必要工具包、喷嘴、刮刀、清洁工具等。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提供适配主机及显示设备所需连接线材。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3D打印机线多色耗材。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 数量及规格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多色彩耗材数量：[ 30 ]卷.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颜色不少于 [ 4 ] 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 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耗材类型：PLA环保材料优先；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线径：与设备兼容规格；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颜色：红、黄、蓝、绿、黑、白、橙、紫等多色可选；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打印适应性：出丝稳定，不易堵头，成型效果良好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环保要求：无明显刺激性气味，适合少儿科普场景使用的环保材质；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包装：密封、防潮、标识清晰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 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提供耗材使用建议、存储方法及损耗控制建议。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所供耗材须与3D打印机兼容，不得影响设备正常使用。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技术参数标准：原料需为接触级耗材，通过安全认证。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热变形温度60℃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熔融温度160℃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熔融指数11.76±1.6 g/10 min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机械性能拉伸强度51.5±2 MPa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5.智慧编程机器人积木。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 设备数量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智慧编程积木： [ 4 ] 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 基本功能要求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适合少儿启蒙教育，支持图形化编程、搭建与互动控制。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可实现灯光、声音、运动等基础控制功能。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适合开展科学启蒙、逻辑思维训练、创意搭建等活动。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具备多场景教学和活动拓展能力。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 主要技术参数要求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适用年龄：适合少儿使用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编程方式：图形化编程或低门槛可视化编程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材质要求：环保、安全、无尖锐边角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内容资源：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需具备数学、几何、音乐、绘画、DIY、科学学知识内容。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配套基础教程、案例库、活动课程建议。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配件需涵盖：控制塔、机器人、编程板、双面地图、动作编程块、数字编程块、音乐编程块、循环编程块、角度编程块、预置功能组编程块、障碍物、可水洗彩笔、故事教材、道具包等。支持机器人接收相关指令后执行指令；任务及游戏数量不少于80种；续航时间不低于5小时；地图数量不少于12种；教材数量不少于3个；需包含收纳盒、摄像头视觉扫描、机器人材质为ABS材质，全圆角造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 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配套提供课程示例、教学指导建议、活动组织参考资料。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应支持教师或工作人员快速上手教学使用。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6. 3D全息投影。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 设备数量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3D全息投影设备： [ 1 ] 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 基本功能要求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具备三维全息展示效果，可用于展示科学原理、模型结构、科普内容等。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支持循环播放、定时播放、远程或本地控制。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显示清晰、立体感强，适合少儿科普场景体验。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 主要技术参数要求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显示尺寸：满足公共展示空间需求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显示效果：具备高清晰度、良好亮度和立体显示效果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控制方式：支持U盘、软件控制或同类方式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内容兼容：支持图片、视频、动画等格式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运行稳定：适合长时间连续播放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安全性：设备表面温升低、结构稳固、适合公共场所使用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柜体需采用冷轧板钢制机柜，外表面采用金属漆烤制，防磁，防锈，防静电，做工精细，内部结构设计合理，符合人体工程学；投影显示系统液晶屏不得小于75寸，屏幕比例：16:9，分辨率：1920*1080，亮度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350d/m2，可视角度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178°，扫描频率：60HZ/120HZ，显示色彩：16.7M/1.07B，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全息玻璃厚度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mm（钢化玻璃）；触摸屏类型：电容触摸；触摸点数:多点触摸；支持鼠标模式（鼠标左键，右键，拖拽）；触摸设备（放大，缩小，旋转）；360°全息播放软件，支持界面内任意点选播放；需配有控制面板：电源插口，主机启动开关，网络接口，USB插口，音响：双声道、防磁立体声，音量调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 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提供相关演示内容样例不少于10种、定制场景或模型2套。安装调试及使用培训。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设备应具备维护简便、故障率低的特点。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7.空间打造、其他设备及建设内容相关要求：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本项目空间打造内容为体验区内功能性隔断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、功能性设备桌、靠墙长排一体桌、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的建设及配套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设备及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基础设施部署。竞标厂家需依据现场实际环境，完成从结构施工到设备安装调试的全过程交付，确保空间划分合理、管线预埋规范、终端设备稳固可用。本项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所有施工、安装、调试及相关辅材费用均须包含在投标总价内，项目实施过程中不得以任何理由提出增项收费。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隔断尺寸为3.3m*3.1m*3m。结构体系：需采用轻钢龙骨作为隔断主副骨架，龙骨材质需符合国家标准，防锈防腐。衬板基层：隔断双面必须封贴OSB板或更高标准板材，需符合环保标准，握钉力强，防潮不变形，作为结构加固层。面层覆盖：在欧松板基层外，封贴纸面石膏板，板材厚度≥9.5mm，接缝处需嵌缝腻子加贴网格绷带处理，防止后期开裂。收口与阴阳角：所有阳角需安装金属护角条，阴角需垂直顺直，整体墙面平整；墙饰面石膏板面层上进行刮腻子并打磨平整，表面涂优质环保乳胶漆，乳胶漆需符合GB18582-2020《室内装饰装修材料 内墙涂料中有害物质限量》标准。打造功能性设备桌140cm*75cm*75cm×3；靠墙长排一体桌600cm*50cm*75cm；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电源综合布线（强电） ：根据项目功能区域及设备点位（全息投影、AR互动沙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、3D打印机、编程机器人、摄像头等内容预留用电插座和环境）。安装符合国标插座面板（五孔/三孔），数量需满足项目设备用电要求。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网络综合布线（弱电） ：按照项目设备及空间规划提供网络综合布线。网线需为六类非屏蔽双绞线或更高级别网络线材，支持千兆以太网传输。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强弱电布线根据现场环境采用金属线槽或PVC或穿线管等。强弱电分间隔施工，避免信号干扰。满足所有智能设备、展示设备、控制主机的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用电、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数据传输与联网需求。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提供完整布线图、点位图或施工记录。线缆编号清晰，便于后续检修维护。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投影及电视支架：厂商负责提供3套1.5M投影吊架，需符合国家相关标准；挂式电视移动架2套，需可挂载55-75寸电视承重要求，配有可移动滚轮，整体挂架材质需符合国家相关标准；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安防监控摄像头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。数量：3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技术参数标准：快门：快门自适应；镜头：4mm@F1.6或更高；对角视场角:106°，水平:90°，垂直:48°；需支持日夜模式转换及夜间录制功能；具备降噪功能；视频压缩码率需支持超清、高清和标清三档，码率自适应；最大图像尺寸:3840X2160支持双码流；需支持亮度，对比度，饱和度等图像功能设置；支持背光补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同时，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负责空间网络摄像头的安装与固定。安装高度及角度需覆盖隔断区域及主要通道，无监控死角。摄像头电源适配器需隐蔽放置。配合后续整体安防系统完成画面调取需求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三、项目建设内容及相关其他要求。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1.项目建设内容，本项目主要包括但不限于以下内容：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3D全息投影设备*1（注：涵盖至少10种配套场景及定制场景或模型2套）；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AR魔幻沙盘*1（注：涵盖至少5种场景体验功能）；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3D多色打印机套装及专用主机套装*1；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3D基础多色打印机及专用主机套装*1；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3D基础多色打印机线材多色耗材*30；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智慧编程机器人积木*4套；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安防摄像头及配套存储*3套；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挂吊式投影支架*4套；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壁挂式可移动电视架*2套；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空间内电源墙插布线及网络综合布线（PVC穿线管、PVC线槽、墙插模块等）；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施工安装、调试、培训、验收及售后服务；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2.项目设备及相关材料要求：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备所有设备应为全新、未使用过的合格产品，不得为翻新机、样机或二手设备。所供货物必须符合国家现行相关标准、行业标准及安全环保要求。供应商应保证设备功能完整、运行稳定、兼容性良好，能够满足少儿科普体验空间长期、安全、便捷运行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3.项目实施要求：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供应商需在施工前进行现场勘察，结合实际空间条件提出合理实施方案。供应商应负责设备安装、线缆敷设、布线整理、系统连接、软件调试、联动测试等工作。项目实施过程中不得损坏现有设施，如有损坏须由供应商负责恢复或赔偿。施工应尽量减少对正常开放秩序的影响，按采购人要求分时段、分区域施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4.安全要求：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所有电气安装、布线、设备接入须符合国家电气安全规范。施工期间应做好安全防护、文明施工和现场清洁管理，杜绝安全事故。设备应具备必要的安全保护功能，如过流保护、过热保护、短路保护等。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设备到货后，由采购人组织验收。验收内容包括品牌型号、数量、外观、配件、技术参数、安装质量、运行效果等。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如发现设备存在质量问题、与竞价文件不符、安装不规范或无法正常使用，供应商应在规定时间内整改或更换。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质保期内如出现故障，供应商应及时响应并负责免费维修或更换。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5.培训要求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中标/成交供应商须对采购人管理人员及相关工作人员进行不少于3次的设备操作、日常维护、基础故障排查培训。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培训内容应覆盖3D打印机使用、耗材更换、AR沙盘及全息设备操作、编程积木基础使用方法、设备日常维护等。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6.售后服务要求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质保期不少于2年，核心设备建议不少于3年，具体以供应商承诺为准。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质保期内提供免费上门服务、免费维修、更换故障配件等。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接到报修后，应在 [3] 小时内响应，必要时在 [3] 小时内到场处理。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对软件或系统类设备应提供必要的升级、优化及兼容性支持。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 供应商提供虚假资料、虚假报价或虚假承诺的，采购人有权取消其竞价资格或解除合同。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 如因供应商原因导致延期交付、安装质量不合格或设备无法正常使用，应承担相应违约责任。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 质保期内未按要求提供售后服务或响应处理不及时的，采购人有权按照合同约定追责。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五、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其他说明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 本项目未尽事宜，由采购人依据相关规定和项目实际情况解释。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 采购人有权根据实际需要对采购内容、数量、实施细节进行合理调整。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 本竞价须知为项目响应的重要依据，供应商应据此编制响应文件。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六、供应商资格要求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（一）需符合《中华人民共和国政府采购法》第二十二条规定。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1. 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2. 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3. 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4. 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5. 参加政府采购活动前三年内，在经营活动中没有重大违法记录；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6. 符合法律、行政法规规定的其他条件。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（二）未被列入严重违法失信名单、失信被执行人名单、重大税收违法案件当事人名单、政府采购严重违法失信行为记录名单。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（三）如成交，在合同签订之前，采购人有权要求本公司（本人）提供资格证明材料原件进行核验。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（四）具备安防监控设备供货、现场施工、售后维保完整服务能力，能够满足本项目交钥匙施工要求；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（五）保证上述承诺事项的真实性。如有弄虚作假或其他违法违规行为，自愿承担有关民事法律规定承担民事责任。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（六）本项目不接受联合体报价。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七、供应商需上传文件要求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（一）资格证明文件：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《响应书》（附件1）、《供应商情况表》（附件2）、《供应商信用承诺函》（附件3）、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营业执照、法人身份证复印件或法人代表身份证复印件及授权委托书等。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（二）报价单：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报价单须加盖公司章子。报价内容应包含设备及材料名称、品牌型号、规格参数、数量、单价、总价、运输费、安装费、培训费、售后服务费等全部费用。报价应为最终含税总价，不得另行增补费用。报价单中应明确质保期及供货周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备注：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以上要求供应商请务必认真准备，资料齐全后盖章以PDF格式进行上传。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附件1：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《响应书》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附件2：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《供应商情况表》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附件3：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《供应商信用承诺函》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88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3057525</wp:posOffset>
            </wp:positionH>
            <wp:positionV relativeFrom="page">
              <wp:posOffset>3896995</wp:posOffset>
            </wp:positionV>
            <wp:extent cx="1766570" cy="1769745"/>
            <wp:effectExtent l="0" t="0" r="5080" b="1905"/>
            <wp:wrapNone/>
            <wp:docPr id="1" name="图片 1" descr="电子公章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电子公章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博州图书馆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120" w:firstLineChars="16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2026年8月11日</w:t>
      </w:r>
    </w:p>
    <w:p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ind w:firstLine="64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响 应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（采购人）：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我方参与贵单位（项目名称：                  项目）采购，经认真研究采购需求，我们决定参加本次竞价。我方郑重声明以下诸点，并负法律责任。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按照采购需求，提供采购服务，报价总金额 ¥       元整（人民币大写：            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如果我们的资质文件被接受，我们将按期、按质、按量完成本次采购项目。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我方承诺服务期限按照采购人要求执行。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我方承诺付款方式按照采购人要求执行。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如果我方成交，我方将在5个工作日内提供服务合同交于采购方审核，审核通过后签订服务合同。确保按采购要求提供履约担保。如果我方违约，贵方有权终止我方成交并选择其它成交供应商。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我方同意在磋商有效期内遵守本响应文件，在此期限期满前的任何时间，本响应文件一直对我们具有约束力，本项目磋商有效期为响应文件递交截止时间后90天。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我们愿意提供采购人在采购需求中的所有要求。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我们认同采购人有选择或拒绝任何参与供应商成交的权力。理解并认可，采购人为避免恶意低价中标所采取的综合评估法中“最低报价不是成交的唯一条件”的有效措施。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我们愿按合同法履行自己的全部责任。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该响应书在竞价中/竞价截止的全过程中保持有效，不作任何更改和变动。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供应商名称（单位公章）：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供应商情况表</w:t>
      </w:r>
    </w:p>
    <w:tbl>
      <w:tblPr>
        <w:tblStyle w:val="2"/>
        <w:tblpPr w:leftFromText="180" w:rightFromText="180" w:vertAnchor="text" w:horzAnchor="page" w:tblpX="1350" w:tblpY="245"/>
        <w:tblOverlap w:val="never"/>
        <w:tblW w:w="9653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624"/>
        <w:gridCol w:w="2349"/>
        <w:gridCol w:w="2054"/>
        <w:gridCol w:w="2626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510" w:hRule="atLeast"/>
        </w:trPr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企业注册名称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建立日期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21" w:hRule="atLeast"/>
        </w:trPr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企业详细地址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组织机构代码证或统一社会信用代码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</w:trPr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企业法人代表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</w:trPr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542" w:hRule="atLeast"/>
        </w:trPr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经营范围</w:t>
            </w:r>
          </w:p>
        </w:tc>
        <w:tc>
          <w:tcPr>
            <w:tcW w:w="7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4726" w:hRule="atLeast"/>
        </w:trPr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企业简介</w:t>
            </w:r>
          </w:p>
        </w:tc>
        <w:tc>
          <w:tcPr>
            <w:tcW w:w="7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供应商名称（单位公章）：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   月   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供应商信用承诺函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我单位（本人）自愿参加本次政府采购活动，严格遵守《中华人民共和国政府采购法》及相关法律法规，坚守公开、公平、公正和诚实信用等原则，依法诚信经营，并郑重承诺：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一、我单位（本人）符合《中华人民共和国政府采购法》第二十二条规定：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（一）具有独立承担民事责任的能力;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（二）具有良好的商业信誉和健全的财务会计制度;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（三）具有履行合同所必需的设备和专业技术能力;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（四）有依法缴纳税收和社会保障资金的良好记录;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（五）参加政府采购活动前三年内，在经营活动中没有重大违法记录;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（六）符合法律、行政法规规定的其他条件。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二、我单位（本人）未被列入严重违法失信名单、失信被执行人名单、重大税收违法案件当事人名单、政府采购严重违法失信行为记录名单。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三、如果本公司（本人）有幸成交，在合同签订之前，采购人有权要求本公司（本人）提供资格证明材料原件进行核验。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四、我单位（本人）保证上述承诺事项的真实性。如有弄虚作假或其他违法违规行为，自愿承担有关民事法律规定承担民事责任。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160" w:firstLineChars="13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供应商(单位公章)：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   月    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</w:t>
      </w:r>
    </w:p>
    <w:sectPr>
      <w:pgSz w:w="11906" w:h="16838"/>
      <w:pgMar w:top="1984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7327B5"/>
    <w:multiLevelType w:val="singleLevel"/>
    <w:tmpl w:val="E97327B5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47C2867E"/>
    <w:multiLevelType w:val="singleLevel"/>
    <w:tmpl w:val="47C2867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FD4BF54"/>
    <w:multiLevelType w:val="singleLevel"/>
    <w:tmpl w:val="4FD4BF5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74C90"/>
    <w:rsid w:val="00A80280"/>
    <w:rsid w:val="077324C8"/>
    <w:rsid w:val="0AE309D7"/>
    <w:rsid w:val="16F564C3"/>
    <w:rsid w:val="18A1642C"/>
    <w:rsid w:val="1A8320B7"/>
    <w:rsid w:val="1CAB3232"/>
    <w:rsid w:val="1D0476B4"/>
    <w:rsid w:val="27754B5A"/>
    <w:rsid w:val="36916EC6"/>
    <w:rsid w:val="376161AB"/>
    <w:rsid w:val="3DF970D5"/>
    <w:rsid w:val="4A0D21C2"/>
    <w:rsid w:val="4C4A2702"/>
    <w:rsid w:val="57A04676"/>
    <w:rsid w:val="5CF01EEF"/>
    <w:rsid w:val="5DE61A58"/>
    <w:rsid w:val="5E376A5D"/>
    <w:rsid w:val="672A4C40"/>
    <w:rsid w:val="6A774C90"/>
    <w:rsid w:val="70D27883"/>
    <w:rsid w:val="76C70C21"/>
    <w:rsid w:val="79252C4D"/>
    <w:rsid w:val="7A903C7E"/>
    <w:rsid w:val="7DF7A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7092</Words>
  <Characters>7692</Characters>
  <Lines>0</Lines>
  <Paragraphs>0</Paragraphs>
  <TotalTime>19</TotalTime>
  <ScaleCrop>false</ScaleCrop>
  <LinksUpToDate>false</LinksUpToDate>
  <CharactersWithSpaces>8156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2026-07-09T10:41:00Z</dcterms:created>
  <dc:creator>Marvel.</dc:creator>
  <cp:lastModifiedBy>user</cp:lastModifiedBy>
  <dcterms:modified xsi:type="dcterms:W3CDTF">2026-08-24T18:28:08Z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7E46276A0EE24659B0F2770E52C5C1FA_13</vt:lpwstr>
  </property>
  <property fmtid="{D5CDD505-2E9C-101B-9397-08002B2CF9AE}" pid="4" name="KSOTemplateDocerSaveRecord">
    <vt:lpwstr>eyJoZGlkIjoiOTgxZDVmYmQ4MjhiOTQxYmI2MDdmODkxNjJlZGE1NTQiLCJ1c2VySWQiOiIyNTU3NDY1MTMifQ==</vt:lpwstr>
  </property>
</Properties>
</file>