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hint="default" w:ascii="仿宋" w:hAnsi="仿宋" w:eastAsia="仿宋" w:cs="仿宋"/>
          <w:b/>
          <w:sz w:val="28"/>
          <w:szCs w:val="28"/>
          <w:lang w:val="en-US" w:eastAsia="zh-CN"/>
        </w:rPr>
      </w:pPr>
      <w:r>
        <w:rPr>
          <w:rFonts w:hint="eastAsia" w:ascii="仿宋" w:hAnsi="仿宋" w:eastAsia="仿宋" w:cs="仿宋"/>
          <w:b/>
          <w:sz w:val="28"/>
          <w:szCs w:val="28"/>
        </w:rPr>
        <w:t>采购项目编号：WZC-GKZB-2021-</w:t>
      </w:r>
      <w:r>
        <w:rPr>
          <w:rFonts w:hint="eastAsia" w:ascii="仿宋" w:hAnsi="仿宋" w:eastAsia="仿宋" w:cs="仿宋"/>
          <w:b/>
          <w:sz w:val="28"/>
          <w:szCs w:val="28"/>
          <w:lang w:val="en-US" w:eastAsia="zh-CN"/>
        </w:rPr>
        <w:t>29</w:t>
      </w:r>
    </w:p>
    <w:p>
      <w:pPr>
        <w:adjustRightInd w:val="0"/>
        <w:snapToGrid w:val="0"/>
        <w:spacing w:line="360" w:lineRule="auto"/>
        <w:jc w:val="left"/>
        <w:rPr>
          <w:rFonts w:hint="eastAsia" w:ascii="仿宋" w:hAnsi="仿宋" w:eastAsia="仿宋" w:cs="仿宋"/>
          <w:sz w:val="28"/>
          <w:szCs w:val="28"/>
        </w:rPr>
      </w:pPr>
    </w:p>
    <w:p>
      <w:pPr>
        <w:pStyle w:val="4"/>
        <w:outlineLvl w:val="9"/>
        <w:rPr>
          <w:rFonts w:hint="eastAsia"/>
        </w:rPr>
      </w:pPr>
    </w:p>
    <w:p>
      <w:pPr>
        <w:adjustRightInd w:val="0"/>
        <w:snapToGrid w:val="0"/>
        <w:spacing w:line="360" w:lineRule="auto"/>
        <w:ind w:firstLine="560" w:firstLineChars="200"/>
        <w:jc w:val="left"/>
        <w:rPr>
          <w:rFonts w:hint="eastAsia" w:ascii="仿宋" w:hAnsi="仿宋" w:eastAsia="仿宋" w:cs="仿宋"/>
          <w:sz w:val="28"/>
          <w:szCs w:val="28"/>
        </w:rPr>
      </w:pPr>
    </w:p>
    <w:p>
      <w:pPr>
        <w:adjustRightInd w:val="0"/>
        <w:snapToGrid w:val="0"/>
        <w:spacing w:line="360" w:lineRule="auto"/>
        <w:ind w:firstLine="560" w:firstLineChars="200"/>
        <w:jc w:val="left"/>
        <w:rPr>
          <w:rFonts w:hint="eastAsia" w:ascii="仿宋" w:hAnsi="仿宋" w:eastAsia="仿宋" w:cs="仿宋"/>
          <w:sz w:val="28"/>
          <w:szCs w:val="28"/>
        </w:rPr>
      </w:pPr>
    </w:p>
    <w:p>
      <w:pPr>
        <w:adjustRightInd w:val="0"/>
        <w:snapToGrid w:val="0"/>
        <w:spacing w:line="360" w:lineRule="auto"/>
        <w:ind w:firstLine="560" w:firstLineChars="200"/>
        <w:jc w:val="left"/>
        <w:rPr>
          <w:rFonts w:hint="eastAsia" w:ascii="仿宋" w:hAnsi="仿宋" w:eastAsia="仿宋" w:cs="仿宋"/>
          <w:sz w:val="28"/>
          <w:szCs w:val="28"/>
        </w:rPr>
      </w:pPr>
    </w:p>
    <w:p>
      <w:pPr>
        <w:adjustRightInd w:val="0"/>
        <w:snapToGrid w:val="0"/>
        <w:spacing w:line="360" w:lineRule="auto"/>
        <w:jc w:val="center"/>
        <w:rPr>
          <w:rFonts w:hint="eastAsia" w:ascii="仿宋" w:hAnsi="仿宋" w:eastAsia="仿宋" w:cs="仿宋"/>
          <w:b/>
          <w:bCs w:val="0"/>
          <w:sz w:val="32"/>
          <w:szCs w:val="32"/>
        </w:rPr>
      </w:pPr>
      <w:r>
        <w:rPr>
          <w:rFonts w:hint="eastAsia" w:ascii="仿宋" w:hAnsi="仿宋" w:eastAsia="仿宋" w:cs="仿宋"/>
          <w:b/>
          <w:bCs w:val="0"/>
          <w:sz w:val="32"/>
          <w:szCs w:val="32"/>
        </w:rPr>
        <w:t>吴起县林业局2021年铁边城国有林场退化林修复采购项目</w:t>
      </w:r>
    </w:p>
    <w:p>
      <w:pPr>
        <w:adjustRightInd w:val="0"/>
        <w:snapToGrid w:val="0"/>
        <w:spacing w:line="360" w:lineRule="auto"/>
        <w:jc w:val="center"/>
        <w:rPr>
          <w:rFonts w:hint="eastAsia" w:ascii="仿宋" w:hAnsi="仿宋" w:eastAsia="仿宋" w:cs="仿宋"/>
          <w:b/>
          <w:bCs w:val="0"/>
          <w:sz w:val="52"/>
          <w:szCs w:val="52"/>
        </w:rPr>
      </w:pPr>
    </w:p>
    <w:p>
      <w:pPr>
        <w:adjustRightInd w:val="0"/>
        <w:snapToGrid w:val="0"/>
        <w:spacing w:line="360" w:lineRule="auto"/>
        <w:jc w:val="center"/>
        <w:rPr>
          <w:rFonts w:hint="eastAsia" w:ascii="仿宋" w:hAnsi="仿宋" w:eastAsia="仿宋" w:cs="仿宋"/>
          <w:b/>
          <w:bCs w:val="0"/>
          <w:sz w:val="52"/>
          <w:szCs w:val="52"/>
        </w:rPr>
      </w:pPr>
      <w:r>
        <w:rPr>
          <w:rFonts w:hint="eastAsia" w:ascii="仿宋" w:hAnsi="仿宋" w:eastAsia="仿宋" w:cs="仿宋"/>
          <w:b/>
          <w:bCs w:val="0"/>
          <w:sz w:val="52"/>
          <w:szCs w:val="52"/>
        </w:rPr>
        <w:t>招 标 文 件</w:t>
      </w:r>
    </w:p>
    <w:p>
      <w:pPr>
        <w:adjustRightInd w:val="0"/>
        <w:snapToGrid w:val="0"/>
        <w:spacing w:line="360" w:lineRule="auto"/>
        <w:jc w:val="left"/>
        <w:rPr>
          <w:rFonts w:hint="eastAsia" w:ascii="仿宋" w:hAnsi="仿宋" w:eastAsia="仿宋" w:cs="仿宋"/>
          <w:b/>
          <w:bCs w:val="0"/>
          <w:sz w:val="28"/>
          <w:szCs w:val="28"/>
        </w:rPr>
      </w:pPr>
    </w:p>
    <w:p>
      <w:pPr>
        <w:adjustRightInd w:val="0"/>
        <w:snapToGrid w:val="0"/>
        <w:spacing w:line="360" w:lineRule="auto"/>
        <w:jc w:val="left"/>
        <w:rPr>
          <w:rFonts w:hint="eastAsia" w:ascii="仿宋" w:hAnsi="仿宋" w:eastAsia="仿宋" w:cs="仿宋"/>
          <w:b/>
          <w:bCs w:val="0"/>
          <w:sz w:val="28"/>
          <w:szCs w:val="28"/>
        </w:rPr>
      </w:pPr>
    </w:p>
    <w:p>
      <w:pPr>
        <w:adjustRightInd w:val="0"/>
        <w:snapToGrid w:val="0"/>
        <w:spacing w:line="360" w:lineRule="auto"/>
        <w:jc w:val="left"/>
        <w:rPr>
          <w:rFonts w:hint="eastAsia" w:ascii="仿宋" w:hAnsi="仿宋" w:eastAsia="仿宋" w:cs="仿宋"/>
          <w:b/>
          <w:bCs w:val="0"/>
          <w:sz w:val="28"/>
          <w:szCs w:val="28"/>
        </w:rPr>
      </w:pPr>
    </w:p>
    <w:p>
      <w:pPr>
        <w:adjustRightInd w:val="0"/>
        <w:snapToGrid w:val="0"/>
        <w:spacing w:line="360" w:lineRule="auto"/>
        <w:jc w:val="left"/>
        <w:rPr>
          <w:rFonts w:hint="eastAsia" w:ascii="仿宋" w:hAnsi="仿宋" w:eastAsia="仿宋" w:cs="仿宋"/>
          <w:b/>
          <w:bCs w:val="0"/>
          <w:sz w:val="28"/>
          <w:szCs w:val="28"/>
        </w:rPr>
      </w:pPr>
    </w:p>
    <w:p>
      <w:pPr>
        <w:adjustRightInd w:val="0"/>
        <w:snapToGrid w:val="0"/>
        <w:spacing w:line="360" w:lineRule="auto"/>
        <w:ind w:firstLine="562" w:firstLineChars="200"/>
        <w:jc w:val="left"/>
        <w:rPr>
          <w:rFonts w:hint="eastAsia" w:ascii="仿宋" w:hAnsi="仿宋" w:eastAsia="仿宋" w:cs="仿宋"/>
          <w:b/>
          <w:bCs w:val="0"/>
          <w:sz w:val="28"/>
          <w:szCs w:val="28"/>
        </w:rPr>
      </w:pPr>
    </w:p>
    <w:p>
      <w:pPr>
        <w:pStyle w:val="4"/>
        <w:outlineLvl w:val="9"/>
        <w:rPr>
          <w:rFonts w:hint="eastAsia" w:ascii="仿宋" w:hAnsi="仿宋" w:eastAsia="仿宋" w:cs="仿宋"/>
          <w:b/>
          <w:bCs w:val="0"/>
          <w:sz w:val="28"/>
          <w:szCs w:val="28"/>
        </w:rPr>
      </w:pPr>
    </w:p>
    <w:p>
      <w:pPr>
        <w:rPr>
          <w:rFonts w:hint="eastAsia"/>
          <w:b/>
          <w:bCs w:val="0"/>
        </w:rPr>
      </w:pPr>
    </w:p>
    <w:p>
      <w:pPr>
        <w:adjustRightInd w:val="0"/>
        <w:snapToGrid w:val="0"/>
        <w:spacing w:line="360" w:lineRule="auto"/>
        <w:ind w:firstLine="562" w:firstLineChars="200"/>
        <w:jc w:val="left"/>
        <w:rPr>
          <w:rFonts w:hint="eastAsia" w:ascii="仿宋" w:hAnsi="仿宋" w:eastAsia="仿宋" w:cs="仿宋"/>
          <w:b/>
          <w:bCs w:val="0"/>
          <w:sz w:val="28"/>
          <w:szCs w:val="28"/>
        </w:rPr>
      </w:pPr>
    </w:p>
    <w:p>
      <w:pPr>
        <w:adjustRightInd w:val="0"/>
        <w:snapToGrid w:val="0"/>
        <w:spacing w:line="360" w:lineRule="auto"/>
        <w:jc w:val="center"/>
        <w:rPr>
          <w:rFonts w:hint="eastAsia" w:ascii="仿宋" w:hAnsi="仿宋" w:eastAsia="仿宋" w:cs="仿宋"/>
          <w:b/>
          <w:bCs w:val="0"/>
          <w:sz w:val="28"/>
          <w:szCs w:val="28"/>
        </w:rPr>
      </w:pPr>
      <w:r>
        <w:rPr>
          <w:rFonts w:hint="eastAsia" w:ascii="仿宋" w:hAnsi="仿宋" w:eastAsia="仿宋" w:cs="仿宋"/>
          <w:b/>
          <w:bCs w:val="0"/>
          <w:sz w:val="28"/>
          <w:szCs w:val="28"/>
        </w:rPr>
        <w:t>吴起县政府采购中心</w:t>
      </w:r>
    </w:p>
    <w:p>
      <w:pPr>
        <w:adjustRightInd w:val="0"/>
        <w:snapToGrid w:val="0"/>
        <w:spacing w:line="360" w:lineRule="auto"/>
        <w:jc w:val="center"/>
        <w:rPr>
          <w:rFonts w:hint="eastAsia" w:ascii="仿宋" w:hAnsi="仿宋" w:eastAsia="仿宋" w:cs="仿宋"/>
          <w:b/>
          <w:sz w:val="28"/>
          <w:szCs w:val="28"/>
        </w:rPr>
      </w:pPr>
      <w:r>
        <w:rPr>
          <w:rFonts w:hint="eastAsia" w:ascii="仿宋" w:hAnsi="仿宋" w:eastAsia="仿宋" w:cs="仿宋"/>
          <w:b/>
          <w:bCs w:val="0"/>
          <w:sz w:val="28"/>
          <w:szCs w:val="28"/>
        </w:rPr>
        <w:t>二〇二</w:t>
      </w:r>
      <w:r>
        <w:rPr>
          <w:rFonts w:hint="eastAsia" w:ascii="仿宋" w:hAnsi="仿宋" w:eastAsia="仿宋" w:cs="仿宋"/>
          <w:b/>
          <w:bCs w:val="0"/>
          <w:sz w:val="28"/>
          <w:szCs w:val="28"/>
          <w:lang w:eastAsia="zh-CN"/>
        </w:rPr>
        <w:t>一</w:t>
      </w:r>
      <w:r>
        <w:rPr>
          <w:rFonts w:hint="eastAsia" w:ascii="仿宋" w:hAnsi="仿宋" w:eastAsia="仿宋" w:cs="仿宋"/>
          <w:b/>
          <w:bCs w:val="0"/>
          <w:sz w:val="28"/>
          <w:szCs w:val="28"/>
        </w:rPr>
        <w:t>年</w:t>
      </w:r>
      <w:r>
        <w:rPr>
          <w:rFonts w:hint="eastAsia" w:ascii="仿宋" w:hAnsi="仿宋" w:eastAsia="仿宋" w:cs="仿宋"/>
          <w:b/>
          <w:bCs w:val="0"/>
          <w:sz w:val="28"/>
          <w:szCs w:val="28"/>
          <w:lang w:eastAsia="zh-CN"/>
        </w:rPr>
        <w:t>十二</w:t>
      </w:r>
      <w:r>
        <w:rPr>
          <w:rFonts w:hint="eastAsia" w:ascii="仿宋" w:hAnsi="仿宋" w:eastAsia="仿宋" w:cs="仿宋"/>
          <w:b/>
          <w:bCs w:val="0"/>
          <w:sz w:val="28"/>
          <w:szCs w:val="28"/>
        </w:rPr>
        <w:t>月</w:t>
      </w:r>
    </w:p>
    <w:p>
      <w:pPr>
        <w:adjustRightInd w:val="0"/>
        <w:snapToGrid w:val="0"/>
        <w:spacing w:line="360" w:lineRule="auto"/>
        <w:jc w:val="center"/>
        <w:rPr>
          <w:rFonts w:hint="eastAsia" w:ascii="仿宋" w:hAnsi="仿宋" w:eastAsia="仿宋" w:cs="仿宋"/>
          <w:b/>
          <w:sz w:val="28"/>
          <w:szCs w:val="28"/>
        </w:rPr>
        <w:sectPr>
          <w:headerReference r:id="rId5" w:type="first"/>
          <w:headerReference r:id="rId3" w:type="default"/>
          <w:footerReference r:id="rId6" w:type="default"/>
          <w:headerReference r:id="rId4" w:type="even"/>
          <w:footerReference r:id="rId7" w:type="even"/>
          <w:pgSz w:w="11907" w:h="16840"/>
          <w:pgMar w:top="1440" w:right="1474" w:bottom="1440" w:left="1474" w:header="851" w:footer="992" w:gutter="0"/>
          <w:pgNumType w:fmt="decimal" w:start="1"/>
          <w:cols w:space="720" w:num="1"/>
          <w:docGrid w:linePitch="312" w:charSpace="0"/>
        </w:sectPr>
      </w:pPr>
    </w:p>
    <w:p>
      <w:pPr>
        <w:spacing w:before="0" w:beforeLines="0" w:after="0" w:afterLines="0" w:line="240" w:lineRule="auto"/>
        <w:ind w:left="0" w:leftChars="0" w:right="0" w:rightChars="0" w:firstLine="0" w:firstLineChars="0"/>
        <w:jc w:val="center"/>
        <w:rPr>
          <w:rFonts w:hint="eastAsia" w:ascii="黑体" w:hAnsi="黑体" w:eastAsia="黑体" w:cs="黑体"/>
          <w:sz w:val="44"/>
          <w:szCs w:val="44"/>
        </w:rPr>
      </w:pPr>
    </w:p>
    <w:p>
      <w:pPr>
        <w:spacing w:before="0" w:beforeLines="0" w:after="0" w:afterLines="0" w:line="240" w:lineRule="auto"/>
        <w:ind w:left="0" w:leftChars="0" w:right="0" w:rightChars="0" w:firstLine="0" w:firstLineChars="0"/>
        <w:jc w:val="center"/>
        <w:rPr>
          <w:rFonts w:hint="eastAsia" w:ascii="黑体" w:hAnsi="黑体" w:eastAsia="黑体" w:cs="黑体"/>
          <w:b/>
          <w:bCs/>
          <w:sz w:val="44"/>
          <w:szCs w:val="44"/>
        </w:rPr>
      </w:pPr>
      <w:r>
        <w:rPr>
          <w:rFonts w:hint="eastAsia" w:ascii="黑体" w:hAnsi="黑体" w:eastAsia="黑体" w:cs="黑体"/>
          <w:b/>
          <w:bCs/>
          <w:sz w:val="44"/>
          <w:szCs w:val="44"/>
        </w:rPr>
        <w:t>目录</w:t>
      </w:r>
    </w:p>
    <w:p>
      <w:pPr>
        <w:pStyle w:val="2"/>
        <w:rPr>
          <w:rFonts w:hint="eastAsia"/>
        </w:rPr>
      </w:pP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TOC \o "1-1" \h \u </w:instrText>
      </w:r>
      <w:r>
        <w:rPr>
          <w:rFonts w:hint="eastAsia" w:ascii="仿宋" w:hAnsi="仿宋" w:eastAsia="仿宋" w:cs="仿宋"/>
          <w:sz w:val="24"/>
          <w:szCs w:val="24"/>
        </w:rPr>
        <w:fldChar w:fldCharType="separate"/>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_Toc31116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第一章    招标邀请</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_Toc31116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3</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_Toc5166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第二章    投标人须知</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_Toc5166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6</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_Toc2818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第三章    采购内容及技术要求</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_Toc2818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16</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_Toc5518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第四章    评标办法</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_Toc5518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55</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_Toc22300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第五章    投标人资格证明文件及审核</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_Toc22300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60</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_Toc28467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第六章    合同主要条款</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_Toc28467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62</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_Toc18330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w:t>
      </w:r>
      <w:r>
        <w:rPr>
          <w:rFonts w:hint="eastAsia" w:ascii="仿宋" w:hAnsi="仿宋" w:eastAsia="仿宋" w:cs="仿宋"/>
          <w:b/>
          <w:bCs/>
          <w:sz w:val="24"/>
          <w:szCs w:val="24"/>
          <w:lang w:eastAsia="zh-CN"/>
        </w:rPr>
        <w:t>七</w:t>
      </w:r>
      <w:r>
        <w:rPr>
          <w:rFonts w:hint="eastAsia" w:ascii="仿宋" w:hAnsi="仿宋" w:eastAsia="仿宋" w:cs="仿宋"/>
          <w:b/>
          <w:bCs/>
          <w:sz w:val="24"/>
          <w:szCs w:val="24"/>
        </w:rPr>
        <w:t xml:space="preserve">章  </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工程期限</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_Toc18330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67</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_Toc30606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w:t>
      </w:r>
      <w:r>
        <w:rPr>
          <w:rFonts w:hint="eastAsia" w:ascii="仿宋" w:hAnsi="仿宋" w:eastAsia="仿宋" w:cs="仿宋"/>
          <w:b/>
          <w:bCs/>
          <w:sz w:val="24"/>
          <w:szCs w:val="24"/>
          <w:lang w:eastAsia="zh-CN"/>
        </w:rPr>
        <w:t>八</w:t>
      </w:r>
      <w:r>
        <w:rPr>
          <w:rFonts w:hint="eastAsia" w:ascii="仿宋" w:hAnsi="仿宋" w:eastAsia="仿宋" w:cs="仿宋"/>
          <w:b/>
          <w:bCs/>
          <w:sz w:val="24"/>
          <w:szCs w:val="24"/>
        </w:rPr>
        <w:t>章    投标文件格式及构成</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_Toc30606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68</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_Toc10921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第1部分  法定代表人证明书与投标授权书</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_Toc10921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71</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_Toc15656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第2部分</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 xml:space="preserve"> 投标函</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_Toc15656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73</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_Toc25643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第3部分  开标一览表</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_Toc25643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74</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_Toc28111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lang w:eastAsia="zh-CN"/>
        </w:rPr>
        <w:t>第</w:t>
      </w:r>
      <w:r>
        <w:rPr>
          <w:rFonts w:hint="eastAsia" w:ascii="仿宋" w:hAnsi="仿宋" w:eastAsia="仿宋" w:cs="仿宋"/>
          <w:b/>
          <w:bCs/>
          <w:sz w:val="24"/>
          <w:szCs w:val="24"/>
          <w:lang w:val="en-US" w:eastAsia="zh-CN"/>
        </w:rPr>
        <w:t xml:space="preserve">4部分  </w:t>
      </w:r>
      <w:r>
        <w:rPr>
          <w:rFonts w:hint="eastAsia" w:ascii="仿宋" w:hAnsi="仿宋" w:eastAsia="仿宋" w:cs="仿宋"/>
          <w:b/>
          <w:bCs/>
          <w:sz w:val="24"/>
          <w:szCs w:val="24"/>
        </w:rPr>
        <w:t>商务</w:t>
      </w:r>
      <w:r>
        <w:rPr>
          <w:rFonts w:hint="eastAsia" w:ascii="仿宋" w:hAnsi="仿宋" w:eastAsia="仿宋" w:cs="仿宋"/>
          <w:b/>
          <w:bCs/>
          <w:sz w:val="24"/>
          <w:szCs w:val="24"/>
          <w:lang w:eastAsia="zh-CN"/>
        </w:rPr>
        <w:t>投标方案</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_Toc28111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76</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_Toc17994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w:t>
      </w:r>
      <w:r>
        <w:rPr>
          <w:rFonts w:hint="eastAsia" w:ascii="仿宋" w:hAnsi="仿宋" w:eastAsia="仿宋" w:cs="仿宋"/>
          <w:b/>
          <w:bCs/>
          <w:sz w:val="24"/>
          <w:szCs w:val="24"/>
          <w:lang w:val="en-US" w:eastAsia="zh-CN"/>
        </w:rPr>
        <w:t>5</w:t>
      </w:r>
      <w:r>
        <w:rPr>
          <w:rFonts w:hint="eastAsia" w:ascii="仿宋" w:hAnsi="仿宋" w:eastAsia="仿宋" w:cs="仿宋"/>
          <w:b/>
          <w:bCs/>
          <w:sz w:val="24"/>
          <w:szCs w:val="24"/>
        </w:rPr>
        <w:t>部分  技术投标方案</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_Toc17994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82</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_Toc18515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第6部分  资格证明文件</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_Toc18515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84</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_Toc7353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附表</w:t>
      </w: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ab/>
      </w:r>
      <w:r>
        <w:rPr>
          <w:rFonts w:hint="eastAsia" w:ascii="仿宋" w:hAnsi="仿宋" w:eastAsia="仿宋" w:cs="仿宋"/>
          <w:b/>
          <w:bCs/>
          <w:sz w:val="24"/>
          <w:szCs w:val="24"/>
          <w:lang w:val="en-US" w:eastAsia="zh-CN"/>
        </w:rPr>
        <w:t>8</w:t>
      </w:r>
      <w:r>
        <w:rPr>
          <w:rFonts w:hint="eastAsia" w:ascii="仿宋" w:hAnsi="仿宋" w:eastAsia="仿宋" w:cs="仿宋"/>
          <w:b/>
          <w:bCs/>
          <w:sz w:val="24"/>
          <w:szCs w:val="24"/>
        </w:rPr>
        <w:fldChar w:fldCharType="end"/>
      </w:r>
      <w:r>
        <w:rPr>
          <w:rFonts w:hint="eastAsia" w:ascii="仿宋" w:hAnsi="仿宋" w:eastAsia="仿宋" w:cs="仿宋"/>
          <w:b/>
          <w:bCs/>
          <w:sz w:val="24"/>
          <w:szCs w:val="24"/>
          <w:lang w:val="en-US" w:eastAsia="zh-CN"/>
        </w:rPr>
        <w:t>6</w:t>
      </w:r>
    </w:p>
    <w:p>
      <w:pPr>
        <w:pStyle w:val="17"/>
        <w:keepNext w:val="0"/>
        <w:keepLines w:val="0"/>
        <w:pageBreakBefore w:val="0"/>
        <w:widowControl/>
        <w:tabs>
          <w:tab w:val="right" w:leader="dot" w:pos="8959"/>
        </w:tabs>
        <w:kinsoku/>
        <w:wordWrap/>
        <w:overflowPunct/>
        <w:topLinePunct w:val="0"/>
        <w:autoSpaceDE/>
        <w:autoSpaceDN/>
        <w:bidi w:val="0"/>
        <w:adjustRightInd/>
        <w:snapToGrid/>
        <w:spacing w:line="640" w:lineRule="exac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_Toc22836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附表2</w:t>
      </w:r>
      <w:r>
        <w:rPr>
          <w:rFonts w:hint="eastAsia" w:ascii="仿宋" w:hAnsi="仿宋" w:eastAsia="仿宋" w:cs="仿宋"/>
          <w:b/>
          <w:bCs/>
          <w:sz w:val="24"/>
          <w:szCs w:val="24"/>
        </w:rPr>
        <w:tab/>
      </w:r>
      <w:r>
        <w:rPr>
          <w:rFonts w:hint="eastAsia" w:ascii="仿宋" w:hAnsi="仿宋" w:eastAsia="仿宋" w:cs="仿宋"/>
          <w:b/>
          <w:bCs/>
          <w:sz w:val="24"/>
          <w:szCs w:val="24"/>
          <w:lang w:val="en-US" w:eastAsia="zh-CN"/>
        </w:rPr>
        <w:t>9</w:t>
      </w:r>
      <w:r>
        <w:rPr>
          <w:rFonts w:hint="eastAsia" w:ascii="仿宋" w:hAnsi="仿宋" w:eastAsia="仿宋" w:cs="仿宋"/>
          <w:b/>
          <w:bCs/>
          <w:sz w:val="24"/>
          <w:szCs w:val="24"/>
        </w:rPr>
        <w:fldChar w:fldCharType="end"/>
      </w:r>
      <w:r>
        <w:rPr>
          <w:rFonts w:hint="eastAsia" w:ascii="仿宋" w:hAnsi="仿宋" w:eastAsia="仿宋" w:cs="仿宋"/>
          <w:b/>
          <w:bCs/>
          <w:sz w:val="24"/>
          <w:szCs w:val="24"/>
          <w:lang w:val="en-US" w:eastAsia="zh-CN"/>
        </w:rPr>
        <w:t>0</w:t>
      </w:r>
    </w:p>
    <w:p>
      <w:pPr>
        <w:adjustRightInd w:val="0"/>
        <w:snapToGrid w:val="0"/>
        <w:spacing w:line="360" w:lineRule="auto"/>
        <w:jc w:val="center"/>
        <w:outlineLvl w:val="9"/>
        <w:rPr>
          <w:rFonts w:hint="eastAsia" w:ascii="仿宋" w:hAnsi="仿宋" w:eastAsia="仿宋" w:cs="仿宋"/>
          <w:sz w:val="24"/>
          <w:szCs w:val="24"/>
        </w:rPr>
      </w:pPr>
      <w:r>
        <w:rPr>
          <w:rFonts w:hint="eastAsia" w:ascii="仿宋" w:hAnsi="仿宋" w:eastAsia="仿宋" w:cs="仿宋"/>
          <w:sz w:val="24"/>
          <w:szCs w:val="24"/>
        </w:rPr>
        <w:fldChar w:fldCharType="end"/>
      </w:r>
    </w:p>
    <w:p>
      <w:pPr>
        <w:adjustRightInd w:val="0"/>
        <w:snapToGrid w:val="0"/>
        <w:spacing w:line="360" w:lineRule="auto"/>
        <w:outlineLvl w:val="9"/>
        <w:rPr>
          <w:rFonts w:hint="eastAsia" w:ascii="仿宋" w:hAnsi="仿宋" w:eastAsia="仿宋" w:cs="仿宋"/>
          <w:sz w:val="24"/>
          <w:szCs w:val="24"/>
        </w:rPr>
        <w:sectPr>
          <w:footerReference r:id="rId8" w:type="default"/>
          <w:pgSz w:w="11907" w:h="16840"/>
          <w:pgMar w:top="1440" w:right="1474" w:bottom="1440" w:left="1474" w:header="851" w:footer="992" w:gutter="0"/>
          <w:pgNumType w:fmt="decimal"/>
          <w:cols w:space="720" w:num="1"/>
          <w:docGrid w:linePitch="312" w:charSpace="0"/>
        </w:sectPr>
      </w:pPr>
    </w:p>
    <w:p>
      <w:pPr>
        <w:adjustRightInd w:val="0"/>
        <w:snapToGrid w:val="0"/>
        <w:spacing w:line="360" w:lineRule="auto"/>
        <w:jc w:val="center"/>
        <w:outlineLvl w:val="0"/>
        <w:rPr>
          <w:rFonts w:hint="eastAsia" w:ascii="仿宋" w:hAnsi="仿宋" w:eastAsia="仿宋" w:cs="仿宋"/>
          <w:b/>
          <w:sz w:val="32"/>
          <w:szCs w:val="32"/>
        </w:rPr>
      </w:pPr>
      <w:bookmarkStart w:id="0" w:name="_Toc517259940"/>
      <w:bookmarkStart w:id="1" w:name="_Toc31116"/>
      <w:bookmarkStart w:id="2" w:name="_Toc521572144"/>
      <w:r>
        <w:rPr>
          <w:rFonts w:hint="eastAsia" w:ascii="仿宋" w:hAnsi="仿宋" w:eastAsia="仿宋" w:cs="仿宋"/>
          <w:b/>
          <w:sz w:val="32"/>
          <w:szCs w:val="32"/>
        </w:rPr>
        <w:t>第一章    招标邀请</w:t>
      </w:r>
      <w:bookmarkEnd w:id="0"/>
      <w:bookmarkEnd w:id="1"/>
      <w:bookmarkEnd w:id="2"/>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hint="eastAsia" w:ascii="仿宋" w:hAnsi="仿宋" w:eastAsia="仿宋" w:cs="仿宋"/>
        </w:rPr>
        <w:t xml:space="preserve">     </w:t>
      </w:r>
      <w:r>
        <w:rPr>
          <w:rFonts w:ascii="微软雅黑" w:hAnsi="微软雅黑" w:eastAsia="微软雅黑" w:cs="微软雅黑"/>
          <w:color w:val="333333"/>
        </w:rPr>
        <w:t> </w:t>
      </w:r>
      <w:bookmarkStart w:id="3" w:name="_Toc521572145"/>
      <w:bookmarkStart w:id="4" w:name="_Toc517259941"/>
      <w:r>
        <w:rPr>
          <w:rFonts w:ascii="微软雅黑" w:hAnsi="微软雅黑" w:eastAsia="微软雅黑" w:cs="微软雅黑"/>
          <w:color w:val="333333"/>
        </w:rPr>
        <w:t xml:space="preserve">吴起县林业局2021年铁边城国有林场退化林修复采购项目招标项目潜在的投标人可在吴起县财政局203室获取招标文件，并于2022-01-21 09:00:00前递交投标文件。 </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一、项目基本情况：</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1、项目编号：WZC-GKZB-2021-29</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2、项目名称：吴起县林业局2021年铁边城国有林场退化林修复采购项目</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3、预算金额：3,860,800.00元</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 xml:space="preserve">4、最高限价： 3,860,800.00元 </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 xml:space="preserve">5、采购需求： 吴起县林业局2021年铁边城国有林场退化林修复采购项目，6,600亩， 采购预算： 3,860,800.00元， 项目概况： 国有林场退化林分修复面积6600亩。， 简要技术要求、用途： 按照国有林场改革总体规划要求，我县铁边城国有林场近年来苗木退化严重，而且树种单一、结构不合理，存在林分生长不良等情况，现需进行修复改造。 </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6、合同履行期限：2022-01-21 00:00:00 至 2022-12-31 00:00:00（具体服务起止日期可随合同签订时间相应顺延）</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7、本项目是否接受联合体投标：否</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 xml:space="preserve">二、 投标人的资格要求 </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1、满足《中华人民共和国政府采购法》第二十二条规定</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2、落实政府采购政策需满足的资格要求：1）《政府采购促进中小企业发展管理办法》的通知（财库〔2020〕46号）； 2）《环境标志产品政府采购实施的意见》（财库〔2006〕90号）；3）《国务院办公厅关于建立政府强制采购节能产品制度的通知》（国办发〔2007〕51号）； 4）《财政部司法部关于政府采购支持监狱企业发展有关问题的通知》--财库〔2014〕68号；5）《节能产品政府采购实施意见》--财库[2004]185号。</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3、本项目的特定资格要求：1）供应商能够独立承担民事责任，具有合法有效的营业执照（经营范围应包含园林绿化工程施工等相关内容）；2）2018、2019、2020年度经审计的财务报告（至少包括审计报告、资产负债表和利润表，成立时间不足三年的提供成立当年起至2020年度经审计的财务报告；不足一年的可提供成立后任意时段的资产负债表）；3）税收缴纳证明：提供投标人2018年12月至2021年12月连续缴纳12个月任意税种的完税凭证或税务机关开具的完税证明(成立时间不足一年的按要求提供成立之日起至2021年12月的完税凭证或完税证明),依法免税的应提供相关证明文件;4）社保缴纳证明;提供投标人2018年12月至2021年12月连续缴纳12个月的社保证明（成立时间不足一年的按要求提供成立之日起至2021年12月的社保证明）;5）拟派项目工程师具有相关专业贰级及以上注册建造师证（含B证）；并提供本项目供应商工程师近期连续六个月社保证明等材料；6）法定代表人授权书（附法定代表人、被授权人身份证复印件）及被授权人身份证（法定代表人参加投标只需提供本人身份证）；7）参加政府采购活动前3年内，在经营活动中没有重大违法记录的书面声明；8）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提供查询截图）；9）单位负责人为同一人或者存在直接控股、管理关系的不同投标人，不得参加同一项目下的政府采购活动（提供书面承诺函）；10）受托为本采购项目整体或者其中部分项目的前期工作提供了整体设计、规范编制或者项目管理、监造、检测、采购代理服务等服务的投标人，不得参加本项目投标（提供书面承诺函）；11）本项目不接受未在本单位领取招标文件的供应商投标。</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 xml:space="preserve">三、 招标文件的获取方式 </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时间：即日起至2022-01-06 17:00:00 止</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地点：吴起县财政局203室</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方式：现场购买/邮寄</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 xml:space="preserve">售价： 免费赠送 </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注：（一）鉴于疫情防控期间，各供应商将公告第二项要求的所有供应商资格证明文件加盖防伪公章（鲜章）的复印件壹套电传经办人电子邮箱（445147001@qq.com），待经办人进行资格预审，预审合格后将电子版招标文件电传供应商邮箱，各供应商报名时必须提供电子邮箱及联系电话，原件及原件复印件加盖防伪公章（鲜章）的复印件纸质版在开标现场一并提供，所提供的复印件概不退还。 （二）投标保证金的缴纳：77000元1、保证金缴纳截止时间：2021年1月7日下午5时前；2、保证金缴纳形式：从投标单位基本账户转账，否则无效，开户名称：吴起县会计结算中心 开户银行：中国建设银行陕西省吴起县长征街支行，账户：61001686210052500500-0003。</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 xml:space="preserve">四、 投标文件递交 </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 xml:space="preserve">截止时间： 2022-01-21 09:00:00 </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 xml:space="preserve">地点：延安市公共资源交易中心交易 厅 </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五、公告期限</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自本公告发布之日起5个工作日。</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六、其他补充事宜</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 xml:space="preserve">七、对本次招标提出询问，请按以下方式联系。 </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1、采购人信息：吴起县林业局</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联系人：吴起县林业局经办</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联系地址：吴起县党校办公大楼</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联系电话：0911-7693030</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2、项目联系方式</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项目联系人：王世荣</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电 话：0911-7615663</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传 真：0911-7615663</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3、采购代理机构信息</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名称：吴起县政府采购中心</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联系地址：吴起县财政大楼</w:t>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s="微软雅黑"/>
          <w:color w:val="333333"/>
        </w:rPr>
      </w:pPr>
      <w:r>
        <w:rPr>
          <w:rFonts w:ascii="微软雅黑" w:hAnsi="微软雅黑" w:eastAsia="微软雅黑" w:cs="微软雅黑"/>
          <w:color w:val="333333"/>
        </w:rPr>
        <w:t>联系方式：</w:t>
      </w:r>
      <w:r>
        <w:rPr>
          <w:rFonts w:ascii="微软雅黑" w:hAnsi="微软雅黑" w:eastAsia="微软雅黑" w:cs="微软雅黑"/>
          <w:color w:val="333333"/>
        </w:rPr>
        <w:fldChar w:fldCharType="begin"/>
      </w:r>
      <w:r>
        <w:rPr>
          <w:rFonts w:ascii="微软雅黑" w:hAnsi="微软雅黑" w:eastAsia="微软雅黑" w:cs="微软雅黑"/>
          <w:color w:val="333333"/>
        </w:rPr>
        <w:instrText xml:space="preserve"> HYPERLINK "http://www.ccgp.gov.cn/agency/a_agencylist.html" \t "http://www.ccgp-shaanxi.gov.cn/gpex/buyprojectnotice/_blank" </w:instrText>
      </w:r>
      <w:r>
        <w:rPr>
          <w:rFonts w:ascii="微软雅黑" w:hAnsi="微软雅黑" w:eastAsia="微软雅黑" w:cs="微软雅黑"/>
          <w:color w:val="333333"/>
        </w:rPr>
        <w:fldChar w:fldCharType="separate"/>
      </w:r>
      <w:r>
        <w:rPr>
          <w:rFonts w:ascii="微软雅黑" w:hAnsi="微软雅黑" w:eastAsia="微软雅黑" w:cs="微软雅黑"/>
          <w:color w:val="333333"/>
        </w:rPr>
        <w:t>http://www.ccgp.gov.cn/agency/a_agencylist.html</w:t>
      </w:r>
      <w:r>
        <w:rPr>
          <w:rFonts w:ascii="微软雅黑" w:hAnsi="微软雅黑" w:eastAsia="微软雅黑" w:cs="微软雅黑"/>
          <w:color w:val="333333"/>
        </w:rPr>
        <w:fldChar w:fldCharType="end"/>
      </w:r>
    </w:p>
    <w:p>
      <w:pPr>
        <w:keepNext w:val="0"/>
        <w:keepLines w:val="0"/>
        <w:pageBreakBefore w:val="0"/>
        <w:widowControl w:val="0"/>
        <w:tabs>
          <w:tab w:val="left" w:pos="7488"/>
        </w:tabs>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color w:val="333333"/>
          <w:sz w:val="28"/>
          <w:szCs w:val="28"/>
        </w:rPr>
      </w:pPr>
    </w:p>
    <w:p>
      <w:pPr>
        <w:pStyle w:val="4"/>
        <w:outlineLvl w:val="9"/>
        <w:rPr>
          <w:rFonts w:hint="eastAsia"/>
        </w:rPr>
      </w:pPr>
    </w:p>
    <w:p>
      <w:pPr>
        <w:rPr>
          <w:rFonts w:hint="eastAsia"/>
        </w:rPr>
      </w:pPr>
    </w:p>
    <w:p>
      <w:pPr>
        <w:adjustRightInd w:val="0"/>
        <w:snapToGrid w:val="0"/>
        <w:spacing w:line="360" w:lineRule="auto"/>
        <w:jc w:val="center"/>
        <w:outlineLvl w:val="0"/>
        <w:rPr>
          <w:rFonts w:hint="eastAsia" w:ascii="仿宋" w:hAnsi="仿宋" w:eastAsia="仿宋" w:cs="仿宋"/>
          <w:b/>
          <w:sz w:val="32"/>
          <w:szCs w:val="32"/>
        </w:rPr>
      </w:pPr>
      <w:bookmarkStart w:id="5" w:name="_Toc5166"/>
    </w:p>
    <w:p>
      <w:pPr>
        <w:adjustRightInd w:val="0"/>
        <w:snapToGrid w:val="0"/>
        <w:spacing w:line="360" w:lineRule="auto"/>
        <w:jc w:val="center"/>
        <w:outlineLvl w:val="0"/>
        <w:rPr>
          <w:rFonts w:hint="eastAsia" w:ascii="仿宋" w:hAnsi="仿宋" w:eastAsia="仿宋" w:cs="仿宋"/>
          <w:b/>
          <w:sz w:val="32"/>
          <w:szCs w:val="32"/>
        </w:rPr>
      </w:pPr>
      <w:r>
        <w:rPr>
          <w:rFonts w:hint="eastAsia" w:ascii="仿宋" w:hAnsi="仿宋" w:eastAsia="仿宋" w:cs="仿宋"/>
          <w:b/>
          <w:sz w:val="32"/>
          <w:szCs w:val="32"/>
        </w:rPr>
        <w:t>第二章    投标人须知</w:t>
      </w:r>
      <w:bookmarkEnd w:id="3"/>
      <w:bookmarkEnd w:id="4"/>
      <w:bookmarkEnd w:id="5"/>
    </w:p>
    <w:p>
      <w:pPr>
        <w:adjustRightInd w:val="0"/>
        <w:snapToGrid w:val="0"/>
        <w:spacing w:line="360" w:lineRule="auto"/>
        <w:jc w:val="center"/>
        <w:outlineLvl w:val="9"/>
        <w:rPr>
          <w:rFonts w:hint="eastAsia" w:ascii="仿宋" w:hAnsi="仿宋" w:eastAsia="仿宋" w:cs="仿宋"/>
          <w:b/>
          <w:sz w:val="32"/>
          <w:szCs w:val="32"/>
        </w:rPr>
      </w:pPr>
    </w:p>
    <w:p>
      <w:pPr>
        <w:adjustRightInd w:val="0"/>
        <w:snapToGrid w:val="0"/>
        <w:spacing w:line="360" w:lineRule="auto"/>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一、总  则</w:t>
      </w:r>
    </w:p>
    <w:p>
      <w:pPr>
        <w:adjustRightInd w:val="0"/>
        <w:snapToGrid w:val="0"/>
        <w:spacing w:line="360" w:lineRule="auto"/>
        <w:ind w:firstLine="562" w:firstLineChars="200"/>
        <w:jc w:val="left"/>
        <w:rPr>
          <w:rFonts w:hint="eastAsia" w:ascii="仿宋" w:hAnsi="仿宋" w:eastAsia="仿宋" w:cs="仿宋"/>
          <w:b/>
          <w:sz w:val="28"/>
          <w:szCs w:val="28"/>
        </w:rPr>
      </w:pPr>
      <w:bookmarkStart w:id="6" w:name="_Toc183582205"/>
      <w:bookmarkStart w:id="7" w:name="_Toc183682342"/>
      <w:bookmarkStart w:id="8" w:name="_Toc217446034"/>
      <w:r>
        <w:rPr>
          <w:rFonts w:hint="eastAsia" w:ascii="仿宋" w:hAnsi="仿宋" w:eastAsia="仿宋" w:cs="仿宋"/>
          <w:b/>
          <w:sz w:val="28"/>
          <w:szCs w:val="28"/>
        </w:rPr>
        <w:t>1.</w:t>
      </w:r>
      <w:bookmarkEnd w:id="6"/>
      <w:bookmarkEnd w:id="7"/>
      <w:r>
        <w:rPr>
          <w:rFonts w:hint="eastAsia" w:ascii="仿宋" w:hAnsi="仿宋" w:eastAsia="仿宋" w:cs="仿宋"/>
          <w:b/>
          <w:sz w:val="28"/>
          <w:szCs w:val="28"/>
        </w:rPr>
        <w:t>适用范围</w:t>
      </w:r>
      <w:bookmarkEnd w:id="8"/>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1.1 本招标文件仅适用于本次公开招标采购项目。</w:t>
      </w:r>
    </w:p>
    <w:p>
      <w:pPr>
        <w:adjustRightInd w:val="0"/>
        <w:snapToGrid w:val="0"/>
        <w:spacing w:line="360" w:lineRule="auto"/>
        <w:ind w:firstLine="562" w:firstLineChars="200"/>
        <w:jc w:val="left"/>
        <w:rPr>
          <w:rFonts w:hint="eastAsia" w:ascii="仿宋" w:hAnsi="仿宋" w:eastAsia="仿宋" w:cs="仿宋"/>
          <w:b/>
          <w:sz w:val="28"/>
          <w:szCs w:val="28"/>
        </w:rPr>
      </w:pPr>
      <w:bookmarkStart w:id="9" w:name="_Toc183682344"/>
      <w:bookmarkStart w:id="10" w:name="_Toc217390843"/>
      <w:bookmarkStart w:id="11" w:name="_Toc217446036"/>
      <w:bookmarkStart w:id="12" w:name="_Toc183582207"/>
      <w:r>
        <w:rPr>
          <w:rFonts w:hint="eastAsia" w:ascii="仿宋" w:hAnsi="仿宋" w:eastAsia="仿宋" w:cs="仿宋"/>
          <w:b/>
          <w:sz w:val="28"/>
          <w:szCs w:val="28"/>
        </w:rPr>
        <w:t>2.释义</w:t>
      </w:r>
    </w:p>
    <w:p>
      <w:pPr>
        <w:adjustRightInd w:val="0"/>
        <w:snapToGrid w:val="0"/>
        <w:spacing w:line="360" w:lineRule="auto"/>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2.1 采   购   人：</w:t>
      </w:r>
      <w:r>
        <w:rPr>
          <w:rFonts w:hint="eastAsia" w:ascii="仿宋" w:hAnsi="仿宋" w:eastAsia="仿宋" w:cs="仿宋"/>
          <w:sz w:val="28"/>
          <w:szCs w:val="28"/>
          <w:lang w:eastAsia="zh-CN"/>
        </w:rPr>
        <w:t>吴起县林业局</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2.2 采购代理机构：吴起县政府采购中心</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2.3 监督管理部门：吴起县财政局</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2.4 投 标 人:符合《中华人民共和国政府采购法》第二十二条的规定和招标公告中规定的供应商资格要求，从采购代理机构领取招标文件，并自愿参加投标活动的供应商。</w:t>
      </w:r>
    </w:p>
    <w:bookmarkEnd w:id="9"/>
    <w:bookmarkEnd w:id="10"/>
    <w:bookmarkEnd w:id="11"/>
    <w:bookmarkEnd w:id="12"/>
    <w:p>
      <w:pPr>
        <w:adjustRightInd w:val="0"/>
        <w:snapToGrid w:val="0"/>
        <w:spacing w:line="360" w:lineRule="auto"/>
        <w:ind w:firstLine="562" w:firstLineChars="200"/>
        <w:jc w:val="left"/>
        <w:rPr>
          <w:rFonts w:hint="eastAsia" w:ascii="仿宋" w:hAnsi="仿宋" w:eastAsia="仿宋" w:cs="仿宋"/>
          <w:b/>
          <w:sz w:val="28"/>
          <w:szCs w:val="28"/>
        </w:rPr>
      </w:pPr>
      <w:bookmarkStart w:id="13" w:name="_Toc183682345"/>
      <w:bookmarkStart w:id="14" w:name="_Toc217446037"/>
      <w:bookmarkStart w:id="15" w:name="_Toc183582208"/>
      <w:r>
        <w:rPr>
          <w:rFonts w:hint="eastAsia" w:ascii="仿宋" w:hAnsi="仿宋" w:eastAsia="仿宋" w:cs="仿宋"/>
          <w:b/>
          <w:sz w:val="28"/>
          <w:szCs w:val="28"/>
        </w:rPr>
        <w:t>3. 投标费用</w:t>
      </w:r>
      <w:bookmarkEnd w:id="13"/>
      <w:bookmarkEnd w:id="14"/>
      <w:bookmarkEnd w:id="15"/>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投标人参加投标的有关费用由投标人自行承担。</w:t>
      </w:r>
    </w:p>
    <w:p>
      <w:pPr>
        <w:adjustRightInd w:val="0"/>
        <w:snapToGrid w:val="0"/>
        <w:spacing w:line="360" w:lineRule="auto"/>
        <w:ind w:firstLine="562" w:firstLineChars="200"/>
        <w:jc w:val="left"/>
        <w:rPr>
          <w:rFonts w:hint="eastAsia" w:ascii="仿宋" w:hAnsi="仿宋" w:eastAsia="仿宋" w:cs="仿宋"/>
          <w:b/>
          <w:sz w:val="28"/>
          <w:szCs w:val="28"/>
        </w:rPr>
      </w:pPr>
      <w:bookmarkStart w:id="16" w:name="_Toc217446046"/>
      <w:r>
        <w:rPr>
          <w:rFonts w:hint="eastAsia" w:ascii="仿宋" w:hAnsi="仿宋" w:eastAsia="仿宋" w:cs="仿宋"/>
          <w:b/>
          <w:sz w:val="28"/>
          <w:szCs w:val="28"/>
          <w:lang w:val="en-US" w:eastAsia="zh-CN"/>
        </w:rPr>
        <w:t>4</w:t>
      </w:r>
      <w:r>
        <w:rPr>
          <w:rFonts w:hint="eastAsia" w:ascii="仿宋" w:hAnsi="仿宋" w:eastAsia="仿宋" w:cs="仿宋"/>
          <w:b/>
          <w:sz w:val="28"/>
          <w:szCs w:val="28"/>
        </w:rPr>
        <w:t>．联合体投标</w:t>
      </w:r>
      <w:bookmarkEnd w:id="16"/>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本次政府采购活动不接受联合体投标。</w:t>
      </w:r>
    </w:p>
    <w:p>
      <w:pPr>
        <w:adjustRightInd w:val="0"/>
        <w:snapToGrid w:val="0"/>
        <w:spacing w:line="360" w:lineRule="auto"/>
        <w:ind w:firstLine="562" w:firstLineChars="200"/>
        <w:jc w:val="left"/>
        <w:rPr>
          <w:rFonts w:hint="eastAsia" w:ascii="仿宋" w:hAnsi="仿宋" w:eastAsia="仿宋" w:cs="仿宋"/>
          <w:b/>
          <w:sz w:val="28"/>
          <w:szCs w:val="28"/>
        </w:rPr>
      </w:pPr>
      <w:bookmarkStart w:id="17" w:name="_Toc183582209"/>
      <w:bookmarkStart w:id="18" w:name="_Toc89075875"/>
      <w:bookmarkStart w:id="19" w:name="_Toc217446038"/>
      <w:bookmarkStart w:id="20" w:name="_Toc77400779"/>
      <w:bookmarkStart w:id="21" w:name="_Toc183682346"/>
      <w:r>
        <w:rPr>
          <w:rFonts w:hint="eastAsia" w:ascii="仿宋" w:hAnsi="仿宋" w:eastAsia="仿宋" w:cs="仿宋"/>
          <w:b/>
          <w:sz w:val="28"/>
          <w:szCs w:val="28"/>
        </w:rPr>
        <w:t>二、招标文件</w:t>
      </w:r>
      <w:bookmarkEnd w:id="17"/>
      <w:bookmarkEnd w:id="18"/>
      <w:bookmarkEnd w:id="19"/>
      <w:bookmarkEnd w:id="20"/>
      <w:bookmarkEnd w:id="21"/>
    </w:p>
    <w:p>
      <w:pPr>
        <w:adjustRightInd w:val="0"/>
        <w:snapToGrid w:val="0"/>
        <w:spacing w:line="360" w:lineRule="auto"/>
        <w:ind w:firstLine="562" w:firstLineChars="200"/>
        <w:jc w:val="left"/>
        <w:rPr>
          <w:rFonts w:hint="eastAsia" w:ascii="仿宋" w:hAnsi="仿宋" w:eastAsia="仿宋" w:cs="仿宋"/>
          <w:b/>
          <w:sz w:val="28"/>
          <w:szCs w:val="28"/>
        </w:rPr>
      </w:pPr>
      <w:bookmarkStart w:id="22" w:name="_Toc183682347"/>
      <w:bookmarkStart w:id="23" w:name="_Toc217446039"/>
      <w:bookmarkStart w:id="24" w:name="_Toc183582210"/>
      <w:r>
        <w:rPr>
          <w:rFonts w:hint="eastAsia" w:ascii="仿宋" w:hAnsi="仿宋" w:eastAsia="仿宋" w:cs="仿宋"/>
          <w:b/>
          <w:sz w:val="28"/>
          <w:szCs w:val="28"/>
        </w:rPr>
        <w:t>6．招标文件的构成</w:t>
      </w:r>
      <w:bookmarkEnd w:id="22"/>
      <w:bookmarkEnd w:id="23"/>
      <w:bookmarkEnd w:id="24"/>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6.1 招标文件由本文件目录所列第一章至第七章构成。</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6.2 招标文件各章内容对投标事宜提出明确要求，投标人须仔细阅读和正确理解。因投标人在阅读、理解招标文件方面产生疏漏和误解，而导致投标不利后果的或者被废标的，其责任由投标人自负。</w:t>
      </w:r>
    </w:p>
    <w:p>
      <w:pPr>
        <w:adjustRightInd w:val="0"/>
        <w:snapToGrid w:val="0"/>
        <w:spacing w:line="360" w:lineRule="auto"/>
        <w:ind w:firstLine="562" w:firstLineChars="200"/>
        <w:jc w:val="left"/>
        <w:rPr>
          <w:rFonts w:hint="eastAsia" w:ascii="仿宋" w:hAnsi="仿宋" w:eastAsia="仿宋" w:cs="仿宋"/>
          <w:b/>
          <w:sz w:val="28"/>
          <w:szCs w:val="28"/>
        </w:rPr>
      </w:pPr>
      <w:bookmarkStart w:id="25" w:name="_Toc183582211"/>
      <w:bookmarkStart w:id="26" w:name="_Toc217446040"/>
      <w:bookmarkStart w:id="27" w:name="_Toc183682348"/>
      <w:r>
        <w:rPr>
          <w:rFonts w:hint="eastAsia" w:ascii="仿宋" w:hAnsi="仿宋" w:eastAsia="仿宋" w:cs="仿宋"/>
          <w:b/>
          <w:sz w:val="28"/>
          <w:szCs w:val="28"/>
        </w:rPr>
        <w:t xml:space="preserve">7. </w:t>
      </w:r>
      <w:bookmarkEnd w:id="25"/>
      <w:bookmarkEnd w:id="26"/>
      <w:bookmarkEnd w:id="27"/>
      <w:r>
        <w:rPr>
          <w:rFonts w:hint="eastAsia" w:ascii="仿宋" w:hAnsi="仿宋" w:eastAsia="仿宋" w:cs="仿宋"/>
          <w:b/>
          <w:sz w:val="28"/>
          <w:szCs w:val="28"/>
        </w:rPr>
        <w:t>招标文件的修改、澄清或补正</w:t>
      </w:r>
    </w:p>
    <w:p>
      <w:pPr>
        <w:adjustRightInd w:val="0"/>
        <w:snapToGrid w:val="0"/>
        <w:spacing w:line="360" w:lineRule="auto"/>
        <w:ind w:firstLine="560" w:firstLineChars="200"/>
        <w:jc w:val="left"/>
        <w:rPr>
          <w:rFonts w:hint="eastAsia" w:ascii="仿宋" w:hAnsi="仿宋" w:eastAsia="仿宋" w:cs="仿宋"/>
          <w:sz w:val="28"/>
          <w:szCs w:val="28"/>
        </w:rPr>
      </w:pPr>
      <w:bookmarkStart w:id="28" w:name="_Toc217446041"/>
      <w:bookmarkStart w:id="29" w:name="_Toc208848971"/>
      <w:r>
        <w:rPr>
          <w:rFonts w:hint="eastAsia" w:ascii="仿宋" w:hAnsi="仿宋" w:eastAsia="仿宋" w:cs="仿宋"/>
          <w:sz w:val="28"/>
          <w:szCs w:val="28"/>
        </w:rPr>
        <w:t>7.1 在投标截止时间前，采购代理机构无论出于何种原因，可以对招标文件进行澄清、修改或补正。</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7.2 采购代理机构可对已发出的招标文件进行修改、澄清或补正，若修改、澄清或补正的内容可能影响投标文件编制，采购代理机构应当在投标截止时间至少十五日前，以书面形式通知所有招标文件领取人，该修改、澄清或补正的内容作为招标文件的组成部分。</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7.3 投标人要求对招标文件进行澄清的，必须在投标截止时间十日前一次性提出需澄清的问题，以书面形式送达采购代理机构；采购代理机构在投标截止时间七日前以书面形式予以答复；必要时将书面答复传送给所有招标文件领取人。</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 xml:space="preserve">7.4 采购代理机构可以视采购具体情况，延长投标截止时间和开标时间，并将变更时间通知所有招标文件领取人。 </w:t>
      </w:r>
    </w:p>
    <w:p>
      <w:pPr>
        <w:adjustRightInd w:val="0"/>
        <w:snapToGrid w:val="0"/>
        <w:spacing w:line="360" w:lineRule="auto"/>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u w:val="single"/>
        </w:rPr>
        <w:t>8.投标人不得擅自转让、变卖或复制招标文件进行投标。</w:t>
      </w:r>
    </w:p>
    <w:p>
      <w:pPr>
        <w:adjustRightInd w:val="0"/>
        <w:snapToGrid w:val="0"/>
        <w:spacing w:line="360" w:lineRule="auto"/>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u w:val="single"/>
        </w:rPr>
        <w:t>9.招标文件的解释权归采购代理机构。</w:t>
      </w:r>
    </w:p>
    <w:bookmarkEnd w:id="28"/>
    <w:bookmarkEnd w:id="29"/>
    <w:p>
      <w:pPr>
        <w:adjustRightInd w:val="0"/>
        <w:snapToGrid w:val="0"/>
        <w:spacing w:line="360" w:lineRule="auto"/>
        <w:ind w:firstLine="562" w:firstLineChars="200"/>
        <w:jc w:val="left"/>
        <w:rPr>
          <w:rFonts w:hint="eastAsia" w:ascii="仿宋" w:hAnsi="仿宋" w:eastAsia="仿宋" w:cs="仿宋"/>
          <w:b/>
          <w:sz w:val="28"/>
          <w:szCs w:val="28"/>
        </w:rPr>
      </w:pPr>
      <w:bookmarkStart w:id="30" w:name="_Toc89075876"/>
      <w:bookmarkStart w:id="31" w:name="_Toc183582214"/>
      <w:bookmarkStart w:id="32" w:name="_Toc183682351"/>
      <w:bookmarkStart w:id="33" w:name="_Toc217446042"/>
      <w:bookmarkStart w:id="34" w:name="_Toc77400780"/>
      <w:r>
        <w:rPr>
          <w:rFonts w:hint="eastAsia" w:ascii="仿宋" w:hAnsi="仿宋" w:eastAsia="仿宋" w:cs="仿宋"/>
          <w:b/>
          <w:sz w:val="28"/>
          <w:szCs w:val="28"/>
        </w:rPr>
        <w:t>三、投标文件</w:t>
      </w:r>
      <w:bookmarkEnd w:id="30"/>
      <w:bookmarkEnd w:id="31"/>
      <w:bookmarkEnd w:id="32"/>
      <w:bookmarkEnd w:id="33"/>
      <w:bookmarkEnd w:id="34"/>
    </w:p>
    <w:p>
      <w:pPr>
        <w:adjustRightInd w:val="0"/>
        <w:snapToGrid w:val="0"/>
        <w:spacing w:line="360" w:lineRule="auto"/>
        <w:ind w:firstLine="562" w:firstLineChars="200"/>
        <w:jc w:val="left"/>
        <w:rPr>
          <w:rFonts w:hint="eastAsia" w:ascii="仿宋" w:hAnsi="仿宋" w:eastAsia="仿宋" w:cs="仿宋"/>
          <w:b/>
          <w:sz w:val="28"/>
          <w:szCs w:val="28"/>
        </w:rPr>
      </w:pPr>
      <w:bookmarkStart w:id="35" w:name="_Toc183682352"/>
      <w:bookmarkStart w:id="36" w:name="_Toc183582215"/>
      <w:bookmarkStart w:id="37" w:name="_Toc217446043"/>
      <w:r>
        <w:rPr>
          <w:rFonts w:hint="eastAsia" w:ascii="仿宋" w:hAnsi="仿宋" w:eastAsia="仿宋" w:cs="仿宋"/>
          <w:b/>
          <w:sz w:val="28"/>
          <w:szCs w:val="28"/>
        </w:rPr>
        <w:t>10．投标文件的语言</w:t>
      </w:r>
      <w:bookmarkEnd w:id="35"/>
      <w:bookmarkEnd w:id="36"/>
      <w:bookmarkEnd w:id="37"/>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10.1 投标人提交的投标文件以须使用中文。投标文件中如附有外文资料，必须逐一对应翻译成中文并加盖投标人单位公章后附在相关外文资料后面，否则视为无效投标。</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10.2 翻译的中文资料与外文资料如果出现差异和矛盾时，以中文为准。但不能故意错误翻译，否则视为无效投标。</w:t>
      </w:r>
    </w:p>
    <w:p>
      <w:pPr>
        <w:adjustRightInd w:val="0"/>
        <w:snapToGrid w:val="0"/>
        <w:spacing w:line="360" w:lineRule="auto"/>
        <w:ind w:firstLine="562" w:firstLineChars="200"/>
        <w:jc w:val="left"/>
        <w:rPr>
          <w:rFonts w:hint="eastAsia" w:ascii="仿宋" w:hAnsi="仿宋" w:eastAsia="仿宋" w:cs="仿宋"/>
          <w:b/>
          <w:sz w:val="28"/>
          <w:szCs w:val="28"/>
        </w:rPr>
      </w:pPr>
      <w:bookmarkStart w:id="38" w:name="_Toc183682353"/>
      <w:bookmarkStart w:id="39" w:name="_Toc183582216"/>
      <w:bookmarkStart w:id="40" w:name="_Toc217446044"/>
      <w:r>
        <w:rPr>
          <w:rFonts w:hint="eastAsia" w:ascii="仿宋" w:hAnsi="仿宋" w:eastAsia="仿宋" w:cs="仿宋"/>
          <w:b/>
          <w:sz w:val="28"/>
          <w:szCs w:val="28"/>
        </w:rPr>
        <w:t>11．计量单位</w:t>
      </w:r>
      <w:bookmarkEnd w:id="38"/>
      <w:bookmarkEnd w:id="39"/>
      <w:bookmarkEnd w:id="40"/>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除技术规格及要求中另有规定外，本采购项下的投标均采用国家法定的计量单位。</w:t>
      </w:r>
    </w:p>
    <w:p>
      <w:pPr>
        <w:adjustRightInd w:val="0"/>
        <w:snapToGrid w:val="0"/>
        <w:spacing w:line="360" w:lineRule="auto"/>
        <w:ind w:firstLine="562" w:firstLineChars="200"/>
        <w:jc w:val="left"/>
        <w:rPr>
          <w:rFonts w:hint="eastAsia" w:ascii="仿宋" w:hAnsi="仿宋" w:eastAsia="仿宋" w:cs="仿宋"/>
          <w:b/>
          <w:sz w:val="28"/>
          <w:szCs w:val="28"/>
        </w:rPr>
      </w:pPr>
      <w:bookmarkStart w:id="41" w:name="_Toc183582218"/>
      <w:bookmarkStart w:id="42" w:name="_Toc217446049"/>
      <w:bookmarkStart w:id="43" w:name="_Toc183682355"/>
      <w:r>
        <w:rPr>
          <w:rFonts w:hint="eastAsia" w:ascii="仿宋" w:hAnsi="仿宋" w:eastAsia="仿宋" w:cs="仿宋"/>
          <w:b/>
          <w:sz w:val="28"/>
          <w:szCs w:val="28"/>
        </w:rPr>
        <w:t>12．投标文件格式</w:t>
      </w:r>
      <w:bookmarkEnd w:id="41"/>
      <w:bookmarkEnd w:id="42"/>
      <w:bookmarkEnd w:id="43"/>
      <w:r>
        <w:rPr>
          <w:rFonts w:hint="eastAsia" w:ascii="仿宋" w:hAnsi="仿宋" w:eastAsia="仿宋" w:cs="仿宋"/>
          <w:b/>
          <w:sz w:val="28"/>
          <w:szCs w:val="28"/>
        </w:rPr>
        <w:t>及构成</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12.1 投标人应严格按照招标文件第七章中提供的“投标文件格式及构成”填写相关内容。除明确允许投标人可以自行编写的外，投标人不得以“投标文件格式”规定之外的方式填写相关内容。</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12.2 对于没有格式要求的投标文件由投标人自行编写。</w:t>
      </w:r>
    </w:p>
    <w:p>
      <w:pPr>
        <w:adjustRightInd w:val="0"/>
        <w:snapToGrid w:val="0"/>
        <w:spacing w:line="360" w:lineRule="auto"/>
        <w:ind w:firstLine="562" w:firstLineChars="200"/>
        <w:jc w:val="left"/>
        <w:rPr>
          <w:rFonts w:hint="eastAsia" w:ascii="仿宋" w:hAnsi="仿宋" w:eastAsia="仿宋" w:cs="仿宋"/>
          <w:sz w:val="28"/>
          <w:szCs w:val="28"/>
        </w:rPr>
      </w:pPr>
      <w:r>
        <w:rPr>
          <w:rFonts w:hint="eastAsia" w:ascii="仿宋" w:hAnsi="仿宋" w:eastAsia="仿宋" w:cs="仿宋"/>
          <w:b/>
          <w:bCs/>
          <w:sz w:val="28"/>
          <w:szCs w:val="28"/>
        </w:rPr>
        <w:t>13.招标文件中未要求提供备选方案的，投标人只能提交唯一的投标方案，否则其投标无效。</w:t>
      </w:r>
    </w:p>
    <w:p>
      <w:pPr>
        <w:autoSpaceDE w:val="0"/>
        <w:autoSpaceDN w:val="0"/>
        <w:adjustRightInd w:val="0"/>
        <w:snapToGrid w:val="0"/>
        <w:spacing w:line="360" w:lineRule="auto"/>
        <w:ind w:firstLine="562" w:firstLineChars="200"/>
        <w:rPr>
          <w:rFonts w:hint="eastAsia" w:ascii="仿宋" w:hAnsi="仿宋" w:eastAsia="仿宋" w:cs="仿宋"/>
          <w:b/>
          <w:sz w:val="28"/>
          <w:szCs w:val="28"/>
          <w:lang w:val="zh-CN"/>
        </w:rPr>
      </w:pPr>
      <w:r>
        <w:rPr>
          <w:rFonts w:hint="eastAsia" w:ascii="仿宋" w:hAnsi="仿宋" w:eastAsia="仿宋" w:cs="仿宋"/>
          <w:b/>
          <w:sz w:val="28"/>
          <w:szCs w:val="28"/>
        </w:rPr>
        <w:t>14</w:t>
      </w:r>
      <w:r>
        <w:rPr>
          <w:rFonts w:hint="eastAsia" w:ascii="仿宋" w:hAnsi="仿宋" w:eastAsia="仿宋" w:cs="仿宋"/>
          <w:b/>
          <w:sz w:val="28"/>
          <w:szCs w:val="28"/>
          <w:lang w:val="zh-CN"/>
        </w:rPr>
        <w:t>．投标报价</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zh-CN"/>
        </w:rPr>
        <w:t>14.1 投标人应按照招标文件规定的货物和服务要求，责任范围和合同条件进行报价，在投标文件中的开标一览表（报价表）上按要求标明投标总价、服务期（交货期、工期）等项，</w:t>
      </w:r>
      <w:r>
        <w:rPr>
          <w:rFonts w:hint="eastAsia" w:ascii="仿宋" w:hAnsi="仿宋" w:eastAsia="仿宋" w:cs="仿宋"/>
          <w:bCs/>
          <w:sz w:val="28"/>
          <w:szCs w:val="28"/>
        </w:rPr>
        <w:t>投标报价只能提交唯一，</w:t>
      </w:r>
      <w:r>
        <w:rPr>
          <w:rFonts w:hint="eastAsia" w:ascii="仿宋" w:hAnsi="仿宋" w:eastAsia="仿宋" w:cs="仿宋"/>
          <w:sz w:val="28"/>
          <w:szCs w:val="28"/>
          <w:lang w:val="zh-CN"/>
        </w:rPr>
        <w:t>任何有选择的报价采购代理机构不予接受。</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14.2 投标报价是完成招标内容所需的全部费用，包括设备费、运杂费、</w:t>
      </w:r>
      <w:r>
        <w:rPr>
          <w:rFonts w:hint="eastAsia" w:ascii="仿宋" w:hAnsi="仿宋" w:eastAsia="仿宋" w:cs="仿宋"/>
          <w:sz w:val="28"/>
          <w:szCs w:val="28"/>
          <w:lang w:eastAsia="zh-CN"/>
        </w:rPr>
        <w:t>施工</w:t>
      </w:r>
      <w:r>
        <w:rPr>
          <w:rFonts w:hint="eastAsia" w:ascii="仿宋" w:hAnsi="仿宋" w:eastAsia="仿宋" w:cs="仿宋"/>
          <w:sz w:val="28"/>
          <w:szCs w:val="28"/>
        </w:rPr>
        <w:t>费及其它相关的费用。</w:t>
      </w:r>
    </w:p>
    <w:p>
      <w:pPr>
        <w:adjustRightInd w:val="0"/>
        <w:snapToGrid w:val="0"/>
        <w:spacing w:line="360" w:lineRule="auto"/>
        <w:ind w:firstLine="560" w:firstLineChars="200"/>
        <w:jc w:val="left"/>
        <w:rPr>
          <w:rFonts w:hint="eastAsia" w:ascii="仿宋" w:hAnsi="仿宋" w:eastAsia="仿宋" w:cs="仿宋"/>
          <w:color w:val="FF0000"/>
          <w:sz w:val="28"/>
          <w:szCs w:val="28"/>
        </w:rPr>
      </w:pPr>
      <w:r>
        <w:rPr>
          <w:rFonts w:hint="eastAsia" w:ascii="仿宋" w:hAnsi="仿宋" w:eastAsia="仿宋" w:cs="仿宋"/>
          <w:color w:val="FF0000"/>
          <w:sz w:val="28"/>
          <w:szCs w:val="28"/>
        </w:rPr>
        <w:t>14.3 本次招标项目的投标均以人民币报价。</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14.4 </w:t>
      </w:r>
      <w:r>
        <w:rPr>
          <w:rFonts w:hint="eastAsia" w:ascii="仿宋" w:hAnsi="仿宋" w:eastAsia="仿宋" w:cs="仿宋"/>
          <w:sz w:val="28"/>
          <w:szCs w:val="28"/>
          <w:lang w:val="zh-CN"/>
        </w:rPr>
        <w:t>开标一览表中标明的价格为合同最终价格，在合同执行过程中，不得以任何理由变更。</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14.5 </w:t>
      </w:r>
      <w:r>
        <w:rPr>
          <w:rFonts w:hint="eastAsia" w:ascii="仿宋" w:hAnsi="仿宋" w:eastAsia="仿宋" w:cs="仿宋"/>
          <w:sz w:val="28"/>
          <w:szCs w:val="28"/>
          <w:lang w:val="zh-CN"/>
        </w:rPr>
        <w:t>凡因投标人对招标文件阅读不深、理解不透、误解、疏漏、或因市场行情了解不清造成的后果和风险均由投标人自行负责。</w:t>
      </w:r>
    </w:p>
    <w:p>
      <w:pPr>
        <w:adjustRightInd w:val="0"/>
        <w:snapToGrid w:val="0"/>
        <w:spacing w:line="360" w:lineRule="auto"/>
        <w:ind w:firstLine="562" w:firstLineChars="200"/>
        <w:jc w:val="left"/>
        <w:rPr>
          <w:rFonts w:hint="eastAsia" w:ascii="仿宋" w:hAnsi="仿宋" w:eastAsia="仿宋" w:cs="仿宋"/>
          <w:b/>
          <w:sz w:val="28"/>
          <w:szCs w:val="28"/>
        </w:rPr>
      </w:pPr>
      <w:bookmarkStart w:id="44" w:name="_Toc217446050"/>
      <w:bookmarkStart w:id="45" w:name="_Toc183682360"/>
      <w:bookmarkStart w:id="46" w:name="_Toc183582223"/>
      <w:r>
        <w:rPr>
          <w:rFonts w:hint="eastAsia" w:ascii="仿宋" w:hAnsi="仿宋" w:eastAsia="仿宋" w:cs="仿宋"/>
          <w:b/>
          <w:sz w:val="28"/>
          <w:szCs w:val="28"/>
        </w:rPr>
        <w:t>15．投标保证金</w:t>
      </w:r>
      <w:bookmarkEnd w:id="44"/>
      <w:bookmarkEnd w:id="45"/>
      <w:bookmarkEnd w:id="46"/>
    </w:p>
    <w:p>
      <w:pPr>
        <w:snapToGrid w:val="0"/>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rPr>
        <w:t>投标人</w:t>
      </w:r>
      <w:r>
        <w:rPr>
          <w:rFonts w:hint="eastAsia" w:ascii="仿宋" w:hAnsi="仿宋" w:eastAsia="仿宋" w:cs="仿宋"/>
          <w:sz w:val="28"/>
          <w:szCs w:val="28"/>
        </w:rPr>
        <w:t>须向采购代理机构</w:t>
      </w:r>
      <w:r>
        <w:rPr>
          <w:rFonts w:hint="eastAsia" w:ascii="仿宋" w:hAnsi="仿宋" w:eastAsia="仿宋" w:cs="仿宋"/>
          <w:bCs/>
          <w:sz w:val="28"/>
          <w:szCs w:val="28"/>
        </w:rPr>
        <w:t>交纳</w:t>
      </w:r>
      <w:r>
        <w:rPr>
          <w:rFonts w:hint="eastAsia" w:ascii="仿宋" w:hAnsi="仿宋" w:eastAsia="仿宋" w:cs="仿宋"/>
          <w:sz w:val="28"/>
          <w:szCs w:val="28"/>
        </w:rPr>
        <w:t>人民币</w:t>
      </w:r>
      <w:r>
        <w:rPr>
          <w:rFonts w:hint="eastAsia" w:ascii="仿宋" w:hAnsi="仿宋" w:eastAsia="仿宋" w:cs="仿宋"/>
          <w:sz w:val="28"/>
          <w:szCs w:val="28"/>
          <w:lang w:eastAsia="zh-CN"/>
        </w:rPr>
        <w:t>壹拾陆</w:t>
      </w:r>
      <w:r>
        <w:rPr>
          <w:rFonts w:hint="eastAsia" w:ascii="仿宋" w:hAnsi="仿宋" w:eastAsia="仿宋" w:cs="仿宋"/>
          <w:sz w:val="28"/>
          <w:szCs w:val="28"/>
        </w:rPr>
        <w:t>万元整（￥</w:t>
      </w:r>
      <w:r>
        <w:rPr>
          <w:rFonts w:hint="eastAsia" w:ascii="仿宋" w:hAnsi="仿宋" w:eastAsia="仿宋" w:cs="仿宋"/>
          <w:sz w:val="28"/>
          <w:szCs w:val="28"/>
          <w:lang w:val="en-US" w:eastAsia="zh-CN"/>
        </w:rPr>
        <w:t>77</w:t>
      </w:r>
      <w:r>
        <w:rPr>
          <w:rFonts w:hint="eastAsia" w:ascii="仿宋" w:hAnsi="仿宋" w:eastAsia="仿宋" w:cs="仿宋"/>
          <w:sz w:val="28"/>
          <w:szCs w:val="28"/>
        </w:rPr>
        <w:t>000）的投标保证金，保证金交纳截止时间：202</w:t>
      </w:r>
      <w:r>
        <w:rPr>
          <w:rFonts w:hint="eastAsia" w:ascii="仿宋" w:hAnsi="仿宋" w:eastAsia="仿宋" w:cs="仿宋"/>
          <w:sz w:val="28"/>
          <w:szCs w:val="28"/>
          <w:lang w:val="en-US" w:eastAsia="zh-CN"/>
        </w:rPr>
        <w:t>2</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w:t>
      </w:r>
      <w:r>
        <w:rPr>
          <w:rFonts w:hint="eastAsia" w:ascii="仿宋" w:hAnsi="仿宋" w:eastAsia="仿宋" w:cs="仿宋"/>
          <w:sz w:val="28"/>
          <w:szCs w:val="28"/>
          <w:lang w:val="en-US" w:eastAsia="zh-CN"/>
        </w:rPr>
        <w:t>7</w:t>
      </w:r>
      <w:r>
        <w:rPr>
          <w:rFonts w:hint="eastAsia" w:ascii="仿宋" w:hAnsi="仿宋" w:eastAsia="仿宋" w:cs="仿宋"/>
          <w:sz w:val="28"/>
          <w:szCs w:val="28"/>
        </w:rPr>
        <w:t>日下午5时前。</w:t>
      </w:r>
    </w:p>
    <w:p>
      <w:pPr>
        <w:tabs>
          <w:tab w:val="left" w:pos="0"/>
          <w:tab w:val="left" w:pos="540"/>
        </w:tabs>
        <w:kinsoku w:val="0"/>
        <w:autoSpaceDE w:val="0"/>
        <w:autoSpaceDN w:val="0"/>
        <w:adjustRightInd w:val="0"/>
        <w:snapToGrid w:val="0"/>
        <w:spacing w:line="360" w:lineRule="auto"/>
        <w:ind w:firstLine="560" w:firstLineChars="200"/>
        <w:jc w:val="left"/>
        <w:rPr>
          <w:rFonts w:hint="eastAsia" w:ascii="仿宋" w:hAnsi="仿宋" w:eastAsia="仿宋" w:cs="仿宋"/>
          <w:bCs/>
          <w:kern w:val="0"/>
          <w:sz w:val="28"/>
          <w:szCs w:val="28"/>
        </w:rPr>
      </w:pPr>
      <w:r>
        <w:rPr>
          <w:rFonts w:hint="eastAsia" w:ascii="仿宋" w:hAnsi="仿宋" w:eastAsia="仿宋" w:cs="仿宋"/>
          <w:bCs/>
          <w:kern w:val="0"/>
          <w:sz w:val="28"/>
          <w:szCs w:val="28"/>
        </w:rPr>
        <w:t>15.1 投标保证金交纳账号</w:t>
      </w:r>
    </w:p>
    <w:p>
      <w:pPr>
        <w:tabs>
          <w:tab w:val="left" w:pos="0"/>
          <w:tab w:val="left" w:pos="540"/>
        </w:tabs>
        <w:kinsoku w:val="0"/>
        <w:autoSpaceDE w:val="0"/>
        <w:autoSpaceDN w:val="0"/>
        <w:adjustRightInd w:val="0"/>
        <w:snapToGrid w:val="0"/>
        <w:spacing w:line="360" w:lineRule="auto"/>
        <w:ind w:firstLine="560" w:firstLineChars="200"/>
        <w:jc w:val="left"/>
        <w:rPr>
          <w:rFonts w:hint="eastAsia" w:ascii="仿宋" w:hAnsi="仿宋" w:eastAsia="仿宋" w:cs="仿宋"/>
          <w:kern w:val="0"/>
          <w:sz w:val="28"/>
          <w:szCs w:val="28"/>
        </w:rPr>
      </w:pPr>
      <w:r>
        <w:rPr>
          <w:rFonts w:hint="eastAsia" w:ascii="仿宋" w:hAnsi="仿宋" w:eastAsia="仿宋" w:cs="仿宋"/>
          <w:kern w:val="0"/>
          <w:sz w:val="28"/>
          <w:szCs w:val="28"/>
        </w:rPr>
        <w:t>汇入单位名称：吴起县会计结算中心</w:t>
      </w:r>
    </w:p>
    <w:p>
      <w:pPr>
        <w:tabs>
          <w:tab w:val="left" w:pos="0"/>
          <w:tab w:val="left" w:pos="540"/>
        </w:tabs>
        <w:kinsoku w:val="0"/>
        <w:autoSpaceDE w:val="0"/>
        <w:autoSpaceDN w:val="0"/>
        <w:adjustRightInd w:val="0"/>
        <w:snapToGrid w:val="0"/>
        <w:spacing w:line="360" w:lineRule="auto"/>
        <w:ind w:firstLine="560" w:firstLineChars="200"/>
        <w:jc w:val="left"/>
        <w:rPr>
          <w:rFonts w:hint="eastAsia" w:ascii="仿宋" w:hAnsi="仿宋" w:eastAsia="仿宋" w:cs="仿宋"/>
          <w:kern w:val="0"/>
          <w:sz w:val="28"/>
          <w:szCs w:val="28"/>
        </w:rPr>
      </w:pPr>
      <w:r>
        <w:rPr>
          <w:rFonts w:hint="eastAsia" w:ascii="仿宋" w:hAnsi="仿宋" w:eastAsia="仿宋" w:cs="仿宋"/>
          <w:kern w:val="0"/>
          <w:sz w:val="28"/>
          <w:szCs w:val="28"/>
        </w:rPr>
        <w:t>开户行名称：中国建设银行陕西省吴起县长征街支行</w:t>
      </w:r>
    </w:p>
    <w:p>
      <w:pPr>
        <w:tabs>
          <w:tab w:val="left" w:pos="0"/>
          <w:tab w:val="left" w:pos="540"/>
        </w:tabs>
        <w:kinsoku w:val="0"/>
        <w:autoSpaceDE w:val="0"/>
        <w:autoSpaceDN w:val="0"/>
        <w:adjustRightInd w:val="0"/>
        <w:snapToGrid w:val="0"/>
        <w:spacing w:line="360" w:lineRule="auto"/>
        <w:ind w:firstLine="560" w:firstLineChars="200"/>
        <w:jc w:val="left"/>
        <w:rPr>
          <w:rFonts w:hint="eastAsia" w:ascii="仿宋" w:hAnsi="仿宋" w:eastAsia="仿宋" w:cs="仿宋"/>
          <w:kern w:val="0"/>
          <w:sz w:val="28"/>
          <w:szCs w:val="28"/>
        </w:rPr>
      </w:pPr>
      <w:r>
        <w:rPr>
          <w:rFonts w:hint="eastAsia" w:ascii="仿宋" w:hAnsi="仿宋" w:eastAsia="仿宋" w:cs="仿宋"/>
          <w:kern w:val="0"/>
          <w:sz w:val="28"/>
          <w:szCs w:val="28"/>
        </w:rPr>
        <w:t>开户行行号：105804700011</w:t>
      </w:r>
    </w:p>
    <w:p>
      <w:pPr>
        <w:tabs>
          <w:tab w:val="left" w:pos="0"/>
          <w:tab w:val="left" w:pos="540"/>
        </w:tabs>
        <w:kinsoku w:val="0"/>
        <w:autoSpaceDE w:val="0"/>
        <w:autoSpaceDN w:val="0"/>
        <w:adjustRightInd w:val="0"/>
        <w:snapToGrid w:val="0"/>
        <w:spacing w:line="360" w:lineRule="auto"/>
        <w:ind w:firstLine="560" w:firstLineChars="200"/>
        <w:jc w:val="left"/>
        <w:rPr>
          <w:rFonts w:hint="eastAsia" w:ascii="仿宋" w:hAnsi="仿宋" w:eastAsia="仿宋" w:cs="仿宋"/>
          <w:kern w:val="0"/>
          <w:sz w:val="28"/>
          <w:szCs w:val="28"/>
        </w:rPr>
      </w:pPr>
      <w:r>
        <w:rPr>
          <w:rFonts w:hint="eastAsia" w:ascii="仿宋" w:hAnsi="仿宋" w:eastAsia="仿宋" w:cs="仿宋"/>
          <w:kern w:val="0"/>
          <w:sz w:val="28"/>
          <w:szCs w:val="28"/>
        </w:rPr>
        <w:t>帐号：6100 1686 2100 5250 0500-0003 </w:t>
      </w:r>
    </w:p>
    <w:p>
      <w:pPr>
        <w:widowControl/>
        <w:autoSpaceDE w:val="0"/>
        <w:autoSpaceDN w:val="0"/>
        <w:adjustRightInd w:val="0"/>
        <w:snapToGrid w:val="0"/>
        <w:spacing w:line="360" w:lineRule="auto"/>
        <w:ind w:firstLine="560" w:firstLineChars="200"/>
        <w:jc w:val="left"/>
        <w:rPr>
          <w:rFonts w:hint="eastAsia" w:ascii="仿宋" w:hAnsi="仿宋" w:eastAsia="仿宋" w:cs="仿宋"/>
          <w:kern w:val="0"/>
          <w:sz w:val="28"/>
          <w:szCs w:val="28"/>
        </w:rPr>
      </w:pPr>
      <w:r>
        <w:rPr>
          <w:rFonts w:hint="eastAsia" w:ascii="仿宋" w:hAnsi="仿宋" w:eastAsia="仿宋" w:cs="仿宋"/>
          <w:bCs/>
          <w:kern w:val="0"/>
          <w:sz w:val="28"/>
          <w:szCs w:val="28"/>
        </w:rPr>
        <w:t xml:space="preserve">15.2 </w:t>
      </w:r>
      <w:r>
        <w:rPr>
          <w:rFonts w:hint="eastAsia" w:ascii="仿宋" w:hAnsi="仿宋" w:eastAsia="仿宋" w:cs="仿宋"/>
          <w:kern w:val="0"/>
          <w:sz w:val="28"/>
          <w:szCs w:val="28"/>
        </w:rPr>
        <w:t>保证金交纳形式：从投标单位基本户转账。</w:t>
      </w:r>
    </w:p>
    <w:p>
      <w:pPr>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bCs/>
          <w:kern w:val="0"/>
          <w:sz w:val="28"/>
          <w:szCs w:val="28"/>
        </w:rPr>
        <w:t>15</w:t>
      </w:r>
      <w:r>
        <w:rPr>
          <w:rFonts w:hint="eastAsia" w:ascii="仿宋" w:hAnsi="仿宋" w:eastAsia="仿宋" w:cs="仿宋"/>
          <w:kern w:val="0"/>
          <w:sz w:val="28"/>
          <w:szCs w:val="28"/>
        </w:rPr>
        <w:t xml:space="preserve">.3 </w:t>
      </w:r>
      <w:r>
        <w:rPr>
          <w:rFonts w:hint="eastAsia" w:ascii="仿宋" w:hAnsi="仿宋" w:eastAsia="仿宋" w:cs="仿宋"/>
          <w:sz w:val="28"/>
          <w:szCs w:val="28"/>
        </w:rPr>
        <w:t>投标人交纳投标保证金，须将其交纳保证金凭证复印件（加盖投标人单位公章）附在投标文件中，否则视为无效投标。</w:t>
      </w:r>
    </w:p>
    <w:p>
      <w:pPr>
        <w:autoSpaceDE w:val="0"/>
        <w:autoSpaceDN w:val="0"/>
        <w:adjustRightInd w:val="0"/>
        <w:snapToGrid w:val="0"/>
        <w:spacing w:line="360" w:lineRule="auto"/>
        <w:ind w:firstLine="560" w:firstLineChars="200"/>
        <w:jc w:val="left"/>
        <w:rPr>
          <w:rFonts w:hint="eastAsia" w:ascii="仿宋" w:hAnsi="仿宋" w:eastAsia="仿宋" w:cs="仿宋"/>
          <w:bCs/>
          <w:kern w:val="0"/>
          <w:sz w:val="28"/>
          <w:szCs w:val="28"/>
        </w:rPr>
      </w:pPr>
      <w:r>
        <w:rPr>
          <w:rFonts w:hint="eastAsia" w:ascii="仿宋" w:hAnsi="仿宋" w:eastAsia="仿宋" w:cs="仿宋"/>
          <w:bCs/>
          <w:kern w:val="0"/>
          <w:sz w:val="28"/>
          <w:szCs w:val="28"/>
        </w:rPr>
        <w:t xml:space="preserve">15.4 </w:t>
      </w:r>
      <w:r>
        <w:rPr>
          <w:rFonts w:hint="eastAsia" w:ascii="仿宋" w:hAnsi="仿宋" w:eastAsia="仿宋" w:cs="仿宋"/>
          <w:bCs/>
          <w:sz w:val="28"/>
          <w:szCs w:val="28"/>
        </w:rPr>
        <w:t>投标</w:t>
      </w:r>
      <w:r>
        <w:rPr>
          <w:rFonts w:hint="eastAsia" w:ascii="仿宋" w:hAnsi="仿宋" w:eastAsia="仿宋" w:cs="仿宋"/>
          <w:sz w:val="28"/>
          <w:szCs w:val="28"/>
        </w:rPr>
        <w:t>人未交纳、或未足额交纳、或未按规定时限交纳保证金的，视为无效投标</w:t>
      </w:r>
      <w:r>
        <w:rPr>
          <w:rFonts w:hint="eastAsia" w:ascii="仿宋" w:hAnsi="仿宋" w:eastAsia="仿宋" w:cs="仿宋"/>
          <w:bCs/>
          <w:kern w:val="0"/>
          <w:sz w:val="28"/>
          <w:szCs w:val="32"/>
        </w:rPr>
        <w:t>。</w:t>
      </w:r>
    </w:p>
    <w:p>
      <w:pPr>
        <w:autoSpaceDE w:val="0"/>
        <w:autoSpaceDN w:val="0"/>
        <w:adjustRightInd w:val="0"/>
        <w:snapToGrid w:val="0"/>
        <w:spacing w:line="360" w:lineRule="auto"/>
        <w:ind w:firstLine="560" w:firstLineChars="200"/>
        <w:jc w:val="left"/>
        <w:rPr>
          <w:rFonts w:hint="eastAsia" w:ascii="仿宋" w:hAnsi="仿宋" w:eastAsia="仿宋" w:cs="仿宋"/>
          <w:bCs/>
          <w:kern w:val="0"/>
          <w:sz w:val="28"/>
          <w:szCs w:val="32"/>
        </w:rPr>
      </w:pPr>
      <w:r>
        <w:rPr>
          <w:rFonts w:hint="eastAsia" w:ascii="仿宋" w:hAnsi="仿宋" w:eastAsia="仿宋" w:cs="仿宋"/>
          <w:bCs/>
          <w:kern w:val="0"/>
          <w:sz w:val="28"/>
          <w:szCs w:val="28"/>
        </w:rPr>
        <w:t xml:space="preserve">15.5 </w:t>
      </w:r>
      <w:r>
        <w:rPr>
          <w:rFonts w:hint="eastAsia" w:ascii="仿宋" w:hAnsi="仿宋" w:eastAsia="仿宋" w:cs="仿宋"/>
          <w:bCs/>
          <w:kern w:val="0"/>
          <w:sz w:val="28"/>
          <w:szCs w:val="32"/>
        </w:rPr>
        <w:t>保证金的退还</w:t>
      </w:r>
    </w:p>
    <w:p>
      <w:pPr>
        <w:kinsoku w:val="0"/>
        <w:autoSpaceDE w:val="0"/>
        <w:autoSpaceDN w:val="0"/>
        <w:adjustRightInd w:val="0"/>
        <w:snapToGrid w:val="0"/>
        <w:spacing w:line="360" w:lineRule="auto"/>
        <w:ind w:firstLine="560" w:firstLineChars="200"/>
        <w:jc w:val="left"/>
        <w:rPr>
          <w:rFonts w:hint="eastAsia" w:ascii="仿宋" w:hAnsi="仿宋" w:eastAsia="仿宋" w:cs="仿宋"/>
          <w:bCs/>
          <w:kern w:val="0"/>
          <w:sz w:val="28"/>
          <w:szCs w:val="32"/>
        </w:rPr>
      </w:pPr>
      <w:r>
        <w:rPr>
          <w:rFonts w:hint="eastAsia" w:ascii="仿宋" w:hAnsi="仿宋" w:eastAsia="仿宋" w:cs="仿宋"/>
          <w:bCs/>
          <w:kern w:val="0"/>
          <w:sz w:val="28"/>
          <w:szCs w:val="28"/>
        </w:rPr>
        <w:t>（1）</w:t>
      </w:r>
      <w:r>
        <w:rPr>
          <w:rFonts w:hint="eastAsia" w:ascii="仿宋" w:hAnsi="仿宋" w:eastAsia="仿宋" w:cs="仿宋"/>
          <w:bCs/>
          <w:kern w:val="0"/>
          <w:sz w:val="28"/>
          <w:szCs w:val="32"/>
        </w:rPr>
        <w:t>中标供应商的保证金，在签订合同后转为履约保证金，待合同履约完成后无息退还；</w:t>
      </w:r>
    </w:p>
    <w:p>
      <w:pPr>
        <w:kinsoku w:val="0"/>
        <w:autoSpaceDE w:val="0"/>
        <w:autoSpaceDN w:val="0"/>
        <w:adjustRightInd w:val="0"/>
        <w:snapToGrid w:val="0"/>
        <w:spacing w:line="360" w:lineRule="auto"/>
        <w:ind w:firstLine="560" w:firstLineChars="200"/>
        <w:jc w:val="left"/>
        <w:rPr>
          <w:rFonts w:hint="eastAsia" w:ascii="仿宋" w:hAnsi="仿宋" w:eastAsia="仿宋" w:cs="仿宋"/>
          <w:bCs/>
          <w:kern w:val="0"/>
          <w:sz w:val="28"/>
          <w:szCs w:val="32"/>
        </w:rPr>
      </w:pPr>
      <w:r>
        <w:rPr>
          <w:rFonts w:hint="eastAsia" w:ascii="仿宋" w:hAnsi="仿宋" w:eastAsia="仿宋" w:cs="仿宋"/>
          <w:bCs/>
          <w:kern w:val="0"/>
          <w:sz w:val="28"/>
          <w:szCs w:val="28"/>
        </w:rPr>
        <w:t>（2）</w:t>
      </w:r>
      <w:r>
        <w:rPr>
          <w:rFonts w:hint="eastAsia" w:ascii="仿宋" w:hAnsi="仿宋" w:eastAsia="仿宋" w:cs="仿宋"/>
          <w:bCs/>
          <w:kern w:val="0"/>
          <w:sz w:val="28"/>
          <w:szCs w:val="32"/>
        </w:rPr>
        <w:t>未中标供应商的保证金，在中标通知书发出后5个工作日内无息退还。</w:t>
      </w:r>
    </w:p>
    <w:p>
      <w:pPr>
        <w:kinsoku w:val="0"/>
        <w:autoSpaceDE w:val="0"/>
        <w:autoSpaceDN w:val="0"/>
        <w:adjustRightInd w:val="0"/>
        <w:snapToGrid w:val="0"/>
        <w:spacing w:line="360" w:lineRule="auto"/>
        <w:ind w:firstLine="560" w:firstLineChars="200"/>
        <w:jc w:val="left"/>
        <w:rPr>
          <w:rFonts w:hint="eastAsia" w:ascii="仿宋" w:hAnsi="仿宋" w:eastAsia="仿宋" w:cs="仿宋"/>
          <w:bCs/>
          <w:kern w:val="0"/>
          <w:sz w:val="28"/>
          <w:szCs w:val="32"/>
        </w:rPr>
      </w:pPr>
      <w:r>
        <w:rPr>
          <w:rFonts w:hint="eastAsia" w:ascii="仿宋" w:hAnsi="仿宋" w:eastAsia="仿宋" w:cs="仿宋"/>
          <w:bCs/>
          <w:kern w:val="0"/>
          <w:sz w:val="28"/>
          <w:szCs w:val="32"/>
        </w:rPr>
        <w:t>（3）投标保证金退还说明：投标单位须委派代表办理。办理时经办人须持身份证原件、法人授权委托书（附法人身份证复印件）、银行打款凭据、收据，</w:t>
      </w:r>
      <w:r>
        <w:rPr>
          <w:rFonts w:hint="eastAsia" w:ascii="仿宋" w:hAnsi="仿宋" w:eastAsia="仿宋" w:cs="仿宋"/>
          <w:bCs/>
          <w:sz w:val="28"/>
          <w:szCs w:val="28"/>
        </w:rPr>
        <w:t>以上文件均须加盖公司公章（鲜章）</w:t>
      </w:r>
      <w:r>
        <w:rPr>
          <w:rFonts w:hint="eastAsia" w:ascii="仿宋" w:hAnsi="仿宋" w:eastAsia="仿宋" w:cs="仿宋"/>
          <w:bCs/>
          <w:kern w:val="0"/>
          <w:sz w:val="28"/>
          <w:szCs w:val="32"/>
        </w:rPr>
        <w:t>。</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bCs/>
          <w:kern w:val="0"/>
          <w:sz w:val="28"/>
          <w:szCs w:val="28"/>
        </w:rPr>
        <w:t>15</w:t>
      </w:r>
      <w:r>
        <w:rPr>
          <w:rFonts w:hint="eastAsia" w:ascii="仿宋" w:hAnsi="仿宋" w:eastAsia="仿宋" w:cs="仿宋"/>
          <w:sz w:val="28"/>
          <w:szCs w:val="28"/>
        </w:rPr>
        <w:t xml:space="preserve">.6 </w:t>
      </w:r>
      <w:r>
        <w:rPr>
          <w:rFonts w:hint="eastAsia" w:ascii="仿宋" w:hAnsi="仿宋" w:eastAsia="仿宋" w:cs="仿宋"/>
          <w:sz w:val="28"/>
          <w:szCs w:val="28"/>
          <w:lang w:val="zh-CN"/>
        </w:rPr>
        <w:t>投标人有下列情形之一的，采购代理机构不予退还其交纳的投标保证金，并在项目财政主管部门备案；情节严重的，由财政部门将其列入不良行为记录名单予以通报，在一至三年内禁止参加政府采购活动：</w:t>
      </w:r>
    </w:p>
    <w:p>
      <w:pPr>
        <w:adjustRightInd w:val="0"/>
        <w:snapToGrid w:val="0"/>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sz w:val="28"/>
          <w:szCs w:val="28"/>
        </w:rPr>
        <w:t>（1）</w:t>
      </w:r>
      <w:r>
        <w:rPr>
          <w:rFonts w:hint="eastAsia" w:ascii="仿宋" w:hAnsi="仿宋" w:eastAsia="仿宋" w:cs="仿宋"/>
          <w:bCs/>
          <w:sz w:val="28"/>
          <w:szCs w:val="28"/>
        </w:rPr>
        <w:t>投标人交纳投标保证金后，无故不参加投标活动的；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bCs/>
          <w:sz w:val="28"/>
          <w:szCs w:val="28"/>
        </w:rPr>
        <w:t>（2）</w:t>
      </w:r>
      <w:r>
        <w:rPr>
          <w:rFonts w:hint="eastAsia" w:ascii="仿宋" w:hAnsi="仿宋" w:eastAsia="仿宋" w:cs="仿宋"/>
          <w:sz w:val="28"/>
          <w:szCs w:val="28"/>
        </w:rPr>
        <w:t>在投标文件有效期内，撤回投标文件或者擅自退出投标活动的；</w:t>
      </w:r>
    </w:p>
    <w:p>
      <w:pPr>
        <w:adjustRightInd w:val="0"/>
        <w:snapToGrid w:val="0"/>
        <w:spacing w:line="360" w:lineRule="auto"/>
        <w:ind w:firstLine="560" w:firstLineChars="200"/>
        <w:jc w:val="left"/>
        <w:rPr>
          <w:rFonts w:hint="eastAsia" w:ascii="仿宋" w:hAnsi="仿宋" w:eastAsia="仿宋" w:cs="仿宋"/>
          <w:sz w:val="28"/>
          <w:szCs w:val="28"/>
          <w:lang w:val="zh-CN"/>
        </w:rPr>
      </w:pPr>
      <w:r>
        <w:rPr>
          <w:rFonts w:hint="eastAsia" w:ascii="仿宋" w:hAnsi="仿宋" w:eastAsia="仿宋" w:cs="仿宋"/>
          <w:sz w:val="28"/>
          <w:szCs w:val="28"/>
        </w:rPr>
        <w:t>（3）经评标委员会认定，</w:t>
      </w:r>
      <w:r>
        <w:rPr>
          <w:rFonts w:hint="eastAsia" w:ascii="仿宋" w:hAnsi="仿宋" w:eastAsia="仿宋" w:cs="仿宋"/>
          <w:sz w:val="28"/>
          <w:szCs w:val="28"/>
          <w:lang w:val="zh-CN"/>
        </w:rPr>
        <w:t>投标人在投标文件中提供虚假材料的；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（4）中标后无正当理由不与采购人签订合同的；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（5）中标项目转让给他人，或者在投标文件中未说明，且未经采购人同意，将中标项目分包给他人的；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lang w:val="zh-CN"/>
        </w:rPr>
        <w:t>中标人拒绝履行合同义务的</w:t>
      </w:r>
      <w:r>
        <w:rPr>
          <w:rFonts w:hint="eastAsia" w:ascii="仿宋" w:hAnsi="仿宋" w:eastAsia="仿宋" w:cs="仿宋"/>
          <w:sz w:val="28"/>
          <w:szCs w:val="28"/>
        </w:rPr>
        <w:t>。</w:t>
      </w:r>
    </w:p>
    <w:p>
      <w:pPr>
        <w:adjustRightInd w:val="0"/>
        <w:snapToGrid w:val="0"/>
        <w:spacing w:line="360" w:lineRule="auto"/>
        <w:ind w:firstLine="562" w:firstLineChars="200"/>
        <w:jc w:val="left"/>
        <w:rPr>
          <w:rFonts w:hint="eastAsia" w:ascii="仿宋" w:hAnsi="仿宋" w:eastAsia="仿宋" w:cs="仿宋"/>
          <w:b/>
          <w:sz w:val="28"/>
          <w:szCs w:val="28"/>
        </w:rPr>
      </w:pPr>
      <w:bookmarkStart w:id="47" w:name="_Toc183682361"/>
      <w:bookmarkStart w:id="48" w:name="_Toc183582224"/>
      <w:bookmarkStart w:id="49" w:name="_Toc217446051"/>
      <w:r>
        <w:rPr>
          <w:rFonts w:hint="eastAsia" w:ascii="仿宋" w:hAnsi="仿宋" w:eastAsia="仿宋" w:cs="仿宋"/>
          <w:b/>
          <w:sz w:val="28"/>
          <w:szCs w:val="28"/>
        </w:rPr>
        <w:t>16．投标有效期</w:t>
      </w:r>
      <w:bookmarkEnd w:id="47"/>
      <w:bookmarkEnd w:id="48"/>
      <w:bookmarkEnd w:id="49"/>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16.1 投标文件有效期自开标大会之日起计算不得少于90天。</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16.2 在特殊情况下，在投标文件有效期满之前，采购代理机构可向投标人提出延长投标文件有效期的书面要求。投标人书面同意延长投标文件有效期的，其投标人资格、保证金有效期相应延长。投标人也可书面拒绝延长有效期（在规定时限内无应答的视为拒绝），其投标人资格则自动无效，但保证金无息退还。</w:t>
      </w:r>
      <w:bookmarkStart w:id="50" w:name="_Toc217446052"/>
      <w:bookmarkStart w:id="51" w:name="_Toc183682362"/>
      <w:bookmarkStart w:id="52" w:name="_Toc183582225"/>
    </w:p>
    <w:p>
      <w:pPr>
        <w:adjustRightInd w:val="0"/>
        <w:snapToGrid w:val="0"/>
        <w:spacing w:line="360" w:lineRule="auto"/>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17．投标文件的印制和签署</w:t>
      </w:r>
      <w:bookmarkEnd w:id="50"/>
      <w:bookmarkEnd w:id="51"/>
      <w:bookmarkEnd w:id="52"/>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17.1 投标人应当准备投标文件正本1份、副本</w:t>
      </w:r>
      <w:r>
        <w:rPr>
          <w:rFonts w:hint="eastAsia" w:ascii="仿宋" w:hAnsi="仿宋" w:eastAsia="仿宋" w:cs="仿宋"/>
          <w:sz w:val="28"/>
          <w:szCs w:val="28"/>
          <w:lang w:val="en-US" w:eastAsia="zh-CN"/>
        </w:rPr>
        <w:t>4</w:t>
      </w:r>
      <w:r>
        <w:rPr>
          <w:rFonts w:hint="eastAsia" w:ascii="仿宋" w:hAnsi="仿宋" w:eastAsia="仿宋" w:cs="仿宋"/>
          <w:sz w:val="28"/>
          <w:szCs w:val="28"/>
        </w:rPr>
        <w:t>份，</w:t>
      </w:r>
      <w:r>
        <w:rPr>
          <w:rFonts w:hint="eastAsia" w:ascii="仿宋" w:hAnsi="仿宋" w:eastAsia="仿宋" w:cs="仿宋"/>
          <w:sz w:val="28"/>
          <w:szCs w:val="28"/>
          <w:lang w:val="zh-CN"/>
        </w:rPr>
        <w:t>投标响应文件电子版一份（U盘）</w:t>
      </w:r>
      <w:r>
        <w:rPr>
          <w:rFonts w:hint="eastAsia" w:ascii="仿宋" w:hAnsi="仿宋" w:eastAsia="仿宋" w:cs="仿宋"/>
          <w:sz w:val="28"/>
          <w:szCs w:val="28"/>
        </w:rPr>
        <w:t>1</w:t>
      </w:r>
      <w:r>
        <w:rPr>
          <w:rFonts w:hint="eastAsia" w:ascii="仿宋" w:hAnsi="仿宋" w:eastAsia="仿宋" w:cs="仿宋"/>
          <w:sz w:val="28"/>
          <w:szCs w:val="28"/>
          <w:lang w:val="zh-CN"/>
        </w:rPr>
        <w:t>份，</w:t>
      </w:r>
      <w:r>
        <w:rPr>
          <w:rFonts w:hint="eastAsia" w:ascii="仿宋" w:hAnsi="仿宋" w:eastAsia="仿宋" w:cs="仿宋"/>
          <w:sz w:val="28"/>
          <w:szCs w:val="28"/>
        </w:rPr>
        <w:t>以及用于开标唱标单独提交的“开标一览表”1份。投标文件的正本和副本应在其封面清楚地标明“正本”或“副本”字样，电子版密封在正本档案袋内。</w:t>
      </w:r>
      <w:r>
        <w:rPr>
          <w:rFonts w:hint="eastAsia" w:ascii="仿宋" w:hAnsi="仿宋" w:eastAsia="仿宋" w:cs="仿宋"/>
          <w:sz w:val="28"/>
          <w:szCs w:val="28"/>
          <w:lang w:val="zh-CN"/>
        </w:rPr>
        <w:t>一旦正本与副本不符</w:t>
      </w:r>
      <w:r>
        <w:rPr>
          <w:rFonts w:hint="eastAsia" w:ascii="仿宋" w:hAnsi="仿宋" w:eastAsia="仿宋" w:cs="仿宋"/>
          <w:sz w:val="28"/>
          <w:szCs w:val="28"/>
        </w:rPr>
        <w:t>，以正本为准。用于开标唱标单独提交的“开标一览表”应为原件。</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17.2  投标文件的正本和副本均需打印或用不褪色、不变质的墨水书写，在投标文件中指定页面的落款处，加盖投标人单位公章并法定代表人（或被授权人）签字并盖章。</w:t>
      </w:r>
    </w:p>
    <w:p>
      <w:pPr>
        <w:autoSpaceDE w:val="0"/>
        <w:autoSpaceDN w:val="0"/>
        <w:adjustRightInd w:val="0"/>
        <w:snapToGrid w:val="0"/>
        <w:spacing w:line="360" w:lineRule="auto"/>
        <w:ind w:firstLine="560" w:firstLineChars="200"/>
        <w:rPr>
          <w:rFonts w:hint="eastAsia" w:ascii="仿宋" w:hAnsi="仿宋" w:eastAsia="仿宋" w:cs="仿宋"/>
          <w:sz w:val="28"/>
          <w:szCs w:val="28"/>
          <w:lang w:val="zh-CN"/>
        </w:rPr>
      </w:pPr>
      <w:r>
        <w:rPr>
          <w:rFonts w:hint="eastAsia" w:ascii="仿宋" w:hAnsi="仿宋" w:eastAsia="仿宋" w:cs="仿宋"/>
          <w:sz w:val="28"/>
          <w:szCs w:val="28"/>
        </w:rPr>
        <w:t xml:space="preserve">17.3 </w:t>
      </w:r>
      <w:r>
        <w:rPr>
          <w:rFonts w:hint="eastAsia" w:ascii="仿宋" w:hAnsi="仿宋" w:eastAsia="仿宋" w:cs="仿宋"/>
          <w:sz w:val="28"/>
          <w:szCs w:val="28"/>
          <w:lang w:val="zh-CN"/>
        </w:rPr>
        <w:t>投标文件不得行间插字、涂改和增删，如有修改错漏处，必须加盖投标人单位公章并法定代表人（或其授权代表人）签字并盖章。</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17.4 投标文件正本和副本必须装订（胶装）成册并按序编制页码，在每一页的正下方清楚标明第几页、共多少页等字样。</w:t>
      </w:r>
    </w:p>
    <w:p>
      <w:pPr>
        <w:autoSpaceDE w:val="0"/>
        <w:autoSpaceDN w:val="0"/>
        <w:adjustRightInd w:val="0"/>
        <w:snapToGrid w:val="0"/>
        <w:spacing w:line="360" w:lineRule="auto"/>
        <w:ind w:firstLine="560" w:firstLineChars="200"/>
        <w:rPr>
          <w:rFonts w:hint="eastAsia" w:ascii="仿宋" w:hAnsi="仿宋" w:eastAsia="仿宋" w:cs="仿宋"/>
          <w:sz w:val="28"/>
          <w:szCs w:val="28"/>
          <w:lang w:val="zh-CN"/>
        </w:rPr>
      </w:pPr>
      <w:r>
        <w:rPr>
          <w:rFonts w:hint="eastAsia" w:ascii="仿宋" w:hAnsi="仿宋" w:eastAsia="仿宋" w:cs="仿宋"/>
          <w:sz w:val="28"/>
          <w:szCs w:val="28"/>
        </w:rPr>
        <w:t>17.5</w:t>
      </w:r>
      <w:r>
        <w:rPr>
          <w:rFonts w:hint="eastAsia" w:ascii="仿宋" w:hAnsi="仿宋" w:eastAsia="仿宋" w:cs="仿宋"/>
          <w:sz w:val="28"/>
          <w:szCs w:val="28"/>
          <w:lang w:val="zh-CN"/>
        </w:rPr>
        <w:t>投标文件封面及所有内容逐页盖章（本页正文已加盖单位公章的除外），投标文件中所有印章必须为原色印章。</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17.6 投标文件统一用A4幅面纸印制。</w:t>
      </w:r>
    </w:p>
    <w:p>
      <w:pPr>
        <w:adjustRightInd w:val="0"/>
        <w:snapToGrid w:val="0"/>
        <w:spacing w:line="360" w:lineRule="auto"/>
        <w:ind w:firstLine="562" w:firstLineChars="200"/>
        <w:jc w:val="left"/>
        <w:rPr>
          <w:rFonts w:hint="eastAsia" w:ascii="仿宋" w:hAnsi="仿宋" w:eastAsia="仿宋" w:cs="仿宋"/>
          <w:b/>
          <w:sz w:val="28"/>
          <w:szCs w:val="28"/>
        </w:rPr>
      </w:pPr>
      <w:bookmarkStart w:id="53" w:name="_Toc183682363"/>
      <w:bookmarkStart w:id="54" w:name="_Toc183582226"/>
      <w:bookmarkStart w:id="55" w:name="_Toc89075877"/>
      <w:bookmarkStart w:id="56" w:name="_Toc77400781"/>
      <w:bookmarkStart w:id="57" w:name="_Toc217446053"/>
      <w:r>
        <w:rPr>
          <w:rFonts w:hint="eastAsia" w:ascii="仿宋" w:hAnsi="仿宋" w:eastAsia="仿宋" w:cs="仿宋"/>
          <w:b/>
          <w:sz w:val="28"/>
          <w:szCs w:val="28"/>
        </w:rPr>
        <w:t>四、投标</w:t>
      </w:r>
    </w:p>
    <w:p>
      <w:pPr>
        <w:adjustRightInd w:val="0"/>
        <w:snapToGrid w:val="0"/>
        <w:spacing w:line="360" w:lineRule="auto"/>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18.投标文件的密封</w:t>
      </w:r>
      <w:bookmarkEnd w:id="53"/>
      <w:bookmarkEnd w:id="54"/>
      <w:bookmarkEnd w:id="55"/>
      <w:bookmarkEnd w:id="56"/>
      <w:bookmarkEnd w:id="57"/>
    </w:p>
    <w:p>
      <w:pPr>
        <w:adjustRightInd w:val="0"/>
        <w:snapToGrid w:val="0"/>
        <w:spacing w:line="360" w:lineRule="auto"/>
        <w:ind w:firstLine="560" w:firstLineChars="200"/>
        <w:jc w:val="left"/>
        <w:rPr>
          <w:rFonts w:hint="eastAsia" w:ascii="仿宋" w:hAnsi="仿宋" w:eastAsia="仿宋" w:cs="仿宋"/>
          <w:sz w:val="28"/>
          <w:szCs w:val="28"/>
          <w:lang w:val="zh-CN"/>
        </w:rPr>
      </w:pPr>
      <w:r>
        <w:rPr>
          <w:rFonts w:hint="eastAsia" w:ascii="仿宋" w:hAnsi="仿宋" w:eastAsia="仿宋" w:cs="仿宋"/>
          <w:sz w:val="28"/>
          <w:szCs w:val="28"/>
        </w:rPr>
        <w:t xml:space="preserve">18.1 </w:t>
      </w:r>
      <w:r>
        <w:rPr>
          <w:rFonts w:hint="eastAsia" w:ascii="仿宋" w:hAnsi="仿宋" w:eastAsia="仿宋" w:cs="仿宋"/>
          <w:sz w:val="28"/>
          <w:szCs w:val="28"/>
          <w:lang w:val="zh-CN"/>
        </w:rPr>
        <w:t>投标人应将投标文件和开标一览表密封完好，在封套上标明采购项目编号、项目名称，投标人全称（单位公章）</w:t>
      </w:r>
      <w:r>
        <w:rPr>
          <w:rFonts w:hint="eastAsia" w:ascii="仿宋" w:hAnsi="仿宋" w:eastAsia="仿宋" w:cs="仿宋"/>
          <w:sz w:val="28"/>
          <w:szCs w:val="28"/>
        </w:rPr>
        <w:t>等内容</w:t>
      </w:r>
      <w:r>
        <w:rPr>
          <w:rFonts w:hint="eastAsia" w:ascii="仿宋" w:hAnsi="仿宋" w:eastAsia="仿宋" w:cs="仿宋"/>
          <w:sz w:val="28"/>
          <w:szCs w:val="28"/>
          <w:lang w:val="zh-CN"/>
        </w:rPr>
        <w:t>，再加封条密封，在封线处加盖投标人单位公章并法定代表人（或其授权代表人）签字并盖章。</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18.2 封袋正面标识式样（参见格式A、B）。</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18.3 投标文件未按要求密封或加写标记，采购代理机构对误投或过早启封的投标文件概不负责。</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18.4不符合投标文件密封要求的，按无效投标文件处理，不得启封。经投标人代表签字确认后，当场将其投标文件退回。</w:t>
      </w:r>
    </w:p>
    <w:p>
      <w:pPr>
        <w:adjustRightInd w:val="0"/>
        <w:snapToGrid w:val="0"/>
        <w:spacing w:line="360" w:lineRule="auto"/>
        <w:ind w:firstLine="562" w:firstLineChars="200"/>
        <w:jc w:val="left"/>
        <w:rPr>
          <w:rFonts w:hint="eastAsia" w:ascii="仿宋" w:hAnsi="仿宋" w:eastAsia="仿宋" w:cs="仿宋"/>
          <w:b/>
          <w:sz w:val="28"/>
          <w:szCs w:val="28"/>
        </w:rPr>
      </w:pPr>
      <w:bookmarkStart w:id="58" w:name="_Toc217446054"/>
      <w:bookmarkStart w:id="59" w:name="_Toc183582227"/>
      <w:bookmarkStart w:id="60" w:name="_Toc183682364"/>
      <w:r>
        <w:rPr>
          <w:rFonts w:hint="eastAsia" w:ascii="仿宋" w:hAnsi="仿宋" w:eastAsia="仿宋" w:cs="仿宋"/>
          <w:b/>
          <w:sz w:val="28"/>
          <w:szCs w:val="28"/>
        </w:rPr>
        <w:t>19．投标文件的</w:t>
      </w:r>
      <w:bookmarkEnd w:id="58"/>
      <w:bookmarkEnd w:id="59"/>
      <w:bookmarkEnd w:id="60"/>
      <w:r>
        <w:rPr>
          <w:rFonts w:hint="eastAsia" w:ascii="仿宋" w:hAnsi="仿宋" w:eastAsia="仿宋" w:cs="仿宋"/>
          <w:b/>
          <w:sz w:val="28"/>
          <w:szCs w:val="28"/>
        </w:rPr>
        <w:t>提交</w:t>
      </w:r>
    </w:p>
    <w:p>
      <w:pPr>
        <w:adjustRightInd w:val="0"/>
        <w:snapToGrid w:val="0"/>
        <w:spacing w:line="360" w:lineRule="auto"/>
        <w:ind w:firstLine="560" w:firstLineChars="200"/>
        <w:jc w:val="left"/>
        <w:rPr>
          <w:rFonts w:hint="eastAsia" w:ascii="仿宋" w:hAnsi="仿宋" w:eastAsia="仿宋" w:cs="仿宋"/>
          <w:sz w:val="28"/>
          <w:szCs w:val="28"/>
          <w:lang w:val="zh-CN"/>
        </w:rPr>
      </w:pPr>
      <w:r>
        <w:rPr>
          <w:rFonts w:hint="eastAsia" w:ascii="仿宋" w:hAnsi="仿宋" w:eastAsia="仿宋" w:cs="仿宋"/>
          <w:sz w:val="28"/>
          <w:szCs w:val="28"/>
        </w:rPr>
        <w:t xml:space="preserve">19.1 </w:t>
      </w:r>
      <w:r>
        <w:rPr>
          <w:rFonts w:hint="eastAsia" w:ascii="仿宋" w:hAnsi="仿宋" w:eastAsia="仿宋" w:cs="仿宋"/>
          <w:sz w:val="28"/>
          <w:szCs w:val="28"/>
          <w:lang w:val="zh-CN"/>
        </w:rPr>
        <w:t>投标人应在招标文件规定投标截止时间前将投标文件等密封送达投标地点。</w:t>
      </w:r>
    </w:p>
    <w:p>
      <w:pPr>
        <w:adjustRightInd w:val="0"/>
        <w:snapToGrid w:val="0"/>
        <w:spacing w:line="360" w:lineRule="auto"/>
        <w:ind w:firstLine="560" w:firstLineChars="200"/>
        <w:jc w:val="left"/>
        <w:rPr>
          <w:rFonts w:hint="eastAsia" w:ascii="仿宋" w:hAnsi="仿宋" w:eastAsia="仿宋" w:cs="仿宋"/>
          <w:sz w:val="28"/>
          <w:szCs w:val="28"/>
          <w:lang w:val="zh-CN"/>
        </w:rPr>
      </w:pPr>
      <w:r>
        <w:rPr>
          <w:rFonts w:hint="eastAsia" w:ascii="仿宋" w:hAnsi="仿宋" w:eastAsia="仿宋" w:cs="仿宋"/>
          <w:sz w:val="28"/>
          <w:szCs w:val="28"/>
        </w:rPr>
        <w:t xml:space="preserve">19.2 </w:t>
      </w:r>
      <w:r>
        <w:rPr>
          <w:rFonts w:hint="eastAsia" w:ascii="仿宋" w:hAnsi="仿宋" w:eastAsia="仿宋" w:cs="仿宋"/>
          <w:sz w:val="28"/>
          <w:szCs w:val="28"/>
          <w:lang w:val="zh-CN"/>
        </w:rPr>
        <w:t>在招标文件规定投标截止时间之后送达的投标文件采购代理机构拒绝接收。</w:t>
      </w:r>
    </w:p>
    <w:p>
      <w:pPr>
        <w:adjustRightInd w:val="0"/>
        <w:snapToGrid w:val="0"/>
        <w:spacing w:line="360" w:lineRule="auto"/>
        <w:ind w:firstLine="560" w:firstLineChars="200"/>
        <w:jc w:val="left"/>
        <w:rPr>
          <w:rFonts w:hint="eastAsia" w:ascii="仿宋" w:hAnsi="仿宋" w:eastAsia="仿宋" w:cs="仿宋"/>
          <w:sz w:val="28"/>
          <w:szCs w:val="28"/>
          <w:lang w:val="zh-CN"/>
        </w:rPr>
      </w:pPr>
      <w:r>
        <w:rPr>
          <w:rFonts w:hint="eastAsia" w:ascii="仿宋" w:hAnsi="仿宋" w:eastAsia="仿宋" w:cs="仿宋"/>
          <w:sz w:val="28"/>
          <w:szCs w:val="28"/>
        </w:rPr>
        <w:t>19.3投标供应商未从代理机构领取招标文件，所递交的投标文件</w:t>
      </w:r>
      <w:r>
        <w:rPr>
          <w:rFonts w:hint="eastAsia" w:ascii="仿宋" w:hAnsi="仿宋" w:eastAsia="仿宋" w:cs="仿宋"/>
          <w:sz w:val="28"/>
          <w:szCs w:val="28"/>
          <w:lang w:val="zh-CN"/>
        </w:rPr>
        <w:t>采购代理机构拒绝接收。</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19.4投标供应商名称表述与公章不符的，所递交的投标文件</w:t>
      </w:r>
      <w:r>
        <w:rPr>
          <w:rFonts w:hint="eastAsia" w:ascii="仿宋" w:hAnsi="仿宋" w:eastAsia="仿宋" w:cs="仿宋"/>
          <w:sz w:val="28"/>
          <w:szCs w:val="28"/>
          <w:lang w:val="zh-CN"/>
        </w:rPr>
        <w:t>采购代理机构拒绝接收。</w:t>
      </w:r>
    </w:p>
    <w:p>
      <w:pPr>
        <w:adjustRightInd w:val="0"/>
        <w:snapToGrid w:val="0"/>
        <w:spacing w:line="360" w:lineRule="auto"/>
        <w:ind w:firstLine="562" w:firstLineChars="200"/>
        <w:jc w:val="left"/>
        <w:rPr>
          <w:rFonts w:hint="eastAsia" w:ascii="仿宋" w:hAnsi="仿宋" w:eastAsia="仿宋" w:cs="仿宋"/>
          <w:b/>
          <w:sz w:val="28"/>
          <w:szCs w:val="28"/>
        </w:rPr>
      </w:pPr>
      <w:bookmarkStart w:id="61" w:name="_Toc183582228"/>
      <w:bookmarkStart w:id="62" w:name="_Toc183682365"/>
      <w:bookmarkStart w:id="63" w:name="_Toc217446055"/>
      <w:r>
        <w:rPr>
          <w:rFonts w:hint="eastAsia" w:ascii="仿宋" w:hAnsi="仿宋" w:eastAsia="仿宋" w:cs="仿宋"/>
          <w:b/>
          <w:sz w:val="28"/>
          <w:szCs w:val="28"/>
        </w:rPr>
        <w:t>20．投标文件的修改和撤</w:t>
      </w:r>
      <w:bookmarkEnd w:id="61"/>
      <w:bookmarkEnd w:id="62"/>
      <w:r>
        <w:rPr>
          <w:rFonts w:hint="eastAsia" w:ascii="仿宋" w:hAnsi="仿宋" w:eastAsia="仿宋" w:cs="仿宋"/>
          <w:b/>
          <w:sz w:val="28"/>
          <w:szCs w:val="28"/>
        </w:rPr>
        <w:t>回</w:t>
      </w:r>
      <w:bookmarkEnd w:id="63"/>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 xml:space="preserve">20.1 </w:t>
      </w:r>
      <w:r>
        <w:rPr>
          <w:rFonts w:hint="eastAsia" w:ascii="仿宋" w:hAnsi="仿宋" w:eastAsia="仿宋" w:cs="仿宋"/>
          <w:sz w:val="28"/>
          <w:szCs w:val="28"/>
          <w:lang w:val="zh-CN"/>
        </w:rPr>
        <w:t>投标人在投标截止时间前，可以对所提交的投标文件进行补充、修改或者撤回，并书面通知采购代理机构。补充、修改的内容应当按招标文件要求签署、盖章，并作为投标文件的组成部分</w:t>
      </w:r>
      <w:r>
        <w:rPr>
          <w:rFonts w:hint="eastAsia" w:ascii="仿宋" w:hAnsi="仿宋" w:eastAsia="仿宋" w:cs="仿宋"/>
          <w:sz w:val="28"/>
          <w:szCs w:val="28"/>
        </w:rPr>
        <w:t>。</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20.2 投标文件提交截止时间后，投标人不得对其投标文件做任何修改。</w:t>
      </w:r>
    </w:p>
    <w:p>
      <w:pPr>
        <w:adjustRightInd w:val="0"/>
        <w:snapToGrid w:val="0"/>
        <w:spacing w:line="360" w:lineRule="auto"/>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21.投标人串通投标</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投标活动中，有下列情形之一的，视为投标人串通投标，其投标无效：</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（1）不同投标人的投标文件由同一单位或者个人编制；</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（2）不同投标人委托同一单位或者个人办理投标事宜；</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（3）不同投标人的投标文件载明的项目管理成员或者联系人员为同一人；</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（4）不同投标人的投标文件异常一致或者投标报价呈规律性差异；</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（5）不同投标人的投标文件相互混装；</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（6）不同投标人的投标保证金从同一单位或者个人的账户转出。</w:t>
      </w:r>
    </w:p>
    <w:p>
      <w:pPr>
        <w:adjustRightInd w:val="0"/>
        <w:snapToGrid w:val="0"/>
        <w:spacing w:line="360" w:lineRule="auto"/>
        <w:ind w:firstLine="562" w:firstLineChars="200"/>
        <w:jc w:val="left"/>
        <w:rPr>
          <w:rFonts w:hint="eastAsia" w:ascii="仿宋" w:hAnsi="仿宋" w:eastAsia="仿宋" w:cs="仿宋"/>
          <w:b/>
          <w:sz w:val="28"/>
          <w:szCs w:val="28"/>
        </w:rPr>
      </w:pPr>
      <w:bookmarkStart w:id="64" w:name="_Toc77400782"/>
      <w:bookmarkStart w:id="65" w:name="_Toc183582231"/>
      <w:bookmarkStart w:id="66" w:name="_Toc89075878"/>
      <w:bookmarkStart w:id="67" w:name="_Toc183682368"/>
      <w:bookmarkStart w:id="68" w:name="_Toc217446056"/>
      <w:r>
        <w:rPr>
          <w:rFonts w:hint="eastAsia" w:ascii="仿宋" w:hAnsi="仿宋" w:eastAsia="仿宋" w:cs="仿宋"/>
          <w:b/>
          <w:sz w:val="28"/>
          <w:szCs w:val="28"/>
        </w:rPr>
        <w:t>四、开标</w:t>
      </w:r>
      <w:bookmarkEnd w:id="64"/>
      <w:bookmarkEnd w:id="65"/>
      <w:bookmarkEnd w:id="66"/>
      <w:bookmarkEnd w:id="67"/>
      <w:bookmarkEnd w:id="68"/>
    </w:p>
    <w:p>
      <w:pPr>
        <w:adjustRightInd w:val="0"/>
        <w:snapToGrid w:val="0"/>
        <w:spacing w:line="360" w:lineRule="auto"/>
        <w:ind w:firstLine="562" w:firstLineChars="200"/>
        <w:jc w:val="left"/>
        <w:rPr>
          <w:rFonts w:hint="eastAsia" w:ascii="仿宋" w:hAnsi="仿宋" w:eastAsia="仿宋" w:cs="仿宋"/>
          <w:b/>
          <w:sz w:val="28"/>
          <w:szCs w:val="28"/>
        </w:rPr>
      </w:pPr>
      <w:bookmarkStart w:id="69" w:name="_Toc217446057"/>
      <w:bookmarkStart w:id="70" w:name="_Toc183682369"/>
      <w:bookmarkStart w:id="71" w:name="_Toc183582232"/>
      <w:r>
        <w:rPr>
          <w:rFonts w:hint="eastAsia" w:ascii="仿宋" w:hAnsi="仿宋" w:eastAsia="仿宋" w:cs="仿宋"/>
          <w:b/>
          <w:sz w:val="28"/>
          <w:szCs w:val="28"/>
        </w:rPr>
        <w:t>22．开标</w:t>
      </w:r>
      <w:bookmarkEnd w:id="69"/>
      <w:bookmarkEnd w:id="70"/>
      <w:bookmarkEnd w:id="71"/>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22.1 采购代理机构通过组织开标大会的形式公开开标。</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22.2 开标大会在投标截止时间的同一时间举行，出席和参加开标大会的采购人、投标人须派代表参加并在会议开始之前签到以证明其出席。</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22.3 开标时，采购代理机构邀请有关监督管理部门对开标进行现场监督。</w:t>
      </w:r>
    </w:p>
    <w:p>
      <w:pPr>
        <w:autoSpaceDE w:val="0"/>
        <w:autoSpaceDN w:val="0"/>
        <w:adjustRightInd w:val="0"/>
        <w:snapToGrid w:val="0"/>
        <w:spacing w:line="360" w:lineRule="auto"/>
        <w:ind w:firstLine="560" w:firstLineChars="200"/>
        <w:rPr>
          <w:rFonts w:hint="eastAsia" w:ascii="仿宋" w:hAnsi="仿宋" w:eastAsia="仿宋" w:cs="仿宋"/>
          <w:sz w:val="28"/>
          <w:szCs w:val="28"/>
          <w:lang w:val="zh-CN"/>
        </w:rPr>
      </w:pPr>
      <w:r>
        <w:rPr>
          <w:rFonts w:hint="eastAsia" w:ascii="仿宋" w:hAnsi="仿宋" w:eastAsia="仿宋" w:cs="仿宋"/>
          <w:sz w:val="28"/>
          <w:szCs w:val="28"/>
        </w:rPr>
        <w:t>22.4 开标时，</w:t>
      </w:r>
      <w:r>
        <w:rPr>
          <w:rFonts w:hint="eastAsia" w:ascii="仿宋" w:hAnsi="仿宋" w:eastAsia="仿宋" w:cs="仿宋"/>
          <w:sz w:val="28"/>
          <w:szCs w:val="28"/>
          <w:lang w:val="zh-CN"/>
        </w:rPr>
        <w:t>由采购人代表与监督人共同检查投标文件</w:t>
      </w:r>
      <w:r>
        <w:rPr>
          <w:rFonts w:hint="eastAsia" w:ascii="仿宋" w:hAnsi="仿宋" w:eastAsia="仿宋" w:cs="仿宋"/>
          <w:sz w:val="28"/>
          <w:szCs w:val="28"/>
        </w:rPr>
        <w:t>和资质证明文件</w:t>
      </w:r>
      <w:r>
        <w:rPr>
          <w:rFonts w:hint="eastAsia" w:ascii="仿宋" w:hAnsi="仿宋" w:eastAsia="仿宋" w:cs="仿宋"/>
          <w:sz w:val="28"/>
          <w:szCs w:val="28"/>
          <w:lang w:val="zh-CN"/>
        </w:rPr>
        <w:t>的密封情况。</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22.5 对检查出不符合文件密封要求的，按无效投标文件处理，不得启封。经投标人代表签字确认后，当场将其投标文件退回。</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22.6 所有投标唱标完毕，如投标人代表对宣读的“开标一览表”上的内容有异议的，应在获得开标主持人同意后当场提出。如确实属于唱标人员宣读错了的，经现场监督人员核实后，当场予以更正。</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22.7采购代理机构对唱标全过程进行记录，并存档备查。</w:t>
      </w:r>
    </w:p>
    <w:p>
      <w:pPr>
        <w:adjustRightInd w:val="0"/>
        <w:snapToGrid w:val="0"/>
        <w:spacing w:line="360" w:lineRule="auto"/>
        <w:ind w:firstLine="560" w:firstLineChars="200"/>
        <w:jc w:val="left"/>
        <w:rPr>
          <w:rFonts w:hint="eastAsia" w:ascii="仿宋" w:hAnsi="仿宋" w:eastAsia="仿宋" w:cs="仿宋"/>
          <w:sz w:val="28"/>
          <w:szCs w:val="28"/>
        </w:rPr>
      </w:pPr>
      <w:bookmarkStart w:id="72" w:name="_Toc217446058"/>
      <w:bookmarkStart w:id="73" w:name="_Toc217446063"/>
      <w:bookmarkStart w:id="74" w:name="_Toc183582238"/>
      <w:bookmarkStart w:id="75" w:name="_Toc183682375"/>
      <w:r>
        <w:rPr>
          <w:rFonts w:hint="eastAsia" w:ascii="仿宋" w:hAnsi="仿宋" w:eastAsia="仿宋" w:cs="仿宋"/>
          <w:sz w:val="28"/>
          <w:szCs w:val="28"/>
        </w:rPr>
        <w:t>22.8 开标程序</w:t>
      </w:r>
      <w:bookmarkEnd w:id="72"/>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开标主持人按照招标文件规定的开标时间宣布开标，按照规定要求主持开标会。开标将按以下程序进行：</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（1）宣布开标会开始。</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（2）宣布会场纪律和有关注意事项。</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（3）当众宣布检查投标文件的密封情况。</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（4）开标唱标。主持人宣布开标后，由现场工作人员按任意顺序对投标人的“开标一览表”当众进行拆封，由唱标人员对其“开标一览表”的</w:t>
      </w:r>
      <w:r>
        <w:rPr>
          <w:rFonts w:hint="eastAsia" w:ascii="仿宋" w:hAnsi="仿宋" w:eastAsia="仿宋" w:cs="仿宋"/>
          <w:sz w:val="28"/>
          <w:szCs w:val="28"/>
          <w:lang w:val="zh-CN"/>
        </w:rPr>
        <w:t>投标总价、服务期（交货期、工期）等项</w:t>
      </w:r>
      <w:r>
        <w:rPr>
          <w:rFonts w:hint="eastAsia" w:ascii="仿宋" w:hAnsi="仿宋" w:eastAsia="仿宋" w:cs="仿宋"/>
          <w:sz w:val="28"/>
          <w:szCs w:val="28"/>
        </w:rPr>
        <w:t>及投标人名称进行宣读。</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（5）唱标完毕后，投标人进行唱标确认。</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（6）宣布开标会结束。主持人宣布开标会结束后，所有投标人代表应立即退场。</w:t>
      </w:r>
      <w:bookmarkStart w:id="76" w:name="_Toc217446060"/>
    </w:p>
    <w:p>
      <w:pPr>
        <w:adjustRightInd w:val="0"/>
        <w:snapToGrid w:val="0"/>
        <w:spacing w:line="360" w:lineRule="auto"/>
        <w:ind w:firstLine="562" w:firstLineChars="200"/>
        <w:jc w:val="left"/>
        <w:rPr>
          <w:rFonts w:hint="eastAsia" w:ascii="仿宋" w:hAnsi="仿宋" w:eastAsia="仿宋" w:cs="仿宋"/>
          <w:sz w:val="28"/>
          <w:szCs w:val="28"/>
        </w:rPr>
      </w:pPr>
      <w:r>
        <w:rPr>
          <w:rFonts w:hint="eastAsia" w:ascii="仿宋" w:hAnsi="仿宋" w:eastAsia="仿宋" w:cs="仿宋"/>
          <w:b/>
          <w:sz w:val="28"/>
          <w:szCs w:val="28"/>
        </w:rPr>
        <w:t>五、废 标</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23.本次政府采购活动中，出现下列情形之一的，予以废标：</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（1）符合专业条件的供应商或者对招标文件作实质响应的供应商不足三家的；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（2）出现影响采购公正的违法、违规行为的；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（3）投标人的报价均超过了采购预算，采购人不能支付的；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（4）因重大变故，采购任务取消的。</w:t>
      </w:r>
    </w:p>
    <w:p>
      <w:pPr>
        <w:adjustRightInd w:val="0"/>
        <w:snapToGrid w:val="0"/>
        <w:spacing w:line="360" w:lineRule="auto"/>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六、定标</w:t>
      </w:r>
      <w:bookmarkEnd w:id="76"/>
      <w:bookmarkStart w:id="77" w:name="_Toc217446061"/>
    </w:p>
    <w:p>
      <w:pPr>
        <w:adjustRightInd w:val="0"/>
        <w:snapToGrid w:val="0"/>
        <w:spacing w:line="360" w:lineRule="auto"/>
        <w:ind w:firstLine="560" w:firstLineChars="200"/>
        <w:jc w:val="left"/>
        <w:rPr>
          <w:rFonts w:hint="eastAsia" w:ascii="仿宋" w:hAnsi="仿宋" w:eastAsia="仿宋" w:cs="仿宋"/>
          <w:b/>
          <w:sz w:val="28"/>
          <w:szCs w:val="28"/>
        </w:rPr>
      </w:pPr>
      <w:r>
        <w:rPr>
          <w:rFonts w:hint="eastAsia" w:ascii="仿宋" w:hAnsi="仿宋" w:eastAsia="仿宋" w:cs="仿宋"/>
          <w:sz w:val="28"/>
          <w:szCs w:val="28"/>
        </w:rPr>
        <w:t>24.</w:t>
      </w:r>
      <w:bookmarkEnd w:id="77"/>
      <w:r>
        <w:rPr>
          <w:rFonts w:hint="eastAsia" w:ascii="仿宋" w:hAnsi="仿宋" w:eastAsia="仿宋" w:cs="仿宋"/>
          <w:sz w:val="28"/>
          <w:szCs w:val="28"/>
        </w:rPr>
        <w:t>采购代理机构在评标结束后五个工作日内将评标报告送采购人。</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25. 采购人在收到评标报告后五个工作日内，</w:t>
      </w:r>
      <w:r>
        <w:rPr>
          <w:rFonts w:hint="eastAsia" w:ascii="仿宋" w:hAnsi="仿宋" w:eastAsia="仿宋" w:cs="仿宋"/>
          <w:sz w:val="28"/>
          <w:szCs w:val="28"/>
          <w:lang w:val="zh-CN"/>
        </w:rPr>
        <w:t>根据评标报告对评标过程及结果进行严格审核后确定中标人</w:t>
      </w:r>
      <w:r>
        <w:rPr>
          <w:rFonts w:hint="eastAsia" w:ascii="仿宋" w:hAnsi="仿宋" w:eastAsia="仿宋" w:cs="仿宋"/>
          <w:sz w:val="28"/>
          <w:szCs w:val="28"/>
        </w:rPr>
        <w:t>，并</w:t>
      </w:r>
      <w:r>
        <w:rPr>
          <w:rFonts w:hint="eastAsia" w:ascii="仿宋" w:hAnsi="仿宋" w:eastAsia="仿宋" w:cs="仿宋"/>
          <w:sz w:val="28"/>
          <w:szCs w:val="28"/>
          <w:lang w:val="zh-CN"/>
        </w:rPr>
        <w:t>复函采购代理机构。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注意，采购人按照推荐的中标候选人顺序确定中标人，不能认为采购人只能确定第一中标候选人为中标人，采购人有正当理由的，可以确定之后第一位的中标候选人为中标人，依次类推。</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26.根据采购人确定的中标人，采购代理机构在陕西省政府采购网上发布中标公告，同时向中标人发出中标通知书。</w:t>
      </w:r>
    </w:p>
    <w:bookmarkEnd w:id="73"/>
    <w:bookmarkEnd w:id="74"/>
    <w:bookmarkEnd w:id="75"/>
    <w:p>
      <w:pPr>
        <w:adjustRightInd w:val="0"/>
        <w:snapToGrid w:val="0"/>
        <w:spacing w:line="360" w:lineRule="auto"/>
        <w:ind w:firstLine="562" w:firstLineChars="200"/>
        <w:jc w:val="left"/>
        <w:rPr>
          <w:rFonts w:hint="eastAsia" w:ascii="仿宋" w:hAnsi="仿宋" w:eastAsia="仿宋" w:cs="仿宋"/>
          <w:b/>
          <w:sz w:val="28"/>
          <w:szCs w:val="28"/>
        </w:rPr>
      </w:pPr>
      <w:bookmarkStart w:id="78" w:name="_Toc217446064"/>
      <w:bookmarkStart w:id="79" w:name="_Toc183582240"/>
      <w:bookmarkStart w:id="80" w:name="_Toc183682377"/>
      <w:r>
        <w:rPr>
          <w:rFonts w:hint="eastAsia" w:ascii="仿宋" w:hAnsi="仿宋" w:eastAsia="仿宋" w:cs="仿宋"/>
          <w:b/>
          <w:sz w:val="28"/>
          <w:szCs w:val="28"/>
        </w:rPr>
        <w:t>七、签订及履行合同</w:t>
      </w:r>
      <w:bookmarkEnd w:id="78"/>
    </w:p>
    <w:p>
      <w:pPr>
        <w:adjustRightInd w:val="0"/>
        <w:snapToGrid w:val="0"/>
        <w:spacing w:line="360" w:lineRule="auto"/>
        <w:ind w:firstLine="562" w:firstLineChars="200"/>
        <w:jc w:val="left"/>
        <w:rPr>
          <w:rFonts w:hint="eastAsia" w:ascii="仿宋" w:hAnsi="仿宋" w:eastAsia="仿宋" w:cs="仿宋"/>
          <w:b/>
          <w:sz w:val="28"/>
          <w:szCs w:val="28"/>
        </w:rPr>
      </w:pPr>
      <w:bookmarkStart w:id="81" w:name="_Toc217446065"/>
      <w:r>
        <w:rPr>
          <w:rFonts w:hint="eastAsia" w:ascii="仿宋" w:hAnsi="仿宋" w:eastAsia="仿宋" w:cs="仿宋"/>
          <w:b/>
          <w:sz w:val="28"/>
          <w:szCs w:val="28"/>
        </w:rPr>
        <w:t>27.签订合同</w:t>
      </w:r>
      <w:bookmarkEnd w:id="81"/>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27.1 中标人在收到招标人发出的《中标通知书》后，应在三十日内与采购人签订合同。由于中标人的原因逾期未与采购人签订采购合同的，将视为放弃中标，取消其中标资格并将按相关规定进行处理。</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27.2 中标人因不可抗力原因不能履行采购合同或放弃中标的，采购人可以与排在中标人之后第一位的中标候选人签订采购合同，以此类推。</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27.3 采购人不得向中标人提出任何不合理的要求，作为签订合同的条件，不得与中标人私下订立背离合同实质性内容的任何协议，所签订的合同不得对招标文件和中标人投标文件作实质性修改。</w:t>
      </w:r>
    </w:p>
    <w:p>
      <w:pPr>
        <w:adjustRightInd w:val="0"/>
        <w:snapToGrid w:val="0"/>
        <w:spacing w:line="360" w:lineRule="auto"/>
        <w:ind w:firstLine="562" w:firstLineChars="200"/>
        <w:jc w:val="left"/>
        <w:rPr>
          <w:rFonts w:hint="eastAsia" w:ascii="仿宋" w:hAnsi="仿宋" w:eastAsia="仿宋" w:cs="仿宋"/>
          <w:b/>
          <w:sz w:val="28"/>
          <w:szCs w:val="28"/>
        </w:rPr>
      </w:pPr>
      <w:bookmarkStart w:id="82" w:name="_Toc217446068"/>
      <w:r>
        <w:rPr>
          <w:rFonts w:hint="eastAsia" w:ascii="仿宋" w:hAnsi="仿宋" w:eastAsia="仿宋" w:cs="仿宋"/>
          <w:b/>
          <w:sz w:val="28"/>
          <w:szCs w:val="28"/>
        </w:rPr>
        <w:t>28.履约保证金</w:t>
      </w:r>
      <w:bookmarkEnd w:id="82"/>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中标人应在合同签订之后，投标保证金自动转为履约保证金。</w:t>
      </w:r>
    </w:p>
    <w:p>
      <w:pPr>
        <w:adjustRightInd w:val="0"/>
        <w:snapToGrid w:val="0"/>
        <w:spacing w:line="360" w:lineRule="auto"/>
        <w:ind w:firstLine="562" w:firstLineChars="200"/>
        <w:jc w:val="left"/>
        <w:rPr>
          <w:rFonts w:hint="eastAsia" w:ascii="仿宋" w:hAnsi="仿宋" w:eastAsia="仿宋" w:cs="仿宋"/>
          <w:b/>
          <w:sz w:val="28"/>
          <w:szCs w:val="28"/>
        </w:rPr>
      </w:pPr>
      <w:bookmarkStart w:id="83" w:name="_Toc217446069"/>
      <w:r>
        <w:rPr>
          <w:rFonts w:hint="eastAsia" w:ascii="仿宋" w:hAnsi="仿宋" w:eastAsia="仿宋" w:cs="仿宋"/>
          <w:b/>
          <w:sz w:val="28"/>
          <w:szCs w:val="28"/>
        </w:rPr>
        <w:t>29.履行合同</w:t>
      </w:r>
      <w:bookmarkEnd w:id="83"/>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29.1 中标人与采购人签订合同后，合同双方应严格执行合同条款，履行合同规定的义务，保证合同的顺利完成。</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29.2 在合同履行过程中，如发生合同纠纷，合同双方应按照《合同法》的有关规定进行处理。</w:t>
      </w:r>
      <w:bookmarkStart w:id="84" w:name="_Toc217446071"/>
    </w:p>
    <w:bookmarkEnd w:id="79"/>
    <w:bookmarkEnd w:id="80"/>
    <w:bookmarkEnd w:id="84"/>
    <w:p>
      <w:pPr>
        <w:adjustRightInd w:val="0"/>
        <w:snapToGrid w:val="0"/>
        <w:spacing w:line="360" w:lineRule="auto"/>
        <w:ind w:firstLine="562" w:firstLineChars="200"/>
        <w:jc w:val="left"/>
        <w:rPr>
          <w:rFonts w:hint="eastAsia" w:ascii="仿宋" w:hAnsi="仿宋" w:eastAsia="仿宋" w:cs="仿宋"/>
          <w:b/>
          <w:sz w:val="28"/>
          <w:szCs w:val="28"/>
        </w:rPr>
      </w:pPr>
      <w:bookmarkStart w:id="85" w:name="_Toc217446074"/>
      <w:bookmarkStart w:id="86" w:name="_Toc183682380"/>
      <w:bookmarkStart w:id="87" w:name="_Toc183582243"/>
      <w:r>
        <w:rPr>
          <w:rFonts w:hint="eastAsia" w:ascii="仿宋" w:hAnsi="仿宋" w:eastAsia="仿宋" w:cs="仿宋"/>
          <w:b/>
          <w:sz w:val="28"/>
          <w:szCs w:val="28"/>
        </w:rPr>
        <w:t>八、投标纪律要求</w:t>
      </w:r>
      <w:bookmarkEnd w:id="85"/>
    </w:p>
    <w:p>
      <w:pPr>
        <w:adjustRightInd w:val="0"/>
        <w:snapToGrid w:val="0"/>
        <w:spacing w:line="360" w:lineRule="auto"/>
        <w:ind w:firstLine="562" w:firstLineChars="200"/>
        <w:jc w:val="left"/>
        <w:rPr>
          <w:rFonts w:hint="eastAsia" w:ascii="仿宋" w:hAnsi="仿宋" w:eastAsia="仿宋" w:cs="仿宋"/>
          <w:b/>
          <w:sz w:val="28"/>
          <w:szCs w:val="28"/>
        </w:rPr>
      </w:pPr>
      <w:bookmarkStart w:id="88" w:name="_Toc217446075"/>
      <w:r>
        <w:rPr>
          <w:rFonts w:hint="eastAsia" w:ascii="仿宋" w:hAnsi="仿宋" w:eastAsia="仿宋" w:cs="仿宋"/>
          <w:b/>
          <w:sz w:val="28"/>
          <w:szCs w:val="28"/>
        </w:rPr>
        <w:t>30.投标人不得具有的情形</w:t>
      </w:r>
      <w:bookmarkEnd w:id="88"/>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投标人参加投标不得有下列情形：</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（1）提供虚假材料谋取中标；</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（2）采取不正当手段诋毁、排挤其他投标人；</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（3）与采购人、其他投标人恶意串通；</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（4）向采购人、评标委员会成员行贿或者提供其他不正当利益；</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（5）在招标过程中与采购人进行协商谈判；</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（6）拒绝有关部门的监督检查或者向监督检查部门提供虚假情况。</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有上述情形之一的投标人，属于不合格投标人，其投标或中标资格将被取消。</w:t>
      </w:r>
      <w:bookmarkStart w:id="89" w:name="_Toc217446078"/>
    </w:p>
    <w:p>
      <w:pPr>
        <w:adjustRightInd w:val="0"/>
        <w:snapToGrid w:val="0"/>
        <w:spacing w:line="360" w:lineRule="auto"/>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九、质疑和投诉</w:t>
      </w:r>
      <w:bookmarkEnd w:id="89"/>
      <w:bookmarkStart w:id="90" w:name="_Toc217446079"/>
    </w:p>
    <w:p>
      <w:pPr>
        <w:adjustRightInd w:val="0"/>
        <w:snapToGrid w:val="0"/>
        <w:spacing w:line="360" w:lineRule="auto"/>
        <w:ind w:firstLine="560" w:firstLineChars="200"/>
        <w:jc w:val="left"/>
        <w:rPr>
          <w:rFonts w:hint="eastAsia" w:ascii="仿宋" w:hAnsi="仿宋" w:eastAsia="仿宋" w:cs="仿宋"/>
          <w:sz w:val="28"/>
          <w:szCs w:val="28"/>
        </w:rPr>
        <w:sectPr>
          <w:pgSz w:w="11907" w:h="16840"/>
          <w:pgMar w:top="1440" w:right="1474" w:bottom="1440" w:left="1474" w:header="851" w:footer="992" w:gutter="0"/>
          <w:pgNumType w:fmt="decimal"/>
          <w:cols w:space="720" w:num="1"/>
          <w:docGrid w:linePitch="312" w:charSpace="0"/>
        </w:sectPr>
      </w:pPr>
      <w:r>
        <w:rPr>
          <w:rFonts w:hint="eastAsia" w:ascii="仿宋" w:hAnsi="仿宋" w:eastAsia="仿宋" w:cs="仿宋"/>
          <w:sz w:val="28"/>
          <w:szCs w:val="28"/>
        </w:rPr>
        <w:t>3</w:t>
      </w:r>
      <w:bookmarkEnd w:id="90"/>
      <w:r>
        <w:rPr>
          <w:rFonts w:hint="eastAsia" w:ascii="仿宋" w:hAnsi="仿宋" w:eastAsia="仿宋" w:cs="仿宋"/>
          <w:sz w:val="28"/>
          <w:szCs w:val="28"/>
        </w:rPr>
        <w:t>1．质疑、投诉的接收和处理严格按照《中华人</w:t>
      </w:r>
      <w:r>
        <w:rPr>
          <w:rFonts w:hint="eastAsia" w:ascii="仿宋" w:hAnsi="仿宋" w:eastAsia="仿宋" w:cs="仿宋"/>
          <w:sz w:val="28"/>
          <w:szCs w:val="28"/>
          <w:lang w:eastAsia="zh-CN"/>
        </w:rPr>
        <w:t>民</w:t>
      </w:r>
      <w:r>
        <w:rPr>
          <w:rFonts w:hint="eastAsia" w:ascii="仿宋" w:hAnsi="仿宋" w:eastAsia="仿宋" w:cs="仿宋"/>
          <w:sz w:val="28"/>
          <w:szCs w:val="28"/>
        </w:rPr>
        <w:t>共和国政府采购法</w:t>
      </w:r>
      <w:bookmarkEnd w:id="86"/>
      <w:bookmarkEnd w:id="87"/>
      <w:r>
        <w:rPr>
          <w:rFonts w:hint="eastAsia" w:ascii="仿宋" w:hAnsi="仿宋" w:eastAsia="仿宋" w:cs="仿宋"/>
          <w:sz w:val="28"/>
          <w:szCs w:val="28"/>
        </w:rPr>
        <w:t>》、《政府采购供应商质疑与投诉处理办法》。</w:t>
      </w:r>
    </w:p>
    <w:p>
      <w:pPr>
        <w:autoSpaceDE w:val="0"/>
        <w:autoSpaceDN w:val="0"/>
        <w:spacing w:before="37" w:after="0" w:line="266" w:lineRule="auto"/>
        <w:ind w:left="377" w:right="434" w:firstLine="0"/>
        <w:jc w:val="center"/>
        <w:rPr>
          <w:rFonts w:hint="eastAsia" w:ascii="仿宋" w:hAnsi="仿宋" w:eastAsia="仿宋" w:cs="仿宋"/>
          <w:b/>
          <w:sz w:val="32"/>
          <w:szCs w:val="32"/>
        </w:rPr>
      </w:pPr>
      <w:bookmarkStart w:id="91" w:name="_Toc517259942"/>
      <w:bookmarkStart w:id="92" w:name="_Toc217446093"/>
      <w:bookmarkStart w:id="93" w:name="_Toc2818"/>
      <w:bookmarkStart w:id="94" w:name="_Toc521572146"/>
      <w:r>
        <w:rPr>
          <w:rFonts w:hint="eastAsia" w:ascii="仿宋" w:hAnsi="仿宋" w:eastAsia="仿宋" w:cs="仿宋"/>
          <w:b/>
          <w:sz w:val="32"/>
          <w:szCs w:val="32"/>
        </w:rPr>
        <w:t xml:space="preserve">第三章    </w:t>
      </w:r>
      <w:bookmarkEnd w:id="91"/>
      <w:bookmarkEnd w:id="92"/>
      <w:r>
        <w:rPr>
          <w:rFonts w:hint="eastAsia" w:ascii="仿宋" w:hAnsi="仿宋" w:eastAsia="仿宋" w:cs="仿宋"/>
          <w:b/>
          <w:sz w:val="32"/>
          <w:szCs w:val="32"/>
        </w:rPr>
        <w:t>采购内容及技术要求</w:t>
      </w:r>
      <w:bookmarkEnd w:id="93"/>
      <w:bookmarkEnd w:id="94"/>
      <w:bookmarkStart w:id="95" w:name="_Toc23373"/>
      <w:bookmarkStart w:id="96" w:name="_Toc517259943"/>
      <w:bookmarkStart w:id="97" w:name="_Toc521572147"/>
    </w:p>
    <w:p>
      <w:pPr>
        <w:rPr>
          <w:rFonts w:hint="eastAsia" w:eastAsia="宋体"/>
          <w:lang w:val="en-US" w:eastAsia="zh-CN"/>
        </w:rPr>
      </w:pPr>
      <w:bookmarkStart w:id="98" w:name="_Toc255400549"/>
      <w:bookmarkStart w:id="99" w:name="_Toc255400619"/>
      <w:bookmarkStart w:id="100" w:name="_Toc255508120"/>
      <w:bookmarkStart w:id="101" w:name="_Toc177310653"/>
      <w:bookmarkStart w:id="102" w:name="_Toc254253591"/>
      <w:bookmarkStart w:id="103" w:name="_Toc312060483"/>
      <w:bookmarkStart w:id="104" w:name="_Toc177354441"/>
      <w:bookmarkStart w:id="105" w:name="_Toc241295945"/>
      <w:r>
        <w:rPr>
          <w:rFonts w:hint="eastAsia"/>
          <w:lang w:val="en-US" w:eastAsia="zh-CN"/>
        </w:rPr>
        <w:t xml:space="preserve"> </w:t>
      </w:r>
    </w:p>
    <w:bookmarkEnd w:id="98"/>
    <w:bookmarkEnd w:id="99"/>
    <w:bookmarkEnd w:id="100"/>
    <w:bookmarkEnd w:id="101"/>
    <w:bookmarkEnd w:id="102"/>
    <w:bookmarkEnd w:id="103"/>
    <w:bookmarkEnd w:id="104"/>
    <w:bookmarkEnd w:id="105"/>
    <w:p>
      <w:pPr>
        <w:pStyle w:val="3"/>
        <w:keepNext/>
        <w:keepLines/>
        <w:pageBreakBefore w:val="0"/>
        <w:widowControl w:val="0"/>
        <w:kinsoku/>
        <w:wordWrap/>
        <w:overflowPunct/>
        <w:topLinePunct w:val="0"/>
        <w:autoSpaceDE/>
        <w:autoSpaceDN/>
        <w:bidi w:val="0"/>
        <w:adjustRightInd/>
        <w:snapToGrid/>
        <w:spacing w:before="240" w:beforeLines="0" w:after="240" w:afterLines="0" w:line="560" w:lineRule="exact"/>
        <w:ind w:left="0" w:leftChars="0" w:right="0" w:rightChars="0" w:firstLine="0" w:firstLineChars="0"/>
        <w:jc w:val="center"/>
        <w:textAlignment w:val="auto"/>
        <w:outlineLvl w:val="0"/>
        <w:rPr>
          <w:rStyle w:val="22"/>
          <w:rFonts w:hint="eastAsia" w:ascii="黑体" w:eastAsia="黑体"/>
          <w:b/>
          <w:color w:val="auto"/>
          <w:sz w:val="32"/>
          <w:szCs w:val="32"/>
          <w:lang w:val="en-US" w:eastAsia="zh-CN"/>
        </w:rPr>
      </w:pPr>
      <w:bookmarkStart w:id="106" w:name="_Toc28835"/>
      <w:bookmarkStart w:id="107" w:name="_Toc23710"/>
      <w:bookmarkStart w:id="108" w:name="_Toc26533"/>
      <w:bookmarkStart w:id="109" w:name="_Toc18979"/>
      <w:bookmarkStart w:id="110" w:name="_Toc12447"/>
      <w:r>
        <w:rPr>
          <w:rStyle w:val="22"/>
          <w:rFonts w:hint="eastAsia" w:ascii="黑体" w:eastAsia="黑体"/>
          <w:b/>
          <w:color w:val="auto"/>
          <w:sz w:val="32"/>
          <w:szCs w:val="32"/>
          <w:lang w:val="en-US" w:eastAsia="zh-CN"/>
        </w:rPr>
        <w:t xml:space="preserve">第一章  </w:t>
      </w:r>
      <w:bookmarkEnd w:id="106"/>
      <w:bookmarkEnd w:id="107"/>
      <w:bookmarkEnd w:id="108"/>
      <w:r>
        <w:rPr>
          <w:rStyle w:val="22"/>
          <w:rFonts w:hint="eastAsia" w:ascii="黑体" w:eastAsia="黑体"/>
          <w:b/>
          <w:color w:val="auto"/>
          <w:sz w:val="32"/>
          <w:szCs w:val="32"/>
          <w:lang w:val="en-US" w:eastAsia="zh-CN"/>
        </w:rPr>
        <w:t>项目概要</w:t>
      </w:r>
      <w:bookmarkEnd w:id="109"/>
      <w:bookmarkEnd w:id="110"/>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111" w:name="_Toc11421"/>
      <w:bookmarkStart w:id="112" w:name="_Toc29549"/>
      <w:bookmarkStart w:id="113" w:name="_Toc28025"/>
      <w:bookmarkStart w:id="114" w:name="_Toc7252"/>
      <w:bookmarkStart w:id="115" w:name="_Toc2923"/>
      <w:r>
        <w:rPr>
          <w:rFonts w:hint="eastAsia" w:ascii="黑体" w:hAnsi="黑体"/>
          <w:b/>
          <w:bCs/>
          <w:sz w:val="30"/>
          <w:szCs w:val="30"/>
          <w:lang w:val="en-US" w:eastAsia="zh-CN"/>
        </w:rPr>
        <w:t>1.1项目背景</w:t>
      </w:r>
      <w:bookmarkEnd w:id="111"/>
      <w:bookmarkEnd w:id="112"/>
      <w:bookmarkEnd w:id="113"/>
      <w:bookmarkEnd w:id="114"/>
      <w:bookmarkEnd w:id="115"/>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b w:val="0"/>
          <w:bCs w:val="0"/>
          <w:sz w:val="28"/>
          <w:szCs w:val="28"/>
          <w:lang w:val="en-US" w:eastAsia="zh-CN"/>
        </w:rPr>
      </w:pPr>
      <w:bookmarkStart w:id="116" w:name="_Toc14245"/>
      <w:r>
        <w:rPr>
          <w:rFonts w:hint="eastAsia" w:ascii="仿宋_GB2312" w:hAnsi="仿宋_GB2312" w:eastAsia="仿宋_GB2312" w:cs="仿宋_GB2312"/>
          <w:b w:val="0"/>
          <w:bCs w:val="0"/>
          <w:sz w:val="28"/>
          <w:szCs w:val="28"/>
          <w:lang w:val="en-US" w:eastAsia="zh-CN"/>
        </w:rPr>
        <w:t>吴起县地处毛乌素沙地南缘与黄土高原丘陵沟整区的过渡地带，属白于山核心区域，这里曾经缺林少绿、生态退化、水土流失严重、农作物广种薄收、社会经济极其落后。自1978年</w:t>
      </w:r>
      <w:r>
        <w:rPr>
          <w:rFonts w:hint="eastAsia" w:ascii="仿宋_GB2312" w:hAnsi="宋体" w:eastAsia="仿宋_GB2312"/>
          <w:sz w:val="28"/>
          <w:szCs w:val="28"/>
          <w:lang w:eastAsia="zh-CN"/>
        </w:rPr>
        <w:t>三北</w:t>
      </w:r>
      <w:r>
        <w:rPr>
          <w:rFonts w:hint="eastAsia" w:ascii="仿宋_GB2312" w:hAnsi="宋体" w:eastAsia="仿宋_GB2312"/>
          <w:sz w:val="28"/>
          <w:szCs w:val="28"/>
        </w:rPr>
        <w:t>防护林体系建设</w:t>
      </w:r>
      <w:r>
        <w:rPr>
          <w:rFonts w:hint="eastAsia" w:ascii="仿宋_GB2312" w:hAnsi="宋体" w:eastAsia="仿宋_GB2312"/>
          <w:sz w:val="28"/>
          <w:szCs w:val="28"/>
          <w:lang w:eastAsia="zh-CN"/>
        </w:rPr>
        <w:t>工程实施以来，特别是</w:t>
      </w:r>
      <w:r>
        <w:rPr>
          <w:rFonts w:hint="eastAsia" w:ascii="仿宋_GB2312" w:hAnsi="宋体" w:eastAsia="仿宋_GB2312"/>
          <w:sz w:val="28"/>
          <w:szCs w:val="28"/>
          <w:lang w:val="en-US" w:eastAsia="zh-CN"/>
        </w:rPr>
        <w:t>1998年，</w:t>
      </w:r>
      <w:r>
        <w:rPr>
          <w:rFonts w:hint="eastAsia" w:ascii="仿宋_GB2312" w:hAnsi="仿宋_GB2312" w:eastAsia="仿宋_GB2312" w:cs="仿宋_GB2312"/>
          <w:b w:val="0"/>
          <w:bCs w:val="0"/>
          <w:sz w:val="28"/>
          <w:szCs w:val="28"/>
          <w:lang w:val="en-US" w:eastAsia="zh-CN"/>
        </w:rPr>
        <w:t>吴起县委县政府积极响应中央提出的“再造一个山川秀美</w:t>
      </w:r>
      <w:r>
        <w:rPr>
          <w:rFonts w:hint="eastAsia" w:ascii="仿宋_GB2312" w:hAnsi="宋体" w:eastAsia="仿宋_GB2312"/>
          <w:sz w:val="28"/>
          <w:szCs w:val="28"/>
          <w:lang w:val="en-US" w:eastAsia="zh-CN"/>
        </w:rPr>
        <w:t>的西北地区”口号,在全国率先实施封山禁牧和退耕还林，</w:t>
      </w:r>
      <w:r>
        <w:rPr>
          <w:rFonts w:hint="eastAsia" w:ascii="仿宋_GB2312" w:hAnsi="宋体" w:eastAsia="仿宋_GB2312"/>
          <w:sz w:val="28"/>
          <w:szCs w:val="28"/>
          <w:lang w:eastAsia="zh-CN"/>
        </w:rPr>
        <w:t>至</w:t>
      </w:r>
      <w:r>
        <w:rPr>
          <w:rFonts w:hint="eastAsia" w:ascii="仿宋_GB2312" w:hAnsi="宋体" w:eastAsia="仿宋_GB2312"/>
          <w:sz w:val="28"/>
          <w:szCs w:val="28"/>
          <w:lang w:val="en-US" w:eastAsia="zh-CN"/>
        </w:rPr>
        <w:t>2012年，</w:t>
      </w:r>
      <w:r>
        <w:rPr>
          <w:rFonts w:hint="eastAsia" w:ascii="仿宋_GB2312" w:hAnsi="宋体" w:eastAsia="仿宋_GB2312"/>
          <w:sz w:val="28"/>
          <w:szCs w:val="28"/>
          <w:lang w:eastAsia="zh-CN"/>
        </w:rPr>
        <w:t>累计完成退耕还林面积244.79万亩，经国家确认兑现18</w:t>
      </w:r>
      <w:r>
        <w:rPr>
          <w:rFonts w:hint="eastAsia" w:ascii="仿宋_GB2312" w:hAnsi="宋体" w:eastAsia="仿宋_GB2312"/>
          <w:sz w:val="28"/>
          <w:szCs w:val="28"/>
          <w:lang w:val="en-US" w:eastAsia="zh-CN"/>
        </w:rPr>
        <w:t>4.87</w:t>
      </w:r>
      <w:r>
        <w:rPr>
          <w:rFonts w:hint="eastAsia" w:ascii="仿宋_GB2312" w:hAnsi="宋体" w:eastAsia="仿宋_GB2312"/>
          <w:sz w:val="28"/>
          <w:szCs w:val="28"/>
          <w:lang w:eastAsia="zh-CN"/>
        </w:rPr>
        <w:t>万亩，</w:t>
      </w:r>
      <w:r>
        <w:rPr>
          <w:rFonts w:hint="eastAsia" w:ascii="仿宋_GB2312" w:hAnsi="宋体" w:eastAsia="仿宋_GB2312"/>
          <w:sz w:val="28"/>
          <w:szCs w:val="28"/>
          <w:lang w:val="en-US" w:eastAsia="zh-CN"/>
        </w:rPr>
        <w:t>成为全国退耕还林第一县。经过二十余年全县人民的艰苦努力,</w:t>
      </w:r>
      <w:r>
        <w:rPr>
          <w:rFonts w:hint="eastAsia" w:ascii="仿宋_GB2312" w:hAnsi="宋体" w:eastAsia="仿宋_GB2312"/>
          <w:sz w:val="28"/>
          <w:szCs w:val="28"/>
          <w:lang w:eastAsia="zh-CN"/>
        </w:rPr>
        <w:t>营造起以防风固沙、水土保持、水源涵养等为主的防护林214.64</w:t>
      </w:r>
      <w:r>
        <w:rPr>
          <w:rFonts w:hint="eastAsia" w:ascii="仿宋_GB2312" w:hAnsi="宋体" w:eastAsia="仿宋_GB2312"/>
          <w:sz w:val="28"/>
          <w:szCs w:val="28"/>
          <w:lang w:val="en-US" w:eastAsia="zh-CN"/>
        </w:rPr>
        <w:t>万亩，对保障农业生产、控制水土流失、改善人居环境、促进区域经济社会发展发挥了重要作用</w:t>
      </w:r>
      <w:r>
        <w:rPr>
          <w:rFonts w:hint="eastAsia" w:ascii="仿宋_GB2312" w:hAnsi="仿宋_GB2312" w:eastAsia="仿宋_GB2312" w:cs="仿宋_GB2312"/>
          <w:b w:val="0"/>
          <w:bCs w:val="0"/>
          <w:sz w:val="28"/>
          <w:szCs w:val="28"/>
          <w:lang w:val="en-US" w:eastAsia="zh-CN"/>
        </w:rPr>
        <w:t>，生动诠释了“绿水青山就是金山银山”的生态文明理念。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近年来，随着各项工程建设的持续推进，工程初期营造的防护林已陆续进入树木生理成过熟期，枯立木、濒死木株数日渐增多，防护林退化衰败现象日趋严重，难以自然更新恢复和维持稳定的生长状态。另外，受当时经济社会发展</w:t>
      </w:r>
      <w:r>
        <w:rPr>
          <w:rFonts w:hint="eastAsia" w:ascii="仿宋_GB2312" w:hAnsi="宋体" w:eastAsia="仿宋_GB2312"/>
          <w:sz w:val="28"/>
          <w:szCs w:val="28"/>
          <w:lang w:val="ca-ES" w:eastAsia="zh-CN"/>
        </w:rPr>
        <w:t>水平</w:t>
      </w:r>
      <w:r>
        <w:rPr>
          <w:rFonts w:hint="eastAsia" w:ascii="仿宋_GB2312" w:hAnsi="宋体" w:eastAsia="仿宋_GB2312"/>
          <w:sz w:val="28"/>
          <w:szCs w:val="28"/>
          <w:lang w:val="en-US" w:eastAsia="zh-CN"/>
        </w:rPr>
        <w:t>和科技条件等因素所限，防护林普遍存在树种单一、结构简单、初植密度过大、林分生长不良等情况。加之气候变化、自然灾害等因素影响，导致防护功能整体下降、病虫害加重，影响林业生态建设成效的发挥。</w:t>
      </w:r>
    </w:p>
    <w:p>
      <w:pPr>
        <w:numPr>
          <w:ilvl w:val="0"/>
          <w:numId w:val="1"/>
        </w:numPr>
        <w:autoSpaceDE w:val="0"/>
        <w:autoSpaceDN w:val="0"/>
        <w:adjustRightInd w:val="0"/>
        <w:spacing w:line="600" w:lineRule="exact"/>
        <w:ind w:left="0" w:leftChars="0"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为深入学习贯彻习近平总书记等中央领导同志关于加强三北工程退化林修复改造的重要指示精神，认真贯彻</w:t>
      </w:r>
      <w:r>
        <w:rPr>
          <w:rFonts w:hint="eastAsia" w:ascii="仿宋_GB2312" w:eastAsia="仿宋_GB2312"/>
          <w:sz w:val="28"/>
          <w:szCs w:val="28"/>
          <w:lang w:val="en-US" w:eastAsia="zh-CN"/>
        </w:rPr>
        <w:t>落实</w:t>
      </w:r>
      <w:r>
        <w:rPr>
          <w:rFonts w:hint="eastAsia" w:ascii="仿宋_GB2312" w:hAnsi="宋体" w:eastAsia="仿宋_GB2312"/>
          <w:sz w:val="28"/>
          <w:szCs w:val="28"/>
          <w:lang w:val="en-US" w:eastAsia="zh-CN"/>
        </w:rPr>
        <w:t>三北工程建设40周年总结表彰大会的工作部署，稳步推进三北工程退化林修复改造工作，达到不断提升林草资源总量和质量的目标，国家林业和草原局三北防护林建设局在4年试点的基础上，及时下发了《关于全面落实三北工程退化林修复改造任务的通知》（林防造字[2019]9号），标志着</w:t>
      </w:r>
      <w:r>
        <w:rPr>
          <w:rFonts w:hint="eastAsia" w:ascii="仿宋_GB2312" w:eastAsia="仿宋_GB2312"/>
          <w:b w:val="0"/>
          <w:bCs w:val="0"/>
          <w:sz w:val="28"/>
          <w:szCs w:val="28"/>
          <w:lang w:val="en-US" w:eastAsia="zh-CN"/>
        </w:rPr>
        <w:t>退化林修复改造已由试点转入全面推进阶段。为加强全县生态建设步伐，提高林分质量，</w:t>
      </w:r>
      <w:r>
        <w:rPr>
          <w:rFonts w:hint="eastAsia" w:ascii="仿宋_GB2312" w:hAnsi="宋体" w:eastAsia="仿宋_GB2312"/>
          <w:sz w:val="28"/>
          <w:szCs w:val="28"/>
          <w:lang w:val="en-US" w:eastAsia="zh-CN"/>
        </w:rPr>
        <w:t>2021年8月，吴起县林业局组织开展了县域退化林分布、生长状况、林种（树种）结构等现状调查，在此基础上委托设计单位依据《退化防护林修复技术规程(LY/T3179-2020)》、《三北防护林退化林分修复技术规程(LY/T2786-2017)》等有关技术规定和要求,结合县域退化林实际情况，编制完成《吴起县2021年县级财政退化林修复作业设计》。</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117" w:name="_Toc4534"/>
      <w:bookmarkStart w:id="118" w:name="_Toc24166"/>
      <w:bookmarkStart w:id="119" w:name="_Toc22456"/>
      <w:bookmarkStart w:id="120" w:name="_Toc7532"/>
      <w:r>
        <w:rPr>
          <w:rFonts w:hint="eastAsia" w:ascii="黑体" w:hAnsi="黑体"/>
          <w:b/>
          <w:bCs/>
          <w:sz w:val="30"/>
          <w:szCs w:val="30"/>
          <w:lang w:val="en-US" w:eastAsia="zh-CN"/>
        </w:rPr>
        <w:t>1.2项目建设单位情况</w:t>
      </w:r>
      <w:bookmarkEnd w:id="116"/>
      <w:bookmarkEnd w:id="117"/>
      <w:bookmarkEnd w:id="118"/>
      <w:bookmarkEnd w:id="119"/>
      <w:bookmarkEnd w:id="120"/>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rPr>
        <w:t>(1)林业机构与人员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吴起县</w:t>
      </w:r>
      <w:r>
        <w:rPr>
          <w:rFonts w:hint="eastAsia" w:ascii="仿宋_GB2312" w:hAnsi="仿宋_GB2312" w:eastAsia="仿宋_GB2312" w:cs="仿宋_GB2312"/>
          <w:b w:val="0"/>
          <w:bCs w:val="0"/>
          <w:sz w:val="28"/>
          <w:szCs w:val="28"/>
          <w:lang w:val="en-US" w:eastAsia="zh-CN"/>
        </w:rPr>
        <w:t>林业局</w:t>
      </w:r>
      <w:r>
        <w:rPr>
          <w:rFonts w:hint="eastAsia" w:ascii="仿宋_GB2312" w:hAnsi="宋体" w:eastAsia="仿宋_GB2312"/>
          <w:sz w:val="28"/>
          <w:szCs w:val="28"/>
          <w:lang w:val="en-US" w:eastAsia="zh-CN"/>
        </w:rPr>
        <w:t>为县林业行政主管部门,下设林业站、退耕办、天保中心、防火办、苗木站、森林公园管理处和森林</w:t>
      </w:r>
      <w:r>
        <w:rPr>
          <w:rFonts w:hint="eastAsia" w:ascii="仿宋_GB2312" w:eastAsia="仿宋_GB2312"/>
          <w:sz w:val="28"/>
          <w:szCs w:val="28"/>
          <w:lang w:val="en-US" w:eastAsia="zh-CN"/>
        </w:rPr>
        <w:t>公安局</w:t>
      </w:r>
      <w:r>
        <w:rPr>
          <w:rFonts w:hint="eastAsia" w:ascii="仿宋_GB2312" w:hAnsi="宋体" w:eastAsia="仿宋_GB2312"/>
          <w:sz w:val="28"/>
          <w:szCs w:val="28"/>
          <w:lang w:val="en-US" w:eastAsia="zh-CN"/>
        </w:rPr>
        <w:t>部门,下属周湾、铁边城两个国有林场,洛源,长城镇等13个林业分站，五谷城、楼坊坪、吴仓堡三个苗圃。全县共有林业干部职工316人，其中研究生学历4人，本科学历46人，大专学历58人，中专学历77人。全具林业专业技术人员138人，其中工程师以上45人,组织机构较为健全。</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rPr>
        <w:t>(2)林业生产情况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宋体" w:eastAsia="仿宋_GB2312"/>
          <w:sz w:val="28"/>
          <w:szCs w:val="28"/>
          <w:lang w:val="en-US" w:eastAsia="zh-CN"/>
        </w:rPr>
      </w:pPr>
      <w:bookmarkStart w:id="121" w:name="_Toc17548"/>
      <w:r>
        <w:rPr>
          <w:rFonts w:hint="eastAsia" w:ascii="仿宋_GB2312" w:hAnsi="宋体" w:eastAsia="仿宋_GB2312"/>
          <w:sz w:val="28"/>
          <w:szCs w:val="28"/>
          <w:lang w:val="en-US" w:eastAsia="zh-CN"/>
        </w:rPr>
        <w:t>吴起县的林业发展经历了相当曲折的历程。1949年到1957年,是吴起县林业发展的黄金时期，全县采取了一系列促连林业生产发展的政策,先后采用公私合作造林、联股造林、集体造林、国营造林等多种形式，由于政策深得民心,因而解放了农村生产力,促进了林业生产的发展。从1958年开始，由于“大跃进”和人民公社化运动，林业生产随之出观了缓慢、停滞，甚至毁林开荒，该时期是吴起森林遭到破坏最严重的时期。“文化大革命”的十年，吴起林业发展再次受挫，党的十一届三中全会以来,党中央正确地、实事求是地提出了一系列放宽农村政策、搞活农村经济的决策，实行了林业“三定”,吴起县林业生产走上了健康发展的道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新时期，吴起县县委、县政府更加重视林业生产工作，遭到破坏的森林资源正在逐步</w:t>
      </w:r>
      <w:r>
        <w:rPr>
          <w:rFonts w:hint="eastAsia" w:ascii="仿宋_GB2312" w:hAnsi="仿宋_GB2312" w:eastAsia="仿宋_GB2312" w:cs="仿宋_GB2312"/>
          <w:b w:val="0"/>
          <w:bCs w:val="0"/>
          <w:sz w:val="28"/>
          <w:szCs w:val="28"/>
          <w:lang w:val="en-US" w:eastAsia="zh-CN"/>
        </w:rPr>
        <w:t>恢复</w:t>
      </w:r>
      <w:r>
        <w:rPr>
          <w:rFonts w:hint="eastAsia" w:ascii="仿宋_GB2312" w:hAnsi="宋体" w:eastAsia="仿宋_GB2312"/>
          <w:sz w:val="28"/>
          <w:szCs w:val="28"/>
          <w:lang w:val="en-US" w:eastAsia="zh-CN"/>
        </w:rPr>
        <w:t>。特别是国家三大林业生态工程的启动，全县群众造林积极性高涨，造林质量显著提高，林业生产形势喜人，森林面积迅速增加。吴起县及时调整林业发展战略，加强退耕还林为主的林业生态工程建设，经过十几年的努力，林业显现出良好的发展势头，被国家林业局、水利部、财政部确定为“全国退耕还林示范县”、“全国水土保持先进集体”和“全国退耕还林与扶贫工作结合试点县”。</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122" w:name="_Toc1584"/>
      <w:bookmarkStart w:id="123" w:name="_Toc28112"/>
      <w:bookmarkStart w:id="124" w:name="_Toc2157"/>
      <w:bookmarkStart w:id="125" w:name="_Toc5549"/>
      <w:r>
        <w:rPr>
          <w:rFonts w:hint="eastAsia" w:ascii="黑体" w:hAnsi="黑体"/>
          <w:b/>
          <w:bCs/>
          <w:sz w:val="30"/>
          <w:szCs w:val="30"/>
          <w:lang w:val="en-US" w:eastAsia="zh-CN"/>
        </w:rPr>
        <w:t>1.3编制目的</w:t>
      </w:r>
      <w:bookmarkEnd w:id="121"/>
      <w:bookmarkEnd w:id="122"/>
      <w:bookmarkEnd w:id="123"/>
      <w:bookmarkEnd w:id="124"/>
      <w:bookmarkEnd w:id="125"/>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eastAsia="zh-CN"/>
        </w:rPr>
      </w:pPr>
      <w:bookmarkStart w:id="126" w:name="_Toc4935"/>
      <w:r>
        <w:rPr>
          <w:rFonts w:hint="eastAsia" w:ascii="仿宋_GB2312" w:eastAsia="仿宋_GB2312"/>
          <w:sz w:val="28"/>
          <w:szCs w:val="28"/>
          <w:lang w:eastAsia="zh-CN"/>
        </w:rPr>
        <w:t>吴起县全县森林植被全部为人工林，且以防护林居多，防护林在防风固沙、涵养水源、抵御自然灾害、保护生产、维持生态平衡和改善环境等方面发挥着重要作用，然而防护林退化问题在世界范围内已经成为一个</w:t>
      </w:r>
      <w:r>
        <w:rPr>
          <w:rFonts w:hint="eastAsia" w:ascii="仿宋_GB2312" w:hAnsi="仿宋_GB2312" w:eastAsia="仿宋_GB2312" w:cs="仿宋_GB2312"/>
          <w:b w:val="0"/>
          <w:bCs w:val="0"/>
          <w:sz w:val="28"/>
          <w:szCs w:val="28"/>
          <w:lang w:val="en-US" w:eastAsia="zh-CN"/>
        </w:rPr>
        <w:t>十分</w:t>
      </w:r>
      <w:r>
        <w:rPr>
          <w:rFonts w:hint="eastAsia" w:ascii="仿宋_GB2312" w:eastAsia="仿宋_GB2312"/>
          <w:sz w:val="28"/>
          <w:szCs w:val="28"/>
          <w:lang w:eastAsia="zh-CN"/>
        </w:rPr>
        <w:t>严峻的问题，并已成为全球环境发展的难题之一。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吴起县开展</w:t>
      </w:r>
      <w:r>
        <w:rPr>
          <w:rFonts w:hint="eastAsia" w:ascii="仿宋_GB2312" w:eastAsia="仿宋_GB2312"/>
          <w:sz w:val="28"/>
          <w:szCs w:val="28"/>
          <w:lang w:val="en-US" w:eastAsia="zh-CN"/>
        </w:rPr>
        <w:t>县级财政</w:t>
      </w:r>
      <w:r>
        <w:rPr>
          <w:rFonts w:hint="eastAsia" w:ascii="仿宋_GB2312" w:eastAsia="仿宋_GB2312"/>
          <w:sz w:val="28"/>
          <w:szCs w:val="28"/>
          <w:lang w:eastAsia="zh-CN"/>
        </w:rPr>
        <w:t>退化林修复</w:t>
      </w:r>
      <w:r>
        <w:rPr>
          <w:rFonts w:hint="eastAsia" w:ascii="仿宋_GB2312" w:eastAsia="仿宋_GB2312"/>
          <w:sz w:val="28"/>
          <w:szCs w:val="28"/>
          <w:lang w:val="en-US" w:eastAsia="zh-CN"/>
        </w:rPr>
        <w:t>项目</w:t>
      </w:r>
      <w:r>
        <w:rPr>
          <w:rFonts w:hint="eastAsia" w:ascii="仿宋_GB2312" w:eastAsia="仿宋_GB2312"/>
          <w:sz w:val="28"/>
          <w:szCs w:val="28"/>
          <w:lang w:eastAsia="zh-CN"/>
        </w:rPr>
        <w:t>，旨在客观分析防护林退化原因，因地制宜、分类指导、科学施策，有针对性通过更新、补造、抚育等人工修复措施，达到</w:t>
      </w:r>
      <w:r>
        <w:rPr>
          <w:rFonts w:hint="eastAsia" w:ascii="仿宋_GB2312" w:eastAsia="仿宋_GB2312"/>
          <w:sz w:val="28"/>
          <w:szCs w:val="28"/>
          <w:lang w:val="en-US" w:eastAsia="zh-CN"/>
        </w:rPr>
        <w:t>调整林种、树种结构，改善林分质量，促进自然更新，增强</w:t>
      </w:r>
      <w:r>
        <w:rPr>
          <w:rFonts w:hint="eastAsia" w:ascii="仿宋_GB2312" w:eastAsia="仿宋_GB2312"/>
          <w:sz w:val="28"/>
          <w:szCs w:val="28"/>
          <w:lang w:eastAsia="zh-CN"/>
        </w:rPr>
        <w:t>防护林稳定性，提升防护功能，兼顾生态经济效益相统一，使生态建设成果持久、稳固、有效发挥作用。</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127" w:name="_Toc3025"/>
      <w:bookmarkStart w:id="128" w:name="_Toc6276"/>
      <w:bookmarkStart w:id="129" w:name="_Toc5374"/>
      <w:bookmarkStart w:id="130" w:name="_Toc15617"/>
      <w:r>
        <w:rPr>
          <w:rFonts w:hint="eastAsia" w:ascii="黑体" w:hAnsi="黑体"/>
          <w:b/>
          <w:bCs/>
          <w:sz w:val="30"/>
          <w:szCs w:val="30"/>
          <w:lang w:val="en-US" w:eastAsia="zh-CN"/>
        </w:rPr>
        <w:t>1.4编制依据</w:t>
      </w:r>
      <w:bookmarkEnd w:id="126"/>
      <w:bookmarkEnd w:id="127"/>
      <w:bookmarkEnd w:id="128"/>
      <w:bookmarkEnd w:id="129"/>
      <w:bookmarkEnd w:id="13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zh-CN" w:eastAsia="zh-CN"/>
        </w:rPr>
      </w:pPr>
      <w:bookmarkStart w:id="131" w:name="_Toc24496"/>
      <w:r>
        <w:rPr>
          <w:rFonts w:hint="eastAsia" w:ascii="仿宋_GB2312" w:eastAsia="仿宋_GB2312"/>
          <w:sz w:val="28"/>
          <w:szCs w:val="28"/>
          <w:lang w:val="zh-CN" w:eastAsia="zh-CN"/>
        </w:rPr>
        <w:t>（</w:t>
      </w:r>
      <w:r>
        <w:rPr>
          <w:rFonts w:hint="eastAsia" w:ascii="仿宋_GB2312" w:eastAsia="仿宋_GB2312"/>
          <w:sz w:val="28"/>
          <w:szCs w:val="28"/>
          <w:lang w:val="en-US" w:eastAsia="zh-CN"/>
        </w:rPr>
        <w:t>1</w:t>
      </w:r>
      <w:r>
        <w:rPr>
          <w:rFonts w:hint="eastAsia" w:ascii="仿宋_GB2312" w:eastAsia="仿宋_GB2312"/>
          <w:sz w:val="28"/>
          <w:szCs w:val="28"/>
          <w:lang w:val="zh-CN" w:eastAsia="zh-CN"/>
        </w:rPr>
        <w:t>）《关于全面落实三北工程退化林修复改造任务的通知》（林防造字〔2019〕9号）；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zh-CN"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2</w:t>
      </w:r>
      <w:r>
        <w:rPr>
          <w:rFonts w:hint="eastAsia" w:ascii="仿宋_GB2312" w:eastAsia="仿宋_GB2312"/>
          <w:sz w:val="28"/>
          <w:szCs w:val="28"/>
          <w:lang w:eastAsia="zh-CN"/>
        </w:rPr>
        <w:t>）《造林技术规程》GB/T 15776-2016；</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zh-CN" w:eastAsia="zh-CN"/>
        </w:rPr>
      </w:pPr>
      <w:r>
        <w:rPr>
          <w:rFonts w:hint="eastAsia" w:ascii="仿宋_GB2312" w:eastAsia="仿宋_GB2312"/>
          <w:sz w:val="28"/>
          <w:szCs w:val="28"/>
          <w:lang w:val="zh-CN" w:eastAsia="zh-CN"/>
        </w:rPr>
        <w:t>（</w:t>
      </w:r>
      <w:r>
        <w:rPr>
          <w:rFonts w:hint="eastAsia" w:ascii="仿宋_GB2312" w:eastAsia="仿宋_GB2312"/>
          <w:sz w:val="28"/>
          <w:szCs w:val="28"/>
          <w:lang w:val="en-US" w:eastAsia="zh-CN"/>
        </w:rPr>
        <w:t>3</w:t>
      </w:r>
      <w:r>
        <w:rPr>
          <w:rFonts w:hint="eastAsia" w:ascii="仿宋_GB2312" w:eastAsia="仿宋_GB2312"/>
          <w:sz w:val="28"/>
          <w:szCs w:val="28"/>
          <w:lang w:val="zh-CN" w:eastAsia="zh-CN"/>
        </w:rPr>
        <w:t>）《造林作业设计规程》LY/T 1607-2003；</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zh-CN" w:eastAsia="zh-CN"/>
        </w:rPr>
      </w:pPr>
      <w:r>
        <w:rPr>
          <w:rFonts w:hint="eastAsia" w:ascii="仿宋_GB2312" w:eastAsia="仿宋_GB2312"/>
          <w:sz w:val="28"/>
          <w:szCs w:val="28"/>
          <w:lang w:val="zh-CN" w:eastAsia="zh-CN"/>
        </w:rPr>
        <w:t>（</w:t>
      </w:r>
      <w:r>
        <w:rPr>
          <w:rFonts w:hint="eastAsia" w:ascii="仿宋_GB2312" w:eastAsia="仿宋_GB2312"/>
          <w:sz w:val="28"/>
          <w:szCs w:val="28"/>
          <w:lang w:val="en-US" w:eastAsia="zh-CN"/>
        </w:rPr>
        <w:t>4</w:t>
      </w:r>
      <w:r>
        <w:rPr>
          <w:rFonts w:hint="eastAsia" w:ascii="仿宋_GB2312" w:eastAsia="仿宋_GB2312"/>
          <w:sz w:val="28"/>
          <w:szCs w:val="28"/>
          <w:lang w:val="zh-CN" w:eastAsia="zh-CN"/>
        </w:rPr>
        <w:t>）《退化防护林修复技术规程》LY/T 3179-2020；</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zh-CN" w:eastAsia="zh-CN"/>
        </w:rPr>
      </w:pPr>
      <w:r>
        <w:rPr>
          <w:rFonts w:hint="eastAsia" w:ascii="仿宋_GB2312" w:eastAsia="仿宋_GB2312"/>
          <w:sz w:val="28"/>
          <w:szCs w:val="28"/>
          <w:lang w:val="zh-CN" w:eastAsia="zh-CN"/>
        </w:rPr>
        <w:t>（</w:t>
      </w:r>
      <w:r>
        <w:rPr>
          <w:rFonts w:hint="eastAsia" w:ascii="仿宋_GB2312" w:eastAsia="仿宋_GB2312"/>
          <w:sz w:val="28"/>
          <w:szCs w:val="28"/>
          <w:lang w:val="en-US" w:eastAsia="zh-CN"/>
        </w:rPr>
        <w:t>5</w:t>
      </w:r>
      <w:r>
        <w:rPr>
          <w:rFonts w:hint="eastAsia" w:ascii="仿宋_GB2312" w:eastAsia="仿宋_GB2312"/>
          <w:sz w:val="28"/>
          <w:szCs w:val="28"/>
          <w:lang w:val="zh-CN" w:eastAsia="zh-CN"/>
        </w:rPr>
        <w:t>）《三北防护林退化林分修复技术规程》LY/T 2786—2017;</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zh-CN" w:eastAsia="zh-CN"/>
        </w:rPr>
      </w:pPr>
      <w:r>
        <w:rPr>
          <w:rFonts w:hint="eastAsia" w:ascii="仿宋_GB2312" w:eastAsia="仿宋_GB2312"/>
          <w:sz w:val="28"/>
          <w:szCs w:val="28"/>
          <w:lang w:val="zh-CN" w:eastAsia="zh-CN"/>
        </w:rPr>
        <w:t>（</w:t>
      </w:r>
      <w:r>
        <w:rPr>
          <w:rFonts w:hint="eastAsia" w:ascii="仿宋_GB2312" w:eastAsia="仿宋_GB2312"/>
          <w:sz w:val="28"/>
          <w:szCs w:val="28"/>
          <w:lang w:val="en-US" w:eastAsia="zh-CN"/>
        </w:rPr>
        <w:t>6</w:t>
      </w:r>
      <w:r>
        <w:rPr>
          <w:rFonts w:hint="eastAsia" w:ascii="仿宋_GB2312" w:eastAsia="仿宋_GB2312"/>
          <w:sz w:val="28"/>
          <w:szCs w:val="28"/>
          <w:lang w:val="zh-CN" w:eastAsia="zh-CN"/>
        </w:rPr>
        <w:t>）《防护林造林工程投资估算指标》(林规发[2016]58号)；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zh-CN" w:eastAsia="zh-CN"/>
        </w:rPr>
      </w:pPr>
      <w:r>
        <w:rPr>
          <w:rFonts w:hint="eastAsia" w:ascii="仿宋_GB2312" w:eastAsia="仿宋_GB2312"/>
          <w:sz w:val="28"/>
          <w:szCs w:val="28"/>
          <w:lang w:val="zh-CN" w:eastAsia="zh-CN"/>
        </w:rPr>
        <w:t>（</w:t>
      </w:r>
      <w:r>
        <w:rPr>
          <w:rFonts w:hint="eastAsia" w:ascii="仿宋_GB2312" w:eastAsia="仿宋_GB2312"/>
          <w:sz w:val="28"/>
          <w:szCs w:val="28"/>
          <w:lang w:val="en-US" w:eastAsia="zh-CN"/>
        </w:rPr>
        <w:t>7</w:t>
      </w:r>
      <w:r>
        <w:rPr>
          <w:rFonts w:hint="eastAsia" w:ascii="仿宋_GB2312" w:eastAsia="仿宋_GB2312"/>
          <w:sz w:val="28"/>
          <w:szCs w:val="28"/>
          <w:lang w:val="zh-CN" w:eastAsia="zh-CN"/>
        </w:rPr>
        <w:t>）《陕西省主要造林树种苗木质量分级》DB61/T 378-2006；</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zh-CN" w:eastAsia="zh-CN"/>
        </w:rPr>
      </w:pPr>
      <w:r>
        <w:rPr>
          <w:rFonts w:hint="eastAsia" w:ascii="仿宋_GB2312" w:eastAsia="仿宋_GB2312"/>
          <w:sz w:val="28"/>
          <w:szCs w:val="28"/>
          <w:lang w:val="zh-CN" w:eastAsia="zh-CN"/>
        </w:rPr>
        <w:t>（</w:t>
      </w:r>
      <w:r>
        <w:rPr>
          <w:rFonts w:hint="eastAsia" w:ascii="仿宋_GB2312" w:eastAsia="仿宋_GB2312"/>
          <w:sz w:val="28"/>
          <w:szCs w:val="28"/>
          <w:lang w:val="en-US" w:eastAsia="zh-CN"/>
        </w:rPr>
        <w:t>8</w:t>
      </w:r>
      <w:r>
        <w:rPr>
          <w:rFonts w:hint="eastAsia" w:ascii="仿宋_GB2312" w:eastAsia="仿宋_GB2312"/>
          <w:sz w:val="28"/>
          <w:szCs w:val="28"/>
          <w:lang w:val="zh-CN" w:eastAsia="zh-CN"/>
        </w:rPr>
        <w:t>）《陕西省森林资源规划设计调查实施办法》2005年1月；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zh-CN" w:eastAsia="zh-CN"/>
        </w:rPr>
      </w:pPr>
      <w:r>
        <w:rPr>
          <w:rFonts w:hint="eastAsia" w:ascii="仿宋_GB2312" w:eastAsia="仿宋_GB2312"/>
          <w:sz w:val="28"/>
          <w:szCs w:val="28"/>
          <w:lang w:val="zh-CN" w:eastAsia="zh-CN"/>
        </w:rPr>
        <w:t>（</w:t>
      </w:r>
      <w:r>
        <w:rPr>
          <w:rFonts w:hint="eastAsia" w:ascii="仿宋_GB2312" w:eastAsia="仿宋_GB2312"/>
          <w:sz w:val="28"/>
          <w:szCs w:val="28"/>
          <w:lang w:val="en-US" w:eastAsia="zh-CN"/>
        </w:rPr>
        <w:t>9</w:t>
      </w:r>
      <w:r>
        <w:rPr>
          <w:rFonts w:hint="eastAsia" w:ascii="仿宋_GB2312" w:eastAsia="仿宋_GB2312"/>
          <w:sz w:val="28"/>
          <w:szCs w:val="28"/>
          <w:lang w:val="zh-CN" w:eastAsia="zh-CN"/>
        </w:rPr>
        <w:t>）《吴起县退化防护林修复规划(2016-2025年)》。</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132" w:name="_Toc25970"/>
      <w:bookmarkStart w:id="133" w:name="_Toc8762"/>
      <w:bookmarkStart w:id="134" w:name="_Toc5119"/>
      <w:bookmarkStart w:id="135" w:name="_Toc32287"/>
      <w:r>
        <w:rPr>
          <w:rFonts w:hint="eastAsia" w:ascii="黑体" w:hAnsi="黑体"/>
          <w:b/>
          <w:bCs/>
          <w:sz w:val="30"/>
          <w:szCs w:val="30"/>
          <w:lang w:val="en-US" w:eastAsia="zh-CN"/>
        </w:rPr>
        <w:t>1.5项目建设的必要性</w:t>
      </w:r>
      <w:bookmarkEnd w:id="132"/>
      <w:bookmarkEnd w:id="133"/>
      <w:bookmarkEnd w:id="134"/>
      <w:bookmarkEnd w:id="135"/>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eastAsia="仿宋_GB2312"/>
          <w:b/>
          <w:bCs/>
          <w:sz w:val="28"/>
          <w:szCs w:val="28"/>
          <w:lang w:val="en-US" w:eastAsia="zh-CN"/>
        </w:rPr>
      </w:pPr>
      <w:bookmarkStart w:id="136" w:name="_Toc261287138"/>
      <w:r>
        <w:rPr>
          <w:rFonts w:hint="eastAsia" w:ascii="仿宋_GB2312" w:eastAsia="仿宋_GB2312"/>
          <w:b/>
          <w:bCs/>
          <w:sz w:val="28"/>
          <w:szCs w:val="28"/>
          <w:lang w:val="en-US" w:eastAsia="zh-CN"/>
        </w:rPr>
        <w:t>（1）退化林修复</w:t>
      </w:r>
      <w:r>
        <w:rPr>
          <w:rFonts w:hint="eastAsia" w:ascii="仿宋_GB2312" w:hAnsi="仿宋_GB2312" w:eastAsia="仿宋_GB2312" w:cs="仿宋_GB2312"/>
          <w:b/>
          <w:bCs/>
          <w:sz w:val="28"/>
          <w:szCs w:val="28"/>
          <w:lang w:val="en-US" w:eastAsia="zh-CN"/>
        </w:rPr>
        <w:t>改造</w:t>
      </w:r>
      <w:r>
        <w:rPr>
          <w:rFonts w:hint="eastAsia" w:ascii="仿宋_GB2312" w:eastAsia="仿宋_GB2312"/>
          <w:b/>
          <w:bCs/>
          <w:sz w:val="28"/>
          <w:szCs w:val="28"/>
          <w:lang w:val="en-US" w:eastAsia="zh-CN"/>
        </w:rPr>
        <w:t>是推进生态文明、建设美丽中国的需要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良好的生态环境是建设生态文明的基础。党的十八大把生态文明建设纳入中国特色社会主义事业五位一体总布局，这是党中央建设</w:t>
      </w:r>
      <w:r>
        <w:rPr>
          <w:rFonts w:hint="eastAsia" w:ascii="仿宋_GB2312" w:hAnsi="仿宋_GB2312" w:eastAsia="仿宋_GB2312" w:cs="仿宋_GB2312"/>
          <w:b w:val="0"/>
          <w:bCs w:val="0"/>
          <w:sz w:val="28"/>
          <w:szCs w:val="28"/>
          <w:lang w:val="en-US" w:eastAsia="zh-CN"/>
        </w:rPr>
        <w:t>和谐</w:t>
      </w:r>
      <w:r>
        <w:rPr>
          <w:rFonts w:hint="eastAsia" w:ascii="仿宋_GB2312" w:eastAsia="仿宋_GB2312"/>
          <w:sz w:val="28"/>
          <w:szCs w:val="28"/>
          <w:lang w:val="en-US" w:eastAsia="zh-CN"/>
        </w:rPr>
        <w:t>社会理念在生态与经济发展方面的升华，是我们党执政兴国理念的新发展，也是生态建设的新目标。1998年前的数十年间，吴起县曾经因乱垦、乱伐、滥牧而陷入“越垦越穷、越穷越垦，越放越荒、越荒越放”的怪圈。1998年，吴起县积极响应党中央“再造一个山川秀美的西北地区”伟大号召，首开全国封山禁牧的先河，掀起了一场史无前例的“绿色革命”。开展退化林修复改造对调动群众持续投身生态建设、改善人居环境、促进人与自然和谐共生、建设生态文明具十分重要的意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（2）退化林修复</w:t>
      </w:r>
      <w:r>
        <w:rPr>
          <w:rFonts w:hint="eastAsia" w:ascii="仿宋_GB2312" w:hAnsi="仿宋_GB2312" w:eastAsia="仿宋_GB2312" w:cs="仿宋_GB2312"/>
          <w:b/>
          <w:bCs/>
          <w:sz w:val="28"/>
          <w:szCs w:val="28"/>
          <w:lang w:val="en-US" w:eastAsia="zh-CN"/>
        </w:rPr>
        <w:t>改造</w:t>
      </w:r>
      <w:r>
        <w:rPr>
          <w:rFonts w:hint="eastAsia" w:ascii="仿宋_GB2312" w:eastAsia="仿宋_GB2312"/>
          <w:b/>
          <w:bCs/>
          <w:sz w:val="28"/>
          <w:szCs w:val="28"/>
          <w:lang w:val="en-US" w:eastAsia="zh-CN"/>
        </w:rPr>
        <w:t>是改善防护林结构、提高防护效能的需要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长期以来，党中央、国务院高度重视林业生态建设，防护林体系建设取得了举世瞩目的成就，有效保障了国家生态安全。但是，改革开放初期人工营造的各类防护林，已陆续进入成过熟期，老化衰败现象日益严重。同时，受当时经济社会发展和科技条件等因素所限，防护林普遍存在树种单一、结构简单、初植密度不合理、林分生长不良等情况。加之气候变化、自然灾害等因素影响，导致防护功能下降、病虫害加重、林木损失加大，影响林业生态建设作用的发挥。迫切需要对退化林进行科学有效的修复改造，提高其防护效能。</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（3）退化林修复改造是构建绿色生态屏障、维护生态安全的需要</w:t>
      </w:r>
      <w:bookmarkEnd w:id="136"/>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三北地区是我国生态环境最脆弱、荒漠化沙化和水土流失最为严重的地区，尤其对我省三北地区来讲，这里涵盖了全省近60%的土地、70%的水土流失面积、100%的沙化和荒漠化土地，年入黄泥沙量占黄河流域年泥沙输入总量的50%。严重的风沙危害和水土流失，不仅严重制约着经济社会发展，也严重威胁着人民群众的生命财产安全。改善陕西省生态环境、维护生态安全，三北地区最关键、最重要、最艰巨。退化防护林修复改造，对于巩固和完善以三北防护林为主体的北方绿色生态屏障，切实解决陕西省面临的主要生态问题，维护生态安全具有十分重大的战略意义。</w:t>
      </w:r>
      <w:bookmarkStart w:id="137" w:name="_Toc261287137"/>
    </w:p>
    <w:bookmarkEnd w:id="137"/>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ascii="仿宋_GB2312" w:eastAsia="仿宋_GB2312"/>
          <w:b/>
          <w:bCs/>
          <w:sz w:val="28"/>
          <w:szCs w:val="28"/>
          <w:lang w:val="en-US" w:eastAsia="zh-CN"/>
        </w:rPr>
      </w:pPr>
      <w:bookmarkStart w:id="138" w:name="_Toc261287136"/>
      <w:r>
        <w:rPr>
          <w:rFonts w:hint="eastAsia" w:ascii="仿宋_GB2312" w:eastAsia="仿宋_GB2312"/>
          <w:b/>
          <w:bCs/>
          <w:sz w:val="28"/>
          <w:szCs w:val="28"/>
          <w:lang w:val="en-US" w:eastAsia="zh-CN"/>
        </w:rPr>
        <w:t>（4）退化林修复改造是</w:t>
      </w:r>
      <w:bookmarkEnd w:id="138"/>
      <w:r>
        <w:rPr>
          <w:rFonts w:hint="eastAsia" w:ascii="仿宋_GB2312" w:eastAsia="仿宋_GB2312"/>
          <w:b/>
          <w:bCs/>
          <w:sz w:val="28"/>
          <w:szCs w:val="28"/>
          <w:lang w:val="en-US" w:eastAsia="zh-CN"/>
        </w:rPr>
        <w:t>完善林业治理体系、提升治理能力的需要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科学做好退化林修复工作，保障防护林健康有序更替，直接关系我国生态建设成果的巩固和提高，关系到生态林业民生林业强大功能的发挥，也将直接关系党的十九大关于建设生态文明战略部署的全面落实。</w:t>
      </w:r>
      <w:r>
        <w:rPr>
          <w:rFonts w:hint="eastAsia" w:ascii="仿宋_GB2312" w:eastAsia="仿宋_GB2312"/>
          <w:sz w:val="28"/>
          <w:szCs w:val="28"/>
          <w:lang w:val="en-US" w:eastAsia="zh-CN"/>
        </w:rPr>
        <w:t>现阶段机构改革赋予了林业部门新的职能和职责，要实现从一“业”（林业）向一个“空间”（生态空间）认知转变，不断完善林业治理体系、提升治理能力，在生态空间治理中科学分析、实事求是，遵循“因害设防，适地适树”、“宜林则林，宜灌则灌，宜草则草”原则，在退化林修复改造中科学配置防护林结构，突出防护林的生态功能，有针对性地优化乔灌草空间配置，扩展生态修复技术思路，增强科技支撑能力，提高退化林修复改造作业质量，促进防护林提质增效，需要在推进退化林修复改造中不断充实和完善。</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139" w:name="_Toc26256"/>
      <w:bookmarkStart w:id="140" w:name="_Toc21276"/>
      <w:bookmarkStart w:id="141" w:name="_Toc5297"/>
      <w:bookmarkStart w:id="142" w:name="_Toc16167"/>
      <w:r>
        <w:rPr>
          <w:rFonts w:hint="eastAsia" w:ascii="黑体" w:hAnsi="黑体"/>
          <w:b/>
          <w:bCs/>
          <w:sz w:val="30"/>
          <w:szCs w:val="30"/>
          <w:lang w:val="en-US" w:eastAsia="zh-CN"/>
        </w:rPr>
        <w:t>1.6项目建设条件及可行性</w:t>
      </w:r>
      <w:bookmarkEnd w:id="139"/>
      <w:bookmarkEnd w:id="140"/>
      <w:bookmarkEnd w:id="141"/>
      <w:bookmarkEnd w:id="142"/>
    </w:p>
    <w:p>
      <w:pPr>
        <w:spacing w:line="560" w:lineRule="exact"/>
        <w:ind w:firstLine="562" w:firstLineChars="200"/>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（1）有强力的政策支持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党的十八大把生态文明建设与经济建设、政治建设、文化建设、社会建设纳入中国特色社会主义事业总体布局，对推进生态文明建设进行全面部署。国家林业局发布的《关于做好退化防护林改造工作的指导意见》提出,到2025年，全国防护林退化监测预警体系基本建成，监测覆盖率达到100%；退化防护林改造率达到80%以上，重点地区防护林退化死亡情况得到基本控制，防护林整体质量和生态防护效能显著提升。</w:t>
      </w:r>
    </w:p>
    <w:p>
      <w:pPr>
        <w:spacing w:line="560" w:lineRule="exact"/>
        <w:ind w:firstLine="562" w:firstLineChars="200"/>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（2）有坚实的技术保障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2015年国家在9省（区）启动了三北工程退化林修复改造试点工作，通过试点，在修复改造技术标准、修复模式、管理制度、政策机制等方面积累了丰富经验，出台了三北工程退化林修复技术指南、管理办法、技术规程等标准体系，探索出更新修复、冠下造林、伐根嫁接、平茬复壮、补造修复等修复模式，建立了合同制、报账制、公示制、技术负责制等管理机制。</w:t>
      </w:r>
      <w:r>
        <w:rPr>
          <w:rFonts w:hint="eastAsia" w:ascii="仿宋_GB2312" w:eastAsia="仿宋_GB2312"/>
          <w:sz w:val="28"/>
          <w:szCs w:val="28"/>
        </w:rPr>
        <w:t>近年来，林业建设取得了前所未有的发展，历经了三北防护林体系建设、天然林资源保护、退耕还林等一系列的大型林业生态工程建设，积累了较为丰富的经验，对全面实施退化防护林修复提供了强有力的技术支撑。</w:t>
      </w:r>
    </w:p>
    <w:p>
      <w:pPr>
        <w:spacing w:line="560" w:lineRule="exact"/>
        <w:ind w:firstLine="562" w:firstLineChars="200"/>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（3）有稳定的资金投入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退化防护林改造项目作为公益性投资项目，具有投资的政府主体性、投资领域的非生产经营性、</w:t>
      </w:r>
      <w:r>
        <w:rPr>
          <w:rFonts w:hint="eastAsia" w:ascii="仿宋_GB2312" w:eastAsia="仿宋_GB2312"/>
          <w:sz w:val="28"/>
          <w:szCs w:val="28"/>
          <w:lang w:val="en-US" w:eastAsia="zh-CN"/>
        </w:rPr>
        <w:fldChar w:fldCharType="begin"/>
      </w:r>
      <w:r>
        <w:rPr>
          <w:rFonts w:hint="eastAsia" w:ascii="仿宋_GB2312" w:eastAsia="仿宋_GB2312"/>
          <w:sz w:val="28"/>
          <w:szCs w:val="28"/>
          <w:lang w:val="en-US" w:eastAsia="zh-CN"/>
        </w:rPr>
        <w:instrText xml:space="preserve">HYPERLINK "http://www.baike.com/sowiki/%E8%B5%84%E9%87%91?prd=content_doc_search" \o "资金"</w:instrText>
      </w:r>
      <w:r>
        <w:rPr>
          <w:rFonts w:hint="eastAsia" w:ascii="仿宋_GB2312" w:eastAsia="仿宋_GB2312"/>
          <w:sz w:val="28"/>
          <w:szCs w:val="28"/>
          <w:lang w:val="en-US" w:eastAsia="zh-CN"/>
        </w:rPr>
        <w:fldChar w:fldCharType="separate"/>
      </w:r>
      <w:r>
        <w:rPr>
          <w:rFonts w:hint="eastAsia" w:ascii="仿宋_GB2312" w:eastAsia="仿宋_GB2312"/>
          <w:sz w:val="28"/>
          <w:szCs w:val="28"/>
          <w:lang w:val="en-US" w:eastAsia="zh-CN"/>
        </w:rPr>
        <w:t>资金</w:t>
      </w:r>
      <w:r>
        <w:rPr>
          <w:rFonts w:hint="eastAsia" w:ascii="仿宋_GB2312" w:eastAsia="仿宋_GB2312"/>
          <w:sz w:val="28"/>
          <w:szCs w:val="28"/>
          <w:lang w:val="en-US" w:eastAsia="zh-CN"/>
        </w:rPr>
        <w:fldChar w:fldCharType="end"/>
      </w:r>
      <w:r>
        <w:rPr>
          <w:rFonts w:hint="eastAsia" w:ascii="仿宋_GB2312" w:eastAsia="仿宋_GB2312"/>
          <w:sz w:val="28"/>
          <w:szCs w:val="28"/>
          <w:lang w:val="en-US" w:eastAsia="zh-CN"/>
        </w:rPr>
        <w:t>来源和使用的无偿性、投资循环的间接性等特点。</w:t>
      </w:r>
      <w:r>
        <w:rPr>
          <w:rFonts w:hint="eastAsia" w:ascii="仿宋_GB2312" w:eastAsia="仿宋_GB2312"/>
          <w:sz w:val="28"/>
          <w:szCs w:val="28"/>
        </w:rPr>
        <w:t>2015年，国家</w:t>
      </w:r>
      <w:r>
        <w:rPr>
          <w:rFonts w:hint="eastAsia" w:ascii="仿宋_GB2312" w:eastAsia="仿宋_GB2312"/>
          <w:sz w:val="28"/>
          <w:szCs w:val="28"/>
          <w:lang w:eastAsia="zh-CN"/>
        </w:rPr>
        <w:t>林业局</w:t>
      </w:r>
      <w:r>
        <w:rPr>
          <w:rFonts w:hint="eastAsia" w:ascii="仿宋_GB2312" w:eastAsia="仿宋_GB2312"/>
          <w:sz w:val="28"/>
          <w:szCs w:val="28"/>
        </w:rPr>
        <w:t>争取中央财政列支专项资金，在三北工程区9个省（区）的50个县启动了退化林分改造试点工作。目前，退化林修复和改造项目已几乎覆盖整个三北工程区，三北工程退化林修复改造已由试点转入全面推进阶段。</w:t>
      </w:r>
      <w:r>
        <w:rPr>
          <w:rFonts w:hint="eastAsia" w:ascii="仿宋_GB2312" w:eastAsia="仿宋_GB2312"/>
          <w:sz w:val="28"/>
          <w:szCs w:val="28"/>
          <w:lang w:val="en-US" w:eastAsia="zh-CN"/>
        </w:rPr>
        <w:t>2019</w:t>
      </w:r>
      <w:r>
        <w:rPr>
          <w:rFonts w:hint="eastAsia" w:ascii="仿宋_GB2312" w:eastAsia="仿宋_GB2312"/>
          <w:sz w:val="28"/>
          <w:szCs w:val="28"/>
        </w:rPr>
        <w:t>年，国家发改委在中央预算内投资中专门安排退化林修复任务100万亩，投资5亿元；财政部在林业改革发展投资中安排退化林改造和灌木平茬复壮任务217万亩，投资3.77亿元</w:t>
      </w:r>
      <w:r>
        <w:rPr>
          <w:rFonts w:hint="eastAsia" w:ascii="仿宋_GB2312" w:eastAsia="仿宋_GB2312"/>
          <w:sz w:val="28"/>
          <w:szCs w:val="28"/>
          <w:lang w:eastAsia="zh-CN"/>
        </w:rPr>
        <w:t>，</w:t>
      </w:r>
      <w:r>
        <w:rPr>
          <w:rFonts w:hint="eastAsia" w:ascii="仿宋_GB2312" w:eastAsia="仿宋_GB2312"/>
          <w:sz w:val="28"/>
          <w:szCs w:val="28"/>
          <w:lang w:val="en-US" w:eastAsia="zh-CN"/>
        </w:rPr>
        <w:t>稳定了资金投入，专项解决了退化防护林改造资金，保证了退化林修复工程的顺利开展。</w:t>
      </w:r>
    </w:p>
    <w:p>
      <w:pPr>
        <w:spacing w:line="560" w:lineRule="exact"/>
        <w:ind w:firstLine="562" w:firstLineChars="200"/>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（4）有充足的劳动力资源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lang w:eastAsia="zh-CN"/>
        </w:rPr>
        <w:t>改革开放以来，中国经济取得了举世瞩目的发展成就，但也有许多问题亟待解决，其中最迫且最且挑战性的是“三农”问题。而要彻底解决“三农”问题的关键，需要大量转移农业剩余劳动力和提高农民收入。</w:t>
      </w:r>
      <w:r>
        <w:rPr>
          <w:rFonts w:hint="eastAsia" w:ascii="仿宋_GB2312" w:eastAsia="仿宋_GB2312"/>
          <w:sz w:val="28"/>
          <w:szCs w:val="28"/>
        </w:rPr>
        <w:t>据统计</w:t>
      </w:r>
      <w:r>
        <w:rPr>
          <w:rFonts w:hint="eastAsia" w:ascii="仿宋_GB2312" w:eastAsia="仿宋_GB2312"/>
          <w:sz w:val="28"/>
          <w:szCs w:val="28"/>
          <w:lang w:eastAsia="zh-CN"/>
        </w:rPr>
        <w:t>，</w:t>
      </w:r>
      <w:r>
        <w:rPr>
          <w:rFonts w:hint="eastAsia" w:ascii="仿宋_GB2312" w:eastAsia="仿宋_GB2312"/>
          <w:sz w:val="28"/>
          <w:szCs w:val="28"/>
        </w:rPr>
        <w:t>吴起县现有农业人口</w:t>
      </w:r>
      <w:r>
        <w:rPr>
          <w:rFonts w:hint="eastAsia" w:ascii="仿宋_GB2312" w:eastAsia="仿宋_GB2312"/>
          <w:sz w:val="28"/>
          <w:szCs w:val="28"/>
          <w:lang w:val="en-US" w:eastAsia="zh-CN"/>
        </w:rPr>
        <w:t>9.07</w:t>
      </w:r>
      <w:r>
        <w:rPr>
          <w:rFonts w:hint="eastAsia" w:ascii="仿宋_GB2312" w:eastAsia="仿宋_GB2312"/>
          <w:sz w:val="28"/>
          <w:szCs w:val="28"/>
        </w:rPr>
        <w:t>万人，劳动力5.50万人，</w:t>
      </w:r>
      <w:r>
        <w:rPr>
          <w:rFonts w:hint="eastAsia" w:ascii="仿宋_GB2312" w:eastAsia="仿宋_GB2312"/>
          <w:sz w:val="28"/>
          <w:szCs w:val="28"/>
          <w:lang w:eastAsia="zh-CN"/>
        </w:rPr>
        <w:t>随着大面积退耕还林工程的实施，农业劳动力已从过去繁重的农业生产中解放出来，农业剩余劳动力充足。</w:t>
      </w:r>
      <w:r>
        <w:rPr>
          <w:rFonts w:hint="eastAsia" w:ascii="仿宋_GB2312" w:eastAsia="仿宋_GB2312"/>
          <w:sz w:val="28"/>
          <w:szCs w:val="28"/>
        </w:rPr>
        <w:t>实施退化防护林修复，需要投入大量的劳动力</w:t>
      </w:r>
      <w:r>
        <w:rPr>
          <w:rFonts w:hint="eastAsia" w:ascii="仿宋_GB2312" w:eastAsia="仿宋_GB2312"/>
          <w:sz w:val="28"/>
          <w:szCs w:val="28"/>
          <w:lang w:eastAsia="zh-CN"/>
        </w:rPr>
        <w:t>，而经过多年生态建设，当地已培养和造就了一大批造林积极性高的农业劳动力，通过参与退化林修复工程，既解决了剩余劳动力出路又增加了经济收入，</w:t>
      </w:r>
      <w:r>
        <w:rPr>
          <w:rFonts w:hint="eastAsia" w:ascii="仿宋_GB2312" w:eastAsia="仿宋_GB2312"/>
          <w:sz w:val="28"/>
          <w:szCs w:val="28"/>
          <w:lang w:val="en-US" w:eastAsia="zh-CN"/>
        </w:rPr>
        <w:t>又</w:t>
      </w:r>
      <w:r>
        <w:rPr>
          <w:rFonts w:hint="eastAsia" w:ascii="仿宋_GB2312" w:eastAsia="仿宋_GB2312"/>
          <w:sz w:val="28"/>
          <w:szCs w:val="28"/>
        </w:rPr>
        <w:t>为退化防护林修复提供可靠的人力保障。</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143" w:name="_Toc19422"/>
      <w:bookmarkStart w:id="144" w:name="_Toc8120"/>
      <w:r>
        <w:rPr>
          <w:rFonts w:hint="default" w:ascii="黑体" w:hAnsi="黑体"/>
          <w:b/>
          <w:bCs/>
          <w:sz w:val="30"/>
          <w:szCs w:val="30"/>
          <w:lang w:val="ca-ES" w:eastAsia="zh-CN"/>
        </w:rPr>
        <w:t>1.7</w:t>
      </w:r>
      <w:r>
        <w:rPr>
          <w:rFonts w:hint="eastAsia" w:ascii="黑体" w:hAnsi="黑体"/>
          <w:b/>
          <w:bCs/>
          <w:sz w:val="30"/>
          <w:szCs w:val="30"/>
          <w:lang w:val="en-US" w:eastAsia="zh-CN"/>
        </w:rPr>
        <w:t>主要建设内容及规模</w:t>
      </w:r>
      <w:bookmarkEnd w:id="143"/>
      <w:bookmarkEnd w:id="144"/>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val="en-US" w:eastAsia="zh-CN"/>
        </w:rPr>
        <w:t>吴起县2021年县级财政退化林修复任务6600.0</w:t>
      </w:r>
      <w:r>
        <w:rPr>
          <w:rFonts w:hint="eastAsia" w:ascii="仿宋_GB2312" w:eastAsia="仿宋_GB2312"/>
          <w:sz w:val="28"/>
          <w:szCs w:val="28"/>
          <w:lang w:eastAsia="zh-CN"/>
        </w:rPr>
        <w:t>亩，修复对象</w:t>
      </w:r>
      <w:r>
        <w:rPr>
          <w:rFonts w:hint="eastAsia" w:ascii="仿宋_GB2312" w:eastAsia="仿宋_GB2312"/>
          <w:sz w:val="28"/>
          <w:szCs w:val="28"/>
          <w:lang w:val="en-US" w:eastAsia="zh-CN"/>
        </w:rPr>
        <w:t>全部为有林地</w:t>
      </w:r>
      <w:r>
        <w:rPr>
          <w:rFonts w:hint="eastAsia" w:ascii="仿宋_GB2312" w:eastAsia="仿宋_GB2312"/>
          <w:sz w:val="28"/>
          <w:szCs w:val="28"/>
          <w:lang w:eastAsia="zh-CN"/>
        </w:rPr>
        <w:t>。</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eastAsia="zh-CN"/>
        </w:rPr>
        <w:t>主要修复措施及规模为：更替修复</w:t>
      </w:r>
      <w:r>
        <w:rPr>
          <w:rFonts w:hint="eastAsia" w:ascii="仿宋_GB2312" w:eastAsia="仿宋_GB2312"/>
          <w:sz w:val="28"/>
          <w:szCs w:val="28"/>
          <w:lang w:val="en-US" w:eastAsia="zh-CN"/>
        </w:rPr>
        <w:t>3430.0亩，择伐补植修复2090.0亩，综合修复1080.0亩</w:t>
      </w:r>
      <w:bookmarkEnd w:id="131"/>
      <w:bookmarkStart w:id="145" w:name="_Toc4548"/>
      <w:bookmarkStart w:id="146" w:name="_Toc2138"/>
      <w:bookmarkStart w:id="147" w:name="_Toc14482"/>
      <w:r>
        <w:rPr>
          <w:rFonts w:hint="eastAsia" w:ascii="仿宋_GB2312" w:eastAsia="仿宋_GB2312"/>
          <w:sz w:val="28"/>
          <w:szCs w:val="28"/>
          <w:lang w:val="en-US" w:eastAsia="zh-CN"/>
        </w:rPr>
        <w:t>，对补植补播的林分按照造林有关技术规程定期抚育；同时对现有山杏、山桃、刺槐和柠条（沙棘）林分进行全面抚育。</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148" w:name="_Toc24417"/>
      <w:bookmarkStart w:id="149" w:name="_Toc3294"/>
      <w:r>
        <w:rPr>
          <w:rFonts w:hint="eastAsia" w:ascii="黑体" w:hAnsi="黑体"/>
          <w:b/>
          <w:bCs/>
          <w:sz w:val="30"/>
          <w:szCs w:val="30"/>
          <w:lang w:val="en-US" w:eastAsia="zh-CN"/>
        </w:rPr>
        <w:t>1.</w:t>
      </w:r>
      <w:r>
        <w:rPr>
          <w:rFonts w:hint="default" w:ascii="黑体" w:hAnsi="黑体"/>
          <w:b/>
          <w:bCs/>
          <w:sz w:val="30"/>
          <w:szCs w:val="30"/>
          <w:lang w:val="ca-ES" w:eastAsia="zh-CN"/>
        </w:rPr>
        <w:t>8</w:t>
      </w:r>
      <w:r>
        <w:rPr>
          <w:rFonts w:hint="eastAsia" w:ascii="黑体" w:hAnsi="黑体"/>
          <w:b/>
          <w:bCs/>
          <w:sz w:val="30"/>
          <w:szCs w:val="30"/>
          <w:lang w:val="en-US" w:eastAsia="zh-CN"/>
        </w:rPr>
        <w:t>投资预算及资金</w:t>
      </w:r>
      <w:bookmarkEnd w:id="145"/>
      <w:r>
        <w:rPr>
          <w:rFonts w:hint="eastAsia" w:ascii="黑体" w:hAnsi="黑体"/>
          <w:b/>
          <w:bCs/>
          <w:sz w:val="30"/>
          <w:szCs w:val="30"/>
          <w:lang w:val="en-US" w:eastAsia="zh-CN"/>
        </w:rPr>
        <w:t>来源</w:t>
      </w:r>
      <w:bookmarkEnd w:id="146"/>
      <w:bookmarkEnd w:id="147"/>
      <w:bookmarkEnd w:id="148"/>
      <w:bookmarkEnd w:id="149"/>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val="en-US" w:eastAsia="zh-CN"/>
        </w:rPr>
        <w:t>吴起县2021年县级财政退化林修复任务规模6600.0亩，</w:t>
      </w:r>
      <w:r>
        <w:rPr>
          <w:rFonts w:hint="eastAsia" w:ascii="仿宋_GB2312" w:eastAsia="仿宋_GB2312"/>
          <w:sz w:val="28"/>
          <w:szCs w:val="28"/>
          <w:lang w:eastAsia="zh-CN"/>
        </w:rPr>
        <w:t>经项目用工量、苗木需要量及材料费预算，共需投资</w:t>
      </w:r>
      <w:r>
        <w:rPr>
          <w:rFonts w:hint="eastAsia" w:ascii="仿宋_GB2312" w:eastAsia="仿宋_GB2312"/>
          <w:sz w:val="28"/>
          <w:szCs w:val="28"/>
          <w:lang w:val="en-US" w:eastAsia="zh-CN"/>
        </w:rPr>
        <w:t>396.00</w:t>
      </w:r>
      <w:r>
        <w:rPr>
          <w:rFonts w:hint="eastAsia" w:ascii="仿宋_GB2312" w:eastAsia="仿宋_GB2312"/>
          <w:sz w:val="28"/>
          <w:szCs w:val="28"/>
          <w:lang w:eastAsia="zh-CN"/>
        </w:rPr>
        <w:t>万元，其中直接费用</w:t>
      </w:r>
      <w:r>
        <w:rPr>
          <w:rFonts w:hint="eastAsia" w:ascii="仿宋_GB2312" w:eastAsia="仿宋_GB2312"/>
          <w:sz w:val="28"/>
          <w:szCs w:val="28"/>
          <w:lang w:val="en-US" w:eastAsia="zh-CN"/>
        </w:rPr>
        <w:t>376.20</w:t>
      </w:r>
      <w:r>
        <w:rPr>
          <w:rFonts w:hint="eastAsia" w:ascii="仿宋_GB2312" w:eastAsia="仿宋_GB2312"/>
          <w:sz w:val="28"/>
          <w:szCs w:val="28"/>
          <w:lang w:eastAsia="zh-CN"/>
        </w:rPr>
        <w:t>万元，占</w:t>
      </w:r>
      <w:r>
        <w:rPr>
          <w:rFonts w:hint="eastAsia" w:ascii="仿宋_GB2312" w:eastAsia="仿宋_GB2312"/>
          <w:sz w:val="28"/>
          <w:szCs w:val="28"/>
          <w:lang w:val="en-US" w:eastAsia="zh-CN"/>
        </w:rPr>
        <w:t>项目总投资的95.00</w:t>
      </w:r>
      <w:r>
        <w:rPr>
          <w:rFonts w:hint="eastAsia" w:ascii="仿宋_GB2312" w:eastAsia="仿宋_GB2312"/>
          <w:sz w:val="28"/>
          <w:szCs w:val="28"/>
          <w:lang w:eastAsia="zh-CN"/>
        </w:rPr>
        <w:t>%；间接费用</w:t>
      </w:r>
      <w:r>
        <w:rPr>
          <w:rFonts w:hint="eastAsia" w:ascii="仿宋_GB2312" w:eastAsia="仿宋_GB2312"/>
          <w:sz w:val="28"/>
          <w:szCs w:val="28"/>
          <w:lang w:val="en-US" w:eastAsia="zh-CN"/>
        </w:rPr>
        <w:t>19.80万元，占项目总投资的5.00%。</w:t>
      </w:r>
      <w:r>
        <w:rPr>
          <w:rFonts w:hint="eastAsia" w:ascii="仿宋_GB2312" w:eastAsia="仿宋_GB2312"/>
          <w:sz w:val="28"/>
          <w:szCs w:val="28"/>
          <w:lang w:eastAsia="zh-CN"/>
        </w:rPr>
        <w:t>项目建设所需资金全部来源于地方财政。</w:t>
      </w:r>
    </w:p>
    <w:p>
      <w:pPr>
        <w:pStyle w:val="3"/>
        <w:keepNext/>
        <w:keepLines/>
        <w:pageBreakBefore w:val="0"/>
        <w:widowControl w:val="0"/>
        <w:kinsoku/>
        <w:wordWrap/>
        <w:overflowPunct/>
        <w:topLinePunct w:val="0"/>
        <w:autoSpaceDE/>
        <w:autoSpaceDN/>
        <w:bidi w:val="0"/>
        <w:adjustRightInd/>
        <w:snapToGrid/>
        <w:spacing w:before="240" w:beforeLines="0" w:after="240" w:afterLines="0" w:line="560" w:lineRule="exact"/>
        <w:ind w:left="0" w:leftChars="0" w:right="0" w:rightChars="0" w:firstLine="0" w:firstLineChars="0"/>
        <w:jc w:val="center"/>
        <w:textAlignment w:val="auto"/>
        <w:outlineLvl w:val="0"/>
        <w:rPr>
          <w:rStyle w:val="22"/>
          <w:rFonts w:hint="eastAsia" w:ascii="黑体" w:eastAsia="黑体"/>
          <w:b/>
          <w:color w:val="auto"/>
          <w:sz w:val="32"/>
          <w:szCs w:val="32"/>
          <w:lang w:val="en-US" w:eastAsia="zh-CN"/>
        </w:rPr>
      </w:pPr>
      <w:r>
        <w:br w:type="page"/>
      </w:r>
      <w:bookmarkStart w:id="150" w:name="_Toc15137"/>
      <w:bookmarkStart w:id="151" w:name="_Toc27496"/>
      <w:bookmarkStart w:id="152" w:name="_Toc8786"/>
      <w:bookmarkStart w:id="153" w:name="_Toc20887"/>
      <w:bookmarkStart w:id="154" w:name="_Toc31770"/>
      <w:r>
        <w:rPr>
          <w:rStyle w:val="22"/>
          <w:rFonts w:hint="eastAsia" w:ascii="黑体" w:eastAsia="黑体"/>
          <w:b/>
          <w:color w:val="auto"/>
          <w:sz w:val="32"/>
          <w:szCs w:val="32"/>
          <w:lang w:val="en-US" w:eastAsia="zh-CN"/>
        </w:rPr>
        <w:t>第二章  基本情况</w:t>
      </w:r>
      <w:bookmarkEnd w:id="150"/>
      <w:bookmarkEnd w:id="151"/>
      <w:bookmarkEnd w:id="152"/>
      <w:bookmarkEnd w:id="153"/>
      <w:bookmarkEnd w:id="154"/>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155" w:name="_Toc2839"/>
      <w:bookmarkStart w:id="156" w:name="_Toc306980659"/>
      <w:bookmarkStart w:id="157" w:name="_Toc310495021"/>
      <w:bookmarkStart w:id="158" w:name="_Toc27831"/>
      <w:bookmarkStart w:id="159" w:name="_Toc310492880"/>
      <w:bookmarkStart w:id="160" w:name="_Toc352327682"/>
      <w:bookmarkStart w:id="161" w:name="_Toc200"/>
      <w:bookmarkStart w:id="162" w:name="_Toc8644"/>
      <w:bookmarkStart w:id="163" w:name="_Toc11209"/>
      <w:r>
        <w:rPr>
          <w:rFonts w:hint="eastAsia" w:ascii="黑体" w:hAnsi="黑体"/>
          <w:b/>
          <w:bCs/>
          <w:sz w:val="30"/>
          <w:szCs w:val="30"/>
          <w:lang w:val="en-US" w:eastAsia="zh-CN"/>
        </w:rPr>
        <w:t>2.1</w:t>
      </w:r>
      <w:bookmarkEnd w:id="155"/>
      <w:bookmarkEnd w:id="156"/>
      <w:bookmarkEnd w:id="157"/>
      <w:bookmarkEnd w:id="158"/>
      <w:bookmarkEnd w:id="159"/>
      <w:bookmarkEnd w:id="160"/>
      <w:bookmarkEnd w:id="161"/>
      <w:r>
        <w:rPr>
          <w:rFonts w:hint="eastAsia" w:ascii="黑体" w:hAnsi="黑体"/>
          <w:b/>
          <w:bCs/>
          <w:sz w:val="30"/>
          <w:szCs w:val="30"/>
          <w:lang w:val="en-US" w:eastAsia="zh-CN"/>
        </w:rPr>
        <w:t>自然及社会经济概况</w:t>
      </w:r>
      <w:bookmarkEnd w:id="162"/>
      <w:bookmarkEnd w:id="163"/>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rPr>
      </w:pPr>
      <w:bookmarkStart w:id="164" w:name="_Toc30181"/>
      <w:bookmarkStart w:id="165" w:name="_Toc195764184"/>
      <w:bookmarkStart w:id="166" w:name="_Toc200958869"/>
      <w:bookmarkStart w:id="167" w:name="_Toc201481749"/>
      <w:bookmarkStart w:id="168" w:name="_Toc195763845"/>
      <w:bookmarkStart w:id="169" w:name="_Toc195960425"/>
      <w:bookmarkStart w:id="170" w:name="_Toc195761922"/>
      <w:bookmarkStart w:id="171" w:name="_Toc195771054"/>
      <w:bookmarkStart w:id="172" w:name="_Toc195766210"/>
      <w:r>
        <w:rPr>
          <w:rFonts w:hint="eastAsia"/>
          <w:bCs/>
          <w:sz w:val="28"/>
          <w:szCs w:val="28"/>
        </w:rPr>
        <w:t>2.1.1自然地理概况</w:t>
      </w:r>
      <w:bookmarkEnd w:id="164"/>
      <w:bookmarkEnd w:id="165"/>
      <w:bookmarkEnd w:id="166"/>
      <w:bookmarkEnd w:id="167"/>
      <w:bookmarkEnd w:id="168"/>
      <w:bookmarkEnd w:id="169"/>
      <w:bookmarkEnd w:id="170"/>
      <w:bookmarkEnd w:id="171"/>
      <w:bookmarkEnd w:id="172"/>
    </w:p>
    <w:p>
      <w:pPr>
        <w:spacing w:line="560" w:lineRule="exact"/>
        <w:ind w:firstLine="562" w:firstLineChars="200"/>
        <w:rPr>
          <w:rFonts w:hint="eastAsia" w:ascii="仿宋_GB2312" w:eastAsia="仿宋_GB2312"/>
          <w:b/>
          <w:sz w:val="28"/>
          <w:szCs w:val="28"/>
        </w:rPr>
      </w:pPr>
      <w:bookmarkStart w:id="173" w:name="_Toc195764185"/>
      <w:bookmarkStart w:id="174" w:name="_Toc195766211"/>
      <w:bookmarkStart w:id="175" w:name="_Toc195771055"/>
      <w:bookmarkStart w:id="176" w:name="_Toc200958870"/>
      <w:bookmarkStart w:id="177" w:name="_Toc195763846"/>
      <w:r>
        <w:rPr>
          <w:rFonts w:hint="eastAsia" w:ascii="仿宋_GB2312" w:eastAsia="仿宋_GB2312"/>
          <w:b/>
          <w:sz w:val="28"/>
          <w:szCs w:val="28"/>
        </w:rPr>
        <w:t>(1)地理位置</w:t>
      </w:r>
      <w:bookmarkEnd w:id="173"/>
      <w:bookmarkEnd w:id="174"/>
      <w:bookmarkEnd w:id="175"/>
      <w:bookmarkEnd w:id="176"/>
      <w:bookmarkEnd w:id="177"/>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bookmarkStart w:id="178" w:name="_Toc195771056"/>
      <w:bookmarkStart w:id="179" w:name="_Toc200958871"/>
      <w:bookmarkStart w:id="180" w:name="_Toc195766212"/>
      <w:bookmarkStart w:id="181" w:name="_Toc195764186"/>
      <w:bookmarkStart w:id="182" w:name="_Toc195763847"/>
      <w:r>
        <w:rPr>
          <w:rFonts w:hint="eastAsia" w:ascii="仿宋_GB2312" w:eastAsia="仿宋_GB2312"/>
          <w:sz w:val="28"/>
          <w:szCs w:val="28"/>
        </w:rPr>
        <w:t>吴起县位于延安市西北部，地处</w:t>
      </w:r>
      <w:r>
        <w:rPr>
          <w:rFonts w:hint="eastAsia" w:ascii="仿宋_GB2312" w:eastAsia="仿宋_GB2312"/>
          <w:sz w:val="28"/>
          <w:szCs w:val="28"/>
          <w:lang w:eastAsia="zh-CN"/>
        </w:rPr>
        <w:t>黄土</w:t>
      </w:r>
      <w:r>
        <w:rPr>
          <w:rFonts w:hint="eastAsia" w:ascii="仿宋_GB2312" w:eastAsia="仿宋_GB2312"/>
          <w:sz w:val="28"/>
          <w:szCs w:val="28"/>
        </w:rPr>
        <w:t>高原腹地，西北与定边县为邻，东北和靖边县相连，东南与志丹县接壤，西南与甘肃省华池县毗邻。地跨东经107°38'57″～108°32'49″，北纬36°33'33″～37°24'27″。南北长93.4km，东西宽79.89km，总土地面积3791km</w:t>
      </w:r>
      <w:r>
        <w:rPr>
          <w:rFonts w:hint="eastAsia" w:ascii="仿宋_GB2312" w:eastAsia="仿宋_GB2312"/>
          <w:sz w:val="28"/>
          <w:szCs w:val="28"/>
          <w:vertAlign w:val="superscript"/>
        </w:rPr>
        <w:t>2</w:t>
      </w:r>
      <w:r>
        <w:rPr>
          <w:rFonts w:hint="eastAsia" w:ascii="仿宋_GB2312" w:eastAsia="仿宋_GB2312"/>
          <w:sz w:val="28"/>
          <w:szCs w:val="28"/>
        </w:rPr>
        <w:t>。</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rPr>
        <w:t>(2)地形地貌</w:t>
      </w:r>
      <w:bookmarkEnd w:id="178"/>
      <w:bookmarkEnd w:id="179"/>
      <w:bookmarkEnd w:id="180"/>
      <w:bookmarkEnd w:id="181"/>
      <w:bookmarkEnd w:id="182"/>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sz w:val="28"/>
          <w:szCs w:val="28"/>
        </w:rPr>
      </w:pPr>
      <w:bookmarkStart w:id="183" w:name="_Toc200958872"/>
      <w:bookmarkStart w:id="184" w:name="_Toc195766213"/>
      <w:bookmarkStart w:id="185" w:name="_Toc195764187"/>
      <w:bookmarkStart w:id="186" w:name="_Toc195771057"/>
      <w:bookmarkStart w:id="187" w:name="_Toc195763848"/>
      <w:r>
        <w:rPr>
          <w:rFonts w:hint="eastAsia" w:ascii="仿宋_GB2312" w:hAnsi="仿宋_GB2312" w:eastAsia="仿宋_GB2312"/>
          <w:sz w:val="28"/>
          <w:szCs w:val="28"/>
        </w:rPr>
        <w:t>吴起县地貌属黄土高原梁状丘陵沟壑区，白于山主脉南侧</w:t>
      </w:r>
      <w:r>
        <w:rPr>
          <w:rFonts w:hint="eastAsia" w:ascii="仿宋_GB2312" w:hAnsi="仿宋_GB2312" w:eastAsia="仿宋_GB2312"/>
          <w:sz w:val="28"/>
          <w:szCs w:val="28"/>
          <w:lang w:eastAsia="zh-CN"/>
        </w:rPr>
        <w:t>。</w:t>
      </w:r>
      <w:r>
        <w:rPr>
          <w:rFonts w:hint="eastAsia" w:ascii="仿宋_GB2312" w:hAnsi="仿宋_GB2312" w:eastAsia="仿宋_GB2312"/>
          <w:sz w:val="28"/>
          <w:szCs w:val="28"/>
        </w:rPr>
        <w:t>在漫长的地质年代，</w:t>
      </w:r>
      <w:r>
        <w:rPr>
          <w:rFonts w:hint="eastAsia" w:ascii="仿宋_GB2312" w:hAnsi="仿宋_GB2312" w:eastAsia="仿宋_GB2312"/>
          <w:sz w:val="28"/>
          <w:szCs w:val="28"/>
          <w:lang w:eastAsia="zh-CN"/>
        </w:rPr>
        <w:t>伴随</w:t>
      </w:r>
      <w:r>
        <w:rPr>
          <w:rFonts w:hint="eastAsia" w:ascii="仿宋_GB2312" w:hAnsi="仿宋_GB2312" w:eastAsia="仿宋_GB2312"/>
          <w:sz w:val="28"/>
          <w:szCs w:val="28"/>
        </w:rPr>
        <w:t>地质运动、水蚀、风蚀、重力侵蚀，塑造了现在的沟壑纵横交织、梁峁起伏不平、河谷下切、峁盖浑圆、坡面陡峭、涧面残破的黄土梁峁、梁涧、沟谷阶地的地貌。梁峁丘陵居于主导地位。县境内</w:t>
      </w:r>
      <w:r>
        <w:rPr>
          <w:rFonts w:ascii="仿宋_GB2312" w:hAnsi="仿宋_GB2312" w:eastAsia="仿宋_GB2312"/>
          <w:sz w:val="28"/>
          <w:szCs w:val="28"/>
        </w:rPr>
        <w:t>海拔1233</w:t>
      </w:r>
      <w:r>
        <w:rPr>
          <w:rFonts w:hint="eastAsia" w:ascii="仿宋_GB2312" w:hAnsi="仿宋_GB2312" w:eastAsia="仿宋_GB2312"/>
          <w:sz w:val="28"/>
          <w:szCs w:val="28"/>
        </w:rPr>
        <w:t>～</w:t>
      </w:r>
      <w:r>
        <w:rPr>
          <w:rFonts w:ascii="仿宋_GB2312" w:hAnsi="仿宋_GB2312" w:eastAsia="仿宋_GB2312"/>
          <w:sz w:val="28"/>
          <w:szCs w:val="28"/>
        </w:rPr>
        <w:t>1809</w:t>
      </w:r>
      <w:r>
        <w:rPr>
          <w:rFonts w:hint="eastAsia" w:ascii="仿宋_GB2312" w:hAnsi="仿宋_GB2312" w:eastAsia="仿宋_GB2312"/>
          <w:sz w:val="28"/>
          <w:szCs w:val="28"/>
        </w:rPr>
        <w:t>m，平均海拔在1500m左右，地势由西北向东南逐渐降低</w:t>
      </w:r>
      <w:r>
        <w:rPr>
          <w:rFonts w:hint="eastAsia" w:ascii="仿宋_GB2312" w:hAnsi="仿宋_GB2312" w:eastAsia="仿宋_GB2312"/>
          <w:sz w:val="28"/>
          <w:szCs w:val="28"/>
          <w:lang w:eastAsia="zh-CN"/>
        </w:rPr>
        <w:t>。</w:t>
      </w:r>
      <w:r>
        <w:rPr>
          <w:rFonts w:hint="eastAsia" w:ascii="仿宋_GB2312" w:hAnsi="仿宋_GB2312" w:eastAsia="仿宋_GB2312"/>
          <w:sz w:val="28"/>
          <w:szCs w:val="28"/>
        </w:rPr>
        <w:t>一般坡度在15～35°，侵蚀沟坡则在35～50°之间。</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rPr>
        <w:t>(3)河流水系</w:t>
      </w:r>
      <w:bookmarkEnd w:id="183"/>
      <w:bookmarkEnd w:id="184"/>
      <w:bookmarkEnd w:id="185"/>
      <w:bookmarkEnd w:id="186"/>
      <w:bookmarkEnd w:id="187"/>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bookmarkStart w:id="188" w:name="_Toc195766214"/>
      <w:bookmarkStart w:id="189" w:name="_Toc200958873"/>
      <w:bookmarkStart w:id="190" w:name="_Toc195763849"/>
      <w:bookmarkStart w:id="191" w:name="_Toc195764188"/>
      <w:bookmarkStart w:id="192" w:name="_Toc195771058"/>
      <w:r>
        <w:rPr>
          <w:rFonts w:hint="eastAsia" w:ascii="仿宋_GB2312" w:eastAsia="仿宋_GB2312"/>
          <w:sz w:val="28"/>
          <w:szCs w:val="28"/>
        </w:rPr>
        <w:t>吴起县内以白于山脉为界，北属</w:t>
      </w:r>
      <w:r>
        <w:rPr>
          <w:rFonts w:hint="eastAsia" w:ascii="仿宋_GB2312" w:eastAsia="仿宋_GB2312"/>
          <w:sz w:val="28"/>
          <w:szCs w:val="28"/>
          <w:lang w:eastAsia="zh-CN"/>
        </w:rPr>
        <w:t>无定</w:t>
      </w:r>
      <w:r>
        <w:rPr>
          <w:rFonts w:hint="eastAsia" w:ascii="仿宋_GB2312" w:eastAsia="仿宋_GB2312"/>
          <w:sz w:val="28"/>
          <w:szCs w:val="28"/>
        </w:rPr>
        <w:t>河</w:t>
      </w:r>
      <w:r>
        <w:rPr>
          <w:rFonts w:hint="eastAsia" w:ascii="仿宋_GB2312" w:eastAsia="仿宋_GB2312"/>
          <w:sz w:val="28"/>
          <w:szCs w:val="28"/>
          <w:lang w:eastAsia="zh-CN"/>
        </w:rPr>
        <w:t>上游</w:t>
      </w:r>
      <w:r>
        <w:rPr>
          <w:rFonts w:hint="eastAsia" w:ascii="仿宋_GB2312" w:eastAsia="仿宋_GB2312"/>
          <w:sz w:val="28"/>
          <w:szCs w:val="28"/>
        </w:rPr>
        <w:t>红柳河流域，南属北洛河流域，全县流域内的河流、沟系密度为636条/km</w:t>
      </w:r>
      <w:r>
        <w:rPr>
          <w:rFonts w:hint="eastAsia" w:ascii="仿宋_GB2312" w:eastAsia="仿宋_GB2312"/>
          <w:sz w:val="28"/>
          <w:szCs w:val="28"/>
          <w:vertAlign w:val="superscript"/>
        </w:rPr>
        <w:t>2</w:t>
      </w:r>
      <w:r>
        <w:rPr>
          <w:rFonts w:hint="eastAsia" w:ascii="仿宋_GB2312" w:eastAsia="仿宋_GB2312"/>
          <w:sz w:val="28"/>
          <w:szCs w:val="28"/>
        </w:rPr>
        <w:t>，河流密度为0.86km／km</w:t>
      </w:r>
      <w:r>
        <w:rPr>
          <w:rFonts w:hint="eastAsia" w:ascii="仿宋_GB2312" w:eastAsia="仿宋_GB2312"/>
          <w:sz w:val="28"/>
          <w:szCs w:val="28"/>
          <w:vertAlign w:val="superscript"/>
        </w:rPr>
        <w:t>2</w:t>
      </w:r>
      <w:r>
        <w:rPr>
          <w:rFonts w:hint="eastAsia" w:ascii="仿宋_GB2312" w:eastAsia="仿宋_GB2312"/>
          <w:sz w:val="28"/>
          <w:szCs w:val="28"/>
        </w:rPr>
        <w:t>。无定河流域包括八里庄沟、石拐子沟和麻子沟。北洛河流域</w:t>
      </w:r>
      <w:r>
        <w:rPr>
          <w:rFonts w:ascii="仿宋_GB2312" w:eastAsia="仿宋_GB2312"/>
          <w:sz w:val="28"/>
          <w:szCs w:val="28"/>
        </w:rPr>
        <w:t>吴起段长105.6</w:t>
      </w:r>
      <w:r>
        <w:rPr>
          <w:rFonts w:hint="eastAsia" w:ascii="仿宋_GB2312" w:eastAsia="仿宋_GB2312"/>
          <w:sz w:val="28"/>
          <w:szCs w:val="28"/>
        </w:rPr>
        <w:t>km</w:t>
      </w:r>
      <w:r>
        <w:rPr>
          <w:rFonts w:ascii="仿宋_GB2312" w:eastAsia="仿宋_GB2312"/>
          <w:sz w:val="28"/>
          <w:szCs w:val="28"/>
        </w:rPr>
        <w:t>，流域面积3381</w:t>
      </w:r>
      <w:bookmarkStart w:id="193" w:name="OLE_LINK4"/>
      <w:bookmarkStart w:id="194" w:name="OLE_LINK3"/>
      <w:r>
        <w:rPr>
          <w:rFonts w:hint="eastAsia" w:ascii="仿宋_GB2312" w:eastAsia="仿宋_GB2312"/>
          <w:sz w:val="28"/>
          <w:szCs w:val="28"/>
        </w:rPr>
        <w:t>km</w:t>
      </w:r>
      <w:r>
        <w:rPr>
          <w:rFonts w:hint="eastAsia" w:ascii="仿宋_GB2312" w:eastAsia="仿宋_GB2312"/>
          <w:sz w:val="28"/>
          <w:szCs w:val="28"/>
          <w:vertAlign w:val="superscript"/>
        </w:rPr>
        <w:t>2</w:t>
      </w:r>
      <w:bookmarkEnd w:id="193"/>
      <w:bookmarkEnd w:id="194"/>
      <w:r>
        <w:rPr>
          <w:rFonts w:ascii="仿宋_GB2312" w:eastAsia="仿宋_GB2312"/>
          <w:sz w:val="28"/>
          <w:szCs w:val="28"/>
        </w:rPr>
        <w:t>，占吴起</w:t>
      </w:r>
      <w:r>
        <w:rPr>
          <w:rFonts w:hint="eastAsia" w:ascii="仿宋_GB2312" w:eastAsia="仿宋_GB2312"/>
          <w:sz w:val="28"/>
          <w:szCs w:val="28"/>
        </w:rPr>
        <w:t>县土地</w:t>
      </w:r>
      <w:r>
        <w:rPr>
          <w:rFonts w:ascii="仿宋_GB2312" w:eastAsia="仿宋_GB2312"/>
          <w:sz w:val="28"/>
          <w:szCs w:val="28"/>
        </w:rPr>
        <w:t>总面积的89%，平均比降</w:t>
      </w:r>
      <w:r>
        <w:rPr>
          <w:rFonts w:hint="eastAsia" w:ascii="仿宋_GB2312" w:eastAsia="仿宋_GB2312"/>
          <w:sz w:val="28"/>
          <w:szCs w:val="28"/>
        </w:rPr>
        <w:t>2.5‰</w:t>
      </w:r>
      <w:r>
        <w:rPr>
          <w:rFonts w:ascii="仿宋_GB2312" w:eastAsia="仿宋_GB2312"/>
          <w:sz w:val="28"/>
          <w:szCs w:val="28"/>
        </w:rPr>
        <w:t>，洛河支流众多，流域面积在100</w:t>
      </w:r>
      <w:r>
        <w:rPr>
          <w:rFonts w:hint="eastAsia" w:ascii="仿宋_GB2312" w:eastAsia="仿宋_GB2312"/>
          <w:sz w:val="28"/>
          <w:szCs w:val="28"/>
        </w:rPr>
        <w:t>km</w:t>
      </w:r>
      <w:r>
        <w:rPr>
          <w:rFonts w:hint="eastAsia" w:ascii="仿宋_GB2312" w:eastAsia="仿宋_GB2312"/>
          <w:sz w:val="28"/>
          <w:szCs w:val="28"/>
          <w:vertAlign w:val="superscript"/>
        </w:rPr>
        <w:t>2</w:t>
      </w:r>
      <w:r>
        <w:rPr>
          <w:rFonts w:ascii="仿宋_GB2312" w:eastAsia="仿宋_GB2312"/>
          <w:sz w:val="28"/>
          <w:szCs w:val="28"/>
        </w:rPr>
        <w:t>以上的较大支流有头道川、二道川、三</w:t>
      </w:r>
      <w:r>
        <w:rPr>
          <w:rFonts w:hint="eastAsia" w:ascii="仿宋_GB2312" w:eastAsia="仿宋_GB2312"/>
          <w:sz w:val="28"/>
          <w:szCs w:val="28"/>
        </w:rPr>
        <w:t>道川、乱石头川、颗颗川</w:t>
      </w:r>
      <w:r>
        <w:rPr>
          <w:rFonts w:hint="eastAsia" w:ascii="仿宋_GB2312" w:eastAsia="仿宋_GB2312"/>
          <w:sz w:val="28"/>
          <w:szCs w:val="28"/>
          <w:lang w:eastAsia="zh-CN"/>
        </w:rPr>
        <w:t>、</w:t>
      </w:r>
      <w:r>
        <w:rPr>
          <w:rFonts w:hint="eastAsia" w:ascii="仿宋_GB2312" w:eastAsia="仿宋_GB2312"/>
          <w:sz w:val="28"/>
          <w:szCs w:val="28"/>
        </w:rPr>
        <w:t>宁赛川、薛岔川</w:t>
      </w:r>
      <w:r>
        <w:rPr>
          <w:rFonts w:hint="eastAsia" w:ascii="仿宋_GB2312" w:eastAsia="仿宋_GB2312"/>
          <w:sz w:val="28"/>
          <w:szCs w:val="28"/>
          <w:lang w:eastAsia="zh-CN"/>
        </w:rPr>
        <w:t>、</w:t>
      </w:r>
      <w:r>
        <w:rPr>
          <w:rFonts w:hint="eastAsia" w:ascii="仿宋_GB2312" w:eastAsia="仿宋_GB2312"/>
          <w:sz w:val="28"/>
          <w:szCs w:val="28"/>
        </w:rPr>
        <w:t>杨青川、白豹川9条。吴起洛河干流流域涉及铁边城、庙沟、长官庙</w:t>
      </w:r>
      <w:r>
        <w:rPr>
          <w:rFonts w:hint="eastAsia" w:ascii="仿宋_GB2312" w:eastAsia="仿宋_GB2312"/>
          <w:sz w:val="28"/>
          <w:szCs w:val="28"/>
          <w:lang w:eastAsia="zh-CN"/>
        </w:rPr>
        <w:t>等</w:t>
      </w:r>
      <w:r>
        <w:rPr>
          <w:rFonts w:hint="eastAsia" w:ascii="仿宋_GB2312" w:eastAsia="仿宋_GB2312"/>
          <w:sz w:val="28"/>
          <w:szCs w:val="28"/>
        </w:rPr>
        <w:t>8镇（街道）。全县多年平均径流深36mm，</w:t>
      </w:r>
      <w:r>
        <w:rPr>
          <w:rFonts w:hint="eastAsia" w:ascii="仿宋_GB2312" w:eastAsia="仿宋_GB2312"/>
          <w:sz w:val="28"/>
          <w:szCs w:val="28"/>
          <w:lang w:eastAsia="zh-CN"/>
        </w:rPr>
        <w:t>是全省</w:t>
      </w:r>
      <w:r>
        <w:rPr>
          <w:rFonts w:hint="eastAsia" w:ascii="仿宋_GB2312" w:eastAsia="仿宋_GB2312"/>
          <w:sz w:val="28"/>
          <w:szCs w:val="28"/>
        </w:rPr>
        <w:t>多年平均径流深</w:t>
      </w:r>
      <w:r>
        <w:rPr>
          <w:rFonts w:hint="eastAsia" w:ascii="仿宋_GB2312" w:eastAsia="仿宋_GB2312"/>
          <w:sz w:val="28"/>
          <w:szCs w:val="28"/>
          <w:lang w:eastAsia="zh-CN"/>
        </w:rPr>
        <w:t>的</w:t>
      </w:r>
      <w:r>
        <w:rPr>
          <w:rFonts w:hint="eastAsia" w:ascii="仿宋_GB2312" w:eastAsia="仿宋_GB2312"/>
          <w:sz w:val="28"/>
          <w:szCs w:val="28"/>
          <w:lang w:val="en-US" w:eastAsia="zh-CN"/>
        </w:rPr>
        <w:t>1/6，</w:t>
      </w:r>
      <w:r>
        <w:rPr>
          <w:rFonts w:hint="eastAsia" w:ascii="仿宋_GB2312" w:eastAsia="仿宋_GB2312"/>
          <w:sz w:val="28"/>
          <w:szCs w:val="28"/>
          <w:lang w:eastAsia="zh-CN"/>
        </w:rPr>
        <w:t>属缺水带，</w:t>
      </w:r>
      <w:r>
        <w:rPr>
          <w:rFonts w:hint="eastAsia" w:ascii="仿宋_GB2312" w:eastAsia="仿宋_GB2312"/>
          <w:sz w:val="28"/>
          <w:szCs w:val="28"/>
        </w:rPr>
        <w:t>平均年径流总量为1.3576亿m</w:t>
      </w:r>
      <w:r>
        <w:rPr>
          <w:rFonts w:hint="eastAsia" w:ascii="仿宋_GB2312" w:eastAsia="仿宋_GB2312"/>
          <w:sz w:val="28"/>
          <w:szCs w:val="28"/>
          <w:vertAlign w:val="superscript"/>
        </w:rPr>
        <w:t>3</w:t>
      </w:r>
      <w:r>
        <w:rPr>
          <w:rFonts w:hint="eastAsia" w:ascii="仿宋_GB2312" w:eastAsia="仿宋_GB2312"/>
          <w:sz w:val="28"/>
          <w:szCs w:val="28"/>
        </w:rPr>
        <w:t>，地下水多年平均天然补给量为5438万m</w:t>
      </w:r>
      <w:r>
        <w:rPr>
          <w:rFonts w:hint="eastAsia" w:ascii="仿宋_GB2312" w:eastAsia="仿宋_GB2312"/>
          <w:sz w:val="28"/>
          <w:szCs w:val="28"/>
          <w:vertAlign w:val="superscript"/>
        </w:rPr>
        <w:t>3</w:t>
      </w:r>
      <w:r>
        <w:rPr>
          <w:rFonts w:hint="eastAsia" w:ascii="仿宋_GB2312" w:eastAsia="仿宋_GB2312"/>
          <w:sz w:val="28"/>
          <w:szCs w:val="28"/>
        </w:rPr>
        <w:t>，其主要来源为大气降水。地表径流在县境内的时空分布与降水基本相同，年际变率大，月份分配不均</w:t>
      </w:r>
      <w:r>
        <w:rPr>
          <w:rFonts w:hint="eastAsia" w:ascii="仿宋_GB2312" w:eastAsia="仿宋_GB2312"/>
          <w:sz w:val="28"/>
          <w:szCs w:val="28"/>
          <w:lang w:eastAsia="zh-CN"/>
        </w:rPr>
        <w:t>，</w:t>
      </w:r>
      <w:r>
        <w:rPr>
          <w:rFonts w:hint="eastAsia" w:ascii="仿宋_GB2312" w:eastAsia="仿宋_GB2312"/>
          <w:sz w:val="28"/>
          <w:szCs w:val="28"/>
        </w:rPr>
        <w:t>干旱、洪水灾害频繁，由于降水相对集中和强度大，</w:t>
      </w:r>
      <w:r>
        <w:rPr>
          <w:rFonts w:hint="eastAsia" w:ascii="仿宋_GB2312" w:eastAsia="仿宋_GB2312"/>
          <w:sz w:val="28"/>
          <w:szCs w:val="28"/>
          <w:lang w:eastAsia="zh-CN"/>
        </w:rPr>
        <w:t>增大了</w:t>
      </w:r>
      <w:r>
        <w:rPr>
          <w:rFonts w:hint="eastAsia" w:ascii="仿宋_GB2312" w:eastAsia="仿宋_GB2312"/>
          <w:sz w:val="28"/>
          <w:szCs w:val="28"/>
        </w:rPr>
        <w:t>水土流失</w:t>
      </w:r>
      <w:r>
        <w:rPr>
          <w:rFonts w:hint="eastAsia" w:ascii="仿宋_GB2312" w:eastAsia="仿宋_GB2312"/>
          <w:sz w:val="28"/>
          <w:szCs w:val="28"/>
          <w:lang w:eastAsia="zh-CN"/>
        </w:rPr>
        <w:t>的危害性</w:t>
      </w:r>
      <w:r>
        <w:rPr>
          <w:rFonts w:hint="eastAsia" w:ascii="仿宋_GB2312" w:eastAsia="仿宋_GB2312"/>
          <w:sz w:val="28"/>
          <w:szCs w:val="28"/>
        </w:rPr>
        <w:t>。</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rPr>
        <w:t>(4)气候</w:t>
      </w:r>
      <w:bookmarkEnd w:id="188"/>
      <w:bookmarkEnd w:id="189"/>
      <w:bookmarkEnd w:id="190"/>
      <w:bookmarkEnd w:id="191"/>
      <w:bookmarkEnd w:id="192"/>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bookmarkStart w:id="195" w:name="_Toc195771060"/>
      <w:bookmarkStart w:id="196" w:name="_Toc195766216"/>
      <w:bookmarkStart w:id="197" w:name="_Toc200958875"/>
      <w:bookmarkStart w:id="198" w:name="_Toc195763850"/>
      <w:bookmarkStart w:id="199" w:name="_Toc195764189"/>
      <w:bookmarkStart w:id="200" w:name="_Toc200958874"/>
      <w:bookmarkStart w:id="201" w:name="_Toc195766215"/>
      <w:bookmarkStart w:id="202" w:name="_Toc195771059"/>
      <w:r>
        <w:rPr>
          <w:rFonts w:hint="eastAsia" w:ascii="仿宋_GB2312" w:eastAsia="仿宋_GB2312"/>
          <w:sz w:val="28"/>
          <w:szCs w:val="28"/>
        </w:rPr>
        <w:t>吴起县属典型的</w:t>
      </w:r>
      <w:r>
        <w:rPr>
          <w:rFonts w:ascii="仿宋_GB2312" w:eastAsia="仿宋_GB2312"/>
          <w:sz w:val="28"/>
          <w:szCs w:val="28"/>
        </w:rPr>
        <w:t>温带大陆性季风气候</w:t>
      </w:r>
      <w:r>
        <w:rPr>
          <w:rFonts w:hint="eastAsia" w:ascii="仿宋_GB2312" w:eastAsia="仿宋_GB2312"/>
          <w:sz w:val="28"/>
          <w:szCs w:val="28"/>
        </w:rPr>
        <w:t>，冬季寒冷干燥，春季干早多风，夏季旱涝相间，秋季温凉湿润。年平均气温7.8℃，1月份气温低，平均为-7.7℃；7月份气温最高，平均为21.5℃；极端最高气温37.1℃，极端最低气温-28.5℃；气温变化规律是：春温高于秋温，春季升温缓慢，秋季降温迅速。降雨量少，多年平均降水量为478.3mm，降水随时间分布不均匀，相对集中在7～9月份，占全年降水量的62.4％</w:t>
      </w:r>
      <w:r>
        <w:rPr>
          <w:rFonts w:hint="eastAsia" w:ascii="仿宋_GB2312" w:eastAsia="仿宋_GB2312"/>
          <w:sz w:val="28"/>
          <w:szCs w:val="28"/>
          <w:lang w:val="ca-ES" w:eastAsia="zh-CN"/>
        </w:rPr>
        <w:t>。</w:t>
      </w:r>
      <w:r>
        <w:rPr>
          <w:rFonts w:hint="eastAsia" w:ascii="仿宋_GB2312" w:eastAsia="仿宋_GB2312"/>
          <w:sz w:val="28"/>
          <w:szCs w:val="28"/>
        </w:rPr>
        <w:t>受自然地理、地形地貌影响，降水地域分布不均匀，东南部普遍多于西北部，相差100mm左右。降水年际变化大</w:t>
      </w:r>
      <w:r>
        <w:rPr>
          <w:rFonts w:hint="eastAsia" w:ascii="仿宋_GB2312" w:eastAsia="仿宋_GB2312"/>
          <w:sz w:val="28"/>
          <w:szCs w:val="28"/>
          <w:lang w:eastAsia="zh-CN"/>
        </w:rPr>
        <w:t>，如</w:t>
      </w:r>
      <w:r>
        <w:rPr>
          <w:rFonts w:hint="eastAsia" w:ascii="仿宋_GB2312" w:eastAsia="仿宋_GB2312"/>
          <w:sz w:val="28"/>
          <w:szCs w:val="28"/>
        </w:rPr>
        <w:t>1985年降水量达631.4mm</w:t>
      </w:r>
      <w:r>
        <w:rPr>
          <w:rFonts w:hint="eastAsia" w:ascii="仿宋_GB2312" w:eastAsia="仿宋_GB2312"/>
          <w:sz w:val="28"/>
          <w:szCs w:val="28"/>
          <w:lang w:eastAsia="zh-CN"/>
        </w:rPr>
        <w:t>，</w:t>
      </w:r>
      <w:r>
        <w:rPr>
          <w:rFonts w:hint="eastAsia" w:ascii="仿宋_GB2312" w:eastAsia="仿宋_GB2312"/>
          <w:sz w:val="28"/>
          <w:szCs w:val="28"/>
        </w:rPr>
        <w:t>而1987年全年降水量仅为270mm，相差2.3倍</w:t>
      </w:r>
      <w:r>
        <w:rPr>
          <w:rFonts w:hint="eastAsia" w:ascii="仿宋_GB2312" w:eastAsia="仿宋_GB2312"/>
          <w:sz w:val="28"/>
          <w:szCs w:val="28"/>
          <w:lang w:eastAsia="zh-CN"/>
        </w:rPr>
        <w:t>。</w:t>
      </w:r>
      <w:r>
        <w:rPr>
          <w:rFonts w:hint="eastAsia" w:ascii="仿宋_GB2312" w:eastAsia="仿宋_GB2312"/>
          <w:sz w:val="28"/>
          <w:szCs w:val="28"/>
        </w:rPr>
        <w:t>年蒸发量891.23mm，干燥度1.86。无霜期短，平均为147天</w:t>
      </w:r>
      <w:r>
        <w:rPr>
          <w:rFonts w:hint="eastAsia" w:ascii="仿宋_GB2312" w:eastAsia="仿宋_GB2312"/>
          <w:sz w:val="28"/>
          <w:szCs w:val="28"/>
          <w:lang w:eastAsia="zh-CN"/>
        </w:rPr>
        <w:t>，最早始于</w:t>
      </w:r>
      <w:r>
        <w:rPr>
          <w:rFonts w:hint="eastAsia" w:ascii="仿宋_GB2312" w:eastAsia="仿宋_GB2312"/>
          <w:sz w:val="28"/>
          <w:szCs w:val="28"/>
          <w:lang w:val="en-US" w:eastAsia="zh-CN"/>
        </w:rPr>
        <w:t>9月9日，最晚终于6月4日</w:t>
      </w:r>
      <w:r>
        <w:rPr>
          <w:rFonts w:hint="eastAsia" w:ascii="仿宋_GB2312" w:eastAsia="仿宋_GB2312"/>
          <w:sz w:val="28"/>
          <w:szCs w:val="28"/>
        </w:rPr>
        <w:t>；光照充足，日照时长，多年平均日照时数2370.7小时。干旱、霜冻、冰雹、大风、暴雨等自然灾害频繁发生，极易出现一年数灾并发现象</w:t>
      </w:r>
      <w:r>
        <w:rPr>
          <w:rFonts w:hint="eastAsia" w:ascii="仿宋_GB2312" w:eastAsia="仿宋_GB2312"/>
          <w:sz w:val="28"/>
          <w:szCs w:val="28"/>
          <w:lang w:eastAsia="zh-CN"/>
        </w:rPr>
        <w:t>，特别是较短的</w:t>
      </w:r>
      <w:r>
        <w:rPr>
          <w:rFonts w:hint="eastAsia" w:ascii="仿宋_GB2312" w:eastAsia="仿宋_GB2312"/>
          <w:sz w:val="28"/>
          <w:szCs w:val="28"/>
        </w:rPr>
        <w:t>无霜期</w:t>
      </w:r>
      <w:r>
        <w:rPr>
          <w:rFonts w:hint="eastAsia" w:ascii="仿宋_GB2312" w:eastAsia="仿宋_GB2312"/>
          <w:sz w:val="28"/>
          <w:szCs w:val="28"/>
          <w:lang w:eastAsia="zh-CN"/>
        </w:rPr>
        <w:t>，对发展经济林木有一定程度限制</w:t>
      </w:r>
      <w:r>
        <w:rPr>
          <w:rFonts w:hint="eastAsia" w:ascii="仿宋_GB2312" w:eastAsia="仿宋_GB2312"/>
          <w:sz w:val="28"/>
          <w:szCs w:val="28"/>
        </w:rPr>
        <w:t>。</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rPr>
        <w:t>(5)土壤</w:t>
      </w:r>
      <w:bookmarkEnd w:id="195"/>
      <w:bookmarkEnd w:id="196"/>
      <w:bookmarkEnd w:id="197"/>
    </w:p>
    <w:bookmarkEnd w:id="198"/>
    <w:bookmarkEnd w:id="199"/>
    <w:bookmarkEnd w:id="200"/>
    <w:bookmarkEnd w:id="201"/>
    <w:bookmarkEnd w:id="202"/>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bookmarkStart w:id="203" w:name="_Toc195766217"/>
      <w:bookmarkStart w:id="204" w:name="_Toc195960426"/>
      <w:bookmarkStart w:id="205" w:name="_Toc195761923"/>
      <w:bookmarkStart w:id="206" w:name="_Toc195763851"/>
      <w:bookmarkStart w:id="207" w:name="_Toc195771061"/>
      <w:bookmarkStart w:id="208" w:name="_Toc195764190"/>
      <w:bookmarkStart w:id="209" w:name="_Toc201481750"/>
      <w:bookmarkStart w:id="210" w:name="_Toc200958876"/>
      <w:r>
        <w:rPr>
          <w:rFonts w:hint="eastAsia" w:ascii="仿宋_GB2312" w:eastAsia="仿宋_GB2312"/>
          <w:sz w:val="28"/>
          <w:szCs w:val="28"/>
        </w:rPr>
        <w:t>吴起县土壤类型多样。全县共有7个土类，13个亚类，35个土属，97个土种。其中，黄绵土为主要土壤，占总面积的97.6％；其次是新积土，占1.06％，其它如黑垆土、红土、潮土、风沙上、盐化草甸土零星分布，共占1.34％。土壤分布随纬度变化差异较大，由北向南土壤分布规律为风沙土-绵沙土-黄绵土。土壤有机质平均含量为0.58％，含氮0.04％，速效磷6.57ppm，速效钾82ppm，速效氮磷比为3.45∶1。总</w:t>
      </w:r>
      <w:r>
        <w:rPr>
          <w:rFonts w:hint="eastAsia" w:ascii="仿宋_GB2312" w:eastAsia="仿宋_GB2312"/>
          <w:sz w:val="28"/>
          <w:szCs w:val="28"/>
          <w:lang w:eastAsia="zh-CN"/>
        </w:rPr>
        <w:t>体情况</w:t>
      </w:r>
      <w:r>
        <w:rPr>
          <w:rFonts w:hint="eastAsia" w:ascii="仿宋_GB2312" w:eastAsia="仿宋_GB2312"/>
          <w:sz w:val="28"/>
          <w:szCs w:val="28"/>
        </w:rPr>
        <w:t>是有机质含量低，氮磷俱缺，钾较丰富。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项目区土壤为黄绵土，土壤母质层深厚，土壤质地为沙壤，结构松散</w:t>
      </w:r>
      <w:r>
        <w:rPr>
          <w:rFonts w:hint="eastAsia" w:ascii="仿宋_GB2312" w:eastAsia="仿宋_GB2312"/>
          <w:sz w:val="28"/>
          <w:szCs w:val="28"/>
          <w:lang w:eastAsia="zh-CN"/>
        </w:rPr>
        <w:t>，</w:t>
      </w:r>
      <w:r>
        <w:rPr>
          <w:rFonts w:hint="eastAsia" w:ascii="仿宋_GB2312" w:eastAsia="仿宋_GB2312"/>
          <w:sz w:val="28"/>
          <w:szCs w:val="28"/>
        </w:rPr>
        <w:t>抗蚀力弱，是造成土壤强烈侵蚀的主要原因。</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rPr>
        <w:t>(6)动植物资源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吴起县属森林灌丛草原植被区，草、灌占优势，草、灌、乔群落优势明显</w:t>
      </w:r>
      <w:r>
        <w:rPr>
          <w:rFonts w:hint="eastAsia" w:ascii="仿宋_GB2312" w:eastAsia="仿宋_GB2312"/>
          <w:sz w:val="28"/>
          <w:szCs w:val="28"/>
          <w:lang w:eastAsia="zh-CN"/>
        </w:rPr>
        <w:t>。</w:t>
      </w:r>
      <w:r>
        <w:rPr>
          <w:rFonts w:hint="eastAsia" w:ascii="仿宋_GB2312" w:eastAsia="仿宋_GB2312"/>
          <w:sz w:val="28"/>
          <w:szCs w:val="28"/>
        </w:rPr>
        <w:t>在现有林木中，有乔、灌木</w:t>
      </w:r>
      <w:r>
        <w:rPr>
          <w:rFonts w:hint="eastAsia" w:ascii="仿宋_GB2312" w:eastAsia="仿宋_GB2312"/>
          <w:sz w:val="28"/>
          <w:szCs w:val="28"/>
          <w:lang w:eastAsia="zh-CN"/>
        </w:rPr>
        <w:t>树种</w:t>
      </w:r>
      <w:r>
        <w:rPr>
          <w:rFonts w:hint="eastAsia" w:ascii="仿宋_GB2312" w:eastAsia="仿宋_GB2312"/>
          <w:sz w:val="28"/>
          <w:szCs w:val="28"/>
        </w:rPr>
        <w:t>36种，</w:t>
      </w:r>
      <w:r>
        <w:rPr>
          <w:rFonts w:hint="eastAsia" w:ascii="仿宋_GB2312" w:eastAsia="仿宋_GB2312"/>
          <w:sz w:val="28"/>
          <w:szCs w:val="28"/>
          <w:lang w:eastAsia="zh-CN"/>
        </w:rPr>
        <w:t>大多为人工栽植，天然林木少。主要有</w:t>
      </w:r>
      <w:r>
        <w:rPr>
          <w:rFonts w:hint="eastAsia" w:ascii="仿宋_GB2312" w:eastAsia="仿宋_GB2312"/>
          <w:sz w:val="28"/>
          <w:szCs w:val="28"/>
        </w:rPr>
        <w:t>河北杨、小叶杨、刺槐、油松、侧柏、旱柳、杜梨、</w:t>
      </w:r>
      <w:r>
        <w:rPr>
          <w:rFonts w:hint="eastAsia" w:ascii="仿宋_GB2312" w:eastAsia="仿宋_GB2312"/>
          <w:sz w:val="28"/>
          <w:szCs w:val="28"/>
          <w:lang w:eastAsia="zh-CN"/>
        </w:rPr>
        <w:t>山桃、</w:t>
      </w:r>
      <w:r>
        <w:rPr>
          <w:rFonts w:hint="eastAsia" w:ascii="仿宋_GB2312" w:eastAsia="仿宋_GB2312"/>
          <w:sz w:val="28"/>
          <w:szCs w:val="28"/>
        </w:rPr>
        <w:t>山杏、榆、桑、紫穗槐、柠条、沙棘、沙柳、狼牙刺、卫矛等。全县有草本植物224种，主要类型有长茅草群落、冰草群落、百里香群落和冷篙群落。药用植物全县大约有40多种，主要有甘草、柴胡、黄连、知母、秦芫、地骨皮、茜草、党参等。野生动物主要有兔、石貂、狐、</w:t>
      </w:r>
      <w:r>
        <w:rPr>
          <w:rFonts w:hint="eastAsia" w:ascii="仿宋_GB2312" w:eastAsia="仿宋_GB2312"/>
          <w:sz w:val="28"/>
          <w:szCs w:val="28"/>
          <w:lang w:eastAsia="zh-CN"/>
        </w:rPr>
        <w:t>獾</w:t>
      </w:r>
      <w:r>
        <w:rPr>
          <w:rFonts w:hint="eastAsia" w:ascii="仿宋_GB2312" w:eastAsia="仿宋_GB2312"/>
          <w:sz w:val="28"/>
          <w:szCs w:val="28"/>
        </w:rPr>
        <w:t>、石鸡、</w:t>
      </w:r>
      <w:r>
        <w:rPr>
          <w:rFonts w:hint="eastAsia" w:ascii="仿宋_GB2312" w:eastAsia="仿宋_GB2312"/>
          <w:sz w:val="28"/>
          <w:szCs w:val="28"/>
          <w:lang w:eastAsia="zh-CN"/>
        </w:rPr>
        <w:t>环颈雉、</w:t>
      </w:r>
      <w:r>
        <w:rPr>
          <w:rFonts w:hint="eastAsia" w:ascii="仿宋_GB2312" w:eastAsia="仿宋_GB2312"/>
          <w:sz w:val="28"/>
          <w:szCs w:val="28"/>
        </w:rPr>
        <w:t>乌鸦、喜鹊、麻雀等近20</w:t>
      </w:r>
      <w:r>
        <w:rPr>
          <w:rFonts w:hint="eastAsia" w:ascii="仿宋_GB2312" w:eastAsia="仿宋_GB2312"/>
          <w:sz w:val="28"/>
          <w:szCs w:val="28"/>
          <w:lang w:eastAsia="zh-CN"/>
        </w:rPr>
        <w:t>余</w:t>
      </w:r>
      <w:r>
        <w:rPr>
          <w:rFonts w:hint="eastAsia" w:ascii="仿宋_GB2312" w:eastAsia="仿宋_GB2312"/>
          <w:sz w:val="28"/>
          <w:szCs w:val="28"/>
        </w:rPr>
        <w:t>种。</w:t>
      </w:r>
      <w:r>
        <w:rPr>
          <w:rFonts w:hint="eastAsia" w:ascii="仿宋_GB2312" w:eastAsia="仿宋_GB2312"/>
          <w:sz w:val="28"/>
          <w:szCs w:val="28"/>
          <w:lang w:eastAsia="zh-CN"/>
        </w:rPr>
        <w:t>近年来</w:t>
      </w:r>
      <w:r>
        <w:rPr>
          <w:rFonts w:hint="eastAsia" w:ascii="仿宋_GB2312" w:eastAsia="仿宋_GB2312"/>
          <w:sz w:val="28"/>
          <w:szCs w:val="28"/>
        </w:rPr>
        <w:t>，随着退耕还林、三北防护林、天然林保护等林业生态工程的实施，野生动物数量增加，尤其以野兔和</w:t>
      </w:r>
      <w:r>
        <w:rPr>
          <w:rFonts w:hint="eastAsia" w:ascii="仿宋_GB2312" w:eastAsia="仿宋_GB2312"/>
          <w:sz w:val="28"/>
          <w:szCs w:val="28"/>
          <w:lang w:eastAsia="zh-CN"/>
        </w:rPr>
        <w:t>雉类</w:t>
      </w:r>
      <w:r>
        <w:rPr>
          <w:rFonts w:hint="eastAsia" w:ascii="仿宋_GB2312" w:eastAsia="仿宋_GB2312"/>
          <w:sz w:val="28"/>
          <w:szCs w:val="28"/>
        </w:rPr>
        <w:t>数量增加最</w:t>
      </w:r>
      <w:r>
        <w:rPr>
          <w:rFonts w:hint="eastAsia" w:ascii="仿宋_GB2312" w:eastAsia="仿宋_GB2312"/>
          <w:sz w:val="28"/>
          <w:szCs w:val="28"/>
          <w:lang w:eastAsia="zh-CN"/>
        </w:rPr>
        <w:t>为</w:t>
      </w:r>
      <w:r>
        <w:rPr>
          <w:rFonts w:hint="eastAsia" w:ascii="仿宋_GB2312" w:eastAsia="仿宋_GB2312"/>
          <w:sz w:val="28"/>
          <w:szCs w:val="28"/>
        </w:rPr>
        <w:t>明显。</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rPr>
        <w:t>(7)矿产资源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吴起县矿产资源主要为石油、天然气和煤炭，石油、天然气储量丰富，已探明地质石油储量就达2.75亿吨，发展潜力巨大。现有中石油长庆油田、延长石油、延安油田三家企业开采，原油产量约400万吨/年。在石油强县富民支柱产业建设中，吴起县积极破解发展与保护的难题，妥善处理地下与地上的关系，按照“谁开发谁保护、谁受益谁补偿、谁破坏谁恢复、谁污染谁治理”的原则，积极采取污染物总量控制、污水回注、绿化边坡、硬化道路，建设清洁文明井场、实施原油管输、推行清洁生产等一系列强制性的环保举措，有效控制了石油开发对环境的污染，坚决保护了来之不易的青山绿水。</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rPr>
      </w:pPr>
      <w:bookmarkStart w:id="211" w:name="_Toc19838"/>
      <w:r>
        <w:rPr>
          <w:rFonts w:hint="eastAsia"/>
          <w:bCs/>
          <w:sz w:val="28"/>
          <w:szCs w:val="28"/>
        </w:rPr>
        <w:t>2.1.2社会经济概况</w:t>
      </w:r>
      <w:bookmarkEnd w:id="203"/>
      <w:bookmarkEnd w:id="204"/>
      <w:bookmarkEnd w:id="205"/>
      <w:bookmarkEnd w:id="206"/>
      <w:bookmarkEnd w:id="207"/>
      <w:bookmarkEnd w:id="208"/>
      <w:bookmarkEnd w:id="209"/>
      <w:bookmarkEnd w:id="210"/>
      <w:bookmarkEnd w:id="211"/>
    </w:p>
    <w:p>
      <w:pPr>
        <w:pageBreakBefore w:val="0"/>
        <w:widowControl w:val="0"/>
        <w:kinsoku/>
        <w:wordWrap/>
        <w:overflowPunct/>
        <w:topLinePunct w:val="0"/>
        <w:autoSpaceDE/>
        <w:autoSpaceDN/>
        <w:bidi w:val="0"/>
        <w:adjustRightInd/>
        <w:snapToGrid/>
        <w:spacing w:line="240" w:lineRule="auto"/>
        <w:ind w:left="0" w:leftChars="0" w:right="0" w:rightChars="0" w:firstLine="562" w:firstLineChars="200"/>
        <w:jc w:val="both"/>
        <w:textAlignment w:val="auto"/>
        <w:rPr>
          <w:rFonts w:hint="eastAsia" w:ascii="仿宋_GB2312" w:eastAsia="仿宋_GB2312"/>
          <w:b/>
          <w:sz w:val="28"/>
          <w:szCs w:val="28"/>
        </w:rPr>
      </w:pPr>
      <w:bookmarkStart w:id="212" w:name="_Toc195764192"/>
      <w:bookmarkStart w:id="213" w:name="_Toc200958878"/>
      <w:bookmarkStart w:id="214" w:name="_Toc195771063"/>
      <w:bookmarkStart w:id="215" w:name="_Toc195766219"/>
      <w:bookmarkStart w:id="216" w:name="_Toc195763853"/>
      <w:r>
        <w:rPr>
          <w:rFonts w:hint="eastAsia" w:ascii="仿宋_GB2312" w:eastAsia="仿宋_GB2312"/>
          <w:b/>
          <w:sz w:val="28"/>
          <w:szCs w:val="28"/>
          <w:lang w:eastAsia="zh-CN"/>
        </w:rPr>
        <w:t>（</w:t>
      </w:r>
      <w:r>
        <w:rPr>
          <w:rFonts w:hint="eastAsia" w:ascii="仿宋_GB2312" w:eastAsia="仿宋_GB2312"/>
          <w:b/>
          <w:sz w:val="28"/>
          <w:szCs w:val="28"/>
          <w:lang w:val="en-US" w:eastAsia="zh-CN"/>
        </w:rPr>
        <w:t>1</w:t>
      </w:r>
      <w:r>
        <w:rPr>
          <w:rFonts w:hint="eastAsia" w:ascii="仿宋_GB2312" w:eastAsia="仿宋_GB2312"/>
          <w:b/>
          <w:sz w:val="28"/>
          <w:szCs w:val="28"/>
          <w:lang w:eastAsia="zh-CN"/>
        </w:rPr>
        <w:t>）</w:t>
      </w:r>
      <w:r>
        <w:rPr>
          <w:rFonts w:hint="eastAsia" w:ascii="仿宋_GB2312" w:eastAsia="仿宋_GB2312"/>
          <w:b/>
          <w:sz w:val="28"/>
          <w:szCs w:val="28"/>
        </w:rPr>
        <w:t>行政区划与人口</w:t>
      </w:r>
      <w:bookmarkEnd w:id="212"/>
      <w:bookmarkEnd w:id="213"/>
      <w:bookmarkEnd w:id="214"/>
      <w:bookmarkEnd w:id="215"/>
      <w:bookmarkEnd w:id="216"/>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bookmarkStart w:id="217" w:name="_Toc195763855"/>
      <w:bookmarkStart w:id="218" w:name="_Toc195771065"/>
      <w:bookmarkStart w:id="219" w:name="_Toc200958880"/>
      <w:bookmarkStart w:id="220" w:name="_Toc195764194"/>
      <w:bookmarkStart w:id="221" w:name="_Toc195766221"/>
      <w:r>
        <w:rPr>
          <w:rFonts w:hint="eastAsia" w:ascii="仿宋_GB2312" w:eastAsia="仿宋_GB2312"/>
          <w:sz w:val="28"/>
          <w:szCs w:val="28"/>
        </w:rPr>
        <w:t>吴起县</w:t>
      </w:r>
      <w:r>
        <w:rPr>
          <w:rFonts w:ascii="仿宋_GB2312" w:eastAsia="仿宋_GB2312"/>
          <w:sz w:val="28"/>
          <w:szCs w:val="28"/>
        </w:rPr>
        <w:t>辖8镇1个街道办91个行政村8个社区</w:t>
      </w:r>
      <w:r>
        <w:rPr>
          <w:rFonts w:hint="eastAsia" w:ascii="仿宋_GB2312" w:eastAsia="仿宋_GB2312"/>
          <w:sz w:val="28"/>
          <w:szCs w:val="28"/>
          <w:lang w:eastAsia="zh-CN"/>
        </w:rPr>
        <w:t>，</w:t>
      </w:r>
      <w:r>
        <w:rPr>
          <w:rFonts w:hint="eastAsia" w:ascii="仿宋_GB2312" w:eastAsia="仿宋_GB2312"/>
          <w:sz w:val="28"/>
          <w:szCs w:val="28"/>
        </w:rPr>
        <w:t>总人口</w:t>
      </w:r>
      <w:r>
        <w:rPr>
          <w:rFonts w:hint="eastAsia" w:ascii="仿宋_GB2312" w:eastAsia="仿宋_GB2312" w:cs="仿宋_GB2312"/>
          <w:kern w:val="0"/>
          <w:sz w:val="28"/>
          <w:szCs w:val="28"/>
          <w:lang w:val="zh-CN"/>
        </w:rPr>
        <w:t>14.</w:t>
      </w:r>
      <w:r>
        <w:rPr>
          <w:rFonts w:hint="eastAsia" w:ascii="仿宋_GB2312" w:eastAsia="仿宋_GB2312" w:cs="仿宋_GB2312"/>
          <w:kern w:val="0"/>
          <w:sz w:val="28"/>
          <w:szCs w:val="28"/>
          <w:lang w:val="en-US" w:eastAsia="zh-CN"/>
        </w:rPr>
        <w:t>57</w:t>
      </w:r>
      <w:r>
        <w:rPr>
          <w:rFonts w:hint="eastAsia" w:ascii="仿宋_GB2312" w:eastAsia="仿宋_GB2312" w:cs="仿宋_GB2312"/>
          <w:kern w:val="0"/>
          <w:sz w:val="28"/>
          <w:szCs w:val="28"/>
          <w:lang w:val="zh-CN"/>
        </w:rPr>
        <w:t>万</w:t>
      </w:r>
      <w:r>
        <w:rPr>
          <w:rFonts w:hint="eastAsia" w:ascii="仿宋_GB2312" w:eastAsia="仿宋_GB2312"/>
          <w:sz w:val="28"/>
          <w:szCs w:val="28"/>
        </w:rPr>
        <w:t>人，</w:t>
      </w:r>
      <w:r>
        <w:rPr>
          <w:rFonts w:ascii="仿宋_GB2312" w:eastAsia="仿宋_GB2312"/>
          <w:sz w:val="28"/>
          <w:szCs w:val="28"/>
        </w:rPr>
        <w:t>人口密度为</w:t>
      </w:r>
      <w:r>
        <w:rPr>
          <w:rFonts w:hint="eastAsia" w:ascii="仿宋_GB2312" w:eastAsia="仿宋_GB2312"/>
          <w:sz w:val="28"/>
          <w:szCs w:val="28"/>
          <w:lang w:val="en-US" w:eastAsia="zh-CN"/>
        </w:rPr>
        <w:t>38.43</w:t>
      </w:r>
      <w:r>
        <w:rPr>
          <w:rFonts w:ascii="仿宋_GB2312" w:eastAsia="仿宋_GB2312"/>
          <w:sz w:val="28"/>
          <w:szCs w:val="28"/>
        </w:rPr>
        <w:t>人/</w:t>
      </w:r>
      <w:r>
        <w:rPr>
          <w:rFonts w:hint="eastAsia" w:ascii="仿宋_GB2312" w:eastAsia="仿宋_GB2312"/>
          <w:sz w:val="28"/>
          <w:szCs w:val="28"/>
        </w:rPr>
        <w:t>km</w:t>
      </w:r>
      <w:r>
        <w:rPr>
          <w:rFonts w:hint="eastAsia" w:ascii="仿宋_GB2312" w:eastAsia="仿宋_GB2312"/>
          <w:sz w:val="28"/>
          <w:szCs w:val="28"/>
          <w:vertAlign w:val="superscript"/>
        </w:rPr>
        <w:t>2</w:t>
      </w:r>
      <w:r>
        <w:rPr>
          <w:rFonts w:hint="eastAsia" w:ascii="仿宋_GB2312" w:eastAsia="仿宋_GB2312"/>
          <w:sz w:val="28"/>
          <w:szCs w:val="28"/>
        </w:rPr>
        <w:t>。</w:t>
      </w:r>
    </w:p>
    <w:bookmarkEnd w:id="217"/>
    <w:bookmarkEnd w:id="218"/>
    <w:bookmarkEnd w:id="219"/>
    <w:bookmarkEnd w:id="220"/>
    <w:bookmarkEnd w:id="221"/>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2</w:t>
      </w:r>
      <w:r>
        <w:rPr>
          <w:rFonts w:hint="eastAsia" w:ascii="仿宋_GB2312" w:eastAsia="仿宋_GB2312"/>
          <w:b/>
          <w:sz w:val="28"/>
          <w:szCs w:val="28"/>
          <w:lang w:eastAsia="zh-CN"/>
        </w:rPr>
        <w:t>）</w:t>
      </w:r>
      <w:r>
        <w:rPr>
          <w:rFonts w:hint="eastAsia" w:ascii="仿宋_GB2312" w:eastAsia="仿宋_GB2312"/>
          <w:b/>
          <w:sz w:val="28"/>
          <w:szCs w:val="28"/>
        </w:rPr>
        <w:t>社会经济</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bookmarkStart w:id="222" w:name="_Toc200958879"/>
      <w:bookmarkStart w:id="223" w:name="_Toc195764193"/>
      <w:bookmarkStart w:id="224" w:name="_Toc195771064"/>
      <w:bookmarkStart w:id="225" w:name="_Toc195766220"/>
      <w:bookmarkStart w:id="226" w:name="_Toc195763854"/>
      <w:r>
        <w:rPr>
          <w:rFonts w:hint="eastAsia" w:ascii="仿宋_GB2312" w:eastAsia="仿宋_GB2312"/>
          <w:sz w:val="28"/>
          <w:szCs w:val="28"/>
        </w:rPr>
        <w:t>近年来，吴起县紧紧围绕建设“经济强、百姓富、环境美、社会文明程度高”的新吴起奋斗目标，以“创新、协调、绿色、开放、共享”五大发展理念为指导，深化改革为动力，经济转型为主线，民生保障为重点，精准发力，主动作为，真抓实干，统筹推进，经济社会平稳健康发展。</w:t>
      </w:r>
    </w:p>
    <w:p>
      <w:pPr>
        <w:autoSpaceDE w:val="0"/>
        <w:autoSpaceDN w:val="0"/>
        <w:adjustRightInd w:val="0"/>
        <w:spacing w:line="600" w:lineRule="exact"/>
        <w:ind w:firstLine="560" w:firstLineChars="200"/>
        <w:rPr>
          <w:rFonts w:hint="eastAsia" w:ascii="仿宋_GB2312" w:eastAsia="仿宋_GB2312"/>
          <w:sz w:val="28"/>
          <w:szCs w:val="28"/>
        </w:rPr>
      </w:pPr>
      <w:r>
        <w:rPr>
          <w:rFonts w:hint="eastAsia" w:ascii="仿宋_GB2312" w:eastAsia="仿宋_GB2312" w:cs="仿宋_GB2312"/>
          <w:kern w:val="0"/>
          <w:sz w:val="28"/>
          <w:szCs w:val="28"/>
          <w:lang w:val="zh-CN"/>
        </w:rPr>
        <w:t>2020年全县实现生产总值150.1亿元</w:t>
      </w:r>
      <w:r>
        <w:rPr>
          <w:rFonts w:hint="eastAsia" w:ascii="仿宋_GB2312" w:eastAsia="仿宋_GB2312" w:cs="仿宋_GB2312"/>
          <w:kern w:val="0"/>
          <w:sz w:val="28"/>
          <w:szCs w:val="28"/>
          <w:lang w:val="en-US" w:eastAsia="zh-CN"/>
        </w:rPr>
        <w:t>，财政总收入</w:t>
      </w:r>
      <w:r>
        <w:rPr>
          <w:rFonts w:hint="eastAsia" w:ascii="仿宋_GB2312" w:eastAsia="仿宋_GB2312" w:cs="仿宋_GB2312"/>
          <w:kern w:val="0"/>
          <w:sz w:val="28"/>
          <w:szCs w:val="28"/>
          <w:lang w:val="zh-CN"/>
        </w:rPr>
        <w:t>完成37.37亿元</w:t>
      </w:r>
      <w:r>
        <w:rPr>
          <w:rFonts w:hint="eastAsia" w:ascii="仿宋_GB2312" w:eastAsia="仿宋_GB2312" w:cs="仿宋_GB2312"/>
          <w:kern w:val="0"/>
          <w:sz w:val="28"/>
          <w:szCs w:val="28"/>
          <w:lang w:val="en-US" w:eastAsia="zh-CN"/>
        </w:rPr>
        <w:t>，其中地方财政收入</w:t>
      </w:r>
      <w:r>
        <w:rPr>
          <w:rFonts w:hint="eastAsia" w:ascii="仿宋_GB2312" w:eastAsia="仿宋_GB2312" w:cs="仿宋_GB2312"/>
          <w:kern w:val="0"/>
          <w:sz w:val="28"/>
          <w:szCs w:val="28"/>
          <w:lang w:val="zh-CN"/>
        </w:rPr>
        <w:t>19.57亿元</w:t>
      </w:r>
      <w:r>
        <w:rPr>
          <w:rFonts w:hint="eastAsia" w:ascii="仿宋_GB2312" w:eastAsia="仿宋_GB2312" w:cs="仿宋_GB2312"/>
          <w:kern w:val="0"/>
          <w:sz w:val="28"/>
          <w:szCs w:val="28"/>
          <w:lang w:val="en-US" w:eastAsia="zh-CN"/>
        </w:rPr>
        <w:t>，</w:t>
      </w:r>
      <w:r>
        <w:rPr>
          <w:rFonts w:hint="eastAsia" w:ascii="仿宋_GB2312" w:eastAsia="仿宋_GB2312" w:cs="仿宋_GB2312"/>
          <w:kern w:val="0"/>
          <w:sz w:val="28"/>
          <w:szCs w:val="28"/>
          <w:lang w:val="zh-CN"/>
        </w:rPr>
        <w:t>城镇居民人均可支配收入38165元</w:t>
      </w:r>
      <w:r>
        <w:rPr>
          <w:rFonts w:hint="eastAsia" w:ascii="仿宋_GB2312" w:eastAsia="仿宋_GB2312" w:cs="仿宋_GB2312"/>
          <w:kern w:val="0"/>
          <w:sz w:val="28"/>
          <w:szCs w:val="28"/>
          <w:lang w:val="en-US" w:eastAsia="zh-CN"/>
        </w:rPr>
        <w:t>，</w:t>
      </w:r>
      <w:r>
        <w:rPr>
          <w:rFonts w:hint="eastAsia" w:ascii="仿宋_GB2312" w:eastAsia="仿宋_GB2312" w:cs="仿宋_GB2312"/>
          <w:kern w:val="0"/>
          <w:sz w:val="28"/>
          <w:szCs w:val="28"/>
          <w:lang w:val="zh-CN"/>
        </w:rPr>
        <w:t>农村居民人均可支配收入13045元</w:t>
      </w:r>
      <w:r>
        <w:rPr>
          <w:rFonts w:hint="eastAsia" w:ascii="仿宋_GB2312" w:eastAsia="仿宋_GB2312"/>
          <w:sz w:val="28"/>
          <w:szCs w:val="28"/>
        </w:rPr>
        <w:t>。县域经济综合实力位居西部百强县第78位、全国投资潜力百强县第83位</w:t>
      </w:r>
      <w:r>
        <w:rPr>
          <w:rFonts w:hint="eastAsia" w:ascii="仿宋_GB2312" w:eastAsia="仿宋_GB2312"/>
          <w:sz w:val="28"/>
          <w:szCs w:val="28"/>
          <w:lang w:eastAsia="zh-CN"/>
        </w:rPr>
        <w:t>，</w:t>
      </w:r>
      <w:r>
        <w:rPr>
          <w:rFonts w:hint="eastAsia" w:ascii="仿宋_GB2312" w:eastAsia="仿宋_GB2312"/>
          <w:sz w:val="28"/>
          <w:szCs w:val="28"/>
        </w:rPr>
        <w:t>是延安唯一上榜全国投资潜力百强县的县份。先后荣获“全国退耕还林先进县”、“全国绿化模范县”、“国家水土保持生态文明县”、“国家级生态示范区”、“国家卫生县城”等多项殊荣。</w:t>
      </w:r>
    </w:p>
    <w:bookmarkEnd w:id="222"/>
    <w:bookmarkEnd w:id="223"/>
    <w:bookmarkEnd w:id="224"/>
    <w:bookmarkEnd w:id="225"/>
    <w:bookmarkEnd w:id="226"/>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3</w:t>
      </w:r>
      <w:r>
        <w:rPr>
          <w:rFonts w:hint="eastAsia" w:ascii="仿宋_GB2312" w:eastAsia="仿宋_GB2312"/>
          <w:b/>
          <w:sz w:val="28"/>
          <w:szCs w:val="28"/>
          <w:lang w:eastAsia="zh-CN"/>
        </w:rPr>
        <w:t>）</w:t>
      </w:r>
      <w:r>
        <w:rPr>
          <w:rFonts w:hint="eastAsia" w:ascii="仿宋_GB2312" w:eastAsia="仿宋_GB2312"/>
          <w:b/>
          <w:sz w:val="28"/>
          <w:szCs w:val="28"/>
        </w:rPr>
        <w:t>交通基础设施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延(安)～吴(起)高速公路已建成通车，2017年</w:t>
      </w:r>
      <w:r>
        <w:rPr>
          <w:rFonts w:hint="eastAsia" w:ascii="仿宋_GB2312" w:eastAsia="仿宋_GB2312"/>
          <w:sz w:val="28"/>
          <w:szCs w:val="28"/>
          <w:lang w:val="en-US" w:eastAsia="zh-CN"/>
        </w:rPr>
        <w:t>6</w:t>
      </w:r>
      <w:r>
        <w:rPr>
          <w:rFonts w:hint="eastAsia" w:ascii="仿宋_GB2312" w:eastAsia="仿宋_GB2312"/>
          <w:sz w:val="28"/>
          <w:szCs w:val="28"/>
        </w:rPr>
        <w:t>月21日，吴起至华池高速公路建设项目开工建设。吴起县新增国道2条，省道2条，国省道总里程达到243.6km。建成了宁塞川迎宾大道、县城北过境、东绕线及延伸线等21.5km城市道路，城市道路总里程达到44km。目前，全县境内共有各类公路1545.3km，其中：高速公路1条16km，城市主干道Ⅲ级道路1条3.2km，二级公路8条109.5km，三级公路7条273.7km，四级公路50条501.8km。全县145个村通油路，164个村通砂石路。公路密度40.4km/km</w:t>
      </w:r>
      <w:r>
        <w:rPr>
          <w:rFonts w:hint="eastAsia" w:ascii="仿宋_GB2312" w:eastAsia="仿宋_GB2312"/>
          <w:sz w:val="28"/>
          <w:szCs w:val="28"/>
          <w:vertAlign w:val="superscript"/>
        </w:rPr>
        <w:t>2</w:t>
      </w:r>
      <w:r>
        <w:rPr>
          <w:rFonts w:hint="eastAsia" w:ascii="仿宋_GB2312" w:eastAsia="仿宋_GB2312"/>
          <w:sz w:val="28"/>
          <w:szCs w:val="28"/>
        </w:rPr>
        <w:t>。</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27" w:name="_Toc11481"/>
      <w:bookmarkStart w:id="228" w:name="_Toc18570"/>
      <w:bookmarkStart w:id="229" w:name="_Toc18038"/>
      <w:r>
        <w:rPr>
          <w:rFonts w:hint="eastAsia" w:ascii="黑体" w:hAnsi="黑体"/>
          <w:b/>
          <w:bCs/>
          <w:sz w:val="30"/>
          <w:szCs w:val="30"/>
          <w:lang w:val="en-US" w:eastAsia="zh-CN"/>
        </w:rPr>
        <w:t>2.2退化林情况</w:t>
      </w:r>
      <w:bookmarkEnd w:id="227"/>
      <w:bookmarkEnd w:id="228"/>
      <w:bookmarkEnd w:id="229"/>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eastAsia="zh-CN"/>
        </w:rPr>
      </w:pPr>
      <w:bookmarkStart w:id="230" w:name="_Toc2016"/>
      <w:r>
        <w:rPr>
          <w:rFonts w:hint="eastAsia"/>
          <w:bCs/>
          <w:sz w:val="28"/>
          <w:szCs w:val="28"/>
          <w:lang w:val="en-US" w:eastAsia="zh-CN"/>
        </w:rPr>
        <w:t>2.2.1</w:t>
      </w:r>
      <w:r>
        <w:rPr>
          <w:rFonts w:hint="eastAsia"/>
          <w:bCs/>
          <w:sz w:val="28"/>
          <w:szCs w:val="28"/>
          <w:lang w:eastAsia="zh-CN"/>
        </w:rPr>
        <w:t>退化林面积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default" w:ascii="仿宋_GB2312" w:eastAsia="仿宋_GB2312"/>
          <w:sz w:val="28"/>
          <w:szCs w:val="28"/>
          <w:lang w:val="en-US"/>
        </w:rPr>
      </w:pPr>
      <w:r>
        <w:rPr>
          <w:rFonts w:hint="eastAsia" w:ascii="仿宋_GB2312" w:eastAsia="仿宋_GB2312"/>
          <w:sz w:val="28"/>
          <w:szCs w:val="28"/>
          <w:lang w:eastAsia="zh-CN"/>
        </w:rPr>
        <w:t>据调查，</w:t>
      </w:r>
      <w:r>
        <w:rPr>
          <w:rFonts w:hint="eastAsia" w:ascii="仿宋_GB2312" w:eastAsia="仿宋_GB2312"/>
          <w:sz w:val="28"/>
          <w:szCs w:val="28"/>
        </w:rPr>
        <w:t>吴起县</w:t>
      </w:r>
      <w:r>
        <w:rPr>
          <w:rFonts w:hint="eastAsia" w:ascii="仿宋_GB2312" w:eastAsia="仿宋_GB2312"/>
          <w:sz w:val="28"/>
          <w:szCs w:val="28"/>
          <w:lang w:eastAsia="zh-CN"/>
        </w:rPr>
        <w:t>现有</w:t>
      </w:r>
      <w:r>
        <w:rPr>
          <w:rFonts w:hint="eastAsia" w:ascii="仿宋_GB2312" w:eastAsia="仿宋_GB2312"/>
          <w:sz w:val="28"/>
          <w:szCs w:val="28"/>
        </w:rPr>
        <w:t>退化防护林总面积</w:t>
      </w:r>
      <w:r>
        <w:rPr>
          <w:rFonts w:hint="eastAsia" w:ascii="仿宋_GB2312" w:eastAsia="仿宋_GB2312"/>
          <w:sz w:val="28"/>
          <w:szCs w:val="28"/>
          <w:lang w:eastAsia="zh-CN"/>
        </w:rPr>
        <w:t>达</w:t>
      </w:r>
      <w:r>
        <w:rPr>
          <w:rFonts w:hint="eastAsia" w:ascii="仿宋_GB2312" w:eastAsia="仿宋_GB2312"/>
          <w:sz w:val="28"/>
          <w:szCs w:val="28"/>
        </w:rPr>
        <w:t>1</w:t>
      </w:r>
      <w:r>
        <w:rPr>
          <w:rFonts w:hint="eastAsia" w:ascii="仿宋_GB2312" w:eastAsia="仿宋_GB2312"/>
          <w:sz w:val="28"/>
          <w:szCs w:val="28"/>
          <w:lang w:val="en-US" w:eastAsia="zh-CN"/>
        </w:rPr>
        <w:t>70</w:t>
      </w:r>
      <w:r>
        <w:rPr>
          <w:rFonts w:hint="eastAsia" w:ascii="仿宋_GB2312" w:eastAsia="仿宋_GB2312"/>
          <w:sz w:val="28"/>
          <w:szCs w:val="28"/>
        </w:rPr>
        <w:t>.06万亩，退化</w:t>
      </w:r>
      <w:r>
        <w:rPr>
          <w:rFonts w:hint="eastAsia" w:ascii="仿宋_GB2312" w:eastAsia="仿宋_GB2312"/>
          <w:sz w:val="28"/>
          <w:szCs w:val="28"/>
          <w:lang w:val="en-US" w:eastAsia="zh-CN"/>
        </w:rPr>
        <w:t>防护</w:t>
      </w:r>
      <w:r>
        <w:rPr>
          <w:rFonts w:hint="eastAsia" w:ascii="仿宋_GB2312" w:eastAsia="仿宋_GB2312"/>
          <w:sz w:val="28"/>
          <w:szCs w:val="28"/>
          <w:lang w:eastAsia="zh-CN"/>
        </w:rPr>
        <w:t>林</w:t>
      </w:r>
      <w:r>
        <w:rPr>
          <w:rFonts w:hint="eastAsia" w:ascii="仿宋_GB2312" w:eastAsia="仿宋_GB2312"/>
          <w:sz w:val="28"/>
          <w:szCs w:val="28"/>
        </w:rPr>
        <w:t>面积大，</w:t>
      </w:r>
      <w:r>
        <w:rPr>
          <w:rFonts w:hint="eastAsia" w:ascii="仿宋_GB2312" w:eastAsia="仿宋_GB2312"/>
          <w:sz w:val="28"/>
          <w:szCs w:val="28"/>
          <w:lang w:eastAsia="zh-CN"/>
        </w:rPr>
        <w:t>分</w:t>
      </w:r>
      <w:r>
        <w:rPr>
          <w:rFonts w:hint="eastAsia" w:ascii="仿宋_GB2312" w:eastAsia="仿宋_GB2312"/>
          <w:sz w:val="28"/>
          <w:szCs w:val="28"/>
        </w:rPr>
        <w:t>布范围广，退化程度</w:t>
      </w:r>
      <w:r>
        <w:rPr>
          <w:rFonts w:hint="eastAsia" w:ascii="仿宋_GB2312" w:eastAsia="仿宋_GB2312"/>
          <w:sz w:val="28"/>
          <w:szCs w:val="28"/>
          <w:lang w:eastAsia="zh-CN"/>
        </w:rPr>
        <w:t>不一，部分区域退化严重，</w:t>
      </w:r>
      <w:r>
        <w:rPr>
          <w:rFonts w:hint="eastAsia" w:ascii="仿宋_GB2312" w:eastAsia="仿宋_GB2312"/>
          <w:sz w:val="28"/>
          <w:szCs w:val="28"/>
        </w:rPr>
        <w:t>其中：重度退化52.12万亩，占30.65%，中度退化66.15万亩，占38.90%，</w:t>
      </w:r>
      <w:bookmarkStart w:id="231" w:name="OLE_LINK1"/>
      <w:r>
        <w:rPr>
          <w:rFonts w:hint="eastAsia" w:ascii="仿宋_GB2312" w:eastAsia="仿宋_GB2312"/>
          <w:sz w:val="28"/>
          <w:szCs w:val="28"/>
        </w:rPr>
        <w:t>轻度退化</w:t>
      </w:r>
      <w:bookmarkEnd w:id="231"/>
      <w:r>
        <w:rPr>
          <w:rFonts w:hint="eastAsia" w:ascii="仿宋_GB2312" w:eastAsia="仿宋_GB2312"/>
          <w:sz w:val="28"/>
          <w:szCs w:val="28"/>
        </w:rPr>
        <w:t>51.78万亩，占30.45%。</w:t>
      </w:r>
      <w:r>
        <w:rPr>
          <w:rFonts w:hint="eastAsia" w:ascii="仿宋_GB2312" w:eastAsia="仿宋_GB2312"/>
          <w:sz w:val="28"/>
          <w:szCs w:val="28"/>
          <w:lang w:eastAsia="zh-CN"/>
        </w:rPr>
        <w:t>尤其是退耕初期营造的沙棘（</w:t>
      </w:r>
      <w:r>
        <w:rPr>
          <w:rFonts w:hint="eastAsia" w:ascii="仿宋_GB2312" w:eastAsia="仿宋_GB2312"/>
          <w:sz w:val="28"/>
          <w:szCs w:val="28"/>
          <w:lang w:val="en-US" w:eastAsia="zh-CN"/>
        </w:rPr>
        <w:t>柠条、山桃</w:t>
      </w:r>
      <w:r>
        <w:rPr>
          <w:rFonts w:hint="eastAsia" w:ascii="仿宋_GB2312" w:eastAsia="仿宋_GB2312"/>
          <w:sz w:val="28"/>
          <w:szCs w:val="28"/>
          <w:lang w:eastAsia="zh-CN"/>
        </w:rPr>
        <w:t>）灌木林、沙棘（</w:t>
      </w:r>
      <w:r>
        <w:rPr>
          <w:rFonts w:hint="eastAsia" w:ascii="仿宋_GB2312" w:eastAsia="仿宋_GB2312"/>
          <w:sz w:val="28"/>
          <w:szCs w:val="28"/>
          <w:lang w:val="en-US" w:eastAsia="zh-CN"/>
        </w:rPr>
        <w:t>柠条、山桃</w:t>
      </w:r>
      <w:r>
        <w:rPr>
          <w:rFonts w:hint="eastAsia" w:ascii="仿宋_GB2312" w:eastAsia="仿宋_GB2312"/>
          <w:sz w:val="28"/>
          <w:szCs w:val="28"/>
          <w:lang w:eastAsia="zh-CN"/>
        </w:rPr>
        <w:t>）</w:t>
      </w:r>
      <w:r>
        <w:rPr>
          <w:rFonts w:hint="eastAsia" w:ascii="仿宋_GB2312" w:eastAsia="仿宋_GB2312"/>
          <w:sz w:val="28"/>
          <w:szCs w:val="28"/>
          <w:lang w:val="en-US" w:eastAsia="zh-CN"/>
        </w:rPr>
        <w:t>+乔木树种（油松、刺槐、山杏）混交林等</w:t>
      </w:r>
      <w:r>
        <w:rPr>
          <w:rFonts w:hint="eastAsia" w:ascii="仿宋_GB2312" w:eastAsia="仿宋_GB2312"/>
          <w:sz w:val="28"/>
          <w:szCs w:val="28"/>
          <w:lang w:eastAsia="zh-CN"/>
        </w:rPr>
        <w:t>，退化程度严重</w:t>
      </w:r>
      <w:r>
        <w:rPr>
          <w:rFonts w:hint="eastAsia" w:ascii="仿宋_GB2312" w:eastAsia="仿宋_GB2312"/>
          <w:sz w:val="28"/>
          <w:szCs w:val="28"/>
          <w:lang w:val="en-US" w:eastAsia="zh-CN"/>
        </w:rPr>
        <w:t>，在个别区域退化至近“荒山”程度，县域退化防护林急需改造修复。</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eastAsia="zh-CN"/>
        </w:rPr>
      </w:pPr>
      <w:r>
        <w:rPr>
          <w:rFonts w:hint="eastAsia"/>
          <w:bCs/>
          <w:sz w:val="28"/>
          <w:szCs w:val="28"/>
          <w:lang w:val="en-US" w:eastAsia="zh-CN"/>
        </w:rPr>
        <w:t>2.2.2</w:t>
      </w:r>
      <w:r>
        <w:rPr>
          <w:rFonts w:hint="eastAsia"/>
          <w:bCs/>
          <w:sz w:val="28"/>
          <w:szCs w:val="28"/>
          <w:lang w:eastAsia="zh-CN"/>
        </w:rPr>
        <w:t>退化林成因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kern w:val="2"/>
          <w:sz w:val="28"/>
          <w:szCs w:val="28"/>
          <w:lang w:val="en-US" w:eastAsia="zh-CN" w:bidi="ar-SA"/>
        </w:rPr>
        <w:drawing>
          <wp:anchor distT="0" distB="0" distL="114300" distR="114300" simplePos="0" relativeHeight="251662336" behindDoc="0" locked="0" layoutInCell="1" allowOverlap="1">
            <wp:simplePos x="0" y="0"/>
            <wp:positionH relativeFrom="column">
              <wp:posOffset>2773680</wp:posOffset>
            </wp:positionH>
            <wp:positionV relativeFrom="paragraph">
              <wp:posOffset>2902585</wp:posOffset>
            </wp:positionV>
            <wp:extent cx="2821305" cy="1704975"/>
            <wp:effectExtent l="4445" t="4445" r="12700" b="5080"/>
            <wp:wrapSquare wrapText="bothSides"/>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r>
        <w:rPr>
          <w:rFonts w:hint="eastAsia" w:ascii="仿宋_GB2312" w:eastAsia="仿宋_GB2312"/>
          <w:sz w:val="28"/>
          <w:szCs w:val="28"/>
          <w:lang w:eastAsia="zh-CN"/>
        </w:rPr>
        <w:t>长期以来，营造林受传统林业发展观念的限制，相关技术措施不</w:t>
      </w:r>
      <w:r>
        <w:rPr>
          <w:rFonts w:hint="eastAsia" w:ascii="仿宋_GB2312" w:eastAsia="仿宋_GB2312"/>
          <w:sz w:val="28"/>
          <w:szCs w:val="28"/>
          <w:lang w:val="ca-ES" w:eastAsia="zh-CN"/>
        </w:rPr>
        <w:t>够</w:t>
      </w:r>
      <w:r>
        <w:rPr>
          <w:rFonts w:hint="eastAsia" w:ascii="仿宋_GB2312" w:eastAsia="仿宋_GB2312"/>
          <w:sz w:val="28"/>
          <w:szCs w:val="28"/>
          <w:lang w:eastAsia="zh-CN"/>
        </w:rPr>
        <w:t>精准，针对性不强，加上受</w:t>
      </w:r>
      <w:r>
        <w:rPr>
          <w:rFonts w:hint="eastAsia" w:ascii="仿宋_GB2312" w:hAnsi="宋体" w:eastAsia="仿宋_GB2312"/>
          <w:sz w:val="28"/>
          <w:szCs w:val="28"/>
          <w:lang w:val="en-US" w:eastAsia="zh-CN"/>
        </w:rPr>
        <w:t>科技发展水平和观念认识所限，缺乏遵循“以水定林”的科学发展观和“适地适树”的生态观，为保证成活率，往往越是造林困难地段，初植密度反而越大，“以密保活”，看似成林早、郁闭快、成效好，但却缺乏科学统筹考虑自然条件和植物生物学特性，如吴起县降水年际变化幅度大（见图）、多年平均径流深小（</w:t>
      </w:r>
      <w:r>
        <w:rPr>
          <w:rFonts w:hint="eastAsia" w:ascii="仿宋_GB2312" w:eastAsia="仿宋_GB2312"/>
          <w:sz w:val="28"/>
          <w:szCs w:val="28"/>
        </w:rPr>
        <w:t>36mm</w:t>
      </w:r>
      <w:r>
        <w:rPr>
          <w:rFonts w:hint="eastAsia" w:ascii="仿宋_GB2312" w:hAnsi="宋体" w:eastAsia="仿宋_GB2312"/>
          <w:sz w:val="28"/>
          <w:szCs w:val="28"/>
          <w:lang w:val="en-US" w:eastAsia="zh-CN"/>
        </w:rPr>
        <w:t>）、刺槐、沙棘萌蘖能力强的特点。营造林初植密度过大，在丰水年林木生长迅速，覆盖面积扩展加大，甚至出现了沙棘林“疯长”的现象；而到了枯水年，因水分无法满足过密、过快的林木生长，再加上缺乏后期抚育管理而导致大面积干枯、死亡，形成如今</w:t>
      </w:r>
      <w:r>
        <w:rPr>
          <w:rFonts w:hint="eastAsia" w:ascii="仿宋_GB2312" w:eastAsia="仿宋_GB2312"/>
          <w:sz w:val="28"/>
          <w:szCs w:val="28"/>
          <w:lang w:val="en-US" w:eastAsia="zh-CN"/>
        </w:rPr>
        <w:t>难以自然更新恢复或难以维持稳定状态、防护功能严重下降的退化林。</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kern w:val="2"/>
          <w:sz w:val="28"/>
          <w:szCs w:val="28"/>
          <w:lang w:val="en-US" w:eastAsia="zh-CN" w:bidi="ar-SA"/>
        </w:rPr>
        <w:t>　　　　　　　　　　　　　　　　　　</w:t>
      </w:r>
      <w:r>
        <w:rPr>
          <w:rFonts w:hint="eastAsia" w:ascii="宋体" w:hAnsi="宋体" w:eastAsia="宋体" w:cs="宋体"/>
          <w:kern w:val="2"/>
          <w:sz w:val="21"/>
          <w:szCs w:val="21"/>
          <w:lang w:val="en-US" w:eastAsia="zh-CN" w:bidi="ar-SA"/>
        </w:rPr>
        <w:t>图1  年平均降水量曲线图</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2.2.3退化林修复情况及存在问题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rPr>
        <w:t>近年来，</w:t>
      </w:r>
      <w:r>
        <w:rPr>
          <w:rFonts w:hint="eastAsia" w:ascii="仿宋_GB2312" w:eastAsia="仿宋_GB2312"/>
          <w:sz w:val="28"/>
          <w:szCs w:val="28"/>
          <w:lang w:eastAsia="zh-CN"/>
        </w:rPr>
        <w:t>吴起县林业局</w:t>
      </w:r>
      <w:r>
        <w:rPr>
          <w:rFonts w:hint="eastAsia" w:ascii="仿宋_GB2312" w:eastAsia="仿宋_GB2312"/>
          <w:sz w:val="28"/>
          <w:szCs w:val="28"/>
          <w:lang w:val="en-US" w:eastAsia="zh-CN"/>
        </w:rPr>
        <w:t>秉承尊重自然、科学修复、生态优先、效益兼顾的理念，坚持科学确定林分密度、优先选择乡土树种、合理配置混交树种的原则，针对不同退化林现状，采取相应修复方式，</w:t>
      </w:r>
      <w:r>
        <w:rPr>
          <w:rFonts w:hint="eastAsia" w:ascii="仿宋_GB2312" w:eastAsia="仿宋_GB2312"/>
          <w:sz w:val="28"/>
          <w:szCs w:val="28"/>
        </w:rPr>
        <w:t>取得了一定的经验和成绩</w:t>
      </w:r>
      <w:r>
        <w:rPr>
          <w:rFonts w:hint="eastAsia" w:ascii="仿宋_GB2312" w:eastAsia="仿宋_GB2312"/>
          <w:sz w:val="28"/>
          <w:szCs w:val="28"/>
          <w:lang w:val="en-US" w:eastAsia="zh-CN"/>
        </w:rPr>
        <w:t>。在树种选择上，以适宜本地栽植且与原有树种和谐共生的油松为主；在修复模式上，主要以针阔混交和乔灌混交模式为主，在已退化的山杏、刺槐林和沙棘、柠条、山桃林中补植油松等乔木树种，株行距根据现地条件灵活确定，以水分承载力为基本原则；在村庄附近因地制宜补植山桃、山杏，发展生态经济型林业，并提升景观效果。</w:t>
      </w:r>
      <w:r>
        <w:rPr>
          <w:rFonts w:hint="eastAsia" w:ascii="仿宋_GB2312" w:eastAsia="仿宋_GB2312"/>
          <w:sz w:val="28"/>
          <w:szCs w:val="28"/>
        </w:rPr>
        <w:t>但同时存在退化林分面积大，资金投入不足、政策执行不到位、相应机制尚未建立、技术力量薄弱等具体问题。具体表现如</w:t>
      </w:r>
      <w:r>
        <w:rPr>
          <w:rFonts w:hint="eastAsia" w:ascii="仿宋_GB2312" w:eastAsia="仿宋_GB2312"/>
          <w:sz w:val="28"/>
          <w:szCs w:val="28"/>
          <w:lang w:eastAsia="zh-CN"/>
        </w:rPr>
        <w:t>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bookmarkStart w:id="232" w:name="OLE_LINK2"/>
      <w:r>
        <w:rPr>
          <w:rFonts w:hint="eastAsia" w:ascii="仿宋_GB2312" w:eastAsia="仿宋_GB2312"/>
          <w:sz w:val="28"/>
          <w:szCs w:val="28"/>
        </w:rPr>
        <w:t>一是退化防护林分布点多面广、任务重。退化防护林分布于全县范围内，</w:t>
      </w:r>
      <w:r>
        <w:rPr>
          <w:rFonts w:hint="eastAsia" w:ascii="仿宋_GB2312" w:eastAsia="仿宋_GB2312"/>
          <w:sz w:val="28"/>
          <w:szCs w:val="28"/>
          <w:lang w:eastAsia="zh-CN"/>
        </w:rPr>
        <w:t>范围广、</w:t>
      </w:r>
      <w:r>
        <w:rPr>
          <w:rFonts w:hint="eastAsia" w:ascii="仿宋_GB2312" w:eastAsia="仿宋_GB2312"/>
          <w:sz w:val="28"/>
          <w:szCs w:val="28"/>
        </w:rPr>
        <w:t>面积大，退化程度</w:t>
      </w:r>
      <w:r>
        <w:rPr>
          <w:rFonts w:hint="eastAsia" w:ascii="仿宋_GB2312" w:eastAsia="仿宋_GB2312"/>
          <w:sz w:val="28"/>
          <w:szCs w:val="28"/>
          <w:lang w:eastAsia="zh-CN"/>
        </w:rPr>
        <w:t>不一，部分区域退化程度严重</w:t>
      </w:r>
      <w:r>
        <w:rPr>
          <w:rFonts w:hint="eastAsia" w:ascii="仿宋_GB2312" w:eastAsia="仿宋_GB2312"/>
          <w:sz w:val="28"/>
          <w:szCs w:val="28"/>
        </w:rPr>
        <w:t>，退化林分急需修复。</w:t>
      </w:r>
    </w:p>
    <w:bookmarkEnd w:id="232"/>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二是能力建设急待加强。退化</w:t>
      </w:r>
      <w:r>
        <w:rPr>
          <w:rFonts w:hint="eastAsia" w:ascii="仿宋_GB2312" w:eastAsia="仿宋_GB2312"/>
          <w:sz w:val="28"/>
          <w:szCs w:val="28"/>
          <w:lang w:eastAsia="zh-CN"/>
        </w:rPr>
        <w:t>防护林</w:t>
      </w:r>
      <w:r>
        <w:rPr>
          <w:rFonts w:hint="eastAsia" w:ascii="仿宋_GB2312" w:eastAsia="仿宋_GB2312"/>
          <w:sz w:val="28"/>
          <w:szCs w:val="28"/>
        </w:rPr>
        <w:t>修复工作需要合理配备专业人员，</w:t>
      </w:r>
      <w:r>
        <w:rPr>
          <w:rFonts w:hint="eastAsia" w:ascii="仿宋_GB2312" w:eastAsia="仿宋_GB2312"/>
          <w:sz w:val="28"/>
          <w:szCs w:val="28"/>
          <w:lang w:eastAsia="zh-CN"/>
        </w:rPr>
        <w:t>现地进行技术指导，针对不同的“微地形”，采取针对性的修复措施，</w:t>
      </w:r>
      <w:r>
        <w:rPr>
          <w:rFonts w:hint="eastAsia" w:ascii="仿宋_GB2312" w:eastAsia="仿宋_GB2312"/>
          <w:sz w:val="28"/>
          <w:szCs w:val="28"/>
        </w:rPr>
        <w:t>才能确保防护林修复任务</w:t>
      </w:r>
      <w:r>
        <w:rPr>
          <w:rFonts w:hint="eastAsia" w:ascii="仿宋_GB2312" w:eastAsia="仿宋_GB2312"/>
          <w:sz w:val="28"/>
          <w:szCs w:val="28"/>
          <w:lang w:eastAsia="zh-CN"/>
        </w:rPr>
        <w:t>保质保量的</w:t>
      </w:r>
      <w:r>
        <w:rPr>
          <w:rFonts w:hint="eastAsia" w:ascii="仿宋_GB2312" w:eastAsia="仿宋_GB2312"/>
          <w:sz w:val="28"/>
          <w:szCs w:val="28"/>
        </w:rPr>
        <w:t>完成。但基层专业技术人员缺乏，业务素质和业务水平有待于进一步提高，所以不但要保证本项目专业技术人员数量，而且要加强专项业务培训，提高专业人员的业务素质和业务水平。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三是退化林分修复投入严重不足。生态修复尚未建立起长期、稳定的投入机制和投资渠道</w:t>
      </w:r>
      <w:r>
        <w:rPr>
          <w:rFonts w:hint="eastAsia" w:ascii="仿宋_GB2312" w:eastAsia="仿宋_GB2312"/>
          <w:sz w:val="28"/>
          <w:szCs w:val="28"/>
          <w:lang w:eastAsia="zh-CN"/>
        </w:rPr>
        <w:t>，资金来源单一</w:t>
      </w:r>
      <w:r>
        <w:rPr>
          <w:rFonts w:hint="eastAsia" w:ascii="仿宋_GB2312" w:eastAsia="仿宋_GB2312"/>
          <w:sz w:val="28"/>
          <w:szCs w:val="28"/>
        </w:rPr>
        <w:t>。随着生态修复工作的逐步推进，今后退化林分修复任务的难度大，建设成本高，建设所需投资与补助投入不足之间的矛盾突出。主要表现在修复任务与需要修复的面积差距大，单位面积投入标准低，地方投资能力弱。</w:t>
      </w:r>
    </w:p>
    <w:bookmarkEnd w:id="230"/>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33" w:name="_Toc4280"/>
      <w:bookmarkStart w:id="234" w:name="_Toc11030"/>
      <w:bookmarkStart w:id="235" w:name="_Toc8327"/>
      <w:bookmarkStart w:id="236" w:name="_Toc6422"/>
      <w:r>
        <w:rPr>
          <w:rFonts w:hint="eastAsia" w:ascii="黑体" w:hAnsi="黑体"/>
          <w:b/>
          <w:bCs/>
          <w:sz w:val="30"/>
          <w:szCs w:val="30"/>
          <w:lang w:val="en-US" w:eastAsia="zh-CN"/>
        </w:rPr>
        <w:t>2.3项目区情况</w:t>
      </w:r>
      <w:bookmarkEnd w:id="233"/>
      <w:bookmarkEnd w:id="234"/>
      <w:bookmarkEnd w:id="235"/>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项目区</w:t>
      </w:r>
      <w:r>
        <w:rPr>
          <w:rFonts w:hint="eastAsia" w:ascii="仿宋_GB2312" w:eastAsia="仿宋_GB2312"/>
          <w:sz w:val="28"/>
          <w:szCs w:val="28"/>
        </w:rPr>
        <w:t>位于吴起县</w:t>
      </w:r>
      <w:r>
        <w:rPr>
          <w:rFonts w:hint="eastAsia" w:ascii="仿宋_GB2312" w:eastAsia="仿宋_GB2312"/>
          <w:sz w:val="28"/>
          <w:szCs w:val="28"/>
          <w:lang w:eastAsia="zh-CN"/>
        </w:rPr>
        <w:t>西</w:t>
      </w:r>
      <w:r>
        <w:rPr>
          <w:rFonts w:hint="eastAsia" w:ascii="仿宋_GB2312" w:eastAsia="仿宋_GB2312"/>
          <w:sz w:val="28"/>
          <w:szCs w:val="28"/>
        </w:rPr>
        <w:t>部</w:t>
      </w:r>
      <w:r>
        <w:rPr>
          <w:rFonts w:hint="eastAsia" w:ascii="仿宋_GB2312" w:eastAsia="仿宋_GB2312"/>
          <w:sz w:val="28"/>
          <w:szCs w:val="28"/>
          <w:lang w:eastAsia="zh-CN"/>
        </w:rPr>
        <w:t>，生态敏感度高、区位重要。项目区</w:t>
      </w:r>
      <w:r>
        <w:rPr>
          <w:rFonts w:hint="eastAsia" w:ascii="仿宋_GB2312" w:eastAsia="仿宋_GB2312"/>
          <w:sz w:val="28"/>
          <w:szCs w:val="28"/>
        </w:rPr>
        <w:t>总土地面积</w:t>
      </w:r>
      <w:r>
        <w:rPr>
          <w:rFonts w:hint="eastAsia" w:ascii="仿宋_GB2312" w:eastAsia="仿宋_GB2312"/>
          <w:sz w:val="28"/>
          <w:szCs w:val="28"/>
          <w:lang w:val="en-US" w:eastAsia="zh-CN"/>
        </w:rPr>
        <w:t>101.57</w:t>
      </w:r>
      <w:r>
        <w:rPr>
          <w:rFonts w:hint="eastAsia" w:ascii="仿宋_GB2312" w:eastAsia="仿宋_GB2312"/>
          <w:sz w:val="28"/>
          <w:szCs w:val="28"/>
        </w:rPr>
        <w:t>万亩，其中林地</w:t>
      </w:r>
      <w:r>
        <w:rPr>
          <w:rFonts w:hint="eastAsia" w:ascii="仿宋_GB2312" w:eastAsia="仿宋_GB2312"/>
          <w:sz w:val="28"/>
          <w:szCs w:val="28"/>
          <w:lang w:val="en-US" w:eastAsia="zh-CN"/>
        </w:rPr>
        <w:t>95.97</w:t>
      </w:r>
      <w:r>
        <w:rPr>
          <w:rFonts w:hint="eastAsia" w:ascii="仿宋_GB2312" w:eastAsia="仿宋_GB2312"/>
          <w:sz w:val="28"/>
          <w:szCs w:val="28"/>
        </w:rPr>
        <w:t>万亩，占</w:t>
      </w:r>
      <w:r>
        <w:rPr>
          <w:rFonts w:hint="eastAsia" w:ascii="仿宋_GB2312" w:eastAsia="仿宋_GB2312"/>
          <w:sz w:val="28"/>
          <w:szCs w:val="28"/>
          <w:lang w:val="en-US" w:eastAsia="zh-CN"/>
        </w:rPr>
        <w:t>94.48</w:t>
      </w:r>
      <w:r>
        <w:rPr>
          <w:rFonts w:hint="eastAsia" w:ascii="仿宋_GB2312" w:eastAsia="仿宋_GB2312"/>
          <w:sz w:val="28"/>
          <w:szCs w:val="28"/>
        </w:rPr>
        <w:t>%</w:t>
      </w:r>
      <w:r>
        <w:rPr>
          <w:rFonts w:hint="eastAsia" w:ascii="仿宋_GB2312" w:eastAsia="仿宋_GB2312"/>
          <w:sz w:val="28"/>
          <w:szCs w:val="28"/>
          <w:lang w:eastAsia="zh-CN"/>
        </w:rPr>
        <w:t>，森林覆盖率平均</w:t>
      </w:r>
      <w:r>
        <w:rPr>
          <w:rFonts w:hint="eastAsia" w:ascii="仿宋_GB2312" w:eastAsia="仿宋_GB2312"/>
          <w:sz w:val="28"/>
          <w:szCs w:val="28"/>
          <w:lang w:val="en-US" w:eastAsia="zh-CN"/>
        </w:rPr>
        <w:t>13.0</w:t>
      </w:r>
      <w:r>
        <w:rPr>
          <w:rFonts w:hint="eastAsia" w:ascii="仿宋_GB2312" w:eastAsia="仿宋_GB2312"/>
          <w:sz w:val="28"/>
          <w:szCs w:val="28"/>
          <w:lang w:eastAsia="zh-CN"/>
        </w:rPr>
        <w:t>%</w:t>
      </w:r>
      <w:r>
        <w:rPr>
          <w:rFonts w:hint="eastAsia" w:ascii="仿宋_GB2312" w:eastAsia="仿宋_GB2312"/>
          <w:sz w:val="28"/>
          <w:szCs w:val="28"/>
        </w:rPr>
        <w:t>。地貌类型属陕北黄土高原梁状丘陵沟壑区，</w:t>
      </w:r>
      <w:r>
        <w:rPr>
          <w:rFonts w:hint="eastAsia" w:ascii="仿宋_GB2312" w:eastAsia="仿宋_GB2312"/>
          <w:sz w:val="28"/>
          <w:szCs w:val="28"/>
          <w:lang w:eastAsia="zh-CN"/>
        </w:rPr>
        <w:t>土壤为黄绵土。所在乡镇总人口</w:t>
      </w:r>
      <w:r>
        <w:rPr>
          <w:rFonts w:hint="eastAsia" w:ascii="仿宋_GB2312" w:eastAsia="仿宋_GB2312"/>
          <w:sz w:val="28"/>
          <w:szCs w:val="28"/>
          <w:lang w:val="en-US" w:eastAsia="zh-CN"/>
        </w:rPr>
        <w:t>1.92</w:t>
      </w:r>
      <w:r>
        <w:rPr>
          <w:rFonts w:hint="eastAsia" w:ascii="仿宋_GB2312" w:eastAsia="仿宋_GB2312"/>
          <w:sz w:val="28"/>
          <w:szCs w:val="28"/>
          <w:lang w:eastAsia="zh-CN"/>
        </w:rPr>
        <w:t>万人，其中农业人口</w:t>
      </w:r>
      <w:r>
        <w:rPr>
          <w:rFonts w:hint="eastAsia" w:ascii="仿宋_GB2312" w:eastAsia="仿宋_GB2312"/>
          <w:sz w:val="28"/>
          <w:szCs w:val="28"/>
          <w:lang w:val="en-US" w:eastAsia="zh-CN"/>
        </w:rPr>
        <w:t>1.0</w:t>
      </w:r>
      <w:r>
        <w:rPr>
          <w:rFonts w:hint="eastAsia" w:ascii="仿宋_GB2312" w:eastAsia="仿宋_GB2312"/>
          <w:sz w:val="28"/>
          <w:szCs w:val="28"/>
          <w:lang w:eastAsia="zh-CN"/>
        </w:rPr>
        <w:t>万人，</w:t>
      </w:r>
      <w:r>
        <w:rPr>
          <w:rFonts w:hint="eastAsia" w:ascii="仿宋_GB2312" w:eastAsia="仿宋_GB2312"/>
          <w:sz w:val="28"/>
          <w:szCs w:val="28"/>
          <w:lang w:val="en-US" w:eastAsia="zh-CN"/>
        </w:rPr>
        <w:t>农业劳动力人口0.92万人</w:t>
      </w:r>
      <w:r>
        <w:rPr>
          <w:rFonts w:hint="eastAsia" w:ascii="仿宋_GB2312" w:eastAsia="仿宋_GB2312"/>
          <w:sz w:val="28"/>
          <w:szCs w:val="28"/>
          <w:lang w:eastAsia="zh-CN"/>
        </w:rPr>
        <w:t>；社会总产值</w:t>
      </w:r>
      <w:r>
        <w:rPr>
          <w:rFonts w:hint="eastAsia" w:ascii="仿宋_GB2312" w:eastAsia="仿宋_GB2312"/>
          <w:sz w:val="28"/>
          <w:szCs w:val="28"/>
          <w:lang w:val="en-US" w:eastAsia="zh-CN"/>
        </w:rPr>
        <w:t>4409.0</w:t>
      </w:r>
      <w:r>
        <w:rPr>
          <w:rFonts w:hint="eastAsia" w:ascii="仿宋_GB2312" w:eastAsia="仿宋_GB2312"/>
          <w:sz w:val="28"/>
          <w:szCs w:val="28"/>
          <w:lang w:eastAsia="zh-CN"/>
        </w:rPr>
        <w:t>万元，其中农业产值</w:t>
      </w:r>
      <w:r>
        <w:rPr>
          <w:rFonts w:hint="eastAsia" w:ascii="仿宋_GB2312" w:eastAsia="仿宋_GB2312"/>
          <w:sz w:val="28"/>
          <w:szCs w:val="28"/>
          <w:lang w:val="en-US" w:eastAsia="zh-CN"/>
        </w:rPr>
        <w:t>4090</w:t>
      </w:r>
      <w:r>
        <w:rPr>
          <w:rFonts w:hint="eastAsia" w:ascii="仿宋_GB2312" w:eastAsia="仿宋_GB2312"/>
          <w:sz w:val="28"/>
          <w:szCs w:val="28"/>
          <w:lang w:eastAsia="zh-CN"/>
        </w:rPr>
        <w:t>万元，农民人均收入</w:t>
      </w:r>
      <w:r>
        <w:rPr>
          <w:rFonts w:hint="eastAsia" w:ascii="仿宋_GB2312" w:eastAsia="仿宋_GB2312"/>
          <w:sz w:val="28"/>
          <w:szCs w:val="28"/>
          <w:lang w:val="en-US" w:eastAsia="zh-CN"/>
        </w:rPr>
        <w:t>5960.00</w:t>
      </w:r>
      <w:r>
        <w:rPr>
          <w:rFonts w:hint="eastAsia" w:ascii="仿宋_GB2312" w:eastAsia="仿宋_GB2312"/>
          <w:sz w:val="28"/>
          <w:szCs w:val="28"/>
          <w:lang w:eastAsia="zh-CN"/>
        </w:rPr>
        <w:t>元。项目区所在乡镇交通便利，村村通公路的修建可以极大的方便当地的群众，为本项目的实施提供了交通便利。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项目区涉及乡镇退化防护林总面积</w:t>
      </w:r>
      <w:r>
        <w:rPr>
          <w:rFonts w:hint="eastAsia" w:ascii="仿宋_GB2312" w:eastAsia="仿宋_GB2312"/>
          <w:sz w:val="28"/>
          <w:szCs w:val="28"/>
          <w:lang w:val="en-US" w:eastAsia="zh-CN"/>
        </w:rPr>
        <w:t>35.28</w:t>
      </w:r>
      <w:r>
        <w:rPr>
          <w:rFonts w:hint="eastAsia" w:ascii="仿宋_GB2312" w:eastAsia="仿宋_GB2312"/>
          <w:sz w:val="28"/>
          <w:szCs w:val="28"/>
          <w:lang w:eastAsia="zh-CN"/>
        </w:rPr>
        <w:t>万亩，以退耕还林工程营造的山杏、</w:t>
      </w:r>
      <w:r>
        <w:rPr>
          <w:rFonts w:hint="eastAsia" w:ascii="仿宋_GB2312" w:eastAsia="仿宋_GB2312"/>
          <w:sz w:val="28"/>
          <w:szCs w:val="28"/>
          <w:lang w:val="en-US" w:eastAsia="zh-CN"/>
        </w:rPr>
        <w:t>刺槐、</w:t>
      </w:r>
      <w:r>
        <w:rPr>
          <w:rFonts w:hint="eastAsia" w:ascii="仿宋_GB2312" w:eastAsia="仿宋_GB2312"/>
          <w:sz w:val="28"/>
          <w:szCs w:val="28"/>
          <w:lang w:eastAsia="zh-CN"/>
        </w:rPr>
        <w:t>山桃、柠条</w:t>
      </w:r>
      <w:r>
        <w:rPr>
          <w:rFonts w:hint="eastAsia" w:ascii="仿宋_GB2312" w:eastAsia="仿宋_GB2312"/>
          <w:sz w:val="28"/>
          <w:szCs w:val="28"/>
          <w:lang w:val="en-US" w:eastAsia="zh-CN"/>
        </w:rPr>
        <w:t>和沙棘</w:t>
      </w:r>
      <w:r>
        <w:rPr>
          <w:rFonts w:hint="eastAsia" w:ascii="仿宋_GB2312" w:eastAsia="仿宋_GB2312"/>
          <w:sz w:val="28"/>
          <w:szCs w:val="28"/>
          <w:lang w:eastAsia="zh-CN"/>
        </w:rPr>
        <w:t>等为主，</w:t>
      </w:r>
      <w:r>
        <w:rPr>
          <w:rFonts w:hint="eastAsia" w:ascii="仿宋_GB2312" w:eastAsia="仿宋_GB2312"/>
          <w:sz w:val="28"/>
          <w:szCs w:val="28"/>
          <w:lang w:val="en-US" w:eastAsia="zh-CN"/>
        </w:rPr>
        <w:t>局部分布有少量山杨、杜梨及近年来营造的油松幼龄林</w:t>
      </w:r>
      <w:r>
        <w:rPr>
          <w:rFonts w:hint="eastAsia" w:ascii="仿宋_GB2312" w:eastAsia="仿宋_GB2312"/>
          <w:sz w:val="28"/>
          <w:szCs w:val="28"/>
          <w:lang w:eastAsia="zh-CN"/>
        </w:rPr>
        <w:t>。据调查统计，项目区内</w:t>
      </w:r>
      <w:r>
        <w:rPr>
          <w:rFonts w:hint="eastAsia" w:ascii="仿宋_GB2312" w:eastAsia="仿宋_GB2312"/>
          <w:sz w:val="28"/>
          <w:szCs w:val="28"/>
          <w:lang w:val="en-US" w:eastAsia="zh-CN"/>
        </w:rPr>
        <w:t>山杏+柠条（山桃）</w:t>
      </w:r>
      <w:r>
        <w:rPr>
          <w:rFonts w:hint="eastAsia" w:ascii="仿宋_GB2312" w:eastAsia="仿宋_GB2312"/>
          <w:sz w:val="28"/>
          <w:szCs w:val="28"/>
          <w:lang w:eastAsia="zh-CN"/>
        </w:rPr>
        <w:t>混交林和</w:t>
      </w:r>
      <w:r>
        <w:rPr>
          <w:rFonts w:hint="eastAsia" w:ascii="仿宋_GB2312" w:eastAsia="仿宋_GB2312"/>
          <w:sz w:val="28"/>
          <w:szCs w:val="28"/>
          <w:lang w:val="en-US" w:eastAsia="zh-CN"/>
        </w:rPr>
        <w:t>山杏</w:t>
      </w:r>
      <w:r>
        <w:rPr>
          <w:rFonts w:hint="eastAsia" w:ascii="仿宋_GB2312" w:eastAsia="仿宋_GB2312"/>
          <w:sz w:val="28"/>
          <w:szCs w:val="28"/>
          <w:lang w:eastAsia="zh-CN"/>
        </w:rPr>
        <w:t>纯林合计面积占区域林地面积80%以上。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val="en-US" w:eastAsia="zh-CN"/>
        </w:rPr>
        <w:t>项目区内梁峁顶部平缓地段，或坡度在20-25度、坡面较为完整，立地条件较好，多分布有山杏纯林、山杏+山桃、</w:t>
      </w:r>
      <w:r>
        <w:rPr>
          <w:rFonts w:hint="eastAsia" w:ascii="仿宋_GB2312" w:eastAsia="仿宋_GB2312"/>
          <w:sz w:val="28"/>
          <w:szCs w:val="28"/>
          <w:lang w:eastAsia="zh-CN"/>
        </w:rPr>
        <w:t>山杏</w:t>
      </w:r>
      <w:r>
        <w:rPr>
          <w:rFonts w:hint="eastAsia" w:ascii="仿宋_GB2312" w:eastAsia="仿宋_GB2312"/>
          <w:sz w:val="28"/>
          <w:szCs w:val="28"/>
          <w:lang w:val="en-US" w:eastAsia="zh-CN"/>
        </w:rPr>
        <w:t>+柠条（沙棘）混交林；部分侵蚀沟、沟底分布有山杨、局部小坡面有近年来营造的油松等。普遍存在林间卫生较差，自然更新不良，生长衰败等情况；柠条（沙棘）纯林主要分布于梁峁坡中下部，初植密度过大，加上萌蘖能力强，通风透光条件差，自然稀疏不良，出现大面积枯死；侵蚀沟缘及沟谷坡立地条件较较差、坡度较大，其上分布有灌木、蒿草，沟谷地主要分布有</w:t>
      </w:r>
      <w:r>
        <w:rPr>
          <w:rFonts w:hint="eastAsia" w:ascii="仿宋_GB2312" w:eastAsia="仿宋_GB2312"/>
          <w:sz w:val="28"/>
          <w:szCs w:val="28"/>
          <w:lang w:eastAsia="zh-CN"/>
        </w:rPr>
        <w:t>稀疏</w:t>
      </w:r>
      <w:r>
        <w:rPr>
          <w:rFonts w:hint="eastAsia" w:ascii="仿宋_GB2312" w:eastAsia="仿宋_GB2312"/>
          <w:sz w:val="28"/>
          <w:szCs w:val="28"/>
          <w:lang w:val="en-US" w:eastAsia="zh-CN"/>
        </w:rPr>
        <w:t>杨树等，</w:t>
      </w:r>
      <w:r>
        <w:rPr>
          <w:rFonts w:hint="eastAsia" w:ascii="仿宋_GB2312" w:eastAsia="仿宋_GB2312"/>
          <w:sz w:val="28"/>
          <w:szCs w:val="28"/>
          <w:lang w:eastAsia="zh-CN"/>
        </w:rPr>
        <w:t>国家下达的修复任务与需求存在较大差距，退化林修复任务繁重。</w:t>
      </w:r>
    </w:p>
    <w:bookmarkEnd w:id="236"/>
    <w:p>
      <w:pPr>
        <w:pStyle w:val="3"/>
        <w:spacing w:before="120" w:after="120" w:line="560" w:lineRule="exact"/>
        <w:jc w:val="center"/>
        <w:rPr>
          <w:rStyle w:val="22"/>
          <w:rFonts w:hint="eastAsia" w:ascii="黑体" w:eastAsia="黑体"/>
          <w:b/>
          <w:color w:val="auto"/>
          <w:sz w:val="32"/>
          <w:szCs w:val="32"/>
          <w:lang w:val="en-US" w:eastAsia="zh-CN"/>
        </w:rPr>
      </w:pPr>
      <w:bookmarkStart w:id="237" w:name="_Toc1137"/>
      <w:bookmarkStart w:id="238" w:name="_Toc20765"/>
      <w:r>
        <w:rPr>
          <w:rStyle w:val="22"/>
          <w:rFonts w:hint="eastAsia" w:ascii="黑体" w:eastAsia="黑体"/>
          <w:color w:val="auto"/>
        </w:rPr>
        <w:br w:type="page"/>
      </w:r>
      <w:bookmarkStart w:id="239" w:name="_Toc26769"/>
      <w:bookmarkStart w:id="240" w:name="_Toc16472"/>
      <w:bookmarkStart w:id="241" w:name="_Toc27723"/>
      <w:r>
        <w:rPr>
          <w:rStyle w:val="22"/>
          <w:rFonts w:hint="eastAsia" w:ascii="黑体" w:eastAsia="黑体"/>
          <w:b/>
          <w:color w:val="auto"/>
          <w:sz w:val="32"/>
          <w:szCs w:val="32"/>
          <w:lang w:val="en-US" w:eastAsia="zh-CN"/>
        </w:rPr>
        <w:t>第三章  项目建设方案</w:t>
      </w:r>
      <w:bookmarkEnd w:id="239"/>
      <w:bookmarkEnd w:id="240"/>
      <w:bookmarkEnd w:id="241"/>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42" w:name="_Toc20514"/>
      <w:bookmarkStart w:id="243" w:name="_Toc26060"/>
      <w:bookmarkStart w:id="244" w:name="_Toc29065"/>
      <w:r>
        <w:rPr>
          <w:rFonts w:hint="eastAsia" w:ascii="黑体" w:hAnsi="黑体"/>
          <w:b/>
          <w:bCs/>
          <w:sz w:val="30"/>
          <w:szCs w:val="30"/>
          <w:lang w:val="en-US" w:eastAsia="zh-CN"/>
        </w:rPr>
        <w:t>3.1</w:t>
      </w:r>
      <w:bookmarkEnd w:id="237"/>
      <w:r>
        <w:rPr>
          <w:rFonts w:hint="eastAsia" w:ascii="黑体" w:hAnsi="黑体"/>
          <w:b/>
          <w:bCs/>
          <w:sz w:val="30"/>
          <w:szCs w:val="30"/>
          <w:lang w:val="en-US" w:eastAsia="zh-CN"/>
        </w:rPr>
        <w:t>指导思想</w:t>
      </w:r>
      <w:bookmarkEnd w:id="238"/>
      <w:bookmarkEnd w:id="242"/>
      <w:bookmarkEnd w:id="243"/>
      <w:bookmarkEnd w:id="244"/>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eastAsia="zh-CN"/>
        </w:rPr>
      </w:pPr>
      <w:bookmarkStart w:id="245" w:name="_Toc1118"/>
      <w:r>
        <w:rPr>
          <w:rFonts w:hint="eastAsia" w:ascii="仿宋_GB2312" w:hAnsi="宋体" w:eastAsia="仿宋_GB2312"/>
          <w:sz w:val="28"/>
          <w:szCs w:val="28"/>
          <w:lang w:val="en-US" w:eastAsia="zh-CN"/>
        </w:rPr>
        <w:t>以习近平总书记等中央领导同志关于加强三北工程退化林修复改造的重要指示精神为指导，</w:t>
      </w:r>
      <w:r>
        <w:rPr>
          <w:rFonts w:hint="eastAsia" w:ascii="仿宋_GB2312" w:eastAsia="仿宋_GB2312"/>
          <w:sz w:val="28"/>
          <w:szCs w:val="28"/>
          <w:lang w:eastAsia="zh-CN"/>
        </w:rPr>
        <w:t>牢固树立“绿水青山就是金山银山”的发展理念，以加强</w:t>
      </w:r>
      <w:r>
        <w:rPr>
          <w:rFonts w:hint="eastAsia" w:ascii="仿宋_GB2312" w:eastAsia="仿宋_GB2312"/>
          <w:sz w:val="28"/>
          <w:szCs w:val="28"/>
        </w:rPr>
        <w:t>生态文明建设</w:t>
      </w:r>
      <w:r>
        <w:rPr>
          <w:rFonts w:hint="eastAsia" w:ascii="仿宋_GB2312" w:eastAsia="仿宋_GB2312"/>
          <w:sz w:val="28"/>
          <w:szCs w:val="28"/>
          <w:lang w:eastAsia="zh-CN"/>
        </w:rPr>
        <w:t>、</w:t>
      </w:r>
      <w:r>
        <w:rPr>
          <w:rFonts w:hint="eastAsia" w:ascii="仿宋_GB2312" w:eastAsia="仿宋_GB2312"/>
          <w:sz w:val="28"/>
          <w:szCs w:val="28"/>
        </w:rPr>
        <w:t>改善区域生态环境</w:t>
      </w:r>
      <w:r>
        <w:rPr>
          <w:rFonts w:hint="eastAsia" w:ascii="仿宋_GB2312" w:eastAsia="仿宋_GB2312"/>
          <w:sz w:val="28"/>
          <w:szCs w:val="28"/>
          <w:lang w:eastAsia="zh-CN"/>
        </w:rPr>
        <w:t>、提高森林质量、</w:t>
      </w:r>
      <w:r>
        <w:rPr>
          <w:rFonts w:hint="eastAsia" w:ascii="仿宋_GB2312" w:eastAsia="仿宋_GB2312"/>
          <w:sz w:val="28"/>
          <w:szCs w:val="28"/>
        </w:rPr>
        <w:t>增强生态</w:t>
      </w:r>
      <w:r>
        <w:rPr>
          <w:rFonts w:hint="eastAsia" w:ascii="仿宋_GB2312" w:eastAsia="仿宋_GB2312"/>
          <w:sz w:val="28"/>
          <w:szCs w:val="28"/>
          <w:lang w:eastAsia="zh-CN"/>
        </w:rPr>
        <w:t>服务</w:t>
      </w:r>
      <w:r>
        <w:rPr>
          <w:rFonts w:hint="eastAsia" w:ascii="仿宋_GB2312" w:eastAsia="仿宋_GB2312"/>
          <w:sz w:val="28"/>
          <w:szCs w:val="28"/>
        </w:rPr>
        <w:t>功能</w:t>
      </w:r>
      <w:r>
        <w:rPr>
          <w:rFonts w:hint="eastAsia" w:ascii="仿宋_GB2312" w:eastAsia="仿宋_GB2312"/>
          <w:sz w:val="28"/>
          <w:szCs w:val="28"/>
          <w:lang w:eastAsia="zh-CN"/>
        </w:rPr>
        <w:t>为目标，以相对集中连片的重点区域和中重度退化林为修复改造重点，遵从自然规律，采取更替、补植、抚育等措施，</w:t>
      </w:r>
      <w:r>
        <w:rPr>
          <w:rFonts w:hint="eastAsia" w:ascii="仿宋_GB2312" w:hAnsi="宋体" w:eastAsia="仿宋_GB2312"/>
          <w:sz w:val="28"/>
          <w:szCs w:val="28"/>
          <w:lang w:val="en-US" w:eastAsia="zh-CN"/>
        </w:rPr>
        <w:t>贯彻落实三北工程退化林修复改造任务工作部署，</w:t>
      </w:r>
      <w:r>
        <w:rPr>
          <w:rFonts w:hint="eastAsia" w:ascii="仿宋_GB2312" w:eastAsia="仿宋_GB2312"/>
          <w:sz w:val="28"/>
          <w:szCs w:val="28"/>
          <w:lang w:eastAsia="zh-CN"/>
        </w:rPr>
        <w:t>加强组织领导、强化责任落实，</w:t>
      </w:r>
      <w:r>
        <w:rPr>
          <w:rFonts w:hint="eastAsia" w:ascii="仿宋_GB2312" w:hAnsi="宋体" w:eastAsia="仿宋_GB2312"/>
          <w:sz w:val="28"/>
          <w:szCs w:val="28"/>
          <w:lang w:val="en-US" w:eastAsia="zh-CN"/>
        </w:rPr>
        <w:t>稳步推进退化林修复改造工作。</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46" w:name="_Toc8080"/>
      <w:bookmarkStart w:id="247" w:name="_Toc6869"/>
      <w:bookmarkStart w:id="248" w:name="_Toc8303"/>
      <w:bookmarkStart w:id="249" w:name="_Toc18573"/>
      <w:r>
        <w:rPr>
          <w:rFonts w:hint="eastAsia" w:ascii="黑体" w:hAnsi="黑体"/>
          <w:b/>
          <w:bCs/>
          <w:sz w:val="30"/>
          <w:szCs w:val="30"/>
          <w:lang w:val="en-US" w:eastAsia="zh-CN"/>
        </w:rPr>
        <w:t>3.2</w:t>
      </w:r>
      <w:bookmarkEnd w:id="245"/>
      <w:r>
        <w:rPr>
          <w:rFonts w:hint="eastAsia" w:ascii="黑体" w:hAnsi="黑体"/>
          <w:b/>
          <w:bCs/>
          <w:sz w:val="30"/>
          <w:szCs w:val="30"/>
          <w:lang w:val="en-US" w:eastAsia="zh-CN"/>
        </w:rPr>
        <w:t>基本原则</w:t>
      </w:r>
      <w:bookmarkEnd w:id="246"/>
      <w:bookmarkEnd w:id="247"/>
      <w:bookmarkEnd w:id="248"/>
      <w:bookmarkEnd w:id="249"/>
    </w:p>
    <w:p>
      <w:pPr>
        <w:spacing w:line="560" w:lineRule="exact"/>
        <w:ind w:firstLine="562" w:firstLineChars="200"/>
        <w:rPr>
          <w:rFonts w:hint="eastAsia" w:ascii="仿宋_GB2312" w:eastAsia="仿宋_GB2312"/>
          <w:b/>
          <w:sz w:val="28"/>
          <w:szCs w:val="28"/>
          <w:lang w:eastAsia="zh-CN"/>
        </w:rPr>
      </w:pPr>
      <w:bookmarkStart w:id="250" w:name="_Toc8651"/>
      <w:r>
        <w:rPr>
          <w:rFonts w:hint="eastAsia" w:ascii="仿宋_GB2312" w:eastAsia="仿宋_GB2312"/>
          <w:b/>
          <w:sz w:val="28"/>
          <w:szCs w:val="28"/>
          <w:lang w:eastAsia="zh-CN"/>
        </w:rPr>
        <w:t>（</w:t>
      </w:r>
      <w:r>
        <w:rPr>
          <w:rFonts w:hint="eastAsia" w:ascii="仿宋_GB2312" w:eastAsia="仿宋_GB2312"/>
          <w:b/>
          <w:sz w:val="28"/>
          <w:szCs w:val="28"/>
          <w:lang w:val="en-US" w:eastAsia="zh-CN"/>
        </w:rPr>
        <w:t>1</w:t>
      </w:r>
      <w:r>
        <w:rPr>
          <w:rFonts w:hint="eastAsia" w:ascii="仿宋_GB2312" w:eastAsia="仿宋_GB2312"/>
          <w:b/>
          <w:sz w:val="28"/>
          <w:szCs w:val="28"/>
          <w:lang w:eastAsia="zh-CN"/>
        </w:rPr>
        <w:t>）</w:t>
      </w:r>
      <w:r>
        <w:rPr>
          <w:rFonts w:hint="eastAsia" w:ascii="仿宋_GB2312" w:eastAsia="仿宋_GB2312"/>
          <w:b/>
          <w:sz w:val="28"/>
          <w:szCs w:val="28"/>
        </w:rPr>
        <w:t>分类施策、科学</w:t>
      </w:r>
      <w:r>
        <w:rPr>
          <w:rFonts w:hint="eastAsia" w:ascii="仿宋_GB2312" w:eastAsia="仿宋_GB2312"/>
          <w:b/>
          <w:sz w:val="28"/>
          <w:szCs w:val="28"/>
          <w:lang w:eastAsia="zh-CN"/>
        </w:rPr>
        <w:t>改造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尊重自然规律和自然地理格局，按照退化类型和退化程度</w:t>
      </w:r>
      <w:r>
        <w:rPr>
          <w:rFonts w:hint="eastAsia" w:ascii="仿宋_GB2312" w:eastAsia="仿宋_GB2312"/>
          <w:sz w:val="28"/>
          <w:szCs w:val="28"/>
          <w:lang w:eastAsia="zh-CN"/>
        </w:rPr>
        <w:t>先急后缓</w:t>
      </w:r>
      <w:r>
        <w:rPr>
          <w:rFonts w:hint="eastAsia" w:ascii="仿宋_GB2312" w:eastAsia="仿宋_GB2312"/>
          <w:sz w:val="28"/>
          <w:szCs w:val="28"/>
        </w:rPr>
        <w:t>，</w:t>
      </w:r>
      <w:r>
        <w:rPr>
          <w:rFonts w:hint="eastAsia" w:ascii="仿宋_GB2312" w:eastAsia="仿宋_GB2312"/>
          <w:sz w:val="28"/>
          <w:szCs w:val="28"/>
          <w:lang w:eastAsia="zh-CN"/>
        </w:rPr>
        <w:t>先重后轻，</w:t>
      </w:r>
      <w:r>
        <w:rPr>
          <w:rFonts w:hint="eastAsia" w:ascii="仿宋_GB2312" w:eastAsia="仿宋_GB2312"/>
          <w:sz w:val="28"/>
          <w:szCs w:val="28"/>
        </w:rPr>
        <w:t>合理</w:t>
      </w:r>
      <w:r>
        <w:rPr>
          <w:rFonts w:hint="eastAsia" w:ascii="仿宋_GB2312" w:eastAsia="仿宋_GB2312"/>
          <w:sz w:val="28"/>
          <w:szCs w:val="28"/>
          <w:lang w:eastAsia="zh-CN"/>
        </w:rPr>
        <w:t>选择</w:t>
      </w:r>
      <w:r>
        <w:rPr>
          <w:rFonts w:hint="eastAsia" w:ascii="仿宋_GB2312" w:eastAsia="仿宋_GB2312"/>
          <w:sz w:val="28"/>
          <w:szCs w:val="28"/>
        </w:rPr>
        <w:t>退化林修复</w:t>
      </w:r>
      <w:r>
        <w:rPr>
          <w:rFonts w:hint="eastAsia" w:ascii="仿宋_GB2312" w:eastAsia="仿宋_GB2312"/>
          <w:sz w:val="28"/>
          <w:szCs w:val="28"/>
          <w:lang w:eastAsia="zh-CN"/>
        </w:rPr>
        <w:t>对象和修复方式</w:t>
      </w:r>
      <w:r>
        <w:rPr>
          <w:rFonts w:hint="eastAsia" w:ascii="仿宋_GB2312" w:eastAsia="仿宋_GB2312"/>
          <w:sz w:val="28"/>
          <w:szCs w:val="28"/>
        </w:rPr>
        <w:t>，</w:t>
      </w:r>
      <w:r>
        <w:rPr>
          <w:rFonts w:hint="eastAsia" w:ascii="仿宋_GB2312" w:eastAsia="仿宋_GB2312"/>
          <w:sz w:val="28"/>
          <w:szCs w:val="28"/>
          <w:lang w:eastAsia="zh-CN"/>
        </w:rPr>
        <w:t>宜造则造、宜补则补、宜封则封、宜改则改。</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2</w:t>
      </w:r>
      <w:r>
        <w:rPr>
          <w:rFonts w:hint="eastAsia" w:ascii="仿宋_GB2312" w:eastAsia="仿宋_GB2312"/>
          <w:b/>
          <w:sz w:val="28"/>
          <w:szCs w:val="28"/>
          <w:lang w:eastAsia="zh-CN"/>
        </w:rPr>
        <w:t>）</w:t>
      </w:r>
      <w:r>
        <w:rPr>
          <w:rFonts w:hint="eastAsia" w:ascii="仿宋_GB2312" w:eastAsia="仿宋_GB2312"/>
          <w:b/>
          <w:sz w:val="28"/>
          <w:szCs w:val="28"/>
        </w:rPr>
        <w:t>尊重自然、因地制宜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在尊重自然、理解自然的基础上，充分利用自然，</w:t>
      </w:r>
      <w:r>
        <w:rPr>
          <w:rFonts w:hint="eastAsia" w:ascii="仿宋_GB2312" w:eastAsia="仿宋_GB2312"/>
          <w:sz w:val="28"/>
          <w:szCs w:val="28"/>
        </w:rPr>
        <w:t>科学选择更替树种</w:t>
      </w:r>
      <w:r>
        <w:rPr>
          <w:rFonts w:hint="eastAsia" w:ascii="仿宋_GB2312" w:eastAsia="仿宋_GB2312"/>
          <w:sz w:val="28"/>
          <w:szCs w:val="28"/>
          <w:lang w:eastAsia="zh-CN"/>
        </w:rPr>
        <w:t>，</w:t>
      </w:r>
      <w:r>
        <w:rPr>
          <w:rFonts w:hint="eastAsia" w:ascii="仿宋_GB2312" w:eastAsia="仿宋_GB2312"/>
          <w:sz w:val="28"/>
          <w:szCs w:val="28"/>
        </w:rPr>
        <w:t>优先使用防护性能好、抗逆性强、生长稳定的乡土树种</w:t>
      </w:r>
      <w:r>
        <w:rPr>
          <w:rFonts w:hint="eastAsia" w:ascii="仿宋_GB2312" w:eastAsia="仿宋_GB2312"/>
          <w:sz w:val="28"/>
          <w:szCs w:val="28"/>
          <w:lang w:eastAsia="zh-CN"/>
        </w:rPr>
        <w:t>，辅以人工补植补造措施开展促进修复，培育形成自然度高、稳定性强的森林群落，提高退化防护林修复的有效性、经济性和节能性。</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3</w:t>
      </w:r>
      <w:r>
        <w:rPr>
          <w:rFonts w:hint="eastAsia" w:ascii="仿宋_GB2312" w:eastAsia="仿宋_GB2312"/>
          <w:b/>
          <w:sz w:val="28"/>
          <w:szCs w:val="28"/>
          <w:lang w:eastAsia="zh-CN"/>
        </w:rPr>
        <w:t>）</w:t>
      </w:r>
      <w:r>
        <w:rPr>
          <w:rFonts w:hint="eastAsia" w:ascii="仿宋_GB2312" w:eastAsia="仿宋_GB2312"/>
          <w:b/>
          <w:sz w:val="28"/>
          <w:szCs w:val="28"/>
        </w:rPr>
        <w:t>突出重点，</w:t>
      </w:r>
      <w:r>
        <w:rPr>
          <w:rFonts w:hint="eastAsia" w:ascii="仿宋_GB2312" w:eastAsia="仿宋_GB2312"/>
          <w:b/>
          <w:sz w:val="28"/>
          <w:szCs w:val="28"/>
          <w:lang w:eastAsia="zh-CN"/>
        </w:rPr>
        <w:t>有序</w:t>
      </w:r>
      <w:r>
        <w:rPr>
          <w:rFonts w:hint="eastAsia" w:ascii="仿宋_GB2312" w:eastAsia="仿宋_GB2312"/>
          <w:b/>
          <w:sz w:val="28"/>
          <w:szCs w:val="28"/>
        </w:rPr>
        <w:t>推进</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优先修复生态区位重要、退化较严重的防护林</w:t>
      </w:r>
      <w:r>
        <w:rPr>
          <w:rFonts w:hint="eastAsia" w:ascii="仿宋_GB2312" w:eastAsia="仿宋_GB2312"/>
          <w:sz w:val="28"/>
          <w:szCs w:val="28"/>
          <w:lang w:eastAsia="zh-CN"/>
        </w:rPr>
        <w:t>，针对不同生态区位，</w:t>
      </w:r>
      <w:r>
        <w:rPr>
          <w:rFonts w:hint="eastAsia" w:ascii="仿宋_GB2312" w:eastAsia="仿宋_GB2312"/>
          <w:sz w:val="28"/>
          <w:szCs w:val="28"/>
        </w:rPr>
        <w:t>实行改善生态与精准扶贫有机结合，</w:t>
      </w:r>
      <w:r>
        <w:rPr>
          <w:rFonts w:hint="eastAsia" w:ascii="仿宋_GB2312" w:eastAsia="仿宋_GB2312"/>
          <w:sz w:val="28"/>
          <w:szCs w:val="28"/>
          <w:lang w:eastAsia="zh-CN"/>
        </w:rPr>
        <w:t>补植补造树种要兼顾当地生态效益和经济效益兼顾的树种，</w:t>
      </w:r>
      <w:r>
        <w:rPr>
          <w:rFonts w:hint="eastAsia" w:ascii="仿宋_GB2312" w:eastAsia="仿宋_GB2312"/>
          <w:sz w:val="28"/>
          <w:szCs w:val="28"/>
        </w:rPr>
        <w:t>科学营造生态效益和社会效益好的树种，因地制宜推进生态保护与修复。</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4</w:t>
      </w:r>
      <w:r>
        <w:rPr>
          <w:rFonts w:hint="eastAsia" w:ascii="仿宋_GB2312" w:eastAsia="仿宋_GB2312"/>
          <w:b/>
          <w:sz w:val="28"/>
          <w:szCs w:val="28"/>
          <w:lang w:eastAsia="zh-CN"/>
        </w:rPr>
        <w:t>）保护优先、合理修复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加强对</w:t>
      </w:r>
      <w:r>
        <w:rPr>
          <w:rFonts w:hint="eastAsia" w:ascii="仿宋_GB2312" w:eastAsia="仿宋_GB2312"/>
          <w:sz w:val="28"/>
          <w:szCs w:val="28"/>
          <w:lang w:eastAsia="zh-CN"/>
        </w:rPr>
        <w:t>侵蚀沟缘、较陡沟谷坡地现有植被保护，</w:t>
      </w:r>
      <w:r>
        <w:rPr>
          <w:rFonts w:hint="eastAsia" w:ascii="仿宋_GB2312" w:eastAsia="仿宋_GB2312"/>
          <w:sz w:val="28"/>
          <w:szCs w:val="28"/>
        </w:rPr>
        <w:t>在维护防护功能相对稳定的前提下开展修复，合理选择修复方式，合理安排修复时间，</w:t>
      </w:r>
      <w:r>
        <w:rPr>
          <w:rFonts w:hint="eastAsia" w:ascii="仿宋_GB2312" w:eastAsia="仿宋_GB2312"/>
          <w:sz w:val="28"/>
          <w:szCs w:val="28"/>
          <w:lang w:eastAsia="zh-CN"/>
        </w:rPr>
        <w:t>根据不现地形采取不同的整地方式，控制土壤侵蚀，减少水土流失，</w:t>
      </w:r>
      <w:r>
        <w:rPr>
          <w:rFonts w:hint="eastAsia" w:ascii="仿宋_GB2312" w:eastAsia="仿宋_GB2312"/>
          <w:sz w:val="28"/>
          <w:szCs w:val="28"/>
        </w:rPr>
        <w:t>最大限度维持修复区域的生态防护功能。</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51" w:name="_Toc3921"/>
      <w:bookmarkStart w:id="252" w:name="_Toc7994"/>
      <w:bookmarkStart w:id="253" w:name="_Toc22186"/>
      <w:bookmarkStart w:id="254" w:name="_Toc19528"/>
      <w:r>
        <w:rPr>
          <w:rFonts w:hint="eastAsia" w:ascii="黑体" w:hAnsi="黑体"/>
          <w:b/>
          <w:bCs/>
          <w:sz w:val="30"/>
          <w:szCs w:val="30"/>
          <w:lang w:val="en-US" w:eastAsia="zh-CN"/>
        </w:rPr>
        <w:t>3.3</w:t>
      </w:r>
      <w:bookmarkEnd w:id="250"/>
      <w:r>
        <w:rPr>
          <w:rFonts w:hint="eastAsia" w:ascii="黑体" w:hAnsi="黑体"/>
          <w:b/>
          <w:bCs/>
          <w:sz w:val="30"/>
          <w:szCs w:val="30"/>
          <w:lang w:val="en-US" w:eastAsia="zh-CN"/>
        </w:rPr>
        <w:t>建设目标</w:t>
      </w:r>
      <w:bookmarkEnd w:id="251"/>
      <w:bookmarkEnd w:id="252"/>
      <w:bookmarkEnd w:id="253"/>
      <w:bookmarkEnd w:id="254"/>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3.3.1总体目标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t>根据全县区域退化林现状和</w:t>
      </w:r>
      <w:r>
        <w:rPr>
          <w:rFonts w:hint="eastAsia" w:ascii="仿宋_GB2312" w:eastAsia="仿宋_GB2312"/>
          <w:sz w:val="28"/>
          <w:szCs w:val="28"/>
          <w:lang w:eastAsia="zh-CN"/>
        </w:rPr>
        <w:t>生态</w:t>
      </w:r>
      <w:r>
        <w:rPr>
          <w:rFonts w:hint="eastAsia" w:ascii="仿宋_GB2312" w:eastAsia="仿宋_GB2312"/>
          <w:sz w:val="28"/>
          <w:szCs w:val="28"/>
        </w:rPr>
        <w:t>安全要求，突出退化防护林修复主线</w:t>
      </w:r>
      <w:r>
        <w:rPr>
          <w:rFonts w:hint="eastAsia" w:ascii="仿宋_GB2312" w:eastAsia="仿宋_GB2312"/>
          <w:sz w:val="28"/>
          <w:szCs w:val="28"/>
          <w:lang w:eastAsia="zh-CN"/>
        </w:rPr>
        <w:t>，通过</w:t>
      </w:r>
      <w:r>
        <w:rPr>
          <w:rFonts w:hint="eastAsia" w:ascii="仿宋_GB2312" w:eastAsia="仿宋_GB2312"/>
          <w:sz w:val="28"/>
          <w:szCs w:val="28"/>
        </w:rPr>
        <w:t>采取更替、</w:t>
      </w:r>
      <w:r>
        <w:rPr>
          <w:rFonts w:hint="eastAsia" w:ascii="仿宋_GB2312" w:eastAsia="仿宋_GB2312"/>
          <w:sz w:val="28"/>
          <w:szCs w:val="28"/>
          <w:lang w:val="en-US" w:eastAsia="zh-CN"/>
        </w:rPr>
        <w:t>择伐、</w:t>
      </w:r>
      <w:r>
        <w:rPr>
          <w:rFonts w:hint="eastAsia" w:ascii="仿宋_GB2312" w:eastAsia="仿宋_GB2312"/>
          <w:sz w:val="28"/>
          <w:szCs w:val="28"/>
        </w:rPr>
        <w:t>补植、抚育等措施，促使林分形成正常生长发育趋势，并逐步恢复至接近于退化前状态或向更好的地带性森林顶级群落有序发展的森林</w:t>
      </w:r>
      <w:r>
        <w:rPr>
          <w:rFonts w:hint="eastAsia" w:ascii="仿宋_GB2312" w:eastAsia="仿宋_GB2312"/>
          <w:sz w:val="28"/>
          <w:szCs w:val="28"/>
          <w:lang w:eastAsia="zh-CN"/>
        </w:rPr>
        <w:t>状态</w:t>
      </w:r>
      <w:r>
        <w:rPr>
          <w:rFonts w:hint="eastAsia" w:ascii="仿宋_GB2312" w:eastAsia="仿宋_GB2312"/>
          <w:sz w:val="28"/>
          <w:szCs w:val="28"/>
        </w:rPr>
        <w:t>，从而形成结构稳定、功能完善，生态、经济、社会效益有机结合的区域性防护林体系。</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3.3.2具体目标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lang w:eastAsia="zh-CN"/>
        </w:rPr>
        <w:t>项目完成</w:t>
      </w:r>
      <w:r>
        <w:rPr>
          <w:rFonts w:hint="eastAsia" w:ascii="仿宋_GB2312" w:eastAsia="仿宋_GB2312"/>
          <w:sz w:val="28"/>
          <w:szCs w:val="28"/>
          <w:lang w:val="en-US" w:eastAsia="zh-CN"/>
        </w:rPr>
        <w:t>6600.0亩退化林修复任务，达到调整树种和林分结构，</w:t>
      </w:r>
      <w:r>
        <w:rPr>
          <w:rFonts w:hint="eastAsia" w:ascii="仿宋_GB2312" w:eastAsia="仿宋_GB2312"/>
          <w:sz w:val="28"/>
          <w:szCs w:val="28"/>
        </w:rPr>
        <w:t>提高</w:t>
      </w:r>
      <w:r>
        <w:rPr>
          <w:rFonts w:hint="eastAsia" w:ascii="仿宋_GB2312" w:eastAsia="仿宋_GB2312"/>
          <w:sz w:val="28"/>
          <w:szCs w:val="28"/>
          <w:lang w:eastAsia="zh-CN"/>
        </w:rPr>
        <w:t>林分质量和</w:t>
      </w:r>
      <w:r>
        <w:rPr>
          <w:rFonts w:hint="eastAsia" w:ascii="仿宋_GB2312" w:eastAsia="仿宋_GB2312"/>
          <w:sz w:val="28"/>
          <w:szCs w:val="28"/>
        </w:rPr>
        <w:t>林地生产力，增强水源涵养、水土保持等生态服务功能，提高生态产品供给能力</w:t>
      </w:r>
      <w:r>
        <w:rPr>
          <w:rFonts w:hint="eastAsia" w:ascii="仿宋_GB2312" w:eastAsia="仿宋_GB2312"/>
          <w:sz w:val="28"/>
          <w:szCs w:val="28"/>
          <w:lang w:eastAsia="zh-CN"/>
        </w:rPr>
        <w:t>，推进实现生态容量有效增加，生态质量显著改善，构建区域健康稳定的森林生态系统，为生态文明建设提供良好的生态保障</w:t>
      </w:r>
      <w:r>
        <w:rPr>
          <w:rFonts w:hint="eastAsia" w:ascii="仿宋_GB2312" w:eastAsia="仿宋_GB2312"/>
          <w:sz w:val="28"/>
          <w:szCs w:val="28"/>
        </w:rPr>
        <w:t>。</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2"/>
        <w:rPr>
          <w:rFonts w:hint="eastAsia"/>
          <w:bCs/>
          <w:sz w:val="28"/>
          <w:szCs w:val="28"/>
          <w:lang w:val="en-US" w:eastAsia="zh-CN"/>
        </w:rPr>
      </w:pPr>
      <w:r>
        <w:rPr>
          <w:rFonts w:hint="eastAsia"/>
          <w:bCs/>
          <w:sz w:val="28"/>
          <w:szCs w:val="28"/>
          <w:lang w:val="en-US" w:eastAsia="zh-CN"/>
        </w:rPr>
        <w:t>3.3.3经营管理目标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 1 \* GB3 </w:instrText>
      </w:r>
      <w:r>
        <w:rPr>
          <w:rFonts w:hint="eastAsia" w:ascii="仿宋_GB2312" w:eastAsia="仿宋_GB2312"/>
          <w:sz w:val="28"/>
          <w:szCs w:val="28"/>
        </w:rPr>
        <w:fldChar w:fldCharType="separate"/>
      </w:r>
      <w:r>
        <w:rPr>
          <w:rFonts w:hint="eastAsia" w:ascii="仿宋_GB2312" w:eastAsia="仿宋_GB2312"/>
          <w:sz w:val="28"/>
          <w:szCs w:val="28"/>
        </w:rPr>
        <w:t>①</w:t>
      </w:r>
      <w:r>
        <w:rPr>
          <w:rFonts w:hint="eastAsia" w:ascii="仿宋_GB2312" w:eastAsia="仿宋_GB2312"/>
          <w:sz w:val="28"/>
          <w:szCs w:val="28"/>
        </w:rPr>
        <w:fldChar w:fldCharType="end"/>
      </w:r>
      <w:r>
        <w:rPr>
          <w:rFonts w:hint="eastAsia" w:ascii="仿宋_GB2312" w:eastAsia="仿宋_GB2312"/>
          <w:sz w:val="28"/>
          <w:szCs w:val="28"/>
        </w:rPr>
        <w:t>提高林木所有者、林地承包者和经营者的积极性和主动性，加强监督检查；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 2 \* GB3 </w:instrText>
      </w:r>
      <w:r>
        <w:rPr>
          <w:rFonts w:hint="eastAsia" w:ascii="仿宋_GB2312" w:eastAsia="仿宋_GB2312"/>
          <w:sz w:val="28"/>
          <w:szCs w:val="28"/>
        </w:rPr>
        <w:fldChar w:fldCharType="separate"/>
      </w:r>
      <w:r>
        <w:rPr>
          <w:rFonts w:hint="eastAsia" w:ascii="仿宋_GB2312" w:eastAsia="仿宋_GB2312"/>
          <w:sz w:val="28"/>
          <w:szCs w:val="28"/>
        </w:rPr>
        <w:t>②</w:t>
      </w:r>
      <w:r>
        <w:rPr>
          <w:rFonts w:hint="eastAsia" w:ascii="仿宋_GB2312" w:eastAsia="仿宋_GB2312"/>
          <w:sz w:val="28"/>
          <w:szCs w:val="28"/>
        </w:rPr>
        <w:fldChar w:fldCharType="end"/>
      </w:r>
      <w:r>
        <w:rPr>
          <w:rFonts w:hint="eastAsia" w:ascii="仿宋_GB2312" w:eastAsia="仿宋_GB2312"/>
          <w:sz w:val="28"/>
          <w:szCs w:val="28"/>
        </w:rPr>
        <w:t>建立全县范围内的防护林退化林修复的新型组织形式，以</w:t>
      </w:r>
      <w:r>
        <w:rPr>
          <w:rFonts w:hint="eastAsia" w:ascii="仿宋_GB2312" w:eastAsia="仿宋_GB2312"/>
          <w:sz w:val="28"/>
          <w:szCs w:val="28"/>
          <w:lang w:eastAsia="zh-CN"/>
        </w:rPr>
        <w:t>政府</w:t>
      </w:r>
      <w:r>
        <w:rPr>
          <w:rFonts w:hint="eastAsia" w:ascii="仿宋_GB2312" w:eastAsia="仿宋_GB2312"/>
          <w:sz w:val="28"/>
          <w:szCs w:val="28"/>
        </w:rPr>
        <w:t>主导，建立贫困户和群众参与的项目建设机制和体制，规模化开展退化防护林修复；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 3 \* GB3 </w:instrText>
      </w:r>
      <w:r>
        <w:rPr>
          <w:rFonts w:hint="eastAsia" w:ascii="仿宋_GB2312" w:eastAsia="仿宋_GB2312"/>
          <w:sz w:val="28"/>
          <w:szCs w:val="28"/>
        </w:rPr>
        <w:fldChar w:fldCharType="separate"/>
      </w:r>
      <w:r>
        <w:rPr>
          <w:rFonts w:hint="eastAsia" w:ascii="仿宋_GB2312" w:eastAsia="仿宋_GB2312"/>
          <w:sz w:val="28"/>
          <w:szCs w:val="28"/>
        </w:rPr>
        <w:t>③</w:t>
      </w:r>
      <w:r>
        <w:rPr>
          <w:rFonts w:hint="eastAsia" w:ascii="仿宋_GB2312" w:eastAsia="仿宋_GB2312"/>
          <w:sz w:val="28"/>
          <w:szCs w:val="28"/>
        </w:rPr>
        <w:fldChar w:fldCharType="end"/>
      </w:r>
      <w:r>
        <w:rPr>
          <w:rFonts w:hint="eastAsia" w:ascii="仿宋_GB2312" w:eastAsia="仿宋_GB2312"/>
          <w:sz w:val="28"/>
          <w:szCs w:val="28"/>
        </w:rPr>
        <w:t>引导当地林木所有者自觉</w:t>
      </w:r>
      <w:r>
        <w:rPr>
          <w:rFonts w:hint="eastAsia" w:ascii="仿宋_GB2312" w:eastAsia="仿宋_GB2312"/>
          <w:sz w:val="28"/>
          <w:szCs w:val="28"/>
          <w:lang w:eastAsia="zh-CN"/>
        </w:rPr>
        <w:t>开展</w:t>
      </w:r>
      <w:r>
        <w:rPr>
          <w:rFonts w:hint="eastAsia" w:ascii="仿宋_GB2312" w:eastAsia="仿宋_GB2312"/>
          <w:sz w:val="28"/>
          <w:szCs w:val="28"/>
        </w:rPr>
        <w:t>防护林退化林分的修复，利用国家重点公益林补助资金以及林木所有者和护林员开展退化林修复，以修带管，形成互利共赢的利益共同体</w:t>
      </w:r>
      <w:r>
        <w:rPr>
          <w:rFonts w:hint="eastAsia" w:ascii="仿宋_GB2312" w:eastAsia="仿宋_GB2312"/>
          <w:sz w:val="28"/>
          <w:szCs w:val="28"/>
          <w:lang w:eastAsia="zh-CN"/>
        </w:rPr>
        <w:t>，加快退化林修复进度</w:t>
      </w:r>
      <w:r>
        <w:rPr>
          <w:rFonts w:hint="eastAsia" w:ascii="仿宋_GB2312" w:eastAsia="仿宋_GB2312"/>
          <w:sz w:val="28"/>
          <w:szCs w:val="28"/>
        </w:rPr>
        <w:t>。</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55" w:name="_Toc5275"/>
      <w:bookmarkStart w:id="256" w:name="_Toc26294"/>
      <w:bookmarkStart w:id="257" w:name="_Toc14859"/>
      <w:bookmarkStart w:id="258" w:name="_Toc4997"/>
      <w:r>
        <w:rPr>
          <w:rFonts w:hint="eastAsia" w:ascii="黑体" w:hAnsi="黑体"/>
          <w:b/>
          <w:bCs/>
          <w:sz w:val="30"/>
          <w:szCs w:val="30"/>
          <w:lang w:val="en-US" w:eastAsia="zh-CN"/>
        </w:rPr>
        <w:t>3.4建设布局</w:t>
      </w:r>
      <w:bookmarkEnd w:id="255"/>
      <w:bookmarkEnd w:id="256"/>
      <w:bookmarkEnd w:id="257"/>
      <w:bookmarkEnd w:id="258"/>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val="en-US" w:eastAsia="zh-CN"/>
        </w:rPr>
        <w:t>根据县域退化防护林分布现状、退化类型和退化程度等因素，按照项目建设原则，优先考虑生态区位重要，退化程度严重，具有典型性和示范性的连片区域实施本项目。本年度退化林修复</w:t>
      </w:r>
      <w:r>
        <w:rPr>
          <w:rFonts w:hint="eastAsia" w:ascii="仿宋_GB2312" w:eastAsia="仿宋_GB2312"/>
          <w:sz w:val="28"/>
          <w:szCs w:val="28"/>
          <w:lang w:eastAsia="zh-CN"/>
        </w:rPr>
        <w:t>实施区域安排在铁边城国有林场，交通较方便、生态敏感度</w:t>
      </w:r>
      <w:r>
        <w:rPr>
          <w:rFonts w:hint="eastAsia" w:ascii="仿宋_GB2312" w:eastAsia="仿宋_GB2312"/>
          <w:sz w:val="28"/>
          <w:szCs w:val="28"/>
          <w:lang w:val="en-US" w:eastAsia="zh-CN"/>
        </w:rPr>
        <w:t>高</w:t>
      </w:r>
      <w:r>
        <w:rPr>
          <w:rFonts w:hint="eastAsia" w:ascii="仿宋_GB2312" w:eastAsia="仿宋_GB2312"/>
          <w:sz w:val="28"/>
          <w:szCs w:val="28"/>
          <w:lang w:eastAsia="zh-CN"/>
        </w:rPr>
        <w:t>。</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59" w:name="_Toc20784"/>
      <w:bookmarkStart w:id="260" w:name="_Toc32717"/>
      <w:bookmarkStart w:id="261" w:name="_Toc27077"/>
      <w:bookmarkStart w:id="262" w:name="_Toc31497"/>
      <w:r>
        <w:rPr>
          <w:rFonts w:hint="eastAsia" w:ascii="黑体" w:hAnsi="黑体"/>
          <w:b/>
          <w:bCs/>
          <w:sz w:val="30"/>
          <w:szCs w:val="30"/>
          <w:lang w:val="en-US" w:eastAsia="zh-CN"/>
        </w:rPr>
        <w:t>3.5建设任务</w:t>
      </w:r>
      <w:bookmarkEnd w:id="259"/>
      <w:bookmarkEnd w:id="260"/>
      <w:bookmarkEnd w:id="261"/>
      <w:bookmarkEnd w:id="262"/>
    </w:p>
    <w:p>
      <w:pPr>
        <w:spacing w:line="560" w:lineRule="exact"/>
        <w:ind w:firstLine="560" w:firstLineChars="200"/>
        <w:rPr>
          <w:rFonts w:hint="eastAsia" w:ascii="仿宋_GB2312" w:eastAsia="仿宋_GB2312" w:cs="仿宋_GB2312"/>
          <w:kern w:val="0"/>
          <w:sz w:val="28"/>
          <w:szCs w:val="28"/>
          <w:lang w:val="en-US" w:eastAsia="zh-CN"/>
        </w:rPr>
      </w:pPr>
      <w:r>
        <w:rPr>
          <w:rFonts w:hint="eastAsia" w:ascii="仿宋_GB2312" w:eastAsia="仿宋_GB2312" w:cs="仿宋_GB2312"/>
          <w:kern w:val="0"/>
          <w:sz w:val="28"/>
          <w:szCs w:val="28"/>
          <w:lang w:val="en-US" w:eastAsia="zh-CN"/>
        </w:rPr>
        <w:t>吴起县2021年县级财政退化林修复建设任务6600.0亩，2021年8-9月开展外业调查和作业设计等前期工作，2022年组织实施，至2022年底全部完成。</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63" w:name="_Toc3456"/>
      <w:bookmarkStart w:id="264" w:name="_Toc18700"/>
      <w:bookmarkStart w:id="265" w:name="_Toc18583"/>
      <w:bookmarkStart w:id="266" w:name="_Toc19948"/>
      <w:r>
        <w:rPr>
          <w:rFonts w:hint="eastAsia" w:ascii="黑体" w:hAnsi="黑体"/>
          <w:b/>
          <w:bCs/>
          <w:sz w:val="30"/>
          <w:szCs w:val="30"/>
          <w:lang w:val="en-US" w:eastAsia="zh-CN"/>
        </w:rPr>
        <w:t>3.6建设内容</w:t>
      </w:r>
      <w:bookmarkEnd w:id="263"/>
      <w:bookmarkEnd w:id="264"/>
      <w:bookmarkEnd w:id="265"/>
      <w:bookmarkEnd w:id="266"/>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val="en-US" w:eastAsia="zh-CN"/>
        </w:rPr>
        <w:t>吴起县2021年县级财政退化林修复建设任务6600.0</w:t>
      </w:r>
      <w:r>
        <w:rPr>
          <w:rFonts w:hint="eastAsia" w:ascii="仿宋_GB2312" w:eastAsia="仿宋_GB2312"/>
          <w:sz w:val="28"/>
          <w:szCs w:val="28"/>
          <w:lang w:eastAsia="zh-CN"/>
        </w:rPr>
        <w:t>亩，</w:t>
      </w:r>
      <w:r>
        <w:rPr>
          <w:rFonts w:hint="eastAsia" w:ascii="仿宋_GB2312" w:eastAsia="仿宋_GB2312"/>
          <w:sz w:val="28"/>
          <w:szCs w:val="28"/>
          <w:lang w:val="en-US" w:eastAsia="zh-CN"/>
        </w:rPr>
        <w:t>全部为有林地。</w:t>
      </w:r>
    </w:p>
    <w:p>
      <w:pPr>
        <w:spacing w:line="560" w:lineRule="exact"/>
        <w:ind w:firstLine="560" w:firstLineChars="200"/>
        <w:rPr>
          <w:rFonts w:hint="eastAsia"/>
          <w:lang w:eastAsia="zh-CN"/>
        </w:rPr>
      </w:pPr>
      <w:r>
        <w:rPr>
          <w:rFonts w:hint="eastAsia" w:ascii="仿宋_GB2312" w:eastAsia="仿宋_GB2312"/>
          <w:sz w:val="28"/>
          <w:szCs w:val="28"/>
          <w:lang w:eastAsia="zh-CN"/>
        </w:rPr>
        <w:t>依据退化防护林实际，修复改造主要采取更替修复、择伐补植修复、综合修复</w:t>
      </w:r>
      <w:r>
        <w:rPr>
          <w:rFonts w:hint="eastAsia" w:ascii="仿宋_GB2312" w:eastAsia="仿宋_GB2312"/>
          <w:sz w:val="28"/>
          <w:szCs w:val="28"/>
          <w:lang w:val="en-US" w:eastAsia="zh-CN"/>
        </w:rPr>
        <w:t>3种</w:t>
      </w:r>
      <w:r>
        <w:rPr>
          <w:rFonts w:hint="eastAsia" w:ascii="仿宋_GB2312" w:eastAsia="仿宋_GB2312"/>
          <w:sz w:val="28"/>
          <w:szCs w:val="28"/>
          <w:lang w:eastAsia="zh-CN"/>
        </w:rPr>
        <w:t>模式，</w:t>
      </w:r>
      <w:r>
        <w:rPr>
          <w:rFonts w:hint="eastAsia" w:ascii="仿宋_GB2312" w:eastAsia="仿宋_GB2312"/>
          <w:sz w:val="28"/>
          <w:szCs w:val="28"/>
          <w:lang w:val="en-US" w:eastAsia="zh-CN"/>
        </w:rPr>
        <w:t>同时对现有林分进行全面抚育,采用疏伐、修枝、扩盘培土等措施，促进林木正常生长。施工时，应</w:t>
      </w:r>
      <w:r>
        <w:rPr>
          <w:rFonts w:hint="eastAsia" w:ascii="仿宋_GB2312" w:eastAsia="仿宋_GB2312"/>
          <w:sz w:val="28"/>
          <w:szCs w:val="28"/>
          <w:lang w:eastAsia="zh-CN"/>
        </w:rPr>
        <w:t>针对不同的林分特点，采取一种或两者相结合的综合修复方式，对其进行修复改造，提质增效。</w:t>
      </w:r>
    </w:p>
    <w:p>
      <w:pPr>
        <w:pStyle w:val="3"/>
        <w:spacing w:before="120" w:after="120" w:line="560" w:lineRule="exact"/>
        <w:jc w:val="center"/>
        <w:rPr>
          <w:rStyle w:val="22"/>
          <w:rFonts w:hint="eastAsia" w:ascii="黑体" w:eastAsia="黑体"/>
          <w:b/>
          <w:color w:val="auto"/>
          <w:sz w:val="32"/>
          <w:szCs w:val="32"/>
          <w:lang w:val="en-US" w:eastAsia="zh-CN"/>
        </w:rPr>
      </w:pPr>
      <w:r>
        <w:rPr>
          <w:rFonts w:hint="eastAsia" w:ascii="黑体" w:eastAsia="黑体"/>
          <w:szCs w:val="44"/>
        </w:rPr>
        <w:br w:type="page"/>
      </w:r>
      <w:bookmarkStart w:id="267" w:name="_Toc2139"/>
      <w:bookmarkStart w:id="268" w:name="_Toc27087"/>
      <w:bookmarkStart w:id="269" w:name="_Toc8031"/>
      <w:bookmarkStart w:id="270" w:name="_Toc28297"/>
      <w:bookmarkStart w:id="271" w:name="_Toc28616"/>
      <w:r>
        <w:rPr>
          <w:rStyle w:val="22"/>
          <w:rFonts w:hint="eastAsia" w:ascii="黑体" w:eastAsia="黑体"/>
          <w:b/>
          <w:color w:val="auto"/>
          <w:sz w:val="32"/>
          <w:szCs w:val="32"/>
          <w:lang w:val="en-US" w:eastAsia="zh-CN"/>
        </w:rPr>
        <w:t xml:space="preserve">第四章  </w:t>
      </w:r>
      <w:bookmarkEnd w:id="267"/>
      <w:r>
        <w:rPr>
          <w:rStyle w:val="22"/>
          <w:rFonts w:hint="eastAsia" w:ascii="黑体" w:eastAsia="黑体"/>
          <w:b/>
          <w:color w:val="auto"/>
          <w:sz w:val="32"/>
          <w:szCs w:val="32"/>
          <w:lang w:val="en-US" w:eastAsia="zh-CN"/>
        </w:rPr>
        <w:t>项目设计方案</w:t>
      </w:r>
      <w:bookmarkEnd w:id="268"/>
      <w:bookmarkEnd w:id="269"/>
      <w:bookmarkEnd w:id="270"/>
      <w:bookmarkEnd w:id="271"/>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72" w:name="_Toc21810"/>
      <w:bookmarkStart w:id="273" w:name="_Toc9203"/>
      <w:bookmarkStart w:id="274" w:name="_Toc5332"/>
      <w:r>
        <w:rPr>
          <w:rFonts w:hint="eastAsia" w:ascii="黑体" w:hAnsi="黑体"/>
          <w:b/>
          <w:bCs/>
          <w:sz w:val="30"/>
          <w:szCs w:val="30"/>
          <w:lang w:val="en-US" w:eastAsia="zh-CN"/>
        </w:rPr>
        <w:t>4.1作业区选择</w:t>
      </w:r>
      <w:bookmarkEnd w:id="272"/>
      <w:bookmarkEnd w:id="273"/>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吴起县2021年县级财政退化林修复作业区，依据</w:t>
      </w:r>
      <w:r>
        <w:rPr>
          <w:rFonts w:hint="eastAsia" w:ascii="仿宋_GB2312" w:eastAsia="仿宋_GB2312"/>
          <w:sz w:val="28"/>
          <w:szCs w:val="28"/>
          <w:lang w:val="zh-CN" w:eastAsia="zh-CN"/>
        </w:rPr>
        <w:t>《退化防护林修复技术规程（LY/T3179-2020）》、</w:t>
      </w:r>
      <w:r>
        <w:rPr>
          <w:rFonts w:hint="eastAsia" w:ascii="仿宋_GB2312" w:eastAsia="仿宋_GB2312"/>
          <w:sz w:val="28"/>
          <w:szCs w:val="28"/>
          <w:lang w:val="en-US" w:eastAsia="zh-CN"/>
        </w:rPr>
        <w:t>《三北防护林退化林分修复技术规程（ＬＹ/Ｔ2786－2017）》、《造林技术规程（GB/T15776-2016）》等技术规程，优先考虑退化程度较严重、地域上较为集中连片、可作业面积比重大、群众积极性高、生态区位重要的项目区，项目区以林场为单位，便于开展管理组织及施工，经过现地勘察，作业区选择在县域西部的铁边城国有林场。</w:t>
      </w:r>
    </w:p>
    <w:bookmarkEnd w:id="274"/>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75" w:name="_Toc27677"/>
      <w:bookmarkStart w:id="276" w:name="_Toc12019"/>
      <w:bookmarkStart w:id="277" w:name="_Toc19148"/>
      <w:bookmarkStart w:id="278" w:name="_Toc381018411"/>
      <w:r>
        <w:rPr>
          <w:rFonts w:hint="eastAsia" w:ascii="黑体" w:hAnsi="黑体"/>
          <w:b/>
          <w:bCs/>
          <w:sz w:val="30"/>
          <w:szCs w:val="30"/>
          <w:lang w:val="en-US" w:eastAsia="zh-CN"/>
        </w:rPr>
        <w:t>4.2作业区调查区划</w:t>
      </w:r>
      <w:bookmarkEnd w:id="275"/>
      <w:bookmarkEnd w:id="276"/>
      <w:bookmarkEnd w:id="277"/>
      <w:bookmarkEnd w:id="278"/>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4.2.1调查区划方法</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采用1∶10000地形图对坡勾绘作业小班，</w:t>
      </w:r>
      <w:r>
        <w:rPr>
          <w:rFonts w:hint="eastAsia" w:ascii="仿宋_GB2312" w:eastAsia="仿宋_GB2312"/>
          <w:sz w:val="28"/>
          <w:szCs w:val="28"/>
          <w:lang w:eastAsia="zh-CN"/>
        </w:rPr>
        <w:t>并采用无人机对项目区进行航拍。</w:t>
      </w:r>
      <w:r>
        <w:rPr>
          <w:rFonts w:hint="eastAsia" w:ascii="仿宋_GB2312" w:eastAsia="仿宋_GB2312"/>
          <w:sz w:val="28"/>
          <w:szCs w:val="28"/>
        </w:rPr>
        <w:t>在区划的基础上深入作业小班进行调查，调查林分</w:t>
      </w:r>
      <w:r>
        <w:rPr>
          <w:rFonts w:hint="eastAsia" w:ascii="仿宋_GB2312" w:eastAsia="仿宋_GB2312"/>
          <w:sz w:val="28"/>
          <w:szCs w:val="28"/>
          <w:lang w:eastAsia="zh-CN"/>
        </w:rPr>
        <w:t>退化类型和退化程度、</w:t>
      </w:r>
      <w:r>
        <w:rPr>
          <w:rFonts w:hint="eastAsia" w:ascii="仿宋_GB2312" w:eastAsia="仿宋_GB2312"/>
          <w:sz w:val="28"/>
          <w:szCs w:val="28"/>
        </w:rPr>
        <w:t>立地因子、土壤和植被分布等情况，对重要区域和特殊地块做详细分析与调查。</w:t>
      </w:r>
      <w:r>
        <w:rPr>
          <w:rFonts w:hint="eastAsia" w:ascii="仿宋_GB2312" w:eastAsia="仿宋_GB2312"/>
          <w:sz w:val="28"/>
          <w:szCs w:val="28"/>
          <w:lang w:val="en-US" w:eastAsia="zh-CN"/>
        </w:rPr>
        <w:t>内业阶段，</w:t>
      </w:r>
      <w:r>
        <w:rPr>
          <w:rFonts w:hint="eastAsia" w:ascii="仿宋_GB2312" w:eastAsia="仿宋_GB2312"/>
          <w:sz w:val="28"/>
          <w:szCs w:val="28"/>
        </w:rPr>
        <w:t>结合卫星影像图</w:t>
      </w:r>
      <w:r>
        <w:rPr>
          <w:rFonts w:hint="eastAsia" w:ascii="仿宋_GB2312" w:eastAsia="仿宋_GB2312"/>
          <w:sz w:val="28"/>
          <w:szCs w:val="28"/>
          <w:lang w:eastAsia="zh-CN"/>
        </w:rPr>
        <w:t>和航拍片</w:t>
      </w:r>
      <w:r>
        <w:rPr>
          <w:rFonts w:hint="eastAsia" w:ascii="仿宋_GB2312" w:eastAsia="仿宋_GB2312"/>
          <w:sz w:val="28"/>
          <w:szCs w:val="28"/>
        </w:rPr>
        <w:t>进一步检查校正</w:t>
      </w:r>
      <w:r>
        <w:rPr>
          <w:rFonts w:hint="eastAsia" w:ascii="仿宋_GB2312" w:eastAsia="仿宋_GB2312"/>
          <w:sz w:val="28"/>
          <w:szCs w:val="28"/>
          <w:lang w:eastAsia="zh-CN"/>
        </w:rPr>
        <w:t>，依据林分因子，细分作业小班</w:t>
      </w:r>
      <w:r>
        <w:rPr>
          <w:rFonts w:hint="eastAsia" w:ascii="仿宋_GB2312" w:eastAsia="仿宋_GB2312"/>
          <w:sz w:val="28"/>
          <w:szCs w:val="28"/>
        </w:rPr>
        <w:t>。</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4.2.2区划系统</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本次区划采用</w:t>
      </w:r>
      <w:r>
        <w:rPr>
          <w:rFonts w:hint="eastAsia" w:ascii="仿宋_GB2312" w:eastAsia="仿宋_GB2312"/>
          <w:sz w:val="28"/>
          <w:szCs w:val="28"/>
          <w:lang w:val="en-US" w:eastAsia="zh-CN"/>
        </w:rPr>
        <w:t>林场</w:t>
      </w:r>
      <w:r>
        <w:rPr>
          <w:rFonts w:hint="eastAsia" w:ascii="仿宋_GB2312" w:eastAsia="仿宋_GB2312"/>
          <w:sz w:val="28"/>
          <w:szCs w:val="28"/>
        </w:rPr>
        <w:t>-</w:t>
      </w:r>
      <w:r>
        <w:rPr>
          <w:rFonts w:hint="eastAsia" w:ascii="仿宋_GB2312" w:eastAsia="仿宋_GB2312"/>
          <w:sz w:val="28"/>
          <w:szCs w:val="28"/>
          <w:lang w:val="en-US" w:eastAsia="zh-CN"/>
        </w:rPr>
        <w:t>作业区</w:t>
      </w:r>
      <w:r>
        <w:rPr>
          <w:rFonts w:hint="eastAsia" w:ascii="仿宋_GB2312" w:eastAsia="仿宋_GB2312"/>
          <w:sz w:val="28"/>
          <w:szCs w:val="28"/>
        </w:rPr>
        <w:t>-小班</w:t>
      </w:r>
      <w:r>
        <w:rPr>
          <w:rFonts w:hint="eastAsia" w:ascii="仿宋_GB2312" w:eastAsia="仿宋_GB2312"/>
          <w:sz w:val="28"/>
          <w:szCs w:val="28"/>
          <w:lang w:val="en-US" w:eastAsia="zh-CN"/>
        </w:rPr>
        <w:t>三</w:t>
      </w:r>
      <w:r>
        <w:rPr>
          <w:rFonts w:hint="eastAsia" w:ascii="仿宋_GB2312" w:eastAsia="仿宋_GB2312"/>
          <w:sz w:val="28"/>
          <w:szCs w:val="28"/>
        </w:rPr>
        <w:t>级区划，以县为单位编制方案，以</w:t>
      </w:r>
      <w:r>
        <w:rPr>
          <w:rFonts w:hint="eastAsia" w:ascii="仿宋_GB2312" w:eastAsia="仿宋_GB2312"/>
          <w:sz w:val="28"/>
          <w:szCs w:val="28"/>
          <w:lang w:val="en-US" w:eastAsia="zh-CN"/>
        </w:rPr>
        <w:t>作业区</w:t>
      </w:r>
      <w:r>
        <w:rPr>
          <w:rFonts w:hint="eastAsia" w:ascii="仿宋_GB2312" w:eastAsia="仿宋_GB2312"/>
          <w:sz w:val="28"/>
          <w:szCs w:val="28"/>
          <w:lang w:eastAsia="zh-CN"/>
        </w:rPr>
        <w:t>为</w:t>
      </w:r>
      <w:r>
        <w:rPr>
          <w:rFonts w:hint="eastAsia" w:ascii="仿宋_GB2312" w:eastAsia="仿宋_GB2312"/>
          <w:sz w:val="28"/>
          <w:szCs w:val="28"/>
        </w:rPr>
        <w:t>单位组织施工，小班是调查实施和组织施工的最小单位，依据</w:t>
      </w:r>
      <w:r>
        <w:rPr>
          <w:rFonts w:hint="eastAsia" w:ascii="仿宋_GB2312" w:eastAsia="仿宋_GB2312"/>
          <w:sz w:val="28"/>
          <w:szCs w:val="28"/>
          <w:lang w:eastAsia="zh-CN"/>
        </w:rPr>
        <w:t>防护林退化类型和退化程度、</w:t>
      </w:r>
      <w:r>
        <w:rPr>
          <w:rFonts w:hint="eastAsia" w:ascii="仿宋_GB2312" w:eastAsia="仿宋_GB2312"/>
          <w:sz w:val="28"/>
          <w:szCs w:val="28"/>
        </w:rPr>
        <w:t>地形地貌，林地类别、林分结构、立地条件等因素区划小班</w:t>
      </w:r>
      <w:r>
        <w:rPr>
          <w:rFonts w:hint="eastAsia" w:ascii="仿宋_GB2312" w:eastAsia="仿宋_GB2312"/>
          <w:sz w:val="28"/>
          <w:szCs w:val="28"/>
          <w:lang w:eastAsia="zh-CN"/>
        </w:rPr>
        <w:t>，主要针对不同退化类型、林分结构和退化程度为主要区划依据</w:t>
      </w:r>
      <w:r>
        <w:rPr>
          <w:rFonts w:hint="eastAsia" w:ascii="仿宋_GB2312" w:eastAsia="仿宋_GB2312"/>
          <w:sz w:val="28"/>
          <w:szCs w:val="28"/>
        </w:rPr>
        <w:t>。</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4.2.3区划结果</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作业区涉及</w:t>
      </w:r>
      <w:r>
        <w:rPr>
          <w:rFonts w:hint="eastAsia" w:ascii="仿宋_GB2312" w:eastAsia="仿宋_GB2312"/>
          <w:sz w:val="28"/>
          <w:szCs w:val="28"/>
          <w:lang w:eastAsia="zh-CN"/>
        </w:rPr>
        <w:t>铁边城</w:t>
      </w:r>
      <w:r>
        <w:rPr>
          <w:rFonts w:hint="eastAsia" w:ascii="仿宋_GB2312" w:eastAsia="仿宋_GB2312"/>
          <w:sz w:val="28"/>
          <w:szCs w:val="28"/>
          <w:lang w:val="en-US" w:eastAsia="zh-CN"/>
        </w:rPr>
        <w:t>1</w:t>
      </w:r>
      <w:r>
        <w:rPr>
          <w:rFonts w:hint="eastAsia" w:ascii="仿宋_GB2312" w:eastAsia="仿宋_GB2312"/>
          <w:sz w:val="28"/>
          <w:szCs w:val="28"/>
        </w:rPr>
        <w:t>个</w:t>
      </w:r>
      <w:r>
        <w:rPr>
          <w:rFonts w:hint="eastAsia" w:ascii="仿宋_GB2312" w:eastAsia="仿宋_GB2312"/>
          <w:sz w:val="28"/>
          <w:szCs w:val="28"/>
          <w:lang w:eastAsia="zh-CN"/>
        </w:rPr>
        <w:t>林场，区划高家峁、刘新庄</w:t>
      </w:r>
      <w:r>
        <w:rPr>
          <w:rFonts w:hint="eastAsia" w:ascii="仿宋_GB2312" w:eastAsia="仿宋_GB2312"/>
          <w:sz w:val="28"/>
          <w:szCs w:val="28"/>
          <w:lang w:val="en-US" w:eastAsia="zh-CN"/>
        </w:rPr>
        <w:t>2个作业区，34</w:t>
      </w:r>
      <w:r>
        <w:rPr>
          <w:rFonts w:hint="eastAsia" w:ascii="仿宋_GB2312" w:eastAsia="仿宋_GB2312"/>
          <w:sz w:val="28"/>
          <w:szCs w:val="28"/>
        </w:rPr>
        <w:t>个</w:t>
      </w:r>
      <w:r>
        <w:rPr>
          <w:rFonts w:hint="eastAsia" w:ascii="仿宋_GB2312" w:eastAsia="仿宋_GB2312"/>
          <w:sz w:val="28"/>
          <w:szCs w:val="28"/>
          <w:lang w:eastAsia="zh-CN"/>
        </w:rPr>
        <w:t>作业</w:t>
      </w:r>
      <w:r>
        <w:rPr>
          <w:rFonts w:hint="eastAsia" w:ascii="仿宋_GB2312" w:eastAsia="仿宋_GB2312"/>
          <w:sz w:val="28"/>
          <w:szCs w:val="28"/>
        </w:rPr>
        <w:t>小班，调查总面积</w:t>
      </w:r>
      <w:r>
        <w:rPr>
          <w:rFonts w:hint="eastAsia" w:ascii="仿宋_GB2312" w:eastAsia="仿宋_GB2312"/>
          <w:sz w:val="28"/>
          <w:szCs w:val="28"/>
          <w:lang w:val="en-US" w:eastAsia="zh-CN"/>
        </w:rPr>
        <w:t>7628.0</w:t>
      </w:r>
      <w:r>
        <w:rPr>
          <w:rFonts w:hint="eastAsia" w:ascii="仿宋_GB2312" w:eastAsia="仿宋_GB2312"/>
          <w:sz w:val="28"/>
          <w:szCs w:val="28"/>
        </w:rPr>
        <w:t>亩，其中作业面积</w:t>
      </w:r>
      <w:r>
        <w:rPr>
          <w:rFonts w:hint="eastAsia" w:ascii="仿宋_GB2312" w:eastAsia="仿宋_GB2312"/>
          <w:sz w:val="28"/>
          <w:szCs w:val="28"/>
          <w:lang w:val="en-US" w:eastAsia="zh-CN"/>
        </w:rPr>
        <w:t>6600.0</w:t>
      </w:r>
      <w:r>
        <w:rPr>
          <w:rFonts w:hint="eastAsia" w:ascii="仿宋_GB2312" w:eastAsia="仿宋_GB2312"/>
          <w:sz w:val="28"/>
          <w:szCs w:val="28"/>
          <w:lang w:eastAsia="zh-CN"/>
        </w:rPr>
        <w:t>亩</w:t>
      </w:r>
      <w:r>
        <w:rPr>
          <w:rFonts w:hint="eastAsia" w:ascii="仿宋_GB2312" w:eastAsia="仿宋_GB2312"/>
          <w:sz w:val="28"/>
          <w:szCs w:val="28"/>
        </w:rPr>
        <w:t>，占作业区总面积的</w:t>
      </w:r>
      <w:r>
        <w:rPr>
          <w:rFonts w:hint="eastAsia" w:ascii="仿宋_GB2312" w:eastAsia="仿宋_GB2312"/>
          <w:sz w:val="28"/>
          <w:szCs w:val="28"/>
          <w:lang w:val="en-US" w:eastAsia="zh-CN"/>
        </w:rPr>
        <w:t>86.52</w:t>
      </w:r>
      <w:r>
        <w:rPr>
          <w:rFonts w:hint="eastAsia" w:ascii="仿宋_GB2312" w:eastAsia="仿宋_GB2312"/>
          <w:sz w:val="28"/>
          <w:szCs w:val="28"/>
        </w:rPr>
        <w:t>%。非作业面积</w:t>
      </w:r>
      <w:r>
        <w:rPr>
          <w:rFonts w:hint="eastAsia" w:ascii="仿宋_GB2312" w:eastAsia="仿宋_GB2312"/>
          <w:sz w:val="28"/>
          <w:szCs w:val="28"/>
          <w:lang w:val="en-US" w:eastAsia="zh-CN"/>
        </w:rPr>
        <w:t>1028.0</w:t>
      </w:r>
      <w:r>
        <w:rPr>
          <w:rFonts w:hint="eastAsia" w:ascii="仿宋_GB2312" w:eastAsia="仿宋_GB2312"/>
          <w:sz w:val="28"/>
          <w:szCs w:val="28"/>
        </w:rPr>
        <w:t>亩，主要为</w:t>
      </w:r>
      <w:r>
        <w:rPr>
          <w:rFonts w:hint="eastAsia" w:ascii="仿宋_GB2312" w:eastAsia="仿宋_GB2312"/>
          <w:sz w:val="28"/>
          <w:szCs w:val="28"/>
          <w:lang w:eastAsia="zh-CN"/>
        </w:rPr>
        <w:t>项目区内小块耕地、生产道路及坡度较陡难以作业地块</w:t>
      </w:r>
      <w:r>
        <w:rPr>
          <w:rFonts w:hint="eastAsia" w:ascii="仿宋_GB2312" w:eastAsia="仿宋_GB2312"/>
          <w:sz w:val="28"/>
          <w:szCs w:val="28"/>
        </w:rPr>
        <w:t>。</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4.2.3土地权属</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作业区</w:t>
      </w:r>
      <w:r>
        <w:rPr>
          <w:rFonts w:hint="eastAsia" w:ascii="仿宋_GB2312" w:eastAsia="仿宋_GB2312"/>
          <w:sz w:val="28"/>
          <w:szCs w:val="28"/>
        </w:rPr>
        <w:t>土地权属</w:t>
      </w:r>
      <w:r>
        <w:rPr>
          <w:rFonts w:hint="eastAsia" w:ascii="仿宋_GB2312" w:eastAsia="仿宋_GB2312"/>
          <w:sz w:val="28"/>
          <w:szCs w:val="28"/>
          <w:lang w:eastAsia="zh-CN"/>
        </w:rPr>
        <w:t>全部为铁边城国有林</w:t>
      </w:r>
      <w:r>
        <w:rPr>
          <w:rFonts w:hint="eastAsia" w:ascii="仿宋_GB2312" w:eastAsia="仿宋_GB2312"/>
          <w:sz w:val="28"/>
          <w:szCs w:val="28"/>
          <w:lang w:val="en-US" w:eastAsia="zh-CN"/>
        </w:rPr>
        <w:t>地</w:t>
      </w:r>
      <w:r>
        <w:rPr>
          <w:rFonts w:hint="eastAsia" w:ascii="仿宋_GB2312" w:eastAsia="仿宋_GB2312"/>
          <w:sz w:val="28"/>
          <w:szCs w:val="28"/>
          <w:lang w:eastAsia="zh-CN"/>
        </w:rPr>
        <w:t>，权属清晰</w:t>
      </w:r>
      <w:r>
        <w:rPr>
          <w:rFonts w:hint="eastAsia" w:ascii="仿宋_GB2312" w:eastAsia="仿宋_GB2312"/>
          <w:sz w:val="28"/>
          <w:szCs w:val="28"/>
        </w:rPr>
        <w:t>。</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79" w:name="_Toc17549"/>
      <w:bookmarkStart w:id="280" w:name="_Toc8308"/>
      <w:bookmarkStart w:id="281" w:name="_Toc8962"/>
      <w:r>
        <w:rPr>
          <w:rFonts w:hint="eastAsia" w:ascii="黑体" w:hAnsi="黑体"/>
          <w:b/>
          <w:bCs/>
          <w:sz w:val="30"/>
          <w:szCs w:val="30"/>
          <w:lang w:val="en-US" w:eastAsia="zh-CN"/>
        </w:rPr>
        <w:t>4.3树种选择</w:t>
      </w:r>
      <w:bookmarkEnd w:id="279"/>
      <w:bookmarkEnd w:id="280"/>
      <w:bookmarkEnd w:id="281"/>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4.3.1选择原则</w:t>
      </w:r>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b w:val="0"/>
          <w:bCs/>
          <w:sz w:val="28"/>
          <w:szCs w:val="28"/>
        </w:rPr>
        <w:t>(</w:t>
      </w:r>
      <w:r>
        <w:rPr>
          <w:rFonts w:hint="eastAsia" w:ascii="仿宋_GB2312" w:eastAsia="仿宋_GB2312"/>
          <w:b w:val="0"/>
          <w:bCs/>
          <w:sz w:val="28"/>
          <w:szCs w:val="28"/>
          <w:lang w:val="en-US" w:eastAsia="zh-CN"/>
        </w:rPr>
        <w:t>1</w:t>
      </w:r>
      <w:r>
        <w:rPr>
          <w:rFonts w:hint="eastAsia" w:ascii="仿宋_GB2312" w:eastAsia="仿宋_GB2312"/>
          <w:b w:val="0"/>
          <w:bCs/>
          <w:sz w:val="28"/>
          <w:szCs w:val="28"/>
        </w:rPr>
        <w:t>)</w:t>
      </w:r>
      <w:r>
        <w:rPr>
          <w:rFonts w:hint="eastAsia" w:ascii="仿宋_GB2312" w:eastAsia="仿宋_GB2312"/>
          <w:b w:val="0"/>
          <w:bCs/>
          <w:sz w:val="28"/>
          <w:szCs w:val="28"/>
          <w:lang w:eastAsia="zh-CN"/>
        </w:rPr>
        <w:t>优先考虑</w:t>
      </w:r>
      <w:r>
        <w:rPr>
          <w:rFonts w:hint="eastAsia" w:ascii="仿宋_GB2312" w:eastAsia="仿宋_GB2312"/>
          <w:sz w:val="28"/>
          <w:szCs w:val="28"/>
        </w:rPr>
        <w:t>耐干旱优良乡土树种</w:t>
      </w:r>
      <w:r>
        <w:rPr>
          <w:rFonts w:hint="eastAsia" w:ascii="仿宋_GB2312" w:eastAsia="仿宋_GB2312"/>
          <w:sz w:val="28"/>
          <w:szCs w:val="28"/>
          <w:lang w:eastAsia="zh-CN"/>
        </w:rPr>
        <w:t>，注重适地适树；</w:t>
      </w:r>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b w:val="0"/>
          <w:bCs/>
          <w:sz w:val="28"/>
          <w:szCs w:val="28"/>
        </w:rPr>
        <w:t>(2)</w:t>
      </w:r>
      <w:r>
        <w:rPr>
          <w:rFonts w:hint="eastAsia" w:ascii="仿宋_GB2312" w:eastAsia="仿宋_GB2312"/>
          <w:b w:val="0"/>
          <w:bCs/>
          <w:sz w:val="28"/>
          <w:szCs w:val="28"/>
          <w:lang w:eastAsia="zh-CN"/>
        </w:rPr>
        <w:t>加大</w:t>
      </w:r>
      <w:r>
        <w:rPr>
          <w:rFonts w:hint="eastAsia" w:ascii="仿宋_GB2312" w:eastAsia="仿宋_GB2312"/>
          <w:sz w:val="28"/>
          <w:szCs w:val="28"/>
        </w:rPr>
        <w:t>常绿树种</w:t>
      </w:r>
      <w:r>
        <w:rPr>
          <w:rFonts w:hint="eastAsia" w:ascii="仿宋_GB2312" w:eastAsia="仿宋_GB2312"/>
          <w:sz w:val="28"/>
          <w:szCs w:val="28"/>
          <w:lang w:eastAsia="zh-CN"/>
        </w:rPr>
        <w:t>比例，培育针阔</w:t>
      </w:r>
      <w:r>
        <w:rPr>
          <w:rFonts w:hint="eastAsia" w:ascii="仿宋_GB2312" w:eastAsia="仿宋_GB2312"/>
          <w:sz w:val="28"/>
          <w:szCs w:val="28"/>
        </w:rPr>
        <w:t>混交</w:t>
      </w:r>
      <w:r>
        <w:rPr>
          <w:rFonts w:hint="eastAsia" w:ascii="仿宋_GB2312" w:eastAsia="仿宋_GB2312"/>
          <w:sz w:val="28"/>
          <w:szCs w:val="28"/>
          <w:lang w:eastAsia="zh-CN"/>
        </w:rPr>
        <w:t>林；</w:t>
      </w:r>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b w:val="0"/>
          <w:bCs/>
          <w:sz w:val="28"/>
          <w:szCs w:val="28"/>
        </w:rPr>
        <w:t>(</w:t>
      </w:r>
      <w:r>
        <w:rPr>
          <w:rFonts w:hint="eastAsia" w:ascii="仿宋_GB2312" w:eastAsia="仿宋_GB2312"/>
          <w:b w:val="0"/>
          <w:bCs/>
          <w:sz w:val="28"/>
          <w:szCs w:val="28"/>
          <w:lang w:val="en-US" w:eastAsia="zh-CN"/>
        </w:rPr>
        <w:t>3</w:t>
      </w:r>
      <w:r>
        <w:rPr>
          <w:rFonts w:hint="eastAsia" w:ascii="仿宋_GB2312" w:eastAsia="仿宋_GB2312"/>
          <w:b w:val="0"/>
          <w:bCs/>
          <w:sz w:val="28"/>
          <w:szCs w:val="28"/>
        </w:rPr>
        <w:t>)</w:t>
      </w:r>
      <w:r>
        <w:rPr>
          <w:rFonts w:hint="eastAsia" w:ascii="仿宋_GB2312" w:eastAsia="仿宋_GB2312"/>
          <w:b w:val="0"/>
          <w:bCs/>
          <w:sz w:val="28"/>
          <w:szCs w:val="28"/>
          <w:lang w:eastAsia="zh-CN"/>
        </w:rPr>
        <w:t>侧重选育抗逆、耐瘠薄、萌芽性强树种；</w:t>
      </w:r>
    </w:p>
    <w:p>
      <w:pPr>
        <w:spacing w:line="560" w:lineRule="exact"/>
        <w:ind w:firstLine="560" w:firstLineChars="200"/>
        <w:rPr>
          <w:rFonts w:hint="eastAsia" w:ascii="仿宋_GB2312" w:eastAsia="仿宋_GB2312"/>
          <w:sz w:val="28"/>
          <w:szCs w:val="28"/>
        </w:rPr>
      </w:pPr>
      <w:r>
        <w:rPr>
          <w:rFonts w:hint="eastAsia" w:ascii="仿宋_GB2312" w:eastAsia="仿宋_GB2312"/>
          <w:b w:val="0"/>
          <w:bCs/>
          <w:sz w:val="28"/>
          <w:szCs w:val="28"/>
        </w:rPr>
        <w:t>(</w:t>
      </w:r>
      <w:r>
        <w:rPr>
          <w:rFonts w:hint="eastAsia" w:ascii="仿宋_GB2312" w:eastAsia="仿宋_GB2312"/>
          <w:b w:val="0"/>
          <w:bCs/>
          <w:sz w:val="28"/>
          <w:szCs w:val="28"/>
          <w:lang w:val="en-US" w:eastAsia="zh-CN"/>
        </w:rPr>
        <w:t>4</w:t>
      </w:r>
      <w:r>
        <w:rPr>
          <w:rFonts w:hint="eastAsia" w:ascii="仿宋_GB2312" w:eastAsia="仿宋_GB2312"/>
          <w:b w:val="0"/>
          <w:bCs/>
          <w:sz w:val="28"/>
          <w:szCs w:val="28"/>
        </w:rPr>
        <w:t>)</w:t>
      </w:r>
      <w:r>
        <w:rPr>
          <w:rFonts w:hint="eastAsia" w:ascii="仿宋_GB2312" w:eastAsia="仿宋_GB2312"/>
          <w:b w:val="0"/>
          <w:bCs/>
          <w:sz w:val="28"/>
          <w:szCs w:val="28"/>
          <w:lang w:eastAsia="zh-CN"/>
        </w:rPr>
        <w:t>生态效益为主，兼顾经济效益和景观效果。</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4.3.2补造树种</w:t>
      </w:r>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根据树种选择原则和树种的生物学特性，经过筛选，退化林修复改造树种主要为油松、山杏、山桃。</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82" w:name="_Toc19361"/>
      <w:bookmarkStart w:id="283" w:name="_Toc8838"/>
      <w:r>
        <w:rPr>
          <w:rFonts w:hint="eastAsia" w:ascii="黑体" w:hAnsi="黑体"/>
          <w:b/>
          <w:bCs/>
          <w:sz w:val="30"/>
          <w:szCs w:val="30"/>
          <w:lang w:val="en-US" w:eastAsia="zh-CN"/>
        </w:rPr>
        <w:t>4.4修复类型与方式</w:t>
      </w:r>
      <w:bookmarkEnd w:id="282"/>
      <w:bookmarkEnd w:id="283"/>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修复类型与方式，按照《退化防护林修复技术规程（LY/T3179-2020）》进行分类划分。</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4.4.1更替修复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4.4.1.1修复对象</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适用于重度退化人工防护林，且天然更新等级不良的山杏纯林，山杏+山杨、山杏+山桃、山杏+柠条（沙棘）及山杏+山杨+山桃+柠条(沙棘）混交林。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4.4.1.2修复方式</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采取林冠下造林更新。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4.4.1.3修复面积</w:t>
      </w:r>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lang w:val="en-US" w:eastAsia="zh-CN"/>
        </w:rPr>
        <w:t>涉及2个作业区的16个小班，修复面积3430.0亩。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4.4.1.4技术要求</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a）在退化林分的林冠下，以植苗造林为主，培育更新林层；</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b）待更新林层形成后再伐除其上层非培育对象林木，为了降低采伐对新造幼苗造成的损害或林业有害生物对新造幼苗散播传染危害，造林前应对林分内现有的显著影响林分卫生条件且对生态无辅助作用的枯死木、濒死木、受害木先行伐除；</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c）选择幼龄耐荫、能够在林冠下正常生长发育、并与林地上已有幼苗幼树共生的树种更新，便于与保留的目的树种形成稳定的森林生态系统。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4.4.1.5修复模式</w:t>
      </w:r>
    </w:p>
    <w:p>
      <w:pPr>
        <w:spacing w:line="560" w:lineRule="exact"/>
        <w:ind w:firstLine="562" w:firstLineChars="200"/>
        <w:rPr>
          <w:rFonts w:hint="eastAsia" w:ascii="仿宋_GB2312" w:eastAsia="仿宋_GB2312"/>
          <w:b/>
          <w:sz w:val="28"/>
          <w:szCs w:val="28"/>
          <w:lang w:eastAsia="zh-CN"/>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1</w:t>
      </w:r>
      <w:r>
        <w:rPr>
          <w:rFonts w:hint="eastAsia" w:ascii="仿宋_GB2312" w:eastAsia="仿宋_GB2312"/>
          <w:b/>
          <w:sz w:val="28"/>
          <w:szCs w:val="28"/>
          <w:lang w:eastAsia="zh-CN"/>
        </w:rPr>
        <w:t>）</w:t>
      </w:r>
      <w:r>
        <w:rPr>
          <w:rFonts w:hint="eastAsia" w:ascii="仿宋_GB2312" w:eastAsia="仿宋_GB2312"/>
          <w:b/>
          <w:sz w:val="28"/>
          <w:szCs w:val="28"/>
          <w:lang w:val="en-US" w:eastAsia="zh-CN"/>
        </w:rPr>
        <w:t>山杏</w:t>
      </w:r>
      <w:r>
        <w:rPr>
          <w:rFonts w:hint="eastAsia" w:ascii="仿宋_GB2312" w:eastAsia="仿宋_GB2312"/>
          <w:b/>
          <w:sz w:val="28"/>
          <w:szCs w:val="28"/>
          <w:lang w:eastAsia="zh-CN"/>
        </w:rPr>
        <w:t>纯林</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eastAsia="zh-CN"/>
        </w:rPr>
        <w:t>乔木纯林主要分布于梁峁坡、沟谷坡，坡度一般在</w:t>
      </w:r>
      <w:r>
        <w:rPr>
          <w:rFonts w:hint="eastAsia" w:ascii="仿宋_GB2312" w:eastAsia="仿宋_GB2312"/>
          <w:sz w:val="28"/>
          <w:szCs w:val="28"/>
          <w:lang w:val="en-US" w:eastAsia="zh-CN"/>
        </w:rPr>
        <w:t>25</w:t>
      </w:r>
      <w:r>
        <w:rPr>
          <w:rFonts w:hint="eastAsia" w:ascii="仿宋_GB2312" w:eastAsia="仿宋_GB2312"/>
          <w:sz w:val="28"/>
          <w:szCs w:val="28"/>
          <w:vertAlign w:val="superscript"/>
          <w:lang w:val="en-US" w:eastAsia="zh-CN"/>
        </w:rPr>
        <w:t>0</w:t>
      </w:r>
      <w:r>
        <w:rPr>
          <w:rFonts w:hint="eastAsia" w:ascii="仿宋_GB2312" w:eastAsia="仿宋_GB2312"/>
          <w:sz w:val="28"/>
          <w:szCs w:val="28"/>
          <w:vertAlign w:val="baseline"/>
          <w:lang w:val="en-US" w:eastAsia="zh-CN"/>
        </w:rPr>
        <w:t>以下，</w:t>
      </w:r>
      <w:r>
        <w:rPr>
          <w:rFonts w:hint="eastAsia" w:ascii="仿宋_GB2312" w:eastAsia="仿宋_GB2312"/>
          <w:sz w:val="28"/>
          <w:szCs w:val="28"/>
          <w:lang w:eastAsia="zh-CN"/>
        </w:rPr>
        <w:t>立地条件一般，林木退化主要表现为林木分布不均，更新不良，生长衰退，防护功能下降</w:t>
      </w:r>
      <w:r>
        <w:rPr>
          <w:rFonts w:hint="eastAsia" w:ascii="仿宋_GB2312" w:eastAsia="仿宋_GB2312"/>
          <w:sz w:val="28"/>
          <w:szCs w:val="28"/>
          <w:lang w:val="en-US" w:eastAsia="zh-CN"/>
        </w:rPr>
        <w:t>。</w:t>
      </w:r>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修复措施采用“见缝插针”</w:t>
      </w:r>
      <w:r>
        <w:rPr>
          <w:rFonts w:hint="eastAsia" w:ascii="仿宋_GB2312" w:eastAsia="仿宋_GB2312"/>
          <w:sz w:val="28"/>
          <w:szCs w:val="28"/>
          <w:lang w:val="en-US" w:eastAsia="zh-CN"/>
        </w:rPr>
        <w:t>栽针保阔</w:t>
      </w:r>
      <w:r>
        <w:rPr>
          <w:rFonts w:hint="eastAsia" w:ascii="仿宋_GB2312" w:eastAsia="仿宋_GB2312"/>
          <w:sz w:val="28"/>
          <w:szCs w:val="28"/>
          <w:lang w:eastAsia="zh-CN"/>
        </w:rPr>
        <w:t>的精准方式补植油松，同时，针对刺槐、杨树自然整枝不良，林间卫生差，以及存在的枯立木和濒死木及部分植株生长量小的不良植株，采取一定的抚育修复措施。最终培育为针阔叶混交林。</w:t>
      </w:r>
      <w:r>
        <w:rPr>
          <w:rFonts w:hint="eastAsia" w:ascii="仿宋_GB2312" w:eastAsia="仿宋_GB2312"/>
          <w:sz w:val="28"/>
          <w:szCs w:val="28"/>
        </w:rPr>
        <w:t>坡度较缓的地</w:t>
      </w:r>
      <w:r>
        <w:rPr>
          <w:rFonts w:hint="eastAsia" w:ascii="仿宋_GB2312" w:eastAsia="仿宋_GB2312"/>
          <w:sz w:val="28"/>
          <w:szCs w:val="28"/>
          <w:lang w:eastAsia="zh-CN"/>
        </w:rPr>
        <w:t>段</w:t>
      </w:r>
      <w:r>
        <w:rPr>
          <w:rFonts w:hint="eastAsia" w:ascii="仿宋_GB2312" w:eastAsia="仿宋_GB2312"/>
          <w:sz w:val="28"/>
          <w:szCs w:val="28"/>
        </w:rPr>
        <w:t>采用</w:t>
      </w:r>
      <w:r>
        <w:rPr>
          <w:rFonts w:hint="eastAsia" w:ascii="仿宋_GB2312" w:eastAsia="仿宋_GB2312"/>
          <w:sz w:val="28"/>
          <w:szCs w:val="28"/>
          <w:lang w:eastAsia="zh-CN"/>
        </w:rPr>
        <w:t>品字形</w:t>
      </w:r>
      <w:r>
        <w:rPr>
          <w:rFonts w:hint="eastAsia" w:ascii="仿宋_GB2312" w:eastAsia="仿宋_GB2312"/>
          <w:sz w:val="28"/>
          <w:szCs w:val="28"/>
        </w:rPr>
        <w:t>配置，块状混交，株行距</w:t>
      </w:r>
      <w:r>
        <w:rPr>
          <w:rFonts w:hint="eastAsia" w:ascii="仿宋_GB2312" w:eastAsia="仿宋_GB2312"/>
          <w:sz w:val="28"/>
          <w:szCs w:val="28"/>
          <w:lang w:eastAsia="zh-CN"/>
        </w:rPr>
        <w:t>保持与现有树种一致，一般</w:t>
      </w:r>
      <w:r>
        <w:rPr>
          <w:rFonts w:hint="eastAsia" w:ascii="仿宋_GB2312" w:eastAsia="仿宋_GB2312"/>
          <w:sz w:val="28"/>
          <w:szCs w:val="28"/>
        </w:rPr>
        <w:t>为</w:t>
      </w:r>
      <w:r>
        <w:rPr>
          <w:rFonts w:hint="eastAsia" w:ascii="仿宋_GB2312" w:eastAsia="仿宋_GB2312"/>
          <w:sz w:val="28"/>
          <w:szCs w:val="28"/>
          <w:lang w:val="en-US" w:eastAsia="zh-CN"/>
        </w:rPr>
        <w:t>2</w:t>
      </w:r>
      <w:r>
        <w:rPr>
          <w:rFonts w:hint="eastAsia" w:ascii="仿宋_GB2312" w:eastAsia="仿宋_GB2312"/>
          <w:sz w:val="28"/>
          <w:szCs w:val="28"/>
        </w:rPr>
        <w:t>×3</w:t>
      </w:r>
      <w:r>
        <w:rPr>
          <w:rFonts w:hint="eastAsia" w:ascii="仿宋_GB2312" w:eastAsia="仿宋_GB2312"/>
          <w:sz w:val="28"/>
          <w:szCs w:val="28"/>
          <w:lang w:eastAsia="zh-CN"/>
        </w:rPr>
        <w:t>－</w:t>
      </w:r>
      <w:r>
        <w:rPr>
          <w:rFonts w:hint="eastAsia" w:ascii="仿宋_GB2312" w:eastAsia="仿宋_GB2312"/>
          <w:sz w:val="28"/>
          <w:szCs w:val="28"/>
          <w:lang w:val="en-US" w:eastAsia="zh-CN"/>
        </w:rPr>
        <w:t>3</w:t>
      </w:r>
      <w:r>
        <w:rPr>
          <w:rFonts w:hint="eastAsia" w:ascii="仿宋_GB2312" w:eastAsia="仿宋_GB2312"/>
          <w:sz w:val="28"/>
          <w:szCs w:val="28"/>
        </w:rPr>
        <w:t>×3m；在坡面破碎的地段，栽植坑的位置灵活掌握，不拘于株行距的规定，但要保证单位面积上的栽植点的数量</w:t>
      </w:r>
      <w:r>
        <w:rPr>
          <w:rFonts w:hint="eastAsia" w:ascii="仿宋_GB2312" w:eastAsia="仿宋_GB2312"/>
          <w:sz w:val="28"/>
          <w:szCs w:val="28"/>
          <w:lang w:eastAsia="zh-CN"/>
        </w:rPr>
        <w:t>，一般不低于</w:t>
      </w:r>
      <w:r>
        <w:rPr>
          <w:rFonts w:hint="eastAsia" w:ascii="仿宋_GB2312" w:eastAsia="仿宋_GB2312"/>
          <w:sz w:val="28"/>
          <w:szCs w:val="28"/>
          <w:lang w:val="en-US" w:eastAsia="zh-CN"/>
        </w:rPr>
        <w:t>74株（穴）</w:t>
      </w:r>
      <w:r>
        <w:rPr>
          <w:rFonts w:hint="eastAsia" w:ascii="仿宋_GB2312" w:eastAsia="仿宋_GB2312"/>
          <w:sz w:val="28"/>
          <w:szCs w:val="28"/>
        </w:rPr>
        <w:t>/亩</w:t>
      </w:r>
      <w:r>
        <w:rPr>
          <w:rFonts w:hint="eastAsia" w:ascii="仿宋_GB2312" w:eastAsia="仿宋_GB2312"/>
          <w:sz w:val="28"/>
          <w:szCs w:val="28"/>
          <w:lang w:eastAsia="zh-CN"/>
        </w:rPr>
        <w:t>（补植后）</w:t>
      </w:r>
      <w:r>
        <w:rPr>
          <w:rFonts w:hint="eastAsia" w:ascii="仿宋_GB2312" w:eastAsia="仿宋_GB2312"/>
          <w:sz w:val="28"/>
          <w:szCs w:val="28"/>
        </w:rPr>
        <w:t>。采用</w:t>
      </w:r>
      <w:r>
        <w:rPr>
          <w:rFonts w:hint="eastAsia" w:ascii="仿宋_GB2312" w:eastAsia="仿宋_GB2312"/>
          <w:sz w:val="28"/>
          <w:szCs w:val="28"/>
          <w:lang w:eastAsia="zh-CN"/>
        </w:rPr>
        <w:t>鱼鳞坑</w:t>
      </w:r>
      <w:r>
        <w:rPr>
          <w:rFonts w:hint="eastAsia" w:ascii="仿宋_GB2312" w:eastAsia="仿宋_GB2312"/>
          <w:sz w:val="28"/>
          <w:szCs w:val="28"/>
        </w:rPr>
        <w:t>整地，规格为</w:t>
      </w:r>
      <w:r>
        <w:rPr>
          <w:rFonts w:hint="eastAsia" w:ascii="仿宋_GB2312" w:eastAsia="仿宋_GB2312"/>
          <w:sz w:val="28"/>
          <w:szCs w:val="28"/>
          <w:lang w:val="en-US" w:eastAsia="zh-CN"/>
        </w:rPr>
        <w:t>油松8</w:t>
      </w:r>
      <w:r>
        <w:rPr>
          <w:rFonts w:hint="eastAsia" w:ascii="仿宋_GB2312" w:eastAsia="仿宋_GB2312"/>
          <w:sz w:val="28"/>
          <w:szCs w:val="28"/>
        </w:rPr>
        <w:t>0×</w:t>
      </w:r>
      <w:r>
        <w:rPr>
          <w:rFonts w:hint="eastAsia" w:ascii="仿宋_GB2312" w:eastAsia="仿宋_GB2312"/>
          <w:sz w:val="28"/>
          <w:szCs w:val="28"/>
          <w:lang w:val="en-US" w:eastAsia="zh-CN"/>
        </w:rPr>
        <w:t>6</w:t>
      </w:r>
      <w:r>
        <w:rPr>
          <w:rFonts w:hint="eastAsia" w:ascii="仿宋_GB2312" w:eastAsia="仿宋_GB2312"/>
          <w:sz w:val="28"/>
          <w:szCs w:val="28"/>
        </w:rPr>
        <w:t>0×</w:t>
      </w:r>
      <w:r>
        <w:rPr>
          <w:rFonts w:hint="eastAsia" w:ascii="仿宋_GB2312" w:eastAsia="仿宋_GB2312"/>
          <w:sz w:val="28"/>
          <w:szCs w:val="28"/>
          <w:lang w:val="en-US" w:eastAsia="zh-CN"/>
        </w:rPr>
        <w:t>4</w:t>
      </w:r>
      <w:r>
        <w:rPr>
          <w:rFonts w:hint="eastAsia" w:ascii="仿宋_GB2312" w:eastAsia="仿宋_GB2312"/>
          <w:sz w:val="28"/>
          <w:szCs w:val="28"/>
        </w:rPr>
        <w:t>0cm。</w:t>
      </w:r>
      <w:r>
        <w:rPr>
          <w:rFonts w:hint="eastAsia" w:ascii="仿宋_GB2312" w:eastAsia="仿宋_GB2312"/>
          <w:sz w:val="28"/>
          <w:szCs w:val="28"/>
          <w:lang w:val="en-US" w:eastAsia="zh-CN"/>
        </w:rPr>
        <w:t>选用油松2-3</w:t>
      </w:r>
      <w:r>
        <w:rPr>
          <w:rFonts w:hint="eastAsia" w:ascii="仿宋_GB2312" w:eastAsia="仿宋_GB2312"/>
          <w:sz w:val="28"/>
          <w:szCs w:val="28"/>
          <w:lang w:eastAsia="zh-CN"/>
        </w:rPr>
        <w:t>年生容器苗，苗高</w:t>
      </w:r>
      <w:r>
        <w:rPr>
          <w:rFonts w:hint="eastAsia" w:ascii="仿宋_GB2312" w:eastAsia="仿宋_GB2312"/>
          <w:sz w:val="28"/>
          <w:szCs w:val="28"/>
          <w:lang w:val="en-US" w:eastAsia="zh-CN"/>
        </w:rPr>
        <w:t>15</w:t>
      </w:r>
      <w:r>
        <w:rPr>
          <w:rFonts w:hint="eastAsia" w:ascii="仿宋_GB2312" w:eastAsia="仿宋_GB2312"/>
          <w:sz w:val="28"/>
          <w:szCs w:val="28"/>
          <w:lang w:eastAsia="zh-CN"/>
        </w:rPr>
        <w:t>cm以上，地径0.</w:t>
      </w:r>
      <w:r>
        <w:rPr>
          <w:rFonts w:hint="eastAsia" w:ascii="仿宋_GB2312" w:eastAsia="仿宋_GB2312"/>
          <w:sz w:val="28"/>
          <w:szCs w:val="28"/>
          <w:lang w:val="en-US" w:eastAsia="zh-CN"/>
        </w:rPr>
        <w:t>3</w:t>
      </w:r>
      <w:r>
        <w:rPr>
          <w:rFonts w:hint="eastAsia" w:ascii="仿宋_GB2312" w:eastAsia="仿宋_GB2312"/>
          <w:sz w:val="28"/>
          <w:szCs w:val="28"/>
          <w:lang w:eastAsia="zh-CN"/>
        </w:rPr>
        <w:t>cm以上；山杏（山桃）选用</w:t>
      </w:r>
      <w:r>
        <w:rPr>
          <w:rFonts w:hint="eastAsia" w:ascii="仿宋_GB2312" w:eastAsia="仿宋_GB2312"/>
          <w:sz w:val="28"/>
          <w:szCs w:val="28"/>
          <w:lang w:val="en-US" w:eastAsia="zh-CN"/>
        </w:rPr>
        <w:t>1-2年生播种苗，苗高大于40cm，</w:t>
      </w:r>
      <w:r>
        <w:rPr>
          <w:rFonts w:hint="eastAsia" w:ascii="仿宋_GB2312" w:eastAsia="仿宋_GB2312"/>
          <w:sz w:val="28"/>
          <w:szCs w:val="28"/>
          <w:lang w:eastAsia="zh-CN"/>
        </w:rPr>
        <w:t>地径0.</w:t>
      </w:r>
      <w:r>
        <w:rPr>
          <w:rFonts w:hint="eastAsia" w:ascii="仿宋_GB2312" w:eastAsia="仿宋_GB2312"/>
          <w:sz w:val="28"/>
          <w:szCs w:val="28"/>
          <w:lang w:val="en-US" w:eastAsia="zh-CN"/>
        </w:rPr>
        <w:t>6</w:t>
      </w:r>
      <w:r>
        <w:rPr>
          <w:rFonts w:hint="eastAsia" w:ascii="仿宋_GB2312" w:eastAsia="仿宋_GB2312"/>
          <w:sz w:val="28"/>
          <w:szCs w:val="28"/>
          <w:lang w:eastAsia="zh-CN"/>
        </w:rPr>
        <w:t>cm以上。</w:t>
      </w:r>
    </w:p>
    <w:p>
      <w:pPr>
        <w:numPr>
          <w:ilvl w:val="0"/>
          <w:numId w:val="2"/>
        </w:numPr>
        <w:spacing w:line="560" w:lineRule="exact"/>
        <w:ind w:firstLine="562" w:firstLineChars="200"/>
        <w:rPr>
          <w:rFonts w:hint="eastAsia" w:ascii="仿宋_GB2312" w:eastAsia="仿宋_GB2312"/>
          <w:b/>
          <w:sz w:val="28"/>
          <w:szCs w:val="28"/>
          <w:lang w:eastAsia="zh-CN"/>
        </w:rPr>
      </w:pPr>
      <w:r>
        <w:rPr>
          <w:rFonts w:hint="eastAsia" w:ascii="仿宋_GB2312" w:eastAsia="仿宋_GB2312"/>
          <w:b/>
          <w:sz w:val="28"/>
          <w:szCs w:val="28"/>
          <w:lang w:val="en-US" w:eastAsia="zh-CN"/>
        </w:rPr>
        <w:t>山杏+山桃（柠条、沙棘）混交林</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eastAsia="zh-CN"/>
        </w:rPr>
        <w:t>该林分主要分布于梁峁顶、梁峁坡，</w:t>
      </w:r>
      <w:r>
        <w:rPr>
          <w:rFonts w:hint="eastAsia" w:ascii="仿宋_GB2312" w:eastAsia="仿宋_GB2312"/>
          <w:sz w:val="28"/>
          <w:szCs w:val="28"/>
          <w:lang w:val="en-US" w:eastAsia="zh-CN"/>
        </w:rPr>
        <w:t>其中山杏、山桃分布于</w:t>
      </w:r>
      <w:r>
        <w:rPr>
          <w:rFonts w:hint="eastAsia" w:ascii="仿宋_GB2312" w:eastAsia="仿宋_GB2312"/>
          <w:sz w:val="28"/>
          <w:szCs w:val="28"/>
          <w:lang w:eastAsia="zh-CN"/>
        </w:rPr>
        <w:t>梁峁顶、梁峁坡，坡度一般在</w:t>
      </w:r>
      <w:r>
        <w:rPr>
          <w:rFonts w:hint="eastAsia" w:ascii="仿宋_GB2312" w:eastAsia="仿宋_GB2312"/>
          <w:sz w:val="28"/>
          <w:szCs w:val="28"/>
          <w:lang w:val="en-US" w:eastAsia="zh-CN"/>
        </w:rPr>
        <w:t>15-25</w:t>
      </w:r>
      <w:r>
        <w:rPr>
          <w:rFonts w:hint="eastAsia" w:ascii="仿宋_GB2312" w:eastAsia="仿宋_GB2312"/>
          <w:sz w:val="28"/>
          <w:szCs w:val="28"/>
          <w:vertAlign w:val="superscript"/>
          <w:lang w:val="en-US" w:eastAsia="zh-CN"/>
        </w:rPr>
        <w:t>0</w:t>
      </w:r>
      <w:r>
        <w:rPr>
          <w:rFonts w:hint="eastAsia" w:ascii="仿宋_GB2312" w:eastAsia="仿宋_GB2312"/>
          <w:sz w:val="28"/>
          <w:szCs w:val="28"/>
          <w:vertAlign w:val="baseline"/>
          <w:lang w:val="en-US" w:eastAsia="zh-CN"/>
        </w:rPr>
        <w:t>；</w:t>
      </w:r>
      <w:r>
        <w:rPr>
          <w:rFonts w:hint="eastAsia" w:ascii="仿宋_GB2312" w:eastAsia="仿宋_GB2312"/>
          <w:sz w:val="28"/>
          <w:szCs w:val="28"/>
          <w:lang w:val="en-US" w:eastAsia="zh-CN"/>
        </w:rPr>
        <w:t>柠条（沙棘）块状分布于</w:t>
      </w:r>
      <w:r>
        <w:rPr>
          <w:rFonts w:hint="eastAsia" w:ascii="仿宋_GB2312" w:eastAsia="仿宋_GB2312"/>
          <w:sz w:val="28"/>
          <w:szCs w:val="28"/>
          <w:lang w:eastAsia="zh-CN"/>
        </w:rPr>
        <w:t>梁峁坡</w:t>
      </w:r>
      <w:r>
        <w:rPr>
          <w:rFonts w:hint="eastAsia" w:ascii="仿宋_GB2312" w:eastAsia="仿宋_GB2312"/>
          <w:sz w:val="28"/>
          <w:szCs w:val="28"/>
          <w:lang w:val="en-US" w:eastAsia="zh-CN"/>
        </w:rPr>
        <w:t>及侵蚀沟沿线上下，</w:t>
      </w:r>
      <w:r>
        <w:rPr>
          <w:rFonts w:hint="eastAsia" w:ascii="仿宋_GB2312" w:eastAsia="仿宋_GB2312"/>
          <w:sz w:val="28"/>
          <w:szCs w:val="28"/>
          <w:lang w:eastAsia="zh-CN"/>
        </w:rPr>
        <w:t>坡度一般在</w:t>
      </w:r>
      <w:r>
        <w:rPr>
          <w:rFonts w:hint="eastAsia" w:ascii="仿宋_GB2312" w:eastAsia="仿宋_GB2312"/>
          <w:sz w:val="28"/>
          <w:szCs w:val="28"/>
          <w:lang w:val="en-US" w:eastAsia="zh-CN"/>
        </w:rPr>
        <w:t>20-30</w:t>
      </w:r>
      <w:r>
        <w:rPr>
          <w:rFonts w:hint="eastAsia" w:ascii="仿宋_GB2312" w:eastAsia="仿宋_GB2312"/>
          <w:sz w:val="28"/>
          <w:szCs w:val="28"/>
          <w:vertAlign w:val="superscript"/>
          <w:lang w:val="en-US" w:eastAsia="zh-CN"/>
        </w:rPr>
        <w:t>0</w:t>
      </w:r>
      <w:r>
        <w:rPr>
          <w:rFonts w:hint="eastAsia" w:ascii="仿宋_GB2312" w:eastAsia="仿宋_GB2312"/>
          <w:sz w:val="28"/>
          <w:szCs w:val="28"/>
          <w:vertAlign w:val="baseline"/>
          <w:lang w:val="en-US" w:eastAsia="zh-CN"/>
        </w:rPr>
        <w:t>，</w:t>
      </w:r>
      <w:r>
        <w:rPr>
          <w:rFonts w:hint="eastAsia" w:ascii="仿宋_GB2312" w:eastAsia="仿宋_GB2312"/>
          <w:sz w:val="28"/>
          <w:szCs w:val="28"/>
          <w:lang w:eastAsia="zh-CN"/>
        </w:rPr>
        <w:t>退化主要表现为林冠下</w:t>
      </w:r>
      <w:r>
        <w:rPr>
          <w:rFonts w:hint="eastAsia" w:ascii="仿宋_GB2312" w:eastAsia="仿宋_GB2312"/>
          <w:sz w:val="28"/>
          <w:szCs w:val="28"/>
          <w:lang w:val="en-US" w:eastAsia="zh-CN"/>
        </w:rPr>
        <w:t>柠条</w:t>
      </w:r>
      <w:r>
        <w:rPr>
          <w:rFonts w:hint="eastAsia" w:ascii="仿宋_GB2312" w:eastAsia="仿宋_GB2312"/>
          <w:sz w:val="28"/>
          <w:szCs w:val="28"/>
          <w:lang w:eastAsia="zh-CN"/>
        </w:rPr>
        <w:t>林大面积枯死，林内卫生较差，生长衰退、更新不良、防护功能下降。</w:t>
      </w:r>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修复措施采取</w:t>
      </w:r>
      <w:r>
        <w:rPr>
          <w:rFonts w:hint="eastAsia" w:ascii="仿宋_GB2312" w:eastAsia="仿宋_GB2312"/>
          <w:sz w:val="28"/>
          <w:szCs w:val="28"/>
          <w:lang w:val="en-US" w:eastAsia="zh-CN"/>
        </w:rPr>
        <w:t>清除</w:t>
      </w:r>
      <w:r>
        <w:rPr>
          <w:rFonts w:hint="eastAsia" w:ascii="仿宋_GB2312" w:eastAsia="仿宋_GB2312"/>
          <w:sz w:val="28"/>
          <w:szCs w:val="28"/>
          <w:lang w:eastAsia="zh-CN"/>
        </w:rPr>
        <w:t>林下块状分布的枯死、濒死</w:t>
      </w:r>
      <w:r>
        <w:rPr>
          <w:rFonts w:hint="eastAsia" w:ascii="仿宋_GB2312" w:eastAsia="仿宋_GB2312"/>
          <w:sz w:val="28"/>
          <w:szCs w:val="28"/>
          <w:lang w:val="en-US" w:eastAsia="zh-CN"/>
        </w:rPr>
        <w:t>柠条</w:t>
      </w:r>
      <w:r>
        <w:rPr>
          <w:rFonts w:hint="eastAsia" w:ascii="仿宋_GB2312" w:eastAsia="仿宋_GB2312"/>
          <w:sz w:val="28"/>
          <w:szCs w:val="28"/>
          <w:lang w:eastAsia="zh-CN"/>
        </w:rPr>
        <w:t>林</w:t>
      </w:r>
      <w:r>
        <w:rPr>
          <w:rFonts w:hint="eastAsia" w:ascii="仿宋_GB2312" w:eastAsia="仿宋_GB2312"/>
          <w:sz w:val="28"/>
          <w:szCs w:val="28"/>
          <w:lang w:val="en-US" w:eastAsia="zh-CN"/>
        </w:rPr>
        <w:t>；对生长衰退</w:t>
      </w:r>
      <w:r>
        <w:rPr>
          <w:rFonts w:hint="eastAsia" w:ascii="仿宋_GB2312" w:eastAsia="仿宋_GB2312"/>
          <w:sz w:val="28"/>
          <w:szCs w:val="28"/>
          <w:lang w:eastAsia="zh-CN"/>
        </w:rPr>
        <w:t>和受有害生物危害严重的、呈零星分布的</w:t>
      </w:r>
      <w:r>
        <w:rPr>
          <w:rFonts w:hint="eastAsia" w:ascii="仿宋_GB2312" w:eastAsia="仿宋_GB2312"/>
          <w:sz w:val="28"/>
          <w:szCs w:val="28"/>
          <w:lang w:val="en-US" w:eastAsia="zh-CN"/>
        </w:rPr>
        <w:t>山杏、山桃</w:t>
      </w:r>
      <w:r>
        <w:rPr>
          <w:rFonts w:hint="eastAsia" w:ascii="仿宋_GB2312" w:eastAsia="仿宋_GB2312"/>
          <w:sz w:val="28"/>
          <w:szCs w:val="28"/>
          <w:lang w:eastAsia="zh-CN"/>
        </w:rPr>
        <w:t>，实行单株择伐，强度控制在</w:t>
      </w:r>
      <w:r>
        <w:rPr>
          <w:rFonts w:hint="eastAsia" w:ascii="仿宋_GB2312" w:eastAsia="仿宋_GB2312"/>
          <w:sz w:val="28"/>
          <w:szCs w:val="28"/>
          <w:lang w:val="en-US" w:eastAsia="zh-CN"/>
        </w:rPr>
        <w:t>30%以内。然后林冠下造林</w:t>
      </w:r>
      <w:r>
        <w:rPr>
          <w:rFonts w:hint="eastAsia" w:ascii="仿宋_GB2312" w:eastAsia="仿宋_GB2312"/>
          <w:sz w:val="28"/>
          <w:szCs w:val="28"/>
          <w:lang w:eastAsia="zh-CN"/>
        </w:rPr>
        <w:t>栽植油松，与现地保存的林木形成块状混交林，</w:t>
      </w:r>
      <w:r>
        <w:rPr>
          <w:rFonts w:hint="eastAsia" w:ascii="仿宋_GB2312" w:eastAsia="仿宋_GB2312"/>
          <w:sz w:val="28"/>
          <w:szCs w:val="28"/>
        </w:rPr>
        <w:t>坡度较缓的地方采用</w:t>
      </w:r>
      <w:r>
        <w:rPr>
          <w:rFonts w:hint="eastAsia" w:ascii="仿宋_GB2312" w:eastAsia="仿宋_GB2312"/>
          <w:sz w:val="28"/>
          <w:szCs w:val="28"/>
          <w:lang w:eastAsia="zh-CN"/>
        </w:rPr>
        <w:t>品字形</w:t>
      </w:r>
      <w:r>
        <w:rPr>
          <w:rFonts w:hint="eastAsia" w:ascii="仿宋_GB2312" w:eastAsia="仿宋_GB2312"/>
          <w:sz w:val="28"/>
          <w:szCs w:val="28"/>
        </w:rPr>
        <w:t>配置，株行距为</w:t>
      </w:r>
      <w:r>
        <w:rPr>
          <w:rFonts w:hint="eastAsia" w:ascii="仿宋_GB2312" w:eastAsia="仿宋_GB2312"/>
          <w:sz w:val="28"/>
          <w:szCs w:val="28"/>
          <w:lang w:val="en-US" w:eastAsia="zh-CN"/>
        </w:rPr>
        <w:t>2</w:t>
      </w:r>
      <w:r>
        <w:rPr>
          <w:rFonts w:hint="eastAsia" w:ascii="仿宋_GB2312" w:eastAsia="仿宋_GB2312"/>
          <w:sz w:val="28"/>
          <w:szCs w:val="28"/>
        </w:rPr>
        <w:t>×3</w:t>
      </w:r>
      <w:r>
        <w:rPr>
          <w:rFonts w:hint="eastAsia" w:ascii="仿宋_GB2312" w:eastAsia="仿宋_GB2312"/>
          <w:sz w:val="28"/>
          <w:szCs w:val="28"/>
          <w:lang w:eastAsia="zh-CN"/>
        </w:rPr>
        <w:t>－</w:t>
      </w:r>
      <w:r>
        <w:rPr>
          <w:rFonts w:hint="eastAsia" w:ascii="仿宋_GB2312" w:eastAsia="仿宋_GB2312"/>
          <w:sz w:val="28"/>
          <w:szCs w:val="28"/>
          <w:lang w:val="en-US" w:eastAsia="zh-CN"/>
        </w:rPr>
        <w:t>3</w:t>
      </w:r>
      <w:r>
        <w:rPr>
          <w:rFonts w:hint="eastAsia" w:ascii="仿宋_GB2312" w:eastAsia="仿宋_GB2312"/>
          <w:sz w:val="28"/>
          <w:szCs w:val="28"/>
        </w:rPr>
        <w:t>×3m；在坡面破碎的地段补造点的位置应灵活掌握，应不拘于株行距的规定，但要保证单位面积上的种植点的数量</w:t>
      </w:r>
      <w:r>
        <w:rPr>
          <w:rFonts w:hint="eastAsia" w:ascii="仿宋_GB2312" w:eastAsia="仿宋_GB2312"/>
          <w:sz w:val="28"/>
          <w:szCs w:val="28"/>
          <w:lang w:eastAsia="zh-CN"/>
        </w:rPr>
        <w:t>一般不低</w:t>
      </w:r>
      <w:r>
        <w:rPr>
          <w:rFonts w:hint="eastAsia" w:ascii="仿宋_GB2312" w:eastAsia="仿宋_GB2312"/>
          <w:sz w:val="28"/>
          <w:szCs w:val="28"/>
          <w:lang w:val="en-US" w:eastAsia="zh-CN"/>
        </w:rPr>
        <w:t>74株（穴）</w:t>
      </w:r>
      <w:r>
        <w:rPr>
          <w:rFonts w:hint="eastAsia" w:ascii="仿宋_GB2312" w:eastAsia="仿宋_GB2312"/>
          <w:sz w:val="28"/>
          <w:szCs w:val="28"/>
        </w:rPr>
        <w:t>/亩</w:t>
      </w:r>
      <w:r>
        <w:rPr>
          <w:rFonts w:hint="eastAsia" w:ascii="仿宋_GB2312" w:eastAsia="仿宋_GB2312"/>
          <w:sz w:val="28"/>
          <w:szCs w:val="28"/>
          <w:lang w:val="en-US" w:eastAsia="zh-CN"/>
        </w:rPr>
        <w:t>。</w:t>
      </w:r>
      <w:r>
        <w:rPr>
          <w:rFonts w:hint="eastAsia" w:ascii="仿宋_GB2312" w:eastAsia="仿宋_GB2312"/>
          <w:sz w:val="28"/>
          <w:szCs w:val="28"/>
        </w:rPr>
        <w:t>采用</w:t>
      </w:r>
      <w:r>
        <w:rPr>
          <w:rFonts w:hint="eastAsia" w:ascii="仿宋_GB2312" w:eastAsia="仿宋_GB2312"/>
          <w:sz w:val="28"/>
          <w:szCs w:val="28"/>
          <w:lang w:eastAsia="zh-CN"/>
        </w:rPr>
        <w:t>鱼鳞坑</w:t>
      </w:r>
      <w:r>
        <w:rPr>
          <w:rFonts w:hint="eastAsia" w:ascii="仿宋_GB2312" w:eastAsia="仿宋_GB2312"/>
          <w:sz w:val="28"/>
          <w:szCs w:val="28"/>
        </w:rPr>
        <w:t>整地，规格为</w:t>
      </w:r>
      <w:r>
        <w:rPr>
          <w:rFonts w:hint="eastAsia" w:ascii="仿宋_GB2312" w:eastAsia="仿宋_GB2312"/>
          <w:sz w:val="28"/>
          <w:szCs w:val="28"/>
          <w:lang w:val="en-US" w:eastAsia="zh-CN"/>
        </w:rPr>
        <w:t>油松8</w:t>
      </w:r>
      <w:r>
        <w:rPr>
          <w:rFonts w:hint="eastAsia" w:ascii="仿宋_GB2312" w:eastAsia="仿宋_GB2312"/>
          <w:sz w:val="28"/>
          <w:szCs w:val="28"/>
        </w:rPr>
        <w:t>0×</w:t>
      </w:r>
      <w:r>
        <w:rPr>
          <w:rFonts w:hint="eastAsia" w:ascii="仿宋_GB2312" w:eastAsia="仿宋_GB2312"/>
          <w:sz w:val="28"/>
          <w:szCs w:val="28"/>
          <w:lang w:val="en-US" w:eastAsia="zh-CN"/>
        </w:rPr>
        <w:t>6</w:t>
      </w:r>
      <w:r>
        <w:rPr>
          <w:rFonts w:hint="eastAsia" w:ascii="仿宋_GB2312" w:eastAsia="仿宋_GB2312"/>
          <w:sz w:val="28"/>
          <w:szCs w:val="28"/>
        </w:rPr>
        <w:t>0×</w:t>
      </w:r>
      <w:r>
        <w:rPr>
          <w:rFonts w:hint="eastAsia" w:ascii="仿宋_GB2312" w:eastAsia="仿宋_GB2312"/>
          <w:sz w:val="28"/>
          <w:szCs w:val="28"/>
          <w:lang w:val="en-US" w:eastAsia="zh-CN"/>
        </w:rPr>
        <w:t>4</w:t>
      </w:r>
      <w:r>
        <w:rPr>
          <w:rFonts w:hint="eastAsia" w:ascii="仿宋_GB2312" w:eastAsia="仿宋_GB2312"/>
          <w:sz w:val="28"/>
          <w:szCs w:val="28"/>
        </w:rPr>
        <w:t>0cm。</w:t>
      </w:r>
      <w:r>
        <w:rPr>
          <w:rFonts w:hint="eastAsia" w:ascii="仿宋_GB2312" w:eastAsia="仿宋_GB2312"/>
          <w:sz w:val="28"/>
          <w:szCs w:val="28"/>
          <w:lang w:val="en-US" w:eastAsia="zh-CN"/>
        </w:rPr>
        <w:t>选用油松2-3</w:t>
      </w:r>
      <w:r>
        <w:rPr>
          <w:rFonts w:hint="eastAsia" w:ascii="仿宋_GB2312" w:eastAsia="仿宋_GB2312"/>
          <w:sz w:val="28"/>
          <w:szCs w:val="28"/>
          <w:lang w:eastAsia="zh-CN"/>
        </w:rPr>
        <w:t>年生容器苗，苗高</w:t>
      </w:r>
      <w:r>
        <w:rPr>
          <w:rFonts w:hint="eastAsia" w:ascii="仿宋_GB2312" w:eastAsia="仿宋_GB2312"/>
          <w:sz w:val="28"/>
          <w:szCs w:val="28"/>
          <w:lang w:val="en-US" w:eastAsia="zh-CN"/>
        </w:rPr>
        <w:t>15</w:t>
      </w:r>
      <w:r>
        <w:rPr>
          <w:rFonts w:hint="eastAsia" w:ascii="仿宋_GB2312" w:eastAsia="仿宋_GB2312"/>
          <w:sz w:val="28"/>
          <w:szCs w:val="28"/>
          <w:lang w:eastAsia="zh-CN"/>
        </w:rPr>
        <w:t>cm以上，地径0.</w:t>
      </w:r>
      <w:r>
        <w:rPr>
          <w:rFonts w:hint="eastAsia" w:ascii="仿宋_GB2312" w:eastAsia="仿宋_GB2312"/>
          <w:sz w:val="28"/>
          <w:szCs w:val="28"/>
          <w:lang w:val="en-US" w:eastAsia="zh-CN"/>
        </w:rPr>
        <w:t>3</w:t>
      </w:r>
      <w:r>
        <w:rPr>
          <w:rFonts w:hint="eastAsia" w:ascii="仿宋_GB2312" w:eastAsia="仿宋_GB2312"/>
          <w:sz w:val="28"/>
          <w:szCs w:val="28"/>
          <w:lang w:eastAsia="zh-CN"/>
        </w:rPr>
        <w:t>cm以上；山杏（山桃）选用</w:t>
      </w:r>
      <w:r>
        <w:rPr>
          <w:rFonts w:hint="eastAsia" w:ascii="仿宋_GB2312" w:eastAsia="仿宋_GB2312"/>
          <w:sz w:val="28"/>
          <w:szCs w:val="28"/>
          <w:lang w:val="en-US" w:eastAsia="zh-CN"/>
        </w:rPr>
        <w:t>1-2年生播种苗，苗高大于40cm，</w:t>
      </w:r>
      <w:r>
        <w:rPr>
          <w:rFonts w:hint="eastAsia" w:ascii="仿宋_GB2312" w:eastAsia="仿宋_GB2312"/>
          <w:sz w:val="28"/>
          <w:szCs w:val="28"/>
          <w:lang w:eastAsia="zh-CN"/>
        </w:rPr>
        <w:t>地径0.</w:t>
      </w:r>
      <w:r>
        <w:rPr>
          <w:rFonts w:hint="eastAsia" w:ascii="仿宋_GB2312" w:eastAsia="仿宋_GB2312"/>
          <w:sz w:val="28"/>
          <w:szCs w:val="28"/>
          <w:lang w:val="en-US" w:eastAsia="zh-CN"/>
        </w:rPr>
        <w:t>6</w:t>
      </w:r>
      <w:r>
        <w:rPr>
          <w:rFonts w:hint="eastAsia" w:ascii="仿宋_GB2312" w:eastAsia="仿宋_GB2312"/>
          <w:sz w:val="28"/>
          <w:szCs w:val="28"/>
          <w:lang w:eastAsia="zh-CN"/>
        </w:rPr>
        <w:t>cm以上。</w:t>
      </w:r>
    </w:p>
    <w:p>
      <w:pPr>
        <w:numPr>
          <w:ilvl w:val="0"/>
          <w:numId w:val="2"/>
        </w:numPr>
        <w:spacing w:line="560" w:lineRule="exact"/>
        <w:ind w:firstLine="562" w:firstLineChars="200"/>
        <w:rPr>
          <w:rFonts w:hint="eastAsia" w:ascii="仿宋_GB2312" w:eastAsia="仿宋_GB2312"/>
          <w:b/>
          <w:sz w:val="28"/>
          <w:szCs w:val="28"/>
          <w:lang w:eastAsia="zh-CN"/>
        </w:rPr>
      </w:pPr>
      <w:r>
        <w:rPr>
          <w:rFonts w:hint="eastAsia" w:ascii="仿宋_GB2312" w:eastAsia="仿宋_GB2312"/>
          <w:b/>
          <w:sz w:val="28"/>
          <w:szCs w:val="28"/>
          <w:lang w:val="en-US" w:eastAsia="zh-CN"/>
        </w:rPr>
        <w:t>山杏+山杨（刺槐）+山桃+柠条（沙棘）混交林</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eastAsia="zh-CN"/>
        </w:rPr>
        <w:t>该混交林</w:t>
      </w:r>
      <w:r>
        <w:rPr>
          <w:rFonts w:hint="eastAsia" w:ascii="仿宋_GB2312" w:eastAsia="仿宋_GB2312"/>
          <w:sz w:val="28"/>
          <w:szCs w:val="28"/>
          <w:lang w:val="en-US" w:eastAsia="zh-CN"/>
        </w:rPr>
        <w:t>按照垂直高度分带分布，</w:t>
      </w:r>
      <w:r>
        <w:rPr>
          <w:rFonts w:hint="eastAsia" w:ascii="仿宋_GB2312" w:eastAsia="仿宋_GB2312"/>
          <w:sz w:val="28"/>
          <w:szCs w:val="28"/>
          <w:lang w:eastAsia="zh-CN"/>
        </w:rPr>
        <w:t>梁峁顶、梁峁坡</w:t>
      </w:r>
      <w:r>
        <w:rPr>
          <w:rFonts w:hint="eastAsia" w:ascii="仿宋_GB2312" w:eastAsia="仿宋_GB2312"/>
          <w:sz w:val="28"/>
          <w:szCs w:val="28"/>
          <w:lang w:val="en-US" w:eastAsia="zh-CN"/>
        </w:rPr>
        <w:t>主要分布山杏，</w:t>
      </w:r>
      <w:r>
        <w:rPr>
          <w:rFonts w:hint="eastAsia" w:ascii="仿宋_GB2312" w:eastAsia="仿宋_GB2312"/>
          <w:sz w:val="28"/>
          <w:szCs w:val="28"/>
          <w:lang w:eastAsia="zh-CN"/>
        </w:rPr>
        <w:t>梁峁坡、</w:t>
      </w:r>
      <w:r>
        <w:rPr>
          <w:rFonts w:hint="eastAsia" w:ascii="仿宋_GB2312" w:eastAsia="仿宋_GB2312"/>
          <w:sz w:val="28"/>
          <w:szCs w:val="28"/>
          <w:lang w:val="en-US" w:eastAsia="zh-CN"/>
        </w:rPr>
        <w:t>侵蚀沟沿线以下主要分布山桃、柠条，侵蚀沟及沟底分布山杨。</w:t>
      </w:r>
      <w:r>
        <w:rPr>
          <w:rFonts w:hint="eastAsia" w:ascii="仿宋_GB2312" w:eastAsia="仿宋_GB2312"/>
          <w:sz w:val="28"/>
          <w:szCs w:val="28"/>
          <w:lang w:eastAsia="zh-CN"/>
        </w:rPr>
        <w:t>坡度</w:t>
      </w:r>
      <w:r>
        <w:rPr>
          <w:rFonts w:hint="eastAsia" w:ascii="仿宋_GB2312" w:eastAsia="仿宋_GB2312"/>
          <w:sz w:val="28"/>
          <w:szCs w:val="28"/>
          <w:lang w:val="en-US" w:eastAsia="zh-CN"/>
        </w:rPr>
        <w:t>情况不一，垂直分布明显</w:t>
      </w:r>
      <w:r>
        <w:rPr>
          <w:rFonts w:hint="eastAsia" w:ascii="仿宋_GB2312" w:eastAsia="仿宋_GB2312"/>
          <w:sz w:val="28"/>
          <w:szCs w:val="28"/>
          <w:lang w:eastAsia="zh-CN"/>
        </w:rPr>
        <w:t>，</w:t>
      </w:r>
      <w:r>
        <w:rPr>
          <w:rFonts w:hint="eastAsia" w:ascii="仿宋_GB2312" w:eastAsia="仿宋_GB2312"/>
          <w:sz w:val="28"/>
          <w:szCs w:val="28"/>
          <w:lang w:val="en-US" w:eastAsia="zh-CN"/>
        </w:rPr>
        <w:t>坡面完整，从坡顶到沟底。</w:t>
      </w:r>
      <w:r>
        <w:rPr>
          <w:rFonts w:hint="eastAsia" w:ascii="仿宋_GB2312" w:eastAsia="仿宋_GB2312"/>
          <w:sz w:val="28"/>
          <w:szCs w:val="28"/>
          <w:lang w:eastAsia="zh-CN"/>
        </w:rPr>
        <w:t>林木退化主要表现为</w:t>
      </w:r>
      <w:r>
        <w:rPr>
          <w:rFonts w:hint="eastAsia" w:ascii="仿宋_GB2312" w:eastAsia="仿宋_GB2312"/>
          <w:sz w:val="28"/>
          <w:szCs w:val="28"/>
          <w:lang w:val="en-US" w:eastAsia="zh-CN"/>
        </w:rPr>
        <w:t>林间卫生差、柠条死亡、</w:t>
      </w:r>
      <w:r>
        <w:rPr>
          <w:rFonts w:hint="eastAsia" w:ascii="仿宋_GB2312" w:eastAsia="仿宋_GB2312"/>
          <w:sz w:val="28"/>
          <w:szCs w:val="28"/>
          <w:lang w:eastAsia="zh-CN"/>
        </w:rPr>
        <w:t>刺槐林</w:t>
      </w:r>
      <w:r>
        <w:rPr>
          <w:rFonts w:hint="eastAsia" w:ascii="仿宋_GB2312" w:eastAsia="仿宋_GB2312"/>
          <w:sz w:val="28"/>
          <w:szCs w:val="28"/>
          <w:lang w:val="en-US" w:eastAsia="zh-CN"/>
        </w:rPr>
        <w:t>枯梢、病腐等生理衰老特征明显，林木生长衰竭，难以自然恢复。</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修复措施采取伐除上层</w:t>
      </w:r>
      <w:r>
        <w:rPr>
          <w:rFonts w:hint="eastAsia" w:ascii="仿宋_GB2312" w:eastAsia="仿宋_GB2312"/>
          <w:sz w:val="28"/>
          <w:szCs w:val="28"/>
          <w:lang w:val="en-US" w:eastAsia="zh-CN"/>
        </w:rPr>
        <w:t>枯梢、病腐</w:t>
      </w:r>
      <w:r>
        <w:rPr>
          <w:rFonts w:hint="eastAsia" w:ascii="仿宋_GB2312" w:eastAsia="仿宋_GB2312"/>
          <w:sz w:val="28"/>
          <w:szCs w:val="28"/>
          <w:lang w:eastAsia="zh-CN"/>
        </w:rPr>
        <w:t>刺槐林木、</w:t>
      </w:r>
      <w:r>
        <w:rPr>
          <w:rFonts w:hint="eastAsia" w:ascii="仿宋_GB2312" w:eastAsia="仿宋_GB2312"/>
          <w:sz w:val="28"/>
          <w:szCs w:val="28"/>
          <w:lang w:val="en-US" w:eastAsia="zh-CN"/>
        </w:rPr>
        <w:t>山杨</w:t>
      </w:r>
      <w:r>
        <w:rPr>
          <w:rFonts w:hint="eastAsia" w:ascii="仿宋_GB2312" w:eastAsia="仿宋_GB2312"/>
          <w:sz w:val="28"/>
          <w:szCs w:val="28"/>
          <w:lang w:eastAsia="zh-CN"/>
        </w:rPr>
        <w:t>，清理林内卫生，</w:t>
      </w:r>
      <w:r>
        <w:rPr>
          <w:rFonts w:hint="eastAsia" w:ascii="仿宋_GB2312" w:eastAsia="仿宋_GB2312"/>
          <w:sz w:val="28"/>
          <w:szCs w:val="28"/>
          <w:lang w:val="en-US" w:eastAsia="zh-CN"/>
        </w:rPr>
        <w:t>清除死亡的柠条，对生长衰退和受有害生物危害严重的、呈零星分布的山杏、山桃，实行单株择伐，强度控制在30%以内。</w:t>
      </w:r>
      <w:r>
        <w:rPr>
          <w:rFonts w:hint="eastAsia" w:ascii="仿宋_GB2312" w:eastAsia="仿宋_GB2312"/>
          <w:sz w:val="28"/>
          <w:szCs w:val="28"/>
          <w:lang w:eastAsia="zh-CN"/>
        </w:rPr>
        <w:t>选择</w:t>
      </w:r>
      <w:r>
        <w:rPr>
          <w:rFonts w:hint="eastAsia" w:ascii="仿宋_GB2312" w:eastAsia="仿宋_GB2312"/>
          <w:sz w:val="28"/>
          <w:szCs w:val="28"/>
          <w:lang w:val="en-US" w:eastAsia="zh-CN"/>
        </w:rPr>
        <w:t>林冠下背风、向阳地段</w:t>
      </w:r>
      <w:r>
        <w:rPr>
          <w:rFonts w:hint="eastAsia" w:ascii="仿宋_GB2312" w:eastAsia="仿宋_GB2312"/>
          <w:sz w:val="28"/>
          <w:szCs w:val="28"/>
          <w:lang w:eastAsia="zh-CN"/>
        </w:rPr>
        <w:t>补植山桃（山杏），</w:t>
      </w:r>
      <w:r>
        <w:rPr>
          <w:rFonts w:hint="eastAsia" w:ascii="仿宋_GB2312" w:eastAsia="仿宋_GB2312"/>
          <w:sz w:val="28"/>
          <w:szCs w:val="28"/>
          <w:lang w:val="en-US" w:eastAsia="zh-CN"/>
        </w:rPr>
        <w:t>其余各地栽植油松。</w:t>
      </w:r>
      <w:r>
        <w:rPr>
          <w:rFonts w:hint="eastAsia" w:ascii="仿宋_GB2312" w:eastAsia="仿宋_GB2312"/>
          <w:sz w:val="28"/>
          <w:szCs w:val="28"/>
        </w:rPr>
        <w:t>坡度较缓的地方采用</w:t>
      </w:r>
      <w:r>
        <w:rPr>
          <w:rFonts w:hint="eastAsia" w:ascii="仿宋_GB2312" w:eastAsia="仿宋_GB2312"/>
          <w:sz w:val="28"/>
          <w:szCs w:val="28"/>
          <w:lang w:eastAsia="zh-CN"/>
        </w:rPr>
        <w:t>品字形</w:t>
      </w:r>
      <w:r>
        <w:rPr>
          <w:rFonts w:hint="eastAsia" w:ascii="仿宋_GB2312" w:eastAsia="仿宋_GB2312"/>
          <w:sz w:val="28"/>
          <w:szCs w:val="28"/>
        </w:rPr>
        <w:t>配置，块状混交，株行距</w:t>
      </w:r>
      <w:r>
        <w:rPr>
          <w:rFonts w:hint="eastAsia" w:ascii="仿宋_GB2312" w:eastAsia="仿宋_GB2312"/>
          <w:sz w:val="28"/>
          <w:szCs w:val="28"/>
          <w:lang w:eastAsia="zh-CN"/>
        </w:rPr>
        <w:t>一般</w:t>
      </w:r>
      <w:r>
        <w:rPr>
          <w:rFonts w:hint="eastAsia" w:ascii="仿宋_GB2312" w:eastAsia="仿宋_GB2312"/>
          <w:sz w:val="28"/>
          <w:szCs w:val="28"/>
        </w:rPr>
        <w:t>为</w:t>
      </w:r>
      <w:r>
        <w:rPr>
          <w:rFonts w:hint="eastAsia" w:ascii="仿宋_GB2312" w:eastAsia="仿宋_GB2312"/>
          <w:sz w:val="28"/>
          <w:szCs w:val="28"/>
          <w:lang w:val="en-US" w:eastAsia="zh-CN"/>
        </w:rPr>
        <w:t>2</w:t>
      </w:r>
      <w:r>
        <w:rPr>
          <w:rFonts w:hint="eastAsia" w:ascii="仿宋_GB2312" w:eastAsia="仿宋_GB2312"/>
          <w:sz w:val="28"/>
          <w:szCs w:val="28"/>
        </w:rPr>
        <w:t>×3</w:t>
      </w:r>
      <w:r>
        <w:rPr>
          <w:rFonts w:hint="eastAsia" w:ascii="仿宋_GB2312" w:eastAsia="仿宋_GB2312"/>
          <w:sz w:val="28"/>
          <w:szCs w:val="28"/>
          <w:lang w:val="en-US" w:eastAsia="zh-CN"/>
        </w:rPr>
        <w:t>-3</w:t>
      </w:r>
      <w:r>
        <w:rPr>
          <w:rFonts w:hint="eastAsia" w:ascii="仿宋_GB2312" w:eastAsia="仿宋_GB2312"/>
          <w:sz w:val="28"/>
          <w:szCs w:val="28"/>
        </w:rPr>
        <w:t>×</w:t>
      </w:r>
      <w:r>
        <w:rPr>
          <w:rFonts w:hint="eastAsia" w:ascii="仿宋_GB2312" w:eastAsia="仿宋_GB2312"/>
          <w:sz w:val="28"/>
          <w:szCs w:val="28"/>
          <w:lang w:val="en-US" w:eastAsia="zh-CN"/>
        </w:rPr>
        <w:t>3</w:t>
      </w:r>
      <w:r>
        <w:rPr>
          <w:rFonts w:hint="eastAsia" w:ascii="仿宋_GB2312" w:eastAsia="仿宋_GB2312"/>
          <w:sz w:val="28"/>
          <w:szCs w:val="28"/>
        </w:rPr>
        <w:t>m；在坡面破碎的地段，栽植坑的位置灵活掌握，不拘于株行距的规定，但要保证单位面积上的栽植点的数量不少于</w:t>
      </w:r>
      <w:r>
        <w:rPr>
          <w:rFonts w:hint="eastAsia" w:ascii="仿宋_GB2312" w:eastAsia="仿宋_GB2312"/>
          <w:sz w:val="28"/>
          <w:szCs w:val="28"/>
          <w:lang w:val="en-US" w:eastAsia="zh-CN"/>
        </w:rPr>
        <w:t>74株（</w:t>
      </w:r>
      <w:r>
        <w:rPr>
          <w:rFonts w:hint="eastAsia" w:ascii="仿宋_GB2312" w:eastAsia="仿宋_GB2312"/>
          <w:sz w:val="28"/>
          <w:szCs w:val="28"/>
          <w:lang w:eastAsia="zh-CN"/>
        </w:rPr>
        <w:t>穴）</w:t>
      </w:r>
      <w:r>
        <w:rPr>
          <w:rFonts w:hint="eastAsia" w:ascii="仿宋_GB2312" w:eastAsia="仿宋_GB2312"/>
          <w:sz w:val="28"/>
          <w:szCs w:val="28"/>
        </w:rPr>
        <w:t>/亩。采用</w:t>
      </w:r>
      <w:r>
        <w:rPr>
          <w:rFonts w:hint="eastAsia" w:ascii="仿宋_GB2312" w:eastAsia="仿宋_GB2312"/>
          <w:sz w:val="28"/>
          <w:szCs w:val="28"/>
          <w:lang w:eastAsia="zh-CN"/>
        </w:rPr>
        <w:t>鱼鳞坑</w:t>
      </w:r>
      <w:r>
        <w:rPr>
          <w:rFonts w:hint="eastAsia" w:ascii="仿宋_GB2312" w:eastAsia="仿宋_GB2312"/>
          <w:sz w:val="28"/>
          <w:szCs w:val="28"/>
        </w:rPr>
        <w:t>整地，规格为</w:t>
      </w:r>
      <w:r>
        <w:rPr>
          <w:rFonts w:hint="eastAsia" w:ascii="仿宋_GB2312" w:eastAsia="仿宋_GB2312"/>
          <w:sz w:val="28"/>
          <w:szCs w:val="28"/>
          <w:lang w:val="en-US" w:eastAsia="zh-CN"/>
        </w:rPr>
        <w:t>油松8</w:t>
      </w:r>
      <w:r>
        <w:rPr>
          <w:rFonts w:hint="eastAsia" w:ascii="仿宋_GB2312" w:eastAsia="仿宋_GB2312"/>
          <w:sz w:val="28"/>
          <w:szCs w:val="28"/>
        </w:rPr>
        <w:t>0×</w:t>
      </w:r>
      <w:r>
        <w:rPr>
          <w:rFonts w:hint="eastAsia" w:ascii="仿宋_GB2312" w:eastAsia="仿宋_GB2312"/>
          <w:sz w:val="28"/>
          <w:szCs w:val="28"/>
          <w:lang w:val="en-US" w:eastAsia="zh-CN"/>
        </w:rPr>
        <w:t>6</w:t>
      </w:r>
      <w:r>
        <w:rPr>
          <w:rFonts w:hint="eastAsia" w:ascii="仿宋_GB2312" w:eastAsia="仿宋_GB2312"/>
          <w:sz w:val="28"/>
          <w:szCs w:val="28"/>
        </w:rPr>
        <w:t>0×</w:t>
      </w:r>
      <w:r>
        <w:rPr>
          <w:rFonts w:hint="eastAsia" w:ascii="仿宋_GB2312" w:eastAsia="仿宋_GB2312"/>
          <w:sz w:val="28"/>
          <w:szCs w:val="28"/>
          <w:lang w:val="en-US" w:eastAsia="zh-CN"/>
        </w:rPr>
        <w:t>4</w:t>
      </w:r>
      <w:r>
        <w:rPr>
          <w:rFonts w:hint="eastAsia" w:ascii="仿宋_GB2312" w:eastAsia="仿宋_GB2312"/>
          <w:sz w:val="28"/>
          <w:szCs w:val="28"/>
        </w:rPr>
        <w:t>0cm</w:t>
      </w:r>
      <w:r>
        <w:rPr>
          <w:rFonts w:hint="eastAsia" w:ascii="仿宋_GB2312" w:eastAsia="仿宋_GB2312"/>
          <w:sz w:val="28"/>
          <w:szCs w:val="28"/>
          <w:lang w:eastAsia="zh-CN"/>
        </w:rPr>
        <w:t>、</w:t>
      </w:r>
      <w:r>
        <w:rPr>
          <w:rFonts w:hint="eastAsia" w:ascii="仿宋_GB2312" w:eastAsia="仿宋_GB2312"/>
          <w:sz w:val="28"/>
          <w:szCs w:val="28"/>
          <w:lang w:val="en-US" w:eastAsia="zh-CN"/>
        </w:rPr>
        <w:t>山桃（山杏）为60</w:t>
      </w:r>
      <w:r>
        <w:rPr>
          <w:rFonts w:hint="eastAsia" w:ascii="仿宋_GB2312" w:eastAsia="仿宋_GB2312"/>
          <w:sz w:val="28"/>
          <w:szCs w:val="28"/>
        </w:rPr>
        <w:t>×</w:t>
      </w:r>
      <w:r>
        <w:rPr>
          <w:rFonts w:hint="eastAsia" w:ascii="仿宋_GB2312" w:eastAsia="仿宋_GB2312"/>
          <w:sz w:val="28"/>
          <w:szCs w:val="28"/>
          <w:lang w:val="en-US" w:eastAsia="zh-CN"/>
        </w:rPr>
        <w:t>4</w:t>
      </w:r>
      <w:r>
        <w:rPr>
          <w:rFonts w:hint="eastAsia" w:ascii="仿宋_GB2312" w:eastAsia="仿宋_GB2312"/>
          <w:sz w:val="28"/>
          <w:szCs w:val="28"/>
        </w:rPr>
        <w:t>0×</w:t>
      </w:r>
      <w:r>
        <w:rPr>
          <w:rFonts w:hint="eastAsia" w:ascii="仿宋_GB2312" w:eastAsia="仿宋_GB2312"/>
          <w:sz w:val="28"/>
          <w:szCs w:val="28"/>
          <w:lang w:val="en-US" w:eastAsia="zh-CN"/>
        </w:rPr>
        <w:t>4</w:t>
      </w:r>
      <w:r>
        <w:rPr>
          <w:rFonts w:hint="eastAsia" w:ascii="仿宋_GB2312" w:eastAsia="仿宋_GB2312"/>
          <w:sz w:val="28"/>
          <w:szCs w:val="28"/>
        </w:rPr>
        <w:t>0cm。</w:t>
      </w:r>
      <w:r>
        <w:rPr>
          <w:rFonts w:hint="eastAsia" w:ascii="仿宋_GB2312" w:eastAsia="仿宋_GB2312"/>
          <w:sz w:val="28"/>
          <w:szCs w:val="28"/>
          <w:lang w:val="en-US" w:eastAsia="zh-CN"/>
        </w:rPr>
        <w:t>选用油松2-3</w:t>
      </w:r>
      <w:r>
        <w:rPr>
          <w:rFonts w:hint="eastAsia" w:ascii="仿宋_GB2312" w:eastAsia="仿宋_GB2312"/>
          <w:sz w:val="28"/>
          <w:szCs w:val="28"/>
          <w:lang w:eastAsia="zh-CN"/>
        </w:rPr>
        <w:t>年生容器苗，苗高</w:t>
      </w:r>
      <w:r>
        <w:rPr>
          <w:rFonts w:hint="eastAsia" w:ascii="仿宋_GB2312" w:eastAsia="仿宋_GB2312"/>
          <w:sz w:val="28"/>
          <w:szCs w:val="28"/>
          <w:lang w:val="en-US" w:eastAsia="zh-CN"/>
        </w:rPr>
        <w:t>15</w:t>
      </w:r>
      <w:r>
        <w:rPr>
          <w:rFonts w:hint="eastAsia" w:ascii="仿宋_GB2312" w:eastAsia="仿宋_GB2312"/>
          <w:sz w:val="28"/>
          <w:szCs w:val="28"/>
          <w:lang w:eastAsia="zh-CN"/>
        </w:rPr>
        <w:t>cm以上，地径0.</w:t>
      </w:r>
      <w:r>
        <w:rPr>
          <w:rFonts w:hint="eastAsia" w:ascii="仿宋_GB2312" w:eastAsia="仿宋_GB2312"/>
          <w:sz w:val="28"/>
          <w:szCs w:val="28"/>
          <w:lang w:val="en-US" w:eastAsia="zh-CN"/>
        </w:rPr>
        <w:t>3</w:t>
      </w:r>
      <w:r>
        <w:rPr>
          <w:rFonts w:hint="eastAsia" w:ascii="仿宋_GB2312" w:eastAsia="仿宋_GB2312"/>
          <w:sz w:val="28"/>
          <w:szCs w:val="28"/>
          <w:lang w:eastAsia="zh-CN"/>
        </w:rPr>
        <w:t>cm以上；山杏（山桃）选用</w:t>
      </w:r>
      <w:r>
        <w:rPr>
          <w:rFonts w:hint="eastAsia" w:ascii="仿宋_GB2312" w:eastAsia="仿宋_GB2312"/>
          <w:sz w:val="28"/>
          <w:szCs w:val="28"/>
          <w:lang w:val="en-US" w:eastAsia="zh-CN"/>
        </w:rPr>
        <w:t>1-2年生播种苗，苗高大于40cm，</w:t>
      </w:r>
      <w:r>
        <w:rPr>
          <w:rFonts w:hint="eastAsia" w:ascii="仿宋_GB2312" w:eastAsia="仿宋_GB2312"/>
          <w:sz w:val="28"/>
          <w:szCs w:val="28"/>
          <w:lang w:eastAsia="zh-CN"/>
        </w:rPr>
        <w:t>地径0.</w:t>
      </w:r>
      <w:r>
        <w:rPr>
          <w:rFonts w:hint="eastAsia" w:ascii="仿宋_GB2312" w:eastAsia="仿宋_GB2312"/>
          <w:sz w:val="28"/>
          <w:szCs w:val="28"/>
          <w:lang w:val="en-US" w:eastAsia="zh-CN"/>
        </w:rPr>
        <w:t>6</w:t>
      </w:r>
      <w:r>
        <w:rPr>
          <w:rFonts w:hint="eastAsia" w:ascii="仿宋_GB2312" w:eastAsia="仿宋_GB2312"/>
          <w:sz w:val="28"/>
          <w:szCs w:val="28"/>
          <w:lang w:eastAsia="zh-CN"/>
        </w:rPr>
        <w:t>cm以上。</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4.4.2择伐补植修复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4.4.2.1修复对象</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适用于不同退化等级、近熟和成熟退化的柠条（沙棘）纯林、山杏+山桃（柠条）、山杏+山杨+山桃+柠条，或林木分布不均匀，含有大于25m</w:t>
      </w:r>
      <w:r>
        <w:rPr>
          <w:rFonts w:hint="eastAsia" w:ascii="仿宋_GB2312" w:eastAsia="仿宋_GB2312"/>
          <w:sz w:val="28"/>
          <w:szCs w:val="28"/>
          <w:vertAlign w:val="superscript"/>
          <w:lang w:val="en-US" w:eastAsia="zh-CN"/>
        </w:rPr>
        <w:t>2</w:t>
      </w:r>
      <w:r>
        <w:rPr>
          <w:rFonts w:hint="eastAsia" w:ascii="仿宋_GB2312" w:eastAsia="仿宋_GB2312"/>
          <w:sz w:val="28"/>
          <w:szCs w:val="28"/>
          <w:lang w:val="en-US" w:eastAsia="zh-CN"/>
        </w:rPr>
        <w:t>林中空地，以及小班内枯死木、濒死木群状分布特征不明显的柠条林、山杏（山桃）林。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4.4.2.2修复方式</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采取补植补播修复，主要针对林间空间面积大，单位面积密度低。</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4.4.2.3修复面积</w:t>
      </w:r>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lang w:val="en-US" w:eastAsia="zh-CN"/>
        </w:rPr>
        <w:t>涉及2个作业区的13个小班，修复面积2090.0亩。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4.4.2.4技术要求</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a）补植补播树种可以是同一目的树种，也可以以调整树种结构、提升景观效果为目的，结合抽阔补针、栽针保阔等交叉补植方法，补造</w:t>
      </w:r>
      <w:r>
        <w:rPr>
          <w:rFonts w:hint="default" w:ascii="仿宋_GB2312" w:eastAsia="仿宋_GB2312"/>
          <w:sz w:val="28"/>
          <w:szCs w:val="28"/>
          <w:lang w:val="en-US" w:eastAsia="zh-CN"/>
        </w:rPr>
        <w:t>1</w:t>
      </w:r>
      <w:r>
        <w:rPr>
          <w:rFonts w:hint="eastAsia" w:ascii="仿宋_GB2312" w:eastAsia="仿宋_GB2312"/>
          <w:sz w:val="28"/>
          <w:szCs w:val="28"/>
          <w:lang w:val="en-US" w:eastAsia="zh-CN"/>
        </w:rPr>
        <w:t>种或多种其它目的树种，培育异龄复层混交林；</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b）以植苗方式为主，栽植苗木应均匀分布或群团状分布，具体分布方式根据保留林木分布特征、经营方式和种苗特性而定；</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c）补植补播后，适时开展抚育管护。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4.4.2.5修复模式</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生长</w:t>
      </w:r>
      <w:r>
        <w:rPr>
          <w:rFonts w:hint="eastAsia" w:ascii="仿宋_GB2312" w:eastAsia="仿宋_GB2312"/>
          <w:sz w:val="28"/>
          <w:szCs w:val="28"/>
          <w:lang w:val="en-US" w:eastAsia="zh-CN"/>
        </w:rPr>
        <w:t>稀疏山杏+山桃（柠条、沙棘）或者柠条（沙棘）纯林及山杏+山杨+山桃（柠条、沙棘）等单位面积密度较低</w:t>
      </w:r>
      <w:r>
        <w:rPr>
          <w:rFonts w:hint="eastAsia" w:ascii="仿宋_GB2312" w:eastAsia="仿宋_GB2312"/>
          <w:sz w:val="28"/>
          <w:szCs w:val="28"/>
          <w:lang w:eastAsia="zh-CN"/>
        </w:rPr>
        <w:t>和</w:t>
      </w:r>
      <w:r>
        <w:rPr>
          <w:rFonts w:hint="eastAsia" w:ascii="仿宋_GB2312" w:eastAsia="仿宋_GB2312"/>
          <w:sz w:val="28"/>
          <w:szCs w:val="28"/>
        </w:rPr>
        <w:t>林间空地</w:t>
      </w:r>
      <w:r>
        <w:rPr>
          <w:rFonts w:hint="eastAsia" w:ascii="仿宋_GB2312" w:eastAsia="仿宋_GB2312"/>
          <w:sz w:val="28"/>
          <w:szCs w:val="28"/>
          <w:lang w:val="en-US" w:eastAsia="zh-CN"/>
        </w:rPr>
        <w:t>面积较大小班，修复方式主要以补植为主。</w:t>
      </w:r>
      <w:r>
        <w:rPr>
          <w:rFonts w:hint="eastAsia" w:ascii="仿宋_GB2312" w:eastAsia="仿宋_GB2312"/>
          <w:sz w:val="28"/>
          <w:szCs w:val="28"/>
        </w:rPr>
        <w:t>坡度较缓的地方采用</w:t>
      </w:r>
      <w:r>
        <w:rPr>
          <w:rFonts w:hint="eastAsia" w:ascii="仿宋_GB2312" w:eastAsia="仿宋_GB2312"/>
          <w:sz w:val="28"/>
          <w:szCs w:val="28"/>
          <w:lang w:eastAsia="zh-CN"/>
        </w:rPr>
        <w:t>品字形</w:t>
      </w:r>
      <w:r>
        <w:rPr>
          <w:rFonts w:hint="eastAsia" w:ascii="仿宋_GB2312" w:eastAsia="仿宋_GB2312"/>
          <w:sz w:val="28"/>
          <w:szCs w:val="28"/>
        </w:rPr>
        <w:t>配置，块状混交，株行距</w:t>
      </w:r>
      <w:r>
        <w:rPr>
          <w:rFonts w:hint="eastAsia" w:ascii="仿宋_GB2312" w:eastAsia="仿宋_GB2312"/>
          <w:sz w:val="28"/>
          <w:szCs w:val="28"/>
          <w:lang w:eastAsia="zh-CN"/>
        </w:rPr>
        <w:t>保持与现有树种一致</w:t>
      </w:r>
      <w:r>
        <w:rPr>
          <w:rFonts w:hint="eastAsia" w:ascii="仿宋_GB2312" w:eastAsia="仿宋_GB2312"/>
          <w:sz w:val="28"/>
          <w:szCs w:val="28"/>
          <w:lang w:val="en-US" w:eastAsia="zh-CN"/>
        </w:rPr>
        <w:t>或营造针阔混交林（乔灌混交林）</w:t>
      </w:r>
      <w:r>
        <w:rPr>
          <w:rFonts w:hint="eastAsia" w:ascii="仿宋_GB2312" w:eastAsia="仿宋_GB2312"/>
          <w:sz w:val="28"/>
          <w:szCs w:val="28"/>
          <w:lang w:eastAsia="zh-CN"/>
        </w:rPr>
        <w:t>，一般</w:t>
      </w:r>
      <w:r>
        <w:rPr>
          <w:rFonts w:hint="eastAsia" w:ascii="仿宋_GB2312" w:eastAsia="仿宋_GB2312"/>
          <w:sz w:val="28"/>
          <w:szCs w:val="28"/>
        </w:rPr>
        <w:t>为</w:t>
      </w:r>
      <w:r>
        <w:rPr>
          <w:rFonts w:hint="eastAsia" w:ascii="仿宋_GB2312" w:eastAsia="仿宋_GB2312"/>
          <w:sz w:val="28"/>
          <w:szCs w:val="28"/>
          <w:lang w:val="en-US" w:eastAsia="zh-CN"/>
        </w:rPr>
        <w:t>2</w:t>
      </w:r>
      <w:r>
        <w:rPr>
          <w:rFonts w:hint="eastAsia" w:ascii="仿宋_GB2312" w:eastAsia="仿宋_GB2312"/>
          <w:sz w:val="28"/>
          <w:szCs w:val="28"/>
        </w:rPr>
        <w:t>×3</w:t>
      </w:r>
      <w:r>
        <w:rPr>
          <w:rFonts w:hint="eastAsia" w:ascii="仿宋_GB2312" w:eastAsia="仿宋_GB2312"/>
          <w:sz w:val="28"/>
          <w:szCs w:val="28"/>
          <w:lang w:eastAsia="zh-CN"/>
        </w:rPr>
        <w:t>－</w:t>
      </w:r>
      <w:r>
        <w:rPr>
          <w:rFonts w:hint="eastAsia" w:ascii="仿宋_GB2312" w:eastAsia="仿宋_GB2312"/>
          <w:sz w:val="28"/>
          <w:szCs w:val="28"/>
          <w:lang w:val="en-US" w:eastAsia="zh-CN"/>
        </w:rPr>
        <w:t>3</w:t>
      </w:r>
      <w:r>
        <w:rPr>
          <w:rFonts w:hint="eastAsia" w:ascii="仿宋_GB2312" w:eastAsia="仿宋_GB2312"/>
          <w:sz w:val="28"/>
          <w:szCs w:val="28"/>
        </w:rPr>
        <w:t>×</w:t>
      </w:r>
      <w:r>
        <w:rPr>
          <w:rFonts w:hint="eastAsia" w:ascii="仿宋_GB2312" w:eastAsia="仿宋_GB2312"/>
          <w:sz w:val="28"/>
          <w:szCs w:val="28"/>
          <w:lang w:val="en-US" w:eastAsia="zh-CN"/>
        </w:rPr>
        <w:t>3</w:t>
      </w:r>
      <w:r>
        <w:rPr>
          <w:rFonts w:hint="eastAsia" w:ascii="仿宋_GB2312" w:eastAsia="仿宋_GB2312"/>
          <w:sz w:val="28"/>
          <w:szCs w:val="28"/>
        </w:rPr>
        <w:t>m；在坡面破碎的地段，栽植坑的位置灵活掌握，不拘于株行距的规定，但要确保单位面积上的栽植点不少于</w:t>
      </w:r>
      <w:r>
        <w:rPr>
          <w:rFonts w:hint="eastAsia" w:ascii="仿宋_GB2312" w:eastAsia="仿宋_GB2312"/>
          <w:sz w:val="28"/>
          <w:szCs w:val="28"/>
          <w:lang w:val="en-US" w:eastAsia="zh-CN"/>
        </w:rPr>
        <w:t>74株（</w:t>
      </w:r>
      <w:r>
        <w:rPr>
          <w:rFonts w:hint="eastAsia" w:ascii="仿宋_GB2312" w:eastAsia="仿宋_GB2312"/>
          <w:sz w:val="28"/>
          <w:szCs w:val="28"/>
          <w:lang w:eastAsia="zh-CN"/>
        </w:rPr>
        <w:t>穴）</w:t>
      </w:r>
      <w:r>
        <w:rPr>
          <w:rFonts w:hint="eastAsia" w:ascii="仿宋_GB2312" w:eastAsia="仿宋_GB2312"/>
          <w:sz w:val="28"/>
          <w:szCs w:val="28"/>
        </w:rPr>
        <w:t>/亩。采用</w:t>
      </w:r>
      <w:r>
        <w:rPr>
          <w:rFonts w:hint="eastAsia" w:ascii="仿宋_GB2312" w:eastAsia="仿宋_GB2312"/>
          <w:sz w:val="28"/>
          <w:szCs w:val="28"/>
          <w:lang w:eastAsia="zh-CN"/>
        </w:rPr>
        <w:t>鱼鳞坑</w:t>
      </w:r>
      <w:r>
        <w:rPr>
          <w:rFonts w:hint="eastAsia" w:ascii="仿宋_GB2312" w:eastAsia="仿宋_GB2312"/>
          <w:sz w:val="28"/>
          <w:szCs w:val="28"/>
        </w:rPr>
        <w:t>整地，规格为</w:t>
      </w:r>
      <w:r>
        <w:rPr>
          <w:rFonts w:hint="eastAsia" w:ascii="仿宋_GB2312" w:eastAsia="仿宋_GB2312"/>
          <w:sz w:val="28"/>
          <w:szCs w:val="28"/>
          <w:lang w:val="en-US" w:eastAsia="zh-CN"/>
        </w:rPr>
        <w:t>山桃（山杏）为60</w:t>
      </w:r>
      <w:r>
        <w:rPr>
          <w:rFonts w:hint="eastAsia" w:ascii="仿宋_GB2312" w:eastAsia="仿宋_GB2312"/>
          <w:sz w:val="28"/>
          <w:szCs w:val="28"/>
        </w:rPr>
        <w:t>×</w:t>
      </w:r>
      <w:r>
        <w:rPr>
          <w:rFonts w:hint="eastAsia" w:ascii="仿宋_GB2312" w:eastAsia="仿宋_GB2312"/>
          <w:sz w:val="28"/>
          <w:szCs w:val="28"/>
          <w:lang w:val="en-US" w:eastAsia="zh-CN"/>
        </w:rPr>
        <w:t>4</w:t>
      </w:r>
      <w:r>
        <w:rPr>
          <w:rFonts w:hint="eastAsia" w:ascii="仿宋_GB2312" w:eastAsia="仿宋_GB2312"/>
          <w:sz w:val="28"/>
          <w:szCs w:val="28"/>
        </w:rPr>
        <w:t>0×</w:t>
      </w:r>
      <w:r>
        <w:rPr>
          <w:rFonts w:hint="eastAsia" w:ascii="仿宋_GB2312" w:eastAsia="仿宋_GB2312"/>
          <w:sz w:val="28"/>
          <w:szCs w:val="28"/>
          <w:lang w:val="en-US" w:eastAsia="zh-CN"/>
        </w:rPr>
        <w:t>4</w:t>
      </w:r>
      <w:r>
        <w:rPr>
          <w:rFonts w:hint="eastAsia" w:ascii="仿宋_GB2312" w:eastAsia="仿宋_GB2312"/>
          <w:sz w:val="28"/>
          <w:szCs w:val="28"/>
        </w:rPr>
        <w:t>0cm。</w:t>
      </w:r>
      <w:r>
        <w:rPr>
          <w:rFonts w:hint="eastAsia" w:ascii="仿宋_GB2312" w:eastAsia="仿宋_GB2312"/>
          <w:sz w:val="28"/>
          <w:szCs w:val="28"/>
          <w:lang w:eastAsia="zh-CN"/>
        </w:rPr>
        <w:t>山杏（山桃）选用</w:t>
      </w:r>
      <w:r>
        <w:rPr>
          <w:rFonts w:hint="eastAsia" w:ascii="仿宋_GB2312" w:eastAsia="仿宋_GB2312"/>
          <w:sz w:val="28"/>
          <w:szCs w:val="28"/>
          <w:lang w:val="en-US" w:eastAsia="zh-CN"/>
        </w:rPr>
        <w:t>1-2年生播种苗，苗高大于40cm，</w:t>
      </w:r>
      <w:r>
        <w:rPr>
          <w:rFonts w:hint="eastAsia" w:ascii="仿宋_GB2312" w:eastAsia="仿宋_GB2312"/>
          <w:sz w:val="28"/>
          <w:szCs w:val="28"/>
          <w:lang w:eastAsia="zh-CN"/>
        </w:rPr>
        <w:t>地径0.</w:t>
      </w:r>
      <w:r>
        <w:rPr>
          <w:rFonts w:hint="eastAsia" w:ascii="仿宋_GB2312" w:eastAsia="仿宋_GB2312"/>
          <w:sz w:val="28"/>
          <w:szCs w:val="28"/>
          <w:lang w:val="en-US" w:eastAsia="zh-CN"/>
        </w:rPr>
        <w:t>6</w:t>
      </w:r>
      <w:r>
        <w:rPr>
          <w:rFonts w:hint="eastAsia" w:ascii="仿宋_GB2312" w:eastAsia="仿宋_GB2312"/>
          <w:sz w:val="28"/>
          <w:szCs w:val="28"/>
          <w:lang w:eastAsia="zh-CN"/>
        </w:rPr>
        <w:t>cm以上。最终形成多树种复层异龄混交林和稳定的针阔混交林群落或乔灌混交林。</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bookmarkStart w:id="284" w:name="_Toc14782"/>
      <w:bookmarkStart w:id="285" w:name="_Toc19494"/>
      <w:r>
        <w:rPr>
          <w:rFonts w:hint="eastAsia"/>
          <w:bCs/>
          <w:sz w:val="28"/>
          <w:szCs w:val="28"/>
          <w:lang w:val="en-US" w:eastAsia="zh-CN"/>
        </w:rPr>
        <w:t>4.4.3综合修复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4.4.3.1修复对象</w:t>
      </w:r>
    </w:p>
    <w:p>
      <w:pPr>
        <w:pStyle w:val="11"/>
        <w:spacing w:before="0" w:beforeAutospacing="0" w:after="0" w:afterAutospacing="0" w:line="560" w:lineRule="exact"/>
        <w:ind w:firstLine="560" w:firstLineChars="200"/>
        <w:jc w:val="both"/>
        <w:rPr>
          <w:rFonts w:hint="eastAsia" w:ascii="仿宋_GB2312" w:hAnsi="Times New Roman" w:eastAsia="仿宋_GB2312" w:cs="Times New Roman"/>
          <w:color w:val="auto"/>
          <w:kern w:val="2"/>
          <w:sz w:val="28"/>
          <w:szCs w:val="28"/>
          <w:vertAlign w:val="baseline"/>
          <w:lang w:val="en-US" w:eastAsia="zh-CN" w:bidi="ar-SA"/>
        </w:rPr>
      </w:pPr>
      <w:r>
        <w:rPr>
          <w:rFonts w:hint="eastAsia" w:ascii="仿宋_GB2312" w:hAnsi="Times New Roman" w:eastAsia="仿宋_GB2312" w:cs="Times New Roman"/>
          <w:color w:val="auto"/>
          <w:kern w:val="2"/>
          <w:sz w:val="28"/>
          <w:szCs w:val="28"/>
          <w:vertAlign w:val="baseline"/>
          <w:lang w:val="en-US" w:eastAsia="zh-CN" w:bidi="ar-SA"/>
        </w:rPr>
        <w:t>适用于分布在梁峁顶、梁峁坡等地段，严重退化，用一种修复方式难以完全恢复林分生态功能和生态系统的山杏、杨树、山桃和柠条块状混交林，该种林分郁闭度较高，单位面积密度较大。</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4.4.3.2修复面积</w:t>
      </w:r>
    </w:p>
    <w:p>
      <w:pPr>
        <w:spacing w:line="560" w:lineRule="exact"/>
        <w:ind w:firstLine="560" w:firstLineChars="200"/>
        <w:rPr>
          <w:rFonts w:hint="eastAsia" w:ascii="仿宋_GB2312" w:hAnsi="Times New Roman" w:eastAsia="仿宋_GB2312" w:cs="Times New Roman"/>
          <w:color w:val="auto"/>
          <w:kern w:val="2"/>
          <w:sz w:val="28"/>
          <w:szCs w:val="28"/>
          <w:vertAlign w:val="baseline"/>
          <w:lang w:val="en-US" w:eastAsia="zh-CN" w:bidi="ar-SA"/>
        </w:rPr>
      </w:pPr>
      <w:r>
        <w:rPr>
          <w:rFonts w:hint="eastAsia" w:ascii="仿宋_GB2312" w:hAnsi="Times New Roman" w:eastAsia="仿宋_GB2312" w:cs="Times New Roman"/>
          <w:color w:val="auto"/>
          <w:kern w:val="2"/>
          <w:sz w:val="28"/>
          <w:szCs w:val="28"/>
          <w:vertAlign w:val="baseline"/>
          <w:lang w:val="en-US" w:eastAsia="zh-CN" w:bidi="ar-SA"/>
        </w:rPr>
        <w:t>涉及2个作业区的5个小班，修复面积1080.0亩。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4.4.3.3修复技术</w:t>
      </w:r>
    </w:p>
    <w:p>
      <w:pPr>
        <w:pStyle w:val="11"/>
        <w:spacing w:before="0" w:beforeAutospacing="0" w:after="0" w:afterAutospacing="0" w:line="560" w:lineRule="exact"/>
        <w:ind w:firstLine="560" w:firstLineChars="200"/>
        <w:jc w:val="both"/>
        <w:rPr>
          <w:rFonts w:hint="eastAsia" w:ascii="仿宋_GB2312" w:hAnsi="Times New Roman" w:eastAsia="仿宋_GB2312" w:cs="Times New Roman"/>
          <w:color w:val="auto"/>
          <w:kern w:val="2"/>
          <w:sz w:val="28"/>
          <w:szCs w:val="28"/>
          <w:vertAlign w:val="baseline"/>
          <w:lang w:val="en-US" w:eastAsia="zh-CN" w:bidi="ar-SA"/>
        </w:rPr>
      </w:pPr>
      <w:r>
        <w:rPr>
          <w:rFonts w:hint="eastAsia" w:ascii="仿宋_GB2312" w:hAnsi="Times New Roman" w:eastAsia="仿宋_GB2312" w:cs="Times New Roman"/>
          <w:color w:val="auto"/>
          <w:kern w:val="2"/>
          <w:sz w:val="28"/>
          <w:szCs w:val="28"/>
          <w:vertAlign w:val="baseline"/>
          <w:lang w:val="en-US" w:eastAsia="zh-CN" w:bidi="ar-SA"/>
        </w:rPr>
        <w:t>采取的修复技术主要有,对山杏+山桃（柠条、沙棘）或山杏+杨树+山桃（柠条、沙棘）及山桃+柠条（沙棘）块状混交林，在林冠下及林间空地进行补植补播，同时对现有山杏、山桃等进行抚育，对山桃（柠条、沙棘）纯林局部带状择伐，补植山杏（山桃）。按照砍2（m)留3(m)</w:t>
      </w:r>
      <w:r>
        <w:rPr>
          <w:rFonts w:hint="eastAsia" w:ascii="仿宋_GB2312" w:eastAsia="仿宋_GB2312"/>
          <w:sz w:val="28"/>
          <w:szCs w:val="28"/>
          <w:lang w:eastAsia="zh-CN"/>
        </w:rPr>
        <w:t>方式作业，采伐带要与等高线平行，在采伐带上按株距</w:t>
      </w:r>
      <w:r>
        <w:rPr>
          <w:rFonts w:hint="eastAsia" w:ascii="仿宋_GB2312" w:eastAsia="仿宋_GB2312"/>
          <w:sz w:val="28"/>
          <w:szCs w:val="28"/>
          <w:lang w:val="en-US" w:eastAsia="zh-CN"/>
        </w:rPr>
        <w:t>2-3m间距</w:t>
      </w:r>
      <w:r>
        <w:rPr>
          <w:rFonts w:hint="eastAsia" w:ascii="仿宋_GB2312" w:eastAsia="仿宋_GB2312"/>
          <w:sz w:val="28"/>
          <w:szCs w:val="28"/>
          <w:lang w:eastAsia="zh-CN"/>
        </w:rPr>
        <w:t>鱼鳞坑</w:t>
      </w:r>
      <w:r>
        <w:rPr>
          <w:rFonts w:hint="eastAsia" w:ascii="仿宋_GB2312" w:eastAsia="仿宋_GB2312"/>
          <w:sz w:val="28"/>
          <w:szCs w:val="28"/>
        </w:rPr>
        <w:t>整地，规格</w:t>
      </w:r>
      <w:r>
        <w:rPr>
          <w:rFonts w:hint="eastAsia" w:ascii="仿宋_GB2312" w:hAnsi="Times New Roman" w:eastAsia="仿宋_GB2312" w:cs="Times New Roman"/>
          <w:color w:val="auto"/>
          <w:kern w:val="2"/>
          <w:sz w:val="28"/>
          <w:szCs w:val="28"/>
          <w:vertAlign w:val="baseline"/>
          <w:lang w:val="en-US" w:eastAsia="zh-CN" w:bidi="ar-SA"/>
        </w:rPr>
        <w:t>为60×40×40cm，补植山杏（山桃），</w:t>
      </w:r>
      <w:r>
        <w:rPr>
          <w:rFonts w:hint="eastAsia" w:ascii="仿宋_GB2312" w:eastAsia="仿宋_GB2312"/>
          <w:sz w:val="28"/>
          <w:szCs w:val="28"/>
          <w:lang w:val="en-US" w:eastAsia="zh-CN"/>
        </w:rPr>
        <w:t>选用</w:t>
      </w:r>
      <w:r>
        <w:rPr>
          <w:rFonts w:hint="eastAsia" w:ascii="仿宋_GB2312" w:eastAsia="仿宋_GB2312"/>
          <w:sz w:val="28"/>
          <w:szCs w:val="28"/>
          <w:lang w:eastAsia="zh-CN"/>
        </w:rPr>
        <w:t>山杏（山桃）选用</w:t>
      </w:r>
      <w:r>
        <w:rPr>
          <w:rFonts w:hint="eastAsia" w:ascii="仿宋_GB2312" w:eastAsia="仿宋_GB2312"/>
          <w:sz w:val="28"/>
          <w:szCs w:val="28"/>
          <w:lang w:val="en-US" w:eastAsia="zh-CN"/>
        </w:rPr>
        <w:t>1-2年生播种苗，苗高大于40cm，</w:t>
      </w:r>
      <w:r>
        <w:rPr>
          <w:rFonts w:hint="eastAsia" w:ascii="仿宋_GB2312" w:eastAsia="仿宋_GB2312"/>
          <w:sz w:val="28"/>
          <w:szCs w:val="28"/>
          <w:lang w:eastAsia="zh-CN"/>
        </w:rPr>
        <w:t>地径0.</w:t>
      </w:r>
      <w:r>
        <w:rPr>
          <w:rFonts w:hint="eastAsia" w:ascii="仿宋_GB2312" w:eastAsia="仿宋_GB2312"/>
          <w:sz w:val="28"/>
          <w:szCs w:val="28"/>
          <w:lang w:val="en-US" w:eastAsia="zh-CN"/>
        </w:rPr>
        <w:t>6</w:t>
      </w:r>
      <w:r>
        <w:rPr>
          <w:rFonts w:hint="eastAsia" w:ascii="仿宋_GB2312" w:eastAsia="仿宋_GB2312"/>
          <w:sz w:val="28"/>
          <w:szCs w:val="28"/>
          <w:lang w:eastAsia="zh-CN"/>
        </w:rPr>
        <w:t>cm以上。</w:t>
      </w:r>
      <w:r>
        <w:rPr>
          <w:rFonts w:hint="eastAsia" w:ascii="仿宋_GB2312" w:hAnsi="Times New Roman" w:eastAsia="仿宋_GB2312" w:cs="Times New Roman"/>
          <w:color w:val="auto"/>
          <w:kern w:val="2"/>
          <w:sz w:val="28"/>
          <w:szCs w:val="28"/>
          <w:vertAlign w:val="baseline"/>
          <w:lang w:val="en-US" w:eastAsia="zh-CN" w:bidi="ar-SA"/>
        </w:rPr>
        <w:t>通过多种修复技术的综合运用，改善林分生境，形成复层异龄、多树种混交林，培育健康稳定、优质高效的森林生态系统。</w:t>
      </w:r>
    </w:p>
    <w:p>
      <w:pPr>
        <w:pStyle w:val="11"/>
        <w:spacing w:before="0" w:beforeAutospacing="0" w:after="0" w:afterAutospacing="0" w:line="560" w:lineRule="exact"/>
        <w:ind w:firstLine="560" w:firstLineChars="200"/>
        <w:jc w:val="both"/>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修复改造施工完成后，要对作业区进行彻底的清理。尽量将有利用价值的抚育剩余物运出林外加以利用；不能利用的枝桠、枯枝，就地散铺，适当压实，任其自然分解以增加林地肥力。同时注意不得伤害目的幼苗、幼树。对枯死木、病腐木进行集中焚烧销毁。</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r>
        <w:rPr>
          <w:rFonts w:hint="eastAsia"/>
          <w:bCs/>
          <w:sz w:val="28"/>
          <w:szCs w:val="28"/>
          <w:lang w:val="en-US" w:eastAsia="zh-CN"/>
        </w:rPr>
        <w:t>4.4.3</w:t>
      </w:r>
      <w:bookmarkEnd w:id="284"/>
      <w:r>
        <w:rPr>
          <w:rFonts w:hint="eastAsia"/>
          <w:bCs/>
          <w:sz w:val="28"/>
          <w:szCs w:val="28"/>
          <w:lang w:val="en-US" w:eastAsia="zh-CN"/>
        </w:rPr>
        <w:t>抚育修复</w:t>
      </w:r>
      <w:bookmarkEnd w:id="285"/>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bookmarkStart w:id="286" w:name="_Toc12278"/>
      <w:r>
        <w:rPr>
          <w:rFonts w:hint="eastAsia" w:ascii="仿宋_GB2312" w:eastAsia="仿宋_GB2312"/>
          <w:sz w:val="28"/>
          <w:szCs w:val="28"/>
          <w:lang w:val="en-US" w:eastAsia="zh-CN"/>
        </w:rPr>
        <w:t>4.4.3.1修复对象</w:t>
      </w:r>
    </w:p>
    <w:bookmarkEnd w:id="286"/>
    <w:p>
      <w:pPr>
        <w:pStyle w:val="11"/>
        <w:spacing w:before="0" w:beforeAutospacing="0" w:after="0" w:afterAutospacing="0" w:line="560" w:lineRule="exact"/>
        <w:ind w:firstLine="560" w:firstLineChars="200"/>
        <w:jc w:val="both"/>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适用于分布在项目区内的现有山杏、山桃、和局部分布的刺槐、山杨及近年来营造的油松幼龄林等进行全面抚育。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bookmarkStart w:id="287" w:name="_Toc21696"/>
      <w:r>
        <w:rPr>
          <w:rFonts w:hint="eastAsia" w:ascii="仿宋_GB2312" w:eastAsia="仿宋_GB2312"/>
          <w:sz w:val="28"/>
          <w:szCs w:val="28"/>
          <w:lang w:val="en-US" w:eastAsia="zh-CN"/>
        </w:rPr>
        <w:t>4.4.3.2修复方式</w:t>
      </w:r>
      <w:bookmarkEnd w:id="287"/>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采取择伐、扩盘培土、促进复壮方式。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4.4.3.3修复面积</w:t>
      </w:r>
    </w:p>
    <w:p>
      <w:pPr>
        <w:pStyle w:val="11"/>
        <w:spacing w:before="0" w:beforeAutospacing="0" w:after="0" w:afterAutospacing="0" w:line="560" w:lineRule="exact"/>
        <w:ind w:firstLine="560" w:firstLineChars="200"/>
        <w:jc w:val="both"/>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该措施和其他改造措施同步实施，面积不重复统计。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bookmarkStart w:id="288" w:name="_Toc5282"/>
      <w:r>
        <w:rPr>
          <w:rFonts w:hint="eastAsia" w:ascii="仿宋_GB2312" w:eastAsia="仿宋_GB2312"/>
          <w:sz w:val="28"/>
          <w:szCs w:val="28"/>
          <w:lang w:val="en-US" w:eastAsia="zh-CN"/>
        </w:rPr>
        <w:t>4.4.3.4技术要求</w:t>
      </w:r>
      <w:bookmarkEnd w:id="288"/>
    </w:p>
    <w:p>
      <w:pPr>
        <w:pStyle w:val="11"/>
        <w:spacing w:before="0" w:beforeAutospacing="0" w:after="0" w:afterAutospacing="0" w:line="560" w:lineRule="exact"/>
        <w:ind w:firstLine="560" w:firstLineChars="200"/>
        <w:jc w:val="both"/>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平茬退化灌木林，应采取带状更替作业方式，</w:t>
      </w:r>
      <w:r>
        <w:rPr>
          <w:rFonts w:hint="eastAsia" w:ascii="仿宋_GB2312" w:eastAsia="仿宋_GB2312"/>
          <w:sz w:val="28"/>
          <w:szCs w:val="28"/>
          <w:lang w:eastAsia="zh-CN"/>
        </w:rPr>
        <w:t>采伐带要与等高线平行，</w:t>
      </w:r>
      <w:r>
        <w:rPr>
          <w:rFonts w:hint="eastAsia" w:ascii="仿宋_GB2312" w:hAnsi="Times New Roman" w:eastAsia="仿宋_GB2312" w:cs="Times New Roman"/>
          <w:color w:val="auto"/>
          <w:kern w:val="2"/>
          <w:sz w:val="28"/>
          <w:szCs w:val="28"/>
          <w:lang w:val="en-US" w:eastAsia="zh-CN" w:bidi="ar-SA"/>
        </w:rPr>
        <w:t>相邻作业带之间保留不少于作业带宽度的保留带，等萌发幼树生长稳定后（一般3年），再平茬剩余部分，同时应在空地处进行补植补播，补植树种为油松，苗木规格和整地方式同上。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80" w:firstLineChars="100"/>
        <w:jc w:val="both"/>
        <w:textAlignment w:val="auto"/>
        <w:outlineLvl w:val="9"/>
        <w:rPr>
          <w:rFonts w:hint="eastAsia" w:ascii="仿宋_GB2312" w:eastAsia="仿宋_GB2312"/>
          <w:sz w:val="28"/>
          <w:szCs w:val="28"/>
          <w:lang w:val="en-US" w:eastAsia="zh-CN"/>
        </w:rPr>
      </w:pPr>
      <w:r>
        <w:rPr>
          <w:rFonts w:hint="eastAsia" w:ascii="仿宋_GB2312" w:eastAsia="仿宋_GB2312"/>
          <w:sz w:val="28"/>
          <w:szCs w:val="28"/>
          <w:lang w:val="en-US" w:eastAsia="zh-CN"/>
        </w:rPr>
        <w:t>4.4.3.5修复模式</w:t>
      </w:r>
    </w:p>
    <w:p>
      <w:pPr>
        <w:pStyle w:val="11"/>
        <w:spacing w:before="0" w:beforeAutospacing="0" w:after="0" w:afterAutospacing="0" w:line="560" w:lineRule="exact"/>
        <w:ind w:firstLine="560" w:firstLineChars="200"/>
        <w:jc w:val="both"/>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为控制水土流失，减少不必要的为人干扰，对侵蚀沟缘、陡坡地段的沙棘林，</w:t>
      </w:r>
      <w:r>
        <w:rPr>
          <w:rFonts w:hint="eastAsia" w:ascii="仿宋_GB2312" w:hAnsi="Times New Roman" w:eastAsia="仿宋_GB2312" w:cs="Times New Roman"/>
          <w:color w:val="auto"/>
          <w:kern w:val="2"/>
          <w:sz w:val="28"/>
          <w:szCs w:val="28"/>
          <w:vertAlign w:val="baseline"/>
          <w:lang w:val="en-US" w:eastAsia="zh-CN" w:bidi="ar-SA"/>
        </w:rPr>
        <w:t>通过补植补播和平茬复壮技术促进更新，提高林分质量，提升固土、护沟、保塬作用</w:t>
      </w:r>
      <w:r>
        <w:rPr>
          <w:rFonts w:hint="eastAsia" w:ascii="仿宋_GB2312" w:hAnsi="Times New Roman" w:eastAsia="仿宋_GB2312" w:cs="Times New Roman"/>
          <w:color w:val="auto"/>
          <w:kern w:val="2"/>
          <w:sz w:val="28"/>
          <w:szCs w:val="28"/>
          <w:lang w:val="en-US" w:eastAsia="zh-CN" w:bidi="ar-SA"/>
        </w:rPr>
        <w:t>。</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89" w:name="_Toc24543"/>
      <w:bookmarkStart w:id="290" w:name="_Toc23469"/>
      <w:bookmarkStart w:id="291" w:name="_Toc28442"/>
      <w:r>
        <w:rPr>
          <w:rFonts w:hint="eastAsia" w:ascii="黑体" w:hAnsi="黑体"/>
          <w:b/>
          <w:bCs/>
          <w:sz w:val="30"/>
          <w:szCs w:val="30"/>
          <w:lang w:val="en-US" w:eastAsia="zh-CN"/>
        </w:rPr>
        <w:t>4.5主要技术措施</w:t>
      </w:r>
      <w:bookmarkEnd w:id="289"/>
      <w:bookmarkEnd w:id="290"/>
      <w:bookmarkEnd w:id="291"/>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1</w:t>
      </w:r>
      <w:r>
        <w:rPr>
          <w:rFonts w:hint="eastAsia" w:ascii="仿宋_GB2312" w:eastAsia="仿宋_GB2312"/>
          <w:b/>
          <w:sz w:val="28"/>
          <w:szCs w:val="28"/>
          <w:lang w:eastAsia="zh-CN"/>
        </w:rPr>
        <w:t>）</w:t>
      </w:r>
      <w:r>
        <w:rPr>
          <w:rFonts w:hint="eastAsia" w:ascii="仿宋_GB2312" w:eastAsia="仿宋_GB2312"/>
          <w:b/>
          <w:sz w:val="28"/>
          <w:szCs w:val="28"/>
        </w:rPr>
        <w:t>整地</w:t>
      </w:r>
    </w:p>
    <w:p>
      <w:pPr>
        <w:pStyle w:val="2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28"/>
          <w:szCs w:val="28"/>
        </w:rPr>
      </w:pPr>
      <w:r>
        <w:rPr>
          <w:rFonts w:hint="eastAsia" w:ascii="仿宋_GB2312" w:hAnsi="Times New Roman" w:eastAsia="仿宋_GB2312" w:cs="Times New Roman"/>
          <w:color w:val="auto"/>
          <w:kern w:val="2"/>
          <w:sz w:val="28"/>
          <w:szCs w:val="28"/>
          <w:lang w:val="en-US" w:eastAsia="zh-CN" w:bidi="ar-SA"/>
        </w:rPr>
        <w:t>鱼鳞坑整地适用于干旱、半干旱地区的坡地以及需要蓄水保土的石质山地的造林地整地。</w:t>
      </w:r>
      <w:r>
        <w:rPr>
          <w:rFonts w:hint="eastAsia" w:ascii="仿宋_GB2312" w:eastAsia="仿宋_GB2312" w:cs="仿宋"/>
          <w:sz w:val="28"/>
          <w:szCs w:val="28"/>
        </w:rPr>
        <w:t>鱼鳞坑为近似半月形的坑穴，外高内低，长径沿等高线方向展开，一般为0.6m～1.0m，短径略小于长径，深度为30 cm以上。鱼鳞坑两侧45°斜上方挖设1.5m的集雨沟，减少降雨地表径流损失，增加种植穴的蓄水量。工程</w:t>
      </w:r>
      <w:r>
        <w:rPr>
          <w:rFonts w:ascii="仿宋_GB2312" w:eastAsia="仿宋_GB2312" w:cs="仿宋"/>
          <w:sz w:val="28"/>
          <w:szCs w:val="28"/>
        </w:rPr>
        <w:t>整地减少径流7</w:t>
      </w:r>
      <w:r>
        <w:rPr>
          <w:rFonts w:hint="eastAsia" w:ascii="仿宋_GB2312" w:eastAsia="仿宋_GB2312" w:cs="仿宋"/>
          <w:sz w:val="28"/>
          <w:szCs w:val="28"/>
        </w:rPr>
        <w:t>0</w:t>
      </w:r>
      <w:r>
        <w:rPr>
          <w:rFonts w:ascii="仿宋_GB2312" w:eastAsia="仿宋_GB2312" w:cs="仿宋"/>
          <w:sz w:val="28"/>
          <w:szCs w:val="28"/>
        </w:rPr>
        <w:t>%</w:t>
      </w:r>
      <w:r>
        <w:rPr>
          <w:rFonts w:hint="eastAsia" w:ascii="仿宋_GB2312" w:eastAsia="仿宋_GB2312" w:cs="仿宋"/>
          <w:sz w:val="28"/>
          <w:szCs w:val="28"/>
        </w:rPr>
        <w:t>以上</w:t>
      </w:r>
      <w:r>
        <w:rPr>
          <w:rFonts w:hint="eastAsia" w:ascii="仿宋_GB2312" w:eastAsia="仿宋_GB2312" w:cs="仿宋"/>
          <w:sz w:val="28"/>
          <w:szCs w:val="28"/>
          <w:lang w:eastAsia="zh-CN"/>
        </w:rPr>
        <w:t>损失</w:t>
      </w:r>
      <w:r>
        <w:rPr>
          <w:rFonts w:ascii="仿宋_GB2312" w:eastAsia="仿宋_GB2312" w:cs="仿宋"/>
          <w:sz w:val="28"/>
          <w:szCs w:val="28"/>
        </w:rPr>
        <w:t>，</w:t>
      </w:r>
      <w:r>
        <w:rPr>
          <w:rFonts w:hint="eastAsia" w:ascii="仿宋_GB2312" w:eastAsia="仿宋_GB2312" w:cs="仿宋"/>
          <w:sz w:val="28"/>
          <w:szCs w:val="28"/>
        </w:rPr>
        <w:t>有利于</w:t>
      </w:r>
      <w:r>
        <w:rPr>
          <w:rFonts w:ascii="仿宋_GB2312" w:eastAsia="仿宋_GB2312" w:cs="仿宋"/>
          <w:sz w:val="28"/>
          <w:szCs w:val="28"/>
        </w:rPr>
        <w:t>提高造林成活率</w:t>
      </w:r>
      <w:r>
        <w:rPr>
          <w:rFonts w:hint="eastAsia" w:ascii="仿宋_GB2312" w:eastAsia="仿宋_GB2312" w:cs="仿宋"/>
          <w:sz w:val="28"/>
          <w:szCs w:val="28"/>
        </w:rPr>
        <w:t>和林木保存率。</w:t>
      </w:r>
      <w:r>
        <w:rPr>
          <w:rFonts w:hint="eastAsia" w:ascii="仿宋_GB2312" w:eastAsia="仿宋_GB2312"/>
          <w:sz w:val="28"/>
          <w:szCs w:val="28"/>
          <w:lang w:eastAsia="zh-CN"/>
        </w:rPr>
        <w:t>整地时间</w:t>
      </w:r>
      <w:r>
        <w:rPr>
          <w:rFonts w:hint="eastAsia" w:ascii="仿宋_GB2312" w:eastAsia="仿宋_GB2312"/>
          <w:sz w:val="28"/>
          <w:szCs w:val="28"/>
        </w:rPr>
        <w:t>应在雨季前或雨季进行，也可随整随造。</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2</w:t>
      </w:r>
      <w:r>
        <w:rPr>
          <w:rFonts w:hint="eastAsia" w:ascii="仿宋_GB2312" w:eastAsia="仿宋_GB2312"/>
          <w:b/>
          <w:sz w:val="28"/>
          <w:szCs w:val="28"/>
          <w:lang w:eastAsia="zh-CN"/>
        </w:rPr>
        <w:t>）</w:t>
      </w:r>
      <w:r>
        <w:rPr>
          <w:rFonts w:hint="eastAsia" w:ascii="仿宋_GB2312" w:eastAsia="仿宋_GB2312"/>
          <w:b/>
          <w:sz w:val="28"/>
          <w:szCs w:val="28"/>
        </w:rPr>
        <w:t>初植密度</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根据《造林技术规程》</w:t>
      </w:r>
      <w:r>
        <w:rPr>
          <w:rFonts w:hint="eastAsia" w:ascii="仿宋_GB2312" w:eastAsia="仿宋_GB2312"/>
          <w:sz w:val="28"/>
          <w:szCs w:val="28"/>
          <w:lang w:eastAsia="zh-CN"/>
        </w:rPr>
        <w:t>（GB/T 15776-2016）以水定林原则，</w:t>
      </w:r>
      <w:r>
        <w:rPr>
          <w:rFonts w:hint="eastAsia" w:ascii="仿宋_GB2312" w:eastAsia="仿宋_GB2312"/>
          <w:sz w:val="28"/>
          <w:szCs w:val="28"/>
        </w:rPr>
        <w:t>结合现有防护林</w:t>
      </w:r>
      <w:r>
        <w:rPr>
          <w:rFonts w:hint="eastAsia" w:ascii="仿宋_GB2312" w:eastAsia="仿宋_GB2312"/>
          <w:sz w:val="28"/>
          <w:szCs w:val="28"/>
          <w:lang w:eastAsia="zh-CN"/>
        </w:rPr>
        <w:t>株数、密度，补植</w:t>
      </w:r>
      <w:r>
        <w:rPr>
          <w:rFonts w:hint="eastAsia" w:ascii="仿宋_GB2312" w:eastAsia="仿宋_GB2312"/>
          <w:sz w:val="28"/>
          <w:szCs w:val="28"/>
        </w:rPr>
        <w:t>补造修复的</w:t>
      </w:r>
      <w:r>
        <w:rPr>
          <w:rFonts w:hint="eastAsia" w:ascii="仿宋_GB2312" w:eastAsia="仿宋_GB2312"/>
          <w:sz w:val="28"/>
          <w:szCs w:val="28"/>
          <w:lang w:eastAsia="zh-CN"/>
        </w:rPr>
        <w:t>初植</w:t>
      </w:r>
      <w:r>
        <w:rPr>
          <w:rFonts w:hint="eastAsia" w:ascii="仿宋_GB2312" w:eastAsia="仿宋_GB2312"/>
          <w:sz w:val="28"/>
          <w:szCs w:val="28"/>
        </w:rPr>
        <w:t>密度</w:t>
      </w:r>
      <w:r>
        <w:rPr>
          <w:rFonts w:hint="eastAsia" w:ascii="仿宋_GB2312" w:eastAsia="仿宋_GB2312"/>
          <w:sz w:val="28"/>
          <w:szCs w:val="28"/>
          <w:lang w:eastAsia="zh-CN"/>
        </w:rPr>
        <w:t>一般为</w:t>
      </w:r>
      <w:r>
        <w:rPr>
          <w:rFonts w:hint="eastAsia" w:ascii="仿宋_GB2312" w:eastAsia="仿宋_GB2312"/>
          <w:sz w:val="28"/>
          <w:szCs w:val="28"/>
          <w:lang w:val="en-US" w:eastAsia="zh-CN"/>
        </w:rPr>
        <w:t>56</w:t>
      </w:r>
      <w:r>
        <w:rPr>
          <w:rFonts w:hint="eastAsia" w:ascii="仿宋_GB2312" w:eastAsia="仿宋_GB2312" w:cs="仿宋"/>
          <w:sz w:val="28"/>
          <w:szCs w:val="28"/>
        </w:rPr>
        <w:t>～</w:t>
      </w:r>
      <w:r>
        <w:rPr>
          <w:rFonts w:hint="eastAsia" w:ascii="仿宋_GB2312" w:eastAsia="仿宋_GB2312" w:cs="仿宋"/>
          <w:sz w:val="28"/>
          <w:szCs w:val="28"/>
          <w:lang w:val="en-US" w:eastAsia="zh-CN"/>
        </w:rPr>
        <w:t>74</w:t>
      </w:r>
      <w:r>
        <w:rPr>
          <w:rFonts w:hint="eastAsia" w:ascii="仿宋_GB2312" w:eastAsia="仿宋_GB2312"/>
          <w:sz w:val="28"/>
          <w:szCs w:val="28"/>
        </w:rPr>
        <w:t>株</w:t>
      </w:r>
      <w:r>
        <w:rPr>
          <w:rFonts w:hint="eastAsia" w:ascii="仿宋_GB2312" w:eastAsia="仿宋_GB2312"/>
          <w:sz w:val="28"/>
          <w:szCs w:val="28"/>
          <w:lang w:eastAsia="zh-CN"/>
        </w:rPr>
        <w:t>（穴）</w:t>
      </w:r>
      <w:r>
        <w:rPr>
          <w:rFonts w:hint="eastAsia" w:ascii="仿宋_GB2312" w:eastAsia="仿宋_GB2312"/>
          <w:sz w:val="28"/>
          <w:szCs w:val="28"/>
        </w:rPr>
        <w:t>/亩</w:t>
      </w:r>
      <w:r>
        <w:rPr>
          <w:rFonts w:hint="eastAsia" w:ascii="仿宋_GB2312" w:eastAsia="仿宋_GB2312"/>
          <w:sz w:val="28"/>
          <w:szCs w:val="28"/>
          <w:lang w:eastAsia="zh-CN"/>
        </w:rPr>
        <w:t>，</w:t>
      </w:r>
      <w:r>
        <w:rPr>
          <w:rFonts w:hint="eastAsia" w:ascii="仿宋_GB2312" w:eastAsia="仿宋_GB2312"/>
          <w:sz w:val="28"/>
          <w:szCs w:val="28"/>
        </w:rPr>
        <w:t>补造后单位面积株数≥</w:t>
      </w:r>
      <w:r>
        <w:rPr>
          <w:rFonts w:hint="eastAsia" w:ascii="仿宋_GB2312" w:eastAsia="仿宋_GB2312"/>
          <w:sz w:val="28"/>
          <w:szCs w:val="28"/>
          <w:lang w:val="en-US" w:eastAsia="zh-CN"/>
        </w:rPr>
        <w:t>85</w:t>
      </w:r>
      <w:r>
        <w:rPr>
          <w:rFonts w:hint="eastAsia" w:ascii="仿宋_GB2312" w:eastAsia="仿宋_GB2312"/>
          <w:sz w:val="28"/>
          <w:szCs w:val="28"/>
        </w:rPr>
        <w:t>株/亩。</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3</w:t>
      </w:r>
      <w:r>
        <w:rPr>
          <w:rFonts w:hint="eastAsia" w:ascii="仿宋_GB2312" w:eastAsia="仿宋_GB2312"/>
          <w:b/>
          <w:sz w:val="28"/>
          <w:szCs w:val="28"/>
          <w:lang w:eastAsia="zh-CN"/>
        </w:rPr>
        <w:t>）</w:t>
      </w:r>
      <w:r>
        <w:rPr>
          <w:rFonts w:hint="eastAsia" w:ascii="仿宋_GB2312" w:eastAsia="仿宋_GB2312"/>
          <w:b/>
          <w:sz w:val="28"/>
          <w:szCs w:val="28"/>
        </w:rPr>
        <w:t>种植点配置</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在林间空地坡面较完整</w:t>
      </w:r>
      <w:r>
        <w:rPr>
          <w:rFonts w:hint="eastAsia" w:ascii="仿宋_GB2312" w:eastAsia="仿宋_GB2312"/>
          <w:sz w:val="28"/>
          <w:szCs w:val="28"/>
          <w:lang w:eastAsia="zh-CN"/>
        </w:rPr>
        <w:t>及</w:t>
      </w:r>
      <w:r>
        <w:rPr>
          <w:rFonts w:hint="eastAsia" w:ascii="仿宋_GB2312" w:eastAsia="仿宋_GB2312"/>
          <w:sz w:val="28"/>
          <w:szCs w:val="28"/>
        </w:rPr>
        <w:t>缓</w:t>
      </w:r>
      <w:r>
        <w:rPr>
          <w:rFonts w:hint="eastAsia" w:ascii="仿宋_GB2312" w:eastAsia="仿宋_GB2312"/>
          <w:sz w:val="28"/>
          <w:szCs w:val="28"/>
          <w:lang w:eastAsia="zh-CN"/>
        </w:rPr>
        <w:t>坡</w:t>
      </w:r>
      <w:r>
        <w:rPr>
          <w:rFonts w:hint="eastAsia" w:ascii="仿宋_GB2312" w:eastAsia="仿宋_GB2312"/>
          <w:sz w:val="28"/>
          <w:szCs w:val="28"/>
        </w:rPr>
        <w:t>地</w:t>
      </w:r>
      <w:r>
        <w:rPr>
          <w:rFonts w:hint="eastAsia" w:ascii="仿宋_GB2312" w:eastAsia="仿宋_GB2312"/>
          <w:sz w:val="28"/>
          <w:szCs w:val="28"/>
          <w:lang w:eastAsia="zh-CN"/>
        </w:rPr>
        <w:t>段</w:t>
      </w:r>
      <w:r>
        <w:rPr>
          <w:rFonts w:hint="eastAsia" w:ascii="仿宋_GB2312" w:eastAsia="仿宋_GB2312"/>
          <w:sz w:val="28"/>
          <w:szCs w:val="28"/>
        </w:rPr>
        <w:t>采用</w:t>
      </w:r>
      <w:r>
        <w:rPr>
          <w:rFonts w:hint="eastAsia" w:ascii="仿宋_GB2312" w:eastAsia="仿宋_GB2312"/>
          <w:sz w:val="28"/>
          <w:szCs w:val="28"/>
          <w:lang w:eastAsia="zh-CN"/>
        </w:rPr>
        <w:t>品字形</w:t>
      </w:r>
      <w:r>
        <w:rPr>
          <w:rFonts w:hint="eastAsia" w:ascii="仿宋_GB2312" w:eastAsia="仿宋_GB2312"/>
          <w:sz w:val="28"/>
          <w:szCs w:val="28"/>
        </w:rPr>
        <w:t>配置，株行距为</w:t>
      </w:r>
      <w:r>
        <w:rPr>
          <w:rFonts w:hint="eastAsia" w:ascii="仿宋_GB2312" w:eastAsia="仿宋_GB2312"/>
          <w:sz w:val="28"/>
          <w:szCs w:val="28"/>
          <w:lang w:val="en-US" w:eastAsia="zh-CN"/>
        </w:rPr>
        <w:t>2</w:t>
      </w:r>
      <w:r>
        <w:rPr>
          <w:rFonts w:hint="eastAsia" w:ascii="仿宋_GB2312" w:eastAsia="仿宋_GB2312"/>
          <w:sz w:val="28"/>
          <w:szCs w:val="28"/>
        </w:rPr>
        <w:t>×3</w:t>
      </w:r>
      <w:r>
        <w:rPr>
          <w:rFonts w:hint="eastAsia" w:ascii="仿宋_GB2312" w:eastAsia="仿宋_GB2312" w:cs="仿宋"/>
          <w:sz w:val="28"/>
          <w:szCs w:val="28"/>
        </w:rPr>
        <w:t>～</w:t>
      </w:r>
      <w:r>
        <w:rPr>
          <w:rFonts w:hint="eastAsia" w:ascii="仿宋_GB2312" w:eastAsia="仿宋_GB2312" w:cs="仿宋"/>
          <w:sz w:val="28"/>
          <w:szCs w:val="28"/>
          <w:lang w:val="en-US" w:eastAsia="zh-CN"/>
        </w:rPr>
        <w:t>3</w:t>
      </w:r>
      <w:r>
        <w:rPr>
          <w:rFonts w:hint="eastAsia" w:ascii="仿宋_GB2312" w:eastAsia="仿宋_GB2312"/>
          <w:sz w:val="28"/>
          <w:szCs w:val="28"/>
        </w:rPr>
        <w:t>×</w:t>
      </w:r>
      <w:r>
        <w:rPr>
          <w:rFonts w:hint="eastAsia" w:ascii="仿宋_GB2312" w:eastAsia="仿宋_GB2312"/>
          <w:sz w:val="28"/>
          <w:szCs w:val="28"/>
          <w:lang w:val="en-US" w:eastAsia="zh-CN"/>
        </w:rPr>
        <w:t>3</w:t>
      </w:r>
      <w:r>
        <w:rPr>
          <w:rFonts w:hint="eastAsia" w:ascii="仿宋_GB2312" w:eastAsia="仿宋_GB2312"/>
          <w:sz w:val="28"/>
          <w:szCs w:val="28"/>
        </w:rPr>
        <w:t>m；</w:t>
      </w:r>
      <w:r>
        <w:rPr>
          <w:rFonts w:hint="eastAsia" w:ascii="仿宋_GB2312" w:eastAsia="仿宋_GB2312"/>
          <w:sz w:val="28"/>
          <w:szCs w:val="28"/>
          <w:lang w:eastAsia="zh-CN"/>
        </w:rPr>
        <w:t>地形</w:t>
      </w:r>
      <w:r>
        <w:rPr>
          <w:rFonts w:hint="eastAsia" w:ascii="仿宋_GB2312" w:eastAsia="仿宋_GB2312"/>
          <w:sz w:val="28"/>
          <w:szCs w:val="28"/>
        </w:rPr>
        <w:t>破碎的地段补植点的位置应灵活掌握，应不拘于株行距的规定，但要保证单位面积上的种植点的数量。</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4</w:t>
      </w:r>
      <w:r>
        <w:rPr>
          <w:rFonts w:hint="eastAsia" w:ascii="仿宋_GB2312" w:eastAsia="仿宋_GB2312"/>
          <w:b/>
          <w:sz w:val="28"/>
          <w:szCs w:val="28"/>
          <w:lang w:eastAsia="zh-CN"/>
        </w:rPr>
        <w:t>）</w:t>
      </w:r>
      <w:r>
        <w:rPr>
          <w:rFonts w:hint="eastAsia" w:ascii="仿宋_GB2312" w:eastAsia="仿宋_GB2312"/>
          <w:b/>
          <w:sz w:val="28"/>
          <w:szCs w:val="28"/>
        </w:rPr>
        <w:t>栽植</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补植</w:t>
      </w:r>
      <w:r>
        <w:rPr>
          <w:rFonts w:hint="eastAsia" w:ascii="仿宋_GB2312" w:eastAsia="仿宋_GB2312"/>
          <w:sz w:val="28"/>
          <w:szCs w:val="28"/>
        </w:rPr>
        <w:t>补造修复时间为春季或秋季。春季造林在土壤解冻后4月份进行。秋季造林从秋末开始，至土壤结冻停止。</w:t>
      </w:r>
      <w:r>
        <w:rPr>
          <w:rFonts w:hint="eastAsia" w:ascii="仿宋_GB2312" w:eastAsia="仿宋_GB2312" w:cs="仿宋"/>
          <w:sz w:val="28"/>
          <w:szCs w:val="28"/>
        </w:rPr>
        <w:t>栽植方法为人工植苗造林。栽植时按照“三埋二踏一提苗”的技术要求栽植，将熟化的土壤回填栽植穴中部，做到“苗端、根展、踩实”。栽植后挖设集雨沟，并进行整穴，以保持土壤水分，提高造林成活率。</w:t>
      </w:r>
      <w:r>
        <w:rPr>
          <w:rFonts w:hint="eastAsia" w:ascii="仿宋_GB2312" w:eastAsia="仿宋_GB2312"/>
          <w:sz w:val="28"/>
          <w:szCs w:val="28"/>
        </w:rPr>
        <w:t>严重干旱时栽植后要及时浇水。</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5</w:t>
      </w:r>
      <w:r>
        <w:rPr>
          <w:rFonts w:hint="eastAsia" w:ascii="仿宋_GB2312" w:eastAsia="仿宋_GB2312"/>
          <w:b/>
          <w:sz w:val="28"/>
          <w:szCs w:val="28"/>
          <w:lang w:eastAsia="zh-CN"/>
        </w:rPr>
        <w:t>）</w:t>
      </w:r>
      <w:r>
        <w:rPr>
          <w:rFonts w:hint="eastAsia" w:ascii="仿宋_GB2312" w:eastAsia="仿宋_GB2312"/>
          <w:b/>
          <w:sz w:val="28"/>
          <w:szCs w:val="28"/>
        </w:rPr>
        <w:t>成活率调查与补植</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成活率调查应在新造幼林经过一个生长季节后进行，秋季造林成活率调查时间在第二年秋季进行。调查方法是在当年所有造林小班内选设具有代表性的标准地，分别计数成活与死亡株数。调查结果分别按成活率85%以上、41～85%、41%以下三级统计。成活率在41%以下的必须重新造林，成活率在41～84%的按初植密度必须及时进行补植(补植量按初植密度的10%计算)。</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6</w:t>
      </w:r>
      <w:r>
        <w:rPr>
          <w:rFonts w:hint="eastAsia" w:ascii="仿宋_GB2312" w:eastAsia="仿宋_GB2312"/>
          <w:b/>
          <w:sz w:val="28"/>
          <w:szCs w:val="28"/>
          <w:lang w:eastAsia="zh-CN"/>
        </w:rPr>
        <w:t>）</w:t>
      </w:r>
      <w:r>
        <w:rPr>
          <w:rFonts w:hint="eastAsia" w:ascii="仿宋_GB2312" w:eastAsia="仿宋_GB2312"/>
          <w:b/>
          <w:sz w:val="28"/>
          <w:szCs w:val="28"/>
        </w:rPr>
        <w:t>幼林抚育</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幼林抚育是指在造林后至郁闭前这一段时间里所进行的各种技术措施。通过松土、除草、扩穴等改善土壤理化性质，给幼苗幼树创造一个良好的生长环境。造林后3年内每年抚育2次。抚育的主要内容是松土、除草、除萌、扩穴、砍灌、培土、整枝、林业有害生物防治等。松土除草要做到“三不伤、二干净、一培土”，即不伤根、不伤皮、不伤树梢；杂草除干净、石块捡干净；把除松的土培到根际，并把除掉的杂草覆盖到树根附近，以减少水分蒸发和增加有机质。松土深度要适当，做到里浅外深，造林后第一年浅，以后逐年加深。发现病、虫、鼠、兔等林业有害生物要及时进行防治。</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7</w:t>
      </w:r>
      <w:r>
        <w:rPr>
          <w:rFonts w:hint="eastAsia" w:ascii="仿宋_GB2312" w:eastAsia="仿宋_GB2312"/>
          <w:b/>
          <w:sz w:val="28"/>
          <w:szCs w:val="28"/>
          <w:lang w:eastAsia="zh-CN"/>
        </w:rPr>
        <w:t>）</w:t>
      </w:r>
      <w:r>
        <w:rPr>
          <w:rFonts w:hint="eastAsia" w:ascii="仿宋_GB2312" w:eastAsia="仿宋_GB2312"/>
          <w:b/>
          <w:sz w:val="28"/>
          <w:szCs w:val="28"/>
        </w:rPr>
        <w:t>管护</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补造修复后，加强对造林地的管护工作，县林业局要与实施单位签订管护责任书，补造修复作业区按现有的专职或兼职护林员进行管护，确保新造林及时郁闭成林。严禁在项目区附近烧荒和牲畜进入补造修复地块，一经发现，严格按照《森林法》和《陕西省封山禁牧条例》的有关条款进行处罚。</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8</w:t>
      </w:r>
      <w:r>
        <w:rPr>
          <w:rFonts w:hint="eastAsia" w:ascii="仿宋_GB2312" w:eastAsia="仿宋_GB2312"/>
          <w:b/>
          <w:sz w:val="28"/>
          <w:szCs w:val="28"/>
          <w:lang w:eastAsia="zh-CN"/>
        </w:rPr>
        <w:t>）</w:t>
      </w:r>
      <w:r>
        <w:rPr>
          <w:rFonts w:hint="eastAsia" w:ascii="仿宋_GB2312" w:eastAsia="仿宋_GB2312"/>
          <w:b/>
          <w:sz w:val="28"/>
          <w:szCs w:val="28"/>
        </w:rPr>
        <w:t>抗旱造林技术应用</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为确保造林成活率，提高造林质量，对于阔叶树种</w:t>
      </w:r>
      <w:r>
        <w:rPr>
          <w:rFonts w:hint="eastAsia" w:ascii="仿宋_GB2312" w:eastAsia="仿宋_GB2312"/>
          <w:sz w:val="28"/>
          <w:szCs w:val="28"/>
          <w:lang w:eastAsia="zh-CN"/>
        </w:rPr>
        <w:t>如山桃、山杏等</w:t>
      </w:r>
      <w:r>
        <w:rPr>
          <w:rFonts w:hint="eastAsia" w:ascii="仿宋_GB2312" w:eastAsia="仿宋_GB2312"/>
          <w:sz w:val="28"/>
          <w:szCs w:val="28"/>
        </w:rPr>
        <w:t>，可在栽植前将根系蘸上稀稠适当的泥桨</w:t>
      </w:r>
      <w:r>
        <w:rPr>
          <w:rFonts w:hint="eastAsia" w:ascii="仿宋_GB2312" w:eastAsia="仿宋_GB2312"/>
          <w:sz w:val="28"/>
          <w:szCs w:val="28"/>
          <w:lang w:eastAsia="zh-CN"/>
        </w:rPr>
        <w:t>，或者</w:t>
      </w:r>
      <w:r>
        <w:rPr>
          <w:rFonts w:hint="eastAsia" w:ascii="仿宋_GB2312" w:eastAsia="仿宋_GB2312"/>
          <w:sz w:val="28"/>
          <w:szCs w:val="28"/>
        </w:rPr>
        <w:t>积极应用</w:t>
      </w:r>
      <w:r>
        <w:rPr>
          <w:rFonts w:hint="eastAsia" w:ascii="仿宋_GB2312" w:hAnsi="仿宋_GB2312" w:eastAsia="仿宋_GB2312" w:cs="仿宋"/>
          <w:sz w:val="28"/>
          <w:szCs w:val="28"/>
        </w:rPr>
        <w:t>GGR(绿色植物生长调节剂)技术。栽植前将苗木根系放入25～50ppm的GGR溶液中蘸根0.5～2</w:t>
      </w:r>
      <w:r>
        <w:rPr>
          <w:rFonts w:hint="eastAsia" w:ascii="仿宋_GB2312" w:hAnsi="仿宋_GB2312" w:eastAsia="仿宋_GB2312" w:cs="仿宋"/>
          <w:sz w:val="28"/>
          <w:szCs w:val="28"/>
          <w:lang w:eastAsia="zh-CN"/>
        </w:rPr>
        <w:t>小时后</w:t>
      </w:r>
      <w:r>
        <w:rPr>
          <w:rFonts w:hint="eastAsia" w:ascii="仿宋_GB2312" w:hAnsi="仿宋_GB2312" w:eastAsia="仿宋_GB2312" w:cs="仿宋"/>
          <w:sz w:val="28"/>
          <w:szCs w:val="28"/>
        </w:rPr>
        <w:t>栽植。25～50ppm的GGR溶液的配置为每1g GGR粉剂加水20～40kg。</w:t>
      </w:r>
      <w:r>
        <w:rPr>
          <w:rFonts w:hint="eastAsia" w:ascii="仿宋_GB2312" w:hAnsi="仿宋_GB2312" w:eastAsia="仿宋_GB2312" w:cs="仿宋"/>
          <w:sz w:val="28"/>
          <w:szCs w:val="28"/>
          <w:lang w:eastAsia="zh-CN"/>
        </w:rPr>
        <w:t>另外，</w:t>
      </w:r>
      <w:r>
        <w:rPr>
          <w:rFonts w:hint="eastAsia" w:ascii="仿宋_GB2312" w:eastAsia="仿宋_GB2312"/>
          <w:sz w:val="28"/>
          <w:szCs w:val="28"/>
        </w:rPr>
        <w:t>对于萌芽能力强的树种，可进行截干处理，留干高度为地上部分10cm</w:t>
      </w:r>
      <w:r>
        <w:rPr>
          <w:rFonts w:hint="eastAsia" w:ascii="仿宋_GB2312" w:eastAsia="仿宋_GB2312"/>
          <w:sz w:val="28"/>
          <w:szCs w:val="28"/>
          <w:lang w:eastAsia="zh-CN"/>
        </w:rPr>
        <w:t>左右</w:t>
      </w:r>
      <w:r>
        <w:rPr>
          <w:rFonts w:hint="eastAsia" w:ascii="仿宋_GB2312" w:eastAsia="仿宋_GB2312"/>
          <w:sz w:val="28"/>
          <w:szCs w:val="28"/>
        </w:rPr>
        <w:t>，</w:t>
      </w:r>
      <w:r>
        <w:rPr>
          <w:rFonts w:hint="eastAsia" w:ascii="仿宋_GB2312" w:eastAsia="仿宋_GB2312"/>
          <w:sz w:val="28"/>
          <w:szCs w:val="28"/>
          <w:lang w:eastAsia="zh-CN"/>
        </w:rPr>
        <w:t>最长</w:t>
      </w:r>
      <w:r>
        <w:rPr>
          <w:rFonts w:hint="eastAsia" w:ascii="仿宋_GB2312" w:eastAsia="仿宋_GB2312"/>
          <w:sz w:val="28"/>
          <w:szCs w:val="28"/>
        </w:rPr>
        <w:t>不超过15cm。</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92" w:name="_Toc30820"/>
      <w:bookmarkStart w:id="293" w:name="_Toc14203"/>
      <w:bookmarkStart w:id="294" w:name="_Toc14107"/>
      <w:r>
        <w:rPr>
          <w:rFonts w:hint="eastAsia" w:ascii="黑体" w:hAnsi="黑体"/>
          <w:b/>
          <w:bCs/>
          <w:sz w:val="30"/>
          <w:szCs w:val="30"/>
          <w:lang w:val="en-US" w:eastAsia="zh-CN"/>
        </w:rPr>
        <w:t>4.6检查验收</w:t>
      </w:r>
      <w:bookmarkEnd w:id="292"/>
      <w:bookmarkEnd w:id="293"/>
      <w:bookmarkEnd w:id="294"/>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项目实施后，建设单位按照《三北防护林退化林分修复技术</w:t>
      </w:r>
      <w:r>
        <w:rPr>
          <w:rFonts w:hint="eastAsia" w:ascii="仿宋_GB2312" w:eastAsia="仿宋_GB2312"/>
          <w:sz w:val="28"/>
          <w:szCs w:val="28"/>
          <w:lang w:eastAsia="zh-CN"/>
        </w:rPr>
        <w:t>规程</w:t>
      </w:r>
      <w:r>
        <w:rPr>
          <w:rFonts w:hint="eastAsia" w:ascii="仿宋_GB2312" w:eastAsia="仿宋_GB2312"/>
          <w:sz w:val="28"/>
          <w:szCs w:val="28"/>
        </w:rPr>
        <w:t>(LY/T2786--2017)》</w:t>
      </w:r>
      <w:r>
        <w:rPr>
          <w:rFonts w:hint="eastAsia" w:ascii="仿宋_GB2312" w:eastAsia="仿宋_GB2312"/>
          <w:sz w:val="28"/>
          <w:szCs w:val="28"/>
          <w:lang w:eastAsia="zh-CN"/>
        </w:rPr>
        <w:t>及其它相关要求</w:t>
      </w:r>
      <w:r>
        <w:rPr>
          <w:rFonts w:hint="eastAsia" w:ascii="仿宋_GB2312" w:eastAsia="仿宋_GB2312"/>
          <w:sz w:val="28"/>
          <w:szCs w:val="28"/>
        </w:rPr>
        <w:t>进行检查验收。</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1</w:t>
      </w:r>
      <w:r>
        <w:rPr>
          <w:rFonts w:hint="eastAsia" w:ascii="仿宋_GB2312" w:eastAsia="仿宋_GB2312"/>
          <w:sz w:val="28"/>
          <w:szCs w:val="28"/>
          <w:lang w:eastAsia="zh-CN"/>
        </w:rPr>
        <w:t>）</w:t>
      </w:r>
      <w:r>
        <w:rPr>
          <w:rFonts w:hint="eastAsia" w:ascii="仿宋_GB2312" w:eastAsia="仿宋_GB2312"/>
          <w:sz w:val="28"/>
          <w:szCs w:val="28"/>
        </w:rPr>
        <w:t>检查验收程序：先由施工单位逐地块(作业小班)进行检查，然后向建设单位提交检查验收报告和申请验收报告，项目建设单位组织检查验收人员进行全面的检查验收。</w:t>
      </w:r>
    </w:p>
    <w:p>
      <w:pPr>
        <w:spacing w:line="560" w:lineRule="exact"/>
        <w:ind w:firstLine="560" w:firstLineChars="200"/>
        <w:rPr>
          <w:rFonts w:hint="default" w:ascii="仿宋_GB2312" w:eastAsia="仿宋_GB2312"/>
          <w:sz w:val="28"/>
          <w:szCs w:val="28"/>
          <w:lang w:val="en-US"/>
        </w:rPr>
      </w:pPr>
      <w:r>
        <w:rPr>
          <w:rFonts w:hint="eastAsia" w:ascii="仿宋_GB2312" w:eastAsia="仿宋_GB2312"/>
          <w:sz w:val="28"/>
          <w:szCs w:val="28"/>
          <w:lang w:eastAsia="zh-CN"/>
        </w:rPr>
        <w:t>（</w:t>
      </w:r>
      <w:r>
        <w:rPr>
          <w:rFonts w:hint="eastAsia" w:ascii="仿宋_GB2312" w:eastAsia="仿宋_GB2312"/>
          <w:sz w:val="28"/>
          <w:szCs w:val="28"/>
          <w:lang w:val="en-US" w:eastAsia="zh-CN"/>
        </w:rPr>
        <w:t>2</w:t>
      </w:r>
      <w:r>
        <w:rPr>
          <w:rFonts w:hint="eastAsia" w:ascii="仿宋_GB2312" w:eastAsia="仿宋_GB2312"/>
          <w:sz w:val="28"/>
          <w:szCs w:val="28"/>
          <w:lang w:eastAsia="zh-CN"/>
        </w:rPr>
        <w:t>）</w:t>
      </w:r>
      <w:r>
        <w:rPr>
          <w:rFonts w:hint="eastAsia" w:ascii="仿宋_GB2312" w:eastAsia="仿宋_GB2312"/>
          <w:sz w:val="28"/>
          <w:szCs w:val="28"/>
        </w:rPr>
        <w:t>检查验收标准：当年造林成活率达到85%以上；三年乔木株数保存率</w:t>
      </w:r>
      <w:r>
        <w:rPr>
          <w:rFonts w:hint="eastAsia" w:ascii="仿宋_GB2312" w:eastAsia="仿宋_GB2312"/>
          <w:sz w:val="28"/>
          <w:szCs w:val="28"/>
          <w:lang w:eastAsia="zh-CN"/>
        </w:rPr>
        <w:t>不低于</w:t>
      </w:r>
      <w:r>
        <w:rPr>
          <w:rFonts w:hint="eastAsia" w:ascii="仿宋_GB2312" w:eastAsia="仿宋_GB2312"/>
          <w:sz w:val="28"/>
          <w:szCs w:val="28"/>
        </w:rPr>
        <w:t>80%，造林面积核实率达到100%</w:t>
      </w:r>
      <w:r>
        <w:rPr>
          <w:rFonts w:hint="eastAsia" w:ascii="仿宋_GB2312" w:eastAsia="仿宋_GB2312"/>
          <w:sz w:val="28"/>
          <w:szCs w:val="28"/>
          <w:lang w:eastAsia="zh-CN"/>
        </w:rPr>
        <w:t>；小班修复面积不低于小班面积的</w:t>
      </w:r>
      <w:r>
        <w:rPr>
          <w:rFonts w:hint="eastAsia" w:ascii="仿宋_GB2312" w:eastAsia="仿宋_GB2312"/>
          <w:sz w:val="28"/>
          <w:szCs w:val="28"/>
          <w:lang w:val="en-US" w:eastAsia="zh-CN"/>
        </w:rPr>
        <w:t>80%；补造修复面积不低于年度任务（作业区）设计小班修复面积的70%。</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3</w:t>
      </w:r>
      <w:r>
        <w:rPr>
          <w:rFonts w:hint="eastAsia" w:ascii="仿宋_GB2312" w:eastAsia="仿宋_GB2312"/>
          <w:sz w:val="28"/>
          <w:szCs w:val="28"/>
          <w:lang w:eastAsia="zh-CN"/>
        </w:rPr>
        <w:t>）</w:t>
      </w:r>
      <w:r>
        <w:rPr>
          <w:rFonts w:hint="eastAsia" w:ascii="仿宋_GB2312" w:eastAsia="仿宋_GB2312"/>
          <w:sz w:val="28"/>
          <w:szCs w:val="28"/>
        </w:rPr>
        <w:t>成活(保存)率调查方法：采用样行或样地等方法进行调查。在样行或样地内计数总的人工造林株</w:t>
      </w:r>
      <w:r>
        <w:rPr>
          <w:rFonts w:hint="eastAsia" w:ascii="仿宋_GB2312" w:eastAsia="仿宋_GB2312"/>
          <w:sz w:val="28"/>
          <w:szCs w:val="28"/>
          <w:lang w:eastAsia="zh-CN"/>
        </w:rPr>
        <w:t>数</w:t>
      </w:r>
      <w:r>
        <w:rPr>
          <w:rFonts w:hint="eastAsia" w:ascii="仿宋_GB2312" w:eastAsia="仿宋_GB2312"/>
          <w:sz w:val="28"/>
          <w:szCs w:val="28"/>
        </w:rPr>
        <w:t>(包括死苗、缺苗)以及保存株树。按</w:t>
      </w:r>
      <w:r>
        <w:rPr>
          <w:rFonts w:hint="eastAsia" w:ascii="仿宋_GB2312" w:eastAsia="仿宋_GB2312"/>
          <w:sz w:val="28"/>
          <w:szCs w:val="28"/>
          <w:lang w:eastAsia="zh-CN"/>
        </w:rPr>
        <w:t>每</w:t>
      </w:r>
      <w:r>
        <w:rPr>
          <w:rFonts w:hint="eastAsia" w:ascii="仿宋_GB2312" w:eastAsia="仿宋_GB2312"/>
          <w:sz w:val="28"/>
          <w:szCs w:val="28"/>
        </w:rPr>
        <w:t>穴1株计。</w:t>
      </w:r>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4</w:t>
      </w:r>
      <w:r>
        <w:rPr>
          <w:rFonts w:hint="eastAsia" w:ascii="仿宋_GB2312" w:eastAsia="仿宋_GB2312"/>
          <w:sz w:val="28"/>
          <w:szCs w:val="28"/>
          <w:lang w:eastAsia="zh-CN"/>
        </w:rPr>
        <w:t>）</w:t>
      </w:r>
      <w:r>
        <w:rPr>
          <w:rFonts w:hint="eastAsia" w:ascii="仿宋_GB2312" w:eastAsia="仿宋_GB2312"/>
          <w:sz w:val="28"/>
          <w:szCs w:val="28"/>
        </w:rPr>
        <w:t>样行或样地面积比例：小班面积在150亩以下时，样行或样地应不少于小班面积的3%；150～300亩应不少于2%；300亩以上应不少于1%。样行数按小班应调查的样行面积确定，每个小班不少于3行</w:t>
      </w:r>
      <w:r>
        <w:rPr>
          <w:rFonts w:hint="eastAsia" w:ascii="仿宋_GB2312" w:eastAsia="仿宋_GB2312"/>
          <w:sz w:val="28"/>
          <w:szCs w:val="28"/>
          <w:lang w:eastAsia="zh-CN"/>
        </w:rPr>
        <w:t>。</w:t>
      </w:r>
      <w:r>
        <w:rPr>
          <w:rFonts w:hint="eastAsia" w:ascii="仿宋_GB2312" w:eastAsia="仿宋_GB2312"/>
          <w:sz w:val="28"/>
          <w:szCs w:val="28"/>
        </w:rPr>
        <w:t>样地设置为带状样地，带宽5m，机械布设，样地数按小班应调查的样地面积确定，每个小班不少于3块</w:t>
      </w:r>
      <w:r>
        <w:rPr>
          <w:rFonts w:hint="eastAsia" w:ascii="仿宋_GB2312" w:eastAsia="仿宋_GB2312"/>
          <w:sz w:val="28"/>
          <w:szCs w:val="28"/>
          <w:lang w:eastAsia="zh-CN"/>
        </w:rPr>
        <w:t>。</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295" w:name="_Toc28706"/>
      <w:bookmarkStart w:id="296" w:name="_Toc13761"/>
      <w:bookmarkStart w:id="297" w:name="_Toc17825"/>
      <w:r>
        <w:rPr>
          <w:rFonts w:hint="eastAsia" w:ascii="黑体" w:hAnsi="黑体"/>
          <w:b/>
          <w:bCs/>
          <w:sz w:val="30"/>
          <w:szCs w:val="30"/>
          <w:lang w:val="en-US" w:eastAsia="zh-CN"/>
        </w:rPr>
        <w:t>4.</w:t>
      </w:r>
      <w:bookmarkEnd w:id="295"/>
      <w:bookmarkStart w:id="298" w:name="_Toc8262"/>
      <w:r>
        <w:rPr>
          <w:rFonts w:hint="eastAsia" w:ascii="黑体" w:hAnsi="黑体"/>
          <w:b/>
          <w:bCs/>
          <w:sz w:val="30"/>
          <w:szCs w:val="30"/>
          <w:lang w:val="en-US" w:eastAsia="zh-CN"/>
        </w:rPr>
        <w:t>7苗木需要量</w:t>
      </w:r>
      <w:bookmarkEnd w:id="298"/>
      <w:r>
        <w:rPr>
          <w:rFonts w:hint="eastAsia" w:ascii="黑体" w:hAnsi="黑体"/>
          <w:b/>
          <w:bCs/>
          <w:sz w:val="30"/>
          <w:szCs w:val="30"/>
          <w:lang w:val="en-US" w:eastAsia="zh-CN"/>
        </w:rPr>
        <w:t>及用工量</w:t>
      </w:r>
      <w:bookmarkEnd w:id="296"/>
      <w:bookmarkEnd w:id="297"/>
    </w:p>
    <w:p>
      <w:pPr>
        <w:pStyle w:val="11"/>
        <w:spacing w:before="0" w:beforeAutospacing="0" w:after="0" w:afterAutospacing="0" w:line="560" w:lineRule="exact"/>
        <w:ind w:firstLine="562" w:firstLineChars="200"/>
        <w:jc w:val="both"/>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1</w:t>
      </w:r>
      <w:r>
        <w:rPr>
          <w:rFonts w:hint="eastAsia" w:ascii="仿宋_GB2312" w:eastAsia="仿宋_GB2312"/>
          <w:b/>
          <w:sz w:val="28"/>
          <w:szCs w:val="28"/>
          <w:lang w:eastAsia="zh-CN"/>
        </w:rPr>
        <w:t>）</w:t>
      </w:r>
      <w:r>
        <w:rPr>
          <w:rFonts w:hint="eastAsia" w:ascii="仿宋_GB2312" w:eastAsia="仿宋_GB2312"/>
          <w:b/>
          <w:sz w:val="28"/>
          <w:szCs w:val="28"/>
        </w:rPr>
        <w:t>苗木来源</w:t>
      </w:r>
    </w:p>
    <w:p>
      <w:pPr>
        <w:pStyle w:val="11"/>
        <w:spacing w:before="0" w:beforeAutospacing="0" w:after="0" w:afterAutospacing="0" w:line="560" w:lineRule="exact"/>
        <w:ind w:firstLine="560" w:firstLineChars="200"/>
        <w:jc w:val="both"/>
        <w:rPr>
          <w:rFonts w:hint="eastAsia" w:ascii="仿宋_GB2312" w:eastAsia="仿宋_GB2312"/>
          <w:sz w:val="28"/>
          <w:szCs w:val="28"/>
        </w:rPr>
      </w:pPr>
      <w:r>
        <w:rPr>
          <w:rFonts w:hint="eastAsia" w:ascii="仿宋_GB2312" w:eastAsia="仿宋_GB2312"/>
          <w:sz w:val="28"/>
          <w:szCs w:val="28"/>
        </w:rPr>
        <w:t>补造修复所需苗木全部采用本县内自产油松苗，苗木调拨时尽量选择气候条件、立地条件相近地区的苗木，同时要注意对苗木的检疫。</w:t>
      </w:r>
    </w:p>
    <w:p>
      <w:pPr>
        <w:pStyle w:val="11"/>
        <w:spacing w:before="0" w:beforeAutospacing="0" w:after="0" w:afterAutospacing="0" w:line="560" w:lineRule="exact"/>
        <w:ind w:firstLine="562" w:firstLineChars="200"/>
        <w:jc w:val="both"/>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2</w:t>
      </w:r>
      <w:r>
        <w:rPr>
          <w:rFonts w:hint="eastAsia" w:ascii="仿宋_GB2312" w:eastAsia="仿宋_GB2312"/>
          <w:b/>
          <w:sz w:val="28"/>
          <w:szCs w:val="28"/>
          <w:lang w:eastAsia="zh-CN"/>
        </w:rPr>
        <w:t>）</w:t>
      </w:r>
      <w:r>
        <w:rPr>
          <w:rFonts w:hint="eastAsia" w:ascii="仿宋_GB2312" w:eastAsia="仿宋_GB2312"/>
          <w:b/>
          <w:sz w:val="28"/>
          <w:szCs w:val="28"/>
        </w:rPr>
        <w:t>苗木质量</w:t>
      </w:r>
    </w:p>
    <w:p>
      <w:pPr>
        <w:pStyle w:val="11"/>
        <w:spacing w:before="0" w:beforeAutospacing="0" w:after="0" w:afterAutospacing="0" w:line="560" w:lineRule="exact"/>
        <w:ind w:firstLine="560" w:firstLineChars="200"/>
        <w:jc w:val="both"/>
        <w:rPr>
          <w:rFonts w:hint="eastAsia" w:ascii="仿宋_GB2312" w:eastAsia="仿宋_GB2312"/>
          <w:sz w:val="28"/>
        </w:rPr>
      </w:pPr>
      <w:r>
        <w:rPr>
          <w:rFonts w:hint="eastAsia" w:ascii="仿宋_GB2312" w:eastAsia="仿宋_GB2312"/>
          <w:sz w:val="28"/>
        </w:rPr>
        <w:t>苗木质量符合《主要造林树种苗木质量分级》(DB61/T-2006)标准要求的Ⅰ级以上的优质苗木。</w:t>
      </w:r>
      <w:r>
        <w:rPr>
          <w:rFonts w:hint="eastAsia" w:ascii="仿宋_GB2312" w:eastAsia="仿宋_GB2312"/>
          <w:sz w:val="28"/>
          <w:lang w:eastAsia="zh-CN"/>
        </w:rPr>
        <w:t>具体</w:t>
      </w:r>
      <w:r>
        <w:rPr>
          <w:rFonts w:hint="eastAsia" w:ascii="仿宋_GB2312" w:eastAsia="仿宋_GB2312"/>
          <w:sz w:val="28"/>
          <w:szCs w:val="28"/>
        </w:rPr>
        <w:t>标准如下：</w:t>
      </w:r>
    </w:p>
    <w:p>
      <w:pPr>
        <w:topLinePunct/>
        <w:spacing w:line="360" w:lineRule="exact"/>
        <w:jc w:val="center"/>
        <w:rPr>
          <w:rFonts w:hint="eastAsia" w:ascii="仿宋_GB2312" w:hAnsi="宋体" w:eastAsia="仿宋_GB2312"/>
          <w:b/>
          <w:kern w:val="0"/>
          <w:sz w:val="28"/>
          <w:szCs w:val="28"/>
        </w:rPr>
      </w:pPr>
      <w:r>
        <w:rPr>
          <w:rFonts w:hint="eastAsia" w:ascii="宋体" w:hAnsi="宋体" w:eastAsia="宋体" w:cs="宋体"/>
          <w:b/>
          <w:kern w:val="0"/>
          <w:sz w:val="24"/>
          <w:szCs w:val="24"/>
        </w:rPr>
        <w:t>苗木质量标准表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3"/>
        <w:gridCol w:w="1088"/>
        <w:gridCol w:w="857"/>
        <w:gridCol w:w="1166"/>
        <w:gridCol w:w="1136"/>
        <w:gridCol w:w="3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tblHeader/>
          <w:jc w:val="center"/>
        </w:trPr>
        <w:tc>
          <w:tcPr>
            <w:tcW w:w="943" w:type="dxa"/>
            <w:vMerge w:val="restart"/>
            <w:noWrap w:val="0"/>
            <w:vAlign w:val="center"/>
          </w:tcPr>
          <w:p>
            <w:pPr>
              <w:topLinePunct/>
              <w:spacing w:line="240" w:lineRule="exact"/>
              <w:jc w:val="center"/>
              <w:rPr>
                <w:rFonts w:hint="eastAsia" w:ascii="宋体" w:hAnsi="宋体" w:eastAsia="宋体" w:cs="宋体"/>
                <w:sz w:val="21"/>
                <w:szCs w:val="21"/>
              </w:rPr>
            </w:pPr>
            <w:r>
              <w:rPr>
                <w:rFonts w:hint="eastAsia" w:ascii="宋体" w:hAnsi="宋体" w:eastAsia="宋体" w:cs="宋体"/>
                <w:sz w:val="21"/>
                <w:szCs w:val="21"/>
              </w:rPr>
              <w:t>树种</w:t>
            </w:r>
          </w:p>
        </w:tc>
        <w:tc>
          <w:tcPr>
            <w:tcW w:w="1088" w:type="dxa"/>
            <w:vMerge w:val="restart"/>
            <w:noWrap w:val="0"/>
            <w:vAlign w:val="center"/>
          </w:tcPr>
          <w:p>
            <w:pPr>
              <w:topLinePunct/>
              <w:spacing w:line="240" w:lineRule="exact"/>
              <w:jc w:val="center"/>
              <w:rPr>
                <w:rFonts w:hint="eastAsia" w:ascii="宋体" w:hAnsi="宋体" w:eastAsia="宋体" w:cs="宋体"/>
                <w:sz w:val="21"/>
                <w:szCs w:val="21"/>
              </w:rPr>
            </w:pPr>
            <w:r>
              <w:rPr>
                <w:rFonts w:hint="eastAsia" w:ascii="宋体" w:hAnsi="宋体" w:eastAsia="宋体" w:cs="宋体"/>
                <w:sz w:val="21"/>
                <w:szCs w:val="21"/>
              </w:rPr>
              <w:t>苗木种类</w:t>
            </w:r>
          </w:p>
        </w:tc>
        <w:tc>
          <w:tcPr>
            <w:tcW w:w="3159" w:type="dxa"/>
            <w:gridSpan w:val="3"/>
            <w:noWrap w:val="0"/>
            <w:vAlign w:val="center"/>
          </w:tcPr>
          <w:p>
            <w:pPr>
              <w:topLinePunct/>
              <w:spacing w:line="240" w:lineRule="exact"/>
              <w:jc w:val="center"/>
              <w:rPr>
                <w:rFonts w:hint="eastAsia" w:ascii="宋体" w:hAnsi="宋体" w:eastAsia="宋体" w:cs="宋体"/>
                <w:sz w:val="21"/>
                <w:szCs w:val="21"/>
              </w:rPr>
            </w:pPr>
            <w:r>
              <w:rPr>
                <w:rFonts w:hint="eastAsia" w:ascii="宋体" w:hAnsi="宋体" w:eastAsia="宋体" w:cs="宋体"/>
                <w:sz w:val="21"/>
                <w:szCs w:val="21"/>
              </w:rPr>
              <w:t>规格</w:t>
            </w:r>
          </w:p>
        </w:tc>
        <w:tc>
          <w:tcPr>
            <w:tcW w:w="3418" w:type="dxa"/>
            <w:vMerge w:val="restart"/>
            <w:noWrap w:val="0"/>
            <w:vAlign w:val="center"/>
          </w:tcPr>
          <w:p>
            <w:pPr>
              <w:topLinePunct/>
              <w:spacing w:line="24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综合控制指标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tblHeader/>
          <w:jc w:val="center"/>
        </w:trPr>
        <w:tc>
          <w:tcPr>
            <w:tcW w:w="943" w:type="dxa"/>
            <w:vMerge w:val="continue"/>
            <w:noWrap w:val="0"/>
            <w:vAlign w:val="center"/>
          </w:tcPr>
          <w:p>
            <w:pPr>
              <w:topLinePunct/>
              <w:spacing w:line="240" w:lineRule="exact"/>
              <w:jc w:val="center"/>
              <w:rPr>
                <w:rFonts w:hint="eastAsia" w:ascii="宋体" w:hAnsi="宋体" w:eastAsia="宋体" w:cs="宋体"/>
                <w:sz w:val="24"/>
                <w:szCs w:val="24"/>
              </w:rPr>
            </w:pPr>
          </w:p>
        </w:tc>
        <w:tc>
          <w:tcPr>
            <w:tcW w:w="1088" w:type="dxa"/>
            <w:vMerge w:val="continue"/>
            <w:noWrap w:val="0"/>
            <w:vAlign w:val="center"/>
          </w:tcPr>
          <w:p>
            <w:pPr>
              <w:topLinePunct/>
              <w:spacing w:line="240" w:lineRule="exact"/>
              <w:jc w:val="center"/>
              <w:rPr>
                <w:rFonts w:hint="eastAsia" w:ascii="宋体" w:hAnsi="宋体" w:eastAsia="宋体" w:cs="宋体"/>
                <w:sz w:val="24"/>
                <w:szCs w:val="24"/>
              </w:rPr>
            </w:pPr>
          </w:p>
        </w:tc>
        <w:tc>
          <w:tcPr>
            <w:tcW w:w="857" w:type="dxa"/>
            <w:noWrap w:val="0"/>
            <w:vAlign w:val="center"/>
          </w:tcPr>
          <w:p>
            <w:pPr>
              <w:topLinePunct/>
              <w:spacing w:line="240" w:lineRule="exact"/>
              <w:jc w:val="center"/>
              <w:rPr>
                <w:rFonts w:hint="eastAsia" w:ascii="宋体" w:hAnsi="宋体" w:eastAsia="宋体" w:cs="宋体"/>
                <w:sz w:val="21"/>
                <w:szCs w:val="21"/>
              </w:rPr>
            </w:pPr>
            <w:r>
              <w:rPr>
                <w:rFonts w:hint="eastAsia" w:ascii="宋体" w:hAnsi="宋体" w:eastAsia="宋体" w:cs="宋体"/>
                <w:sz w:val="21"/>
                <w:szCs w:val="21"/>
              </w:rPr>
              <w:t>苗龄</w:t>
            </w:r>
          </w:p>
        </w:tc>
        <w:tc>
          <w:tcPr>
            <w:tcW w:w="1166" w:type="dxa"/>
            <w:noWrap w:val="0"/>
            <w:vAlign w:val="center"/>
          </w:tcPr>
          <w:p>
            <w:pPr>
              <w:topLinePunct/>
              <w:spacing w:line="240" w:lineRule="exact"/>
              <w:jc w:val="center"/>
              <w:rPr>
                <w:rFonts w:hint="eastAsia" w:ascii="宋体" w:hAnsi="宋体" w:eastAsia="宋体" w:cs="宋体"/>
                <w:sz w:val="21"/>
                <w:szCs w:val="21"/>
              </w:rPr>
            </w:pPr>
            <w:r>
              <w:rPr>
                <w:rFonts w:hint="eastAsia" w:ascii="宋体" w:hAnsi="宋体" w:eastAsia="宋体" w:cs="宋体"/>
                <w:sz w:val="21"/>
                <w:szCs w:val="21"/>
              </w:rPr>
              <w:t>地径(cm)</w:t>
            </w:r>
          </w:p>
        </w:tc>
        <w:tc>
          <w:tcPr>
            <w:tcW w:w="1136" w:type="dxa"/>
            <w:noWrap w:val="0"/>
            <w:vAlign w:val="center"/>
          </w:tcPr>
          <w:p>
            <w:pPr>
              <w:topLinePunct/>
              <w:spacing w:line="240" w:lineRule="exact"/>
              <w:jc w:val="center"/>
              <w:rPr>
                <w:rFonts w:hint="eastAsia" w:ascii="宋体" w:hAnsi="宋体" w:eastAsia="宋体" w:cs="宋体"/>
                <w:sz w:val="21"/>
                <w:szCs w:val="21"/>
              </w:rPr>
            </w:pPr>
            <w:r>
              <w:rPr>
                <w:rFonts w:hint="eastAsia" w:ascii="宋体" w:hAnsi="宋体" w:eastAsia="宋体" w:cs="宋体"/>
                <w:sz w:val="21"/>
                <w:szCs w:val="21"/>
              </w:rPr>
              <w:t>苗高(cm)</w:t>
            </w:r>
          </w:p>
        </w:tc>
        <w:tc>
          <w:tcPr>
            <w:tcW w:w="3418" w:type="dxa"/>
            <w:vMerge w:val="continue"/>
            <w:noWrap w:val="0"/>
            <w:vAlign w:val="center"/>
          </w:tcPr>
          <w:p>
            <w:pPr>
              <w:topLinePunct/>
              <w:spacing w:line="240" w:lineRule="exact"/>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943" w:type="dxa"/>
            <w:noWrap w:val="0"/>
            <w:vAlign w:val="center"/>
          </w:tcPr>
          <w:p>
            <w:pPr>
              <w:topLinePunct/>
              <w:spacing w:line="240" w:lineRule="exact"/>
              <w:jc w:val="center"/>
              <w:rPr>
                <w:rFonts w:hint="eastAsia" w:ascii="宋体" w:hAnsi="宋体" w:eastAsia="宋体" w:cs="宋体"/>
                <w:sz w:val="21"/>
                <w:szCs w:val="21"/>
              </w:rPr>
            </w:pPr>
            <w:r>
              <w:rPr>
                <w:rFonts w:hint="eastAsia" w:ascii="宋体" w:hAnsi="宋体" w:eastAsia="宋体" w:cs="宋体"/>
                <w:sz w:val="21"/>
                <w:szCs w:val="21"/>
              </w:rPr>
              <w:t>油松</w:t>
            </w:r>
          </w:p>
        </w:tc>
        <w:tc>
          <w:tcPr>
            <w:tcW w:w="1088" w:type="dxa"/>
            <w:noWrap w:val="0"/>
            <w:vAlign w:val="center"/>
          </w:tcPr>
          <w:p>
            <w:pPr>
              <w:topLinePunct/>
              <w:spacing w:line="24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容器苗</w:t>
            </w:r>
          </w:p>
        </w:tc>
        <w:tc>
          <w:tcPr>
            <w:tcW w:w="857" w:type="dxa"/>
            <w:noWrap w:val="0"/>
            <w:vAlign w:val="center"/>
          </w:tcPr>
          <w:p>
            <w:pPr>
              <w:topLinePunct/>
              <w:spacing w:line="24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2-3</w:t>
            </w:r>
          </w:p>
        </w:tc>
        <w:tc>
          <w:tcPr>
            <w:tcW w:w="1166" w:type="dxa"/>
            <w:noWrap w:val="0"/>
            <w:vAlign w:val="center"/>
          </w:tcPr>
          <w:p>
            <w:pPr>
              <w:topLinePunct/>
              <w:spacing w:line="24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0.3</w:t>
            </w:r>
          </w:p>
        </w:tc>
        <w:tc>
          <w:tcPr>
            <w:tcW w:w="1136" w:type="dxa"/>
            <w:noWrap w:val="0"/>
            <w:vAlign w:val="center"/>
          </w:tcPr>
          <w:p>
            <w:pPr>
              <w:topLinePunct/>
              <w:spacing w:line="24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15</w:t>
            </w:r>
          </w:p>
        </w:tc>
        <w:tc>
          <w:tcPr>
            <w:tcW w:w="3418" w:type="dxa"/>
            <w:noWrap w:val="0"/>
            <w:vAlign w:val="center"/>
          </w:tcPr>
          <w:p>
            <w:pPr>
              <w:topLinePunct/>
              <w:spacing w:line="24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顶芽饱满，针叶完整，无多头现象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943" w:type="dxa"/>
            <w:noWrap w:val="0"/>
            <w:vAlign w:val="center"/>
          </w:tcPr>
          <w:p>
            <w:pPr>
              <w:topLinePunct/>
              <w:spacing w:line="240" w:lineRule="exact"/>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山杏</w:t>
            </w:r>
          </w:p>
        </w:tc>
        <w:tc>
          <w:tcPr>
            <w:tcW w:w="1088" w:type="dxa"/>
            <w:noWrap w:val="0"/>
            <w:vAlign w:val="center"/>
          </w:tcPr>
          <w:p>
            <w:pPr>
              <w:topLinePunct/>
              <w:spacing w:line="2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播种苗</w:t>
            </w:r>
          </w:p>
        </w:tc>
        <w:tc>
          <w:tcPr>
            <w:tcW w:w="857" w:type="dxa"/>
            <w:noWrap w:val="0"/>
            <w:vAlign w:val="center"/>
          </w:tcPr>
          <w:p>
            <w:pPr>
              <w:topLinePunct/>
              <w:spacing w:line="24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166" w:type="dxa"/>
            <w:noWrap w:val="0"/>
            <w:vAlign w:val="center"/>
          </w:tcPr>
          <w:p>
            <w:pPr>
              <w:topLinePunct/>
              <w:spacing w:line="24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0.6</w:t>
            </w:r>
          </w:p>
        </w:tc>
        <w:tc>
          <w:tcPr>
            <w:tcW w:w="1136" w:type="dxa"/>
            <w:noWrap w:val="0"/>
            <w:vAlign w:val="center"/>
          </w:tcPr>
          <w:p>
            <w:pPr>
              <w:topLinePunct/>
              <w:spacing w:line="24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40</w:t>
            </w:r>
          </w:p>
        </w:tc>
        <w:tc>
          <w:tcPr>
            <w:tcW w:w="3418" w:type="dxa"/>
            <w:noWrap w:val="0"/>
            <w:vAlign w:val="center"/>
          </w:tcPr>
          <w:p>
            <w:pPr>
              <w:topLinePunct/>
              <w:spacing w:line="24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充分木质化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jc w:val="center"/>
        </w:trPr>
        <w:tc>
          <w:tcPr>
            <w:tcW w:w="943" w:type="dxa"/>
            <w:noWrap w:val="0"/>
            <w:vAlign w:val="center"/>
          </w:tcPr>
          <w:p>
            <w:pPr>
              <w:topLinePunct/>
              <w:spacing w:line="24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山桃</w:t>
            </w:r>
          </w:p>
        </w:tc>
        <w:tc>
          <w:tcPr>
            <w:tcW w:w="1088" w:type="dxa"/>
            <w:noWrap w:val="0"/>
            <w:vAlign w:val="center"/>
          </w:tcPr>
          <w:p>
            <w:pPr>
              <w:topLinePunct/>
              <w:spacing w:line="24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播种苗</w:t>
            </w:r>
          </w:p>
        </w:tc>
        <w:tc>
          <w:tcPr>
            <w:tcW w:w="857" w:type="dxa"/>
            <w:noWrap w:val="0"/>
            <w:vAlign w:val="center"/>
          </w:tcPr>
          <w:p>
            <w:pPr>
              <w:topLinePunct/>
              <w:spacing w:line="24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1166" w:type="dxa"/>
            <w:noWrap w:val="0"/>
            <w:vAlign w:val="center"/>
          </w:tcPr>
          <w:p>
            <w:pPr>
              <w:topLinePunct/>
              <w:spacing w:line="240" w:lineRule="exact"/>
              <w:jc w:val="center"/>
              <w:rPr>
                <w:rFonts w:hint="default" w:ascii="宋体" w:hAnsi="宋体" w:eastAsia="宋体" w:cs="宋体"/>
                <w:color w:val="auto"/>
                <w:sz w:val="21"/>
                <w:szCs w:val="21"/>
                <w:lang w:val="en-US"/>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0.6</w:t>
            </w:r>
          </w:p>
        </w:tc>
        <w:tc>
          <w:tcPr>
            <w:tcW w:w="1136" w:type="dxa"/>
            <w:noWrap w:val="0"/>
            <w:vAlign w:val="center"/>
          </w:tcPr>
          <w:p>
            <w:pPr>
              <w:topLinePunct/>
              <w:spacing w:line="24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40</w:t>
            </w:r>
          </w:p>
        </w:tc>
        <w:tc>
          <w:tcPr>
            <w:tcW w:w="3418" w:type="dxa"/>
            <w:noWrap w:val="0"/>
            <w:vAlign w:val="center"/>
          </w:tcPr>
          <w:p>
            <w:pPr>
              <w:topLinePunct/>
              <w:spacing w:line="2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充分木质化</w:t>
            </w:r>
          </w:p>
        </w:tc>
      </w:tr>
    </w:tbl>
    <w:p>
      <w:pPr>
        <w:spacing w:line="240" w:lineRule="exact"/>
        <w:ind w:firstLine="560" w:firstLineChars="200"/>
        <w:rPr>
          <w:rFonts w:hint="eastAsia" w:ascii="仿宋_GB2312" w:eastAsia="仿宋_GB2312"/>
          <w:sz w:val="28"/>
          <w:szCs w:val="28"/>
        </w:rPr>
      </w:pPr>
    </w:p>
    <w:p>
      <w:pPr>
        <w:pStyle w:val="11"/>
        <w:spacing w:before="0" w:beforeAutospacing="0" w:after="0" w:afterAutospacing="0" w:line="560" w:lineRule="exact"/>
        <w:ind w:firstLine="562" w:firstLineChars="200"/>
        <w:jc w:val="both"/>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3</w:t>
      </w:r>
      <w:r>
        <w:rPr>
          <w:rFonts w:hint="eastAsia" w:ascii="仿宋_GB2312" w:eastAsia="仿宋_GB2312"/>
          <w:b/>
          <w:sz w:val="28"/>
          <w:szCs w:val="28"/>
          <w:lang w:eastAsia="zh-CN"/>
        </w:rPr>
        <w:t>）</w:t>
      </w:r>
      <w:r>
        <w:rPr>
          <w:rFonts w:hint="eastAsia" w:ascii="仿宋_GB2312" w:eastAsia="仿宋_GB2312"/>
          <w:b/>
          <w:sz w:val="28"/>
          <w:szCs w:val="28"/>
        </w:rPr>
        <w:t>苗木需要量</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经统计，吴起县2021年县级财政退化林修复共需各类苗木272216株，其中油松111120株，山杏80548株、山桃80548株。</w:t>
      </w:r>
    </w:p>
    <w:p>
      <w:pPr>
        <w:pStyle w:val="11"/>
        <w:numPr>
          <w:ilvl w:val="0"/>
          <w:numId w:val="2"/>
        </w:numPr>
        <w:spacing w:before="0" w:beforeAutospacing="0" w:after="0" w:afterAutospacing="0" w:line="560" w:lineRule="exact"/>
        <w:ind w:firstLine="562" w:firstLineChars="200"/>
        <w:jc w:val="both"/>
        <w:rPr>
          <w:rFonts w:hint="eastAsia" w:ascii="仿宋_GB2312" w:eastAsia="仿宋_GB2312"/>
          <w:b/>
          <w:color w:val="auto"/>
          <w:sz w:val="28"/>
          <w:szCs w:val="28"/>
          <w:lang w:eastAsia="zh-CN"/>
        </w:rPr>
      </w:pPr>
      <w:r>
        <w:rPr>
          <w:rFonts w:hint="eastAsia" w:ascii="仿宋_GB2312" w:eastAsia="仿宋_GB2312"/>
          <w:b/>
          <w:color w:val="auto"/>
          <w:sz w:val="28"/>
          <w:szCs w:val="28"/>
          <w:lang w:eastAsia="zh-CN"/>
        </w:rPr>
        <w:t>用工量</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经计算，吴起县2021年县级财政退化林修复共需用工26535.0工日，其中：整地5926.4工日，栽植7408.0工日，补造抚育5926.4工日，成林抚育7273.6工日。</w:t>
      </w:r>
    </w:p>
    <w:p>
      <w:pPr>
        <w:pStyle w:val="3"/>
        <w:spacing w:before="120" w:after="120" w:line="560" w:lineRule="exact"/>
        <w:jc w:val="center"/>
        <w:rPr>
          <w:rStyle w:val="22"/>
          <w:rFonts w:hint="eastAsia" w:ascii="黑体" w:eastAsia="黑体"/>
          <w:b/>
          <w:color w:val="auto"/>
          <w:sz w:val="32"/>
          <w:szCs w:val="32"/>
          <w:lang w:val="en-US" w:eastAsia="zh-CN"/>
        </w:rPr>
      </w:pPr>
      <w:bookmarkStart w:id="299" w:name="_Toc3391"/>
      <w:bookmarkStart w:id="300" w:name="_Toc24189"/>
      <w:r>
        <w:rPr>
          <w:rStyle w:val="22"/>
          <w:rFonts w:hint="eastAsia" w:ascii="黑体" w:eastAsia="黑体"/>
          <w:b w:val="0"/>
          <w:color w:val="auto"/>
          <w:sz w:val="32"/>
          <w:szCs w:val="32"/>
        </w:rPr>
        <w:br w:type="page"/>
      </w:r>
      <w:bookmarkStart w:id="301" w:name="_Toc5616"/>
      <w:bookmarkStart w:id="302" w:name="_Toc16107"/>
      <w:bookmarkStart w:id="303" w:name="_Toc22062"/>
      <w:r>
        <w:rPr>
          <w:rStyle w:val="22"/>
          <w:rFonts w:hint="eastAsia" w:ascii="黑体" w:eastAsia="黑体"/>
          <w:b/>
          <w:color w:val="auto"/>
          <w:sz w:val="32"/>
          <w:szCs w:val="32"/>
          <w:lang w:val="en-US" w:eastAsia="zh-CN"/>
        </w:rPr>
        <w:t xml:space="preserve">第五章  </w:t>
      </w:r>
      <w:bookmarkEnd w:id="299"/>
      <w:r>
        <w:rPr>
          <w:rStyle w:val="22"/>
          <w:rFonts w:hint="eastAsia" w:ascii="黑体" w:eastAsia="黑体"/>
          <w:b/>
          <w:color w:val="auto"/>
          <w:sz w:val="32"/>
          <w:szCs w:val="32"/>
          <w:lang w:val="en-US" w:eastAsia="zh-CN"/>
        </w:rPr>
        <w:t>项目实施进度安排</w:t>
      </w:r>
      <w:bookmarkEnd w:id="300"/>
      <w:bookmarkEnd w:id="301"/>
      <w:bookmarkEnd w:id="302"/>
      <w:bookmarkEnd w:id="303"/>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304" w:name="_Toc22110"/>
      <w:bookmarkStart w:id="305" w:name="_Toc3002"/>
      <w:bookmarkStart w:id="306" w:name="_Toc25470"/>
      <w:bookmarkStart w:id="307" w:name="_Toc27145"/>
      <w:bookmarkStart w:id="308" w:name="_Toc381018421"/>
      <w:r>
        <w:rPr>
          <w:rFonts w:hint="eastAsia" w:ascii="黑体" w:hAnsi="黑体"/>
          <w:b/>
          <w:bCs/>
          <w:sz w:val="30"/>
          <w:szCs w:val="30"/>
          <w:lang w:val="en-US" w:eastAsia="zh-CN"/>
        </w:rPr>
        <w:t>5.1建设期限</w:t>
      </w:r>
      <w:bookmarkEnd w:id="304"/>
      <w:bookmarkEnd w:id="305"/>
      <w:bookmarkEnd w:id="306"/>
      <w:bookmarkEnd w:id="307"/>
      <w:bookmarkEnd w:id="308"/>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建设期限1年，即20</w:t>
      </w:r>
      <w:r>
        <w:rPr>
          <w:rFonts w:hint="eastAsia" w:ascii="仿宋_GB2312" w:eastAsia="仿宋_GB2312"/>
          <w:sz w:val="28"/>
          <w:szCs w:val="28"/>
          <w:lang w:val="en-US" w:eastAsia="zh-CN"/>
        </w:rPr>
        <w:t>21</w:t>
      </w:r>
      <w:r>
        <w:rPr>
          <w:rFonts w:hint="eastAsia" w:ascii="仿宋_GB2312" w:eastAsia="仿宋_GB2312"/>
          <w:sz w:val="28"/>
          <w:szCs w:val="28"/>
        </w:rPr>
        <w:t>年</w:t>
      </w:r>
      <w:r>
        <w:rPr>
          <w:rFonts w:hint="eastAsia" w:ascii="仿宋_GB2312" w:eastAsia="仿宋_GB2312"/>
          <w:sz w:val="28"/>
          <w:szCs w:val="28"/>
          <w:lang w:val="en-US" w:eastAsia="zh-CN"/>
        </w:rPr>
        <w:t>8</w:t>
      </w:r>
      <w:r>
        <w:rPr>
          <w:rFonts w:hint="eastAsia" w:ascii="仿宋_GB2312" w:eastAsia="仿宋_GB2312"/>
          <w:sz w:val="28"/>
          <w:szCs w:val="28"/>
        </w:rPr>
        <w:t>月～20</w:t>
      </w:r>
      <w:r>
        <w:rPr>
          <w:rFonts w:hint="eastAsia" w:ascii="仿宋_GB2312" w:eastAsia="仿宋_GB2312"/>
          <w:sz w:val="28"/>
          <w:szCs w:val="28"/>
          <w:lang w:val="en-US" w:eastAsia="zh-CN"/>
        </w:rPr>
        <w:t>22</w:t>
      </w:r>
      <w:r>
        <w:rPr>
          <w:rFonts w:hint="eastAsia" w:ascii="仿宋_GB2312" w:eastAsia="仿宋_GB2312"/>
          <w:sz w:val="28"/>
          <w:szCs w:val="28"/>
        </w:rPr>
        <w:t>年</w:t>
      </w:r>
      <w:r>
        <w:rPr>
          <w:rFonts w:hint="eastAsia" w:ascii="仿宋_GB2312" w:eastAsia="仿宋_GB2312"/>
          <w:sz w:val="28"/>
          <w:szCs w:val="28"/>
          <w:lang w:val="en-US" w:eastAsia="zh-CN"/>
        </w:rPr>
        <w:t>12</w:t>
      </w:r>
      <w:r>
        <w:rPr>
          <w:rFonts w:hint="eastAsia" w:ascii="仿宋_GB2312" w:eastAsia="仿宋_GB2312"/>
          <w:sz w:val="28"/>
          <w:szCs w:val="28"/>
        </w:rPr>
        <w:t>月</w:t>
      </w:r>
      <w:r>
        <w:rPr>
          <w:rFonts w:hint="eastAsia" w:ascii="仿宋_GB2312" w:eastAsia="仿宋_GB2312"/>
          <w:sz w:val="28"/>
          <w:szCs w:val="28"/>
          <w:lang w:eastAsia="zh-CN"/>
        </w:rPr>
        <w:t>，作业面积</w:t>
      </w:r>
      <w:r>
        <w:rPr>
          <w:rFonts w:hint="eastAsia" w:ascii="仿宋_GB2312" w:eastAsia="仿宋_GB2312"/>
          <w:sz w:val="28"/>
          <w:szCs w:val="28"/>
          <w:lang w:val="en-US" w:eastAsia="zh-CN"/>
        </w:rPr>
        <w:t>6600.0亩，涉铁边城国有林场2林班，区划2个作业区，34个作业小班</w:t>
      </w:r>
      <w:r>
        <w:rPr>
          <w:rFonts w:hint="eastAsia" w:ascii="仿宋_GB2312" w:eastAsia="仿宋_GB2312"/>
          <w:sz w:val="28"/>
          <w:szCs w:val="28"/>
        </w:rPr>
        <w:t>。</w:t>
      </w:r>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309" w:name="_Toc381018422"/>
      <w:bookmarkStart w:id="310" w:name="_Toc25780"/>
      <w:bookmarkStart w:id="311" w:name="_Toc15842"/>
      <w:bookmarkStart w:id="312" w:name="_Toc13496"/>
      <w:bookmarkStart w:id="313" w:name="_Toc11908"/>
      <w:r>
        <w:rPr>
          <w:rFonts w:hint="eastAsia" w:ascii="黑体" w:hAnsi="黑体"/>
          <w:b/>
          <w:bCs/>
          <w:sz w:val="30"/>
          <w:szCs w:val="30"/>
          <w:lang w:val="en-US" w:eastAsia="zh-CN"/>
        </w:rPr>
        <w:t>5.2 进度安排</w:t>
      </w:r>
      <w:bookmarkEnd w:id="309"/>
      <w:bookmarkEnd w:id="310"/>
      <w:bookmarkEnd w:id="311"/>
      <w:bookmarkEnd w:id="312"/>
      <w:bookmarkEnd w:id="313"/>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项目建设分前期准备(含技术培训)、建设施工、检查验收总结(自查、财务审计、检查验收)等几个阶段，各阶段建设内容及进度安排如下。</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1</w:t>
      </w:r>
      <w:r>
        <w:rPr>
          <w:rFonts w:hint="eastAsia" w:ascii="仿宋_GB2312" w:eastAsia="仿宋_GB2312"/>
          <w:b/>
          <w:sz w:val="28"/>
          <w:szCs w:val="28"/>
          <w:lang w:eastAsia="zh-CN"/>
        </w:rPr>
        <w:t>）</w:t>
      </w:r>
      <w:r>
        <w:rPr>
          <w:rFonts w:hint="eastAsia" w:ascii="仿宋_GB2312" w:eastAsia="仿宋_GB2312"/>
          <w:b/>
          <w:sz w:val="28"/>
          <w:szCs w:val="28"/>
        </w:rPr>
        <w:t>前期准备阶段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时间：2021年8月～2020年9月，主要工作如下。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①作业设计的编制及上报、批复；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②)根据批复，做好建物资、苗木、工器具的准备工作，并制定相应的实施细则；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③落实项目建设资金计划和自筹资金；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④编制标书，公开招标；</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⑤完成管理人员及监理人员的选聘，并签订合同；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⑥做好工程技术人员和监理人员技术培训工作。</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2</w:t>
      </w:r>
      <w:r>
        <w:rPr>
          <w:rFonts w:hint="eastAsia" w:ascii="仿宋_GB2312" w:eastAsia="仿宋_GB2312"/>
          <w:b/>
          <w:sz w:val="28"/>
          <w:szCs w:val="28"/>
          <w:lang w:eastAsia="zh-CN"/>
        </w:rPr>
        <w:t>）</w:t>
      </w:r>
      <w:r>
        <w:rPr>
          <w:rFonts w:hint="eastAsia" w:ascii="仿宋_GB2312" w:eastAsia="仿宋_GB2312"/>
          <w:b/>
          <w:sz w:val="28"/>
          <w:szCs w:val="28"/>
        </w:rPr>
        <w:t>施工建设阶段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时间：2021年10月～2021年12月，主要工作如下。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根据作业设计进行施工。该阶段项目管理人员及监理人员应严格控制施工工序，实行工序交接检验。对补造修复和抚育修复等关键环节，必须采取旁站式监理，发现问题及时要求整改。并对工程进度严格控制，落实建设单位应提供的开工条件、审查批准施工进度计划、发布开工令、监督施工单位严格执行批准的进度计划。工程投资控制，以监理单位确认完成的造林面积和造林质量为建设单位支付施工承包单位费用的主要依据。</w:t>
      </w:r>
    </w:p>
    <w:p>
      <w:pPr>
        <w:spacing w:line="560" w:lineRule="exact"/>
        <w:ind w:firstLine="562" w:firstLineChars="200"/>
        <w:rPr>
          <w:rFonts w:hint="eastAsia" w:ascii="仿宋_GB2312" w:eastAsia="仿宋_GB2312"/>
          <w:b/>
          <w:sz w:val="28"/>
          <w:szCs w:val="28"/>
        </w:rPr>
      </w:pPr>
      <w:r>
        <w:rPr>
          <w:rFonts w:hint="eastAsia" w:ascii="仿宋_GB2312" w:eastAsia="仿宋_GB2312"/>
          <w:b/>
          <w:sz w:val="28"/>
          <w:szCs w:val="28"/>
          <w:lang w:eastAsia="zh-CN"/>
        </w:rPr>
        <w:t>（</w:t>
      </w:r>
      <w:r>
        <w:rPr>
          <w:rFonts w:hint="eastAsia" w:ascii="仿宋_GB2312" w:eastAsia="仿宋_GB2312"/>
          <w:b/>
          <w:sz w:val="28"/>
          <w:szCs w:val="28"/>
          <w:lang w:val="en-US" w:eastAsia="zh-CN"/>
        </w:rPr>
        <w:t>3</w:t>
      </w:r>
      <w:r>
        <w:rPr>
          <w:rFonts w:hint="eastAsia" w:ascii="仿宋_GB2312" w:eastAsia="仿宋_GB2312"/>
          <w:b/>
          <w:sz w:val="28"/>
          <w:szCs w:val="28"/>
          <w:lang w:eastAsia="zh-CN"/>
        </w:rPr>
        <w:t>）</w:t>
      </w:r>
      <w:r>
        <w:rPr>
          <w:rFonts w:hint="eastAsia" w:ascii="仿宋_GB2312" w:eastAsia="仿宋_GB2312"/>
          <w:b/>
          <w:sz w:val="28"/>
          <w:szCs w:val="28"/>
        </w:rPr>
        <w:t>验收总结阶段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时间：2022年1月～2022年12月，主要工作如下。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①项目建设单位自查：项目建设单位组织工程技术人员完成所有建设项目的自查工作，并出具自查报告；对存在的问题及时进行补充完善，并就项目建设工作进行全面的总结验收；将总结验收报告上报主管部门；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②财务审计：完成项目建设的财务审计报告；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③检查验收：主管部门组织有关专家和工程技术人员，按照基地建设要求和作业设计进行验收。</w:t>
      </w:r>
    </w:p>
    <w:p>
      <w:pPr>
        <w:pStyle w:val="3"/>
        <w:spacing w:before="120" w:after="120" w:line="560" w:lineRule="exact"/>
        <w:jc w:val="center"/>
        <w:rPr>
          <w:rStyle w:val="22"/>
          <w:rFonts w:hint="eastAsia" w:ascii="黑体" w:eastAsia="黑体"/>
          <w:b/>
          <w:color w:val="auto"/>
          <w:sz w:val="32"/>
          <w:szCs w:val="32"/>
          <w:lang w:val="en-US" w:eastAsia="zh-CN"/>
        </w:rPr>
      </w:pPr>
      <w:r>
        <w:rPr>
          <w:rFonts w:hint="eastAsia" w:ascii="黑体" w:eastAsia="黑体"/>
          <w:szCs w:val="44"/>
        </w:rPr>
        <w:br w:type="page"/>
      </w:r>
      <w:bookmarkStart w:id="314" w:name="_Toc10171"/>
      <w:bookmarkStart w:id="315" w:name="_Toc24493"/>
      <w:bookmarkStart w:id="316" w:name="_Toc18126"/>
      <w:bookmarkStart w:id="317" w:name="_Toc10153"/>
      <w:bookmarkStart w:id="318" w:name="_Toc4051"/>
      <w:r>
        <w:rPr>
          <w:rStyle w:val="22"/>
          <w:rFonts w:hint="eastAsia" w:ascii="黑体" w:eastAsia="黑体"/>
          <w:b/>
          <w:color w:val="auto"/>
          <w:sz w:val="32"/>
          <w:szCs w:val="32"/>
          <w:lang w:val="en-US" w:eastAsia="zh-CN"/>
        </w:rPr>
        <w:t xml:space="preserve">第六章  </w:t>
      </w:r>
      <w:bookmarkEnd w:id="314"/>
      <w:r>
        <w:rPr>
          <w:rStyle w:val="22"/>
          <w:rFonts w:hint="eastAsia" w:ascii="黑体" w:eastAsia="黑体"/>
          <w:b/>
          <w:color w:val="auto"/>
          <w:sz w:val="32"/>
          <w:szCs w:val="32"/>
          <w:lang w:val="en-US" w:eastAsia="zh-CN"/>
        </w:rPr>
        <w:t>施工和组织管理</w:t>
      </w:r>
      <w:bookmarkEnd w:id="315"/>
      <w:bookmarkEnd w:id="316"/>
      <w:bookmarkEnd w:id="317"/>
      <w:bookmarkEnd w:id="318"/>
    </w:p>
    <w:p>
      <w:pPr>
        <w:pStyle w:val="4"/>
        <w:keepNext/>
        <w:keepLines/>
        <w:pageBreakBefore w:val="0"/>
        <w:widowControl w:val="0"/>
        <w:kinsoku/>
        <w:wordWrap/>
        <w:overflowPunct/>
        <w:topLinePunct w:val="0"/>
        <w:autoSpaceDE/>
        <w:autoSpaceDN/>
        <w:bidi w:val="0"/>
        <w:adjustRightInd/>
        <w:snapToGrid/>
        <w:spacing w:before="157" w:beforeLines="50" w:after="0" w:afterLines="0" w:line="240" w:lineRule="auto"/>
        <w:ind w:left="0" w:leftChars="0" w:right="0" w:rightChars="0" w:firstLine="0" w:firstLineChars="0"/>
        <w:jc w:val="both"/>
        <w:textAlignment w:val="auto"/>
        <w:outlineLvl w:val="1"/>
        <w:rPr>
          <w:rFonts w:hint="eastAsia" w:ascii="黑体" w:hAnsi="黑体"/>
          <w:b/>
          <w:bCs/>
          <w:sz w:val="30"/>
          <w:szCs w:val="30"/>
          <w:lang w:val="en-US" w:eastAsia="zh-CN"/>
        </w:rPr>
      </w:pPr>
      <w:bookmarkStart w:id="319" w:name="_Toc17764"/>
      <w:bookmarkStart w:id="320" w:name="_Toc3004"/>
      <w:bookmarkStart w:id="321" w:name="_Toc19341"/>
      <w:bookmarkStart w:id="322" w:name="_Toc24053"/>
      <w:r>
        <w:rPr>
          <w:rFonts w:hint="eastAsia" w:ascii="黑体" w:hAnsi="黑体"/>
          <w:b/>
          <w:bCs/>
          <w:sz w:val="30"/>
          <w:szCs w:val="30"/>
          <w:lang w:val="en-US" w:eastAsia="zh-CN"/>
        </w:rPr>
        <w:t>6.1监理方案</w:t>
      </w:r>
      <w:bookmarkEnd w:id="319"/>
      <w:bookmarkEnd w:id="320"/>
      <w:bookmarkEnd w:id="321"/>
      <w:bookmarkEnd w:id="322"/>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bookmarkStart w:id="323" w:name="_Toc18600"/>
      <w:r>
        <w:rPr>
          <w:rFonts w:hint="eastAsia"/>
          <w:bCs/>
          <w:sz w:val="28"/>
          <w:szCs w:val="28"/>
          <w:lang w:val="en-US" w:eastAsia="zh-CN"/>
        </w:rPr>
        <w:t>6.1.1确定监理单位</w:t>
      </w:r>
      <w:bookmarkEnd w:id="323"/>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建设单位应采用招标或直接委托方式确定工程监理单位。监理单位与建设单位签订合同，应明确约定监理工程名称、地点、规模、期限、质量标准、双方权利义务、监理费用、争议解决方式等内容。</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bookmarkStart w:id="324" w:name="_Toc12721"/>
      <w:r>
        <w:rPr>
          <w:rFonts w:hint="eastAsia"/>
          <w:bCs/>
          <w:sz w:val="28"/>
          <w:szCs w:val="28"/>
          <w:lang w:val="en-US" w:eastAsia="zh-CN"/>
        </w:rPr>
        <w:t>6.1.2编制监理规划</w:t>
      </w:r>
      <w:bookmarkEnd w:id="324"/>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监理单位签订监理合同，应尽快成立监理机构，编制监理规划和制定监理细则。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编制监理规划。包括质量控制、进度控制、投资控制、合同管理、信息管理各个工作流程的主要内容。监理规划须经监理单位技术负责人审核批准并送建设和施工单位。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制定监理细则。由监理工程师负责编制，内容包括工程概括、编制依据、人员安排、开工许可以及工程质量、进度、投资控制具体要求。监理细则经审核批准后执行。</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bookmarkStart w:id="325" w:name="_Toc17781"/>
      <w:r>
        <w:rPr>
          <w:rFonts w:hint="eastAsia"/>
          <w:bCs/>
          <w:sz w:val="28"/>
          <w:szCs w:val="28"/>
          <w:lang w:val="en-US" w:eastAsia="zh-CN"/>
        </w:rPr>
        <w:t>6.1.3实施工程监理</w:t>
      </w:r>
      <w:bookmarkEnd w:id="325"/>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施工监理应搞好“三大控制”即工程质量控制、工程进度控制和工程投资控制。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工程质量控制：实施方案是质量控制的主要依据。监理单位应严格控制施工工序，实行工序交接检验。对整地、苗木、栽植等关键环节，必须采取旁站式监理，发现问题及时要求整改。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工程进度控制：落实建设单位应提供的开工条件、审查批准施工进度计划、发布开工令、监督施工单位严格执行批准的进度计划。</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工程投资控制：以监理单位确认完成的造林面积和造林质量为建设单位支付施工承包单位报酬的主要依据。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项目完成后，监理单位应按照作业设计、施工合同及有关技术规程审查施工单位报送的竣工资料并进行工程预验收。对预验收中发现的问题，及时要求承包单位整改。整改结束后，签署工程验收报验单，提交工程质量评估报告。监理机构应参加建设单位组织的竣工验收，对验收中发现的问题，要求施工单位整改达标，并会同验收单位签署竣工验收报告。监理工作完成后，监理单位向建设单位提交监理档案资料和监理工作总结。</w:t>
      </w:r>
    </w:p>
    <w:p>
      <w:pPr>
        <w:pStyle w:val="4"/>
        <w:spacing w:before="0" w:after="0" w:line="560" w:lineRule="exact"/>
        <w:rPr>
          <w:rFonts w:hint="eastAsia" w:ascii="黑体" w:hAnsi="黑体"/>
          <w:b w:val="0"/>
          <w:bCs/>
          <w:sz w:val="30"/>
          <w:szCs w:val="30"/>
        </w:rPr>
      </w:pPr>
      <w:bookmarkStart w:id="326" w:name="_Toc26099"/>
      <w:bookmarkStart w:id="327" w:name="_Toc24968"/>
      <w:bookmarkStart w:id="328" w:name="_Toc3518"/>
      <w:bookmarkStart w:id="329" w:name="_Toc12821"/>
      <w:r>
        <w:rPr>
          <w:rFonts w:hint="eastAsia" w:ascii="黑体" w:hAnsi="黑体"/>
          <w:b w:val="0"/>
          <w:bCs/>
          <w:sz w:val="30"/>
          <w:szCs w:val="30"/>
        </w:rPr>
        <w:t>6.</w:t>
      </w:r>
      <w:r>
        <w:rPr>
          <w:rFonts w:hint="eastAsia" w:ascii="黑体" w:hAnsi="黑体"/>
          <w:b w:val="0"/>
          <w:bCs/>
          <w:sz w:val="30"/>
          <w:szCs w:val="30"/>
          <w:lang w:val="en-US" w:eastAsia="zh-CN"/>
        </w:rPr>
        <w:t>2</w:t>
      </w:r>
      <w:r>
        <w:rPr>
          <w:rFonts w:hint="eastAsia" w:ascii="黑体" w:hAnsi="黑体"/>
          <w:b w:val="0"/>
          <w:bCs/>
          <w:sz w:val="30"/>
          <w:szCs w:val="30"/>
        </w:rPr>
        <w:t>项目组织管理</w:t>
      </w:r>
      <w:bookmarkEnd w:id="326"/>
      <w:bookmarkEnd w:id="327"/>
      <w:bookmarkEnd w:id="328"/>
      <w:bookmarkEnd w:id="329"/>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为保证吴起县2021年县级财政退化林修复的顺利实施，吴起县林业局设立项目建设领导小组，由局长任组长，局总工程师为副组长，具体指挥、协调项目建设，对工程进度、工程质量和资金宏观控制管理负全责；保证本项目按计划顺利实施，保质保量按时完成。</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bookmarkStart w:id="330" w:name="_Toc6550"/>
      <w:r>
        <w:rPr>
          <w:rFonts w:hint="eastAsia"/>
          <w:bCs/>
          <w:sz w:val="28"/>
          <w:szCs w:val="28"/>
          <w:lang w:val="en-US" w:eastAsia="zh-CN"/>
        </w:rPr>
        <w:t>6.2.1计划管理</w:t>
      </w:r>
      <w:bookmarkEnd w:id="330"/>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吴起县2021年县级财政退化林修复作业设计获得有关部门审批后，吴起县林业局领导小组负责组织与实施单位鉴定具体协议，划清作业区界，落实责任，把任务落实到山头地块，保质保量完成任务。</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bookmarkStart w:id="331" w:name="_Toc14764"/>
      <w:r>
        <w:rPr>
          <w:rFonts w:hint="eastAsia"/>
          <w:bCs/>
          <w:sz w:val="28"/>
          <w:szCs w:val="28"/>
          <w:lang w:val="en-US" w:eastAsia="zh-CN"/>
        </w:rPr>
        <w:t>6.2.2工程管理</w:t>
      </w:r>
      <w:bookmarkEnd w:id="331"/>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严格工程项目管理程序，合理分解项目的建设内容，组织施工队(专业队)，采用招投标制确定施工队伍，林业局必须派监理人员现场指导施工，严格按照施工方案进行施工，积极推行工程监理制度和工程质量责任终身制，控制好每道工序质量，严把质量关，实行工程质量否决制，确保本项目的工程质量。</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bookmarkStart w:id="332" w:name="_Toc31103"/>
      <w:r>
        <w:rPr>
          <w:rFonts w:hint="eastAsia"/>
          <w:bCs/>
          <w:sz w:val="28"/>
          <w:szCs w:val="28"/>
          <w:lang w:val="en-US" w:eastAsia="zh-CN"/>
        </w:rPr>
        <w:t>6.2.3资金管理</w:t>
      </w:r>
      <w:bookmarkEnd w:id="332"/>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cs="仿宋_GB2312"/>
          <w:kern w:val="0"/>
          <w:sz w:val="28"/>
          <w:szCs w:val="28"/>
          <w:lang w:val="zh-CN" w:eastAsia="zh-CN"/>
        </w:rPr>
        <w:t>严格按照国家政策及《森林草原资源培育工程中央预算内投资专项管理办法》、《重点区域生态保护和修复工程中央预算内投资专项管理办法》等有关规定，</w:t>
      </w:r>
      <w:r>
        <w:rPr>
          <w:rFonts w:hint="eastAsia" w:ascii="仿宋_GB2312" w:eastAsia="仿宋_GB2312"/>
          <w:sz w:val="28"/>
          <w:szCs w:val="28"/>
          <w:lang w:val="en-US" w:eastAsia="zh-CN"/>
        </w:rPr>
        <w:t>进行预算、支出、报销等程序，实行工程财务报账制度。做到建设资金专户储存，单独建账，专款专用，禁止和杜绝任何形式的截流、挪用、串用资金的现象发生，严禁借退化防护林修复之名行破坏资源，确保森林资源安全，确保退化林分修复成效。</w:t>
      </w:r>
    </w:p>
    <w:p>
      <w:pPr>
        <w:pStyle w:val="5"/>
        <w:keepNext/>
        <w:keepLines/>
        <w:pageBreakBefore w:val="0"/>
        <w:widowControl w:val="0"/>
        <w:kinsoku/>
        <w:wordWrap/>
        <w:overflowPunct/>
        <w:topLinePunct w:val="0"/>
        <w:autoSpaceDE/>
        <w:autoSpaceDN/>
        <w:bidi w:val="0"/>
        <w:adjustRightInd/>
        <w:snapToGrid/>
        <w:spacing w:line="240" w:lineRule="auto"/>
        <w:ind w:left="0" w:leftChars="0" w:right="0" w:rightChars="0" w:firstLine="140" w:firstLineChars="50"/>
        <w:jc w:val="both"/>
        <w:textAlignment w:val="auto"/>
        <w:outlineLvl w:val="2"/>
        <w:rPr>
          <w:rFonts w:hint="eastAsia"/>
          <w:bCs/>
          <w:sz w:val="28"/>
          <w:szCs w:val="28"/>
          <w:lang w:val="en-US" w:eastAsia="zh-CN"/>
        </w:rPr>
      </w:pPr>
      <w:bookmarkStart w:id="333" w:name="_Toc22770"/>
      <w:r>
        <w:rPr>
          <w:rFonts w:hint="eastAsia"/>
          <w:bCs/>
          <w:sz w:val="28"/>
          <w:szCs w:val="28"/>
          <w:lang w:val="en-US" w:eastAsia="zh-CN"/>
        </w:rPr>
        <w:t>6.2.4信息管理</w:t>
      </w:r>
      <w:bookmarkEnd w:id="333"/>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利用计算机网络技术，及时收集与项目建设有关的资料、数据和信息，并结合调查与统计资料，进行归类、处理、分析和评价，编写信息研究报告，并直接进行项目效益、项目对环境的影响等评估和实施性规划的制定，以此为项目建设及今后的经营管理服务。</w:t>
      </w:r>
    </w:p>
    <w:p>
      <w:pPr>
        <w:pStyle w:val="3"/>
        <w:spacing w:before="120" w:after="120" w:line="560" w:lineRule="exact"/>
        <w:jc w:val="center"/>
        <w:rPr>
          <w:rStyle w:val="22"/>
          <w:rFonts w:hint="eastAsia" w:ascii="黑体" w:eastAsia="黑体"/>
          <w:b/>
          <w:color w:val="auto"/>
          <w:sz w:val="32"/>
          <w:szCs w:val="32"/>
          <w:lang w:val="en-US" w:eastAsia="zh-CN"/>
        </w:rPr>
      </w:pPr>
      <w:r>
        <w:rPr>
          <w:rFonts w:hint="eastAsia" w:ascii="黑体" w:eastAsia="黑体"/>
          <w:szCs w:val="44"/>
        </w:rPr>
        <w:br w:type="page"/>
      </w:r>
      <w:bookmarkStart w:id="334" w:name="_Toc1906"/>
      <w:bookmarkStart w:id="335" w:name="_Toc9088"/>
      <w:bookmarkStart w:id="336" w:name="_Toc32264"/>
      <w:bookmarkStart w:id="337" w:name="_Toc8257"/>
      <w:bookmarkStart w:id="338" w:name="_Toc23616"/>
      <w:r>
        <w:rPr>
          <w:rStyle w:val="22"/>
          <w:rFonts w:hint="eastAsia" w:ascii="黑体" w:eastAsia="黑体"/>
          <w:b/>
          <w:color w:val="auto"/>
          <w:sz w:val="32"/>
          <w:szCs w:val="32"/>
          <w:lang w:val="en-US" w:eastAsia="zh-CN"/>
        </w:rPr>
        <w:t xml:space="preserve">第七章  </w:t>
      </w:r>
      <w:bookmarkEnd w:id="334"/>
      <w:r>
        <w:rPr>
          <w:rStyle w:val="22"/>
          <w:rFonts w:hint="eastAsia" w:ascii="黑体" w:eastAsia="黑体"/>
          <w:b/>
          <w:color w:val="auto"/>
          <w:sz w:val="32"/>
          <w:szCs w:val="32"/>
          <w:lang w:val="en-US" w:eastAsia="zh-CN"/>
        </w:rPr>
        <w:t>投资预算和资金来源</w:t>
      </w:r>
      <w:bookmarkEnd w:id="335"/>
      <w:bookmarkEnd w:id="336"/>
      <w:bookmarkEnd w:id="337"/>
      <w:bookmarkEnd w:id="338"/>
    </w:p>
    <w:p>
      <w:pPr>
        <w:pStyle w:val="4"/>
        <w:spacing w:before="0" w:after="0" w:line="560" w:lineRule="exact"/>
        <w:rPr>
          <w:rFonts w:hint="eastAsia" w:ascii="黑体" w:hAnsi="黑体"/>
          <w:b/>
          <w:bCs/>
          <w:sz w:val="30"/>
          <w:szCs w:val="30"/>
        </w:rPr>
      </w:pPr>
      <w:bookmarkStart w:id="339" w:name="_Toc7478"/>
      <w:bookmarkStart w:id="340" w:name="_Toc501896498"/>
      <w:bookmarkStart w:id="341" w:name="_Toc13773"/>
      <w:bookmarkStart w:id="342" w:name="_Toc4625"/>
      <w:bookmarkStart w:id="343" w:name="_Toc10930"/>
      <w:r>
        <w:rPr>
          <w:rFonts w:hint="eastAsia" w:ascii="黑体" w:hAnsi="黑体"/>
          <w:b/>
          <w:bCs/>
          <w:sz w:val="30"/>
          <w:szCs w:val="30"/>
        </w:rPr>
        <w:t>7.1投资预算编制说明</w:t>
      </w:r>
      <w:bookmarkEnd w:id="339"/>
      <w:bookmarkEnd w:id="340"/>
      <w:bookmarkEnd w:id="341"/>
      <w:bookmarkEnd w:id="342"/>
      <w:bookmarkEnd w:id="343"/>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1</w:t>
      </w:r>
      <w:r>
        <w:rPr>
          <w:rFonts w:hint="eastAsia" w:ascii="仿宋_GB2312" w:eastAsia="仿宋_GB2312"/>
          <w:sz w:val="28"/>
          <w:szCs w:val="28"/>
          <w:lang w:eastAsia="zh-CN"/>
        </w:rPr>
        <w:t>）</w:t>
      </w:r>
      <w:r>
        <w:rPr>
          <w:rFonts w:hint="eastAsia" w:ascii="仿宋_GB2312" w:eastAsia="仿宋_GB2312"/>
          <w:sz w:val="28"/>
          <w:szCs w:val="28"/>
        </w:rPr>
        <w:t>苗木、物料等购置费用及劳动力单价，根据工程建设标准和市场价格确定；</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2</w:t>
      </w:r>
      <w:r>
        <w:rPr>
          <w:rFonts w:hint="eastAsia" w:ascii="仿宋_GB2312" w:eastAsia="仿宋_GB2312"/>
          <w:sz w:val="28"/>
          <w:szCs w:val="28"/>
          <w:lang w:eastAsia="zh-CN"/>
        </w:rPr>
        <w:t>）</w:t>
      </w:r>
      <w:r>
        <w:rPr>
          <w:rFonts w:hint="eastAsia" w:ascii="仿宋_GB2312" w:eastAsia="仿宋_GB2312"/>
          <w:sz w:val="28"/>
          <w:szCs w:val="28"/>
        </w:rPr>
        <w:t>设计费按中央</w:t>
      </w:r>
      <w:r>
        <w:rPr>
          <w:rFonts w:hint="eastAsia" w:ascii="仿宋_GB2312" w:eastAsia="仿宋_GB2312"/>
          <w:sz w:val="28"/>
          <w:szCs w:val="28"/>
          <w:lang w:eastAsia="zh-CN"/>
        </w:rPr>
        <w:t>预算内投</w:t>
      </w:r>
      <w:r>
        <w:rPr>
          <w:rFonts w:hint="eastAsia" w:ascii="仿宋_GB2312" w:eastAsia="仿宋_GB2312"/>
          <w:sz w:val="28"/>
          <w:szCs w:val="28"/>
        </w:rPr>
        <w:t>资的</w:t>
      </w:r>
      <w:r>
        <w:rPr>
          <w:rFonts w:hint="eastAsia" w:ascii="仿宋_GB2312" w:eastAsia="仿宋_GB2312"/>
          <w:sz w:val="28"/>
          <w:szCs w:val="28"/>
          <w:lang w:val="en-US" w:eastAsia="zh-CN"/>
        </w:rPr>
        <w:t>2.0</w:t>
      </w:r>
      <w:r>
        <w:rPr>
          <w:rFonts w:hint="eastAsia" w:ascii="仿宋_GB2312" w:eastAsia="仿宋_GB2312"/>
          <w:sz w:val="28"/>
          <w:szCs w:val="28"/>
        </w:rPr>
        <w:t>%计算；</w:t>
      </w:r>
    </w:p>
    <w:p>
      <w:pPr>
        <w:spacing w:line="560" w:lineRule="exact"/>
        <w:ind w:firstLine="560" w:firstLineChars="200"/>
        <w:rPr>
          <w:rFonts w:hint="eastAsia" w:ascii="仿宋_GB2312" w:eastAsia="仿宋_GB2312"/>
          <w:sz w:val="28"/>
          <w:szCs w:val="28"/>
          <w:lang w:eastAsia="zh-CN"/>
        </w:rPr>
      </w:pPr>
      <w:bookmarkStart w:id="344" w:name="_Toc501896499"/>
      <w:bookmarkStart w:id="345" w:name="_Toc19279"/>
      <w:bookmarkStart w:id="346" w:name="_Toc258482408"/>
      <w:bookmarkStart w:id="347" w:name="_Toc274383075"/>
      <w:bookmarkStart w:id="348" w:name="_Toc274471597"/>
      <w:bookmarkStart w:id="349" w:name="_Toc318919739"/>
      <w:bookmarkStart w:id="350" w:name="_Toc258489963"/>
      <w:bookmarkStart w:id="351" w:name="_Toc362089695"/>
      <w:bookmarkStart w:id="352" w:name="_Toc6361"/>
      <w:bookmarkStart w:id="353" w:name="_Toc261940693"/>
      <w:bookmarkStart w:id="354" w:name="_Toc317523706"/>
      <w:bookmarkStart w:id="355" w:name="_Toc258482716"/>
      <w:r>
        <w:rPr>
          <w:rFonts w:hint="eastAsia" w:ascii="仿宋_GB2312" w:eastAsia="仿宋_GB2312"/>
          <w:sz w:val="28"/>
          <w:szCs w:val="28"/>
          <w:lang w:eastAsia="zh-CN"/>
        </w:rPr>
        <w:t>（</w:t>
      </w:r>
      <w:r>
        <w:rPr>
          <w:rFonts w:hint="eastAsia" w:ascii="仿宋_GB2312" w:eastAsia="仿宋_GB2312"/>
          <w:sz w:val="28"/>
          <w:szCs w:val="28"/>
          <w:lang w:val="en-US" w:eastAsia="zh-CN"/>
        </w:rPr>
        <w:t>3</w:t>
      </w:r>
      <w:r>
        <w:rPr>
          <w:rFonts w:hint="eastAsia" w:ascii="仿宋_GB2312" w:eastAsia="仿宋_GB2312"/>
          <w:sz w:val="28"/>
          <w:szCs w:val="28"/>
          <w:lang w:eastAsia="zh-CN"/>
        </w:rPr>
        <w:t>）政策宣传培训按中央预算内投资的</w:t>
      </w:r>
      <w:r>
        <w:rPr>
          <w:rFonts w:hint="eastAsia" w:ascii="仿宋_GB2312" w:eastAsia="仿宋_GB2312"/>
          <w:sz w:val="28"/>
          <w:szCs w:val="28"/>
          <w:lang w:val="en-US" w:eastAsia="zh-CN"/>
        </w:rPr>
        <w:t>1.0%</w:t>
      </w:r>
      <w:r>
        <w:rPr>
          <w:rFonts w:hint="eastAsia" w:ascii="仿宋_GB2312" w:eastAsia="仿宋_GB2312"/>
          <w:sz w:val="28"/>
          <w:szCs w:val="28"/>
          <w:lang w:eastAsia="zh-CN"/>
        </w:rPr>
        <w:t>计算；</w:t>
      </w:r>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4</w:t>
      </w:r>
      <w:r>
        <w:rPr>
          <w:rFonts w:hint="eastAsia" w:ascii="仿宋_GB2312" w:eastAsia="仿宋_GB2312"/>
          <w:sz w:val="28"/>
          <w:szCs w:val="28"/>
          <w:lang w:eastAsia="zh-CN"/>
        </w:rPr>
        <w:t>）招投标及监理按中央预算内投资的</w:t>
      </w:r>
      <w:r>
        <w:rPr>
          <w:rFonts w:hint="eastAsia" w:ascii="仿宋_GB2312" w:eastAsia="仿宋_GB2312"/>
          <w:sz w:val="28"/>
          <w:szCs w:val="28"/>
          <w:lang w:val="en-US" w:eastAsia="zh-CN"/>
        </w:rPr>
        <w:t>1.5</w:t>
      </w:r>
      <w:r>
        <w:rPr>
          <w:rFonts w:hint="eastAsia" w:ascii="仿宋_GB2312" w:eastAsia="仿宋_GB2312"/>
          <w:sz w:val="28"/>
          <w:szCs w:val="28"/>
          <w:lang w:eastAsia="zh-CN"/>
        </w:rPr>
        <w:t>%计算。</w:t>
      </w:r>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5</w:t>
      </w:r>
      <w:r>
        <w:rPr>
          <w:rFonts w:hint="eastAsia" w:ascii="仿宋_GB2312" w:eastAsia="仿宋_GB2312"/>
          <w:sz w:val="28"/>
          <w:szCs w:val="28"/>
          <w:lang w:eastAsia="zh-CN"/>
        </w:rPr>
        <w:t>）监理、管理、检查、档案管理按中央预算内投资的</w:t>
      </w:r>
      <w:r>
        <w:rPr>
          <w:rFonts w:hint="eastAsia" w:ascii="仿宋_GB2312" w:eastAsia="仿宋_GB2312"/>
          <w:sz w:val="28"/>
          <w:szCs w:val="28"/>
          <w:lang w:val="en-US" w:eastAsia="zh-CN"/>
        </w:rPr>
        <w:t>0.5</w:t>
      </w:r>
      <w:r>
        <w:rPr>
          <w:rFonts w:hint="eastAsia" w:ascii="仿宋_GB2312" w:eastAsia="仿宋_GB2312"/>
          <w:sz w:val="28"/>
          <w:szCs w:val="28"/>
          <w:lang w:eastAsia="zh-CN"/>
        </w:rPr>
        <w:t>%计算。</w:t>
      </w:r>
    </w:p>
    <w:p>
      <w:pPr>
        <w:pStyle w:val="4"/>
        <w:spacing w:before="0" w:after="0" w:line="560" w:lineRule="exact"/>
        <w:rPr>
          <w:rFonts w:hint="eastAsia" w:ascii="黑体" w:hAnsi="黑体"/>
          <w:b/>
          <w:bCs/>
          <w:sz w:val="30"/>
          <w:szCs w:val="30"/>
        </w:rPr>
      </w:pPr>
      <w:bookmarkStart w:id="356" w:name="_Toc15195"/>
      <w:bookmarkStart w:id="357" w:name="_Toc31593"/>
      <w:bookmarkStart w:id="358" w:name="_Toc10944"/>
      <w:r>
        <w:rPr>
          <w:rFonts w:hint="eastAsia" w:ascii="黑体" w:hAnsi="黑体"/>
          <w:b/>
          <w:bCs/>
          <w:sz w:val="30"/>
          <w:szCs w:val="30"/>
        </w:rPr>
        <w:t>7.2投资预算依据</w:t>
      </w:r>
      <w:bookmarkEnd w:id="344"/>
      <w:bookmarkEnd w:id="345"/>
      <w:bookmarkEnd w:id="356"/>
      <w:bookmarkEnd w:id="357"/>
      <w:bookmarkEnd w:id="358"/>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1</w:t>
      </w:r>
      <w:r>
        <w:rPr>
          <w:rFonts w:hint="eastAsia" w:ascii="仿宋_GB2312" w:eastAsia="仿宋_GB2312"/>
          <w:sz w:val="28"/>
          <w:szCs w:val="28"/>
          <w:lang w:eastAsia="zh-CN"/>
        </w:rPr>
        <w:t>）《防护林造林工程投资估算指标》(国家林业局2016年6月1日);</w:t>
      </w:r>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2</w:t>
      </w:r>
      <w:r>
        <w:rPr>
          <w:rFonts w:hint="eastAsia" w:ascii="仿宋_GB2312" w:eastAsia="仿宋_GB2312"/>
          <w:sz w:val="28"/>
          <w:szCs w:val="28"/>
          <w:lang w:eastAsia="zh-CN"/>
        </w:rPr>
        <w:t>）当地工价及材料市场价格。</w:t>
      </w:r>
    </w:p>
    <w:p>
      <w:pPr>
        <w:pStyle w:val="4"/>
        <w:spacing w:before="0" w:after="0" w:line="560" w:lineRule="exact"/>
        <w:rPr>
          <w:rFonts w:hint="eastAsia" w:ascii="黑体" w:hAnsi="黑体"/>
          <w:b/>
          <w:bCs/>
          <w:sz w:val="30"/>
          <w:szCs w:val="30"/>
        </w:rPr>
      </w:pPr>
      <w:bookmarkStart w:id="359" w:name="_Toc501896500"/>
      <w:bookmarkStart w:id="360" w:name="_Toc25719"/>
      <w:bookmarkStart w:id="361" w:name="_Toc383"/>
      <w:bookmarkStart w:id="362" w:name="_Toc10777"/>
      <w:bookmarkStart w:id="363" w:name="_Toc8455"/>
      <w:r>
        <w:rPr>
          <w:rFonts w:hint="eastAsia" w:ascii="黑体" w:hAnsi="黑体"/>
          <w:b/>
          <w:bCs/>
          <w:sz w:val="30"/>
          <w:szCs w:val="30"/>
        </w:rPr>
        <w:t>7.</w:t>
      </w:r>
      <w:bookmarkEnd w:id="346"/>
      <w:bookmarkEnd w:id="347"/>
      <w:bookmarkEnd w:id="348"/>
      <w:bookmarkEnd w:id="349"/>
      <w:bookmarkEnd w:id="350"/>
      <w:bookmarkEnd w:id="351"/>
      <w:bookmarkEnd w:id="352"/>
      <w:bookmarkEnd w:id="353"/>
      <w:bookmarkEnd w:id="354"/>
      <w:bookmarkEnd w:id="355"/>
      <w:bookmarkStart w:id="364" w:name="_Toc274383076"/>
      <w:bookmarkStart w:id="365" w:name="_Toc362089696"/>
      <w:bookmarkStart w:id="366" w:name="_Toc258489964"/>
      <w:bookmarkStart w:id="367" w:name="_Toc318919740"/>
      <w:bookmarkStart w:id="368" w:name="_Toc258482409"/>
      <w:bookmarkStart w:id="369" w:name="_Toc274471598"/>
      <w:bookmarkStart w:id="370" w:name="_Toc317523707"/>
      <w:bookmarkStart w:id="371" w:name="_Toc261940694"/>
      <w:bookmarkStart w:id="372" w:name="_Toc258482717"/>
      <w:bookmarkStart w:id="373" w:name="_Toc27455"/>
      <w:r>
        <w:rPr>
          <w:rFonts w:hint="eastAsia" w:ascii="黑体" w:hAnsi="黑体"/>
          <w:b/>
          <w:bCs/>
          <w:sz w:val="30"/>
          <w:szCs w:val="30"/>
        </w:rPr>
        <w:t>3投资预算主要指标</w:t>
      </w:r>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(1)劳务工值：</w:t>
      </w:r>
      <w:r>
        <w:rPr>
          <w:rFonts w:hint="eastAsia" w:ascii="仿宋_GB2312" w:eastAsia="仿宋_GB2312"/>
          <w:sz w:val="28"/>
          <w:szCs w:val="28"/>
          <w:lang w:val="en-US" w:eastAsia="zh-CN"/>
        </w:rPr>
        <w:t>130.0</w:t>
      </w:r>
      <w:r>
        <w:rPr>
          <w:rFonts w:hint="eastAsia" w:ascii="仿宋_GB2312" w:eastAsia="仿宋_GB2312"/>
          <w:sz w:val="28"/>
          <w:szCs w:val="28"/>
        </w:rPr>
        <w:t>元/工日。</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(2)苗木价格(包括苗木费、运输费、检验费、检疫费及装卸费等)：油松容器苗</w:t>
      </w:r>
      <w:r>
        <w:rPr>
          <w:rFonts w:hint="eastAsia" w:ascii="仿宋_GB2312" w:eastAsia="仿宋_GB2312"/>
          <w:sz w:val="28"/>
          <w:szCs w:val="28"/>
          <w:lang w:val="en-US" w:eastAsia="zh-CN"/>
        </w:rPr>
        <w:t>1.5</w:t>
      </w:r>
      <w:r>
        <w:rPr>
          <w:rFonts w:hint="eastAsia" w:ascii="仿宋_GB2312" w:eastAsia="仿宋_GB2312"/>
          <w:sz w:val="28"/>
          <w:szCs w:val="28"/>
        </w:rPr>
        <w:t>元/株，</w:t>
      </w:r>
      <w:r>
        <w:rPr>
          <w:rFonts w:hint="eastAsia" w:ascii="仿宋_GB2312" w:eastAsia="仿宋_GB2312"/>
          <w:sz w:val="28"/>
          <w:szCs w:val="28"/>
          <w:lang w:eastAsia="zh-CN"/>
        </w:rPr>
        <w:t>山杏</w:t>
      </w:r>
      <w:r>
        <w:rPr>
          <w:rFonts w:hint="eastAsia" w:ascii="仿宋_GB2312" w:eastAsia="仿宋_GB2312"/>
          <w:sz w:val="28"/>
          <w:szCs w:val="28"/>
          <w:lang w:val="en-US" w:eastAsia="zh-CN"/>
        </w:rPr>
        <w:t>0.8</w:t>
      </w:r>
      <w:r>
        <w:rPr>
          <w:rFonts w:hint="eastAsia" w:ascii="仿宋_GB2312" w:eastAsia="仿宋_GB2312"/>
          <w:sz w:val="28"/>
          <w:szCs w:val="28"/>
        </w:rPr>
        <w:t>元/株</w:t>
      </w:r>
      <w:r>
        <w:rPr>
          <w:rFonts w:hint="eastAsia" w:ascii="仿宋_GB2312" w:eastAsia="仿宋_GB2312"/>
          <w:sz w:val="28"/>
          <w:szCs w:val="28"/>
          <w:lang w:eastAsia="zh-CN"/>
        </w:rPr>
        <w:t>、山桃</w:t>
      </w:r>
      <w:r>
        <w:rPr>
          <w:rFonts w:hint="eastAsia" w:ascii="仿宋_GB2312" w:eastAsia="仿宋_GB2312"/>
          <w:sz w:val="28"/>
          <w:szCs w:val="28"/>
          <w:lang w:val="en-US" w:eastAsia="zh-CN"/>
        </w:rPr>
        <w:t>0.7</w:t>
      </w:r>
      <w:r>
        <w:rPr>
          <w:rFonts w:hint="eastAsia" w:ascii="仿宋_GB2312" w:eastAsia="仿宋_GB2312"/>
          <w:sz w:val="28"/>
          <w:szCs w:val="28"/>
        </w:rPr>
        <w:t>元/株。</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(3)材料用量及价格：GGR 0.</w:t>
      </w:r>
      <w:r>
        <w:rPr>
          <w:rFonts w:hint="eastAsia" w:ascii="仿宋_GB2312" w:eastAsia="仿宋_GB2312"/>
          <w:sz w:val="28"/>
          <w:szCs w:val="28"/>
          <w:lang w:val="en-US" w:eastAsia="zh-CN"/>
        </w:rPr>
        <w:t>3</w:t>
      </w:r>
      <w:r>
        <w:rPr>
          <w:rFonts w:hint="eastAsia" w:ascii="仿宋_GB2312" w:eastAsia="仿宋_GB2312"/>
          <w:sz w:val="28"/>
          <w:szCs w:val="28"/>
        </w:rPr>
        <w:t>克/亩，</w:t>
      </w:r>
      <w:r>
        <w:rPr>
          <w:rFonts w:hint="eastAsia" w:ascii="仿宋_GB2312" w:eastAsia="仿宋_GB2312"/>
          <w:sz w:val="28"/>
          <w:szCs w:val="28"/>
          <w:lang w:val="en-US" w:eastAsia="zh-CN"/>
        </w:rPr>
        <w:t>29.0</w:t>
      </w:r>
      <w:r>
        <w:rPr>
          <w:rFonts w:hint="eastAsia" w:ascii="仿宋_GB2312" w:eastAsia="仿宋_GB2312"/>
          <w:sz w:val="28"/>
          <w:szCs w:val="28"/>
        </w:rPr>
        <w:t>元/</w:t>
      </w:r>
      <w:r>
        <w:rPr>
          <w:rFonts w:hint="eastAsia" w:ascii="仿宋_GB2312" w:eastAsia="仿宋_GB2312"/>
          <w:sz w:val="28"/>
          <w:szCs w:val="28"/>
          <w:lang w:eastAsia="zh-CN"/>
        </w:rPr>
        <w:t>克</w:t>
      </w:r>
      <w:r>
        <w:rPr>
          <w:rFonts w:hint="eastAsia" w:ascii="仿宋_GB2312" w:eastAsia="仿宋_GB2312"/>
          <w:sz w:val="28"/>
          <w:szCs w:val="28"/>
        </w:rPr>
        <w:t>。</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(4)用工指标：整地</w:t>
      </w:r>
      <w:r>
        <w:rPr>
          <w:rFonts w:hint="eastAsia" w:ascii="仿宋_GB2312" w:eastAsia="仿宋_GB2312"/>
          <w:sz w:val="28"/>
          <w:szCs w:val="28"/>
          <w:lang w:val="en-US" w:eastAsia="zh-CN"/>
        </w:rPr>
        <w:t>2.0</w:t>
      </w:r>
      <w:r>
        <w:rPr>
          <w:rFonts w:hint="eastAsia" w:ascii="仿宋_GB2312" w:eastAsia="仿宋_GB2312"/>
          <w:sz w:val="28"/>
          <w:szCs w:val="28"/>
        </w:rPr>
        <w:t>工日/亩</w:t>
      </w:r>
      <w:r>
        <w:rPr>
          <w:rFonts w:hint="eastAsia" w:ascii="仿宋_GB2312" w:eastAsia="仿宋_GB2312"/>
          <w:sz w:val="28"/>
          <w:szCs w:val="28"/>
          <w:lang w:eastAsia="zh-CN"/>
        </w:rPr>
        <w:t>；</w:t>
      </w:r>
      <w:r>
        <w:rPr>
          <w:rFonts w:hint="eastAsia" w:ascii="仿宋_GB2312" w:eastAsia="仿宋_GB2312"/>
          <w:sz w:val="28"/>
          <w:szCs w:val="28"/>
        </w:rPr>
        <w:t>栽植</w:t>
      </w:r>
      <w:r>
        <w:rPr>
          <w:rFonts w:hint="eastAsia" w:ascii="仿宋_GB2312" w:eastAsia="仿宋_GB2312"/>
          <w:sz w:val="28"/>
          <w:szCs w:val="28"/>
          <w:lang w:val="en-US" w:eastAsia="zh-CN"/>
        </w:rPr>
        <w:t>2.5</w:t>
      </w:r>
      <w:r>
        <w:rPr>
          <w:rFonts w:hint="eastAsia" w:ascii="仿宋_GB2312" w:eastAsia="仿宋_GB2312"/>
          <w:sz w:val="28"/>
          <w:szCs w:val="28"/>
        </w:rPr>
        <w:t>工日/亩</w:t>
      </w:r>
      <w:r>
        <w:rPr>
          <w:rFonts w:hint="eastAsia" w:ascii="仿宋_GB2312" w:eastAsia="仿宋_GB2312"/>
          <w:sz w:val="28"/>
          <w:szCs w:val="28"/>
          <w:lang w:eastAsia="zh-CN"/>
        </w:rPr>
        <w:t>；</w:t>
      </w:r>
      <w:r>
        <w:rPr>
          <w:rFonts w:hint="eastAsia" w:ascii="仿宋_GB2312" w:eastAsia="仿宋_GB2312"/>
          <w:sz w:val="28"/>
          <w:szCs w:val="28"/>
        </w:rPr>
        <w:t>补造抚育</w:t>
      </w:r>
      <w:r>
        <w:rPr>
          <w:rFonts w:hint="eastAsia" w:ascii="仿宋_GB2312" w:eastAsia="仿宋_GB2312"/>
          <w:sz w:val="28"/>
          <w:szCs w:val="28"/>
          <w:lang w:val="en-US" w:eastAsia="zh-CN"/>
        </w:rPr>
        <w:t>2.0</w:t>
      </w:r>
      <w:r>
        <w:rPr>
          <w:rFonts w:hint="eastAsia" w:ascii="仿宋_GB2312" w:eastAsia="仿宋_GB2312"/>
          <w:sz w:val="28"/>
          <w:szCs w:val="28"/>
        </w:rPr>
        <w:t>工日/亩</w:t>
      </w:r>
      <w:r>
        <w:rPr>
          <w:rFonts w:hint="eastAsia" w:ascii="仿宋_GB2312" w:eastAsia="仿宋_GB2312"/>
          <w:sz w:val="28"/>
          <w:szCs w:val="28"/>
          <w:lang w:eastAsia="zh-CN"/>
        </w:rPr>
        <w:t>，</w:t>
      </w:r>
      <w:r>
        <w:rPr>
          <w:rFonts w:hint="eastAsia" w:ascii="仿宋_GB2312" w:eastAsia="仿宋_GB2312" w:cs="仿宋_GB2312"/>
          <w:kern w:val="0"/>
          <w:sz w:val="28"/>
          <w:szCs w:val="28"/>
          <w:lang w:val="en-US" w:eastAsia="zh-CN"/>
        </w:rPr>
        <w:t>连续3年</w:t>
      </w:r>
      <w:r>
        <w:rPr>
          <w:rFonts w:hint="eastAsia" w:ascii="仿宋_GB2312" w:eastAsia="仿宋_GB2312"/>
          <w:sz w:val="28"/>
          <w:szCs w:val="28"/>
          <w:lang w:eastAsia="zh-CN"/>
        </w:rPr>
        <w:t>；</w:t>
      </w:r>
      <w:r>
        <w:rPr>
          <w:rFonts w:hint="eastAsia" w:ascii="仿宋_GB2312" w:eastAsia="仿宋_GB2312"/>
          <w:sz w:val="28"/>
          <w:szCs w:val="28"/>
        </w:rPr>
        <w:t>成林抚育</w:t>
      </w:r>
      <w:r>
        <w:rPr>
          <w:rFonts w:hint="eastAsia" w:ascii="仿宋_GB2312" w:eastAsia="仿宋_GB2312"/>
          <w:sz w:val="28"/>
          <w:szCs w:val="28"/>
          <w:lang w:val="en-US" w:eastAsia="zh-CN"/>
        </w:rPr>
        <w:t>2.0</w:t>
      </w:r>
      <w:r>
        <w:rPr>
          <w:rFonts w:hint="eastAsia" w:ascii="仿宋_GB2312" w:eastAsia="仿宋_GB2312"/>
          <w:sz w:val="28"/>
          <w:szCs w:val="28"/>
        </w:rPr>
        <w:t>工日/亩</w:t>
      </w:r>
      <w:r>
        <w:rPr>
          <w:rFonts w:hint="eastAsia" w:ascii="仿宋_GB2312" w:eastAsia="仿宋_GB2312"/>
          <w:sz w:val="28"/>
          <w:szCs w:val="28"/>
          <w:lang w:eastAsia="zh-CN"/>
        </w:rPr>
        <w:t>，</w:t>
      </w:r>
      <w:r>
        <w:rPr>
          <w:rFonts w:hint="eastAsia" w:ascii="仿宋_GB2312" w:eastAsia="仿宋_GB2312" w:cs="仿宋_GB2312"/>
          <w:kern w:val="0"/>
          <w:sz w:val="28"/>
          <w:szCs w:val="28"/>
          <w:lang w:val="en-US" w:eastAsia="zh-CN"/>
        </w:rPr>
        <w:t>连续3年</w:t>
      </w:r>
      <w:r>
        <w:rPr>
          <w:rFonts w:hint="eastAsia" w:ascii="仿宋_GB2312" w:eastAsia="仿宋_GB2312"/>
          <w:sz w:val="28"/>
          <w:szCs w:val="28"/>
        </w:rPr>
        <w:t>。</w:t>
      </w:r>
    </w:p>
    <w:p>
      <w:pPr>
        <w:pStyle w:val="4"/>
        <w:spacing w:before="0" w:after="0" w:line="560" w:lineRule="exact"/>
        <w:rPr>
          <w:rFonts w:hint="eastAsia" w:ascii="黑体" w:hAnsi="黑体"/>
          <w:b/>
          <w:bCs/>
          <w:sz w:val="30"/>
          <w:szCs w:val="30"/>
        </w:rPr>
      </w:pPr>
      <w:bookmarkStart w:id="374" w:name="_Toc14082"/>
      <w:bookmarkStart w:id="375" w:name="_Toc30814"/>
      <w:bookmarkStart w:id="376" w:name="_Toc261940695"/>
      <w:bookmarkStart w:id="377" w:name="_Toc258482718"/>
      <w:bookmarkStart w:id="378" w:name="_Toc362089697"/>
      <w:bookmarkStart w:id="379" w:name="_Toc258489965"/>
      <w:bookmarkStart w:id="380" w:name="_Toc258482410"/>
      <w:bookmarkStart w:id="381" w:name="_Toc274471599"/>
      <w:bookmarkStart w:id="382" w:name="_Toc317523708"/>
      <w:bookmarkStart w:id="383" w:name="_Toc274383077"/>
      <w:bookmarkStart w:id="384" w:name="_Toc318919741"/>
      <w:bookmarkStart w:id="385" w:name="_Toc28282"/>
      <w:bookmarkStart w:id="386" w:name="_Toc10359"/>
      <w:bookmarkStart w:id="387" w:name="_Toc11613"/>
      <w:r>
        <w:rPr>
          <w:rFonts w:hint="eastAsia" w:ascii="黑体" w:hAnsi="黑体"/>
          <w:b/>
          <w:bCs/>
          <w:sz w:val="30"/>
          <w:szCs w:val="30"/>
        </w:rPr>
        <w:t>7.</w:t>
      </w:r>
      <w:r>
        <w:rPr>
          <w:rFonts w:hint="eastAsia" w:ascii="黑体" w:hAnsi="黑体"/>
          <w:b/>
          <w:bCs/>
          <w:sz w:val="30"/>
          <w:szCs w:val="30"/>
          <w:lang w:val="en-US" w:eastAsia="zh-CN"/>
        </w:rPr>
        <w:t>4</w:t>
      </w:r>
      <w:r>
        <w:rPr>
          <w:rFonts w:hint="eastAsia" w:ascii="黑体" w:hAnsi="黑体"/>
          <w:b/>
          <w:bCs/>
          <w:sz w:val="30"/>
          <w:szCs w:val="30"/>
        </w:rPr>
        <w:t>投资</w:t>
      </w:r>
      <w:bookmarkEnd w:id="374"/>
      <w:bookmarkEnd w:id="375"/>
      <w:bookmarkEnd w:id="376"/>
      <w:bookmarkEnd w:id="377"/>
      <w:bookmarkEnd w:id="378"/>
      <w:bookmarkEnd w:id="379"/>
      <w:bookmarkEnd w:id="380"/>
      <w:bookmarkEnd w:id="381"/>
      <w:bookmarkEnd w:id="382"/>
      <w:bookmarkEnd w:id="383"/>
      <w:bookmarkEnd w:id="384"/>
      <w:r>
        <w:rPr>
          <w:rFonts w:hint="eastAsia" w:ascii="黑体" w:hAnsi="黑体"/>
          <w:b/>
          <w:bCs/>
          <w:sz w:val="30"/>
          <w:szCs w:val="30"/>
        </w:rPr>
        <w:t>预算</w:t>
      </w:r>
      <w:bookmarkEnd w:id="385"/>
      <w:bookmarkEnd w:id="386"/>
      <w:bookmarkEnd w:id="387"/>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根据项目建设内容及预算主要指标，经计算，</w:t>
      </w:r>
      <w:r>
        <w:rPr>
          <w:rFonts w:hint="eastAsia" w:ascii="仿宋_GB2312" w:eastAsia="仿宋_GB2312"/>
          <w:sz w:val="28"/>
          <w:szCs w:val="28"/>
          <w:lang w:val="en-US" w:eastAsia="zh-CN"/>
        </w:rPr>
        <w:t>吴起县2021年县级财政退化林修复</w:t>
      </w:r>
      <w:r>
        <w:rPr>
          <w:rFonts w:hint="eastAsia" w:ascii="仿宋_GB2312" w:eastAsia="仿宋_GB2312"/>
          <w:sz w:val="28"/>
          <w:szCs w:val="28"/>
          <w:lang w:eastAsia="zh-CN"/>
        </w:rPr>
        <w:t>共需投资</w:t>
      </w:r>
      <w:r>
        <w:rPr>
          <w:rFonts w:hint="eastAsia" w:ascii="仿宋_GB2312" w:eastAsia="仿宋_GB2312"/>
          <w:sz w:val="28"/>
          <w:szCs w:val="28"/>
          <w:lang w:val="en-US" w:eastAsia="zh-CN"/>
        </w:rPr>
        <w:t>396.00</w:t>
      </w:r>
      <w:r>
        <w:rPr>
          <w:rFonts w:hint="eastAsia" w:ascii="仿宋_GB2312" w:eastAsia="仿宋_GB2312"/>
          <w:sz w:val="28"/>
          <w:szCs w:val="28"/>
          <w:lang w:eastAsia="zh-CN"/>
        </w:rPr>
        <w:t>万元，其中直接费用</w:t>
      </w:r>
      <w:r>
        <w:rPr>
          <w:rFonts w:hint="eastAsia" w:ascii="仿宋_GB2312" w:eastAsia="仿宋_GB2312"/>
          <w:sz w:val="28"/>
          <w:szCs w:val="28"/>
          <w:lang w:val="en-US" w:eastAsia="zh-CN"/>
        </w:rPr>
        <w:t>376.20</w:t>
      </w:r>
      <w:r>
        <w:rPr>
          <w:rFonts w:hint="eastAsia" w:ascii="仿宋_GB2312" w:eastAsia="仿宋_GB2312"/>
          <w:sz w:val="28"/>
          <w:szCs w:val="28"/>
          <w:lang w:eastAsia="zh-CN"/>
        </w:rPr>
        <w:t>万元，占</w:t>
      </w:r>
      <w:r>
        <w:rPr>
          <w:rFonts w:hint="eastAsia" w:ascii="仿宋_GB2312" w:eastAsia="仿宋_GB2312"/>
          <w:sz w:val="28"/>
          <w:szCs w:val="28"/>
          <w:lang w:val="en-US" w:eastAsia="zh-CN"/>
        </w:rPr>
        <w:t>95.00</w:t>
      </w:r>
      <w:r>
        <w:rPr>
          <w:rFonts w:hint="eastAsia" w:ascii="仿宋_GB2312" w:eastAsia="仿宋_GB2312"/>
          <w:sz w:val="28"/>
          <w:szCs w:val="28"/>
          <w:lang w:eastAsia="zh-CN"/>
        </w:rPr>
        <w:t>%；间接费用</w:t>
      </w:r>
      <w:r>
        <w:rPr>
          <w:rFonts w:hint="eastAsia" w:ascii="仿宋_GB2312" w:eastAsia="仿宋_GB2312"/>
          <w:sz w:val="28"/>
          <w:szCs w:val="28"/>
          <w:lang w:val="en-US" w:eastAsia="zh-CN"/>
        </w:rPr>
        <w:t>19.80</w:t>
      </w:r>
      <w:r>
        <w:rPr>
          <w:rFonts w:hint="eastAsia" w:ascii="仿宋_GB2312" w:eastAsia="仿宋_GB2312"/>
          <w:sz w:val="28"/>
          <w:szCs w:val="28"/>
          <w:lang w:eastAsia="zh-CN"/>
        </w:rPr>
        <w:t>万元，占</w:t>
      </w:r>
      <w:r>
        <w:rPr>
          <w:rFonts w:hint="eastAsia" w:ascii="仿宋_GB2312" w:eastAsia="仿宋_GB2312"/>
          <w:sz w:val="28"/>
          <w:szCs w:val="28"/>
          <w:lang w:val="en-US" w:eastAsia="zh-CN"/>
        </w:rPr>
        <w:t>5.00</w:t>
      </w:r>
      <w:r>
        <w:rPr>
          <w:rFonts w:hint="eastAsia" w:ascii="仿宋_GB2312" w:eastAsia="仿宋_GB2312"/>
          <w:sz w:val="28"/>
          <w:szCs w:val="28"/>
          <w:lang w:eastAsia="zh-CN"/>
        </w:rPr>
        <w:t>%。</w:t>
      </w:r>
    </w:p>
    <w:p>
      <w:pPr>
        <w:spacing w:line="560" w:lineRule="exact"/>
        <w:ind w:firstLine="562" w:firstLineChars="200"/>
        <w:rPr>
          <w:rFonts w:hint="eastAsia" w:ascii="仿宋_GB2312" w:eastAsia="仿宋_GB2312"/>
          <w:b/>
          <w:bCs/>
          <w:sz w:val="28"/>
          <w:szCs w:val="28"/>
          <w:lang w:eastAsia="zh-CN"/>
        </w:rPr>
      </w:pPr>
      <w:r>
        <w:rPr>
          <w:rFonts w:hint="eastAsia" w:ascii="仿宋_GB2312" w:eastAsia="仿宋_GB2312"/>
          <w:b/>
          <w:bCs/>
          <w:sz w:val="28"/>
          <w:szCs w:val="28"/>
          <w:lang w:eastAsia="zh-CN"/>
        </w:rPr>
        <w:t>在直接生产费用中：</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eastAsia="zh-CN"/>
        </w:rPr>
        <w:t>苗木费</w:t>
      </w:r>
      <w:r>
        <w:rPr>
          <w:rFonts w:hint="eastAsia" w:ascii="仿宋_GB2312" w:eastAsia="仿宋_GB2312"/>
          <w:sz w:val="28"/>
          <w:szCs w:val="28"/>
          <w:lang w:val="en-US" w:eastAsia="zh-CN"/>
        </w:rPr>
        <w:t>28.75</w:t>
      </w:r>
      <w:r>
        <w:rPr>
          <w:rFonts w:hint="eastAsia" w:ascii="仿宋_GB2312" w:eastAsia="仿宋_GB2312"/>
          <w:sz w:val="28"/>
          <w:szCs w:val="28"/>
          <w:lang w:eastAsia="zh-CN"/>
        </w:rPr>
        <w:t>万元，</w:t>
      </w:r>
      <w:r>
        <w:rPr>
          <w:rFonts w:hint="eastAsia" w:ascii="仿宋_GB2312" w:eastAsia="仿宋_GB2312"/>
          <w:sz w:val="28"/>
          <w:szCs w:val="28"/>
          <w:lang w:val="en-US" w:eastAsia="zh-CN"/>
        </w:rPr>
        <w:t>物料费2.51万元，人工费344.94万元。</w:t>
      </w:r>
    </w:p>
    <w:p>
      <w:pPr>
        <w:spacing w:line="560" w:lineRule="exact"/>
        <w:ind w:firstLine="562" w:firstLineChars="200"/>
        <w:rPr>
          <w:rFonts w:hint="default" w:ascii="仿宋_GB2312" w:eastAsia="仿宋_GB2312"/>
          <w:b/>
          <w:bCs/>
          <w:sz w:val="28"/>
          <w:szCs w:val="28"/>
          <w:lang w:val="en-US" w:eastAsia="zh-CN"/>
        </w:rPr>
      </w:pPr>
      <w:r>
        <w:rPr>
          <w:rFonts w:hint="eastAsia" w:ascii="仿宋_GB2312" w:eastAsia="仿宋_GB2312"/>
          <w:b/>
          <w:bCs/>
          <w:sz w:val="28"/>
          <w:szCs w:val="28"/>
          <w:lang w:val="en-US" w:eastAsia="zh-CN"/>
        </w:rPr>
        <w:t>在间接费用中：</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政策宣传及技术培训费3.96万元，占1.0%；</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勘察</w:t>
      </w:r>
      <w:r>
        <w:rPr>
          <w:rFonts w:hint="default" w:ascii="仿宋_GB2312" w:eastAsia="仿宋_GB2312"/>
          <w:sz w:val="28"/>
          <w:szCs w:val="28"/>
          <w:lang w:val="en-US" w:eastAsia="zh-CN"/>
        </w:rPr>
        <w:t>设计</w:t>
      </w:r>
      <w:r>
        <w:rPr>
          <w:rFonts w:hint="eastAsia" w:ascii="仿宋_GB2312" w:eastAsia="仿宋_GB2312"/>
          <w:sz w:val="28"/>
          <w:szCs w:val="28"/>
          <w:lang w:val="en-US" w:eastAsia="zh-CN"/>
        </w:rPr>
        <w:t>费7.92万元，</w:t>
      </w:r>
      <w:bookmarkStart w:id="388" w:name="_Toc18966"/>
      <w:bookmarkStart w:id="389" w:name="_Toc1869"/>
      <w:bookmarkStart w:id="390" w:name="_Toc6402"/>
      <w:r>
        <w:rPr>
          <w:rFonts w:hint="eastAsia" w:ascii="仿宋_GB2312" w:eastAsia="仿宋_GB2312"/>
          <w:sz w:val="28"/>
          <w:szCs w:val="28"/>
          <w:lang w:val="en-US" w:eastAsia="zh-CN"/>
        </w:rPr>
        <w:t>占2.0%；</w:t>
      </w:r>
    </w:p>
    <w:p>
      <w:pPr>
        <w:spacing w:line="56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招投标及监理费5.94万元，占1.5%；</w:t>
      </w:r>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lang w:val="en-US" w:eastAsia="zh-CN"/>
        </w:rPr>
        <w:t>管理、检查及档案建设费1.98万元，占0.5%。</w:t>
      </w:r>
    </w:p>
    <w:p>
      <w:pPr>
        <w:pStyle w:val="4"/>
        <w:spacing w:before="0" w:after="0" w:line="560" w:lineRule="exact"/>
        <w:rPr>
          <w:rFonts w:hint="eastAsia" w:ascii="黑体" w:hAnsi="黑体"/>
          <w:b/>
          <w:bCs/>
          <w:sz w:val="30"/>
          <w:szCs w:val="30"/>
        </w:rPr>
      </w:pPr>
      <w:bookmarkStart w:id="391" w:name="_Toc29041"/>
      <w:r>
        <w:rPr>
          <w:rFonts w:hint="eastAsia" w:ascii="黑体" w:hAnsi="黑体"/>
          <w:b/>
          <w:bCs/>
          <w:sz w:val="30"/>
          <w:szCs w:val="30"/>
        </w:rPr>
        <w:t>7.</w:t>
      </w:r>
      <w:r>
        <w:rPr>
          <w:rFonts w:hint="eastAsia" w:ascii="黑体" w:hAnsi="黑体"/>
          <w:b/>
          <w:bCs/>
          <w:sz w:val="30"/>
          <w:szCs w:val="30"/>
          <w:lang w:val="en-US" w:eastAsia="zh-CN"/>
        </w:rPr>
        <w:t>5资金</w:t>
      </w:r>
      <w:bookmarkEnd w:id="388"/>
      <w:r>
        <w:rPr>
          <w:rFonts w:hint="eastAsia" w:ascii="黑体" w:hAnsi="黑体"/>
          <w:b/>
          <w:bCs/>
          <w:sz w:val="30"/>
          <w:szCs w:val="30"/>
        </w:rPr>
        <w:t>来源</w:t>
      </w:r>
      <w:bookmarkEnd w:id="389"/>
      <w:bookmarkEnd w:id="390"/>
      <w:bookmarkEnd w:id="391"/>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项目所需资金</w:t>
      </w:r>
      <w:r>
        <w:rPr>
          <w:rFonts w:hint="eastAsia" w:ascii="仿宋_GB2312" w:eastAsia="仿宋_GB2312"/>
          <w:sz w:val="28"/>
          <w:szCs w:val="28"/>
          <w:lang w:val="en-US" w:eastAsia="zh-CN"/>
        </w:rPr>
        <w:t>396.00</w:t>
      </w:r>
      <w:r>
        <w:rPr>
          <w:rFonts w:hint="eastAsia" w:ascii="仿宋_GB2312" w:eastAsia="仿宋_GB2312"/>
          <w:sz w:val="28"/>
          <w:szCs w:val="28"/>
          <w:lang w:eastAsia="zh-CN"/>
        </w:rPr>
        <w:t>万元，全部</w:t>
      </w:r>
      <w:r>
        <w:rPr>
          <w:rFonts w:hint="eastAsia" w:ascii="仿宋_GB2312" w:eastAsia="仿宋_GB2312"/>
          <w:sz w:val="28"/>
          <w:szCs w:val="28"/>
          <w:lang w:val="en-US" w:eastAsia="zh-CN"/>
        </w:rPr>
        <w:t>申请地方财政资金</w:t>
      </w:r>
      <w:r>
        <w:rPr>
          <w:rFonts w:hint="eastAsia" w:ascii="仿宋_GB2312" w:eastAsia="仿宋_GB2312"/>
          <w:sz w:val="28"/>
          <w:szCs w:val="28"/>
          <w:lang w:eastAsia="zh-CN"/>
        </w:rPr>
        <w:t>。</w:t>
      </w:r>
    </w:p>
    <w:p>
      <w:pPr>
        <w:pStyle w:val="3"/>
        <w:spacing w:before="120" w:after="120" w:line="560" w:lineRule="exact"/>
        <w:jc w:val="center"/>
        <w:rPr>
          <w:rStyle w:val="22"/>
          <w:rFonts w:hint="eastAsia" w:ascii="黑体" w:eastAsia="黑体"/>
          <w:b/>
          <w:color w:val="auto"/>
          <w:sz w:val="32"/>
          <w:szCs w:val="32"/>
          <w:lang w:val="en-US" w:eastAsia="zh-CN"/>
        </w:rPr>
      </w:pPr>
      <w:r>
        <w:rPr>
          <w:rFonts w:hint="eastAsia" w:ascii="黑体" w:eastAsia="黑体"/>
          <w:bCs/>
          <w:szCs w:val="44"/>
        </w:rPr>
        <w:br w:type="page"/>
      </w:r>
      <w:bookmarkStart w:id="392" w:name="_Toc31864"/>
      <w:bookmarkStart w:id="393" w:name="_Toc2066"/>
      <w:bookmarkStart w:id="394" w:name="_Toc30196"/>
      <w:bookmarkStart w:id="395" w:name="_Toc12134"/>
      <w:bookmarkStart w:id="396" w:name="_Toc637"/>
      <w:r>
        <w:rPr>
          <w:rStyle w:val="22"/>
          <w:rFonts w:hint="eastAsia" w:ascii="黑体" w:eastAsia="黑体"/>
          <w:b/>
          <w:color w:val="auto"/>
          <w:sz w:val="32"/>
          <w:szCs w:val="32"/>
          <w:lang w:val="en-US" w:eastAsia="zh-CN"/>
        </w:rPr>
        <w:t xml:space="preserve">第八章  </w:t>
      </w:r>
      <w:bookmarkEnd w:id="392"/>
      <w:r>
        <w:rPr>
          <w:rStyle w:val="22"/>
          <w:rFonts w:hint="eastAsia" w:ascii="黑体" w:eastAsia="黑体"/>
          <w:b/>
          <w:color w:val="auto"/>
          <w:sz w:val="32"/>
          <w:szCs w:val="32"/>
          <w:lang w:val="en-US" w:eastAsia="zh-CN"/>
        </w:rPr>
        <w:t>保障措施</w:t>
      </w:r>
      <w:bookmarkEnd w:id="393"/>
      <w:bookmarkEnd w:id="394"/>
      <w:bookmarkEnd w:id="395"/>
      <w:bookmarkEnd w:id="396"/>
    </w:p>
    <w:p>
      <w:pPr>
        <w:pStyle w:val="4"/>
        <w:spacing w:before="60" w:after="60" w:line="560" w:lineRule="exact"/>
        <w:jc w:val="left"/>
        <w:rPr>
          <w:rFonts w:hint="eastAsia" w:ascii="黑体"/>
          <w:b w:val="0"/>
          <w:sz w:val="30"/>
          <w:szCs w:val="30"/>
        </w:rPr>
      </w:pPr>
      <w:bookmarkStart w:id="397" w:name="_Toc7683"/>
      <w:bookmarkStart w:id="398" w:name="_Toc30384"/>
      <w:bookmarkStart w:id="399" w:name="_Toc12795"/>
      <w:bookmarkStart w:id="400" w:name="_Toc29266"/>
      <w:bookmarkStart w:id="401" w:name="_Toc419808530"/>
      <w:bookmarkStart w:id="402" w:name="_Toc501896504"/>
      <w:r>
        <w:rPr>
          <w:rFonts w:hint="eastAsia" w:ascii="黑体"/>
          <w:b w:val="0"/>
          <w:sz w:val="30"/>
          <w:szCs w:val="30"/>
        </w:rPr>
        <w:t>8.1组织保障</w:t>
      </w:r>
      <w:bookmarkEnd w:id="397"/>
      <w:bookmarkEnd w:id="398"/>
      <w:bookmarkEnd w:id="399"/>
      <w:bookmarkEnd w:id="400"/>
      <w:bookmarkEnd w:id="401"/>
      <w:bookmarkEnd w:id="402"/>
    </w:p>
    <w:p>
      <w:pPr>
        <w:spacing w:line="560" w:lineRule="exact"/>
        <w:ind w:firstLine="560" w:firstLineChars="200"/>
        <w:rPr>
          <w:rFonts w:hint="eastAsia" w:ascii="仿宋_GB2312" w:eastAsia="仿宋_GB2312"/>
          <w:sz w:val="28"/>
          <w:szCs w:val="28"/>
        </w:rPr>
      </w:pPr>
      <w:bookmarkStart w:id="403" w:name="_Toc11132"/>
      <w:r>
        <w:rPr>
          <w:rFonts w:hint="eastAsia" w:ascii="仿宋_GB2312" w:eastAsia="仿宋_GB2312"/>
          <w:sz w:val="28"/>
          <w:szCs w:val="28"/>
        </w:rPr>
        <w:t>为了确保规划任务按期、保质保量完成，吴起县成立退化林修复项目领导小组，组长由县林业局局长担任，副组长由总工程师担任，成员</w:t>
      </w:r>
      <w:r>
        <w:rPr>
          <w:rFonts w:hint="eastAsia" w:ascii="仿宋_GB2312" w:eastAsia="仿宋_GB2312"/>
          <w:sz w:val="28"/>
          <w:szCs w:val="28"/>
          <w:lang w:eastAsia="zh-CN"/>
        </w:rPr>
        <w:t>由所在</w:t>
      </w:r>
      <w:r>
        <w:rPr>
          <w:rFonts w:hint="eastAsia" w:ascii="仿宋_GB2312" w:eastAsia="仿宋_GB2312"/>
          <w:sz w:val="28"/>
          <w:szCs w:val="28"/>
        </w:rPr>
        <w:t>乡镇领导组成，做到分工明确、责任清晰，有利于提高工作效能和效率。</w:t>
      </w:r>
    </w:p>
    <w:p>
      <w:pPr>
        <w:pStyle w:val="4"/>
        <w:spacing w:before="60" w:after="60" w:line="560" w:lineRule="exact"/>
        <w:jc w:val="left"/>
        <w:rPr>
          <w:rFonts w:hint="eastAsia" w:ascii="黑体"/>
          <w:b w:val="0"/>
          <w:sz w:val="30"/>
          <w:szCs w:val="30"/>
        </w:rPr>
      </w:pPr>
      <w:bookmarkStart w:id="404" w:name="_Toc26164"/>
      <w:bookmarkStart w:id="405" w:name="_Toc1885"/>
      <w:bookmarkStart w:id="406" w:name="_Toc8075"/>
      <w:bookmarkStart w:id="407" w:name="_Toc19947"/>
      <w:bookmarkStart w:id="408" w:name="_Toc501896505"/>
      <w:r>
        <w:rPr>
          <w:rFonts w:hint="eastAsia" w:ascii="黑体"/>
          <w:b w:val="0"/>
          <w:sz w:val="30"/>
          <w:szCs w:val="30"/>
        </w:rPr>
        <w:t>8.2</w:t>
      </w:r>
      <w:bookmarkEnd w:id="403"/>
      <w:r>
        <w:rPr>
          <w:rFonts w:hint="eastAsia" w:ascii="黑体"/>
          <w:b w:val="0"/>
          <w:sz w:val="30"/>
          <w:szCs w:val="30"/>
        </w:rPr>
        <w:t>政策保障</w:t>
      </w:r>
      <w:bookmarkEnd w:id="404"/>
      <w:bookmarkEnd w:id="405"/>
      <w:bookmarkEnd w:id="406"/>
      <w:bookmarkEnd w:id="407"/>
      <w:bookmarkEnd w:id="408"/>
    </w:p>
    <w:p>
      <w:pPr>
        <w:spacing w:line="560" w:lineRule="exact"/>
        <w:ind w:firstLine="560" w:firstLineChars="200"/>
        <w:rPr>
          <w:rFonts w:hint="eastAsia" w:ascii="仿宋_GB2312" w:eastAsia="仿宋_GB2312"/>
          <w:sz w:val="28"/>
          <w:szCs w:val="28"/>
        </w:rPr>
      </w:pPr>
      <w:bookmarkStart w:id="409" w:name="_Toc17809"/>
      <w:r>
        <w:rPr>
          <w:rFonts w:hint="eastAsia" w:ascii="仿宋_GB2312" w:eastAsia="仿宋_GB2312"/>
          <w:sz w:val="28"/>
          <w:szCs w:val="28"/>
        </w:rPr>
        <w:t>进一步加大退化林分修复建设投入力度，建立稳定的资金投入机制，专项解决退化林修复资金，将退化林修复经费纳入同级财政预算。搞好衔接，用好现有政策，出台扶持优惠新政策，稳步推进退化防护林修复。</w:t>
      </w:r>
    </w:p>
    <w:p>
      <w:pPr>
        <w:pStyle w:val="4"/>
        <w:spacing w:before="60" w:after="60" w:line="560" w:lineRule="exact"/>
        <w:jc w:val="left"/>
        <w:rPr>
          <w:rFonts w:hint="eastAsia" w:ascii="黑体"/>
          <w:b w:val="0"/>
          <w:sz w:val="30"/>
          <w:szCs w:val="30"/>
        </w:rPr>
      </w:pPr>
      <w:bookmarkStart w:id="410" w:name="_Toc1313"/>
      <w:bookmarkStart w:id="411" w:name="_Toc5959"/>
      <w:bookmarkStart w:id="412" w:name="_Toc22837"/>
      <w:bookmarkStart w:id="413" w:name="_Toc24506"/>
      <w:bookmarkStart w:id="414" w:name="_Toc501896506"/>
      <w:r>
        <w:rPr>
          <w:rFonts w:hint="eastAsia" w:ascii="黑体"/>
          <w:b w:val="0"/>
          <w:sz w:val="30"/>
          <w:szCs w:val="30"/>
        </w:rPr>
        <w:t>8.3</w:t>
      </w:r>
      <w:bookmarkEnd w:id="409"/>
      <w:r>
        <w:rPr>
          <w:rFonts w:hint="eastAsia" w:ascii="黑体"/>
          <w:b w:val="0"/>
          <w:sz w:val="30"/>
          <w:szCs w:val="30"/>
        </w:rPr>
        <w:t>机制保障</w:t>
      </w:r>
      <w:bookmarkEnd w:id="410"/>
      <w:bookmarkEnd w:id="411"/>
      <w:bookmarkEnd w:id="412"/>
      <w:bookmarkEnd w:id="413"/>
      <w:bookmarkEnd w:id="414"/>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积极引导林木所有者、林地承包者和经营管理者投资投劳，开展防护林退化林分的修复，利用国家重点公益林补助资金以及生态护林员开展退化林分修复，以修带管，形成互利共赢的利益共同体。</w:t>
      </w:r>
    </w:p>
    <w:p>
      <w:pPr>
        <w:pStyle w:val="4"/>
        <w:spacing w:before="60" w:after="60" w:line="560" w:lineRule="exact"/>
        <w:jc w:val="left"/>
        <w:rPr>
          <w:rFonts w:hint="eastAsia" w:ascii="黑体"/>
          <w:b w:val="0"/>
          <w:sz w:val="30"/>
          <w:szCs w:val="30"/>
        </w:rPr>
      </w:pPr>
      <w:bookmarkStart w:id="415" w:name="_Toc6038"/>
      <w:bookmarkStart w:id="416" w:name="_Toc501896507"/>
      <w:bookmarkStart w:id="417" w:name="_Toc14198"/>
      <w:bookmarkStart w:id="418" w:name="_Toc24316"/>
      <w:bookmarkStart w:id="419" w:name="_Toc20079"/>
      <w:r>
        <w:rPr>
          <w:rFonts w:hint="eastAsia" w:ascii="黑体"/>
          <w:b w:val="0"/>
          <w:sz w:val="30"/>
          <w:szCs w:val="30"/>
        </w:rPr>
        <w:t>8.4资金保障</w:t>
      </w:r>
      <w:bookmarkEnd w:id="415"/>
      <w:bookmarkEnd w:id="416"/>
      <w:bookmarkEnd w:id="417"/>
      <w:bookmarkEnd w:id="418"/>
      <w:bookmarkEnd w:id="419"/>
    </w:p>
    <w:p>
      <w:pPr>
        <w:spacing w:line="560" w:lineRule="exact"/>
        <w:ind w:firstLine="560" w:firstLineChars="200"/>
        <w:rPr>
          <w:rFonts w:hint="eastAsia" w:ascii="仿宋_GB2312" w:eastAsia="仿宋_GB2312"/>
          <w:sz w:val="28"/>
          <w:szCs w:val="28"/>
        </w:rPr>
      </w:pPr>
      <w:r>
        <w:rPr>
          <w:rFonts w:hint="eastAsia" w:ascii="仿宋_GB2312" w:eastAsia="仿宋_GB2312" w:cs="仿宋_GB2312"/>
          <w:kern w:val="0"/>
          <w:sz w:val="28"/>
          <w:szCs w:val="28"/>
          <w:lang w:val="zh-CN" w:eastAsia="zh-CN"/>
        </w:rPr>
        <w:t>严格按照国家政策及《森林草原资源培育工程中央预算内投资专项管理办法》、《重点区域生态保护和修复工程中央预算内投资专项管理办法》等有关规定进行</w:t>
      </w:r>
      <w:r>
        <w:rPr>
          <w:rFonts w:hint="eastAsia" w:ascii="仿宋_GB2312" w:eastAsia="仿宋_GB2312"/>
          <w:sz w:val="28"/>
          <w:szCs w:val="28"/>
        </w:rPr>
        <w:t>预算、支出、报销等程序，实行工程财务报账制度。做到建设资金专户储存，单独建账，专款专用，禁止和杜绝任何形式的截流、挪用、串用资金的现象发生，严禁借退化防护林修复之名行破坏森林资源，确保退化林分修复成效。</w:t>
      </w:r>
    </w:p>
    <w:p>
      <w:pPr>
        <w:pStyle w:val="4"/>
        <w:spacing w:before="60" w:after="60" w:line="560" w:lineRule="exact"/>
        <w:jc w:val="left"/>
        <w:rPr>
          <w:rFonts w:hint="eastAsia" w:ascii="黑体"/>
          <w:b w:val="0"/>
          <w:sz w:val="30"/>
          <w:szCs w:val="30"/>
        </w:rPr>
      </w:pPr>
      <w:bookmarkStart w:id="420" w:name="_Toc29339"/>
      <w:bookmarkStart w:id="421" w:name="_Toc17172"/>
      <w:bookmarkStart w:id="422" w:name="_Toc12615"/>
      <w:bookmarkStart w:id="423" w:name="_Toc14382"/>
      <w:bookmarkStart w:id="424" w:name="_Toc501896508"/>
      <w:r>
        <w:rPr>
          <w:rFonts w:hint="eastAsia" w:ascii="黑体"/>
          <w:b w:val="0"/>
          <w:sz w:val="30"/>
          <w:szCs w:val="30"/>
        </w:rPr>
        <w:t>8.5科技保障</w:t>
      </w:r>
      <w:bookmarkEnd w:id="420"/>
      <w:bookmarkEnd w:id="421"/>
      <w:bookmarkEnd w:id="422"/>
      <w:bookmarkEnd w:id="423"/>
      <w:bookmarkEnd w:id="424"/>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依托林业科技、科技支撑、科技成果推广与转化等项目，加大对退化防护林修复的支持力度。将组织林业技术人员尽快开展退化防护林资源调查、评估、机理分析、树种筛选、苗木扩繁，以及林分结构优化、灾害防控、效益监测等领域基础性、前沿性技术的研究推广。要深入进行退化防护林修复、更新、管护等政策研究。</w:t>
      </w:r>
    </w:p>
    <w:p>
      <w:pPr>
        <w:pStyle w:val="4"/>
        <w:spacing w:before="60" w:after="60" w:line="560" w:lineRule="exact"/>
        <w:jc w:val="left"/>
        <w:rPr>
          <w:rFonts w:hint="eastAsia" w:ascii="黑体"/>
          <w:b w:val="0"/>
          <w:sz w:val="30"/>
          <w:szCs w:val="30"/>
        </w:rPr>
      </w:pPr>
      <w:bookmarkStart w:id="425" w:name="_Toc2184"/>
      <w:bookmarkStart w:id="426" w:name="_Toc501896509"/>
      <w:bookmarkStart w:id="427" w:name="_Toc18802"/>
      <w:bookmarkStart w:id="428" w:name="_Toc23492"/>
      <w:bookmarkStart w:id="429" w:name="_Toc12924"/>
      <w:r>
        <w:rPr>
          <w:rFonts w:hint="eastAsia" w:ascii="黑体"/>
          <w:b w:val="0"/>
          <w:sz w:val="30"/>
          <w:szCs w:val="30"/>
        </w:rPr>
        <w:t>8.6苗木保障</w:t>
      </w:r>
      <w:bookmarkEnd w:id="425"/>
      <w:bookmarkEnd w:id="426"/>
      <w:bookmarkEnd w:id="427"/>
      <w:bookmarkEnd w:id="428"/>
      <w:bookmarkEnd w:id="429"/>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补造修复所需苗木以本县自产苗木为主。苗木调拨时尽量选择气候条件、立地条件相近地区的苗木，同时要进行苗木的检验检疫。必须严格执行</w:t>
      </w:r>
      <w:r>
        <w:rPr>
          <w:rFonts w:hint="eastAsia" w:ascii="仿宋_GB2312" w:eastAsia="仿宋_GB2312"/>
          <w:sz w:val="28"/>
        </w:rPr>
        <w:t>《主要造林树种苗木质量分级》(DB61/T-2006)标准要求的Ⅰ级以上的优质苗木</w:t>
      </w:r>
      <w:r>
        <w:rPr>
          <w:rFonts w:hint="eastAsia" w:ascii="仿宋_GB2312" w:eastAsia="仿宋_GB2312"/>
          <w:sz w:val="28"/>
          <w:szCs w:val="28"/>
        </w:rPr>
        <w:t>，确保苗木使用程序化、规范化、标准化。</w:t>
      </w:r>
    </w:p>
    <w:p>
      <w:pPr>
        <w:pStyle w:val="4"/>
        <w:spacing w:before="60" w:after="60" w:line="560" w:lineRule="exact"/>
        <w:jc w:val="left"/>
        <w:rPr>
          <w:rFonts w:hint="eastAsia" w:ascii="黑体"/>
          <w:b w:val="0"/>
          <w:sz w:val="30"/>
          <w:szCs w:val="30"/>
        </w:rPr>
      </w:pPr>
      <w:bookmarkStart w:id="430" w:name="_Toc11502"/>
      <w:bookmarkStart w:id="431" w:name="_Toc501896510"/>
      <w:bookmarkStart w:id="432" w:name="_Toc30051"/>
      <w:bookmarkStart w:id="433" w:name="_Toc11620"/>
      <w:bookmarkStart w:id="434" w:name="_Toc32295"/>
      <w:r>
        <w:rPr>
          <w:rFonts w:hint="eastAsia" w:ascii="黑体"/>
          <w:b w:val="0"/>
          <w:sz w:val="30"/>
          <w:szCs w:val="30"/>
        </w:rPr>
        <w:t>8.7宣传保障</w:t>
      </w:r>
      <w:bookmarkEnd w:id="430"/>
      <w:bookmarkEnd w:id="431"/>
      <w:bookmarkEnd w:id="432"/>
      <w:bookmarkEnd w:id="433"/>
      <w:bookmarkEnd w:id="434"/>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采取不同形式的方法进行防护林修复工程建设的现实作用和长远意义的宣传。同时宣传防护林的多功能效应，提高全民生态保护意识。在群众中结合《森林法》的宣传，开展爱林护林、建设美好家园的爱国主义教育，使保护森林、爱护树木成为广大群众的自觉行为。</w:t>
      </w:r>
    </w:p>
    <w:p>
      <w:pPr>
        <w:pStyle w:val="3"/>
        <w:spacing w:before="120" w:after="120" w:line="560" w:lineRule="exact"/>
        <w:jc w:val="center"/>
        <w:rPr>
          <w:rStyle w:val="22"/>
          <w:rFonts w:hint="eastAsia" w:ascii="黑体" w:eastAsia="黑体"/>
          <w:b/>
          <w:color w:val="auto"/>
          <w:sz w:val="32"/>
          <w:szCs w:val="32"/>
          <w:lang w:val="en-US" w:eastAsia="zh-CN"/>
        </w:rPr>
      </w:pPr>
      <w:r>
        <w:rPr>
          <w:rFonts w:hint="eastAsia" w:ascii="黑体" w:eastAsia="黑体"/>
          <w:szCs w:val="44"/>
        </w:rPr>
        <w:br w:type="page"/>
      </w:r>
      <w:bookmarkStart w:id="435" w:name="_Toc9570"/>
      <w:bookmarkStart w:id="436" w:name="_Toc3553"/>
      <w:bookmarkStart w:id="437" w:name="_Toc6251"/>
      <w:bookmarkStart w:id="438" w:name="_Toc9647"/>
      <w:bookmarkStart w:id="439" w:name="_Toc8589"/>
      <w:r>
        <w:rPr>
          <w:rStyle w:val="22"/>
          <w:rFonts w:hint="eastAsia" w:ascii="黑体" w:eastAsia="黑体"/>
          <w:b/>
          <w:color w:val="auto"/>
          <w:sz w:val="32"/>
          <w:szCs w:val="32"/>
          <w:lang w:val="en-US" w:eastAsia="zh-CN"/>
        </w:rPr>
        <w:t xml:space="preserve">第九章  </w:t>
      </w:r>
      <w:bookmarkEnd w:id="435"/>
      <w:r>
        <w:rPr>
          <w:rStyle w:val="22"/>
          <w:rFonts w:hint="eastAsia" w:ascii="黑体" w:eastAsia="黑体"/>
          <w:b/>
          <w:color w:val="auto"/>
          <w:sz w:val="32"/>
          <w:szCs w:val="32"/>
          <w:lang w:val="en-US" w:eastAsia="zh-CN"/>
        </w:rPr>
        <w:t>效益分析</w:t>
      </w:r>
      <w:bookmarkEnd w:id="436"/>
      <w:bookmarkEnd w:id="437"/>
      <w:bookmarkEnd w:id="438"/>
      <w:bookmarkEnd w:id="439"/>
    </w:p>
    <w:p>
      <w:pPr>
        <w:pStyle w:val="4"/>
        <w:spacing w:before="60" w:after="60" w:line="560" w:lineRule="exact"/>
        <w:jc w:val="left"/>
        <w:rPr>
          <w:rFonts w:hint="eastAsia" w:ascii="黑体"/>
          <w:b w:val="0"/>
          <w:sz w:val="30"/>
          <w:szCs w:val="30"/>
        </w:rPr>
      </w:pPr>
      <w:bookmarkStart w:id="440" w:name="_Toc419808526"/>
      <w:bookmarkStart w:id="441" w:name="_Toc26396"/>
      <w:bookmarkStart w:id="442" w:name="_Toc27456"/>
      <w:bookmarkStart w:id="443" w:name="_Toc501896512"/>
      <w:bookmarkStart w:id="444" w:name="_Toc1023"/>
      <w:bookmarkStart w:id="445" w:name="_Toc3262"/>
      <w:r>
        <w:rPr>
          <w:rFonts w:hint="eastAsia" w:ascii="黑体"/>
          <w:b w:val="0"/>
          <w:sz w:val="30"/>
          <w:szCs w:val="30"/>
        </w:rPr>
        <w:t>9.1生态效益</w:t>
      </w:r>
      <w:bookmarkEnd w:id="440"/>
      <w:r>
        <w:rPr>
          <w:rFonts w:hint="eastAsia" w:ascii="黑体"/>
          <w:b w:val="0"/>
          <w:sz w:val="30"/>
          <w:szCs w:val="30"/>
        </w:rPr>
        <w:t>分析及评价</w:t>
      </w:r>
      <w:bookmarkEnd w:id="441"/>
      <w:bookmarkEnd w:id="442"/>
      <w:bookmarkEnd w:id="443"/>
      <w:bookmarkEnd w:id="444"/>
      <w:bookmarkEnd w:id="445"/>
    </w:p>
    <w:p>
      <w:pPr>
        <w:pStyle w:val="11"/>
        <w:spacing w:before="0" w:beforeAutospacing="0" w:after="0" w:afterAutospacing="0" w:line="560" w:lineRule="exact"/>
        <w:ind w:firstLine="482"/>
        <w:rPr>
          <w:rFonts w:hint="eastAsia" w:ascii="仿宋_GB2312" w:hAnsi="Times New Roman" w:eastAsia="仿宋_GB2312" w:cs="Times New Roman"/>
          <w:color w:val="auto"/>
          <w:kern w:val="2"/>
          <w:sz w:val="28"/>
          <w:szCs w:val="28"/>
        </w:rPr>
      </w:pPr>
      <w:r>
        <w:rPr>
          <w:rFonts w:hint="eastAsia" w:ascii="仿宋_GB2312" w:hAnsi="Times New Roman" w:eastAsia="仿宋_GB2312" w:cs="Times New Roman"/>
          <w:color w:val="auto"/>
          <w:kern w:val="2"/>
          <w:sz w:val="28"/>
          <w:szCs w:val="28"/>
        </w:rPr>
        <w:t>森林是陆地生态系统的主体，在涵养水源、净化空气、保持水土、防风固沙、吸收二氧化碳、释放氧气、吸收有毒气体、消除烟尘、杀灭细菌、降低噪声、调节气候等改善生态环境功能方面发挥着巨大的作用。</w:t>
      </w:r>
    </w:p>
    <w:p>
      <w:pPr>
        <w:pStyle w:val="11"/>
        <w:spacing w:before="0" w:beforeAutospacing="0" w:after="0" w:afterAutospacing="0" w:line="560" w:lineRule="exact"/>
        <w:ind w:firstLine="482"/>
        <w:rPr>
          <w:rFonts w:hint="eastAsia" w:ascii="仿宋_GB2312" w:hAnsi="Times New Roman" w:eastAsia="仿宋_GB2312" w:cs="Times New Roman"/>
          <w:color w:val="auto"/>
          <w:kern w:val="2"/>
          <w:sz w:val="28"/>
          <w:szCs w:val="28"/>
        </w:rPr>
      </w:pPr>
      <w:r>
        <w:rPr>
          <w:rFonts w:hint="eastAsia" w:ascii="仿宋_GB2312" w:hAnsi="Times New Roman" w:eastAsia="仿宋_GB2312" w:cs="Times New Roman"/>
          <w:color w:val="auto"/>
          <w:kern w:val="2"/>
          <w:sz w:val="28"/>
          <w:szCs w:val="28"/>
        </w:rPr>
        <w:t>涵养水源效益。据有关测定，中等质量的林分由森林植物保水量、枯枝落叶层持水量、森林土壤储水量组成的森林生态系统储水量总和可达800</w:t>
      </w:r>
      <w:r>
        <w:rPr>
          <w:rFonts w:hint="eastAsia" w:ascii="仿宋_GB2312" w:hAnsi="Times New Roman" w:eastAsia="仿宋_GB2312"/>
          <w:sz w:val="28"/>
          <w:szCs w:val="28"/>
        </w:rPr>
        <w:t>～</w:t>
      </w:r>
      <w:r>
        <w:rPr>
          <w:rFonts w:hint="eastAsia" w:ascii="仿宋_GB2312" w:hAnsi="Times New Roman" w:eastAsia="仿宋_GB2312" w:cs="Times New Roman"/>
          <w:color w:val="auto"/>
          <w:kern w:val="2"/>
          <w:sz w:val="28"/>
          <w:szCs w:val="28"/>
        </w:rPr>
        <w:t>1000吨/hm</w:t>
      </w:r>
      <w:r>
        <w:rPr>
          <w:rFonts w:hint="eastAsia" w:ascii="仿宋_GB2312" w:hAnsi="Times New Roman" w:eastAsia="仿宋_GB2312" w:cs="Times New Roman"/>
          <w:color w:val="auto"/>
          <w:kern w:val="2"/>
          <w:sz w:val="28"/>
          <w:szCs w:val="28"/>
          <w:vertAlign w:val="superscript"/>
        </w:rPr>
        <w:t>2</w:t>
      </w:r>
      <w:r>
        <w:rPr>
          <w:rFonts w:hint="eastAsia" w:ascii="仿宋_GB2312" w:hAnsi="Times New Roman" w:eastAsia="仿宋_GB2312" w:cs="Times New Roman"/>
          <w:color w:val="auto"/>
          <w:kern w:val="2"/>
          <w:sz w:val="28"/>
          <w:szCs w:val="28"/>
        </w:rPr>
        <w:t>。</w:t>
      </w:r>
    </w:p>
    <w:p>
      <w:pPr>
        <w:pStyle w:val="11"/>
        <w:spacing w:before="0" w:beforeAutospacing="0" w:after="0" w:afterAutospacing="0" w:line="560" w:lineRule="exact"/>
        <w:ind w:firstLine="482"/>
        <w:rPr>
          <w:rFonts w:hint="eastAsia" w:ascii="仿宋_GB2312" w:hAnsi="Times New Roman" w:eastAsia="仿宋_GB2312" w:cs="Times New Roman"/>
          <w:color w:val="auto"/>
          <w:kern w:val="2"/>
          <w:sz w:val="28"/>
          <w:szCs w:val="28"/>
        </w:rPr>
      </w:pPr>
      <w:r>
        <w:rPr>
          <w:rFonts w:hint="eastAsia" w:ascii="仿宋_GB2312" w:hAnsi="Times New Roman" w:eastAsia="仿宋_GB2312" w:cs="Times New Roman"/>
          <w:color w:val="auto"/>
          <w:kern w:val="2"/>
          <w:sz w:val="28"/>
          <w:szCs w:val="28"/>
        </w:rPr>
        <w:t>水土保持效益。有林地每年可减少土壤流失30吨/hm</w:t>
      </w:r>
      <w:r>
        <w:rPr>
          <w:rFonts w:hint="eastAsia" w:ascii="仿宋_GB2312" w:hAnsi="Times New Roman" w:eastAsia="仿宋_GB2312" w:cs="Times New Roman"/>
          <w:color w:val="auto"/>
          <w:kern w:val="2"/>
          <w:sz w:val="28"/>
          <w:szCs w:val="28"/>
          <w:vertAlign w:val="superscript"/>
        </w:rPr>
        <w:t>2</w:t>
      </w:r>
      <w:r>
        <w:rPr>
          <w:rFonts w:hint="eastAsia" w:ascii="仿宋_GB2312" w:hAnsi="Times New Roman" w:eastAsia="仿宋_GB2312" w:cs="Times New Roman"/>
          <w:color w:val="auto"/>
          <w:kern w:val="2"/>
          <w:sz w:val="28"/>
          <w:szCs w:val="28"/>
        </w:rPr>
        <w:t>左右。</w:t>
      </w:r>
    </w:p>
    <w:p>
      <w:pPr>
        <w:pStyle w:val="11"/>
        <w:spacing w:before="0" w:beforeAutospacing="0" w:after="0" w:afterAutospacing="0" w:line="560" w:lineRule="exact"/>
        <w:ind w:firstLine="482"/>
        <w:rPr>
          <w:rFonts w:hint="eastAsia" w:ascii="仿宋_GB2312" w:hAnsi="Times New Roman" w:eastAsia="仿宋_GB2312" w:cs="Times New Roman"/>
          <w:color w:val="auto"/>
          <w:kern w:val="2"/>
          <w:sz w:val="28"/>
          <w:szCs w:val="28"/>
        </w:rPr>
      </w:pPr>
      <w:r>
        <w:rPr>
          <w:rFonts w:hint="eastAsia" w:ascii="仿宋_GB2312" w:hAnsi="Times New Roman" w:eastAsia="仿宋_GB2312" w:cs="Times New Roman"/>
          <w:color w:val="auto"/>
          <w:kern w:val="2"/>
          <w:sz w:val="28"/>
          <w:szCs w:val="28"/>
        </w:rPr>
        <w:t>农田防护效益。项目建设成林后，在抑制土地退化、保护农田方面可以发挥重要的作用，可以减少灾害性天气对农作物的损害，提高农作物产量1～2成。</w:t>
      </w:r>
    </w:p>
    <w:p>
      <w:pPr>
        <w:spacing w:line="560" w:lineRule="exact"/>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该项目建成后，涵养水源，防止水土流失，改善气候，形成有利于农业生产的小气候，进一步改善区域的生态环境，森林的生态效益会更加显著，为农民脱贫增收致富奠定物质基础。</w:t>
      </w:r>
    </w:p>
    <w:p>
      <w:pPr>
        <w:pStyle w:val="4"/>
        <w:spacing w:before="60" w:after="60" w:line="560" w:lineRule="exact"/>
        <w:jc w:val="left"/>
        <w:rPr>
          <w:rFonts w:hint="eastAsia" w:ascii="黑体"/>
          <w:b w:val="0"/>
          <w:sz w:val="30"/>
          <w:szCs w:val="30"/>
        </w:rPr>
      </w:pPr>
      <w:bookmarkStart w:id="446" w:name="_Toc419808527"/>
      <w:bookmarkStart w:id="447" w:name="_Toc13147"/>
      <w:bookmarkStart w:id="448" w:name="_Toc10087"/>
      <w:bookmarkStart w:id="449" w:name="_Toc13821"/>
      <w:bookmarkStart w:id="450" w:name="_Toc501896513"/>
      <w:bookmarkStart w:id="451" w:name="_Toc18723"/>
      <w:r>
        <w:rPr>
          <w:rFonts w:hint="eastAsia" w:ascii="黑体"/>
          <w:b w:val="0"/>
          <w:sz w:val="30"/>
          <w:szCs w:val="30"/>
        </w:rPr>
        <w:t>9.2经济效益</w:t>
      </w:r>
      <w:bookmarkEnd w:id="446"/>
      <w:r>
        <w:rPr>
          <w:rFonts w:hint="eastAsia" w:ascii="黑体"/>
          <w:b w:val="0"/>
          <w:sz w:val="30"/>
          <w:szCs w:val="30"/>
        </w:rPr>
        <w:t>分析及评价</w:t>
      </w:r>
      <w:bookmarkEnd w:id="447"/>
      <w:bookmarkEnd w:id="448"/>
      <w:bookmarkEnd w:id="449"/>
      <w:bookmarkEnd w:id="450"/>
      <w:bookmarkEnd w:id="451"/>
    </w:p>
    <w:p>
      <w:pPr>
        <w:pStyle w:val="25"/>
        <w:rPr>
          <w:rFonts w:hint="eastAsia" w:hAnsi="Times New Roman" w:cs="Times New Roman"/>
          <w:color w:val="auto"/>
        </w:rPr>
      </w:pPr>
      <w:r>
        <w:rPr>
          <w:rFonts w:hint="eastAsia" w:hAnsi="Times New Roman" w:cs="Times New Roman"/>
          <w:color w:val="auto"/>
        </w:rPr>
        <w:t>森林的经济效益包括直接效益与间接效益两方面。</w:t>
      </w:r>
    </w:p>
    <w:p>
      <w:pPr>
        <w:pStyle w:val="25"/>
        <w:rPr>
          <w:rFonts w:hint="eastAsia" w:hAnsi="Times New Roman" w:cs="Times New Roman"/>
          <w:color w:val="auto"/>
        </w:rPr>
      </w:pPr>
      <w:r>
        <w:rPr>
          <w:rFonts w:hint="eastAsia" w:hAnsi="Times New Roman" w:cs="Times New Roman"/>
          <w:color w:val="auto"/>
        </w:rPr>
        <w:t>直接效益：该项目提高森林面积</w:t>
      </w:r>
      <w:r>
        <w:rPr>
          <w:rFonts w:hint="eastAsia" w:hAnsi="Times New Roman" w:cs="Times New Roman"/>
          <w:color w:val="auto"/>
          <w:lang w:val="en-US" w:eastAsia="zh-CN"/>
        </w:rPr>
        <w:t>6600.0</w:t>
      </w:r>
      <w:r>
        <w:rPr>
          <w:rFonts w:hint="eastAsia" w:hAnsi="Times New Roman" w:cs="Times New Roman"/>
          <w:color w:val="auto"/>
        </w:rPr>
        <w:t>亩，成林后，按照吴起县目前林地的平均生产情况，蓄积量24.0m</w:t>
      </w:r>
      <w:r>
        <w:rPr>
          <w:rFonts w:hint="eastAsia" w:hAnsi="Times New Roman" w:cs="Times New Roman"/>
          <w:color w:val="auto"/>
          <w:vertAlign w:val="superscript"/>
        </w:rPr>
        <w:t>3</w:t>
      </w:r>
      <w:r>
        <w:rPr>
          <w:rFonts w:hint="eastAsia" w:hAnsi="Times New Roman" w:cs="Times New Roman"/>
          <w:color w:val="auto"/>
        </w:rPr>
        <w:t>/hm</w:t>
      </w:r>
      <w:r>
        <w:rPr>
          <w:rFonts w:hint="eastAsia" w:hAnsi="Times New Roman" w:cs="Times New Roman"/>
          <w:color w:val="auto"/>
          <w:vertAlign w:val="superscript"/>
        </w:rPr>
        <w:t>2</w:t>
      </w:r>
      <w:r>
        <w:rPr>
          <w:rFonts w:hint="eastAsia" w:hAnsi="Times New Roman" w:cs="Times New Roman"/>
          <w:color w:val="auto"/>
        </w:rPr>
        <w:t>,可增加森林蓄积量</w:t>
      </w:r>
      <w:r>
        <w:rPr>
          <w:rFonts w:hint="eastAsia" w:hAnsi="Times New Roman" w:cs="Times New Roman"/>
          <w:color w:val="auto"/>
          <w:lang w:val="en-US" w:eastAsia="zh-CN"/>
        </w:rPr>
        <w:t>10560</w:t>
      </w:r>
      <w:r>
        <w:rPr>
          <w:rFonts w:hint="eastAsia" w:hAnsi="Times New Roman" w:cs="Times New Roman"/>
          <w:color w:val="auto"/>
        </w:rPr>
        <w:t>m</w:t>
      </w:r>
      <w:r>
        <w:rPr>
          <w:rFonts w:hint="eastAsia" w:hAnsi="Times New Roman" w:cs="Times New Roman"/>
          <w:color w:val="auto"/>
          <w:vertAlign w:val="superscript"/>
        </w:rPr>
        <w:t>3</w:t>
      </w:r>
      <w:r>
        <w:rPr>
          <w:rFonts w:hint="eastAsia" w:hAnsi="Times New Roman" w:cs="Times New Roman"/>
          <w:color w:val="auto"/>
        </w:rPr>
        <w:t>，按蓄积量200元/m</w:t>
      </w:r>
      <w:r>
        <w:rPr>
          <w:rFonts w:hint="eastAsia" w:hAnsi="Times New Roman" w:cs="Times New Roman"/>
          <w:color w:val="auto"/>
          <w:vertAlign w:val="superscript"/>
        </w:rPr>
        <w:t>3</w:t>
      </w:r>
      <w:r>
        <w:rPr>
          <w:rFonts w:hint="eastAsia" w:hAnsi="Times New Roman" w:cs="Times New Roman"/>
          <w:color w:val="auto"/>
        </w:rPr>
        <w:t>折算，经济价值</w:t>
      </w:r>
      <w:r>
        <w:rPr>
          <w:rFonts w:hint="eastAsia" w:hAnsi="Times New Roman" w:cs="Times New Roman"/>
          <w:color w:val="auto"/>
          <w:lang w:val="en-US" w:eastAsia="zh-CN"/>
        </w:rPr>
        <w:t>211.20</w:t>
      </w:r>
      <w:r>
        <w:rPr>
          <w:rFonts w:hint="eastAsia" w:hAnsi="Times New Roman" w:cs="Times New Roman"/>
          <w:color w:val="auto"/>
        </w:rPr>
        <w:t>万元。</w:t>
      </w:r>
    </w:p>
    <w:p>
      <w:pPr>
        <w:pStyle w:val="25"/>
        <w:rPr>
          <w:rFonts w:hint="eastAsia" w:hAnsi="Times New Roman" w:cs="Times New Roman"/>
          <w:color w:val="auto"/>
        </w:rPr>
      </w:pPr>
      <w:r>
        <w:rPr>
          <w:rFonts w:hint="eastAsia" w:hAnsi="Times New Roman" w:cs="Times New Roman"/>
          <w:color w:val="auto"/>
        </w:rPr>
        <w:t>间接效益：据研究，阔叶林每天可消耗二氧化碳1吨/hm</w:t>
      </w:r>
      <w:r>
        <w:rPr>
          <w:rFonts w:hint="eastAsia" w:hAnsi="Times New Roman" w:cs="Times New Roman"/>
          <w:color w:val="auto"/>
          <w:vertAlign w:val="superscript"/>
        </w:rPr>
        <w:t>2</w:t>
      </w:r>
      <w:r>
        <w:rPr>
          <w:rFonts w:hint="eastAsia" w:hAnsi="Times New Roman" w:cs="Times New Roman"/>
          <w:color w:val="auto"/>
        </w:rPr>
        <w:t>，释放氧气0.73吨/hm</w:t>
      </w:r>
      <w:r>
        <w:rPr>
          <w:rFonts w:hint="eastAsia" w:hAnsi="Times New Roman" w:cs="Times New Roman"/>
          <w:color w:val="auto"/>
          <w:vertAlign w:val="superscript"/>
        </w:rPr>
        <w:t>2</w:t>
      </w:r>
      <w:r>
        <w:rPr>
          <w:rFonts w:hint="eastAsia" w:hAnsi="Times New Roman" w:cs="Times New Roman"/>
          <w:color w:val="auto"/>
        </w:rPr>
        <w:t>。还可吸滞尘埃，杀灭有害细菌和病毒，提高大气质量，减轻噪音，富含负离子，改善人居环境等森林的间接效益。森林还可以吸收有毒气体，避免有毒气体在大气中的积累。如油松林每天可以从1m</w:t>
      </w:r>
      <w:r>
        <w:rPr>
          <w:rFonts w:hint="eastAsia" w:hAnsi="Times New Roman" w:cs="Times New Roman"/>
          <w:color w:val="auto"/>
          <w:vertAlign w:val="superscript"/>
        </w:rPr>
        <w:t>3</w:t>
      </w:r>
      <w:r>
        <w:rPr>
          <w:rFonts w:hint="eastAsia" w:hAnsi="Times New Roman" w:cs="Times New Roman"/>
          <w:color w:val="auto"/>
        </w:rPr>
        <w:t>的空气中吸收20mg的二氧化硫。大气尘埃中载有大量的细菌，树木吸滞灰尘，减少细菌的载体，从而使大气中细菌数量减少，并对空气中通常带有的37种杆菌、26种球菌、20种球状菌和7种芽生菌具有直接灭杀作用。这些间接经济效益更是无法估算。</w:t>
      </w:r>
    </w:p>
    <w:p>
      <w:pPr>
        <w:pStyle w:val="4"/>
        <w:spacing w:before="60" w:after="60" w:line="560" w:lineRule="exact"/>
        <w:jc w:val="left"/>
        <w:rPr>
          <w:rFonts w:hint="eastAsia" w:ascii="黑体"/>
          <w:b w:val="0"/>
          <w:sz w:val="30"/>
          <w:szCs w:val="30"/>
        </w:rPr>
      </w:pPr>
      <w:bookmarkStart w:id="452" w:name="_Toc419808528"/>
      <w:bookmarkStart w:id="453" w:name="_Toc2386"/>
      <w:bookmarkStart w:id="454" w:name="_Toc3370"/>
      <w:bookmarkStart w:id="455" w:name="_Toc14960"/>
      <w:bookmarkStart w:id="456" w:name="_Toc501896514"/>
      <w:bookmarkStart w:id="457" w:name="_Toc7762"/>
      <w:r>
        <w:rPr>
          <w:rFonts w:hint="eastAsia" w:ascii="黑体"/>
          <w:b w:val="0"/>
          <w:sz w:val="30"/>
          <w:szCs w:val="30"/>
        </w:rPr>
        <w:t>9.3社会效益</w:t>
      </w:r>
      <w:bookmarkEnd w:id="452"/>
      <w:r>
        <w:rPr>
          <w:rFonts w:hint="eastAsia" w:ascii="黑体"/>
          <w:b w:val="0"/>
          <w:sz w:val="30"/>
          <w:szCs w:val="30"/>
        </w:rPr>
        <w:t>分析及评价</w:t>
      </w:r>
      <w:bookmarkEnd w:id="453"/>
      <w:bookmarkEnd w:id="454"/>
      <w:bookmarkEnd w:id="455"/>
      <w:bookmarkEnd w:id="456"/>
      <w:bookmarkEnd w:id="457"/>
    </w:p>
    <w:p>
      <w:pPr>
        <w:pStyle w:val="25"/>
        <w:rPr>
          <w:rFonts w:hint="eastAsia" w:hAnsi="Times New Roman" w:cs="Times New Roman"/>
          <w:color w:val="auto"/>
        </w:rPr>
      </w:pPr>
      <w:r>
        <w:rPr>
          <w:rFonts w:hint="eastAsia" w:hAnsi="Times New Roman" w:cs="Times New Roman"/>
          <w:color w:val="auto"/>
        </w:rPr>
        <w:t>森林的社会效益主要表现在</w:t>
      </w:r>
      <w:r>
        <w:rPr>
          <w:rFonts w:hint="eastAsia" w:hAnsi="仿宋_GB2312"/>
        </w:rPr>
        <w:t>提供</w:t>
      </w:r>
      <w:r>
        <w:rPr>
          <w:rFonts w:hint="eastAsia" w:hAnsi="Times New Roman" w:cs="Times New Roman"/>
          <w:color w:val="auto"/>
        </w:rPr>
        <w:t>生态安全、就业扶贫、农村产业调整、区域经济发展等方面。通过退化林分修复项目的建设的组织实施，增强群众保护森林植被、改善生态环境的自觉性。特别是植被的恢复、林分质量的提高，人居环境的改善，为人们的生活创造了一个良好的环境。</w:t>
      </w:r>
    </w:p>
    <w:p>
      <w:pPr>
        <w:spacing w:line="560" w:lineRule="exact"/>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生物多样性效益及景观效益。该工程项目的实施增加了森林资源量，改善了生态环境，形成生物多样性的生态体系，满足人们经济发展和人民生活水平提高对林产品和生态功能日益增长的要求。自然景观的形成，可吸引广大人民群众在工作之余，去欣赏大自然，陶冶情操，激发人们热爱大自然、热爱生活的激情，获得大自然美的精神享受。当然，森林的社会效益还远远不止这些，其实际效益是难以估价的。</w:t>
      </w:r>
    </w:p>
    <w:p>
      <w:pPr>
        <w:pStyle w:val="25"/>
        <w:rPr>
          <w:rFonts w:hint="eastAsia" w:ascii="仿宋_GB2312" w:hAnsi="仿宋_GB2312" w:eastAsia="仿宋_GB2312"/>
          <w:sz w:val="28"/>
          <w:szCs w:val="28"/>
        </w:rPr>
      </w:pPr>
      <w:r>
        <w:rPr>
          <w:rFonts w:hint="eastAsia" w:hAnsi="Times New Roman" w:cs="Times New Roman"/>
          <w:color w:val="auto"/>
        </w:rPr>
        <w:t>项目的实施可改善农村和林区生产生活条件、拓宽就业渠道、促进剩余劳动力转移等方面发挥着积极作用。</w:t>
      </w:r>
    </w:p>
    <w:p>
      <w:pPr>
        <w:adjustRightInd w:val="0"/>
        <w:snapToGrid w:val="0"/>
        <w:spacing w:line="360" w:lineRule="auto"/>
        <w:jc w:val="left"/>
        <w:outlineLvl w:val="9"/>
        <w:rPr>
          <w:rFonts w:hint="eastAsia" w:ascii="仿宋" w:hAnsi="仿宋" w:eastAsia="仿宋" w:cs="仿宋"/>
          <w:b/>
          <w:sz w:val="32"/>
          <w:szCs w:val="32"/>
          <w:lang w:eastAsia="zh-CN"/>
        </w:rPr>
      </w:pPr>
    </w:p>
    <w:p>
      <w:pPr>
        <w:adjustRightInd w:val="0"/>
        <w:snapToGrid w:val="0"/>
        <w:spacing w:line="360" w:lineRule="auto"/>
        <w:ind w:firstLine="964" w:firstLineChars="300"/>
        <w:jc w:val="left"/>
        <w:outlineLvl w:val="9"/>
        <w:rPr>
          <w:rFonts w:hint="eastAsia" w:ascii="仿宋" w:hAnsi="仿宋" w:eastAsia="仿宋" w:cs="仿宋"/>
          <w:b/>
          <w:sz w:val="32"/>
          <w:szCs w:val="32"/>
          <w:lang w:eastAsia="zh-CN"/>
        </w:rPr>
      </w:pPr>
      <w:r>
        <w:rPr>
          <w:rFonts w:hint="eastAsia" w:ascii="仿宋" w:hAnsi="仿宋" w:eastAsia="仿宋" w:cs="仿宋"/>
          <w:b/>
          <w:sz w:val="32"/>
          <w:szCs w:val="32"/>
          <w:lang w:eastAsia="zh-CN"/>
        </w:rPr>
        <w:t>说明：相关表式附后。</w:t>
      </w:r>
      <w:bookmarkEnd w:id="95"/>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pStyle w:val="2"/>
        <w:rPr>
          <w:rFonts w:hint="eastAsia" w:ascii="仿宋" w:hAnsi="仿宋" w:eastAsia="仿宋" w:cs="仿宋"/>
          <w:b/>
          <w:sz w:val="32"/>
          <w:szCs w:val="32"/>
        </w:rPr>
      </w:pPr>
    </w:p>
    <w:p>
      <w:pPr>
        <w:adjustRightInd w:val="0"/>
        <w:snapToGrid w:val="0"/>
        <w:spacing w:line="360" w:lineRule="auto"/>
        <w:jc w:val="center"/>
        <w:outlineLvl w:val="0"/>
        <w:rPr>
          <w:rFonts w:hint="eastAsia" w:ascii="仿宋" w:hAnsi="仿宋" w:eastAsia="仿宋" w:cs="仿宋"/>
          <w:b/>
          <w:sz w:val="32"/>
          <w:szCs w:val="32"/>
        </w:rPr>
      </w:pPr>
      <w:bookmarkStart w:id="458" w:name="_Toc5518"/>
      <w:r>
        <w:rPr>
          <w:rFonts w:hint="eastAsia" w:ascii="仿宋" w:hAnsi="仿宋" w:eastAsia="仿宋" w:cs="仿宋"/>
          <w:b/>
          <w:sz w:val="32"/>
          <w:szCs w:val="32"/>
        </w:rPr>
        <w:t>第四章    评标办法</w:t>
      </w:r>
      <w:bookmarkEnd w:id="96"/>
      <w:bookmarkEnd w:id="97"/>
      <w:bookmarkEnd w:id="458"/>
      <w:bookmarkStart w:id="459" w:name="_Hlt101846155"/>
      <w:bookmarkEnd w:id="459"/>
      <w:bookmarkStart w:id="460" w:name="_Toc217446097"/>
      <w:bookmarkStart w:id="461" w:name="_Toc183682415"/>
      <w:bookmarkStart w:id="462" w:name="_Toc183582280"/>
      <w:bookmarkStart w:id="463" w:name="_Toc208849007"/>
    </w:p>
    <w:p>
      <w:pPr>
        <w:adjustRightInd w:val="0"/>
        <w:snapToGrid w:val="0"/>
        <w:spacing w:line="360" w:lineRule="auto"/>
        <w:jc w:val="center"/>
        <w:outlineLvl w:val="9"/>
        <w:rPr>
          <w:rFonts w:hint="eastAsia" w:ascii="仿宋" w:hAnsi="仿宋" w:eastAsia="仿宋" w:cs="仿宋"/>
          <w:b/>
          <w:sz w:val="32"/>
          <w:szCs w:val="32"/>
        </w:rPr>
      </w:pPr>
    </w:p>
    <w:p>
      <w:pPr>
        <w:adjustRightInd w:val="0"/>
        <w:snapToGrid w:val="0"/>
        <w:spacing w:line="360" w:lineRule="auto"/>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1. 总则</w:t>
      </w:r>
      <w:bookmarkEnd w:id="460"/>
      <w:bookmarkEnd w:id="461"/>
      <w:bookmarkEnd w:id="462"/>
      <w:bookmarkEnd w:id="463"/>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1.1 根据《中华人民共和国政府采购法》和《政府采购货物和服务招标投标管理办法》（财政部第87号令）等法律规章，结合采购项目特点制定本评标办法。</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1.2 评标工作由采购代理机构负责组织，具体评标事务评标委员会负责。评标委员会由采购人代表和有关技术、经济等方面的专家组成，人数应当为</w:t>
      </w:r>
      <w:r>
        <w:rPr>
          <w:rFonts w:hint="eastAsia" w:ascii="仿宋" w:hAnsi="仿宋" w:eastAsia="仿宋" w:cs="仿宋"/>
          <w:sz w:val="28"/>
          <w:szCs w:val="28"/>
          <w:lang w:val="en-US" w:eastAsia="zh-CN"/>
        </w:rPr>
        <w:t>5</w:t>
      </w:r>
      <w:r>
        <w:rPr>
          <w:rFonts w:hint="eastAsia" w:ascii="仿宋" w:hAnsi="仿宋" w:eastAsia="仿宋" w:cs="仿宋"/>
          <w:sz w:val="28"/>
          <w:szCs w:val="28"/>
        </w:rPr>
        <w:t>人及以上单数，其中技术、经济等方面的专家不得少于成员总数的三分之二。</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1.3 评标工作应遵循公平、公正、科学及择优的原则，并以相同的评标程序和标准对待所有的投标人。</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1.4 评标委员会按照招标文件规定的评标方法和标准进行评标，并独立履行下列职责：</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（1）审查投标文件是否符合招标文件要求，并作出评价；</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（2）要求投标人对投标文件有关事项作出澄清或者说明；</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zh-CN"/>
        </w:rPr>
        <w:t>对投标文件进行比较和评价；</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（4）推荐中标候选人名单；</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（5）</w:t>
      </w:r>
      <w:bookmarkStart w:id="464" w:name="_Toc217446098"/>
      <w:r>
        <w:rPr>
          <w:rFonts w:hint="eastAsia" w:ascii="仿宋" w:hAnsi="仿宋" w:eastAsia="仿宋" w:cs="仿宋"/>
          <w:sz w:val="28"/>
          <w:szCs w:val="28"/>
        </w:rPr>
        <w:t>向采购人、采购代理机构或者有关部门报告评标中发现的违法行为。</w:t>
      </w:r>
    </w:p>
    <w:p>
      <w:pPr>
        <w:adjustRightInd w:val="0"/>
        <w:snapToGrid w:val="0"/>
        <w:spacing w:line="360" w:lineRule="auto"/>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3、评标程序</w:t>
      </w:r>
      <w:bookmarkEnd w:id="464"/>
    </w:p>
    <w:p>
      <w:pPr>
        <w:adjustRightInd w:val="0"/>
        <w:snapToGrid w:val="0"/>
        <w:spacing w:line="360" w:lineRule="auto"/>
        <w:ind w:firstLine="560" w:firstLineChars="200"/>
        <w:jc w:val="left"/>
        <w:rPr>
          <w:rFonts w:hint="eastAsia" w:ascii="仿宋" w:hAnsi="仿宋" w:eastAsia="仿宋" w:cs="仿宋"/>
          <w:b/>
          <w:sz w:val="28"/>
          <w:szCs w:val="28"/>
        </w:rPr>
      </w:pPr>
      <w:r>
        <w:rPr>
          <w:rFonts w:hint="eastAsia" w:ascii="仿宋" w:hAnsi="仿宋" w:eastAsia="仿宋" w:cs="仿宋"/>
          <w:sz w:val="28"/>
          <w:szCs w:val="28"/>
          <w:lang w:val="zh-CN"/>
        </w:rPr>
        <w:t>采取逐项分步评审方式，每一步评审不符合者，不进入下一步评审。第一步：</w:t>
      </w:r>
      <w:r>
        <w:rPr>
          <w:rFonts w:hint="eastAsia" w:ascii="仿宋" w:hAnsi="仿宋" w:eastAsia="仿宋" w:cs="仿宋"/>
          <w:sz w:val="28"/>
          <w:szCs w:val="28"/>
        </w:rPr>
        <w:t>投标人资格审查；第二步：投标人符合性审查；第三步：必要时的投标文件澄清；第四步：</w:t>
      </w:r>
      <w:r>
        <w:rPr>
          <w:rFonts w:hint="eastAsia" w:ascii="仿宋" w:hAnsi="仿宋" w:eastAsia="仿宋" w:cs="仿宋"/>
          <w:sz w:val="28"/>
          <w:szCs w:val="28"/>
          <w:lang w:val="zh-CN"/>
        </w:rPr>
        <w:t>对投标文件进行比较和评价</w:t>
      </w:r>
      <w:r>
        <w:rPr>
          <w:rFonts w:hint="eastAsia" w:ascii="仿宋" w:hAnsi="仿宋" w:eastAsia="仿宋" w:cs="仿宋"/>
          <w:sz w:val="28"/>
          <w:szCs w:val="28"/>
        </w:rPr>
        <w:t>；第五步：按照评标办法推荐中标候选人。</w:t>
      </w:r>
    </w:p>
    <w:p>
      <w:pPr>
        <w:adjustRightInd w:val="0"/>
        <w:snapToGrid w:val="0"/>
        <w:spacing w:line="360" w:lineRule="auto"/>
        <w:ind w:firstLine="560" w:firstLineChars="200"/>
        <w:jc w:val="left"/>
        <w:rPr>
          <w:rFonts w:hint="eastAsia" w:ascii="仿宋" w:hAnsi="仿宋" w:eastAsia="仿宋" w:cs="仿宋"/>
          <w:sz w:val="28"/>
          <w:szCs w:val="28"/>
          <w:u w:val="single"/>
        </w:rPr>
      </w:pPr>
      <w:bookmarkStart w:id="465" w:name="_Toc217446099"/>
      <w:r>
        <w:rPr>
          <w:rFonts w:hint="eastAsia" w:ascii="仿宋" w:hAnsi="仿宋" w:eastAsia="仿宋" w:cs="仿宋"/>
          <w:sz w:val="28"/>
          <w:szCs w:val="28"/>
          <w:u w:val="single"/>
        </w:rPr>
        <w:t>3.1 资格性审查</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zh-CN"/>
        </w:rPr>
        <w:t>开标结束后，</w:t>
      </w:r>
      <w:r>
        <w:rPr>
          <w:rFonts w:hint="eastAsia" w:ascii="仿宋" w:hAnsi="仿宋" w:eastAsia="仿宋" w:cs="仿宋"/>
          <w:sz w:val="28"/>
          <w:szCs w:val="28"/>
        </w:rPr>
        <w:t>依据法律法规和招标文件的规定，对投标人的资格证明、投标保证金等进行审查。</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投标人资格证明文件出现下列情况者之一（但不限于），按无效投标处理：</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（1）未提供保证金缴纳凭证的；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（2）未按照招标文件规定和要求</w:t>
      </w:r>
      <w:r>
        <w:rPr>
          <w:rFonts w:hint="eastAsia" w:ascii="仿宋" w:hAnsi="仿宋" w:eastAsia="仿宋" w:cs="仿宋"/>
          <w:sz w:val="28"/>
          <w:szCs w:val="28"/>
          <w:lang w:eastAsia="zh-CN"/>
        </w:rPr>
        <w:t>密封、</w:t>
      </w:r>
      <w:r>
        <w:rPr>
          <w:rFonts w:hint="eastAsia" w:ascii="仿宋" w:hAnsi="仿宋" w:eastAsia="仿宋" w:cs="仿宋"/>
          <w:sz w:val="28"/>
          <w:szCs w:val="28"/>
        </w:rPr>
        <w:t>签署、盖章的；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（3）不具备招标文件第五章中规定的要求的；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（4）招标文件要求提交原件，而投标人未按要求提交的；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（5）招标文件规定的其他无效投标情形。</w:t>
      </w:r>
    </w:p>
    <w:p>
      <w:pPr>
        <w:adjustRightInd w:val="0"/>
        <w:snapToGrid w:val="0"/>
        <w:spacing w:line="360" w:lineRule="auto"/>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u w:val="single"/>
        </w:rPr>
        <w:t>3.2 符合性检查</w:t>
      </w:r>
    </w:p>
    <w:p>
      <w:pPr>
        <w:autoSpaceDE w:val="0"/>
        <w:autoSpaceDN w:val="0"/>
        <w:adjustRightInd w:val="0"/>
        <w:snapToGrid w:val="0"/>
        <w:spacing w:line="360" w:lineRule="auto"/>
        <w:ind w:firstLine="560" w:firstLineChars="200"/>
        <w:rPr>
          <w:rFonts w:hint="eastAsia" w:ascii="仿宋" w:hAnsi="仿宋" w:eastAsia="仿宋" w:cs="仿宋"/>
          <w:sz w:val="28"/>
          <w:szCs w:val="28"/>
          <w:lang w:val="zh-CN"/>
        </w:rPr>
      </w:pPr>
      <w:r>
        <w:rPr>
          <w:rFonts w:hint="eastAsia" w:ascii="仿宋" w:hAnsi="仿宋" w:eastAsia="仿宋" w:cs="仿宋"/>
          <w:sz w:val="28"/>
          <w:szCs w:val="28"/>
        </w:rPr>
        <w:t xml:space="preserve">3.2.1 </w:t>
      </w:r>
      <w:r>
        <w:rPr>
          <w:rFonts w:hint="eastAsia" w:ascii="仿宋" w:hAnsi="仿宋" w:eastAsia="仿宋" w:cs="仿宋"/>
          <w:sz w:val="28"/>
          <w:szCs w:val="28"/>
          <w:lang w:val="zh-CN"/>
        </w:rPr>
        <w:t>评标委员会应当对通过资格性审查的投标人的投标文件进行符合性审查，以确定其是否满足招标文件的实质性要求。</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3.2.2 投标人投标文件出现下列情况之一（但不限于），按照无效投标处理：</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（1）投标人投标报价等于或超出采购预算或最高限价的；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zh-CN"/>
        </w:rPr>
        <w:t>投标文件未按招标文件要求签署、盖章的</w:t>
      </w:r>
      <w:r>
        <w:rPr>
          <w:rFonts w:hint="eastAsia" w:ascii="仿宋" w:hAnsi="仿宋" w:eastAsia="仿宋" w:cs="仿宋"/>
          <w:sz w:val="28"/>
          <w:szCs w:val="28"/>
        </w:rPr>
        <w:t>；</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zh-CN"/>
        </w:rPr>
        <w:t>投标人的报价明显低于其他通过符合性审查投标人的报价，有可能影响产品质量或者不能诚信履约的，且投标人不能证明其报价合理性的，经评标委员会认定为有恶意竞争可能的</w:t>
      </w:r>
      <w:r>
        <w:rPr>
          <w:rFonts w:hint="eastAsia" w:ascii="仿宋" w:hAnsi="仿宋" w:eastAsia="仿宋" w:cs="仿宋"/>
          <w:sz w:val="28"/>
          <w:szCs w:val="28"/>
        </w:rPr>
        <w:t>；</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zh-CN"/>
        </w:rPr>
        <w:t>无投标有效期或有效期达不到招标文件要求的</w:t>
      </w:r>
      <w:r>
        <w:rPr>
          <w:rFonts w:hint="eastAsia" w:ascii="仿宋" w:hAnsi="仿宋" w:eastAsia="仿宋" w:cs="仿宋"/>
          <w:sz w:val="28"/>
          <w:szCs w:val="28"/>
        </w:rPr>
        <w:t>；</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（5）未按招标文件要求提交保证金的；</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lang w:val="zh-CN"/>
        </w:rPr>
        <w:t>投标文件</w:t>
      </w:r>
      <w:bookmarkStart w:id="507" w:name="_GoBack"/>
      <w:bookmarkEnd w:id="507"/>
      <w:r>
        <w:rPr>
          <w:rFonts w:hint="eastAsia" w:ascii="仿宋" w:hAnsi="仿宋" w:eastAsia="仿宋" w:cs="仿宋"/>
          <w:sz w:val="28"/>
          <w:szCs w:val="28"/>
          <w:lang w:val="zh-CN"/>
        </w:rPr>
        <w:t>的竣工时间、付款方式、验收、售后服务等项，没有响应招标文件要求的</w:t>
      </w:r>
      <w:r>
        <w:rPr>
          <w:rFonts w:hint="eastAsia" w:ascii="仿宋" w:hAnsi="仿宋" w:eastAsia="仿宋" w:cs="仿宋"/>
          <w:sz w:val="28"/>
          <w:szCs w:val="28"/>
        </w:rPr>
        <w:t>；</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（7）</w:t>
      </w:r>
      <w:r>
        <w:rPr>
          <w:rFonts w:hint="eastAsia" w:ascii="仿宋" w:hAnsi="仿宋" w:eastAsia="仿宋" w:cs="仿宋"/>
          <w:sz w:val="28"/>
          <w:szCs w:val="28"/>
          <w:lang w:val="zh-CN"/>
        </w:rPr>
        <w:t>投标内容出现漏项或数量与要求不符，出现重大负偏差的</w:t>
      </w:r>
      <w:r>
        <w:rPr>
          <w:rFonts w:hint="eastAsia" w:ascii="仿宋" w:hAnsi="仿宋" w:eastAsia="仿宋" w:cs="仿宋"/>
          <w:sz w:val="28"/>
          <w:szCs w:val="28"/>
        </w:rPr>
        <w:t>；</w:t>
      </w:r>
    </w:p>
    <w:p>
      <w:pPr>
        <w:adjustRightInd w:val="0"/>
        <w:snapToGrid w:val="0"/>
        <w:spacing w:line="360" w:lineRule="auto"/>
        <w:ind w:firstLine="560" w:firstLineChars="200"/>
        <w:jc w:val="left"/>
        <w:rPr>
          <w:rFonts w:hint="eastAsia" w:ascii="仿宋" w:hAnsi="仿宋" w:eastAsia="仿宋" w:cs="仿宋"/>
          <w:sz w:val="28"/>
          <w:szCs w:val="28"/>
          <w:lang w:val="zh-CN"/>
        </w:rPr>
      </w:pPr>
      <w:r>
        <w:rPr>
          <w:rFonts w:hint="eastAsia" w:ascii="仿宋" w:hAnsi="仿宋" w:eastAsia="仿宋" w:cs="仿宋"/>
          <w:sz w:val="28"/>
          <w:szCs w:val="28"/>
        </w:rPr>
        <w:t>（8）</w:t>
      </w:r>
      <w:r>
        <w:rPr>
          <w:rFonts w:hint="eastAsia" w:ascii="仿宋" w:hAnsi="仿宋" w:eastAsia="仿宋" w:cs="仿宋"/>
          <w:sz w:val="28"/>
          <w:szCs w:val="28"/>
          <w:lang w:val="zh-CN"/>
        </w:rPr>
        <w:t>投标内容的技术指标达不到招标文件要求，降低了产品档次或影响产品性能、功能的；</w:t>
      </w:r>
    </w:p>
    <w:p>
      <w:pPr>
        <w:adjustRightInd w:val="0"/>
        <w:snapToGrid w:val="0"/>
        <w:spacing w:line="360" w:lineRule="auto"/>
        <w:ind w:firstLine="560" w:firstLineChars="200"/>
        <w:jc w:val="left"/>
        <w:rPr>
          <w:rFonts w:hint="eastAsia" w:ascii="仿宋" w:hAnsi="仿宋" w:eastAsia="仿宋" w:cs="仿宋"/>
          <w:sz w:val="28"/>
          <w:szCs w:val="28"/>
          <w:lang w:val="zh-CN"/>
        </w:rPr>
      </w:pPr>
      <w:r>
        <w:rPr>
          <w:rFonts w:hint="eastAsia" w:ascii="仿宋" w:hAnsi="仿宋" w:eastAsia="仿宋" w:cs="仿宋"/>
          <w:sz w:val="28"/>
          <w:szCs w:val="28"/>
          <w:lang w:val="zh-CN"/>
        </w:rPr>
        <w:t>（</w:t>
      </w:r>
      <w:r>
        <w:rPr>
          <w:rFonts w:hint="eastAsia" w:ascii="仿宋" w:hAnsi="仿宋" w:eastAsia="仿宋" w:cs="仿宋"/>
          <w:sz w:val="28"/>
          <w:szCs w:val="28"/>
        </w:rPr>
        <w:t>9</w:t>
      </w:r>
      <w:r>
        <w:rPr>
          <w:rFonts w:hint="eastAsia" w:ascii="仿宋" w:hAnsi="仿宋" w:eastAsia="仿宋" w:cs="仿宋"/>
          <w:sz w:val="28"/>
          <w:szCs w:val="28"/>
          <w:lang w:val="zh-CN"/>
        </w:rPr>
        <w:t>）</w:t>
      </w:r>
      <w:r>
        <w:rPr>
          <w:rFonts w:hint="eastAsia" w:ascii="仿宋" w:hAnsi="仿宋" w:eastAsia="仿宋" w:cs="仿宋"/>
          <w:sz w:val="28"/>
          <w:szCs w:val="28"/>
        </w:rPr>
        <w:t>经评标委员会认定，投标文件在技术指标、售后服务和质量保证等方面有提供虚假证明，开具虚假资质的情形，按无效投标处理，并以书面形式报省财政厅，按《采购法》有关规定执行。</w:t>
      </w:r>
    </w:p>
    <w:p>
      <w:pPr>
        <w:adjustRightInd w:val="0"/>
        <w:snapToGrid w:val="0"/>
        <w:spacing w:line="360" w:lineRule="auto"/>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u w:val="single"/>
        </w:rPr>
        <w:t>3.3 投标文件澄清</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3.3.1 对投标文件中含义不明确、同类问题表述不一致或者有明显文字和计算错误的内容，评标委员会可以要求投标人作出必要的澄清、说明或者纠正。</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3.3.2 投标人的澄清、说明或者补正应当采用书面形式，由其授权代理人签字，并不得超出投标文件的范围或者改变投标文件的实质性内容。</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3.3.3 投标人在规定的澄清时限（期限）内，未能答复或者拒绝答复澄清、说明或者补正内容的，评标委员会将根据其投标文件，按最大采购风险进行评审。</w:t>
      </w:r>
    </w:p>
    <w:p>
      <w:pPr>
        <w:autoSpaceDE w:val="0"/>
        <w:autoSpaceDN w:val="0"/>
        <w:adjustRightInd w:val="0"/>
        <w:snapToGrid w:val="0"/>
        <w:spacing w:line="360" w:lineRule="auto"/>
        <w:ind w:firstLine="560" w:firstLineChars="200"/>
        <w:rPr>
          <w:rFonts w:hint="eastAsia" w:ascii="仿宋" w:hAnsi="仿宋" w:eastAsia="仿宋" w:cs="仿宋"/>
          <w:sz w:val="28"/>
          <w:szCs w:val="28"/>
          <w:lang w:val="zh-CN"/>
        </w:rPr>
      </w:pPr>
      <w:r>
        <w:rPr>
          <w:rFonts w:hint="eastAsia" w:ascii="仿宋" w:hAnsi="仿宋" w:eastAsia="仿宋" w:cs="仿宋"/>
          <w:sz w:val="28"/>
          <w:szCs w:val="28"/>
          <w:lang w:val="zh-CN"/>
        </w:rPr>
        <w:t>3.3.4 评标委员会在评标过程中，发现投标文件出现下列情况之一者，按以下原则修正，修正后的报价经投标人确认后产生约束力，投标人不确认的，其投标无效。</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zh-CN"/>
        </w:rPr>
        <w:t>投标文件中开标一览表（报价表）内容与投标文件中相应内容不一致的，以开标一览表（报价表）为准；</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zh-CN"/>
        </w:rPr>
        <w:t>大写金额和小写金额不一致的，以大写金额为准；</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zh-CN"/>
        </w:rPr>
        <w:t>单价金额小数点或者百分比有明显错位的，以开标一览表的总价为准，并修改单价；</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zh-CN"/>
        </w:rPr>
        <w:t>总价金额与单价汇总金额不一致的，以单价金额计算结果为准；</w:t>
      </w:r>
    </w:p>
    <w:p>
      <w:pPr>
        <w:autoSpaceDE w:val="0"/>
        <w:autoSpaceDN w:val="0"/>
        <w:adjustRightInd w:val="0"/>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（5）对不同文字文本投标文件的解释发生异议的，以中文文本为准；</w:t>
      </w:r>
    </w:p>
    <w:p>
      <w:pPr>
        <w:autoSpaceDE w:val="0"/>
        <w:autoSpaceDN w:val="0"/>
        <w:adjustRightInd w:val="0"/>
        <w:snapToGrid w:val="0"/>
        <w:spacing w:line="360" w:lineRule="auto"/>
        <w:ind w:firstLine="560" w:firstLineChars="200"/>
        <w:rPr>
          <w:rFonts w:hint="eastAsia" w:ascii="仿宋" w:hAnsi="仿宋" w:eastAsia="仿宋" w:cs="仿宋"/>
          <w:sz w:val="28"/>
          <w:szCs w:val="28"/>
          <w:lang w:val="zh-CN"/>
        </w:rPr>
      </w:pPr>
      <w:r>
        <w:rPr>
          <w:rFonts w:hint="eastAsia" w:ascii="仿宋" w:hAnsi="仿宋" w:eastAsia="仿宋" w:cs="仿宋"/>
          <w:sz w:val="28"/>
          <w:szCs w:val="28"/>
          <w:lang w:val="zh-CN"/>
        </w:rPr>
        <w:t>（6）文字与图表不一致的，以文字为准；</w:t>
      </w:r>
    </w:p>
    <w:p>
      <w:pPr>
        <w:autoSpaceDE w:val="0"/>
        <w:autoSpaceDN w:val="0"/>
        <w:adjustRightInd w:val="0"/>
        <w:snapToGrid w:val="0"/>
        <w:spacing w:line="360" w:lineRule="auto"/>
        <w:ind w:firstLine="560" w:firstLineChars="200"/>
        <w:rPr>
          <w:rFonts w:hint="eastAsia" w:ascii="仿宋" w:hAnsi="仿宋" w:eastAsia="仿宋" w:cs="仿宋"/>
          <w:sz w:val="28"/>
          <w:szCs w:val="28"/>
          <w:lang w:val="zh-CN"/>
        </w:rPr>
      </w:pPr>
      <w:r>
        <w:rPr>
          <w:rFonts w:hint="eastAsia" w:ascii="仿宋" w:hAnsi="仿宋" w:eastAsia="仿宋" w:cs="仿宋"/>
          <w:sz w:val="28"/>
          <w:szCs w:val="28"/>
          <w:lang w:val="zh-CN"/>
        </w:rPr>
        <w:t>（7）正本与副本不一致的，以正本为准；</w:t>
      </w:r>
    </w:p>
    <w:p>
      <w:pPr>
        <w:autoSpaceDE w:val="0"/>
        <w:autoSpaceDN w:val="0"/>
        <w:adjustRightInd w:val="0"/>
        <w:snapToGrid w:val="0"/>
        <w:spacing w:line="360" w:lineRule="auto"/>
        <w:ind w:firstLine="560" w:firstLineChars="200"/>
        <w:rPr>
          <w:rFonts w:hint="eastAsia" w:ascii="仿宋" w:hAnsi="仿宋" w:eastAsia="仿宋" w:cs="仿宋"/>
          <w:kern w:val="0"/>
          <w:sz w:val="28"/>
          <w:szCs w:val="28"/>
        </w:rPr>
      </w:pPr>
      <w:r>
        <w:rPr>
          <w:rFonts w:hint="eastAsia" w:ascii="仿宋" w:hAnsi="仿宋" w:eastAsia="仿宋" w:cs="仿宋"/>
          <w:sz w:val="28"/>
          <w:szCs w:val="28"/>
          <w:lang w:val="zh-CN"/>
        </w:rPr>
        <w:t>（8）</w:t>
      </w:r>
      <w:r>
        <w:rPr>
          <w:rFonts w:hint="eastAsia" w:ascii="仿宋" w:hAnsi="仿宋" w:eastAsia="仿宋" w:cs="仿宋"/>
          <w:kern w:val="0"/>
          <w:sz w:val="28"/>
          <w:szCs w:val="28"/>
        </w:rPr>
        <w:t>投标文件的文字叙述与制造厂商的产品样本/检测报告不符时，以产品样本/检测报告为准。</w:t>
      </w:r>
    </w:p>
    <w:p>
      <w:pPr>
        <w:adjustRightInd w:val="0"/>
        <w:snapToGrid w:val="0"/>
        <w:spacing w:line="360" w:lineRule="auto"/>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u w:val="single"/>
        </w:rPr>
        <w:t>3.4 比较与评价</w:t>
      </w:r>
    </w:p>
    <w:p>
      <w:pPr>
        <w:autoSpaceDE w:val="0"/>
        <w:autoSpaceDN w:val="0"/>
        <w:adjustRightInd w:val="0"/>
        <w:snapToGrid w:val="0"/>
        <w:spacing w:line="360" w:lineRule="auto"/>
        <w:ind w:firstLine="560" w:firstLineChars="200"/>
        <w:rPr>
          <w:rFonts w:hint="eastAsia" w:ascii="仿宋" w:hAnsi="仿宋" w:eastAsia="仿宋" w:cs="仿宋"/>
          <w:sz w:val="28"/>
          <w:szCs w:val="28"/>
          <w:lang w:val="zh-CN"/>
        </w:rPr>
      </w:pPr>
      <w:r>
        <w:rPr>
          <w:rFonts w:hint="eastAsia" w:ascii="仿宋" w:hAnsi="仿宋" w:eastAsia="仿宋" w:cs="仿宋"/>
          <w:sz w:val="28"/>
          <w:szCs w:val="28"/>
        </w:rPr>
        <w:t>3.4.1 评标时，按照招标文件规定的评标方法和标准，对资格性审查和符合性审查合格的文件进行商务和技术评审，综合比较和评价，最低报价不做为中标的唯一条件。</w:t>
      </w:r>
    </w:p>
    <w:p>
      <w:pPr>
        <w:adjustRightInd w:val="0"/>
        <w:snapToGrid w:val="0"/>
        <w:spacing w:line="360" w:lineRule="auto"/>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u w:val="single"/>
        </w:rPr>
        <w:t>3.5 推荐中标候选供应商名单</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采用综合评分法的，按评审后得分由高到低顺序排列。得分相同的，按投标报价由低到高顺序排列。得分且投标报价相同的，按技术指标优劣顺序排列。</w:t>
      </w:r>
    </w:p>
    <w:bookmarkEnd w:id="465"/>
    <w:p>
      <w:pPr>
        <w:adjustRightInd w:val="0"/>
        <w:snapToGrid w:val="0"/>
        <w:spacing w:line="360" w:lineRule="auto"/>
        <w:ind w:firstLine="562" w:firstLineChars="200"/>
        <w:jc w:val="left"/>
        <w:rPr>
          <w:rFonts w:hint="eastAsia" w:ascii="仿宋" w:hAnsi="仿宋" w:eastAsia="仿宋" w:cs="仿宋"/>
          <w:b/>
          <w:sz w:val="28"/>
          <w:szCs w:val="28"/>
        </w:rPr>
      </w:pPr>
      <w:bookmarkStart w:id="466" w:name="_Toc217446103"/>
      <w:r>
        <w:rPr>
          <w:rFonts w:hint="eastAsia" w:ascii="仿宋" w:hAnsi="仿宋" w:eastAsia="仿宋" w:cs="仿宋"/>
          <w:b/>
          <w:sz w:val="28"/>
          <w:szCs w:val="28"/>
        </w:rPr>
        <w:t>4.</w:t>
      </w:r>
      <w:bookmarkEnd w:id="466"/>
      <w:r>
        <w:rPr>
          <w:rFonts w:hint="eastAsia" w:ascii="仿宋" w:hAnsi="仿宋" w:eastAsia="仿宋" w:cs="仿宋"/>
          <w:b/>
          <w:sz w:val="28"/>
          <w:szCs w:val="28"/>
        </w:rPr>
        <w:t>评分方法</w:t>
      </w:r>
    </w:p>
    <w:p>
      <w:pPr>
        <w:adjustRightInd w:val="0"/>
        <w:snapToGrid w:val="0"/>
        <w:spacing w:line="360" w:lineRule="auto"/>
        <w:ind w:firstLine="560" w:firstLineChars="200"/>
        <w:jc w:val="left"/>
        <w:rPr>
          <w:rFonts w:hint="eastAsia" w:ascii="仿宋" w:hAnsi="仿宋" w:eastAsia="仿宋" w:cs="仿宋"/>
          <w:b/>
          <w:bCs/>
          <w:color w:val="000000"/>
          <w:sz w:val="24"/>
        </w:rPr>
      </w:pPr>
      <w:r>
        <w:rPr>
          <w:rFonts w:hint="eastAsia" w:ascii="仿宋" w:hAnsi="仿宋" w:eastAsia="仿宋" w:cs="仿宋"/>
          <w:sz w:val="28"/>
          <w:szCs w:val="28"/>
          <w:lang w:val="zh-CN"/>
        </w:rPr>
        <w:t>综合评分法（总计100分），具体评分标准和细则如下。</w:t>
      </w:r>
    </w:p>
    <w:tbl>
      <w:tblPr>
        <w:tblStyle w:val="12"/>
        <w:tblW w:w="8923" w:type="dxa"/>
        <w:tblInd w:w="93" w:type="dxa"/>
        <w:tblLayout w:type="fixed"/>
        <w:tblCellMar>
          <w:top w:w="0" w:type="dxa"/>
          <w:left w:w="108" w:type="dxa"/>
          <w:bottom w:w="0" w:type="dxa"/>
          <w:right w:w="108" w:type="dxa"/>
        </w:tblCellMar>
      </w:tblPr>
      <w:tblGrid>
        <w:gridCol w:w="437"/>
        <w:gridCol w:w="791"/>
        <w:gridCol w:w="1650"/>
        <w:gridCol w:w="6045"/>
      </w:tblGrid>
      <w:tr>
        <w:tblPrEx>
          <w:tblCellMar>
            <w:top w:w="0" w:type="dxa"/>
            <w:left w:w="108" w:type="dxa"/>
            <w:bottom w:w="0" w:type="dxa"/>
            <w:right w:w="108" w:type="dxa"/>
          </w:tblCellMar>
        </w:tblPrEx>
        <w:trPr>
          <w:trHeight w:val="334" w:hRule="atLeast"/>
        </w:trPr>
        <w:tc>
          <w:tcPr>
            <w:tcW w:w="122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b/>
                <w:bCs/>
                <w:color w:val="000000"/>
                <w:sz w:val="24"/>
              </w:rPr>
            </w:pPr>
            <w:r>
              <w:rPr>
                <w:rFonts w:hint="eastAsia" w:ascii="仿宋" w:hAnsi="仿宋" w:eastAsia="仿宋" w:cs="仿宋"/>
                <w:b/>
                <w:bCs/>
                <w:color w:val="000000"/>
                <w:kern w:val="0"/>
                <w:sz w:val="24"/>
                <w:lang w:bidi="ar"/>
              </w:rPr>
              <w:t>序号</w:t>
            </w:r>
          </w:p>
        </w:tc>
        <w:tc>
          <w:tcPr>
            <w:tcW w:w="1650" w:type="dxa"/>
            <w:tcBorders>
              <w:top w:val="single" w:color="000000" w:sz="4" w:space="0"/>
              <w:left w:val="single" w:color="000000" w:sz="4" w:space="0"/>
              <w:bottom w:val="single" w:color="000000" w:sz="4" w:space="0"/>
              <w:right w:val="nil"/>
            </w:tcBorders>
            <w:noWrap w:val="0"/>
            <w:vAlign w:val="center"/>
          </w:tcPr>
          <w:p>
            <w:pPr>
              <w:widowControl/>
              <w:jc w:val="center"/>
              <w:textAlignment w:val="center"/>
              <w:rPr>
                <w:rFonts w:hint="eastAsia" w:ascii="仿宋" w:hAnsi="仿宋" w:eastAsia="仿宋" w:cs="仿宋"/>
                <w:b/>
                <w:bCs/>
                <w:color w:val="000000"/>
                <w:sz w:val="24"/>
              </w:rPr>
            </w:pPr>
            <w:r>
              <w:rPr>
                <w:rFonts w:hint="eastAsia" w:ascii="仿宋" w:hAnsi="仿宋" w:eastAsia="仿宋" w:cs="仿宋"/>
                <w:b/>
                <w:bCs/>
                <w:color w:val="000000"/>
                <w:kern w:val="0"/>
                <w:sz w:val="24"/>
                <w:lang w:bidi="ar"/>
              </w:rPr>
              <w:t>内容</w:t>
            </w:r>
          </w:p>
        </w:tc>
        <w:tc>
          <w:tcPr>
            <w:tcW w:w="60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b/>
                <w:bCs/>
                <w:color w:val="000000"/>
                <w:sz w:val="24"/>
              </w:rPr>
            </w:pPr>
            <w:r>
              <w:rPr>
                <w:rFonts w:hint="eastAsia" w:ascii="仿宋" w:hAnsi="仿宋" w:eastAsia="仿宋" w:cs="仿宋"/>
                <w:b/>
                <w:bCs/>
                <w:color w:val="000000"/>
                <w:kern w:val="0"/>
                <w:sz w:val="24"/>
                <w:lang w:bidi="ar"/>
              </w:rPr>
              <w:t>编列内容</w:t>
            </w:r>
          </w:p>
        </w:tc>
      </w:tr>
      <w:tr>
        <w:tblPrEx>
          <w:tblCellMar>
            <w:top w:w="0" w:type="dxa"/>
            <w:left w:w="108" w:type="dxa"/>
            <w:bottom w:w="0" w:type="dxa"/>
            <w:right w:w="108" w:type="dxa"/>
          </w:tblCellMar>
        </w:tblPrEx>
        <w:trPr>
          <w:trHeight w:val="638" w:hRule="atLeast"/>
        </w:trPr>
        <w:tc>
          <w:tcPr>
            <w:tcW w:w="122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1650" w:type="dxa"/>
            <w:tcBorders>
              <w:top w:val="single" w:color="000000" w:sz="4" w:space="0"/>
              <w:left w:val="single" w:color="000000" w:sz="4" w:space="0"/>
              <w:bottom w:val="single" w:color="000000" w:sz="4" w:space="0"/>
              <w:right w:val="nil"/>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分值构成（总分100分）</w:t>
            </w:r>
          </w:p>
        </w:tc>
        <w:tc>
          <w:tcPr>
            <w:tcW w:w="604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24"/>
                <w:lang w:eastAsia="zh-CN" w:bidi="ar"/>
              </w:rPr>
            </w:pPr>
            <w:r>
              <w:rPr>
                <w:rFonts w:hint="eastAsia" w:ascii="仿宋" w:hAnsi="仿宋" w:eastAsia="仿宋" w:cs="仿宋"/>
                <w:color w:val="000000"/>
                <w:kern w:val="0"/>
                <w:sz w:val="24"/>
                <w:lang w:bidi="ar"/>
              </w:rPr>
              <w:t xml:space="preserve">    </w:t>
            </w:r>
            <w:r>
              <w:rPr>
                <w:rFonts w:hint="eastAsia" w:ascii="仿宋" w:hAnsi="仿宋" w:eastAsia="仿宋" w:cs="仿宋"/>
                <w:color w:val="000000"/>
                <w:kern w:val="0"/>
                <w:sz w:val="24"/>
                <w:lang w:eastAsia="zh-CN" w:bidi="ar"/>
              </w:rPr>
              <w:t>投标报价</w:t>
            </w:r>
            <w:r>
              <w:rPr>
                <w:rFonts w:hint="eastAsia" w:ascii="仿宋" w:hAnsi="仿宋" w:eastAsia="仿宋" w:cs="仿宋"/>
                <w:color w:val="000000"/>
                <w:kern w:val="0"/>
                <w:sz w:val="24"/>
                <w:lang w:bidi="ar"/>
              </w:rPr>
              <w:t>：30 分</w:t>
            </w:r>
          </w:p>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 xml:space="preserve">    技术及服务能力部分：70 分</w:t>
            </w:r>
          </w:p>
        </w:tc>
      </w:tr>
      <w:tr>
        <w:tblPrEx>
          <w:tblCellMar>
            <w:top w:w="0" w:type="dxa"/>
            <w:left w:w="108" w:type="dxa"/>
            <w:bottom w:w="0" w:type="dxa"/>
            <w:right w:w="108" w:type="dxa"/>
          </w:tblCellMar>
        </w:tblPrEx>
        <w:trPr>
          <w:trHeight w:val="638" w:hRule="atLeast"/>
        </w:trPr>
        <w:tc>
          <w:tcPr>
            <w:tcW w:w="4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b/>
                <w:bCs/>
                <w:color w:val="000000"/>
                <w:sz w:val="24"/>
              </w:rPr>
            </w:pPr>
            <w:r>
              <w:rPr>
                <w:rFonts w:hint="eastAsia" w:ascii="仿宋" w:hAnsi="仿宋" w:eastAsia="仿宋" w:cs="仿宋"/>
                <w:b/>
                <w:bCs/>
                <w:color w:val="000000"/>
                <w:kern w:val="0"/>
                <w:sz w:val="24"/>
                <w:lang w:bidi="ar"/>
              </w:rPr>
              <w:t>序号</w:t>
            </w:r>
          </w:p>
        </w:tc>
        <w:tc>
          <w:tcPr>
            <w:tcW w:w="7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b/>
                <w:bCs/>
                <w:color w:val="000000"/>
                <w:sz w:val="24"/>
              </w:rPr>
            </w:pPr>
            <w:r>
              <w:rPr>
                <w:rFonts w:hint="eastAsia" w:ascii="仿宋" w:hAnsi="仿宋" w:eastAsia="仿宋" w:cs="仿宋"/>
                <w:b/>
                <w:bCs/>
                <w:color w:val="000000"/>
                <w:kern w:val="0"/>
                <w:sz w:val="24"/>
                <w:lang w:bidi="ar"/>
              </w:rPr>
              <w:t>内容</w:t>
            </w:r>
          </w:p>
        </w:tc>
        <w:tc>
          <w:tcPr>
            <w:tcW w:w="1650" w:type="dxa"/>
            <w:tcBorders>
              <w:top w:val="single" w:color="000000" w:sz="4" w:space="0"/>
              <w:left w:val="single" w:color="000000" w:sz="4" w:space="0"/>
              <w:bottom w:val="single" w:color="000000" w:sz="4" w:space="0"/>
              <w:right w:val="nil"/>
            </w:tcBorders>
            <w:noWrap w:val="0"/>
            <w:vAlign w:val="center"/>
          </w:tcPr>
          <w:p>
            <w:pPr>
              <w:widowControl/>
              <w:jc w:val="center"/>
              <w:textAlignment w:val="center"/>
              <w:rPr>
                <w:rFonts w:hint="eastAsia" w:ascii="仿宋" w:hAnsi="仿宋" w:eastAsia="仿宋" w:cs="仿宋"/>
                <w:b/>
                <w:bCs/>
                <w:color w:val="000000"/>
                <w:sz w:val="24"/>
              </w:rPr>
            </w:pPr>
            <w:r>
              <w:rPr>
                <w:rFonts w:hint="eastAsia" w:ascii="仿宋" w:hAnsi="仿宋" w:eastAsia="仿宋" w:cs="仿宋"/>
                <w:b/>
                <w:bCs/>
                <w:color w:val="000000"/>
                <w:kern w:val="0"/>
                <w:sz w:val="24"/>
                <w:lang w:bidi="ar"/>
              </w:rPr>
              <w:t>评分因素</w:t>
            </w:r>
          </w:p>
        </w:tc>
        <w:tc>
          <w:tcPr>
            <w:tcW w:w="60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b/>
                <w:bCs/>
                <w:color w:val="000000"/>
                <w:sz w:val="24"/>
              </w:rPr>
            </w:pPr>
            <w:r>
              <w:rPr>
                <w:rFonts w:hint="eastAsia" w:ascii="仿宋" w:hAnsi="仿宋" w:eastAsia="仿宋" w:cs="仿宋"/>
                <w:b/>
                <w:bCs/>
                <w:color w:val="000000"/>
                <w:kern w:val="0"/>
                <w:sz w:val="24"/>
                <w:lang w:bidi="ar"/>
              </w:rPr>
              <w:t>评分标准（共 100 分）</w:t>
            </w:r>
          </w:p>
        </w:tc>
      </w:tr>
      <w:tr>
        <w:tblPrEx>
          <w:tblCellMar>
            <w:top w:w="0" w:type="dxa"/>
            <w:left w:w="108" w:type="dxa"/>
            <w:bottom w:w="0" w:type="dxa"/>
            <w:right w:w="108" w:type="dxa"/>
          </w:tblCellMar>
        </w:tblPrEx>
        <w:trPr>
          <w:trHeight w:val="1541" w:hRule="atLeast"/>
        </w:trPr>
        <w:tc>
          <w:tcPr>
            <w:tcW w:w="437"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791"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投标</w:t>
            </w:r>
          </w:p>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报价（30分）</w:t>
            </w:r>
          </w:p>
        </w:tc>
        <w:tc>
          <w:tcPr>
            <w:tcW w:w="1650" w:type="dxa"/>
            <w:tcBorders>
              <w:top w:val="single" w:color="000000" w:sz="4" w:space="0"/>
              <w:left w:val="single" w:color="000000" w:sz="4" w:space="0"/>
              <w:bottom w:val="single" w:color="000000" w:sz="4" w:space="0"/>
              <w:right w:val="nil"/>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投标报价评分标准</w:t>
            </w:r>
          </w:p>
        </w:tc>
        <w:tc>
          <w:tcPr>
            <w:tcW w:w="6045"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480" w:firstLineChars="200"/>
              <w:jc w:val="left"/>
              <w:textAlignment w:val="center"/>
              <w:rPr>
                <w:rFonts w:hint="eastAsia" w:ascii="仿宋" w:hAnsi="仿宋" w:eastAsia="仿宋" w:cs="仿宋"/>
                <w:color w:val="000000"/>
                <w:sz w:val="24"/>
                <w:lang w:eastAsia="zh-CN"/>
              </w:rPr>
            </w:pPr>
            <w:r>
              <w:rPr>
                <w:rFonts w:hint="eastAsia" w:ascii="仿宋" w:hAnsi="仿宋" w:eastAsia="仿宋" w:cs="仿宋"/>
                <w:b w:val="0"/>
                <w:bCs w:val="0"/>
                <w:color w:val="000000"/>
                <w:sz w:val="24"/>
              </w:rPr>
              <w:t>满足</w:t>
            </w:r>
            <w:r>
              <w:rPr>
                <w:rFonts w:hint="eastAsia" w:ascii="仿宋" w:hAnsi="仿宋" w:eastAsia="仿宋" w:cs="仿宋"/>
                <w:b w:val="0"/>
                <w:bCs w:val="0"/>
                <w:color w:val="000000"/>
                <w:sz w:val="24"/>
                <w:lang w:eastAsia="zh-CN"/>
              </w:rPr>
              <w:t>招标</w:t>
            </w:r>
            <w:r>
              <w:rPr>
                <w:rFonts w:hint="eastAsia" w:ascii="仿宋" w:hAnsi="仿宋" w:eastAsia="仿宋" w:cs="仿宋"/>
                <w:b w:val="0"/>
                <w:bCs w:val="0"/>
                <w:color w:val="000000"/>
                <w:sz w:val="24"/>
              </w:rPr>
              <w:t>文件要求且最后报价最低的供应商的价格为</w:t>
            </w:r>
            <w:r>
              <w:rPr>
                <w:rFonts w:hint="eastAsia" w:ascii="仿宋" w:hAnsi="仿宋" w:eastAsia="仿宋" w:cs="仿宋"/>
                <w:b w:val="0"/>
                <w:bCs w:val="0"/>
                <w:color w:val="000000"/>
                <w:sz w:val="24"/>
                <w:lang w:eastAsia="zh-CN"/>
              </w:rPr>
              <w:t>招标</w:t>
            </w:r>
            <w:r>
              <w:rPr>
                <w:rFonts w:hint="eastAsia" w:ascii="仿宋" w:hAnsi="仿宋" w:eastAsia="仿宋" w:cs="仿宋"/>
                <w:b w:val="0"/>
                <w:bCs w:val="0"/>
                <w:color w:val="000000"/>
                <w:sz w:val="24"/>
              </w:rPr>
              <w:t>基准价，其价格分为满分。其他供应商的价格分统一按照下列公式计算：</w:t>
            </w:r>
            <w:r>
              <w:rPr>
                <w:rFonts w:hint="eastAsia" w:ascii="仿宋" w:hAnsi="仿宋" w:eastAsia="仿宋" w:cs="仿宋"/>
                <w:b w:val="0"/>
                <w:bCs w:val="0"/>
                <w:color w:val="000000"/>
                <w:sz w:val="24"/>
                <w:lang w:eastAsia="zh-CN"/>
              </w:rPr>
              <w:t>招标</w:t>
            </w:r>
            <w:r>
              <w:rPr>
                <w:rFonts w:hint="eastAsia" w:ascii="仿宋" w:hAnsi="仿宋" w:eastAsia="仿宋" w:cs="仿宋"/>
                <w:b w:val="0"/>
                <w:bCs w:val="0"/>
                <w:color w:val="000000"/>
                <w:sz w:val="24"/>
              </w:rPr>
              <w:t>报价得分=（</w:t>
            </w:r>
            <w:r>
              <w:rPr>
                <w:rFonts w:hint="eastAsia" w:ascii="仿宋" w:hAnsi="仿宋" w:eastAsia="仿宋" w:cs="仿宋"/>
                <w:b w:val="0"/>
                <w:bCs w:val="0"/>
                <w:color w:val="000000"/>
                <w:sz w:val="24"/>
                <w:lang w:eastAsia="zh-CN"/>
              </w:rPr>
              <w:t>招标</w:t>
            </w:r>
            <w:r>
              <w:rPr>
                <w:rFonts w:hint="eastAsia" w:ascii="仿宋" w:hAnsi="仿宋" w:eastAsia="仿宋" w:cs="仿宋"/>
                <w:b w:val="0"/>
                <w:bCs w:val="0"/>
                <w:color w:val="000000"/>
                <w:sz w:val="24"/>
              </w:rPr>
              <w:t>基准价/最后</w:t>
            </w:r>
            <w:r>
              <w:rPr>
                <w:rFonts w:hint="eastAsia" w:ascii="仿宋" w:hAnsi="仿宋" w:eastAsia="仿宋" w:cs="仿宋"/>
                <w:b w:val="0"/>
                <w:bCs w:val="0"/>
                <w:color w:val="000000"/>
                <w:sz w:val="24"/>
                <w:lang w:eastAsia="zh-CN"/>
              </w:rPr>
              <w:t>招标</w:t>
            </w:r>
            <w:r>
              <w:rPr>
                <w:rFonts w:hint="eastAsia" w:ascii="仿宋" w:hAnsi="仿宋" w:eastAsia="仿宋" w:cs="仿宋"/>
                <w:b w:val="0"/>
                <w:bCs w:val="0"/>
                <w:color w:val="000000"/>
                <w:sz w:val="24"/>
              </w:rPr>
              <w:t>报价）×30（四舍五入后保留两位小数）。</w:t>
            </w:r>
            <w:r>
              <w:rPr>
                <w:rFonts w:hint="eastAsia" w:ascii="仿宋" w:hAnsi="仿宋" w:eastAsia="仿宋" w:cs="仿宋"/>
                <w:b/>
                <w:bCs/>
                <w:color w:val="000000"/>
                <w:sz w:val="24"/>
              </w:rPr>
              <w:t>投标单位的投标价明显低于正常报价的</w:t>
            </w:r>
            <w:r>
              <w:rPr>
                <w:rFonts w:hint="eastAsia" w:ascii="仿宋" w:hAnsi="仿宋" w:eastAsia="仿宋" w:cs="仿宋"/>
                <w:b/>
                <w:bCs/>
                <w:color w:val="000000"/>
                <w:sz w:val="24"/>
                <w:lang w:eastAsia="zh-CN"/>
              </w:rPr>
              <w:t>，</w:t>
            </w:r>
            <w:r>
              <w:rPr>
                <w:rFonts w:hint="eastAsia" w:ascii="仿宋" w:hAnsi="仿宋" w:eastAsia="仿宋" w:cs="仿宋"/>
                <w:b/>
                <w:bCs/>
                <w:color w:val="000000"/>
                <w:sz w:val="24"/>
              </w:rPr>
              <w:t>评审组可要求投标单位在规定的期限内提供相关证明材料</w:t>
            </w:r>
            <w:r>
              <w:rPr>
                <w:rFonts w:hint="eastAsia" w:ascii="仿宋" w:hAnsi="仿宋" w:eastAsia="仿宋" w:cs="仿宋"/>
                <w:b/>
                <w:bCs/>
                <w:color w:val="000000"/>
                <w:sz w:val="24"/>
                <w:lang w:eastAsia="zh-CN"/>
              </w:rPr>
              <w:t>，</w:t>
            </w:r>
            <w:r>
              <w:rPr>
                <w:rFonts w:hint="eastAsia" w:ascii="仿宋" w:hAnsi="仿宋" w:eastAsia="仿宋" w:cs="仿宋"/>
                <w:b/>
                <w:bCs/>
                <w:color w:val="000000"/>
                <w:sz w:val="24"/>
              </w:rPr>
              <w:t>投标单位不能证明其报价合理的</w:t>
            </w:r>
            <w:r>
              <w:rPr>
                <w:rFonts w:hint="eastAsia" w:ascii="仿宋" w:hAnsi="仿宋" w:eastAsia="仿宋" w:cs="仿宋"/>
                <w:b/>
                <w:bCs/>
                <w:color w:val="000000"/>
                <w:sz w:val="24"/>
                <w:lang w:eastAsia="zh-CN"/>
              </w:rPr>
              <w:t>，</w:t>
            </w:r>
            <w:r>
              <w:rPr>
                <w:rFonts w:hint="eastAsia" w:ascii="仿宋" w:hAnsi="仿宋" w:eastAsia="仿宋" w:cs="仿宋"/>
                <w:b/>
                <w:bCs/>
                <w:color w:val="000000"/>
                <w:sz w:val="24"/>
              </w:rPr>
              <w:t>可视为投标无效</w:t>
            </w:r>
            <w:r>
              <w:rPr>
                <w:rFonts w:hint="eastAsia" w:ascii="仿宋" w:hAnsi="仿宋" w:eastAsia="仿宋" w:cs="仿宋"/>
                <w:b/>
                <w:bCs/>
                <w:color w:val="000000"/>
                <w:sz w:val="24"/>
                <w:lang w:eastAsia="zh-CN"/>
              </w:rPr>
              <w:t>。</w:t>
            </w:r>
          </w:p>
          <w:p>
            <w:pPr>
              <w:widowControl/>
              <w:jc w:val="left"/>
              <w:textAlignment w:val="center"/>
              <w:rPr>
                <w:rFonts w:hint="eastAsia" w:ascii="仿宋" w:hAnsi="仿宋" w:eastAsia="仿宋" w:cs="仿宋"/>
                <w:color w:val="000000"/>
                <w:sz w:val="24"/>
              </w:rPr>
            </w:pPr>
          </w:p>
        </w:tc>
      </w:tr>
      <w:tr>
        <w:tblPrEx>
          <w:tblCellMar>
            <w:top w:w="0" w:type="dxa"/>
            <w:left w:w="108" w:type="dxa"/>
            <w:bottom w:w="0" w:type="dxa"/>
            <w:right w:w="108" w:type="dxa"/>
          </w:tblCellMar>
        </w:tblPrEx>
        <w:trPr>
          <w:trHeight w:val="1222" w:hRule="atLeast"/>
        </w:trPr>
        <w:tc>
          <w:tcPr>
            <w:tcW w:w="437"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rPr>
            </w:pPr>
            <w:r>
              <w:rPr>
                <w:rFonts w:hint="eastAsia" w:ascii="仿宋" w:hAnsi="仿宋" w:eastAsia="仿宋" w:cs="仿宋"/>
                <w:color w:val="000000"/>
                <w:sz w:val="24"/>
              </w:rPr>
              <w:t>2</w:t>
            </w:r>
          </w:p>
        </w:tc>
        <w:tc>
          <w:tcPr>
            <w:tcW w:w="791"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rPr>
            </w:pPr>
            <w:r>
              <w:rPr>
                <w:rFonts w:hint="eastAsia" w:ascii="仿宋" w:hAnsi="仿宋" w:eastAsia="仿宋" w:cs="仿宋"/>
                <w:color w:val="000000"/>
                <w:sz w:val="24"/>
              </w:rPr>
              <w:t>技术及服务能力（70分）</w:t>
            </w:r>
          </w:p>
        </w:tc>
        <w:tc>
          <w:tcPr>
            <w:tcW w:w="1650"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Style w:val="18"/>
                <w:rFonts w:hint="eastAsia" w:ascii="仿宋" w:hAnsi="仿宋" w:eastAsia="仿宋" w:cs="仿宋"/>
                <w:sz w:val="24"/>
                <w:szCs w:val="24"/>
                <w:lang w:eastAsia="zh-CN" w:bidi="ar"/>
              </w:rPr>
            </w:pPr>
            <w:r>
              <w:rPr>
                <w:rStyle w:val="18"/>
                <w:rFonts w:hint="default" w:ascii="仿宋" w:hAnsi="仿宋" w:eastAsia="仿宋" w:cs="仿宋"/>
                <w:sz w:val="24"/>
                <w:szCs w:val="24"/>
                <w:lang w:bidi="ar"/>
              </w:rPr>
              <w:t>施工方案</w:t>
            </w:r>
            <w:r>
              <w:rPr>
                <w:rStyle w:val="18"/>
                <w:rFonts w:hint="eastAsia" w:ascii="仿宋" w:hAnsi="仿宋" w:eastAsia="仿宋" w:cs="仿宋"/>
                <w:sz w:val="24"/>
                <w:szCs w:val="24"/>
                <w:lang w:eastAsia="zh-CN" w:bidi="ar"/>
              </w:rPr>
              <w:t>及</w:t>
            </w:r>
          </w:p>
          <w:p>
            <w:pPr>
              <w:widowControl/>
              <w:jc w:val="both"/>
              <w:textAlignment w:val="center"/>
              <w:rPr>
                <w:rFonts w:hint="eastAsia" w:ascii="仿宋" w:hAnsi="仿宋" w:eastAsia="仿宋" w:cs="仿宋"/>
                <w:color w:val="000000"/>
                <w:sz w:val="24"/>
              </w:rPr>
            </w:pPr>
            <w:r>
              <w:rPr>
                <w:rStyle w:val="18"/>
                <w:rFonts w:hint="default" w:ascii="仿宋" w:hAnsi="仿宋" w:eastAsia="仿宋" w:cs="仿宋"/>
                <w:sz w:val="24"/>
                <w:szCs w:val="24"/>
                <w:lang w:bidi="ar"/>
              </w:rPr>
              <w:t>技术措施（1</w:t>
            </w:r>
            <w:r>
              <w:rPr>
                <w:rStyle w:val="18"/>
                <w:rFonts w:hint="eastAsia" w:ascii="仿宋" w:hAnsi="仿宋" w:eastAsia="仿宋" w:cs="仿宋"/>
                <w:sz w:val="24"/>
                <w:szCs w:val="24"/>
                <w:lang w:val="en-US" w:eastAsia="zh-CN" w:bidi="ar"/>
              </w:rPr>
              <w:t>3</w:t>
            </w:r>
            <w:r>
              <w:rPr>
                <w:rStyle w:val="18"/>
                <w:rFonts w:hint="default" w:ascii="仿宋" w:hAnsi="仿宋" w:eastAsia="仿宋" w:cs="仿宋"/>
                <w:sz w:val="24"/>
                <w:szCs w:val="24"/>
                <w:lang w:bidi="ar"/>
              </w:rPr>
              <w:t>分）</w:t>
            </w:r>
          </w:p>
        </w:tc>
        <w:tc>
          <w:tcPr>
            <w:tcW w:w="6045" w:type="dxa"/>
            <w:tcBorders>
              <w:top w:val="single" w:color="000000" w:sz="4" w:space="0"/>
              <w:left w:val="nil"/>
              <w:bottom w:val="single" w:color="000000" w:sz="4" w:space="0"/>
              <w:right w:val="single" w:color="000000" w:sz="4" w:space="0"/>
            </w:tcBorders>
            <w:noWrap w:val="0"/>
            <w:vAlign w:val="center"/>
          </w:tcPr>
          <w:p>
            <w:pPr>
              <w:widowControl/>
              <w:ind w:firstLine="440"/>
              <w:jc w:val="left"/>
              <w:textAlignment w:val="center"/>
              <w:rPr>
                <w:rFonts w:hint="eastAsia" w:ascii="仿宋" w:hAnsi="仿宋" w:eastAsia="仿宋" w:cs="仿宋"/>
                <w:color w:val="000000"/>
                <w:sz w:val="24"/>
                <w:lang w:eastAsia="zh-CN"/>
              </w:rPr>
            </w:pPr>
            <w:r>
              <w:rPr>
                <w:rFonts w:hint="eastAsia" w:ascii="仿宋" w:hAnsi="仿宋" w:eastAsia="仿宋" w:cs="仿宋"/>
                <w:color w:val="000000"/>
                <w:sz w:val="24"/>
              </w:rPr>
              <w:t>根据投标单位的</w:t>
            </w:r>
            <w:r>
              <w:rPr>
                <w:rFonts w:hint="eastAsia" w:ascii="仿宋" w:hAnsi="仿宋" w:eastAsia="仿宋" w:cs="仿宋"/>
                <w:color w:val="000000"/>
                <w:sz w:val="24"/>
                <w:lang w:eastAsia="zh-CN"/>
              </w:rPr>
              <w:t>栽</w:t>
            </w:r>
            <w:r>
              <w:rPr>
                <w:rFonts w:hint="eastAsia" w:ascii="仿宋" w:hAnsi="仿宋" w:eastAsia="仿宋" w:cs="仿宋"/>
                <w:color w:val="000000"/>
                <w:sz w:val="24"/>
              </w:rPr>
              <w:t>种方案，从项目部门人员构成(0-3分)</w:t>
            </w:r>
            <w:r>
              <w:rPr>
                <w:rFonts w:hint="eastAsia" w:ascii="仿宋" w:hAnsi="仿宋" w:eastAsia="仿宋" w:cs="仿宋"/>
                <w:color w:val="000000"/>
                <w:sz w:val="24"/>
                <w:lang w:eastAsia="zh-CN"/>
              </w:rPr>
              <w:t>，施工方案及技术措施(0-4分)，安全生产保证措施及工程质量保证措施(0-3分)，文明、环保施工措施及扬尘污染防治措施(0-3分)等方面进行评分。</w:t>
            </w:r>
          </w:p>
          <w:p>
            <w:pPr>
              <w:widowControl/>
              <w:ind w:firstLine="440"/>
              <w:jc w:val="left"/>
              <w:textAlignment w:val="center"/>
              <w:rPr>
                <w:rFonts w:hint="eastAsia" w:ascii="仿宋" w:hAnsi="仿宋" w:eastAsia="仿宋" w:cs="仿宋"/>
                <w:color w:val="000000"/>
                <w:sz w:val="24"/>
                <w:lang w:eastAsia="zh-CN"/>
              </w:rPr>
            </w:pPr>
          </w:p>
        </w:tc>
      </w:tr>
      <w:tr>
        <w:tblPrEx>
          <w:tblCellMar>
            <w:top w:w="0" w:type="dxa"/>
            <w:left w:w="108" w:type="dxa"/>
            <w:bottom w:w="0" w:type="dxa"/>
            <w:right w:w="108" w:type="dxa"/>
          </w:tblCellMar>
        </w:tblPrEx>
        <w:trPr>
          <w:trHeight w:val="1373" w:hRule="atLeast"/>
        </w:trPr>
        <w:tc>
          <w:tcPr>
            <w:tcW w:w="437" w:type="dxa"/>
            <w:vMerge w:val="continue"/>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 w:hAnsi="仿宋" w:eastAsia="仿宋" w:cs="仿宋"/>
                <w:color w:val="000000"/>
                <w:sz w:val="24"/>
              </w:rPr>
            </w:pPr>
          </w:p>
        </w:tc>
        <w:tc>
          <w:tcPr>
            <w:tcW w:w="791" w:type="dxa"/>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rPr>
            </w:pPr>
          </w:p>
        </w:tc>
        <w:tc>
          <w:tcPr>
            <w:tcW w:w="1650"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eastAsia="zh-CN" w:bidi="ar"/>
              </w:rPr>
              <w:t>养护方案</w:t>
            </w:r>
            <w:r>
              <w:rPr>
                <w:rFonts w:hint="eastAsia" w:ascii="仿宋" w:hAnsi="仿宋" w:eastAsia="仿宋" w:cs="仿宋"/>
                <w:color w:val="000000"/>
                <w:kern w:val="0"/>
                <w:sz w:val="24"/>
                <w:lang w:bidi="ar"/>
              </w:rPr>
              <w:t>（</w:t>
            </w:r>
            <w:r>
              <w:rPr>
                <w:rFonts w:hint="eastAsia" w:ascii="仿宋" w:hAnsi="仿宋" w:eastAsia="仿宋" w:cs="仿宋"/>
                <w:color w:val="000000"/>
                <w:kern w:val="0"/>
                <w:sz w:val="24"/>
                <w:lang w:val="en-US" w:eastAsia="zh-CN" w:bidi="ar"/>
              </w:rPr>
              <w:t>10</w:t>
            </w:r>
            <w:r>
              <w:rPr>
                <w:rFonts w:hint="eastAsia" w:ascii="仿宋" w:hAnsi="仿宋" w:eastAsia="仿宋" w:cs="仿宋"/>
                <w:color w:val="000000"/>
                <w:kern w:val="0"/>
                <w:sz w:val="24"/>
                <w:lang w:bidi="ar"/>
              </w:rPr>
              <w:t>分）</w:t>
            </w:r>
          </w:p>
        </w:tc>
        <w:tc>
          <w:tcPr>
            <w:tcW w:w="6045" w:type="dxa"/>
            <w:tcBorders>
              <w:top w:val="single" w:color="000000" w:sz="4" w:space="0"/>
              <w:left w:val="nil"/>
              <w:bottom w:val="single" w:color="000000" w:sz="4" w:space="0"/>
              <w:right w:val="single" w:color="000000" w:sz="4" w:space="0"/>
            </w:tcBorders>
            <w:noWrap w:val="0"/>
            <w:vAlign w:val="center"/>
          </w:tcPr>
          <w:p>
            <w:pPr>
              <w:widowControl/>
              <w:ind w:firstLine="480" w:firstLineChars="200"/>
              <w:jc w:val="left"/>
              <w:textAlignment w:val="center"/>
              <w:rPr>
                <w:rFonts w:hint="eastAsia" w:ascii="仿宋" w:hAnsi="仿宋" w:eastAsia="仿宋" w:cs="仿宋"/>
                <w:color w:val="000000"/>
                <w:sz w:val="24"/>
              </w:rPr>
            </w:pPr>
            <w:r>
              <w:rPr>
                <w:rFonts w:hint="eastAsia" w:ascii="仿宋" w:hAnsi="仿宋" w:eastAsia="仿宋" w:cs="仿宋"/>
                <w:color w:val="000000"/>
                <w:sz w:val="24"/>
              </w:rPr>
              <w:t>根据投标单位的养护方案。从养护小组成</w:t>
            </w:r>
            <w:r>
              <w:rPr>
                <w:rFonts w:hint="eastAsia" w:ascii="仿宋" w:hAnsi="仿宋" w:eastAsia="仿宋" w:cs="仿宋"/>
                <w:color w:val="000000"/>
                <w:sz w:val="24"/>
                <w:lang w:eastAsia="zh-CN"/>
              </w:rPr>
              <w:t>员</w:t>
            </w:r>
            <w:r>
              <w:rPr>
                <w:rFonts w:hint="eastAsia" w:ascii="仿宋" w:hAnsi="仿宋" w:eastAsia="仿宋" w:cs="仿宋"/>
                <w:color w:val="000000"/>
                <w:sz w:val="24"/>
              </w:rPr>
              <w:t xml:space="preserve">构成(0-2分) </w:t>
            </w:r>
            <w:r>
              <w:rPr>
                <w:rFonts w:hint="eastAsia" w:ascii="仿宋" w:hAnsi="仿宋" w:eastAsia="仿宋" w:cs="仿宋"/>
                <w:color w:val="000000"/>
                <w:sz w:val="24"/>
                <w:lang w:eastAsia="zh-CN"/>
              </w:rPr>
              <w:t>，</w:t>
            </w:r>
            <w:r>
              <w:rPr>
                <w:rFonts w:hint="eastAsia" w:ascii="仿宋" w:hAnsi="仿宋" w:eastAsia="仿宋" w:cs="仿宋"/>
                <w:color w:val="000000"/>
                <w:sz w:val="24"/>
              </w:rPr>
              <w:t>养护实施方案及技术措施(0-3分)，安全防火措施及文明、环保措施(0-2分)</w:t>
            </w:r>
            <w:r>
              <w:rPr>
                <w:rFonts w:hint="eastAsia" w:ascii="仿宋" w:hAnsi="仿宋" w:eastAsia="仿宋" w:cs="仿宋"/>
                <w:color w:val="000000"/>
                <w:sz w:val="24"/>
                <w:lang w:eastAsia="zh-CN"/>
              </w:rPr>
              <w:t>，</w:t>
            </w:r>
            <w:r>
              <w:rPr>
                <w:rFonts w:hint="eastAsia" w:ascii="仿宋" w:hAnsi="仿宋" w:eastAsia="仿宋" w:cs="仿宋"/>
                <w:color w:val="000000"/>
                <w:sz w:val="24"/>
              </w:rPr>
              <w:t>病虫害防洽及越冬越</w:t>
            </w:r>
            <w:r>
              <w:rPr>
                <w:rFonts w:hint="eastAsia" w:ascii="仿宋" w:hAnsi="仿宋" w:eastAsia="仿宋" w:cs="仿宋"/>
                <w:color w:val="000000"/>
                <w:sz w:val="24"/>
                <w:lang w:eastAsia="zh-CN"/>
              </w:rPr>
              <w:t>夏</w:t>
            </w:r>
            <w:r>
              <w:rPr>
                <w:rFonts w:hint="eastAsia" w:ascii="仿宋" w:hAnsi="仿宋" w:eastAsia="仿宋" w:cs="仿宋"/>
                <w:color w:val="000000"/>
                <w:sz w:val="24"/>
              </w:rPr>
              <w:t>管理方案(0-3分)等方面</w:t>
            </w:r>
            <w:r>
              <w:rPr>
                <w:rFonts w:hint="eastAsia" w:ascii="仿宋" w:hAnsi="仿宋" w:eastAsia="仿宋" w:cs="仿宋"/>
                <w:color w:val="000000"/>
                <w:sz w:val="24"/>
                <w:lang w:eastAsia="zh-CN"/>
              </w:rPr>
              <w:t>进行打</w:t>
            </w:r>
            <w:r>
              <w:rPr>
                <w:rFonts w:hint="eastAsia" w:ascii="仿宋" w:hAnsi="仿宋" w:eastAsia="仿宋" w:cs="仿宋"/>
                <w:color w:val="000000"/>
                <w:sz w:val="24"/>
              </w:rPr>
              <w:t>分.</w:t>
            </w:r>
          </w:p>
        </w:tc>
      </w:tr>
      <w:tr>
        <w:tblPrEx>
          <w:tblCellMar>
            <w:top w:w="0" w:type="dxa"/>
            <w:left w:w="108" w:type="dxa"/>
            <w:bottom w:w="0" w:type="dxa"/>
            <w:right w:w="108" w:type="dxa"/>
          </w:tblCellMar>
        </w:tblPrEx>
        <w:trPr>
          <w:trHeight w:val="1760" w:hRule="atLeast"/>
        </w:trPr>
        <w:tc>
          <w:tcPr>
            <w:tcW w:w="437" w:type="dxa"/>
            <w:vMerge w:val="continue"/>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 w:hAnsi="仿宋" w:eastAsia="仿宋" w:cs="仿宋"/>
                <w:color w:val="000000"/>
                <w:sz w:val="24"/>
              </w:rPr>
            </w:pPr>
          </w:p>
        </w:tc>
        <w:tc>
          <w:tcPr>
            <w:tcW w:w="791" w:type="dxa"/>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rPr>
            </w:pPr>
          </w:p>
        </w:tc>
        <w:tc>
          <w:tcPr>
            <w:tcW w:w="1650"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eastAsia="zh-CN" w:bidi="ar"/>
              </w:rPr>
              <w:t>人员配备</w:t>
            </w:r>
            <w:r>
              <w:rPr>
                <w:rFonts w:hint="eastAsia" w:ascii="仿宋" w:hAnsi="仿宋" w:eastAsia="仿宋" w:cs="仿宋"/>
                <w:color w:val="000000"/>
                <w:kern w:val="0"/>
                <w:sz w:val="24"/>
                <w:lang w:bidi="ar"/>
              </w:rPr>
              <w:t>（</w:t>
            </w:r>
            <w:r>
              <w:rPr>
                <w:rFonts w:hint="eastAsia" w:ascii="仿宋" w:hAnsi="仿宋" w:eastAsia="仿宋" w:cs="仿宋"/>
                <w:color w:val="000000"/>
                <w:kern w:val="0"/>
                <w:sz w:val="24"/>
                <w:lang w:val="en-US" w:eastAsia="zh-CN" w:bidi="ar"/>
              </w:rPr>
              <w:t>6</w:t>
            </w:r>
            <w:r>
              <w:rPr>
                <w:rFonts w:hint="eastAsia" w:ascii="仿宋" w:hAnsi="仿宋" w:eastAsia="仿宋" w:cs="仿宋"/>
                <w:color w:val="000000"/>
                <w:kern w:val="0"/>
                <w:sz w:val="24"/>
                <w:lang w:bidi="ar"/>
              </w:rPr>
              <w:t>分）</w:t>
            </w:r>
          </w:p>
        </w:tc>
        <w:tc>
          <w:tcPr>
            <w:tcW w:w="604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 xml:space="preserve">  </w:t>
            </w:r>
            <w:r>
              <w:rPr>
                <w:rFonts w:hint="eastAsia" w:ascii="仿宋" w:hAnsi="仿宋" w:eastAsia="仿宋" w:cs="仿宋"/>
                <w:color w:val="000000"/>
                <w:kern w:val="0"/>
                <w:sz w:val="24"/>
                <w:lang w:val="en-US" w:eastAsia="zh-CN" w:bidi="ar"/>
              </w:rPr>
              <w:t xml:space="preserve">  </w:t>
            </w:r>
            <w:r>
              <w:rPr>
                <w:rFonts w:hint="eastAsia" w:ascii="仿宋" w:hAnsi="仿宋" w:eastAsia="仿宋" w:cs="仿宋"/>
                <w:color w:val="000000"/>
                <w:sz w:val="24"/>
              </w:rPr>
              <w:t>根据投标单位的项目组成人员的相关证书及</w:t>
            </w:r>
            <w:r>
              <w:rPr>
                <w:rFonts w:hint="eastAsia" w:ascii="仿宋" w:hAnsi="仿宋" w:eastAsia="仿宋" w:cs="仿宋"/>
                <w:color w:val="000000"/>
                <w:sz w:val="24"/>
                <w:lang w:eastAsia="zh-CN"/>
              </w:rPr>
              <w:t>履</w:t>
            </w:r>
            <w:r>
              <w:rPr>
                <w:rFonts w:hint="eastAsia" w:ascii="仿宋" w:hAnsi="仿宋" w:eastAsia="仿宋" w:cs="仿宋"/>
                <w:color w:val="000000"/>
                <w:sz w:val="24"/>
              </w:rPr>
              <w:t>历</w:t>
            </w:r>
            <w:r>
              <w:rPr>
                <w:rFonts w:hint="eastAsia" w:ascii="仿宋" w:hAnsi="仿宋" w:eastAsia="仿宋" w:cs="仿宋"/>
                <w:color w:val="000000"/>
                <w:sz w:val="24"/>
                <w:lang w:eastAsia="zh-CN"/>
              </w:rPr>
              <w:t>进行打</w:t>
            </w:r>
            <w:r>
              <w:rPr>
                <w:rFonts w:hint="eastAsia" w:ascii="仿宋" w:hAnsi="仿宋" w:eastAsia="仿宋" w:cs="仿宋"/>
                <w:color w:val="000000"/>
                <w:sz w:val="24"/>
              </w:rPr>
              <w:t>分。</w:t>
            </w:r>
          </w:p>
          <w:p>
            <w:pPr>
              <w:widowControl/>
              <w:ind w:firstLine="480" w:firstLineChars="200"/>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项目组技术人员岗位证书(施工员、安全员、质量员、材料员、资料员、造价员)。每提供1项得1分，最高得6分(评审依据:人员岗位证书及社保证明。无社保者不得分)</w:t>
            </w:r>
          </w:p>
        </w:tc>
      </w:tr>
      <w:tr>
        <w:tblPrEx>
          <w:tblCellMar>
            <w:top w:w="0" w:type="dxa"/>
            <w:left w:w="108" w:type="dxa"/>
            <w:bottom w:w="0" w:type="dxa"/>
            <w:right w:w="108" w:type="dxa"/>
          </w:tblCellMar>
        </w:tblPrEx>
        <w:trPr>
          <w:trHeight w:val="1222" w:hRule="atLeast"/>
        </w:trPr>
        <w:tc>
          <w:tcPr>
            <w:tcW w:w="437" w:type="dxa"/>
            <w:vMerge w:val="continue"/>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 w:hAnsi="仿宋" w:eastAsia="仿宋" w:cs="仿宋"/>
                <w:color w:val="000000"/>
                <w:sz w:val="24"/>
              </w:rPr>
            </w:pPr>
          </w:p>
        </w:tc>
        <w:tc>
          <w:tcPr>
            <w:tcW w:w="791" w:type="dxa"/>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rPr>
            </w:pPr>
          </w:p>
        </w:tc>
        <w:tc>
          <w:tcPr>
            <w:tcW w:w="1650" w:type="dxa"/>
            <w:vMerge w:val="restar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eastAsia="zh-CN" w:bidi="ar"/>
              </w:rPr>
            </w:pPr>
            <w:r>
              <w:rPr>
                <w:rFonts w:hint="eastAsia" w:ascii="仿宋" w:hAnsi="仿宋" w:eastAsia="仿宋" w:cs="仿宋"/>
                <w:color w:val="000000"/>
                <w:kern w:val="0"/>
                <w:sz w:val="24"/>
                <w:lang w:eastAsia="zh-CN" w:bidi="ar"/>
              </w:rPr>
              <w:t>质量保证</w:t>
            </w:r>
          </w:p>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r>
              <w:rPr>
                <w:rFonts w:hint="eastAsia" w:ascii="仿宋" w:hAnsi="仿宋" w:eastAsia="仿宋" w:cs="仿宋"/>
                <w:color w:val="000000"/>
                <w:kern w:val="0"/>
                <w:sz w:val="24"/>
                <w:lang w:val="en-US" w:eastAsia="zh-CN" w:bidi="ar"/>
              </w:rPr>
              <w:t>4</w:t>
            </w:r>
            <w:r>
              <w:rPr>
                <w:rFonts w:hint="eastAsia" w:ascii="仿宋" w:hAnsi="仿宋" w:eastAsia="仿宋" w:cs="仿宋"/>
                <w:color w:val="000000"/>
                <w:kern w:val="0"/>
                <w:sz w:val="24"/>
                <w:lang w:bidi="ar"/>
              </w:rPr>
              <w:t>分）</w:t>
            </w:r>
          </w:p>
        </w:tc>
        <w:tc>
          <w:tcPr>
            <w:tcW w:w="604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lang w:bidi="ar"/>
              </w:rPr>
              <w:t xml:space="preserve">    根据针对本项目的</w:t>
            </w:r>
            <w:r>
              <w:rPr>
                <w:rFonts w:hint="eastAsia" w:ascii="仿宋" w:hAnsi="仿宋" w:eastAsia="仿宋" w:cs="仿宋"/>
                <w:color w:val="000000"/>
                <w:kern w:val="0"/>
                <w:sz w:val="24"/>
                <w:lang w:eastAsia="zh-CN" w:bidi="ar"/>
              </w:rPr>
              <w:t>质量保证</w:t>
            </w:r>
            <w:r>
              <w:rPr>
                <w:rFonts w:hint="eastAsia" w:ascii="仿宋" w:hAnsi="仿宋" w:eastAsia="仿宋" w:cs="仿宋"/>
                <w:color w:val="000000"/>
                <w:kern w:val="0"/>
                <w:sz w:val="24"/>
                <w:lang w:bidi="ar"/>
              </w:rPr>
              <w:t>方案（</w:t>
            </w:r>
            <w:r>
              <w:rPr>
                <w:rFonts w:hint="eastAsia" w:ascii="仿宋" w:hAnsi="仿宋" w:eastAsia="仿宋" w:cs="仿宋"/>
                <w:color w:val="000000"/>
                <w:kern w:val="0"/>
                <w:sz w:val="24"/>
                <w:lang w:eastAsia="zh-CN" w:bidi="ar"/>
              </w:rPr>
              <w:t>栽种</w:t>
            </w:r>
            <w:r>
              <w:rPr>
                <w:rFonts w:hint="eastAsia" w:ascii="仿宋" w:hAnsi="仿宋" w:eastAsia="仿宋" w:cs="仿宋"/>
                <w:color w:val="000000"/>
                <w:kern w:val="0"/>
                <w:sz w:val="24"/>
                <w:lang w:bidi="ar"/>
              </w:rPr>
              <w:t>、</w:t>
            </w:r>
            <w:r>
              <w:rPr>
                <w:rFonts w:hint="eastAsia" w:ascii="仿宋" w:hAnsi="仿宋" w:eastAsia="仿宋" w:cs="仿宋"/>
                <w:color w:val="000000"/>
                <w:kern w:val="0"/>
                <w:sz w:val="24"/>
                <w:lang w:eastAsia="zh-CN" w:bidi="ar"/>
              </w:rPr>
              <w:t>施工</w:t>
            </w:r>
            <w:r>
              <w:rPr>
                <w:rFonts w:hint="eastAsia" w:ascii="仿宋" w:hAnsi="仿宋" w:eastAsia="仿宋" w:cs="仿宋"/>
                <w:color w:val="000000"/>
                <w:kern w:val="0"/>
                <w:sz w:val="24"/>
                <w:lang w:bidi="ar"/>
              </w:rPr>
              <w:t>、</w:t>
            </w:r>
            <w:r>
              <w:rPr>
                <w:rFonts w:hint="eastAsia" w:ascii="仿宋" w:hAnsi="仿宋" w:eastAsia="仿宋" w:cs="仿宋"/>
                <w:color w:val="000000"/>
                <w:kern w:val="0"/>
                <w:sz w:val="24"/>
                <w:lang w:eastAsia="zh-CN" w:bidi="ar"/>
              </w:rPr>
              <w:t>工期</w:t>
            </w:r>
            <w:r>
              <w:rPr>
                <w:rFonts w:hint="eastAsia" w:ascii="仿宋" w:hAnsi="仿宋" w:eastAsia="仿宋" w:cs="仿宋"/>
                <w:color w:val="000000"/>
                <w:kern w:val="0"/>
                <w:sz w:val="24"/>
                <w:lang w:bidi="ar"/>
              </w:rPr>
              <w:t>、验收、售后服务</w:t>
            </w:r>
            <w:r>
              <w:rPr>
                <w:rFonts w:hint="eastAsia" w:ascii="仿宋" w:hAnsi="仿宋" w:eastAsia="仿宋" w:cs="仿宋"/>
                <w:color w:val="000000"/>
                <w:kern w:val="0"/>
                <w:sz w:val="24"/>
                <w:lang w:eastAsia="zh-CN" w:bidi="ar"/>
              </w:rPr>
              <w:t>、</w:t>
            </w:r>
            <w:r>
              <w:rPr>
                <w:rFonts w:hint="eastAsia" w:ascii="仿宋" w:hAnsi="仿宋" w:eastAsia="仿宋" w:cs="仿宋"/>
                <w:color w:val="000000"/>
                <w:kern w:val="0"/>
                <w:sz w:val="24"/>
                <w:lang w:bidi="ar"/>
              </w:rPr>
              <w:t>计划及</w:t>
            </w:r>
            <w:r>
              <w:rPr>
                <w:rFonts w:hint="eastAsia" w:ascii="仿宋" w:hAnsi="仿宋" w:eastAsia="仿宋" w:cs="仿宋"/>
                <w:color w:val="000000"/>
                <w:kern w:val="0"/>
                <w:sz w:val="24"/>
                <w:lang w:eastAsia="zh-CN" w:bidi="ar"/>
              </w:rPr>
              <w:t>质量保证</w:t>
            </w:r>
            <w:r>
              <w:rPr>
                <w:rFonts w:hint="eastAsia" w:ascii="仿宋" w:hAnsi="仿宋" w:eastAsia="仿宋" w:cs="仿宋"/>
                <w:color w:val="000000"/>
                <w:kern w:val="0"/>
                <w:sz w:val="24"/>
                <w:lang w:bidi="ar"/>
              </w:rPr>
              <w:t>措施、服务人员组织安排、响应时间、</w:t>
            </w:r>
            <w:r>
              <w:rPr>
                <w:rFonts w:hint="eastAsia" w:ascii="仿宋" w:hAnsi="仿宋" w:eastAsia="仿宋" w:cs="仿宋"/>
                <w:color w:val="000000"/>
                <w:kern w:val="0"/>
                <w:sz w:val="24"/>
                <w:lang w:eastAsia="zh-CN" w:bidi="ar"/>
              </w:rPr>
              <w:t>施工</w:t>
            </w:r>
            <w:r>
              <w:rPr>
                <w:rFonts w:hint="eastAsia" w:ascii="仿宋" w:hAnsi="仿宋" w:eastAsia="仿宋" w:cs="仿宋"/>
                <w:color w:val="000000"/>
                <w:kern w:val="0"/>
                <w:sz w:val="24"/>
                <w:lang w:bidi="ar"/>
              </w:rPr>
              <w:t>应急方案、对质保期、质量保证措施的响应程度）根据响应情况得0-</w:t>
            </w:r>
            <w:r>
              <w:rPr>
                <w:rFonts w:hint="eastAsia" w:ascii="仿宋" w:hAnsi="仿宋" w:eastAsia="仿宋" w:cs="仿宋"/>
                <w:color w:val="000000"/>
                <w:kern w:val="0"/>
                <w:sz w:val="24"/>
                <w:lang w:val="en-US" w:eastAsia="zh-CN" w:bidi="ar"/>
              </w:rPr>
              <w:t>8</w:t>
            </w:r>
            <w:r>
              <w:rPr>
                <w:rFonts w:hint="eastAsia" w:ascii="仿宋" w:hAnsi="仿宋" w:eastAsia="仿宋" w:cs="仿宋"/>
                <w:color w:val="000000"/>
                <w:kern w:val="0"/>
                <w:sz w:val="24"/>
                <w:lang w:bidi="ar"/>
              </w:rPr>
              <w:t>分</w:t>
            </w:r>
            <w:r>
              <w:rPr>
                <w:rFonts w:hint="eastAsia" w:ascii="仿宋" w:hAnsi="仿宋" w:eastAsia="仿宋" w:cs="仿宋"/>
                <w:color w:val="000000"/>
                <w:kern w:val="0"/>
                <w:sz w:val="24"/>
                <w:lang w:eastAsia="zh-CN" w:bidi="ar"/>
              </w:rPr>
              <w:t>。</w:t>
            </w:r>
          </w:p>
        </w:tc>
      </w:tr>
      <w:tr>
        <w:tblPrEx>
          <w:tblCellMar>
            <w:top w:w="0" w:type="dxa"/>
            <w:left w:w="108" w:type="dxa"/>
            <w:bottom w:w="0" w:type="dxa"/>
            <w:right w:w="108" w:type="dxa"/>
          </w:tblCellMar>
        </w:tblPrEx>
        <w:trPr>
          <w:trHeight w:val="1070" w:hRule="atLeast"/>
        </w:trPr>
        <w:tc>
          <w:tcPr>
            <w:tcW w:w="437" w:type="dxa"/>
            <w:vMerge w:val="continue"/>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 w:hAnsi="仿宋" w:eastAsia="仿宋" w:cs="仿宋"/>
                <w:color w:val="000000"/>
                <w:sz w:val="24"/>
              </w:rPr>
            </w:pPr>
          </w:p>
        </w:tc>
        <w:tc>
          <w:tcPr>
            <w:tcW w:w="791" w:type="dxa"/>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rPr>
            </w:pPr>
          </w:p>
        </w:tc>
        <w:tc>
          <w:tcPr>
            <w:tcW w:w="1650" w:type="dxa"/>
            <w:vMerge w:val="continue"/>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24"/>
              </w:rPr>
            </w:pPr>
          </w:p>
        </w:tc>
        <w:tc>
          <w:tcPr>
            <w:tcW w:w="604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 xml:space="preserve">   </w:t>
            </w:r>
            <w:r>
              <w:rPr>
                <w:rFonts w:hint="eastAsia" w:ascii="仿宋" w:hAnsi="仿宋" w:eastAsia="仿宋" w:cs="仿宋"/>
                <w:color w:val="000000"/>
                <w:kern w:val="0"/>
                <w:sz w:val="24"/>
                <w:lang w:val="en-US" w:eastAsia="zh-CN" w:bidi="ar"/>
              </w:rPr>
              <w:t xml:space="preserve"> </w:t>
            </w:r>
            <w:r>
              <w:rPr>
                <w:rFonts w:hint="eastAsia" w:ascii="仿宋" w:hAnsi="仿宋" w:eastAsia="仿宋" w:cs="仿宋"/>
                <w:color w:val="000000"/>
                <w:kern w:val="0"/>
                <w:sz w:val="24"/>
                <w:lang w:bidi="ar"/>
              </w:rPr>
              <w:t>质量</w:t>
            </w:r>
            <w:r>
              <w:rPr>
                <w:rFonts w:hint="eastAsia" w:ascii="仿宋" w:hAnsi="仿宋" w:eastAsia="仿宋" w:cs="仿宋"/>
                <w:color w:val="000000"/>
                <w:kern w:val="0"/>
                <w:sz w:val="24"/>
                <w:lang w:eastAsia="zh-CN" w:bidi="ar"/>
              </w:rPr>
              <w:t>标准</w:t>
            </w:r>
            <w:r>
              <w:rPr>
                <w:rFonts w:hint="eastAsia" w:ascii="仿宋" w:hAnsi="仿宋" w:eastAsia="仿宋" w:cs="仿宋"/>
                <w:color w:val="000000"/>
                <w:kern w:val="0"/>
                <w:sz w:val="24"/>
                <w:lang w:bidi="ar"/>
              </w:rPr>
              <w:t>符合招标要求的，得2分；有苗木质量保证相关材料的加4分，</w:t>
            </w:r>
            <w:r>
              <w:rPr>
                <w:rFonts w:hint="eastAsia" w:ascii="仿宋" w:hAnsi="仿宋" w:eastAsia="仿宋" w:cs="仿宋"/>
                <w:color w:val="000000"/>
                <w:kern w:val="0"/>
                <w:sz w:val="24"/>
                <w:lang w:eastAsia="zh-CN" w:bidi="ar"/>
              </w:rPr>
              <w:t>根据响应情况进行打分</w:t>
            </w:r>
            <w:r>
              <w:rPr>
                <w:rFonts w:hint="eastAsia" w:ascii="仿宋" w:hAnsi="仿宋" w:eastAsia="仿宋" w:cs="仿宋"/>
                <w:color w:val="000000"/>
                <w:kern w:val="0"/>
                <w:sz w:val="24"/>
                <w:lang w:bidi="ar"/>
              </w:rPr>
              <w:t>。</w:t>
            </w:r>
          </w:p>
        </w:tc>
      </w:tr>
      <w:tr>
        <w:tblPrEx>
          <w:tblCellMar>
            <w:top w:w="0" w:type="dxa"/>
            <w:left w:w="108" w:type="dxa"/>
            <w:bottom w:w="0" w:type="dxa"/>
            <w:right w:w="108" w:type="dxa"/>
          </w:tblCellMar>
        </w:tblPrEx>
        <w:trPr>
          <w:trHeight w:val="919" w:hRule="atLeast"/>
        </w:trPr>
        <w:tc>
          <w:tcPr>
            <w:tcW w:w="437" w:type="dxa"/>
            <w:vMerge w:val="continue"/>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 w:hAnsi="仿宋" w:eastAsia="仿宋" w:cs="仿宋"/>
                <w:color w:val="000000"/>
                <w:sz w:val="24"/>
              </w:rPr>
            </w:pPr>
          </w:p>
        </w:tc>
        <w:tc>
          <w:tcPr>
            <w:tcW w:w="791" w:type="dxa"/>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rPr>
            </w:pPr>
          </w:p>
        </w:tc>
        <w:tc>
          <w:tcPr>
            <w:tcW w:w="1650"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eastAsia="zh-CN" w:bidi="ar"/>
              </w:rPr>
              <w:t>履约能力</w:t>
            </w:r>
            <w:r>
              <w:rPr>
                <w:rFonts w:hint="eastAsia" w:ascii="仿宋" w:hAnsi="仿宋" w:eastAsia="仿宋" w:cs="仿宋"/>
                <w:color w:val="000000"/>
                <w:kern w:val="0"/>
                <w:sz w:val="24"/>
                <w:lang w:bidi="ar"/>
              </w:rPr>
              <w:t>（</w:t>
            </w:r>
            <w:r>
              <w:rPr>
                <w:rFonts w:hint="eastAsia" w:ascii="仿宋" w:hAnsi="仿宋" w:eastAsia="仿宋" w:cs="仿宋"/>
                <w:color w:val="000000"/>
                <w:kern w:val="0"/>
                <w:sz w:val="24"/>
                <w:lang w:val="en-US" w:eastAsia="zh-CN" w:bidi="ar"/>
              </w:rPr>
              <w:t>9</w:t>
            </w:r>
            <w:r>
              <w:rPr>
                <w:rFonts w:hint="eastAsia" w:ascii="仿宋" w:hAnsi="仿宋" w:eastAsia="仿宋" w:cs="仿宋"/>
                <w:color w:val="000000"/>
                <w:kern w:val="0"/>
                <w:sz w:val="24"/>
                <w:lang w:bidi="ar"/>
              </w:rPr>
              <w:t>分）</w:t>
            </w:r>
          </w:p>
        </w:tc>
        <w:tc>
          <w:tcPr>
            <w:tcW w:w="6045" w:type="dxa"/>
            <w:tcBorders>
              <w:top w:val="single" w:color="000000" w:sz="4" w:space="0"/>
              <w:left w:val="nil"/>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 xml:space="preserve">    根据投标单位的实施方案， 从</w:t>
            </w:r>
            <w:r>
              <w:rPr>
                <w:rFonts w:hint="eastAsia" w:ascii="仿宋" w:hAnsi="仿宋" w:eastAsia="仿宋" w:cs="仿宋"/>
                <w:color w:val="000000"/>
                <w:sz w:val="24"/>
                <w:lang w:eastAsia="zh-CN"/>
              </w:rPr>
              <w:t>栽</w:t>
            </w:r>
            <w:r>
              <w:rPr>
                <w:rFonts w:hint="eastAsia" w:ascii="仿宋" w:hAnsi="仿宋" w:eastAsia="仿宋" w:cs="仿宋"/>
                <w:color w:val="000000"/>
                <w:kern w:val="0"/>
                <w:sz w:val="24"/>
                <w:lang w:bidi="ar"/>
              </w:rPr>
              <w:t>种及养护的材料组织(0-</w:t>
            </w:r>
            <w:r>
              <w:rPr>
                <w:rFonts w:hint="eastAsia" w:ascii="仿宋" w:hAnsi="仿宋" w:eastAsia="仿宋" w:cs="仿宋"/>
                <w:color w:val="000000"/>
                <w:kern w:val="0"/>
                <w:sz w:val="24"/>
                <w:lang w:val="en-US" w:eastAsia="zh-CN" w:bidi="ar"/>
              </w:rPr>
              <w:t>3</w:t>
            </w:r>
            <w:r>
              <w:rPr>
                <w:rFonts w:hint="eastAsia" w:ascii="仿宋" w:hAnsi="仿宋" w:eastAsia="仿宋" w:cs="仿宋"/>
                <w:color w:val="000000"/>
                <w:kern w:val="0"/>
                <w:sz w:val="24"/>
                <w:lang w:bidi="ar"/>
              </w:rPr>
              <w:t>分)，</w:t>
            </w:r>
            <w:r>
              <w:rPr>
                <w:rFonts w:hint="eastAsia" w:ascii="仿宋" w:hAnsi="仿宋" w:eastAsia="仿宋" w:cs="仿宋"/>
                <w:color w:val="000000"/>
                <w:sz w:val="24"/>
                <w:lang w:eastAsia="zh-CN"/>
              </w:rPr>
              <w:t>栽</w:t>
            </w:r>
            <w:r>
              <w:rPr>
                <w:rFonts w:hint="eastAsia" w:ascii="仿宋" w:hAnsi="仿宋" w:eastAsia="仿宋" w:cs="仿宋"/>
                <w:color w:val="000000"/>
                <w:kern w:val="0"/>
                <w:sz w:val="24"/>
                <w:lang w:bidi="ar"/>
              </w:rPr>
              <w:t>种及养护的进度计划及进度网络图(0-</w:t>
            </w:r>
            <w:r>
              <w:rPr>
                <w:rFonts w:hint="eastAsia" w:ascii="仿宋" w:hAnsi="仿宋" w:eastAsia="仿宋" w:cs="仿宋"/>
                <w:color w:val="000000"/>
                <w:kern w:val="0"/>
                <w:sz w:val="24"/>
                <w:lang w:val="en-US" w:eastAsia="zh-CN" w:bidi="ar"/>
              </w:rPr>
              <w:t>3</w:t>
            </w:r>
            <w:r>
              <w:rPr>
                <w:rFonts w:hint="eastAsia" w:ascii="仿宋" w:hAnsi="仿宋" w:eastAsia="仿宋" w:cs="仿宋"/>
                <w:color w:val="000000"/>
                <w:kern w:val="0"/>
                <w:sz w:val="24"/>
                <w:lang w:bidi="ar"/>
              </w:rPr>
              <w:t>分)，整体验收标准(0-</w:t>
            </w:r>
            <w:r>
              <w:rPr>
                <w:rFonts w:hint="eastAsia" w:ascii="仿宋" w:hAnsi="仿宋" w:eastAsia="仿宋" w:cs="仿宋"/>
                <w:color w:val="000000"/>
                <w:kern w:val="0"/>
                <w:sz w:val="24"/>
                <w:lang w:val="en-US" w:eastAsia="zh-CN" w:bidi="ar"/>
              </w:rPr>
              <w:t>3</w:t>
            </w:r>
            <w:r>
              <w:rPr>
                <w:rFonts w:hint="eastAsia" w:ascii="仿宋" w:hAnsi="仿宋" w:eastAsia="仿宋" w:cs="仿宋"/>
                <w:color w:val="000000"/>
                <w:kern w:val="0"/>
                <w:sz w:val="24"/>
                <w:lang w:bidi="ar"/>
              </w:rPr>
              <w:t>分)等方面</w:t>
            </w:r>
            <w:r>
              <w:rPr>
                <w:rFonts w:hint="eastAsia" w:ascii="仿宋" w:hAnsi="仿宋" w:eastAsia="仿宋" w:cs="仿宋"/>
                <w:color w:val="000000"/>
                <w:kern w:val="0"/>
                <w:sz w:val="24"/>
                <w:lang w:eastAsia="zh-CN" w:bidi="ar"/>
              </w:rPr>
              <w:t>进行打</w:t>
            </w:r>
            <w:r>
              <w:rPr>
                <w:rFonts w:hint="eastAsia" w:ascii="仿宋" w:hAnsi="仿宋" w:eastAsia="仿宋" w:cs="仿宋"/>
                <w:color w:val="000000"/>
                <w:kern w:val="0"/>
                <w:sz w:val="24"/>
                <w:lang w:bidi="ar"/>
              </w:rPr>
              <w:t>分。</w:t>
            </w:r>
          </w:p>
        </w:tc>
      </w:tr>
      <w:tr>
        <w:tblPrEx>
          <w:tblCellMar>
            <w:top w:w="0" w:type="dxa"/>
            <w:left w:w="108" w:type="dxa"/>
            <w:bottom w:w="0" w:type="dxa"/>
            <w:right w:w="108" w:type="dxa"/>
          </w:tblCellMar>
        </w:tblPrEx>
        <w:trPr>
          <w:trHeight w:val="919" w:hRule="atLeast"/>
        </w:trPr>
        <w:tc>
          <w:tcPr>
            <w:tcW w:w="437" w:type="dxa"/>
            <w:vMerge w:val="continue"/>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 w:hAnsi="仿宋" w:eastAsia="仿宋" w:cs="仿宋"/>
                <w:color w:val="000000"/>
                <w:sz w:val="24"/>
              </w:rPr>
            </w:pPr>
          </w:p>
        </w:tc>
        <w:tc>
          <w:tcPr>
            <w:tcW w:w="791" w:type="dxa"/>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rPr>
            </w:pPr>
          </w:p>
        </w:tc>
        <w:tc>
          <w:tcPr>
            <w:tcW w:w="1650"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eastAsia="zh-CN" w:bidi="ar"/>
              </w:rPr>
            </w:pPr>
            <w:r>
              <w:rPr>
                <w:rFonts w:hint="eastAsia" w:ascii="仿宋" w:hAnsi="仿宋" w:eastAsia="仿宋" w:cs="仿宋"/>
                <w:color w:val="000000"/>
                <w:kern w:val="0"/>
                <w:sz w:val="24"/>
                <w:lang w:eastAsia="zh-CN" w:bidi="ar"/>
              </w:rPr>
              <w:t>业绩</w:t>
            </w:r>
            <w:r>
              <w:rPr>
                <w:rFonts w:hint="eastAsia" w:ascii="仿宋" w:hAnsi="仿宋" w:eastAsia="仿宋" w:cs="仿宋"/>
                <w:color w:val="000000"/>
                <w:kern w:val="0"/>
                <w:sz w:val="24"/>
                <w:lang w:bidi="ar"/>
              </w:rPr>
              <w:t>（</w:t>
            </w:r>
            <w:r>
              <w:rPr>
                <w:rFonts w:hint="eastAsia" w:ascii="仿宋" w:hAnsi="仿宋" w:eastAsia="仿宋" w:cs="仿宋"/>
                <w:color w:val="000000"/>
                <w:kern w:val="0"/>
                <w:sz w:val="24"/>
                <w:lang w:val="en-US" w:eastAsia="zh-CN" w:bidi="ar"/>
              </w:rPr>
              <w:t>6</w:t>
            </w:r>
            <w:r>
              <w:rPr>
                <w:rFonts w:hint="eastAsia" w:ascii="仿宋" w:hAnsi="仿宋" w:eastAsia="仿宋" w:cs="仿宋"/>
                <w:color w:val="000000"/>
                <w:kern w:val="0"/>
                <w:sz w:val="24"/>
                <w:lang w:bidi="ar"/>
              </w:rPr>
              <w:t>分）</w:t>
            </w:r>
          </w:p>
        </w:tc>
        <w:tc>
          <w:tcPr>
            <w:tcW w:w="6045" w:type="dxa"/>
            <w:tcBorders>
              <w:top w:val="single" w:color="000000" w:sz="4" w:space="0"/>
              <w:left w:val="nil"/>
              <w:bottom w:val="single" w:color="000000" w:sz="4" w:space="0"/>
              <w:right w:val="single" w:color="000000" w:sz="4" w:space="0"/>
            </w:tcBorders>
            <w:noWrap w:val="0"/>
            <w:vAlign w:val="center"/>
          </w:tcPr>
          <w:p>
            <w:pPr>
              <w:ind w:firstLine="480" w:firstLineChars="200"/>
              <w:rPr>
                <w:rFonts w:hint="eastAsia" w:ascii="仿宋" w:hAnsi="仿宋" w:eastAsia="仿宋" w:cs="仿宋"/>
                <w:color w:val="000000"/>
                <w:sz w:val="24"/>
              </w:rPr>
            </w:pPr>
            <w:r>
              <w:rPr>
                <w:rFonts w:hint="eastAsia" w:ascii="仿宋" w:hAnsi="仿宋" w:eastAsia="仿宋" w:cs="仿宋"/>
                <w:sz w:val="24"/>
                <w:szCs w:val="24"/>
              </w:rPr>
              <w:t>根据投标单位提供的2018年1月1日以来的同类项 目业绩(以中标通知书及合同原件为准，业绩原件与资格原件一并递交)</w:t>
            </w:r>
            <w:r>
              <w:rPr>
                <w:rFonts w:hint="eastAsia" w:ascii="仿宋" w:hAnsi="仿宋" w:eastAsia="仿宋" w:cs="仿宋"/>
                <w:sz w:val="24"/>
                <w:szCs w:val="24"/>
                <w:lang w:eastAsia="zh-CN"/>
              </w:rPr>
              <w:t>，</w:t>
            </w:r>
            <w:r>
              <w:rPr>
                <w:rFonts w:hint="eastAsia" w:ascii="仿宋" w:hAnsi="仿宋" w:eastAsia="仿宋" w:cs="仿宋"/>
                <w:sz w:val="24"/>
                <w:szCs w:val="24"/>
              </w:rPr>
              <w:t>每</w:t>
            </w:r>
            <w:r>
              <w:rPr>
                <w:rFonts w:hint="eastAsia" w:ascii="仿宋" w:hAnsi="仿宋" w:eastAsia="仿宋" w:cs="仿宋"/>
                <w:sz w:val="24"/>
                <w:szCs w:val="24"/>
                <w:lang w:eastAsia="zh-CN"/>
              </w:rPr>
              <w:t>提供一份得</w:t>
            </w:r>
            <w:r>
              <w:rPr>
                <w:rFonts w:hint="eastAsia" w:ascii="仿宋" w:hAnsi="仿宋" w:eastAsia="仿宋" w:cs="仿宋"/>
                <w:sz w:val="24"/>
                <w:szCs w:val="24"/>
              </w:rPr>
              <w:t>1分，最高得6分。</w:t>
            </w:r>
          </w:p>
        </w:tc>
      </w:tr>
      <w:tr>
        <w:tblPrEx>
          <w:tblCellMar>
            <w:top w:w="0" w:type="dxa"/>
            <w:left w:w="108" w:type="dxa"/>
            <w:bottom w:w="0" w:type="dxa"/>
            <w:right w:w="108" w:type="dxa"/>
          </w:tblCellMar>
        </w:tblPrEx>
        <w:trPr>
          <w:trHeight w:val="919" w:hRule="atLeast"/>
        </w:trPr>
        <w:tc>
          <w:tcPr>
            <w:tcW w:w="437" w:type="dxa"/>
            <w:vMerge w:val="continue"/>
            <w:tcBorders>
              <w:top w:val="single" w:color="auto" w:sz="4" w:space="0"/>
              <w:left w:val="single" w:color="auto" w:sz="4" w:space="0"/>
              <w:bottom w:val="single" w:color="auto" w:sz="4" w:space="0"/>
              <w:right w:val="single" w:color="000000" w:sz="4" w:space="0"/>
            </w:tcBorders>
            <w:noWrap w:val="0"/>
            <w:vAlign w:val="center"/>
          </w:tcPr>
          <w:p>
            <w:pPr>
              <w:jc w:val="center"/>
              <w:rPr>
                <w:rFonts w:hint="eastAsia" w:ascii="仿宋" w:hAnsi="仿宋" w:eastAsia="仿宋" w:cs="仿宋"/>
                <w:color w:val="000000"/>
                <w:sz w:val="24"/>
              </w:rPr>
            </w:pPr>
          </w:p>
        </w:tc>
        <w:tc>
          <w:tcPr>
            <w:tcW w:w="791" w:type="dxa"/>
            <w:vMerge w:val="continue"/>
            <w:tcBorders>
              <w:top w:val="single" w:color="auto" w:sz="4" w:space="0"/>
              <w:left w:val="single" w:color="000000" w:sz="4" w:space="0"/>
              <w:bottom w:val="single" w:color="auto" w:sz="4" w:space="0"/>
              <w:right w:val="single" w:color="auto" w:sz="4" w:space="0"/>
            </w:tcBorders>
            <w:noWrap w:val="0"/>
            <w:vAlign w:val="center"/>
          </w:tcPr>
          <w:p>
            <w:pPr>
              <w:jc w:val="center"/>
              <w:rPr>
                <w:rFonts w:hint="eastAsia" w:ascii="仿宋" w:hAnsi="仿宋" w:eastAsia="仿宋" w:cs="仿宋"/>
                <w:color w:val="000000"/>
                <w:sz w:val="24"/>
              </w:rPr>
            </w:pPr>
          </w:p>
        </w:tc>
        <w:tc>
          <w:tcPr>
            <w:tcW w:w="1650"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24"/>
                <w:lang w:eastAsia="zh-CN" w:bidi="ar"/>
              </w:rPr>
            </w:pPr>
            <w:r>
              <w:rPr>
                <w:rFonts w:hint="eastAsia" w:ascii="仿宋" w:hAnsi="仿宋" w:eastAsia="仿宋" w:cs="仿宋"/>
                <w:color w:val="000000"/>
                <w:sz w:val="24"/>
                <w:lang w:eastAsia="zh-CN"/>
              </w:rPr>
              <w:t>售后服务（</w:t>
            </w:r>
            <w:r>
              <w:rPr>
                <w:rFonts w:hint="eastAsia" w:ascii="仿宋" w:hAnsi="仿宋" w:eastAsia="仿宋" w:cs="仿宋"/>
                <w:color w:val="000000"/>
                <w:sz w:val="24"/>
                <w:lang w:val="en-US" w:eastAsia="zh-CN"/>
              </w:rPr>
              <w:t>12分</w:t>
            </w:r>
            <w:r>
              <w:rPr>
                <w:rFonts w:hint="eastAsia" w:ascii="仿宋" w:hAnsi="仿宋" w:eastAsia="仿宋" w:cs="仿宋"/>
                <w:color w:val="000000"/>
                <w:sz w:val="24"/>
                <w:lang w:eastAsia="zh-CN"/>
              </w:rPr>
              <w:t>）</w:t>
            </w:r>
          </w:p>
        </w:tc>
        <w:tc>
          <w:tcPr>
            <w:tcW w:w="6045" w:type="dxa"/>
            <w:tcBorders>
              <w:top w:val="single" w:color="000000" w:sz="4" w:space="0"/>
              <w:left w:val="nil"/>
              <w:bottom w:val="single" w:color="000000" w:sz="4" w:space="0"/>
              <w:right w:val="single" w:color="000000" w:sz="4" w:space="0"/>
            </w:tcBorders>
            <w:noWrap w:val="0"/>
            <w:vAlign w:val="center"/>
          </w:tcPr>
          <w:p>
            <w:pPr>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1.有完善的</w:t>
            </w:r>
            <w:r>
              <w:rPr>
                <w:rFonts w:hint="eastAsia" w:ascii="仿宋" w:hAnsi="仿宋" w:eastAsia="仿宋" w:cs="仿宋"/>
                <w:color w:val="000000"/>
                <w:sz w:val="24"/>
                <w:lang w:eastAsia="zh-CN"/>
              </w:rPr>
              <w:t>售</w:t>
            </w:r>
            <w:r>
              <w:rPr>
                <w:rFonts w:hint="eastAsia" w:ascii="仿宋" w:hAnsi="仿宋" w:eastAsia="仿宋" w:cs="仿宋"/>
                <w:color w:val="000000"/>
                <w:sz w:val="24"/>
              </w:rPr>
              <w:t>后服务机构(提供相关证明材料)，具备提供售后服务的能力</w:t>
            </w:r>
            <w:r>
              <w:rPr>
                <w:rFonts w:hint="eastAsia" w:ascii="仿宋" w:hAnsi="仿宋" w:eastAsia="仿宋" w:cs="仿宋"/>
                <w:color w:val="000000"/>
                <w:sz w:val="24"/>
                <w:lang w:eastAsia="zh-CN"/>
              </w:rPr>
              <w:t>和售后</w:t>
            </w:r>
            <w:r>
              <w:rPr>
                <w:rFonts w:hint="eastAsia" w:ascii="仿宋" w:hAnsi="仿宋" w:eastAsia="仿宋" w:cs="仿宋"/>
                <w:color w:val="000000"/>
                <w:sz w:val="24"/>
              </w:rPr>
              <w:t>服务承诺</w:t>
            </w:r>
            <w:r>
              <w:rPr>
                <w:rFonts w:hint="eastAsia" w:ascii="仿宋" w:hAnsi="仿宋" w:eastAsia="仿宋" w:cs="仿宋"/>
                <w:color w:val="000000"/>
                <w:sz w:val="24"/>
                <w:lang w:eastAsia="zh-CN"/>
              </w:rPr>
              <w:t>及具</w:t>
            </w:r>
            <w:r>
              <w:rPr>
                <w:rFonts w:hint="eastAsia" w:ascii="仿宋" w:hAnsi="仿宋" w:eastAsia="仿宋" w:cs="仿宋"/>
                <w:color w:val="000000"/>
                <w:sz w:val="24"/>
              </w:rPr>
              <w:t>体售后服务方案</w:t>
            </w:r>
            <w:r>
              <w:rPr>
                <w:rFonts w:hint="eastAsia" w:ascii="仿宋" w:hAnsi="仿宋" w:eastAsia="仿宋" w:cs="仿宋"/>
                <w:color w:val="000000"/>
                <w:sz w:val="24"/>
                <w:lang w:eastAsia="zh-CN"/>
              </w:rPr>
              <w:t>，</w:t>
            </w:r>
            <w:r>
              <w:rPr>
                <w:rFonts w:hint="eastAsia" w:ascii="仿宋" w:hAnsi="仿宋" w:eastAsia="仿宋" w:cs="仿宋"/>
                <w:color w:val="000000"/>
                <w:sz w:val="24"/>
              </w:rPr>
              <w:t>根据响应情况计0-</w:t>
            </w:r>
            <w:r>
              <w:rPr>
                <w:rFonts w:hint="eastAsia" w:ascii="仿宋" w:hAnsi="仿宋" w:eastAsia="仿宋" w:cs="仿宋"/>
                <w:color w:val="000000"/>
                <w:sz w:val="24"/>
                <w:lang w:val="en-US" w:eastAsia="zh-CN"/>
              </w:rPr>
              <w:t>6</w:t>
            </w:r>
            <w:r>
              <w:rPr>
                <w:rFonts w:hint="eastAsia" w:ascii="仿宋" w:hAnsi="仿宋" w:eastAsia="仿宋" w:cs="仿宋"/>
                <w:color w:val="000000"/>
                <w:sz w:val="24"/>
              </w:rPr>
              <w:t>分。</w:t>
            </w:r>
          </w:p>
          <w:p>
            <w:pPr>
              <w:ind w:firstLine="480" w:firstLineChars="200"/>
              <w:jc w:val="left"/>
              <w:rPr>
                <w:rFonts w:hint="eastAsia" w:ascii="仿宋" w:hAnsi="仿宋" w:eastAsia="仿宋" w:cs="仿宋"/>
                <w:sz w:val="24"/>
                <w:szCs w:val="24"/>
              </w:rPr>
            </w:pPr>
            <w:r>
              <w:rPr>
                <w:rFonts w:hint="eastAsia" w:ascii="仿宋" w:hAnsi="仿宋" w:eastAsia="仿宋" w:cs="仿宋"/>
                <w:color w:val="000000"/>
                <w:sz w:val="24"/>
              </w:rPr>
              <w:t>2.有专业的</w:t>
            </w:r>
            <w:r>
              <w:rPr>
                <w:rFonts w:hint="eastAsia" w:ascii="仿宋" w:hAnsi="仿宋" w:eastAsia="仿宋" w:cs="仿宋"/>
                <w:color w:val="000000"/>
                <w:sz w:val="24"/>
                <w:lang w:eastAsia="zh-CN"/>
              </w:rPr>
              <w:t>售</w:t>
            </w:r>
            <w:r>
              <w:rPr>
                <w:rFonts w:hint="eastAsia" w:ascii="仿宋" w:hAnsi="仿宋" w:eastAsia="仿宋" w:cs="仿宋"/>
                <w:color w:val="000000"/>
                <w:sz w:val="24"/>
              </w:rPr>
              <w:t>后服务人员和</w:t>
            </w:r>
            <w:r>
              <w:rPr>
                <w:rFonts w:hint="eastAsia" w:ascii="仿宋" w:hAnsi="仿宋" w:eastAsia="仿宋" w:cs="仿宋"/>
                <w:color w:val="000000"/>
                <w:sz w:val="24"/>
                <w:lang w:eastAsia="zh-CN"/>
              </w:rPr>
              <w:t>苗</w:t>
            </w:r>
            <w:r>
              <w:rPr>
                <w:rFonts w:hint="eastAsia" w:ascii="仿宋" w:hAnsi="仿宋" w:eastAsia="仿宋" w:cs="仿宋"/>
                <w:color w:val="000000"/>
                <w:sz w:val="24"/>
              </w:rPr>
              <w:t>木管护人员，养护期内有详细的管护方案及管护服务措施承诺</w:t>
            </w:r>
            <w:r>
              <w:rPr>
                <w:rFonts w:hint="eastAsia" w:ascii="仿宋" w:hAnsi="仿宋" w:eastAsia="仿宋" w:cs="仿宋"/>
                <w:color w:val="000000"/>
                <w:sz w:val="24"/>
                <w:lang w:eastAsia="zh-CN"/>
              </w:rPr>
              <w:t>，</w:t>
            </w:r>
            <w:r>
              <w:rPr>
                <w:rFonts w:hint="eastAsia" w:ascii="仿宋" w:hAnsi="仿宋" w:eastAsia="仿宋" w:cs="仿宋"/>
                <w:color w:val="000000"/>
                <w:sz w:val="24"/>
              </w:rPr>
              <w:t>根据响应情况计0-</w:t>
            </w:r>
            <w:r>
              <w:rPr>
                <w:rFonts w:hint="eastAsia" w:ascii="仿宋" w:hAnsi="仿宋" w:eastAsia="仿宋" w:cs="仿宋"/>
                <w:color w:val="000000"/>
                <w:sz w:val="24"/>
                <w:lang w:val="en-US" w:eastAsia="zh-CN"/>
              </w:rPr>
              <w:t>6</w:t>
            </w:r>
            <w:r>
              <w:rPr>
                <w:rFonts w:hint="eastAsia" w:ascii="仿宋" w:hAnsi="仿宋" w:eastAsia="仿宋" w:cs="仿宋"/>
                <w:color w:val="000000"/>
                <w:sz w:val="24"/>
              </w:rPr>
              <w:t>分。</w:t>
            </w:r>
          </w:p>
        </w:tc>
      </w:tr>
    </w:tbl>
    <w:p>
      <w:pPr>
        <w:adjustRightInd w:val="0"/>
        <w:snapToGrid w:val="0"/>
        <w:spacing w:line="360" w:lineRule="auto"/>
        <w:ind w:firstLine="560" w:firstLineChars="200"/>
        <w:jc w:val="left"/>
        <w:rPr>
          <w:rFonts w:hint="eastAsia" w:ascii="仿宋" w:hAnsi="仿宋" w:eastAsia="仿宋" w:cs="仿宋"/>
          <w:sz w:val="28"/>
          <w:szCs w:val="28"/>
          <w:lang w:val="zh-CN"/>
        </w:rPr>
      </w:pPr>
      <w:r>
        <w:rPr>
          <w:rFonts w:hint="eastAsia" w:ascii="仿宋" w:hAnsi="仿宋" w:eastAsia="仿宋" w:cs="仿宋"/>
          <w:sz w:val="28"/>
          <w:szCs w:val="28"/>
        </w:rPr>
        <w:t>注：评分项涉及的所有证明材料均需提供原件以备核查。如发现供应商提交虚假证明材料，取消投标及中标资格，并以书面形式报省财政厅，按《采购法》有关规定执行。</w:t>
      </w:r>
    </w:p>
    <w:p>
      <w:pPr>
        <w:autoSpaceDE w:val="0"/>
        <w:autoSpaceDN w:val="0"/>
        <w:adjustRightInd w:val="0"/>
        <w:snapToGrid w:val="0"/>
        <w:spacing w:line="360" w:lineRule="auto"/>
        <w:ind w:firstLine="560" w:firstLineChars="200"/>
        <w:rPr>
          <w:rFonts w:hint="eastAsia" w:ascii="仿宋" w:hAnsi="仿宋" w:eastAsia="仿宋" w:cs="仿宋"/>
          <w:sz w:val="28"/>
          <w:szCs w:val="28"/>
          <w:lang w:val="zh-CN"/>
        </w:rPr>
      </w:pPr>
    </w:p>
    <w:p>
      <w:pPr>
        <w:pStyle w:val="2"/>
        <w:spacing w:line="360" w:lineRule="auto"/>
        <w:ind w:firstLine="0" w:firstLineChars="0"/>
        <w:jc w:val="center"/>
        <w:outlineLvl w:val="9"/>
        <w:rPr>
          <w:rFonts w:hint="eastAsia" w:ascii="仿宋" w:hAnsi="仿宋" w:eastAsia="仿宋" w:cs="仿宋"/>
          <w:b/>
          <w:bCs/>
          <w:color w:val="000000"/>
          <w:sz w:val="32"/>
          <w:szCs w:val="32"/>
        </w:rPr>
      </w:pPr>
      <w:bookmarkStart w:id="467" w:name="_Toc517259944"/>
      <w:bookmarkStart w:id="468" w:name="_Toc521572148"/>
    </w:p>
    <w:p>
      <w:pPr>
        <w:pStyle w:val="2"/>
        <w:spacing w:line="360" w:lineRule="auto"/>
        <w:ind w:firstLine="0" w:firstLineChars="0"/>
        <w:jc w:val="center"/>
        <w:outlineLvl w:val="9"/>
        <w:rPr>
          <w:rFonts w:hint="eastAsia" w:ascii="仿宋" w:hAnsi="仿宋" w:eastAsia="仿宋" w:cs="仿宋"/>
          <w:b/>
          <w:bCs/>
          <w:color w:val="000000"/>
          <w:sz w:val="32"/>
          <w:szCs w:val="32"/>
        </w:rPr>
      </w:pPr>
    </w:p>
    <w:p>
      <w:pPr>
        <w:pStyle w:val="2"/>
        <w:spacing w:line="360" w:lineRule="auto"/>
        <w:ind w:firstLine="0" w:firstLineChars="0"/>
        <w:jc w:val="center"/>
        <w:outlineLvl w:val="9"/>
        <w:rPr>
          <w:rFonts w:hint="eastAsia" w:ascii="仿宋" w:hAnsi="仿宋" w:eastAsia="仿宋" w:cs="仿宋"/>
          <w:b/>
          <w:bCs/>
          <w:color w:val="000000"/>
          <w:sz w:val="32"/>
          <w:szCs w:val="32"/>
        </w:rPr>
      </w:pPr>
    </w:p>
    <w:p>
      <w:pPr>
        <w:pStyle w:val="2"/>
        <w:spacing w:line="360" w:lineRule="auto"/>
        <w:ind w:firstLine="0" w:firstLineChars="0"/>
        <w:jc w:val="center"/>
        <w:outlineLvl w:val="9"/>
        <w:rPr>
          <w:rFonts w:hint="eastAsia" w:ascii="仿宋" w:hAnsi="仿宋" w:eastAsia="仿宋" w:cs="仿宋"/>
          <w:b/>
          <w:bCs/>
          <w:color w:val="000000"/>
          <w:sz w:val="32"/>
          <w:szCs w:val="32"/>
        </w:rPr>
      </w:pPr>
    </w:p>
    <w:p>
      <w:pPr>
        <w:pStyle w:val="2"/>
        <w:spacing w:line="360" w:lineRule="auto"/>
        <w:ind w:firstLine="0" w:firstLineChars="0"/>
        <w:jc w:val="center"/>
        <w:outlineLvl w:val="0"/>
        <w:rPr>
          <w:rFonts w:hint="eastAsia" w:ascii="仿宋" w:hAnsi="仿宋" w:eastAsia="仿宋" w:cs="仿宋"/>
          <w:b/>
          <w:bCs/>
          <w:color w:val="000000"/>
          <w:sz w:val="32"/>
          <w:szCs w:val="32"/>
        </w:rPr>
      </w:pPr>
      <w:bookmarkStart w:id="469" w:name="_Toc22300"/>
      <w:r>
        <w:rPr>
          <w:rFonts w:hint="eastAsia" w:ascii="仿宋" w:hAnsi="仿宋" w:eastAsia="仿宋" w:cs="仿宋"/>
          <w:b/>
          <w:bCs/>
          <w:color w:val="000000"/>
          <w:sz w:val="32"/>
          <w:szCs w:val="32"/>
        </w:rPr>
        <w:t>第五章</w:t>
      </w:r>
      <w:r>
        <w:rPr>
          <w:rFonts w:hint="eastAsia" w:ascii="仿宋" w:hAnsi="仿宋" w:eastAsia="仿宋" w:cs="仿宋"/>
          <w:b/>
          <w:sz w:val="32"/>
          <w:szCs w:val="32"/>
        </w:rPr>
        <w:t xml:space="preserve">    </w:t>
      </w:r>
      <w:r>
        <w:rPr>
          <w:rFonts w:hint="eastAsia" w:ascii="仿宋" w:hAnsi="仿宋" w:eastAsia="仿宋" w:cs="仿宋"/>
          <w:b/>
          <w:bCs/>
          <w:color w:val="000000"/>
          <w:sz w:val="32"/>
          <w:szCs w:val="32"/>
        </w:rPr>
        <w:t>投标人资格证明文件及审核</w:t>
      </w:r>
      <w:bookmarkEnd w:id="467"/>
      <w:bookmarkEnd w:id="468"/>
      <w:bookmarkEnd w:id="469"/>
    </w:p>
    <w:p>
      <w:pPr>
        <w:widowControl/>
        <w:snapToGrid w:val="0"/>
        <w:spacing w:line="360" w:lineRule="auto"/>
        <w:ind w:firstLine="200"/>
        <w:jc w:val="left"/>
        <w:rPr>
          <w:rFonts w:hint="eastAsia" w:ascii="仿宋" w:hAnsi="仿宋" w:eastAsia="仿宋" w:cs="仿宋"/>
          <w:b/>
          <w:sz w:val="28"/>
          <w:szCs w:val="28"/>
        </w:rPr>
      </w:pPr>
      <w:r>
        <w:rPr>
          <w:rFonts w:hint="eastAsia" w:ascii="仿宋" w:hAnsi="仿宋" w:eastAsia="仿宋" w:cs="仿宋"/>
          <w:b/>
          <w:sz w:val="28"/>
          <w:szCs w:val="28"/>
        </w:rPr>
        <w:t>一、投标人资格证明文件</w:t>
      </w:r>
    </w:p>
    <w:p>
      <w:pPr>
        <w:widowControl/>
        <w:numPr>
          <w:ilvl w:val="0"/>
          <w:numId w:val="0"/>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1）供应商能够独立承担民事责任，具有合法有效的营业执照（经营范围应包含园林绿化工程施工等相关内容）；</w:t>
      </w:r>
    </w:p>
    <w:p>
      <w:pPr>
        <w:widowControl/>
        <w:numPr>
          <w:ilvl w:val="0"/>
          <w:numId w:val="0"/>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2）2018、2019、2020年度经审计的财务报告（至少包括审计报告、资产负债表和利润表，成立时间不足三年的提供成立当年起至2020年度经审计的财务报告；不足一年的可提供成立后任意时段的资产负债表）；</w:t>
      </w:r>
    </w:p>
    <w:p>
      <w:pPr>
        <w:widowControl/>
        <w:numPr>
          <w:ilvl w:val="0"/>
          <w:numId w:val="3"/>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税收缴纳证明：提供投标人2018年12月至2021年12月连续缴纳12个月任意税种的完税凭证或税务机关开具的完税证明(成立时间不足一年的按要求提供成立之日起至2021年12月的完税凭证或完税证明),依法免税的应提供相关证明文件;</w:t>
      </w:r>
    </w:p>
    <w:p>
      <w:pPr>
        <w:widowControl/>
        <w:numPr>
          <w:numId w:val="0"/>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4）社保缴纳证明;提供投标人2018年12月至2021年12月连续缴纳12个月的社保证明（成立时间不足一年的按要求提供成立之日起至2021年12月的社保证明）;</w:t>
      </w:r>
    </w:p>
    <w:p>
      <w:pPr>
        <w:widowControl/>
        <w:numPr>
          <w:numId w:val="0"/>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5）拟派项目工程师具有相关专业贰级及以上注册建造师证（含B证）；并提供本项目供应商工程师近期连续六个月社保证明等材料；</w:t>
      </w:r>
    </w:p>
    <w:p>
      <w:pPr>
        <w:widowControl/>
        <w:numPr>
          <w:numId w:val="0"/>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6）法定代表人授权书（附法定代表人、被授权人身份证复印件）及被授权人身份证（法定代表人参加投标只需提供本人身份证）；</w:t>
      </w:r>
    </w:p>
    <w:p>
      <w:pPr>
        <w:widowControl/>
        <w:numPr>
          <w:numId w:val="0"/>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7）参加政府采购活动前3年内，在经营活动中没有重大违法记录的书面声明；</w:t>
      </w:r>
    </w:p>
    <w:p>
      <w:pPr>
        <w:widowControl/>
        <w:numPr>
          <w:numId w:val="0"/>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8）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提供查询截图）；</w:t>
      </w:r>
    </w:p>
    <w:p>
      <w:pPr>
        <w:widowControl/>
        <w:numPr>
          <w:numId w:val="0"/>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9）单位负责人为同一人或者存在直接控股、管理关系的不同投标人，不得参加同一项目下的政府采购活动（提供书面承诺函）；</w:t>
      </w:r>
    </w:p>
    <w:p>
      <w:pPr>
        <w:widowControl/>
        <w:numPr>
          <w:numId w:val="0"/>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10）受托为本采购项目整体或者其中部分项目的前期工作提供了整体设计、规范编制或者项目管理、监造、检测、采购代理服务等服务的投标人，不得参加本项目投标（提供书面承诺函）；</w:t>
      </w:r>
    </w:p>
    <w:p>
      <w:pPr>
        <w:widowControl/>
        <w:numPr>
          <w:numId w:val="0"/>
        </w:num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11）保证金交纳银行凭据。</w:t>
      </w:r>
    </w:p>
    <w:p>
      <w:pPr>
        <w:snapToGrid w:val="0"/>
        <w:spacing w:line="360" w:lineRule="auto"/>
        <w:ind w:firstLine="200"/>
        <w:jc w:val="left"/>
        <w:rPr>
          <w:rFonts w:hint="eastAsia" w:ascii="仿宋" w:hAnsi="仿宋" w:eastAsia="仿宋" w:cs="仿宋"/>
          <w:b/>
          <w:sz w:val="28"/>
          <w:szCs w:val="28"/>
        </w:rPr>
      </w:pPr>
      <w:r>
        <w:rPr>
          <w:rFonts w:hint="eastAsia" w:ascii="仿宋" w:hAnsi="仿宋" w:eastAsia="仿宋" w:cs="仿宋"/>
          <w:b/>
          <w:sz w:val="28"/>
          <w:szCs w:val="28"/>
        </w:rPr>
        <w:t>二、 审核方法</w:t>
      </w:r>
    </w:p>
    <w:p>
      <w:p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资格证明文件的审核分为初审、复审。</w:t>
      </w:r>
    </w:p>
    <w:p>
      <w:p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1.初审：报名时初审。</w:t>
      </w:r>
    </w:p>
    <w:p>
      <w:pPr>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2.复审：开标现场对原件进行审查。</w:t>
      </w:r>
    </w:p>
    <w:p>
      <w:pPr>
        <w:snapToGrid w:val="0"/>
        <w:spacing w:line="360" w:lineRule="auto"/>
        <w:ind w:firstLine="560" w:firstLineChars="200"/>
        <w:jc w:val="left"/>
        <w:rPr>
          <w:rFonts w:ascii="仿宋" w:hAnsi="仿宋" w:eastAsia="仿宋" w:cs="仿宋"/>
          <w:sz w:val="28"/>
          <w:szCs w:val="28"/>
        </w:rPr>
        <w:sectPr>
          <w:headerReference r:id="rId9" w:type="default"/>
          <w:footerReference r:id="rId10" w:type="default"/>
          <w:pgSz w:w="11907" w:h="16840"/>
          <w:pgMar w:top="1440" w:right="1474" w:bottom="1440" w:left="1474" w:header="851" w:footer="992" w:gutter="0"/>
          <w:pgNumType w:fmt="decimal"/>
          <w:cols w:space="720" w:num="1"/>
          <w:docGrid w:linePitch="312" w:charSpace="0"/>
        </w:sectPr>
      </w:pPr>
      <w:r>
        <w:rPr>
          <w:rFonts w:hint="eastAsia" w:ascii="仿宋" w:hAnsi="仿宋" w:eastAsia="仿宋" w:cs="仿宋"/>
          <w:sz w:val="28"/>
          <w:szCs w:val="28"/>
        </w:rPr>
        <w:t>投标供应商将资格证明文件原件单独密封带到开标现场（封袋正面标识式样参见格式C），否则按第四章第3条3.1处理。</w:t>
      </w:r>
    </w:p>
    <w:p>
      <w:pPr>
        <w:snapToGrid w:val="0"/>
        <w:spacing w:line="360" w:lineRule="auto"/>
        <w:ind w:firstLine="560" w:firstLineChars="200"/>
        <w:jc w:val="left"/>
        <w:rPr>
          <w:rFonts w:hint="eastAsia" w:ascii="仿宋" w:hAnsi="仿宋" w:eastAsia="仿宋" w:cs="仿宋"/>
          <w:sz w:val="28"/>
          <w:szCs w:val="28"/>
        </w:rPr>
      </w:pPr>
    </w:p>
    <w:p>
      <w:pPr>
        <w:spacing w:line="360" w:lineRule="auto"/>
        <w:jc w:val="center"/>
        <w:outlineLvl w:val="0"/>
        <w:rPr>
          <w:rFonts w:hint="eastAsia" w:ascii="仿宋" w:hAnsi="仿宋" w:eastAsia="仿宋" w:cs="仿宋"/>
          <w:b/>
          <w:sz w:val="32"/>
          <w:szCs w:val="32"/>
        </w:rPr>
      </w:pPr>
      <w:bookmarkStart w:id="470" w:name="_Toc521572149"/>
      <w:bookmarkStart w:id="471" w:name="_Toc517259945"/>
      <w:bookmarkStart w:id="472" w:name="_Toc28467"/>
      <w:r>
        <w:rPr>
          <w:rFonts w:hint="eastAsia" w:ascii="仿宋" w:hAnsi="仿宋" w:eastAsia="仿宋" w:cs="仿宋"/>
          <w:b/>
          <w:sz w:val="32"/>
          <w:szCs w:val="32"/>
        </w:rPr>
        <w:t>第六章    合同主要条款</w:t>
      </w:r>
      <w:bookmarkEnd w:id="470"/>
      <w:bookmarkEnd w:id="471"/>
      <w:bookmarkEnd w:id="472"/>
    </w:p>
    <w:p>
      <w:pPr>
        <w:spacing w:line="360" w:lineRule="auto"/>
        <w:jc w:val="center"/>
        <w:rPr>
          <w:rFonts w:hint="eastAsia" w:ascii="仿宋" w:hAnsi="仿宋" w:eastAsia="仿宋" w:cs="仿宋"/>
          <w:b/>
          <w:sz w:val="32"/>
          <w:szCs w:val="32"/>
        </w:rPr>
      </w:pPr>
    </w:p>
    <w:p>
      <w:pPr>
        <w:spacing w:line="360" w:lineRule="auto"/>
        <w:jc w:val="left"/>
        <w:rPr>
          <w:rFonts w:hint="eastAsia" w:ascii="仿宋" w:hAnsi="仿宋" w:eastAsia="仿宋" w:cs="仿宋"/>
          <w:sz w:val="28"/>
          <w:szCs w:val="28"/>
        </w:rPr>
      </w:pPr>
      <w:r>
        <w:rPr>
          <w:rFonts w:hint="eastAsia" w:ascii="仿宋" w:hAnsi="仿宋" w:eastAsia="仿宋" w:cs="仿宋"/>
          <w:sz w:val="28"/>
          <w:szCs w:val="28"/>
        </w:rPr>
        <w:t>合同编号：</w:t>
      </w:r>
    </w:p>
    <w:p>
      <w:pPr>
        <w:spacing w:line="360" w:lineRule="auto"/>
        <w:jc w:val="left"/>
        <w:rPr>
          <w:rFonts w:hint="eastAsia" w:ascii="仿宋" w:hAnsi="仿宋" w:eastAsia="仿宋" w:cs="仿宋"/>
          <w:sz w:val="28"/>
          <w:szCs w:val="28"/>
        </w:rPr>
      </w:pPr>
      <w:r>
        <w:rPr>
          <w:rFonts w:hint="eastAsia" w:ascii="仿宋" w:hAnsi="仿宋" w:eastAsia="仿宋" w:cs="仿宋"/>
          <w:sz w:val="28"/>
          <w:szCs w:val="28"/>
        </w:rPr>
        <w:t>签订地点：</w:t>
      </w:r>
    </w:p>
    <w:p>
      <w:pPr>
        <w:spacing w:line="360" w:lineRule="auto"/>
        <w:jc w:val="left"/>
        <w:rPr>
          <w:rFonts w:hint="eastAsia" w:ascii="仿宋" w:hAnsi="仿宋" w:eastAsia="仿宋" w:cs="仿宋"/>
          <w:sz w:val="28"/>
          <w:szCs w:val="28"/>
        </w:rPr>
      </w:pPr>
      <w:r>
        <w:rPr>
          <w:rFonts w:hint="eastAsia" w:ascii="仿宋" w:hAnsi="仿宋" w:eastAsia="仿宋" w:cs="仿宋"/>
          <w:sz w:val="28"/>
          <w:szCs w:val="28"/>
        </w:rPr>
        <w:t>签订时间：</w:t>
      </w:r>
    </w:p>
    <w:p>
      <w:pPr>
        <w:spacing w:line="360" w:lineRule="auto"/>
        <w:jc w:val="left"/>
        <w:rPr>
          <w:rFonts w:hint="eastAsia" w:ascii="仿宋" w:hAnsi="仿宋" w:eastAsia="仿宋" w:cs="仿宋"/>
          <w:sz w:val="28"/>
          <w:szCs w:val="28"/>
        </w:rPr>
      </w:pPr>
      <w:r>
        <w:rPr>
          <w:rFonts w:hint="eastAsia" w:ascii="仿宋" w:hAnsi="仿宋" w:eastAsia="仿宋" w:cs="仿宋"/>
          <w:sz w:val="28"/>
          <w:szCs w:val="28"/>
        </w:rPr>
        <w:t xml:space="preserve">采购人（甲方）：                              </w:t>
      </w:r>
    </w:p>
    <w:p>
      <w:pPr>
        <w:spacing w:line="360" w:lineRule="auto"/>
        <w:jc w:val="left"/>
        <w:rPr>
          <w:rFonts w:hint="eastAsia" w:ascii="仿宋" w:hAnsi="仿宋" w:eastAsia="仿宋" w:cs="仿宋"/>
          <w:sz w:val="28"/>
          <w:szCs w:val="28"/>
        </w:rPr>
      </w:pPr>
      <w:r>
        <w:rPr>
          <w:rFonts w:hint="eastAsia" w:ascii="仿宋" w:hAnsi="仿宋" w:eastAsia="仿宋" w:cs="仿宋"/>
          <w:sz w:val="28"/>
          <w:szCs w:val="28"/>
        </w:rPr>
        <w:t xml:space="preserve">供应商（乙方）：                              </w:t>
      </w:r>
    </w:p>
    <w:p>
      <w:pPr>
        <w:spacing w:line="360" w:lineRule="auto"/>
        <w:jc w:val="left"/>
        <w:rPr>
          <w:rFonts w:hint="eastAsia" w:ascii="仿宋" w:hAnsi="仿宋" w:eastAsia="仿宋" w:cs="仿宋"/>
          <w:sz w:val="28"/>
          <w:szCs w:val="28"/>
        </w:rPr>
      </w:pPr>
      <w:r>
        <w:rPr>
          <w:rFonts w:hint="eastAsia" w:ascii="仿宋" w:hAnsi="仿宋" w:eastAsia="仿宋" w:cs="仿宋"/>
          <w:sz w:val="28"/>
          <w:szCs w:val="28"/>
        </w:rPr>
        <w:t>见证方：吴起县政府采购中心</w:t>
      </w:r>
    </w:p>
    <w:p>
      <w:pPr>
        <w:spacing w:line="360" w:lineRule="auto"/>
        <w:ind w:firstLine="560" w:firstLineChars="200"/>
        <w:jc w:val="left"/>
        <w:rPr>
          <w:rFonts w:hint="eastAsia" w:ascii="仿宋" w:hAnsi="仿宋" w:eastAsia="仿宋" w:cs="仿宋"/>
          <w:sz w:val="28"/>
          <w:szCs w:val="28"/>
        </w:rPr>
      </w:pPr>
    </w:p>
    <w:p>
      <w:pPr>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依据《中华人民共和国合同法》、《中华人民共和国政府采购法》与项目行业有关的法律法规，以及</w:t>
      </w:r>
      <w:r>
        <w:rPr>
          <w:rFonts w:hint="eastAsia" w:ascii="仿宋" w:hAnsi="仿宋" w:eastAsia="仿宋" w:cs="仿宋"/>
          <w:sz w:val="28"/>
          <w:szCs w:val="28"/>
          <w:u w:val="single"/>
        </w:rPr>
        <w:t>吴起县林业局2021年铁边城国有林场退化林修复采购项目</w:t>
      </w:r>
      <w:r>
        <w:rPr>
          <w:rFonts w:hint="eastAsia" w:ascii="仿宋" w:hAnsi="仿宋" w:eastAsia="仿宋" w:cs="仿宋"/>
          <w:color w:val="FF0000"/>
          <w:sz w:val="28"/>
          <w:szCs w:val="28"/>
        </w:rPr>
        <w:t>（项目编号：</w:t>
      </w:r>
      <w:r>
        <w:rPr>
          <w:rFonts w:hint="eastAsia" w:ascii="仿宋" w:hAnsi="仿宋" w:eastAsia="仿宋" w:cs="仿宋"/>
          <w:color w:val="FF0000"/>
          <w:sz w:val="28"/>
          <w:szCs w:val="28"/>
          <w:lang w:val="en-US" w:eastAsia="zh-CN"/>
        </w:rPr>
        <w:t xml:space="preserve">      </w:t>
      </w:r>
      <w:r>
        <w:rPr>
          <w:rFonts w:hint="eastAsia" w:ascii="仿宋" w:hAnsi="仿宋" w:eastAsia="仿宋" w:cs="仿宋"/>
          <w:sz w:val="28"/>
          <w:szCs w:val="28"/>
        </w:rPr>
        <w:t xml:space="preserve">）的《招标文件》，乙方的《投标文件》及《中标通知书》，甲、乙双方同意签订本合同。本项目的《招标文件》、《投标文件》、《中标通知书》等均为本合同的组成部分。 </w:t>
      </w:r>
    </w:p>
    <w:p>
      <w:pPr>
        <w:spacing w:line="360" w:lineRule="auto"/>
        <w:rPr>
          <w:rFonts w:hint="eastAsia" w:ascii="仿宋" w:hAnsi="仿宋" w:eastAsia="仿宋" w:cs="仿宋"/>
          <w:sz w:val="28"/>
          <w:szCs w:val="28"/>
        </w:rPr>
      </w:pPr>
      <w:bookmarkStart w:id="473" w:name="_Toc282696226"/>
      <w:bookmarkStart w:id="474" w:name="_Toc225670751"/>
      <w:bookmarkStart w:id="475" w:name="_Toc251768862"/>
      <w:bookmarkStart w:id="476" w:name="_Toc232492928"/>
      <w:bookmarkStart w:id="477" w:name="_Toc225654644"/>
      <w:bookmarkStart w:id="478" w:name="_Toc241833903"/>
      <w:bookmarkStart w:id="479" w:name="_Toc283019214"/>
      <w:bookmarkStart w:id="480" w:name="_Toc239568418"/>
      <w:bookmarkStart w:id="481" w:name="_Toc247334841"/>
      <w:bookmarkStart w:id="482" w:name="_Toc211911348"/>
      <w:bookmarkStart w:id="483" w:name="_Toc185395249"/>
      <w:bookmarkStart w:id="484" w:name="_Toc212019594"/>
      <w:bookmarkStart w:id="485" w:name="_Toc239233914"/>
      <w:bookmarkStart w:id="486" w:name="_Toc225244852"/>
      <w:bookmarkStart w:id="487" w:name="_Toc238984975"/>
      <w:bookmarkStart w:id="488" w:name="_Toc211854449"/>
      <w:bookmarkStart w:id="489" w:name="_Toc286993786"/>
      <w:bookmarkStart w:id="490" w:name="_Toc237145406"/>
      <w:r>
        <w:rPr>
          <w:rFonts w:hint="eastAsia"/>
          <w:sz w:val="24"/>
        </w:rPr>
        <w:t xml:space="preserve">    </w:t>
      </w:r>
      <w:r>
        <w:rPr>
          <w:rFonts w:hint="eastAsia" w:ascii="仿宋" w:hAnsi="仿宋" w:eastAsia="仿宋" w:cs="仿宋"/>
          <w:sz w:val="28"/>
          <w:szCs w:val="28"/>
          <w:u w:val="single"/>
        </w:rPr>
        <w:t xml:space="preserve">                       （招标人名称）</w:t>
      </w:r>
      <w:r>
        <w:rPr>
          <w:rFonts w:hint="eastAsia" w:ascii="仿宋" w:hAnsi="仿宋" w:eastAsia="仿宋" w:cs="仿宋"/>
          <w:sz w:val="28"/>
          <w:szCs w:val="28"/>
        </w:rPr>
        <w:t>的</w:t>
      </w:r>
      <w:r>
        <w:rPr>
          <w:rFonts w:hint="eastAsia" w:ascii="仿宋" w:hAnsi="仿宋" w:eastAsia="仿宋" w:cs="仿宋"/>
          <w:sz w:val="28"/>
          <w:szCs w:val="28"/>
          <w:u w:val="single"/>
        </w:rPr>
        <w:t xml:space="preserve">                      吴起县林业局2021年铁边城国有林场退化林修复采购项目</w:t>
      </w:r>
      <w:r>
        <w:rPr>
          <w:rFonts w:hint="eastAsia" w:ascii="仿宋" w:hAnsi="仿宋" w:eastAsia="仿宋" w:cs="仿宋"/>
          <w:sz w:val="28"/>
          <w:szCs w:val="28"/>
        </w:rPr>
        <w:t>，采用公开招标的方式，按照平等投标、公正评标、择优定标的原则。甲方选定乙方为本次招标工程的施工承包单位，根据《中华人民共和国招标投标法》及本工程的招标文件、投标文件及有关补充文件，经甲乙双方协商一致，特签订本合同。</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1．工程名称与工程地址</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1．1工程名称：</w:t>
      </w:r>
      <w:r>
        <w:rPr>
          <w:rFonts w:hint="eastAsia" w:ascii="仿宋" w:hAnsi="仿宋" w:eastAsia="仿宋" w:cs="仿宋"/>
          <w:sz w:val="28"/>
          <w:szCs w:val="28"/>
          <w:u w:val="single"/>
        </w:rPr>
        <w:t xml:space="preserve">                                                   </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1．2工程地址：</w:t>
      </w:r>
      <w:r>
        <w:rPr>
          <w:rFonts w:hint="eastAsia" w:ascii="仿宋" w:hAnsi="仿宋" w:eastAsia="仿宋" w:cs="仿宋"/>
          <w:sz w:val="28"/>
          <w:szCs w:val="28"/>
          <w:u w:val="single"/>
        </w:rPr>
        <w:t xml:space="preserve">                                                   </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2．工程内容：</w:t>
      </w:r>
      <w:r>
        <w:rPr>
          <w:rFonts w:hint="eastAsia" w:ascii="仿宋" w:hAnsi="仿宋" w:eastAsia="仿宋" w:cs="仿宋"/>
          <w:sz w:val="28"/>
          <w:szCs w:val="28"/>
          <w:u w:val="single"/>
        </w:rPr>
        <w:t xml:space="preserve">                                                     </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3．工程承包方式：本绿化工程采用工料总承包。</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4．施工队伍</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施工队伍应是乙方的基本队伍，不得安排挂靠的施工队伍，乙方的项目经理及主要岗位工作人员应为投标文件中确定的人员，如自行调换（或作假）视作违约；在合同实施中，如乙方的施工队伍素质、力量、机械配备等不符合招标文件、投标文件的要约、承诺，造成现场管理混乱，工程质量和进度达不到要求时，甲方有权没收乙方相应人员、机械配备到岗部分的履约保证金，并划出部分工程量改由其他企业承包。</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5、工程承包造价</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本工程承包总价为人民币</w:t>
      </w:r>
      <w:r>
        <w:rPr>
          <w:rFonts w:hint="eastAsia" w:ascii="仿宋" w:hAnsi="仿宋" w:eastAsia="仿宋" w:cs="仿宋"/>
          <w:sz w:val="28"/>
          <w:szCs w:val="28"/>
          <w:u w:val="single"/>
        </w:rPr>
        <w:t xml:space="preserve">              </w:t>
      </w:r>
      <w:r>
        <w:rPr>
          <w:rFonts w:hint="eastAsia" w:ascii="仿宋" w:hAnsi="仿宋" w:eastAsia="仿宋" w:cs="仿宋"/>
          <w:sz w:val="28"/>
          <w:szCs w:val="28"/>
        </w:rPr>
        <w:t>万元。此承包总价包括完成全部工程内容所需发生的一切费用，除下述特别指明的内容可调整工程承包总价外，双方不得以任何理由变更工程承包价。</w:t>
      </w:r>
    </w:p>
    <w:p>
      <w:pPr>
        <w:numPr>
          <w:ilvl w:val="0"/>
          <w:numId w:val="4"/>
        </w:numPr>
        <w:spacing w:line="360" w:lineRule="auto"/>
        <w:rPr>
          <w:rFonts w:hint="eastAsia" w:ascii="仿宋" w:hAnsi="仿宋" w:eastAsia="仿宋" w:cs="仿宋"/>
          <w:sz w:val="28"/>
          <w:szCs w:val="28"/>
        </w:rPr>
      </w:pPr>
      <w:r>
        <w:rPr>
          <w:rFonts w:hint="eastAsia" w:ascii="仿宋" w:hAnsi="仿宋" w:eastAsia="仿宋" w:cs="仿宋"/>
          <w:sz w:val="28"/>
          <w:szCs w:val="28"/>
        </w:rPr>
        <w:t>工程设计变更：凭甲方和设计单位签证的设计变更联系单；</w:t>
      </w:r>
    </w:p>
    <w:p>
      <w:pPr>
        <w:numPr>
          <w:ilvl w:val="0"/>
          <w:numId w:val="4"/>
        </w:numPr>
        <w:spacing w:line="360" w:lineRule="auto"/>
        <w:rPr>
          <w:rFonts w:hint="eastAsia" w:ascii="仿宋" w:hAnsi="仿宋" w:eastAsia="仿宋" w:cs="仿宋"/>
          <w:sz w:val="28"/>
          <w:szCs w:val="28"/>
        </w:rPr>
      </w:pPr>
      <w:r>
        <w:rPr>
          <w:rFonts w:hint="eastAsia" w:ascii="仿宋" w:hAnsi="仿宋" w:eastAsia="仿宋" w:cs="仿宋"/>
          <w:sz w:val="28"/>
          <w:szCs w:val="28"/>
        </w:rPr>
        <w:t>甲方提出的书面变更指令；</w:t>
      </w:r>
    </w:p>
    <w:p>
      <w:pPr>
        <w:numPr>
          <w:ilvl w:val="0"/>
          <w:numId w:val="4"/>
        </w:numPr>
        <w:spacing w:line="360" w:lineRule="auto"/>
        <w:rPr>
          <w:rFonts w:hint="eastAsia" w:ascii="仿宋" w:hAnsi="仿宋" w:eastAsia="仿宋" w:cs="仿宋"/>
          <w:sz w:val="28"/>
          <w:szCs w:val="28"/>
        </w:rPr>
      </w:pPr>
      <w:r>
        <w:rPr>
          <w:rFonts w:hint="eastAsia" w:ascii="仿宋" w:hAnsi="仿宋" w:eastAsia="仿宋" w:cs="仿宋"/>
          <w:sz w:val="28"/>
          <w:szCs w:val="28"/>
        </w:rPr>
        <w:t>因上述两种情况变更工程内容时，按工程量清单报价中的综合单价进行调整；</w:t>
      </w:r>
    </w:p>
    <w:p>
      <w:pPr>
        <w:numPr>
          <w:ilvl w:val="0"/>
          <w:numId w:val="4"/>
        </w:numPr>
        <w:spacing w:line="360" w:lineRule="auto"/>
        <w:rPr>
          <w:rFonts w:hint="eastAsia" w:ascii="仿宋" w:hAnsi="仿宋" w:eastAsia="仿宋" w:cs="仿宋"/>
          <w:sz w:val="28"/>
          <w:szCs w:val="28"/>
        </w:rPr>
      </w:pPr>
      <w:r>
        <w:rPr>
          <w:rFonts w:hint="eastAsia" w:ascii="仿宋" w:hAnsi="仿宋" w:eastAsia="仿宋" w:cs="仿宋"/>
          <w:sz w:val="28"/>
          <w:szCs w:val="28"/>
        </w:rPr>
        <w:t>若施工时更换土建工程材料，则根据主要材料价格表中的报价，仅调整综合单价中的材料价；</w:t>
      </w:r>
    </w:p>
    <w:p>
      <w:pPr>
        <w:numPr>
          <w:ilvl w:val="0"/>
          <w:numId w:val="4"/>
        </w:numPr>
        <w:spacing w:line="360" w:lineRule="auto"/>
        <w:rPr>
          <w:rFonts w:hint="eastAsia" w:ascii="仿宋" w:hAnsi="仿宋" w:eastAsia="仿宋" w:cs="仿宋"/>
          <w:sz w:val="28"/>
          <w:szCs w:val="28"/>
        </w:rPr>
      </w:pPr>
      <w:r>
        <w:rPr>
          <w:rFonts w:hint="eastAsia" w:ascii="仿宋" w:hAnsi="仿宋" w:eastAsia="仿宋" w:cs="仿宋"/>
          <w:sz w:val="28"/>
          <w:szCs w:val="28"/>
        </w:rPr>
        <w:t>若施工时更换苗木，则仅调整综合单价分析表中的苗木到场价。种植费、综合费用按苗木栽植综合单价分析表中的同规格苗木计取。</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6．工期</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合同签订并接到采购人通知后</w:t>
      </w:r>
      <w:r>
        <w:rPr>
          <w:rFonts w:hint="eastAsia" w:ascii="仿宋" w:hAnsi="仿宋" w:eastAsia="仿宋" w:cs="仿宋"/>
          <w:sz w:val="28"/>
          <w:szCs w:val="28"/>
          <w:lang w:val="en-US" w:eastAsia="zh-CN"/>
        </w:rPr>
        <w:t>1年</w:t>
      </w:r>
      <w:r>
        <w:rPr>
          <w:rFonts w:hint="eastAsia" w:ascii="仿宋" w:hAnsi="仿宋" w:eastAsia="仿宋" w:cs="仿宋"/>
          <w:sz w:val="28"/>
          <w:szCs w:val="28"/>
        </w:rPr>
        <w:t>内完成。</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7．工程款支付</w:t>
      </w:r>
    </w:p>
    <w:p>
      <w:pPr>
        <w:spacing w:line="360" w:lineRule="auto"/>
        <w:ind w:firstLine="630" w:firstLineChars="225"/>
        <w:rPr>
          <w:rFonts w:hint="eastAsia" w:ascii="仿宋" w:hAnsi="仿宋" w:eastAsia="仿宋" w:cs="仿宋"/>
          <w:sz w:val="28"/>
          <w:szCs w:val="28"/>
          <w:lang w:eastAsia="zh-CN"/>
        </w:rPr>
      </w:pPr>
      <w:r>
        <w:rPr>
          <w:rFonts w:hint="eastAsia" w:ascii="仿宋" w:hAnsi="仿宋" w:eastAsia="仿宋" w:cs="仿宋"/>
          <w:sz w:val="28"/>
          <w:szCs w:val="28"/>
        </w:rPr>
        <w:t>7．1</w:t>
      </w:r>
      <w:r>
        <w:rPr>
          <w:rFonts w:hint="eastAsia" w:ascii="仿宋" w:hAnsi="仿宋" w:eastAsia="仿宋" w:cs="仿宋"/>
          <w:sz w:val="28"/>
          <w:szCs w:val="28"/>
          <w:lang w:eastAsia="zh-CN"/>
        </w:rPr>
        <w:t>按工程进度比例分三次支付（</w:t>
      </w:r>
      <w:r>
        <w:rPr>
          <w:rFonts w:hint="eastAsia" w:ascii="仿宋" w:hAnsi="仿宋" w:eastAsia="仿宋" w:cs="仿宋"/>
          <w:sz w:val="28"/>
          <w:szCs w:val="28"/>
          <w:lang w:val="en-US" w:eastAsia="zh-CN"/>
        </w:rPr>
        <w:t>4:3:3</w:t>
      </w:r>
      <w:r>
        <w:rPr>
          <w:rFonts w:hint="eastAsia" w:ascii="仿宋" w:hAnsi="仿宋" w:eastAsia="仿宋" w:cs="仿宋"/>
          <w:sz w:val="28"/>
          <w:szCs w:val="28"/>
          <w:lang w:eastAsia="zh-CN"/>
        </w:rPr>
        <w:t>）</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8．工程验收</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8．1工程验收由甲方在接到乙方的完工报告后组织有关单位进行。</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8．2工程验收以施工图纸及本招标文件规定施工技术规范为依据。</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8．3工程完工后，乙方根据甲方的要求提供完整的技术档案资料2份，完工资齐备符合要求，完工日期以通过验收日期为准。</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8．4养护期一年自验收之日起算。</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9．违约处罚</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9．1工期：因投标人原因，致使工程未能按合同工期如期完成，每延期一天处罚违约金合同价的</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%；如超过</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天，罚没全部工期履约保证金。</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9．2承包人项目经理、技术负责人及施工机具未能按投标承诺到位，每人次缺岗一天，处罚违约金</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元，累计缺岗</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天或主要机具不到位，将罚没承包人全部人员到位及机具到位履约保证金。</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9．3因乙方违约造成终止合同，则乙方履约保证金将作为违约金支付给甲方，并赔偿甲方由此造成超过违约金的经济损失。</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9．4因甲方违约造成终止合同，甲方应退还乙方邀纳的履约保证金，同时支付给乙方履约保证金同等金额的违约金，并赔偿乙方超过违约金的损失费用，但属执行国家行政指令造成的合同终止，不支付违约金。</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10．争议的解决</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10．1因执行本合同所发生的，或与本合同有关的后切争议，甲乙双方应通过友好协商解决。</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10．2如经协商仍不能解决争议时，可要求有关主管部门调解。如其中一方不愿调解或调解不成，可向合同签订地仲裁机构申请仲裁。</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10．3对仲裁结果不满的一方可向合同签订地人民法院起诉。</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10．4争议解决过程中，甲乙双方应保证工程的正常进行。</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11．附则</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11．1本合同一式</w:t>
      </w:r>
      <w:r>
        <w:rPr>
          <w:rFonts w:hint="eastAsia" w:ascii="仿宋" w:hAnsi="仿宋" w:eastAsia="仿宋" w:cs="仿宋"/>
          <w:sz w:val="28"/>
          <w:szCs w:val="28"/>
          <w:lang w:eastAsia="zh-CN"/>
        </w:rPr>
        <w:t>四</w:t>
      </w:r>
      <w:r>
        <w:rPr>
          <w:rFonts w:hint="eastAsia" w:ascii="仿宋" w:hAnsi="仿宋" w:eastAsia="仿宋" w:cs="仿宋"/>
          <w:sz w:val="28"/>
          <w:szCs w:val="28"/>
        </w:rPr>
        <w:t>份，双方各执一份，</w:t>
      </w:r>
      <w:r>
        <w:rPr>
          <w:rFonts w:hint="eastAsia" w:ascii="仿宋" w:hAnsi="仿宋" w:eastAsia="仿宋" w:cs="仿宋"/>
          <w:sz w:val="28"/>
          <w:szCs w:val="28"/>
          <w:lang w:eastAsia="zh-CN"/>
        </w:rPr>
        <w:t>监督部门及见证方</w:t>
      </w:r>
      <w:r>
        <w:rPr>
          <w:rFonts w:hint="eastAsia" w:ascii="仿宋" w:hAnsi="仿宋" w:eastAsia="仿宋" w:cs="仿宋"/>
          <w:sz w:val="28"/>
          <w:szCs w:val="28"/>
        </w:rPr>
        <w:t>各执</w:t>
      </w:r>
      <w:r>
        <w:rPr>
          <w:rFonts w:hint="eastAsia" w:ascii="仿宋" w:hAnsi="仿宋" w:eastAsia="仿宋" w:cs="仿宋"/>
          <w:sz w:val="28"/>
          <w:szCs w:val="28"/>
          <w:lang w:eastAsia="zh-CN"/>
        </w:rPr>
        <w:t>一</w:t>
      </w:r>
      <w:r>
        <w:rPr>
          <w:rFonts w:hint="eastAsia" w:ascii="仿宋" w:hAnsi="仿宋" w:eastAsia="仿宋" w:cs="仿宋"/>
          <w:sz w:val="28"/>
          <w:szCs w:val="28"/>
        </w:rPr>
        <w:t>份。</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11．</w:t>
      </w:r>
      <w:r>
        <w:rPr>
          <w:rFonts w:hint="eastAsia" w:ascii="仿宋" w:hAnsi="仿宋" w:eastAsia="仿宋" w:cs="仿宋"/>
          <w:sz w:val="28"/>
          <w:szCs w:val="28"/>
          <w:lang w:val="en-US" w:eastAsia="zh-CN"/>
        </w:rPr>
        <w:t>2</w:t>
      </w:r>
      <w:r>
        <w:rPr>
          <w:rFonts w:hint="eastAsia" w:ascii="仿宋" w:hAnsi="仿宋" w:eastAsia="仿宋" w:cs="仿宋"/>
          <w:sz w:val="28"/>
          <w:szCs w:val="28"/>
        </w:rPr>
        <w:t>本合同签订后，甲乙双方认为需要修改时，经双方协商一致后，可签订补充协议作为本合同的补充。</w:t>
      </w:r>
    </w:p>
    <w:p>
      <w:pPr>
        <w:spacing w:line="360" w:lineRule="auto"/>
        <w:ind w:firstLine="630" w:firstLineChars="225"/>
        <w:rPr>
          <w:rFonts w:hint="eastAsia" w:ascii="仿宋" w:hAnsi="仿宋" w:eastAsia="仿宋" w:cs="仿宋"/>
          <w:sz w:val="28"/>
          <w:szCs w:val="28"/>
        </w:rPr>
      </w:pPr>
      <w:r>
        <w:rPr>
          <w:rFonts w:hint="eastAsia" w:ascii="仿宋" w:hAnsi="仿宋" w:eastAsia="仿宋" w:cs="仿宋"/>
          <w:sz w:val="28"/>
          <w:szCs w:val="28"/>
        </w:rPr>
        <w:t>11．</w:t>
      </w:r>
      <w:r>
        <w:rPr>
          <w:rFonts w:hint="eastAsia" w:ascii="仿宋" w:hAnsi="仿宋" w:eastAsia="仿宋" w:cs="仿宋"/>
          <w:sz w:val="28"/>
          <w:szCs w:val="28"/>
          <w:lang w:val="en-US" w:eastAsia="zh-CN"/>
        </w:rPr>
        <w:t>3</w:t>
      </w:r>
      <w:r>
        <w:rPr>
          <w:rFonts w:hint="eastAsia" w:ascii="仿宋" w:hAnsi="仿宋" w:eastAsia="仿宋" w:cs="仿宋"/>
          <w:sz w:val="28"/>
          <w:szCs w:val="28"/>
        </w:rPr>
        <w:t>本工程的合同文件包括下列附件：招标文件（包括招标补充文件）；投标文件（包括投标补充文件）；中标通知书；询标及合同履行中双方就有关问题协商达成的纪或补充协议；工程和技术文件（包括施工图纸、会议纪要、变更联系单、签证单等其他技术资料、工程结算资料）。所有附件与合同正本具有同等法律效力。但合同签订之前产生的附件与合同正本有矛盾之处以合同正本为准。</w:t>
      </w:r>
    </w:p>
    <w:p>
      <w:pPr>
        <w:adjustRightInd w:val="0"/>
        <w:snapToGrid w:val="0"/>
        <w:spacing w:line="360" w:lineRule="auto"/>
        <w:ind w:firstLine="645"/>
        <w:rPr>
          <w:rFonts w:hint="eastAsia" w:ascii="仿宋" w:hAnsi="仿宋" w:eastAsia="仿宋" w:cs="仿宋"/>
          <w:b/>
          <w:sz w:val="28"/>
          <w:szCs w:val="28"/>
        </w:rPr>
      </w:pPr>
      <w:r>
        <w:rPr>
          <w:rFonts w:hint="eastAsia" w:ascii="仿宋" w:hAnsi="仿宋" w:eastAsia="仿宋" w:cs="仿宋"/>
          <w:b/>
          <w:sz w:val="28"/>
          <w:szCs w:val="28"/>
          <w:lang w:val="en-US" w:eastAsia="zh-CN"/>
        </w:rPr>
        <w:t>12</w:t>
      </w:r>
      <w:r>
        <w:rPr>
          <w:rFonts w:hint="eastAsia" w:ascii="仿宋" w:hAnsi="仿宋" w:eastAsia="仿宋" w:cs="仿宋"/>
          <w:b/>
          <w:sz w:val="28"/>
          <w:szCs w:val="28"/>
        </w:rPr>
        <w:t>、合同组成</w:t>
      </w:r>
    </w:p>
    <w:p>
      <w:pPr>
        <w:adjustRightInd w:val="0"/>
        <w:snapToGrid w:val="0"/>
        <w:spacing w:line="360" w:lineRule="auto"/>
        <w:ind w:firstLine="645"/>
        <w:rPr>
          <w:rFonts w:hint="eastAsia" w:ascii="仿宋" w:hAnsi="仿宋" w:eastAsia="仿宋" w:cs="仿宋"/>
          <w:sz w:val="28"/>
          <w:szCs w:val="28"/>
        </w:rPr>
      </w:pPr>
      <w:r>
        <w:rPr>
          <w:rFonts w:hint="eastAsia" w:ascii="仿宋" w:hAnsi="仿宋" w:eastAsia="仿宋" w:cs="仿宋"/>
          <w:sz w:val="28"/>
          <w:szCs w:val="28"/>
        </w:rPr>
        <w:t>1.中标通知书</w:t>
      </w:r>
    </w:p>
    <w:p>
      <w:pPr>
        <w:adjustRightInd w:val="0"/>
        <w:snapToGrid w:val="0"/>
        <w:spacing w:line="360" w:lineRule="auto"/>
        <w:ind w:firstLine="645"/>
        <w:rPr>
          <w:rFonts w:hint="eastAsia" w:ascii="仿宋" w:hAnsi="仿宋" w:eastAsia="仿宋" w:cs="仿宋"/>
          <w:sz w:val="28"/>
          <w:szCs w:val="28"/>
        </w:rPr>
      </w:pPr>
      <w:r>
        <w:rPr>
          <w:rFonts w:hint="eastAsia" w:ascii="仿宋" w:hAnsi="仿宋" w:eastAsia="仿宋" w:cs="仿宋"/>
          <w:sz w:val="28"/>
          <w:szCs w:val="28"/>
        </w:rPr>
        <w:t>2.合同文件</w:t>
      </w:r>
    </w:p>
    <w:p>
      <w:pPr>
        <w:adjustRightInd w:val="0"/>
        <w:snapToGrid w:val="0"/>
        <w:spacing w:line="360" w:lineRule="auto"/>
        <w:ind w:firstLine="645"/>
        <w:rPr>
          <w:rFonts w:hint="eastAsia" w:ascii="仿宋" w:hAnsi="仿宋" w:eastAsia="仿宋" w:cs="仿宋"/>
          <w:sz w:val="28"/>
          <w:szCs w:val="28"/>
        </w:rPr>
      </w:pPr>
      <w:r>
        <w:rPr>
          <w:rFonts w:hint="eastAsia" w:ascii="仿宋" w:hAnsi="仿宋" w:eastAsia="仿宋" w:cs="仿宋"/>
          <w:sz w:val="28"/>
          <w:szCs w:val="28"/>
        </w:rPr>
        <w:t>3.国家相关规范及标准</w:t>
      </w:r>
    </w:p>
    <w:p>
      <w:pPr>
        <w:adjustRightInd w:val="0"/>
        <w:snapToGrid w:val="0"/>
        <w:spacing w:line="360" w:lineRule="auto"/>
        <w:ind w:firstLine="645"/>
        <w:rPr>
          <w:rFonts w:hint="eastAsia" w:ascii="仿宋" w:hAnsi="仿宋" w:eastAsia="仿宋" w:cs="仿宋"/>
          <w:sz w:val="28"/>
          <w:szCs w:val="28"/>
        </w:rPr>
      </w:pPr>
      <w:r>
        <w:rPr>
          <w:rFonts w:hint="eastAsia" w:ascii="仿宋" w:hAnsi="仿宋" w:eastAsia="仿宋" w:cs="仿宋"/>
          <w:sz w:val="28"/>
          <w:szCs w:val="28"/>
        </w:rPr>
        <w:t>4.供货产品技术规格及参数表</w:t>
      </w:r>
    </w:p>
    <w:p>
      <w:pPr>
        <w:adjustRightInd w:val="0"/>
        <w:snapToGrid w:val="0"/>
        <w:spacing w:line="360" w:lineRule="auto"/>
        <w:ind w:firstLine="645"/>
        <w:rPr>
          <w:rFonts w:hint="eastAsia" w:ascii="仿宋" w:hAnsi="仿宋" w:eastAsia="仿宋" w:cs="仿宋"/>
          <w:sz w:val="28"/>
          <w:szCs w:val="28"/>
        </w:rPr>
      </w:pPr>
      <w:r>
        <w:rPr>
          <w:rFonts w:hint="eastAsia" w:ascii="仿宋" w:hAnsi="仿宋" w:eastAsia="仿宋" w:cs="仿宋"/>
          <w:sz w:val="28"/>
          <w:szCs w:val="28"/>
        </w:rPr>
        <w:t>5.招标文件</w:t>
      </w:r>
    </w:p>
    <w:p>
      <w:pPr>
        <w:adjustRightInd w:val="0"/>
        <w:snapToGrid w:val="0"/>
        <w:spacing w:line="360" w:lineRule="auto"/>
        <w:ind w:firstLine="645"/>
        <w:rPr>
          <w:rFonts w:hint="eastAsia" w:ascii="仿宋" w:hAnsi="仿宋" w:eastAsia="仿宋" w:cs="仿宋"/>
          <w:sz w:val="28"/>
          <w:szCs w:val="28"/>
        </w:rPr>
      </w:pPr>
      <w:r>
        <w:rPr>
          <w:rFonts w:hint="eastAsia" w:ascii="仿宋" w:hAnsi="仿宋" w:eastAsia="仿宋" w:cs="仿宋"/>
          <w:sz w:val="28"/>
          <w:szCs w:val="28"/>
        </w:rPr>
        <w:t>6.投标文件</w:t>
      </w:r>
    </w:p>
    <w:p>
      <w:pPr>
        <w:widowControl/>
        <w:autoSpaceDE w:val="0"/>
        <w:autoSpaceDN w:val="0"/>
        <w:snapToGrid w:val="0"/>
        <w:spacing w:line="360" w:lineRule="auto"/>
        <w:ind w:right="893" w:firstLine="551" w:firstLineChars="196"/>
        <w:textAlignment w:val="bottom"/>
        <w:rPr>
          <w:rFonts w:hint="eastAsia" w:ascii="仿宋" w:hAnsi="仿宋" w:eastAsia="仿宋" w:cs="仿宋"/>
          <w:b/>
          <w:kern w:val="0"/>
          <w:sz w:val="28"/>
          <w:szCs w:val="28"/>
        </w:rPr>
      </w:pPr>
      <w:r>
        <w:rPr>
          <w:rFonts w:hint="eastAsia" w:ascii="仿宋" w:hAnsi="仿宋" w:eastAsia="仿宋" w:cs="仿宋"/>
          <w:b/>
          <w:kern w:val="0"/>
          <w:sz w:val="28"/>
          <w:szCs w:val="28"/>
          <w:lang w:val="en-US" w:eastAsia="zh-CN"/>
        </w:rPr>
        <w:t>13</w:t>
      </w:r>
      <w:r>
        <w:rPr>
          <w:rFonts w:hint="eastAsia" w:ascii="仿宋" w:hAnsi="仿宋" w:eastAsia="仿宋" w:cs="仿宋"/>
          <w:b/>
          <w:kern w:val="0"/>
          <w:sz w:val="28"/>
          <w:szCs w:val="28"/>
        </w:rPr>
        <w:t>、合同生效及其它</w:t>
      </w:r>
    </w:p>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2"/>
        <w:gridCol w:w="3537"/>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2" w:type="dxa"/>
            <w:noWrap w:val="0"/>
            <w:vAlign w:val="center"/>
          </w:tcPr>
          <w:p>
            <w:pPr>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甲  方</w:t>
            </w:r>
          </w:p>
        </w:tc>
        <w:tc>
          <w:tcPr>
            <w:tcW w:w="3537" w:type="dxa"/>
            <w:noWrap w:val="0"/>
            <w:vAlign w:val="center"/>
          </w:tcPr>
          <w:p>
            <w:pPr>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乙  方</w:t>
            </w:r>
          </w:p>
        </w:tc>
        <w:tc>
          <w:tcPr>
            <w:tcW w:w="3260" w:type="dxa"/>
            <w:noWrap w:val="0"/>
            <w:vAlign w:val="center"/>
          </w:tcPr>
          <w:p>
            <w:pPr>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见证方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2" w:type="dxa"/>
            <w:noWrap w:val="0"/>
            <w:vAlign w:val="center"/>
          </w:tcPr>
          <w:p>
            <w:pPr>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采购人名称</w:t>
            </w:r>
          </w:p>
          <w:p>
            <w:pPr>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（盖章）</w:t>
            </w:r>
          </w:p>
        </w:tc>
        <w:tc>
          <w:tcPr>
            <w:tcW w:w="3537" w:type="dxa"/>
            <w:noWrap w:val="0"/>
            <w:vAlign w:val="center"/>
          </w:tcPr>
          <w:p>
            <w:pPr>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中标供应商全称</w:t>
            </w:r>
          </w:p>
          <w:p>
            <w:pPr>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（盖章）</w:t>
            </w:r>
          </w:p>
        </w:tc>
        <w:tc>
          <w:tcPr>
            <w:tcW w:w="3260" w:type="dxa"/>
            <w:noWrap w:val="0"/>
            <w:vAlign w:val="center"/>
          </w:tcPr>
          <w:p>
            <w:pPr>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吴起县政府采购中心</w:t>
            </w:r>
          </w:p>
          <w:p>
            <w:pPr>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2"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邮编：</w:t>
            </w:r>
          </w:p>
        </w:tc>
        <w:tc>
          <w:tcPr>
            <w:tcW w:w="3537"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邮编：</w:t>
            </w:r>
          </w:p>
        </w:tc>
        <w:tc>
          <w:tcPr>
            <w:tcW w:w="3260"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2"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被授权代表：（签字）</w:t>
            </w:r>
          </w:p>
          <w:p>
            <w:pPr>
              <w:snapToGrid w:val="0"/>
              <w:spacing w:line="360" w:lineRule="auto"/>
              <w:rPr>
                <w:rFonts w:hint="eastAsia" w:ascii="仿宋" w:hAnsi="仿宋" w:eastAsia="仿宋" w:cs="仿宋"/>
                <w:sz w:val="28"/>
                <w:szCs w:val="28"/>
              </w:rPr>
            </w:pPr>
          </w:p>
        </w:tc>
        <w:tc>
          <w:tcPr>
            <w:tcW w:w="3537"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被授权代表：（签字）</w:t>
            </w:r>
          </w:p>
        </w:tc>
        <w:tc>
          <w:tcPr>
            <w:tcW w:w="3260"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经办人：（签字）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2"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电话：</w:t>
            </w:r>
          </w:p>
        </w:tc>
        <w:tc>
          <w:tcPr>
            <w:tcW w:w="3537"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电话：</w:t>
            </w:r>
          </w:p>
        </w:tc>
        <w:tc>
          <w:tcPr>
            <w:tcW w:w="3260"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2" w:type="dxa"/>
            <w:noWrap w:val="0"/>
            <w:vAlign w:val="top"/>
          </w:tcPr>
          <w:p>
            <w:pPr>
              <w:snapToGrid w:val="0"/>
              <w:spacing w:line="360" w:lineRule="auto"/>
              <w:rPr>
                <w:rFonts w:hint="eastAsia" w:ascii="仿宋" w:hAnsi="仿宋" w:eastAsia="仿宋" w:cs="仿宋"/>
                <w:sz w:val="28"/>
                <w:szCs w:val="28"/>
              </w:rPr>
            </w:pPr>
          </w:p>
        </w:tc>
        <w:tc>
          <w:tcPr>
            <w:tcW w:w="3537"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开户银行：</w:t>
            </w:r>
          </w:p>
        </w:tc>
        <w:tc>
          <w:tcPr>
            <w:tcW w:w="3260" w:type="dxa"/>
            <w:noWrap w:val="0"/>
            <w:vAlign w:val="top"/>
          </w:tcPr>
          <w:p>
            <w:pPr>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2" w:type="dxa"/>
            <w:noWrap w:val="0"/>
            <w:vAlign w:val="top"/>
          </w:tcPr>
          <w:p>
            <w:pPr>
              <w:snapToGrid w:val="0"/>
              <w:spacing w:line="360" w:lineRule="auto"/>
              <w:rPr>
                <w:rFonts w:hint="eastAsia" w:ascii="仿宋" w:hAnsi="仿宋" w:eastAsia="仿宋" w:cs="仿宋"/>
                <w:sz w:val="28"/>
                <w:szCs w:val="28"/>
              </w:rPr>
            </w:pPr>
          </w:p>
        </w:tc>
        <w:tc>
          <w:tcPr>
            <w:tcW w:w="3537"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帐号：</w:t>
            </w:r>
          </w:p>
        </w:tc>
        <w:tc>
          <w:tcPr>
            <w:tcW w:w="3260" w:type="dxa"/>
            <w:noWrap w:val="0"/>
            <w:vAlign w:val="top"/>
          </w:tcPr>
          <w:p>
            <w:pPr>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92"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日期：   年   月   日</w:t>
            </w:r>
          </w:p>
        </w:tc>
        <w:tc>
          <w:tcPr>
            <w:tcW w:w="3537"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日期：   年   月   日</w:t>
            </w:r>
          </w:p>
        </w:tc>
        <w:tc>
          <w:tcPr>
            <w:tcW w:w="3260" w:type="dxa"/>
            <w:noWrap w:val="0"/>
            <w:vAlign w:val="top"/>
          </w:tcPr>
          <w:p>
            <w:pPr>
              <w:snapToGrid w:val="0"/>
              <w:spacing w:line="360" w:lineRule="auto"/>
              <w:rPr>
                <w:rFonts w:hint="eastAsia" w:ascii="仿宋" w:hAnsi="仿宋" w:eastAsia="仿宋" w:cs="仿宋"/>
                <w:sz w:val="28"/>
                <w:szCs w:val="28"/>
              </w:rPr>
            </w:pPr>
            <w:r>
              <w:rPr>
                <w:rFonts w:hint="eastAsia" w:ascii="仿宋" w:hAnsi="仿宋" w:eastAsia="仿宋" w:cs="仿宋"/>
                <w:sz w:val="28"/>
                <w:szCs w:val="28"/>
              </w:rPr>
              <w:t>日期：   年   月   日</w:t>
            </w:r>
          </w:p>
        </w:tc>
      </w:tr>
    </w:tbl>
    <w:p>
      <w:pPr>
        <w:pStyle w:val="2"/>
        <w:adjustRightInd w:val="0"/>
        <w:snapToGrid w:val="0"/>
        <w:spacing w:line="360" w:lineRule="auto"/>
        <w:ind w:firstLine="482"/>
        <w:jc w:val="left"/>
        <w:rPr>
          <w:rFonts w:hint="eastAsia" w:ascii="仿宋" w:hAnsi="仿宋" w:eastAsia="仿宋" w:cs="仿宋"/>
          <w:b/>
          <w:bCs/>
          <w:color w:val="000000"/>
          <w:sz w:val="24"/>
        </w:rPr>
      </w:pPr>
    </w:p>
    <w:p>
      <w:pPr>
        <w:adjustRightInd w:val="0"/>
        <w:snapToGrid w:val="0"/>
        <w:spacing w:line="360" w:lineRule="auto"/>
        <w:jc w:val="center"/>
        <w:outlineLvl w:val="9"/>
        <w:rPr>
          <w:rFonts w:hint="eastAsia" w:ascii="仿宋" w:hAnsi="仿宋" w:eastAsia="仿宋" w:cs="仿宋"/>
          <w:b/>
          <w:sz w:val="32"/>
          <w:szCs w:val="32"/>
        </w:rPr>
        <w:sectPr>
          <w:pgSz w:w="11907" w:h="16840"/>
          <w:pgMar w:top="1440" w:right="1474" w:bottom="1440" w:left="1474" w:header="851" w:footer="992" w:gutter="0"/>
          <w:pgNumType w:fmt="decimal"/>
          <w:cols w:space="720" w:num="1"/>
          <w:docGrid w:linePitch="312" w:charSpace="0"/>
        </w:sectPr>
      </w:pPr>
      <w:bookmarkStart w:id="491" w:name="_Toc517259946"/>
    </w:p>
    <w:p>
      <w:pPr>
        <w:spacing w:line="360" w:lineRule="auto"/>
        <w:jc w:val="center"/>
        <w:outlineLvl w:val="0"/>
        <w:rPr>
          <w:rFonts w:hint="eastAsia" w:ascii="仿宋" w:hAnsi="仿宋" w:eastAsia="仿宋" w:cs="仿宋"/>
          <w:b/>
          <w:sz w:val="32"/>
          <w:szCs w:val="32"/>
        </w:rPr>
      </w:pPr>
      <w:bookmarkStart w:id="492" w:name="_Toc18330"/>
      <w:r>
        <w:rPr>
          <w:rFonts w:hint="eastAsia" w:ascii="仿宋" w:hAnsi="仿宋" w:eastAsia="仿宋" w:cs="仿宋"/>
          <w:b/>
          <w:sz w:val="32"/>
          <w:szCs w:val="32"/>
        </w:rPr>
        <w:t>第</w:t>
      </w:r>
      <w:r>
        <w:rPr>
          <w:rFonts w:hint="eastAsia" w:ascii="仿宋" w:hAnsi="仿宋" w:eastAsia="仿宋" w:cs="仿宋"/>
          <w:b/>
          <w:sz w:val="32"/>
          <w:szCs w:val="32"/>
          <w:lang w:eastAsia="zh-CN"/>
        </w:rPr>
        <w:t>七</w:t>
      </w:r>
      <w:r>
        <w:rPr>
          <w:rFonts w:hint="eastAsia" w:ascii="仿宋" w:hAnsi="仿宋" w:eastAsia="仿宋" w:cs="仿宋"/>
          <w:b/>
          <w:sz w:val="32"/>
          <w:szCs w:val="32"/>
        </w:rPr>
        <w:t>章  工程期限</w:t>
      </w:r>
      <w:bookmarkEnd w:id="492"/>
    </w:p>
    <w:p>
      <w:pPr>
        <w:spacing w:line="360" w:lineRule="auto"/>
        <w:ind w:firstLine="562" w:firstLineChars="200"/>
        <w:rPr>
          <w:rFonts w:hint="eastAsia" w:ascii="仿宋" w:hAnsi="仿宋" w:eastAsia="仿宋" w:cs="仿宋"/>
          <w:b/>
          <w:sz w:val="28"/>
          <w:szCs w:val="28"/>
        </w:rPr>
      </w:pPr>
      <w:bookmarkStart w:id="493" w:name="_Toc409627371"/>
      <w:r>
        <w:rPr>
          <w:rFonts w:hint="eastAsia" w:ascii="仿宋" w:hAnsi="仿宋" w:eastAsia="仿宋" w:cs="仿宋"/>
          <w:b/>
          <w:sz w:val="28"/>
          <w:szCs w:val="28"/>
          <w:lang w:val="en-US" w:eastAsia="zh-CN"/>
        </w:rPr>
        <w:t>1</w:t>
      </w:r>
      <w:r>
        <w:rPr>
          <w:rFonts w:hint="eastAsia" w:ascii="仿宋" w:hAnsi="仿宋" w:eastAsia="仿宋" w:cs="仿宋"/>
          <w:b/>
          <w:sz w:val="28"/>
          <w:szCs w:val="28"/>
        </w:rPr>
        <w:t>、工期</w:t>
      </w:r>
      <w:bookmarkEnd w:id="493"/>
    </w:p>
    <w:p>
      <w:pPr>
        <w:spacing w:line="360" w:lineRule="auto"/>
        <w:ind w:firstLine="560" w:firstLineChars="200"/>
        <w:rPr>
          <w:rFonts w:hint="eastAsia" w:ascii="仿宋" w:hAnsi="仿宋" w:eastAsia="仿宋" w:cs="仿宋"/>
          <w:sz w:val="28"/>
          <w:szCs w:val="28"/>
        </w:rPr>
      </w:pPr>
      <w:bookmarkStart w:id="494" w:name="_Toc409627372"/>
      <w:r>
        <w:rPr>
          <w:rFonts w:hint="eastAsia" w:ascii="仿宋" w:hAnsi="仿宋" w:eastAsia="仿宋" w:cs="仿宋"/>
          <w:sz w:val="28"/>
          <w:szCs w:val="28"/>
          <w:lang w:val="en-US" w:eastAsia="zh-CN"/>
        </w:rPr>
        <w:t>1</w:t>
      </w:r>
      <w:r>
        <w:rPr>
          <w:rFonts w:hint="eastAsia" w:ascii="仿宋" w:hAnsi="仿宋" w:eastAsia="仿宋" w:cs="仿宋"/>
          <w:sz w:val="28"/>
          <w:szCs w:val="28"/>
        </w:rPr>
        <w:t>.1合同签订并接到采购人通知后</w:t>
      </w:r>
      <w:r>
        <w:rPr>
          <w:rFonts w:hint="eastAsia" w:ascii="仿宋" w:hAnsi="仿宋" w:eastAsia="仿宋" w:cs="仿宋"/>
          <w:sz w:val="28"/>
          <w:szCs w:val="28"/>
          <w:lang w:val="en-US" w:eastAsia="zh-CN"/>
        </w:rPr>
        <w:t>1年</w:t>
      </w:r>
      <w:r>
        <w:rPr>
          <w:rFonts w:hint="eastAsia" w:ascii="仿宋" w:hAnsi="仿宋" w:eastAsia="仿宋" w:cs="仿宋"/>
          <w:sz w:val="28"/>
          <w:szCs w:val="28"/>
        </w:rPr>
        <w:t>内完成。</w:t>
      </w:r>
    </w:p>
    <w:p>
      <w:pPr>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.2 交工地点</w:t>
      </w:r>
      <w:bookmarkEnd w:id="494"/>
      <w:r>
        <w:rPr>
          <w:rFonts w:hint="eastAsia" w:ascii="仿宋" w:hAnsi="仿宋" w:eastAsia="仿宋" w:cs="仿宋"/>
          <w:sz w:val="28"/>
          <w:szCs w:val="28"/>
        </w:rPr>
        <w:t>：</w:t>
      </w:r>
      <w:r>
        <w:rPr>
          <w:rFonts w:hint="eastAsia" w:ascii="仿宋" w:hAnsi="仿宋" w:eastAsia="仿宋" w:cs="仿宋"/>
          <w:bCs/>
          <w:sz w:val="28"/>
          <w:szCs w:val="28"/>
          <w:lang w:eastAsia="zh-CN"/>
        </w:rPr>
        <w:t>吴起县林业局指定地点</w:t>
      </w:r>
    </w:p>
    <w:p>
      <w:pPr>
        <w:spacing w:line="360" w:lineRule="auto"/>
        <w:ind w:firstLine="560" w:firstLineChars="200"/>
        <w:rPr>
          <w:rFonts w:hint="eastAsia" w:ascii="仿宋" w:hAnsi="仿宋" w:eastAsia="仿宋" w:cs="仿宋"/>
          <w:sz w:val="28"/>
          <w:szCs w:val="28"/>
        </w:rPr>
      </w:pPr>
      <w:bookmarkStart w:id="495" w:name="_Toc409627373"/>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.3 </w:t>
      </w:r>
      <w:bookmarkEnd w:id="495"/>
      <w:r>
        <w:rPr>
          <w:rFonts w:hint="eastAsia" w:ascii="仿宋" w:hAnsi="仿宋" w:eastAsia="仿宋" w:cs="仿宋"/>
          <w:sz w:val="28"/>
          <w:szCs w:val="28"/>
        </w:rPr>
        <w:t>成果验收</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工程、货物和服务期满或完成成果后，采购人应对工程、货物和服务的成果进行详细而全面的检验。采购人有权限根据检验结果要求中标人立即更换或者提出索赔要求。检验合格后，由采购人和有关部门组成的验收小组签署验收报告，作为付款凭据之一。</w:t>
      </w:r>
    </w:p>
    <w:p>
      <w:pPr>
        <w:spacing w:line="360" w:lineRule="auto"/>
        <w:ind w:firstLine="560" w:firstLineChars="200"/>
        <w:rPr>
          <w:rFonts w:hint="eastAsia" w:ascii="仿宋" w:hAnsi="仿宋" w:eastAsia="仿宋" w:cs="仿宋"/>
          <w:sz w:val="28"/>
          <w:szCs w:val="28"/>
        </w:rPr>
      </w:pPr>
      <w:bookmarkStart w:id="496" w:name="_Toc409627374"/>
      <w:r>
        <w:rPr>
          <w:rFonts w:hint="eastAsia" w:ascii="仿宋" w:hAnsi="仿宋" w:eastAsia="仿宋" w:cs="仿宋"/>
          <w:sz w:val="28"/>
          <w:szCs w:val="28"/>
          <w:lang w:val="en-US" w:eastAsia="zh-CN"/>
        </w:rPr>
        <w:t>1</w:t>
      </w:r>
      <w:r>
        <w:rPr>
          <w:rFonts w:hint="eastAsia" w:ascii="仿宋" w:hAnsi="仿宋" w:eastAsia="仿宋" w:cs="仿宋"/>
          <w:sz w:val="28"/>
          <w:szCs w:val="28"/>
        </w:rPr>
        <w:t>.4 质量保证期</w:t>
      </w:r>
      <w:bookmarkEnd w:id="496"/>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4.1国家主管部门或者行业标准对服务本身有更高要求的，从其规定并在合同中约定，中标人可提</w:t>
      </w:r>
      <w:r>
        <w:rPr>
          <w:rFonts w:hint="eastAsia" w:ascii="仿宋" w:hAnsi="仿宋" w:eastAsia="仿宋" w:cs="仿宋"/>
          <w:sz w:val="28"/>
          <w:szCs w:val="28"/>
          <w:lang w:eastAsia="zh-CN"/>
        </w:rPr>
        <w:t>供</w:t>
      </w:r>
      <w:r>
        <w:rPr>
          <w:rFonts w:hint="eastAsia" w:ascii="仿宋" w:hAnsi="仿宋" w:eastAsia="仿宋" w:cs="仿宋"/>
          <w:sz w:val="28"/>
          <w:szCs w:val="28"/>
        </w:rPr>
        <w:t>更长的质保期。</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4.2质量保证期内，如果证实服务成果是有缺陷的，包括潜在的缺陷或者使用不符合要求的等，中标人应立即免费补植或者更换，保证达到合同规定的服务要求。如果中标人在收到通知后5天内未能免费补植或者弥补缺陷，采购人可自行采取必要的补救措施，但风险和费用由中标人承担，采购人同时保留通过法律途径进行索赔的权利。</w:t>
      </w:r>
    </w:p>
    <w:p>
      <w:pPr>
        <w:spacing w:line="360" w:lineRule="auto"/>
        <w:ind w:firstLine="560" w:firstLineChars="200"/>
        <w:rPr>
          <w:rFonts w:hint="eastAsia" w:ascii="仿宋" w:hAnsi="仿宋" w:eastAsia="仿宋" w:cs="仿宋"/>
          <w:sz w:val="28"/>
          <w:szCs w:val="28"/>
        </w:rPr>
      </w:pPr>
      <w:bookmarkStart w:id="497" w:name="_Toc409627375"/>
      <w:r>
        <w:rPr>
          <w:rFonts w:hint="eastAsia" w:ascii="仿宋" w:hAnsi="仿宋" w:eastAsia="仿宋" w:cs="仿宋"/>
          <w:sz w:val="28"/>
          <w:szCs w:val="28"/>
          <w:lang w:val="en-US" w:eastAsia="zh-CN"/>
        </w:rPr>
        <w:t>1</w:t>
      </w:r>
      <w:r>
        <w:rPr>
          <w:rFonts w:hint="eastAsia" w:ascii="仿宋" w:hAnsi="仿宋" w:eastAsia="仿宋" w:cs="仿宋"/>
          <w:sz w:val="28"/>
          <w:szCs w:val="28"/>
        </w:rPr>
        <w:t>.5 后续服务</w:t>
      </w:r>
      <w:bookmarkEnd w:id="497"/>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根据采购人需求完成合同内约定的相关服务。</w:t>
      </w:r>
    </w:p>
    <w:p>
      <w:pPr>
        <w:spacing w:line="360" w:lineRule="auto"/>
        <w:ind w:firstLine="480" w:firstLineChars="200"/>
        <w:rPr>
          <w:rFonts w:hint="eastAsia" w:ascii="宋体" w:hAnsi="宋体"/>
          <w:sz w:val="24"/>
        </w:rPr>
      </w:pPr>
    </w:p>
    <w:p>
      <w:pPr>
        <w:spacing w:line="360" w:lineRule="auto"/>
        <w:ind w:firstLine="440" w:firstLineChars="200"/>
        <w:jc w:val="center"/>
        <w:rPr>
          <w:rFonts w:hint="eastAsia" w:ascii="宋体" w:hAnsi="宋体"/>
          <w:bCs/>
          <w:sz w:val="22"/>
          <w:szCs w:val="22"/>
        </w:rPr>
      </w:pPr>
    </w:p>
    <w:p>
      <w:pPr>
        <w:spacing w:line="360" w:lineRule="auto"/>
        <w:rPr>
          <w:rFonts w:hint="eastAsia" w:ascii="宋体" w:hAnsi="宋体"/>
          <w:b/>
          <w:sz w:val="32"/>
          <w:szCs w:val="32"/>
        </w:rPr>
      </w:pPr>
    </w:p>
    <w:p>
      <w:pPr>
        <w:spacing w:line="360" w:lineRule="auto"/>
        <w:rPr>
          <w:rFonts w:hint="eastAsia" w:ascii="宋体" w:hAnsi="宋体"/>
          <w:b/>
          <w:sz w:val="32"/>
          <w:szCs w:val="32"/>
        </w:rPr>
      </w:pPr>
    </w:p>
    <w:p>
      <w:pPr>
        <w:spacing w:line="360" w:lineRule="auto"/>
        <w:rPr>
          <w:rFonts w:hint="eastAsia" w:ascii="宋体" w:hAnsi="宋体"/>
          <w:b/>
          <w:sz w:val="32"/>
          <w:szCs w:val="32"/>
        </w:rPr>
      </w:pPr>
    </w:p>
    <w:p>
      <w:pPr>
        <w:adjustRightInd w:val="0"/>
        <w:snapToGrid w:val="0"/>
        <w:spacing w:line="360" w:lineRule="auto"/>
        <w:jc w:val="both"/>
        <w:outlineLvl w:val="9"/>
        <w:rPr>
          <w:rFonts w:hint="eastAsia" w:ascii="仿宋" w:hAnsi="仿宋" w:eastAsia="仿宋" w:cs="仿宋"/>
          <w:b/>
          <w:sz w:val="32"/>
          <w:szCs w:val="32"/>
        </w:rPr>
      </w:pPr>
    </w:p>
    <w:p>
      <w:pPr>
        <w:adjustRightInd w:val="0"/>
        <w:snapToGrid w:val="0"/>
        <w:spacing w:line="360" w:lineRule="auto"/>
        <w:jc w:val="center"/>
        <w:outlineLvl w:val="0"/>
        <w:rPr>
          <w:rFonts w:hint="eastAsia" w:ascii="仿宋" w:hAnsi="仿宋" w:eastAsia="仿宋" w:cs="仿宋"/>
          <w:b/>
          <w:sz w:val="32"/>
          <w:szCs w:val="32"/>
        </w:rPr>
      </w:pPr>
      <w:bookmarkStart w:id="498" w:name="_Toc30606"/>
      <w:bookmarkStart w:id="499" w:name="_Toc521572150"/>
      <w:r>
        <w:rPr>
          <w:rFonts w:hint="eastAsia" w:ascii="仿宋" w:hAnsi="仿宋" w:eastAsia="仿宋" w:cs="仿宋"/>
          <w:b/>
          <w:sz w:val="32"/>
          <w:szCs w:val="32"/>
        </w:rPr>
        <w:t>第</w:t>
      </w:r>
      <w:r>
        <w:rPr>
          <w:rFonts w:hint="eastAsia" w:ascii="仿宋" w:hAnsi="仿宋" w:eastAsia="仿宋" w:cs="仿宋"/>
          <w:b/>
          <w:sz w:val="32"/>
          <w:szCs w:val="32"/>
          <w:lang w:eastAsia="zh-CN"/>
        </w:rPr>
        <w:t>八</w:t>
      </w:r>
      <w:r>
        <w:rPr>
          <w:rFonts w:hint="eastAsia" w:ascii="仿宋" w:hAnsi="仿宋" w:eastAsia="仿宋" w:cs="仿宋"/>
          <w:b/>
          <w:sz w:val="32"/>
          <w:szCs w:val="32"/>
        </w:rPr>
        <w:t>章    投标文件格式及构成</w:t>
      </w:r>
      <w:bookmarkEnd w:id="491"/>
      <w:bookmarkEnd w:id="498"/>
      <w:bookmarkEnd w:id="499"/>
    </w:p>
    <w:p>
      <w:pPr>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1.投标文件格式由本章目录所列第1部分至第6部分构成。</w:t>
      </w:r>
    </w:p>
    <w:p>
      <w:pPr>
        <w:snapToGri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2.投标人应认真审阅本章内容，并参照格式要求编制投标文件。凡未按格式要求编制投标文件而造成的不利后果，由投标人自行承担。</w:t>
      </w:r>
    </w:p>
    <w:p>
      <w:pPr>
        <w:snapToGrid w:val="0"/>
        <w:spacing w:line="360" w:lineRule="auto"/>
        <w:ind w:firstLine="560" w:firstLineChars="200"/>
        <w:rPr>
          <w:rFonts w:hint="eastAsia" w:ascii="仿宋" w:hAnsi="仿宋" w:eastAsia="仿宋" w:cs="仿宋"/>
          <w:bCs/>
          <w:sz w:val="28"/>
          <w:szCs w:val="28"/>
        </w:rPr>
      </w:pPr>
      <w:r>
        <w:rPr>
          <w:rFonts w:hint="eastAsia" w:ascii="仿宋" w:hAnsi="仿宋" w:eastAsia="仿宋" w:cs="仿宋"/>
          <w:sz w:val="28"/>
          <w:szCs w:val="28"/>
        </w:rPr>
        <w:t>3.投标文件的正、副本必须按照要求编制，</w:t>
      </w:r>
      <w:r>
        <w:rPr>
          <w:rFonts w:hint="eastAsia" w:ascii="仿宋" w:hAnsi="仿宋" w:eastAsia="仿宋" w:cs="仿宋"/>
          <w:bCs/>
          <w:sz w:val="28"/>
          <w:szCs w:val="28"/>
        </w:rPr>
        <w:t>凡正、副本不相符的，以正本为准。</w:t>
      </w:r>
    </w:p>
    <w:p>
      <w:pPr>
        <w:snapToGrid w:val="0"/>
        <w:spacing w:line="360" w:lineRule="auto"/>
        <w:ind w:firstLine="420" w:firstLineChars="200"/>
        <w:rPr>
          <w:rFonts w:hint="eastAsia" w:ascii="仿宋" w:hAnsi="仿宋" w:eastAsia="仿宋" w:cs="仿宋"/>
          <w:bCs/>
          <w:szCs w:val="32"/>
        </w:rPr>
      </w:pPr>
    </w:p>
    <w:p>
      <w:pPr>
        <w:snapToGrid w:val="0"/>
        <w:spacing w:line="360" w:lineRule="auto"/>
        <w:ind w:firstLine="420" w:firstLineChars="200"/>
        <w:rPr>
          <w:rFonts w:hint="eastAsia" w:ascii="仿宋" w:hAnsi="仿宋" w:eastAsia="仿宋" w:cs="仿宋"/>
          <w:bCs/>
          <w:szCs w:val="32"/>
        </w:rPr>
        <w:sectPr>
          <w:headerReference r:id="rId11" w:type="even"/>
          <w:footerReference r:id="rId12" w:type="even"/>
          <w:pgSz w:w="11906" w:h="16838"/>
          <w:pgMar w:top="1418" w:right="1418" w:bottom="1418" w:left="1418" w:header="851" w:footer="992" w:gutter="0"/>
          <w:pgNumType w:fmt="decimal"/>
          <w:cols w:space="720" w:num="1"/>
          <w:docGrid w:linePitch="435" w:charSpace="0"/>
        </w:sectPr>
      </w:pPr>
    </w:p>
    <w:p>
      <w:pPr>
        <w:snapToGrid w:val="0"/>
        <w:spacing w:line="360" w:lineRule="auto"/>
        <w:ind w:firstLine="420" w:firstLineChars="200"/>
        <w:rPr>
          <w:rFonts w:hint="eastAsia" w:ascii="仿宋" w:hAnsi="仿宋" w:eastAsia="仿宋" w:cs="仿宋"/>
          <w:bCs/>
          <w:szCs w:val="32"/>
        </w:rPr>
      </w:pPr>
    </w:p>
    <w:p>
      <w:pPr>
        <w:autoSpaceDE w:val="0"/>
        <w:autoSpaceDN w:val="0"/>
        <w:adjustRightInd w:val="0"/>
        <w:snapToGrid w:val="0"/>
        <w:spacing w:line="360" w:lineRule="auto"/>
        <w:rPr>
          <w:rFonts w:hint="eastAsia" w:ascii="仿宋" w:hAnsi="仿宋" w:eastAsia="仿宋" w:cs="仿宋"/>
          <w:b/>
          <w:bCs/>
          <w:sz w:val="32"/>
          <w:szCs w:val="32"/>
          <w:lang w:val="zh-CN"/>
        </w:rPr>
      </w:pPr>
      <w:r>
        <w:rPr>
          <w:rFonts w:hint="eastAsia" w:ascii="仿宋" w:hAnsi="仿宋" w:eastAsia="仿宋" w:cs="仿宋"/>
          <w:b/>
          <w:bCs/>
          <w:sz w:val="32"/>
          <w:szCs w:val="32"/>
          <w:lang w:val="zh-CN"/>
        </w:rPr>
        <w:t>正本/副本</w:t>
      </w:r>
    </w:p>
    <w:p>
      <w:pPr>
        <w:autoSpaceDE w:val="0"/>
        <w:autoSpaceDN w:val="0"/>
        <w:adjustRightInd w:val="0"/>
        <w:snapToGrid w:val="0"/>
        <w:spacing w:line="360" w:lineRule="auto"/>
        <w:rPr>
          <w:rFonts w:hint="eastAsia" w:ascii="仿宋" w:hAnsi="仿宋" w:eastAsia="仿宋" w:cs="仿宋"/>
          <w:b/>
          <w:bCs/>
          <w:sz w:val="32"/>
          <w:szCs w:val="32"/>
          <w:lang w:val="zh-CN"/>
        </w:rPr>
      </w:pPr>
      <w:r>
        <w:rPr>
          <w:rFonts w:hint="eastAsia" w:ascii="仿宋" w:hAnsi="仿宋" w:eastAsia="仿宋" w:cs="仿宋"/>
          <w:b/>
          <w:bCs/>
          <w:sz w:val="32"/>
          <w:szCs w:val="32"/>
          <w:lang w:val="zh-CN"/>
        </w:rPr>
        <w:t>采购项目编号：</w:t>
      </w:r>
    </w:p>
    <w:p>
      <w:pPr>
        <w:tabs>
          <w:tab w:val="left" w:pos="5670"/>
        </w:tabs>
        <w:autoSpaceDE w:val="0"/>
        <w:autoSpaceDN w:val="0"/>
        <w:adjustRightInd w:val="0"/>
        <w:snapToGrid w:val="0"/>
        <w:spacing w:line="360" w:lineRule="auto"/>
        <w:rPr>
          <w:rFonts w:hint="eastAsia" w:ascii="仿宋" w:hAnsi="仿宋" w:eastAsia="仿宋" w:cs="仿宋"/>
          <w:sz w:val="19"/>
          <w:szCs w:val="19"/>
        </w:rPr>
      </w:pPr>
    </w:p>
    <w:p>
      <w:pPr>
        <w:tabs>
          <w:tab w:val="left" w:pos="5670"/>
        </w:tabs>
        <w:autoSpaceDE w:val="0"/>
        <w:autoSpaceDN w:val="0"/>
        <w:adjustRightInd w:val="0"/>
        <w:snapToGrid w:val="0"/>
        <w:spacing w:line="360" w:lineRule="auto"/>
        <w:rPr>
          <w:rFonts w:hint="eastAsia" w:ascii="仿宋" w:hAnsi="仿宋" w:eastAsia="仿宋" w:cs="仿宋"/>
          <w:sz w:val="19"/>
          <w:szCs w:val="19"/>
        </w:rPr>
      </w:pPr>
    </w:p>
    <w:p>
      <w:pPr>
        <w:tabs>
          <w:tab w:val="left" w:pos="5670"/>
        </w:tabs>
        <w:autoSpaceDE w:val="0"/>
        <w:autoSpaceDN w:val="0"/>
        <w:adjustRightInd w:val="0"/>
        <w:snapToGrid w:val="0"/>
        <w:spacing w:line="360" w:lineRule="auto"/>
        <w:rPr>
          <w:rFonts w:hint="eastAsia" w:ascii="仿宋" w:hAnsi="仿宋" w:eastAsia="仿宋" w:cs="仿宋"/>
          <w:sz w:val="19"/>
          <w:szCs w:val="19"/>
        </w:rPr>
      </w:pPr>
    </w:p>
    <w:p>
      <w:pPr>
        <w:tabs>
          <w:tab w:val="left" w:pos="5670"/>
        </w:tabs>
        <w:autoSpaceDE w:val="0"/>
        <w:autoSpaceDN w:val="0"/>
        <w:adjustRightInd w:val="0"/>
        <w:snapToGrid w:val="0"/>
        <w:spacing w:line="360" w:lineRule="auto"/>
        <w:rPr>
          <w:rFonts w:hint="eastAsia" w:ascii="仿宋" w:hAnsi="仿宋" w:eastAsia="仿宋" w:cs="仿宋"/>
          <w:sz w:val="19"/>
          <w:szCs w:val="19"/>
        </w:rPr>
      </w:pPr>
    </w:p>
    <w:p>
      <w:pPr>
        <w:tabs>
          <w:tab w:val="left" w:pos="5670"/>
        </w:tabs>
        <w:autoSpaceDE w:val="0"/>
        <w:autoSpaceDN w:val="0"/>
        <w:adjustRightInd w:val="0"/>
        <w:snapToGrid w:val="0"/>
        <w:spacing w:line="360" w:lineRule="auto"/>
        <w:jc w:val="center"/>
        <w:rPr>
          <w:rFonts w:hint="eastAsia" w:ascii="仿宋" w:hAnsi="仿宋" w:eastAsia="仿宋" w:cs="仿宋"/>
          <w:sz w:val="19"/>
          <w:szCs w:val="19"/>
        </w:rPr>
      </w:pPr>
    </w:p>
    <w:p>
      <w:pPr>
        <w:tabs>
          <w:tab w:val="left" w:pos="5670"/>
        </w:tabs>
        <w:autoSpaceDE w:val="0"/>
        <w:autoSpaceDN w:val="0"/>
        <w:adjustRightInd w:val="0"/>
        <w:snapToGrid w:val="0"/>
        <w:spacing w:line="360" w:lineRule="auto"/>
        <w:jc w:val="center"/>
        <w:rPr>
          <w:rFonts w:hint="eastAsia" w:ascii="仿宋" w:hAnsi="仿宋" w:eastAsia="仿宋" w:cs="仿宋"/>
          <w:b/>
          <w:bCs/>
          <w:sz w:val="36"/>
          <w:szCs w:val="36"/>
          <w:lang w:val="zh-CN"/>
        </w:rPr>
      </w:pPr>
      <w:r>
        <w:rPr>
          <w:rFonts w:hint="eastAsia" w:ascii="仿宋" w:hAnsi="仿宋" w:eastAsia="仿宋" w:cs="仿宋"/>
          <w:b/>
          <w:bCs/>
          <w:sz w:val="36"/>
          <w:szCs w:val="36"/>
          <w:lang w:val="zh-CN"/>
        </w:rPr>
        <w:t>吴起县林业局2021年铁边城国有林场退化林修复采购项目</w:t>
      </w:r>
    </w:p>
    <w:p>
      <w:pPr>
        <w:tabs>
          <w:tab w:val="left" w:pos="5670"/>
        </w:tabs>
        <w:autoSpaceDE w:val="0"/>
        <w:autoSpaceDN w:val="0"/>
        <w:adjustRightInd w:val="0"/>
        <w:snapToGrid w:val="0"/>
        <w:spacing w:line="360" w:lineRule="auto"/>
        <w:jc w:val="center"/>
        <w:rPr>
          <w:rFonts w:hint="eastAsia" w:ascii="仿宋" w:hAnsi="仿宋" w:eastAsia="仿宋" w:cs="仿宋"/>
          <w:b/>
          <w:bCs/>
          <w:sz w:val="52"/>
          <w:szCs w:val="52"/>
          <w:lang w:val="zh-CN"/>
        </w:rPr>
      </w:pPr>
    </w:p>
    <w:p>
      <w:pPr>
        <w:tabs>
          <w:tab w:val="left" w:pos="5670"/>
        </w:tabs>
        <w:autoSpaceDE w:val="0"/>
        <w:autoSpaceDN w:val="0"/>
        <w:adjustRightInd w:val="0"/>
        <w:snapToGrid w:val="0"/>
        <w:spacing w:line="360" w:lineRule="auto"/>
        <w:jc w:val="center"/>
        <w:rPr>
          <w:rFonts w:hint="eastAsia" w:ascii="仿宋" w:hAnsi="仿宋" w:eastAsia="仿宋" w:cs="仿宋"/>
          <w:b/>
          <w:bCs/>
          <w:sz w:val="52"/>
          <w:szCs w:val="52"/>
          <w:lang w:val="zh-CN"/>
        </w:rPr>
      </w:pPr>
      <w:r>
        <w:rPr>
          <w:rFonts w:hint="eastAsia" w:ascii="仿宋" w:hAnsi="仿宋" w:eastAsia="仿宋" w:cs="仿宋"/>
          <w:b/>
          <w:bCs/>
          <w:sz w:val="52"/>
          <w:szCs w:val="52"/>
          <w:lang w:val="zh-CN"/>
        </w:rPr>
        <w:t>投 标 文 件</w:t>
      </w:r>
    </w:p>
    <w:p>
      <w:pPr>
        <w:autoSpaceDE w:val="0"/>
        <w:autoSpaceDN w:val="0"/>
        <w:adjustRightInd w:val="0"/>
        <w:snapToGrid w:val="0"/>
        <w:spacing w:line="360" w:lineRule="auto"/>
        <w:rPr>
          <w:rFonts w:hint="eastAsia" w:ascii="仿宋" w:hAnsi="仿宋" w:eastAsia="仿宋" w:cs="仿宋"/>
          <w:sz w:val="30"/>
          <w:szCs w:val="30"/>
        </w:rPr>
      </w:pPr>
    </w:p>
    <w:p>
      <w:pPr>
        <w:autoSpaceDE w:val="0"/>
        <w:autoSpaceDN w:val="0"/>
        <w:adjustRightInd w:val="0"/>
        <w:snapToGrid w:val="0"/>
        <w:spacing w:line="360" w:lineRule="auto"/>
        <w:rPr>
          <w:rFonts w:hint="eastAsia" w:ascii="仿宋" w:hAnsi="仿宋" w:eastAsia="仿宋" w:cs="仿宋"/>
          <w:sz w:val="30"/>
          <w:szCs w:val="30"/>
        </w:rPr>
      </w:pPr>
    </w:p>
    <w:p>
      <w:pPr>
        <w:autoSpaceDE w:val="0"/>
        <w:autoSpaceDN w:val="0"/>
        <w:adjustRightInd w:val="0"/>
        <w:snapToGrid w:val="0"/>
        <w:spacing w:line="360" w:lineRule="auto"/>
        <w:rPr>
          <w:rFonts w:hint="eastAsia" w:ascii="仿宋" w:hAnsi="仿宋" w:eastAsia="仿宋" w:cs="仿宋"/>
          <w:sz w:val="30"/>
          <w:szCs w:val="30"/>
        </w:rPr>
      </w:pPr>
    </w:p>
    <w:p>
      <w:pPr>
        <w:autoSpaceDE w:val="0"/>
        <w:autoSpaceDN w:val="0"/>
        <w:adjustRightInd w:val="0"/>
        <w:snapToGrid w:val="0"/>
        <w:spacing w:line="360" w:lineRule="auto"/>
        <w:rPr>
          <w:rFonts w:hint="eastAsia" w:ascii="仿宋" w:hAnsi="仿宋" w:eastAsia="仿宋" w:cs="仿宋"/>
          <w:sz w:val="30"/>
          <w:szCs w:val="30"/>
        </w:rPr>
      </w:pPr>
    </w:p>
    <w:p>
      <w:pPr>
        <w:autoSpaceDE w:val="0"/>
        <w:autoSpaceDN w:val="0"/>
        <w:adjustRightInd w:val="0"/>
        <w:snapToGrid w:val="0"/>
        <w:spacing w:line="360" w:lineRule="auto"/>
        <w:rPr>
          <w:rFonts w:hint="eastAsia" w:ascii="仿宋" w:hAnsi="仿宋" w:eastAsia="仿宋" w:cs="仿宋"/>
          <w:sz w:val="30"/>
          <w:szCs w:val="30"/>
        </w:rPr>
      </w:pPr>
    </w:p>
    <w:p>
      <w:pPr>
        <w:autoSpaceDE w:val="0"/>
        <w:autoSpaceDN w:val="0"/>
        <w:adjustRightInd w:val="0"/>
        <w:snapToGrid w:val="0"/>
        <w:spacing w:line="360" w:lineRule="auto"/>
        <w:rPr>
          <w:rFonts w:hint="eastAsia" w:ascii="仿宋" w:hAnsi="仿宋" w:eastAsia="仿宋" w:cs="仿宋"/>
          <w:sz w:val="30"/>
          <w:szCs w:val="30"/>
        </w:rPr>
      </w:pPr>
    </w:p>
    <w:p>
      <w:pPr>
        <w:autoSpaceDE w:val="0"/>
        <w:autoSpaceDN w:val="0"/>
        <w:adjustRightInd w:val="0"/>
        <w:snapToGrid w:val="0"/>
        <w:spacing w:line="360" w:lineRule="auto"/>
        <w:rPr>
          <w:rFonts w:ascii="仿宋" w:hAnsi="仿宋" w:eastAsia="仿宋" w:cs="仿宋"/>
          <w:b/>
          <w:bCs/>
          <w:sz w:val="32"/>
          <w:szCs w:val="32"/>
          <w:u w:val="single"/>
        </w:rPr>
      </w:pPr>
      <w:r>
        <w:rPr>
          <w:rFonts w:hint="eastAsia" w:ascii="仿宋" w:hAnsi="仿宋" w:eastAsia="仿宋" w:cs="仿宋"/>
          <w:sz w:val="30"/>
          <w:szCs w:val="30"/>
        </w:rPr>
        <w:t xml:space="preserve">      </w:t>
      </w:r>
      <w:r>
        <w:rPr>
          <w:rFonts w:hint="eastAsia" w:ascii="仿宋" w:hAnsi="仿宋" w:eastAsia="仿宋" w:cs="仿宋"/>
          <w:b/>
          <w:bCs/>
          <w:sz w:val="32"/>
          <w:szCs w:val="32"/>
          <w:lang w:val="zh-CN"/>
        </w:rPr>
        <w:t>投</w:t>
      </w:r>
      <w:r>
        <w:rPr>
          <w:rFonts w:hint="eastAsia" w:ascii="仿宋" w:hAnsi="仿宋" w:eastAsia="仿宋" w:cs="仿宋"/>
          <w:b/>
          <w:bCs/>
          <w:sz w:val="32"/>
          <w:szCs w:val="32"/>
        </w:rPr>
        <w:t xml:space="preserve"> </w:t>
      </w:r>
      <w:r>
        <w:rPr>
          <w:rFonts w:hint="eastAsia" w:ascii="仿宋" w:hAnsi="仿宋" w:eastAsia="仿宋" w:cs="仿宋"/>
          <w:b/>
          <w:bCs/>
          <w:sz w:val="32"/>
          <w:szCs w:val="32"/>
          <w:lang w:val="zh-CN"/>
        </w:rPr>
        <w:t>标</w:t>
      </w:r>
      <w:r>
        <w:rPr>
          <w:rFonts w:hint="eastAsia" w:ascii="仿宋" w:hAnsi="仿宋" w:eastAsia="仿宋" w:cs="仿宋"/>
          <w:b/>
          <w:bCs/>
          <w:sz w:val="32"/>
          <w:szCs w:val="32"/>
        </w:rPr>
        <w:t xml:space="preserve"> </w:t>
      </w:r>
      <w:r>
        <w:rPr>
          <w:rFonts w:hint="eastAsia" w:ascii="仿宋" w:hAnsi="仿宋" w:eastAsia="仿宋" w:cs="仿宋"/>
          <w:b/>
          <w:bCs/>
          <w:sz w:val="32"/>
          <w:szCs w:val="32"/>
          <w:lang w:val="zh-CN"/>
        </w:rPr>
        <w:t>人：</w:t>
      </w:r>
      <w:r>
        <w:rPr>
          <w:rFonts w:hint="eastAsia" w:ascii="仿宋" w:hAnsi="仿宋" w:eastAsia="仿宋" w:cs="仿宋"/>
          <w:b/>
          <w:bCs/>
          <w:sz w:val="32"/>
          <w:szCs w:val="32"/>
          <w:u w:val="single"/>
        </w:rPr>
        <w:t xml:space="preserve">                              （公章） </w:t>
      </w:r>
    </w:p>
    <w:p>
      <w:pPr>
        <w:ind w:firstLine="964" w:firstLineChars="300"/>
        <w:outlineLvl w:val="9"/>
        <w:rPr>
          <w:rFonts w:ascii="仿宋" w:hAnsi="仿宋" w:eastAsia="仿宋" w:cs="仿宋"/>
        </w:rPr>
      </w:pPr>
      <w:r>
        <w:rPr>
          <w:rFonts w:hint="eastAsia" w:ascii="仿宋" w:hAnsi="仿宋" w:eastAsia="仿宋" w:cs="仿宋"/>
          <w:b/>
          <w:bCs/>
          <w:sz w:val="32"/>
          <w:szCs w:val="32"/>
          <w:lang w:val="zh-CN"/>
        </w:rPr>
        <w:t>法定代表人或授权代表：</w:t>
      </w:r>
      <w:r>
        <w:rPr>
          <w:rFonts w:hint="eastAsia" w:ascii="仿宋" w:hAnsi="仿宋" w:eastAsia="仿宋" w:cs="仿宋"/>
          <w:b/>
          <w:bCs/>
          <w:sz w:val="32"/>
          <w:szCs w:val="32"/>
          <w:u w:val="single"/>
          <w:lang w:val="zh-CN"/>
        </w:rPr>
        <w:t xml:space="preserve">            （签字并盖章）</w:t>
      </w:r>
      <w:r>
        <w:rPr>
          <w:rFonts w:hint="eastAsia" w:ascii="仿宋" w:hAnsi="仿宋" w:eastAsia="仿宋" w:cs="仿宋"/>
          <w:b/>
          <w:bCs/>
          <w:sz w:val="32"/>
          <w:szCs w:val="32"/>
          <w:lang w:val="zh-CN"/>
        </w:rPr>
        <w:t xml:space="preserve"> </w:t>
      </w:r>
    </w:p>
    <w:p>
      <w:pPr>
        <w:autoSpaceDE w:val="0"/>
        <w:autoSpaceDN w:val="0"/>
        <w:adjustRightInd w:val="0"/>
        <w:snapToGrid w:val="0"/>
        <w:spacing w:line="360" w:lineRule="auto"/>
        <w:ind w:firstLine="964" w:firstLineChars="300"/>
        <w:rPr>
          <w:rFonts w:ascii="仿宋" w:hAnsi="仿宋" w:eastAsia="仿宋" w:cs="仿宋"/>
          <w:b/>
          <w:bCs/>
          <w:sz w:val="32"/>
          <w:szCs w:val="32"/>
        </w:rPr>
      </w:pPr>
      <w:r>
        <w:rPr>
          <w:rFonts w:hint="eastAsia" w:ascii="仿宋" w:hAnsi="仿宋" w:eastAsia="仿宋" w:cs="仿宋"/>
          <w:b/>
          <w:bCs/>
          <w:sz w:val="32"/>
          <w:szCs w:val="32"/>
          <w:lang w:val="zh-CN"/>
        </w:rPr>
        <w:t>时</w:t>
      </w:r>
      <w:r>
        <w:rPr>
          <w:rFonts w:hint="eastAsia" w:ascii="仿宋" w:hAnsi="仿宋" w:eastAsia="仿宋" w:cs="仿宋"/>
          <w:b/>
          <w:bCs/>
          <w:sz w:val="32"/>
          <w:szCs w:val="32"/>
        </w:rPr>
        <w:t xml:space="preserve">     </w:t>
      </w:r>
      <w:r>
        <w:rPr>
          <w:rFonts w:hint="eastAsia" w:ascii="仿宋" w:hAnsi="仿宋" w:eastAsia="仿宋" w:cs="仿宋"/>
          <w:b/>
          <w:bCs/>
          <w:sz w:val="32"/>
          <w:szCs w:val="32"/>
          <w:lang w:val="zh-CN"/>
        </w:rPr>
        <w:t>间：</w:t>
      </w:r>
      <w:r>
        <w:rPr>
          <w:rFonts w:hint="eastAsia" w:ascii="仿宋" w:hAnsi="仿宋" w:eastAsia="仿宋" w:cs="仿宋"/>
          <w:b/>
          <w:bCs/>
          <w:sz w:val="32"/>
          <w:szCs w:val="32"/>
          <w:u w:val="single"/>
        </w:rPr>
        <w:t xml:space="preserve">                                      </w:t>
      </w:r>
    </w:p>
    <w:p>
      <w:pPr>
        <w:autoSpaceDE w:val="0"/>
        <w:autoSpaceDN w:val="0"/>
        <w:adjustRightInd w:val="0"/>
        <w:snapToGrid w:val="0"/>
        <w:spacing w:line="360" w:lineRule="auto"/>
        <w:ind w:firstLine="2570" w:firstLineChars="800"/>
        <w:rPr>
          <w:rFonts w:hint="eastAsia" w:ascii="仿宋" w:hAnsi="仿宋" w:eastAsia="仿宋" w:cs="仿宋"/>
          <w:b/>
          <w:bCs/>
          <w:sz w:val="32"/>
          <w:szCs w:val="32"/>
        </w:rPr>
      </w:pPr>
    </w:p>
    <w:p>
      <w:pPr>
        <w:snapToGrid w:val="0"/>
        <w:spacing w:line="360" w:lineRule="auto"/>
        <w:jc w:val="center"/>
        <w:rPr>
          <w:rFonts w:hint="eastAsia" w:ascii="仿宋" w:hAnsi="仿宋" w:eastAsia="仿宋" w:cs="仿宋"/>
          <w:b/>
          <w:bCs/>
          <w:sz w:val="48"/>
          <w:szCs w:val="48"/>
        </w:rPr>
      </w:pPr>
    </w:p>
    <w:p>
      <w:pPr>
        <w:snapToGrid w:val="0"/>
        <w:spacing w:line="360" w:lineRule="auto"/>
        <w:jc w:val="center"/>
        <w:rPr>
          <w:rFonts w:hint="eastAsia" w:ascii="仿宋" w:hAnsi="仿宋" w:eastAsia="仿宋" w:cs="仿宋"/>
          <w:b/>
          <w:bCs/>
          <w:sz w:val="48"/>
          <w:szCs w:val="48"/>
        </w:rPr>
      </w:pPr>
    </w:p>
    <w:p>
      <w:pPr>
        <w:snapToGrid w:val="0"/>
        <w:spacing w:line="360" w:lineRule="auto"/>
        <w:jc w:val="center"/>
        <w:rPr>
          <w:rFonts w:hint="eastAsia" w:ascii="仿宋" w:hAnsi="仿宋" w:eastAsia="仿宋" w:cs="仿宋"/>
          <w:sz w:val="32"/>
          <w:szCs w:val="32"/>
        </w:rPr>
      </w:pPr>
    </w:p>
    <w:p>
      <w:pPr>
        <w:snapToGrid w:val="0"/>
        <w:spacing w:line="360" w:lineRule="auto"/>
        <w:jc w:val="center"/>
        <w:rPr>
          <w:rFonts w:hint="eastAsia" w:ascii="仿宋" w:hAnsi="仿宋" w:eastAsia="仿宋" w:cs="仿宋"/>
          <w:sz w:val="32"/>
          <w:szCs w:val="32"/>
        </w:rPr>
      </w:pPr>
    </w:p>
    <w:p>
      <w:pPr>
        <w:snapToGrid w:val="0"/>
        <w:spacing w:line="360" w:lineRule="auto"/>
        <w:jc w:val="center"/>
        <w:rPr>
          <w:rFonts w:hint="eastAsia" w:ascii="仿宋" w:hAnsi="仿宋" w:eastAsia="仿宋" w:cs="仿宋"/>
          <w:sz w:val="32"/>
          <w:szCs w:val="32"/>
        </w:rPr>
      </w:pPr>
      <w:r>
        <w:rPr>
          <w:rFonts w:hint="eastAsia" w:ascii="仿宋" w:hAnsi="仿宋" w:eastAsia="仿宋" w:cs="仿宋"/>
          <w:sz w:val="32"/>
          <w:szCs w:val="32"/>
        </w:rPr>
        <w:t>目    录</w:t>
      </w:r>
    </w:p>
    <w:p>
      <w:pPr>
        <w:snapToGrid w:val="0"/>
        <w:spacing w:line="360" w:lineRule="auto"/>
        <w:ind w:firstLine="640" w:firstLineChars="200"/>
        <w:rPr>
          <w:rFonts w:hint="eastAsia" w:ascii="仿宋" w:hAnsi="仿宋" w:eastAsia="仿宋" w:cs="仿宋"/>
          <w:sz w:val="32"/>
          <w:szCs w:val="32"/>
        </w:rPr>
      </w:pPr>
    </w:p>
    <w:p>
      <w:pPr>
        <w:snapToGrid w:val="0"/>
        <w:spacing w:line="360" w:lineRule="auto"/>
        <w:ind w:firstLine="960" w:firstLineChars="300"/>
        <w:rPr>
          <w:rFonts w:hint="eastAsia" w:ascii="仿宋" w:hAnsi="仿宋" w:eastAsia="仿宋" w:cs="仿宋"/>
          <w:sz w:val="32"/>
          <w:szCs w:val="32"/>
        </w:rPr>
      </w:pPr>
      <w:r>
        <w:rPr>
          <w:rFonts w:hint="eastAsia" w:ascii="仿宋" w:hAnsi="仿宋" w:eastAsia="仿宋" w:cs="仿宋"/>
          <w:sz w:val="32"/>
          <w:szCs w:val="32"/>
        </w:rPr>
        <w:t>第1部分  法定代表人证明书与投标授权书</w:t>
      </w:r>
    </w:p>
    <w:p>
      <w:pPr>
        <w:snapToGrid w:val="0"/>
        <w:spacing w:line="360" w:lineRule="auto"/>
        <w:ind w:firstLine="640" w:firstLineChars="200"/>
        <w:rPr>
          <w:rFonts w:hint="eastAsia" w:ascii="仿宋" w:hAnsi="仿宋" w:eastAsia="仿宋" w:cs="仿宋"/>
          <w:sz w:val="32"/>
          <w:szCs w:val="32"/>
        </w:rPr>
      </w:pPr>
    </w:p>
    <w:p>
      <w:pPr>
        <w:snapToGrid w:val="0"/>
        <w:spacing w:line="360" w:lineRule="auto"/>
        <w:ind w:firstLine="960" w:firstLineChars="300"/>
        <w:rPr>
          <w:rFonts w:hint="eastAsia" w:ascii="仿宋" w:hAnsi="仿宋" w:eastAsia="仿宋" w:cs="仿宋"/>
          <w:sz w:val="32"/>
          <w:szCs w:val="32"/>
        </w:rPr>
      </w:pPr>
      <w:r>
        <w:rPr>
          <w:rFonts w:hint="eastAsia" w:ascii="仿宋" w:hAnsi="仿宋" w:eastAsia="仿宋" w:cs="仿宋"/>
          <w:sz w:val="32"/>
          <w:szCs w:val="32"/>
        </w:rPr>
        <w:t>第2部分  投标函</w:t>
      </w:r>
    </w:p>
    <w:p>
      <w:pPr>
        <w:snapToGrid w:val="0"/>
        <w:spacing w:line="360" w:lineRule="auto"/>
        <w:ind w:firstLine="640" w:firstLineChars="200"/>
        <w:rPr>
          <w:rFonts w:hint="eastAsia" w:ascii="仿宋" w:hAnsi="仿宋" w:eastAsia="仿宋" w:cs="仿宋"/>
          <w:sz w:val="32"/>
          <w:szCs w:val="32"/>
        </w:rPr>
      </w:pPr>
    </w:p>
    <w:p>
      <w:pPr>
        <w:snapToGrid w:val="0"/>
        <w:spacing w:line="360" w:lineRule="auto"/>
        <w:ind w:firstLine="960" w:firstLineChars="300"/>
        <w:rPr>
          <w:rFonts w:hint="eastAsia" w:ascii="仿宋" w:hAnsi="仿宋" w:eastAsia="仿宋" w:cs="仿宋"/>
          <w:sz w:val="32"/>
          <w:szCs w:val="32"/>
        </w:rPr>
      </w:pPr>
      <w:r>
        <w:rPr>
          <w:rFonts w:hint="eastAsia" w:ascii="仿宋" w:hAnsi="仿宋" w:eastAsia="仿宋" w:cs="仿宋"/>
          <w:sz w:val="32"/>
          <w:szCs w:val="32"/>
        </w:rPr>
        <w:t>第3部分  开标一览表</w:t>
      </w:r>
    </w:p>
    <w:p>
      <w:pPr>
        <w:snapToGrid w:val="0"/>
        <w:spacing w:line="360" w:lineRule="auto"/>
        <w:ind w:firstLine="640" w:firstLineChars="200"/>
        <w:rPr>
          <w:rFonts w:hint="eastAsia" w:ascii="仿宋" w:hAnsi="仿宋" w:eastAsia="仿宋" w:cs="仿宋"/>
          <w:sz w:val="32"/>
          <w:szCs w:val="32"/>
        </w:rPr>
      </w:pPr>
    </w:p>
    <w:p>
      <w:pPr>
        <w:snapToGrid w:val="0"/>
        <w:spacing w:line="360" w:lineRule="auto"/>
        <w:ind w:firstLine="960" w:firstLineChars="300"/>
        <w:rPr>
          <w:rFonts w:hint="eastAsia" w:ascii="仿宋" w:hAnsi="仿宋" w:eastAsia="仿宋" w:cs="仿宋"/>
          <w:sz w:val="32"/>
          <w:szCs w:val="32"/>
        </w:rPr>
      </w:pPr>
      <w:r>
        <w:rPr>
          <w:rFonts w:hint="eastAsia" w:ascii="仿宋" w:hAnsi="仿宋" w:eastAsia="仿宋" w:cs="仿宋"/>
          <w:sz w:val="32"/>
          <w:szCs w:val="32"/>
        </w:rPr>
        <w:t xml:space="preserve">第4部分  </w:t>
      </w:r>
      <w:r>
        <w:rPr>
          <w:rFonts w:hint="eastAsia" w:ascii="仿宋" w:hAnsi="仿宋" w:eastAsia="仿宋" w:cs="仿宋"/>
          <w:sz w:val="32"/>
          <w:szCs w:val="32"/>
          <w:lang w:eastAsia="zh-CN"/>
        </w:rPr>
        <w:t>商务</w:t>
      </w:r>
      <w:r>
        <w:rPr>
          <w:rFonts w:hint="eastAsia" w:ascii="仿宋" w:hAnsi="仿宋" w:eastAsia="仿宋" w:cs="仿宋"/>
          <w:sz w:val="32"/>
          <w:szCs w:val="32"/>
        </w:rPr>
        <w:t>投标方案</w:t>
      </w:r>
    </w:p>
    <w:p>
      <w:pPr>
        <w:snapToGrid w:val="0"/>
        <w:spacing w:line="360" w:lineRule="auto"/>
        <w:ind w:firstLine="640" w:firstLineChars="200"/>
        <w:rPr>
          <w:rFonts w:hint="eastAsia" w:ascii="仿宋" w:hAnsi="仿宋" w:eastAsia="仿宋" w:cs="仿宋"/>
          <w:sz w:val="32"/>
          <w:szCs w:val="32"/>
        </w:rPr>
      </w:pPr>
    </w:p>
    <w:p>
      <w:pPr>
        <w:snapToGrid w:val="0"/>
        <w:spacing w:line="360" w:lineRule="auto"/>
        <w:ind w:firstLine="960" w:firstLineChars="300"/>
        <w:rPr>
          <w:rFonts w:hint="eastAsia" w:ascii="仿宋" w:hAnsi="仿宋" w:eastAsia="仿宋" w:cs="仿宋"/>
          <w:sz w:val="32"/>
          <w:szCs w:val="32"/>
        </w:rPr>
      </w:pPr>
      <w:r>
        <w:rPr>
          <w:rFonts w:hint="eastAsia" w:ascii="仿宋" w:hAnsi="仿宋" w:eastAsia="仿宋" w:cs="仿宋"/>
          <w:sz w:val="32"/>
          <w:szCs w:val="32"/>
        </w:rPr>
        <w:t xml:space="preserve">第5部分  </w:t>
      </w:r>
      <w:r>
        <w:rPr>
          <w:rFonts w:hint="eastAsia" w:ascii="仿宋" w:hAnsi="仿宋" w:eastAsia="仿宋" w:cs="仿宋"/>
          <w:sz w:val="32"/>
          <w:szCs w:val="32"/>
          <w:lang w:eastAsia="zh-CN"/>
        </w:rPr>
        <w:t>技术</w:t>
      </w:r>
      <w:r>
        <w:rPr>
          <w:rFonts w:hint="eastAsia" w:ascii="仿宋" w:hAnsi="仿宋" w:eastAsia="仿宋" w:cs="仿宋"/>
          <w:sz w:val="32"/>
          <w:szCs w:val="32"/>
        </w:rPr>
        <w:t>投标方案</w:t>
      </w:r>
    </w:p>
    <w:p>
      <w:pPr>
        <w:snapToGrid w:val="0"/>
        <w:spacing w:line="360" w:lineRule="auto"/>
        <w:ind w:firstLine="640" w:firstLineChars="200"/>
        <w:rPr>
          <w:rFonts w:hint="eastAsia" w:ascii="仿宋" w:hAnsi="仿宋" w:eastAsia="仿宋" w:cs="仿宋"/>
          <w:sz w:val="32"/>
          <w:szCs w:val="32"/>
        </w:rPr>
      </w:pPr>
    </w:p>
    <w:p>
      <w:pPr>
        <w:snapToGrid w:val="0"/>
        <w:spacing w:line="360" w:lineRule="auto"/>
        <w:ind w:firstLine="960" w:firstLineChars="300"/>
        <w:rPr>
          <w:rFonts w:hint="eastAsia" w:ascii="仿宋" w:hAnsi="仿宋" w:eastAsia="仿宋" w:cs="仿宋"/>
          <w:sz w:val="32"/>
          <w:szCs w:val="32"/>
        </w:rPr>
      </w:pPr>
      <w:r>
        <w:rPr>
          <w:rFonts w:hint="eastAsia" w:ascii="仿宋" w:hAnsi="仿宋" w:eastAsia="仿宋" w:cs="仿宋"/>
          <w:sz w:val="32"/>
          <w:szCs w:val="32"/>
        </w:rPr>
        <w:t>第6部分  资格证明文件</w:t>
      </w:r>
    </w:p>
    <w:p>
      <w:pPr>
        <w:snapToGrid w:val="0"/>
        <w:spacing w:line="360" w:lineRule="auto"/>
        <w:ind w:firstLine="640" w:firstLineChars="200"/>
        <w:rPr>
          <w:rFonts w:hint="eastAsia" w:ascii="仿宋" w:hAnsi="仿宋" w:eastAsia="仿宋" w:cs="仿宋"/>
          <w:sz w:val="32"/>
          <w:szCs w:val="32"/>
        </w:rPr>
      </w:pPr>
    </w:p>
    <w:p>
      <w:pPr>
        <w:snapToGrid w:val="0"/>
        <w:spacing w:line="360" w:lineRule="auto"/>
        <w:ind w:firstLine="640" w:firstLineChars="200"/>
        <w:rPr>
          <w:rFonts w:hint="eastAsia" w:ascii="仿宋" w:hAnsi="仿宋" w:eastAsia="仿宋" w:cs="仿宋"/>
          <w:sz w:val="32"/>
          <w:szCs w:val="32"/>
        </w:rPr>
      </w:pPr>
    </w:p>
    <w:p>
      <w:pPr>
        <w:snapToGrid w:val="0"/>
        <w:spacing w:line="360" w:lineRule="auto"/>
        <w:ind w:firstLine="640" w:firstLineChars="200"/>
        <w:rPr>
          <w:rFonts w:hint="eastAsia" w:ascii="仿宋" w:hAnsi="仿宋" w:eastAsia="仿宋" w:cs="仿宋"/>
          <w:sz w:val="32"/>
          <w:szCs w:val="32"/>
        </w:rPr>
      </w:pPr>
    </w:p>
    <w:p>
      <w:pPr>
        <w:snapToGrid w:val="0"/>
        <w:spacing w:line="360" w:lineRule="auto"/>
        <w:ind w:firstLine="640" w:firstLineChars="200"/>
        <w:rPr>
          <w:rFonts w:hint="eastAsia" w:ascii="仿宋" w:hAnsi="仿宋" w:eastAsia="仿宋" w:cs="仿宋"/>
          <w:sz w:val="32"/>
          <w:szCs w:val="32"/>
        </w:rPr>
      </w:pPr>
    </w:p>
    <w:p>
      <w:pPr>
        <w:snapToGrid w:val="0"/>
        <w:spacing w:line="360" w:lineRule="auto"/>
        <w:ind w:firstLine="640" w:firstLineChars="200"/>
        <w:rPr>
          <w:rFonts w:hint="eastAsia" w:ascii="仿宋" w:hAnsi="仿宋" w:eastAsia="仿宋" w:cs="仿宋"/>
          <w:sz w:val="32"/>
          <w:szCs w:val="32"/>
        </w:rPr>
      </w:pPr>
    </w:p>
    <w:p>
      <w:pPr>
        <w:tabs>
          <w:tab w:val="left" w:pos="1260"/>
        </w:tabs>
        <w:snapToGrid w:val="0"/>
        <w:spacing w:line="360" w:lineRule="auto"/>
        <w:jc w:val="center"/>
        <w:rPr>
          <w:rFonts w:hint="eastAsia" w:ascii="仿宋" w:hAnsi="仿宋" w:eastAsia="仿宋" w:cs="仿宋"/>
          <w:b/>
          <w:bCs/>
          <w:sz w:val="32"/>
          <w:szCs w:val="32"/>
        </w:rPr>
      </w:pPr>
    </w:p>
    <w:p>
      <w:pPr>
        <w:tabs>
          <w:tab w:val="left" w:pos="1260"/>
        </w:tabs>
        <w:snapToGrid w:val="0"/>
        <w:spacing w:line="360" w:lineRule="auto"/>
        <w:jc w:val="center"/>
        <w:rPr>
          <w:rFonts w:hint="eastAsia" w:ascii="仿宋" w:hAnsi="仿宋" w:eastAsia="仿宋" w:cs="仿宋"/>
          <w:b/>
          <w:bCs/>
          <w:sz w:val="36"/>
          <w:szCs w:val="44"/>
        </w:rPr>
      </w:pPr>
    </w:p>
    <w:p>
      <w:pPr>
        <w:tabs>
          <w:tab w:val="left" w:pos="1260"/>
        </w:tabs>
        <w:snapToGrid w:val="0"/>
        <w:spacing w:line="360" w:lineRule="auto"/>
        <w:jc w:val="center"/>
        <w:outlineLvl w:val="0"/>
        <w:rPr>
          <w:rFonts w:hint="eastAsia" w:ascii="仿宋" w:hAnsi="仿宋" w:eastAsia="仿宋" w:cs="仿宋"/>
          <w:b/>
          <w:bCs/>
          <w:sz w:val="32"/>
          <w:szCs w:val="32"/>
        </w:rPr>
      </w:pPr>
      <w:bookmarkStart w:id="500" w:name="_Toc10921"/>
    </w:p>
    <w:p>
      <w:pPr>
        <w:tabs>
          <w:tab w:val="left" w:pos="1260"/>
        </w:tabs>
        <w:snapToGrid w:val="0"/>
        <w:spacing w:line="360" w:lineRule="auto"/>
        <w:jc w:val="center"/>
        <w:outlineLvl w:val="0"/>
        <w:rPr>
          <w:rFonts w:hint="eastAsia" w:ascii="仿宋" w:hAnsi="仿宋" w:eastAsia="仿宋" w:cs="仿宋"/>
          <w:b/>
          <w:bCs/>
          <w:sz w:val="32"/>
          <w:szCs w:val="32"/>
        </w:rPr>
      </w:pPr>
      <w:r>
        <w:rPr>
          <w:rFonts w:hint="eastAsia" w:ascii="仿宋" w:hAnsi="仿宋" w:eastAsia="仿宋" w:cs="仿宋"/>
          <w:b/>
          <w:bCs/>
          <w:sz w:val="32"/>
          <w:szCs w:val="32"/>
        </w:rPr>
        <w:t>第1部分  法定代表人证明书与投标授权书</w:t>
      </w:r>
      <w:bookmarkEnd w:id="500"/>
    </w:p>
    <w:p>
      <w:pPr>
        <w:snapToGrid w:val="0"/>
        <w:spacing w:line="360" w:lineRule="auto"/>
        <w:ind w:firstLine="157" w:firstLineChars="49"/>
        <w:jc w:val="center"/>
        <w:rPr>
          <w:rFonts w:hint="eastAsia" w:ascii="仿宋" w:hAnsi="仿宋" w:eastAsia="仿宋" w:cs="仿宋"/>
          <w:b/>
          <w:sz w:val="32"/>
          <w:szCs w:val="32"/>
          <w:u w:val="single"/>
        </w:rPr>
      </w:pPr>
      <w:r>
        <w:rPr>
          <w:rFonts w:hint="eastAsia" w:ascii="仿宋" w:hAnsi="仿宋" w:eastAsia="仿宋" w:cs="仿宋"/>
          <w:b/>
          <w:sz w:val="32"/>
          <w:szCs w:val="32"/>
          <w:u w:val="single"/>
        </w:rPr>
        <w:t>1.1法定代表人证明书</w:t>
      </w:r>
    </w:p>
    <w:p>
      <w:pPr>
        <w:tabs>
          <w:tab w:val="left" w:pos="1155"/>
        </w:tabs>
        <w:snapToGrid w:val="0"/>
        <w:spacing w:line="360" w:lineRule="auto"/>
        <w:rPr>
          <w:rFonts w:hint="eastAsia" w:ascii="仿宋" w:hAnsi="仿宋" w:eastAsia="仿宋" w:cs="仿宋"/>
          <w:sz w:val="10"/>
          <w:szCs w:val="10"/>
        </w:rPr>
      </w:pPr>
    </w:p>
    <w:tbl>
      <w:tblPr>
        <w:tblStyle w:val="1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845"/>
        <w:gridCol w:w="2111"/>
        <w:gridCol w:w="1607"/>
        <w:gridCol w:w="2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118" w:type="dxa"/>
            <w:gridSpan w:val="5"/>
            <w:noWrap w:val="0"/>
            <w:vAlign w:val="center"/>
          </w:tcPr>
          <w:p>
            <w:pPr>
              <w:tabs>
                <w:tab w:val="left" w:pos="1260"/>
              </w:tabs>
              <w:snapToGrid w:val="0"/>
              <w:spacing w:line="360" w:lineRule="auto"/>
              <w:rPr>
                <w:rFonts w:hint="eastAsia" w:ascii="仿宋" w:hAnsi="仿宋" w:eastAsia="仿宋" w:cs="仿宋"/>
                <w:b/>
                <w:bCs/>
                <w:sz w:val="36"/>
                <w:szCs w:val="44"/>
              </w:rPr>
            </w:pPr>
            <w:r>
              <w:rPr>
                <w:rFonts w:hint="eastAsia" w:ascii="仿宋" w:hAnsi="仿宋" w:eastAsia="仿宋" w:cs="仿宋"/>
                <w:sz w:val="32"/>
                <w:szCs w:val="32"/>
              </w:rPr>
              <w:t>致：吴起县政府采购中心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864" w:type="dxa"/>
            <w:vMerge w:val="restart"/>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企</w:t>
            </w:r>
          </w:p>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业</w:t>
            </w:r>
          </w:p>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法</w:t>
            </w:r>
          </w:p>
          <w:p>
            <w:pPr>
              <w:tabs>
                <w:tab w:val="left" w:pos="1260"/>
              </w:tabs>
              <w:snapToGrid w:val="0"/>
              <w:spacing w:line="360" w:lineRule="auto"/>
              <w:jc w:val="center"/>
              <w:rPr>
                <w:rFonts w:hint="eastAsia" w:ascii="仿宋" w:hAnsi="仿宋" w:eastAsia="仿宋" w:cs="仿宋"/>
                <w:b/>
                <w:bCs/>
                <w:sz w:val="36"/>
                <w:szCs w:val="44"/>
              </w:rPr>
            </w:pPr>
            <w:r>
              <w:rPr>
                <w:rFonts w:hint="eastAsia" w:ascii="仿宋" w:hAnsi="仿宋" w:eastAsia="仿宋" w:cs="仿宋"/>
              </w:rPr>
              <w:t>人</w:t>
            </w:r>
          </w:p>
        </w:tc>
        <w:tc>
          <w:tcPr>
            <w:tcW w:w="1845" w:type="dxa"/>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企业名称</w:t>
            </w:r>
          </w:p>
        </w:tc>
        <w:tc>
          <w:tcPr>
            <w:tcW w:w="6409" w:type="dxa"/>
            <w:gridSpan w:val="3"/>
            <w:noWrap w:val="0"/>
            <w:vAlign w:val="center"/>
          </w:tcPr>
          <w:p>
            <w:pPr>
              <w:tabs>
                <w:tab w:val="left" w:pos="1260"/>
              </w:tabs>
              <w:snapToGrid w:val="0"/>
              <w:spacing w:line="360" w:lineRule="auto"/>
              <w:jc w:val="center"/>
              <w:rPr>
                <w:rFonts w:hint="eastAsia" w:ascii="仿宋" w:hAnsi="仿宋" w:eastAsia="仿宋" w:cs="仿宋"/>
                <w:b/>
                <w:bCs/>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864" w:type="dxa"/>
            <w:vMerge w:val="continue"/>
            <w:noWrap w:val="0"/>
            <w:vAlign w:val="center"/>
          </w:tcPr>
          <w:p>
            <w:pPr>
              <w:tabs>
                <w:tab w:val="left" w:pos="1260"/>
              </w:tabs>
              <w:snapToGrid w:val="0"/>
              <w:spacing w:line="360" w:lineRule="auto"/>
              <w:jc w:val="center"/>
              <w:rPr>
                <w:rFonts w:hint="eastAsia" w:ascii="仿宋" w:hAnsi="仿宋" w:eastAsia="仿宋" w:cs="仿宋"/>
                <w:b/>
                <w:bCs/>
                <w:sz w:val="36"/>
                <w:szCs w:val="44"/>
              </w:rPr>
            </w:pPr>
          </w:p>
        </w:tc>
        <w:tc>
          <w:tcPr>
            <w:tcW w:w="1845" w:type="dxa"/>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法定地址</w:t>
            </w:r>
          </w:p>
        </w:tc>
        <w:tc>
          <w:tcPr>
            <w:tcW w:w="6409" w:type="dxa"/>
            <w:gridSpan w:val="3"/>
            <w:noWrap w:val="0"/>
            <w:vAlign w:val="center"/>
          </w:tcPr>
          <w:p>
            <w:pPr>
              <w:tabs>
                <w:tab w:val="left" w:pos="1260"/>
              </w:tabs>
              <w:snapToGrid w:val="0"/>
              <w:spacing w:line="360" w:lineRule="auto"/>
              <w:jc w:val="center"/>
              <w:rPr>
                <w:rFonts w:hint="eastAsia" w:ascii="仿宋" w:hAnsi="仿宋" w:eastAsia="仿宋" w:cs="仿宋"/>
                <w:b/>
                <w:bCs/>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864" w:type="dxa"/>
            <w:vMerge w:val="continue"/>
            <w:noWrap w:val="0"/>
            <w:vAlign w:val="center"/>
          </w:tcPr>
          <w:p>
            <w:pPr>
              <w:tabs>
                <w:tab w:val="left" w:pos="1260"/>
              </w:tabs>
              <w:snapToGrid w:val="0"/>
              <w:spacing w:line="360" w:lineRule="auto"/>
              <w:jc w:val="center"/>
              <w:rPr>
                <w:rFonts w:hint="eastAsia" w:ascii="仿宋" w:hAnsi="仿宋" w:eastAsia="仿宋" w:cs="仿宋"/>
                <w:b/>
                <w:bCs/>
                <w:sz w:val="36"/>
                <w:szCs w:val="44"/>
              </w:rPr>
            </w:pPr>
          </w:p>
        </w:tc>
        <w:tc>
          <w:tcPr>
            <w:tcW w:w="1845" w:type="dxa"/>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邮政编码</w:t>
            </w:r>
          </w:p>
        </w:tc>
        <w:tc>
          <w:tcPr>
            <w:tcW w:w="6409" w:type="dxa"/>
            <w:gridSpan w:val="3"/>
            <w:noWrap w:val="0"/>
            <w:vAlign w:val="center"/>
          </w:tcPr>
          <w:p>
            <w:pPr>
              <w:tabs>
                <w:tab w:val="left" w:pos="1260"/>
              </w:tabs>
              <w:snapToGrid w:val="0"/>
              <w:spacing w:line="360" w:lineRule="auto"/>
              <w:jc w:val="center"/>
              <w:rPr>
                <w:rFonts w:hint="eastAsia" w:ascii="仿宋" w:hAnsi="仿宋" w:eastAsia="仿宋" w:cs="仿宋"/>
                <w:b/>
                <w:bCs/>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trPr>
        <w:tc>
          <w:tcPr>
            <w:tcW w:w="864" w:type="dxa"/>
            <w:vMerge w:val="continue"/>
            <w:noWrap w:val="0"/>
            <w:vAlign w:val="center"/>
          </w:tcPr>
          <w:p>
            <w:pPr>
              <w:tabs>
                <w:tab w:val="left" w:pos="1260"/>
              </w:tabs>
              <w:snapToGrid w:val="0"/>
              <w:spacing w:line="360" w:lineRule="auto"/>
              <w:jc w:val="center"/>
              <w:rPr>
                <w:rFonts w:hint="eastAsia" w:ascii="仿宋" w:hAnsi="仿宋" w:eastAsia="仿宋" w:cs="仿宋"/>
                <w:b/>
                <w:bCs/>
                <w:sz w:val="36"/>
                <w:szCs w:val="44"/>
              </w:rPr>
            </w:pPr>
          </w:p>
        </w:tc>
        <w:tc>
          <w:tcPr>
            <w:tcW w:w="1845" w:type="dxa"/>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网    址</w:t>
            </w:r>
          </w:p>
        </w:tc>
        <w:tc>
          <w:tcPr>
            <w:tcW w:w="6409" w:type="dxa"/>
            <w:gridSpan w:val="3"/>
            <w:noWrap w:val="0"/>
            <w:vAlign w:val="center"/>
          </w:tcPr>
          <w:p>
            <w:pPr>
              <w:tabs>
                <w:tab w:val="left" w:pos="1260"/>
              </w:tabs>
              <w:snapToGrid w:val="0"/>
              <w:spacing w:line="360" w:lineRule="auto"/>
              <w:jc w:val="center"/>
              <w:rPr>
                <w:rFonts w:hint="eastAsia" w:ascii="仿宋" w:hAnsi="仿宋" w:eastAsia="仿宋" w:cs="仿宋"/>
                <w:b/>
                <w:bCs/>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864" w:type="dxa"/>
            <w:vMerge w:val="continue"/>
            <w:noWrap w:val="0"/>
            <w:vAlign w:val="center"/>
          </w:tcPr>
          <w:p>
            <w:pPr>
              <w:tabs>
                <w:tab w:val="left" w:pos="1260"/>
              </w:tabs>
              <w:snapToGrid w:val="0"/>
              <w:spacing w:line="360" w:lineRule="auto"/>
              <w:jc w:val="center"/>
              <w:rPr>
                <w:rFonts w:hint="eastAsia" w:ascii="仿宋" w:hAnsi="仿宋" w:eastAsia="仿宋" w:cs="仿宋"/>
                <w:b/>
                <w:bCs/>
                <w:sz w:val="36"/>
                <w:szCs w:val="44"/>
              </w:rPr>
            </w:pPr>
          </w:p>
        </w:tc>
        <w:tc>
          <w:tcPr>
            <w:tcW w:w="1845" w:type="dxa"/>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登记机关</w:t>
            </w:r>
          </w:p>
        </w:tc>
        <w:tc>
          <w:tcPr>
            <w:tcW w:w="6409" w:type="dxa"/>
            <w:gridSpan w:val="3"/>
            <w:noWrap w:val="0"/>
            <w:vAlign w:val="center"/>
          </w:tcPr>
          <w:p>
            <w:pPr>
              <w:tabs>
                <w:tab w:val="left" w:pos="1260"/>
              </w:tabs>
              <w:snapToGrid w:val="0"/>
              <w:spacing w:line="360" w:lineRule="auto"/>
              <w:jc w:val="center"/>
              <w:rPr>
                <w:rFonts w:hint="eastAsia" w:ascii="仿宋" w:hAnsi="仿宋" w:eastAsia="仿宋" w:cs="仿宋"/>
                <w:b/>
                <w:bCs/>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trPr>
        <w:tc>
          <w:tcPr>
            <w:tcW w:w="864" w:type="dxa"/>
            <w:vMerge w:val="continue"/>
            <w:noWrap w:val="0"/>
            <w:vAlign w:val="center"/>
          </w:tcPr>
          <w:p>
            <w:pPr>
              <w:tabs>
                <w:tab w:val="left" w:pos="1260"/>
              </w:tabs>
              <w:snapToGrid w:val="0"/>
              <w:spacing w:line="360" w:lineRule="auto"/>
              <w:jc w:val="center"/>
              <w:rPr>
                <w:rFonts w:hint="eastAsia" w:ascii="仿宋" w:hAnsi="仿宋" w:eastAsia="仿宋" w:cs="仿宋"/>
                <w:b/>
                <w:bCs/>
                <w:sz w:val="36"/>
                <w:szCs w:val="44"/>
              </w:rPr>
            </w:pPr>
          </w:p>
        </w:tc>
        <w:tc>
          <w:tcPr>
            <w:tcW w:w="1845" w:type="dxa"/>
            <w:noWrap w:val="0"/>
            <w:vAlign w:val="center"/>
          </w:tcPr>
          <w:p>
            <w:pPr>
              <w:tabs>
                <w:tab w:val="left" w:pos="1260"/>
              </w:tabs>
              <w:snapToGrid w:val="0"/>
              <w:spacing w:line="360" w:lineRule="auto"/>
              <w:jc w:val="center"/>
              <w:rPr>
                <w:rFonts w:ascii="仿宋" w:hAnsi="仿宋" w:eastAsia="仿宋" w:cs="仿宋"/>
              </w:rPr>
            </w:pPr>
            <w:r>
              <w:rPr>
                <w:rFonts w:hint="eastAsia" w:ascii="仿宋" w:hAnsi="仿宋" w:eastAsia="仿宋" w:cs="仿宋"/>
              </w:rPr>
              <w:t>统一社会信用代码</w:t>
            </w:r>
          </w:p>
        </w:tc>
        <w:tc>
          <w:tcPr>
            <w:tcW w:w="6409" w:type="dxa"/>
            <w:gridSpan w:val="3"/>
            <w:noWrap w:val="0"/>
            <w:vAlign w:val="center"/>
          </w:tcPr>
          <w:p>
            <w:pPr>
              <w:tabs>
                <w:tab w:val="left" w:pos="1260"/>
              </w:tabs>
              <w:snapToGrid w:val="0"/>
              <w:spacing w:line="360" w:lineRule="auto"/>
              <w:jc w:val="center"/>
              <w:rPr>
                <w:rFonts w:hint="eastAsia" w:ascii="仿宋" w:hAnsi="仿宋" w:eastAsia="仿宋" w:cs="仿宋"/>
                <w:b/>
                <w:bCs/>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864" w:type="dxa"/>
            <w:vMerge w:val="restart"/>
            <w:noWrap w:val="0"/>
            <w:vAlign w:val="center"/>
          </w:tcPr>
          <w:p>
            <w:pPr>
              <w:tabs>
                <w:tab w:val="left" w:pos="1260"/>
              </w:tabs>
              <w:snapToGrid w:val="0"/>
              <w:spacing w:line="360" w:lineRule="auto"/>
              <w:jc w:val="center"/>
              <w:rPr>
                <w:rFonts w:hint="eastAsia" w:ascii="仿宋" w:hAnsi="仿宋" w:eastAsia="仿宋" w:cs="仿宋"/>
                <w:b/>
                <w:bCs/>
                <w:sz w:val="36"/>
                <w:szCs w:val="44"/>
              </w:rPr>
            </w:pPr>
            <w:r>
              <w:rPr>
                <w:rFonts w:hint="eastAsia" w:ascii="仿宋" w:hAnsi="仿宋" w:eastAsia="仿宋" w:cs="仿宋"/>
              </w:rPr>
              <w:t>法定代表人</w:t>
            </w:r>
          </w:p>
        </w:tc>
        <w:tc>
          <w:tcPr>
            <w:tcW w:w="1845" w:type="dxa"/>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姓    名</w:t>
            </w:r>
          </w:p>
        </w:tc>
        <w:tc>
          <w:tcPr>
            <w:tcW w:w="2111" w:type="dxa"/>
            <w:noWrap w:val="0"/>
            <w:vAlign w:val="center"/>
          </w:tcPr>
          <w:p>
            <w:pPr>
              <w:tabs>
                <w:tab w:val="left" w:pos="1260"/>
              </w:tabs>
              <w:snapToGrid w:val="0"/>
              <w:spacing w:line="360" w:lineRule="auto"/>
              <w:jc w:val="center"/>
              <w:rPr>
                <w:rFonts w:hint="eastAsia" w:ascii="仿宋" w:hAnsi="仿宋" w:eastAsia="仿宋" w:cs="仿宋"/>
              </w:rPr>
            </w:pPr>
          </w:p>
        </w:tc>
        <w:tc>
          <w:tcPr>
            <w:tcW w:w="1607" w:type="dxa"/>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性    别</w:t>
            </w:r>
          </w:p>
        </w:tc>
        <w:tc>
          <w:tcPr>
            <w:tcW w:w="2691" w:type="dxa"/>
            <w:noWrap w:val="0"/>
            <w:vAlign w:val="center"/>
          </w:tcPr>
          <w:p>
            <w:pPr>
              <w:tabs>
                <w:tab w:val="left" w:pos="1260"/>
              </w:tabs>
              <w:snapToGrid w:val="0"/>
              <w:spacing w:line="360" w:lineRule="auto"/>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864" w:type="dxa"/>
            <w:vMerge w:val="continue"/>
            <w:noWrap w:val="0"/>
            <w:vAlign w:val="center"/>
          </w:tcPr>
          <w:p>
            <w:pPr>
              <w:tabs>
                <w:tab w:val="left" w:pos="1260"/>
              </w:tabs>
              <w:snapToGrid w:val="0"/>
              <w:spacing w:line="360" w:lineRule="auto"/>
              <w:jc w:val="center"/>
              <w:rPr>
                <w:rFonts w:hint="eastAsia" w:ascii="仿宋" w:hAnsi="仿宋" w:eastAsia="仿宋" w:cs="仿宋"/>
                <w:b/>
                <w:bCs/>
                <w:sz w:val="36"/>
                <w:szCs w:val="44"/>
              </w:rPr>
            </w:pPr>
          </w:p>
        </w:tc>
        <w:tc>
          <w:tcPr>
            <w:tcW w:w="1845" w:type="dxa"/>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职    务</w:t>
            </w:r>
          </w:p>
        </w:tc>
        <w:tc>
          <w:tcPr>
            <w:tcW w:w="2111" w:type="dxa"/>
            <w:noWrap w:val="0"/>
            <w:vAlign w:val="center"/>
          </w:tcPr>
          <w:p>
            <w:pPr>
              <w:tabs>
                <w:tab w:val="left" w:pos="1260"/>
              </w:tabs>
              <w:snapToGrid w:val="0"/>
              <w:spacing w:line="360" w:lineRule="auto"/>
              <w:jc w:val="center"/>
              <w:rPr>
                <w:rFonts w:hint="eastAsia" w:ascii="仿宋" w:hAnsi="仿宋" w:eastAsia="仿宋" w:cs="仿宋"/>
              </w:rPr>
            </w:pPr>
          </w:p>
        </w:tc>
        <w:tc>
          <w:tcPr>
            <w:tcW w:w="1607" w:type="dxa"/>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联系电话</w:t>
            </w:r>
          </w:p>
        </w:tc>
        <w:tc>
          <w:tcPr>
            <w:tcW w:w="2691" w:type="dxa"/>
            <w:noWrap w:val="0"/>
            <w:vAlign w:val="center"/>
          </w:tcPr>
          <w:p>
            <w:pPr>
              <w:tabs>
                <w:tab w:val="left" w:pos="1260"/>
              </w:tabs>
              <w:snapToGrid w:val="0"/>
              <w:spacing w:line="360" w:lineRule="auto"/>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864" w:type="dxa"/>
            <w:vMerge w:val="continue"/>
            <w:noWrap w:val="0"/>
            <w:vAlign w:val="center"/>
          </w:tcPr>
          <w:p>
            <w:pPr>
              <w:tabs>
                <w:tab w:val="left" w:pos="1260"/>
              </w:tabs>
              <w:snapToGrid w:val="0"/>
              <w:spacing w:line="360" w:lineRule="auto"/>
              <w:jc w:val="center"/>
              <w:rPr>
                <w:rFonts w:hint="eastAsia" w:ascii="仿宋" w:hAnsi="仿宋" w:eastAsia="仿宋" w:cs="仿宋"/>
                <w:b/>
                <w:bCs/>
                <w:sz w:val="36"/>
                <w:szCs w:val="44"/>
              </w:rPr>
            </w:pPr>
          </w:p>
        </w:tc>
        <w:tc>
          <w:tcPr>
            <w:tcW w:w="1845" w:type="dxa"/>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身份证号</w:t>
            </w:r>
          </w:p>
        </w:tc>
        <w:tc>
          <w:tcPr>
            <w:tcW w:w="6409" w:type="dxa"/>
            <w:gridSpan w:val="3"/>
            <w:noWrap w:val="0"/>
            <w:vAlign w:val="center"/>
          </w:tcPr>
          <w:p>
            <w:pPr>
              <w:tabs>
                <w:tab w:val="left" w:pos="1260"/>
              </w:tabs>
              <w:snapToGrid w:val="0"/>
              <w:spacing w:line="360" w:lineRule="auto"/>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8" w:hRule="atLeast"/>
        </w:trPr>
        <w:tc>
          <w:tcPr>
            <w:tcW w:w="864" w:type="dxa"/>
            <w:vMerge w:val="restart"/>
            <w:noWrap w:val="0"/>
            <w:vAlign w:val="center"/>
          </w:tcPr>
          <w:p>
            <w:pPr>
              <w:tabs>
                <w:tab w:val="left" w:pos="1260"/>
              </w:tabs>
              <w:snapToGrid w:val="0"/>
              <w:spacing w:line="360" w:lineRule="auto"/>
              <w:jc w:val="center"/>
              <w:rPr>
                <w:rFonts w:hint="eastAsia" w:ascii="仿宋" w:hAnsi="仿宋" w:eastAsia="仿宋" w:cs="仿宋"/>
              </w:rPr>
            </w:pPr>
            <w:r>
              <w:rPr>
                <w:rFonts w:hint="eastAsia" w:ascii="仿宋" w:hAnsi="仿宋" w:eastAsia="仿宋" w:cs="仿宋"/>
              </w:rPr>
              <w:t>法定代表人身份证复印件</w:t>
            </w:r>
          </w:p>
        </w:tc>
        <w:tc>
          <w:tcPr>
            <w:tcW w:w="3956" w:type="dxa"/>
            <w:gridSpan w:val="2"/>
            <w:vMerge w:val="restart"/>
            <w:noWrap w:val="0"/>
            <w:vAlign w:val="center"/>
          </w:tcPr>
          <w:p>
            <w:pPr>
              <w:tabs>
                <w:tab w:val="left" w:pos="1260"/>
              </w:tabs>
              <w:snapToGrid w:val="0"/>
              <w:spacing w:line="360" w:lineRule="auto"/>
              <w:jc w:val="center"/>
              <w:rPr>
                <w:rFonts w:hint="eastAsia" w:ascii="仿宋" w:hAnsi="仿宋" w:eastAsia="仿宋" w:cs="仿宋"/>
                <w:b/>
                <w:bCs/>
                <w:sz w:val="36"/>
                <w:szCs w:val="44"/>
              </w:rPr>
            </w:pPr>
            <w:r>
              <w:rPr>
                <w:rFonts w:hint="eastAsia" w:ascii="仿宋" w:hAnsi="仿宋" w:eastAsia="仿宋" w:cs="仿宋"/>
              </w:rPr>
              <w:t>（粘贴处）</w:t>
            </w:r>
          </w:p>
        </w:tc>
        <w:tc>
          <w:tcPr>
            <w:tcW w:w="4298" w:type="dxa"/>
            <w:gridSpan w:val="2"/>
            <w:noWrap w:val="0"/>
            <w:vAlign w:val="center"/>
          </w:tcPr>
          <w:p>
            <w:pPr>
              <w:tabs>
                <w:tab w:val="left" w:pos="1260"/>
              </w:tabs>
              <w:snapToGrid w:val="0"/>
              <w:spacing w:line="360" w:lineRule="auto"/>
              <w:jc w:val="center"/>
              <w:rPr>
                <w:rFonts w:hint="eastAsia" w:ascii="仿宋" w:hAnsi="仿宋" w:eastAsia="仿宋" w:cs="仿宋"/>
                <w:b/>
              </w:rPr>
            </w:pPr>
            <w:r>
              <w:rPr>
                <w:rFonts w:hint="eastAsia" w:ascii="仿宋" w:hAnsi="仿宋" w:eastAsia="仿宋" w:cs="仿宋"/>
                <w:b/>
              </w:rPr>
              <w:t>法定代表人签字并盖章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4" w:hRule="atLeast"/>
        </w:trPr>
        <w:tc>
          <w:tcPr>
            <w:tcW w:w="864" w:type="dxa"/>
            <w:vMerge w:val="continue"/>
            <w:noWrap w:val="0"/>
            <w:vAlign w:val="center"/>
          </w:tcPr>
          <w:p>
            <w:pPr>
              <w:tabs>
                <w:tab w:val="left" w:pos="1260"/>
              </w:tabs>
              <w:snapToGrid w:val="0"/>
              <w:spacing w:line="360" w:lineRule="auto"/>
              <w:jc w:val="center"/>
              <w:rPr>
                <w:rFonts w:hint="eastAsia" w:ascii="仿宋" w:hAnsi="仿宋" w:eastAsia="仿宋" w:cs="仿宋"/>
                <w:b/>
                <w:bCs/>
                <w:sz w:val="36"/>
                <w:szCs w:val="44"/>
              </w:rPr>
            </w:pPr>
          </w:p>
        </w:tc>
        <w:tc>
          <w:tcPr>
            <w:tcW w:w="3956" w:type="dxa"/>
            <w:gridSpan w:val="2"/>
            <w:vMerge w:val="continue"/>
            <w:noWrap w:val="0"/>
            <w:vAlign w:val="center"/>
          </w:tcPr>
          <w:p>
            <w:pPr>
              <w:tabs>
                <w:tab w:val="left" w:pos="1260"/>
              </w:tabs>
              <w:snapToGrid w:val="0"/>
              <w:spacing w:line="360" w:lineRule="auto"/>
              <w:jc w:val="center"/>
              <w:rPr>
                <w:rFonts w:hint="eastAsia" w:ascii="仿宋" w:hAnsi="仿宋" w:eastAsia="仿宋" w:cs="仿宋"/>
                <w:b/>
                <w:bCs/>
                <w:sz w:val="36"/>
                <w:szCs w:val="44"/>
              </w:rPr>
            </w:pPr>
          </w:p>
        </w:tc>
        <w:tc>
          <w:tcPr>
            <w:tcW w:w="4298" w:type="dxa"/>
            <w:gridSpan w:val="2"/>
            <w:noWrap w:val="0"/>
            <w:vAlign w:val="center"/>
          </w:tcPr>
          <w:p>
            <w:pPr>
              <w:tabs>
                <w:tab w:val="left" w:pos="1260"/>
              </w:tabs>
              <w:snapToGrid w:val="0"/>
              <w:spacing w:line="360" w:lineRule="auto"/>
              <w:jc w:val="center"/>
              <w:rPr>
                <w:rFonts w:hint="eastAsia" w:ascii="仿宋" w:hAnsi="仿宋" w:eastAsia="仿宋" w:cs="仿宋"/>
                <w:szCs w:val="32"/>
              </w:rPr>
            </w:pPr>
          </w:p>
          <w:p>
            <w:pPr>
              <w:tabs>
                <w:tab w:val="left" w:pos="1260"/>
              </w:tabs>
              <w:snapToGrid w:val="0"/>
              <w:spacing w:line="360" w:lineRule="auto"/>
              <w:jc w:val="center"/>
              <w:rPr>
                <w:rFonts w:hint="eastAsia" w:ascii="仿宋" w:hAnsi="仿宋" w:eastAsia="仿宋" w:cs="仿宋"/>
                <w:szCs w:val="32"/>
              </w:rPr>
            </w:pPr>
            <w:r>
              <w:rPr>
                <w:rFonts w:hint="eastAsia" w:ascii="仿宋" w:hAnsi="仿宋" w:eastAsia="仿宋" w:cs="仿宋"/>
                <w:szCs w:val="32"/>
              </w:rPr>
              <w:t>（法人公章）</w:t>
            </w:r>
          </w:p>
          <w:p>
            <w:pPr>
              <w:tabs>
                <w:tab w:val="left" w:pos="1260"/>
              </w:tabs>
              <w:snapToGrid w:val="0"/>
              <w:spacing w:line="360" w:lineRule="auto"/>
              <w:ind w:right="280" w:firstLine="459"/>
              <w:jc w:val="center"/>
              <w:rPr>
                <w:rFonts w:hint="eastAsia" w:ascii="仿宋" w:hAnsi="仿宋" w:eastAsia="仿宋" w:cs="仿宋"/>
              </w:rPr>
            </w:pPr>
            <w:r>
              <w:rPr>
                <w:rFonts w:hint="eastAsia" w:ascii="仿宋" w:hAnsi="仿宋" w:eastAsia="仿宋" w:cs="仿宋"/>
                <w:szCs w:val="32"/>
              </w:rPr>
              <w:t>年   月   日</w:t>
            </w:r>
          </w:p>
        </w:tc>
      </w:tr>
    </w:tbl>
    <w:p>
      <w:pPr>
        <w:tabs>
          <w:tab w:val="left" w:pos="1260"/>
        </w:tabs>
        <w:snapToGrid w:val="0"/>
        <w:spacing w:line="360" w:lineRule="auto"/>
        <w:jc w:val="center"/>
        <w:rPr>
          <w:rFonts w:hint="eastAsia" w:ascii="仿宋" w:hAnsi="仿宋" w:eastAsia="仿宋" w:cs="仿宋"/>
          <w:b/>
          <w:bCs/>
          <w:sz w:val="32"/>
          <w:szCs w:val="32"/>
          <w:u w:val="single"/>
        </w:rPr>
      </w:pPr>
    </w:p>
    <w:p>
      <w:pPr>
        <w:tabs>
          <w:tab w:val="left" w:pos="1260"/>
        </w:tabs>
        <w:snapToGrid w:val="0"/>
        <w:spacing w:line="360" w:lineRule="auto"/>
        <w:jc w:val="center"/>
        <w:rPr>
          <w:rFonts w:hint="eastAsia" w:ascii="仿宋" w:hAnsi="仿宋" w:eastAsia="仿宋" w:cs="仿宋"/>
          <w:b/>
          <w:bCs/>
          <w:sz w:val="32"/>
          <w:szCs w:val="32"/>
          <w:u w:val="single"/>
        </w:rPr>
      </w:pPr>
    </w:p>
    <w:p>
      <w:pPr>
        <w:tabs>
          <w:tab w:val="left" w:pos="1260"/>
        </w:tabs>
        <w:snapToGrid w:val="0"/>
        <w:spacing w:line="360" w:lineRule="auto"/>
        <w:jc w:val="center"/>
        <w:rPr>
          <w:rFonts w:hint="eastAsia" w:ascii="仿宋" w:hAnsi="仿宋" w:eastAsia="仿宋" w:cs="仿宋"/>
          <w:b/>
          <w:bCs/>
          <w:sz w:val="32"/>
          <w:szCs w:val="32"/>
          <w:u w:val="single"/>
        </w:rPr>
      </w:pPr>
      <w:r>
        <w:rPr>
          <w:rFonts w:hint="eastAsia" w:ascii="仿宋" w:hAnsi="仿宋" w:eastAsia="仿宋" w:cs="仿宋"/>
          <w:b/>
          <w:bCs/>
          <w:sz w:val="32"/>
          <w:szCs w:val="32"/>
          <w:u w:val="single"/>
        </w:rPr>
        <w:t>1.2法定代表人授权书</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吴起县政府采购中心：</w:t>
      </w:r>
    </w:p>
    <w:p>
      <w:pPr>
        <w:adjustRightInd w:val="0"/>
        <w:snapToGrid w:val="0"/>
        <w:spacing w:line="360" w:lineRule="auto"/>
        <w:ind w:firstLine="560" w:firstLineChars="200"/>
        <w:rPr>
          <w:rFonts w:hint="eastAsia" w:ascii="仿宋" w:hAnsi="仿宋" w:eastAsia="仿宋" w:cs="仿宋"/>
          <w:b/>
          <w:sz w:val="28"/>
          <w:szCs w:val="28"/>
        </w:rPr>
      </w:pPr>
      <w:r>
        <w:rPr>
          <w:rFonts w:hint="eastAsia" w:ascii="仿宋" w:hAnsi="仿宋" w:eastAsia="仿宋" w:cs="仿宋"/>
          <w:sz w:val="28"/>
          <w:szCs w:val="28"/>
        </w:rPr>
        <w:t>（供应商全称）法定代表人（姓名、职务）授权（被授权人姓名、职务）为本公司的合法代理人，就吴起县林业局2021年铁边城国有林场退化林修复采购项目投标及合同的执行和完成，以本公司的名义处理一切与之有关的事宜。</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附：被授权人姓名：          性别：    年龄：        </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职    务：               身份证号码：             </w:t>
      </w:r>
    </w:p>
    <w:p>
      <w:pPr>
        <w:adjustRightInd w:val="0"/>
        <w:snapToGrid w:val="0"/>
        <w:spacing w:line="360" w:lineRule="auto"/>
        <w:rPr>
          <w:rFonts w:hint="eastAsia" w:ascii="仿宋" w:hAnsi="仿宋" w:eastAsia="仿宋" w:cs="仿宋"/>
          <w:b/>
          <w:bCs/>
          <w:sz w:val="28"/>
          <w:szCs w:val="28"/>
        </w:rPr>
      </w:pPr>
      <w:r>
        <w:rPr>
          <w:rFonts w:hint="eastAsia" w:ascii="仿宋" w:hAnsi="仿宋" w:eastAsia="仿宋" w:cs="仿宋"/>
          <w:sz w:val="28"/>
          <w:szCs w:val="28"/>
        </w:rPr>
        <w:t xml:space="preserve">通讯地址：                                                                            </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电    话：</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本授权书自开标大会之日起计算有效期为          天。                                </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法定代表人及授权代表身份证复印件</w:t>
      </w:r>
    </w:p>
    <w:tbl>
      <w:tblPr>
        <w:tblStyle w:val="12"/>
        <w:tblW w:w="0" w:type="auto"/>
        <w:tblInd w:w="173" w:type="dxa"/>
        <w:tblLayout w:type="fixed"/>
        <w:tblCellMar>
          <w:top w:w="0" w:type="dxa"/>
          <w:left w:w="108" w:type="dxa"/>
          <w:bottom w:w="0" w:type="dxa"/>
          <w:right w:w="108" w:type="dxa"/>
        </w:tblCellMar>
      </w:tblPr>
      <w:tblGrid>
        <w:gridCol w:w="4515"/>
        <w:gridCol w:w="4515"/>
      </w:tblGrid>
      <w:tr>
        <w:tblPrEx>
          <w:tblCellMar>
            <w:top w:w="0" w:type="dxa"/>
            <w:left w:w="108" w:type="dxa"/>
            <w:bottom w:w="0" w:type="dxa"/>
            <w:right w:w="108" w:type="dxa"/>
          </w:tblCellMar>
        </w:tblPrEx>
        <w:trPr>
          <w:trHeight w:val="1877" w:hRule="atLeast"/>
        </w:trPr>
        <w:tc>
          <w:tcPr>
            <w:tcW w:w="4515"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法定代表人身份证复印件</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（正面）</w:t>
            </w:r>
          </w:p>
        </w:tc>
        <w:tc>
          <w:tcPr>
            <w:tcW w:w="4515"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法定代表人身份证复印件</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（反面）</w:t>
            </w:r>
          </w:p>
        </w:tc>
      </w:tr>
      <w:tr>
        <w:tblPrEx>
          <w:tblCellMar>
            <w:top w:w="0" w:type="dxa"/>
            <w:left w:w="108" w:type="dxa"/>
            <w:bottom w:w="0" w:type="dxa"/>
            <w:right w:w="108" w:type="dxa"/>
          </w:tblCellMar>
        </w:tblPrEx>
        <w:trPr>
          <w:trHeight w:val="1877" w:hRule="atLeast"/>
        </w:trPr>
        <w:tc>
          <w:tcPr>
            <w:tcW w:w="4515"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授权代表身份证复印件</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（正面）</w:t>
            </w:r>
          </w:p>
        </w:tc>
        <w:tc>
          <w:tcPr>
            <w:tcW w:w="4515"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授权代表身份证复印件</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（反面）</w:t>
            </w:r>
          </w:p>
        </w:tc>
      </w:tr>
    </w:tbl>
    <w:p>
      <w:pPr>
        <w:tabs>
          <w:tab w:val="left" w:pos="1260"/>
        </w:tabs>
        <w:snapToGrid w:val="0"/>
        <w:spacing w:line="360" w:lineRule="auto"/>
        <w:rPr>
          <w:rFonts w:hint="eastAsia" w:ascii="仿宋" w:hAnsi="仿宋" w:eastAsia="仿宋" w:cs="仿宋"/>
          <w:sz w:val="28"/>
          <w:szCs w:val="28"/>
        </w:rPr>
      </w:pPr>
      <w:r>
        <w:rPr>
          <w:rFonts w:hint="eastAsia" w:ascii="仿宋" w:hAnsi="仿宋" w:eastAsia="仿宋" w:cs="仿宋"/>
          <w:sz w:val="28"/>
          <w:szCs w:val="28"/>
        </w:rPr>
        <w:t>1、本授权书有效期自开标大会之日计算不得少于九十天。</w:t>
      </w:r>
    </w:p>
    <w:p>
      <w:pPr>
        <w:tabs>
          <w:tab w:val="left" w:pos="1260"/>
        </w:tabs>
        <w:snapToGrid w:val="0"/>
        <w:spacing w:line="360" w:lineRule="auto"/>
        <w:rPr>
          <w:rFonts w:hint="eastAsia" w:ascii="仿宋" w:hAnsi="仿宋" w:eastAsia="仿宋" w:cs="仿宋"/>
          <w:sz w:val="28"/>
          <w:szCs w:val="28"/>
        </w:rPr>
      </w:pPr>
      <w:r>
        <w:rPr>
          <w:rFonts w:hint="eastAsia" w:ascii="仿宋" w:hAnsi="仿宋" w:eastAsia="仿宋" w:cs="仿宋"/>
          <w:sz w:val="28"/>
          <w:szCs w:val="28"/>
        </w:rPr>
        <w:t>2、授权书内容填写要明确，文字要工整清楚，涂改无效。</w:t>
      </w:r>
    </w:p>
    <w:p>
      <w:pPr>
        <w:tabs>
          <w:tab w:val="left" w:pos="1260"/>
        </w:tabs>
        <w:snapToGrid w:val="0"/>
        <w:spacing w:line="360" w:lineRule="auto"/>
        <w:rPr>
          <w:rFonts w:hint="eastAsia" w:ascii="仿宋" w:hAnsi="仿宋" w:eastAsia="仿宋" w:cs="仿宋"/>
          <w:sz w:val="28"/>
          <w:szCs w:val="28"/>
        </w:rPr>
      </w:pPr>
      <w:r>
        <w:rPr>
          <w:rFonts w:hint="eastAsia" w:ascii="仿宋" w:hAnsi="仿宋" w:eastAsia="仿宋" w:cs="仿宋"/>
          <w:sz w:val="28"/>
          <w:szCs w:val="28"/>
        </w:rPr>
        <w:t>3、未按授权格式填写，视为无效授权，按无效标处理。</w:t>
      </w:r>
    </w:p>
    <w:p>
      <w:pPr>
        <w:tabs>
          <w:tab w:val="left" w:pos="1260"/>
        </w:tabs>
        <w:snapToGrid w:val="0"/>
        <w:spacing w:line="360" w:lineRule="auto"/>
        <w:ind w:firstLine="840" w:firstLineChars="300"/>
        <w:rPr>
          <w:rFonts w:hint="eastAsia" w:ascii="仿宋" w:hAnsi="仿宋" w:eastAsia="仿宋" w:cs="仿宋"/>
          <w:sz w:val="28"/>
          <w:szCs w:val="28"/>
        </w:rPr>
      </w:pPr>
      <w:r>
        <w:rPr>
          <w:rFonts w:hint="eastAsia" w:ascii="仿宋" w:hAnsi="仿宋" w:eastAsia="仿宋" w:cs="仿宋"/>
          <w:sz w:val="28"/>
          <w:szCs w:val="28"/>
        </w:rPr>
        <w:t>单位名称（公章）：              法定代表人（签字并盖章）：</w:t>
      </w:r>
    </w:p>
    <w:p>
      <w:pPr>
        <w:tabs>
          <w:tab w:val="left" w:pos="1260"/>
        </w:tabs>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                                           年    月   日</w:t>
      </w:r>
    </w:p>
    <w:p>
      <w:pPr>
        <w:numPr>
          <w:ilvl w:val="0"/>
          <w:numId w:val="5"/>
        </w:numPr>
        <w:adjustRightInd w:val="0"/>
        <w:snapToGrid w:val="0"/>
        <w:spacing w:line="500" w:lineRule="exact"/>
        <w:jc w:val="center"/>
        <w:outlineLvl w:val="0"/>
        <w:rPr>
          <w:rFonts w:hint="eastAsia" w:ascii="仿宋" w:hAnsi="仿宋" w:eastAsia="仿宋" w:cs="仿宋"/>
          <w:b/>
          <w:bCs/>
          <w:sz w:val="32"/>
          <w:szCs w:val="32"/>
        </w:rPr>
      </w:pPr>
      <w:bookmarkStart w:id="501" w:name="_Toc15656"/>
      <w:r>
        <w:rPr>
          <w:rFonts w:hint="eastAsia" w:ascii="仿宋" w:hAnsi="仿宋" w:eastAsia="仿宋" w:cs="仿宋"/>
          <w:b/>
          <w:bCs/>
          <w:sz w:val="32"/>
          <w:szCs w:val="32"/>
        </w:rPr>
        <w:t>投标函</w:t>
      </w:r>
      <w:bookmarkEnd w:id="501"/>
    </w:p>
    <w:p>
      <w:pPr>
        <w:adjustRightInd w:val="0"/>
        <w:snapToGrid w:val="0"/>
        <w:spacing w:line="500" w:lineRule="exact"/>
        <w:rPr>
          <w:rFonts w:hint="eastAsia" w:ascii="仿宋" w:hAnsi="仿宋" w:eastAsia="仿宋" w:cs="仿宋"/>
          <w:b/>
          <w:bCs/>
          <w:sz w:val="28"/>
          <w:szCs w:val="28"/>
        </w:rPr>
      </w:pPr>
      <w:r>
        <w:rPr>
          <w:rFonts w:hint="eastAsia" w:ascii="仿宋" w:hAnsi="仿宋" w:eastAsia="仿宋" w:cs="仿宋"/>
          <w:b/>
          <w:bCs/>
          <w:sz w:val="28"/>
          <w:szCs w:val="28"/>
        </w:rPr>
        <w:t>吴起县政府采购中心：</w:t>
      </w: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我单位收到贵单位关于</w:t>
      </w:r>
      <w:r>
        <w:rPr>
          <w:rFonts w:hint="eastAsia" w:ascii="仿宋" w:hAnsi="仿宋" w:eastAsia="仿宋" w:cs="仿宋"/>
          <w:sz w:val="28"/>
          <w:szCs w:val="28"/>
          <w:u w:val="single"/>
        </w:rPr>
        <w:t xml:space="preserve">                </w:t>
      </w:r>
      <w:r>
        <w:rPr>
          <w:rFonts w:hint="eastAsia" w:ascii="仿宋" w:hAnsi="仿宋" w:eastAsia="仿宋" w:cs="仿宋"/>
          <w:sz w:val="28"/>
          <w:szCs w:val="28"/>
        </w:rPr>
        <w:t>采购项目（采购项目编号</w:t>
      </w:r>
      <w:r>
        <w:rPr>
          <w:rFonts w:hint="eastAsia" w:ascii="仿宋" w:hAnsi="仿宋" w:eastAsia="仿宋" w:cs="仿宋"/>
          <w:sz w:val="28"/>
          <w:szCs w:val="28"/>
          <w:u w:val="single"/>
        </w:rPr>
        <w:t xml:space="preserve">            </w:t>
      </w:r>
      <w:r>
        <w:rPr>
          <w:rFonts w:hint="eastAsia" w:ascii="仿宋" w:hAnsi="仿宋" w:eastAsia="仿宋" w:cs="仿宋"/>
          <w:sz w:val="28"/>
          <w:szCs w:val="28"/>
        </w:rPr>
        <w:t>）招标文件，经详细研究，我们决定参加本次招标活动。为此我方郑重声明以下诸点，并负法律责任。</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1、愿意按照招标文件中的要求，完成合同的责任和义务。</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2、按招标文件的规定，我方（单位或公司）的投标报价为：人民币（大写）：            （￥：   元），并对其投标报价负法律责任。</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3、我方提交的响应文件正本一份、副本</w:t>
      </w:r>
      <w:r>
        <w:rPr>
          <w:rFonts w:hint="eastAsia" w:ascii="仿宋" w:hAnsi="仿宋" w:eastAsia="仿宋" w:cs="仿宋"/>
          <w:sz w:val="28"/>
          <w:szCs w:val="28"/>
          <w:lang w:eastAsia="zh-CN"/>
        </w:rPr>
        <w:t>四</w:t>
      </w:r>
      <w:r>
        <w:rPr>
          <w:rFonts w:hint="eastAsia" w:ascii="仿宋" w:hAnsi="仿宋" w:eastAsia="仿宋" w:cs="仿宋"/>
          <w:sz w:val="28"/>
          <w:szCs w:val="28"/>
        </w:rPr>
        <w:t>份。</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4、我方已详细阅读了招标文件，完全理解并放弃提出含糊不清或易形成歧义的表述和资料。</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5、招标后在规定的有效期内撤回投标，我方愿接受政府采购的有关处罚决定。</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6、同意向贵方提供可能要求的，与本次招标有关的任何证据或资料，且尊重评标小组的评审结论和结果。</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7、我方的响应文件有效期自开标之日起为90个日历</w:t>
      </w:r>
      <w:r>
        <w:rPr>
          <w:rFonts w:hint="eastAsia" w:ascii="仿宋" w:hAnsi="仿宋" w:eastAsia="仿宋" w:cs="仿宋"/>
          <w:sz w:val="28"/>
          <w:szCs w:val="28"/>
          <w:lang w:eastAsia="zh-CN"/>
        </w:rPr>
        <w:t>日</w:t>
      </w:r>
      <w:r>
        <w:rPr>
          <w:rFonts w:hint="eastAsia" w:ascii="仿宋" w:hAnsi="仿宋" w:eastAsia="仿宋" w:cs="仿宋"/>
          <w:sz w:val="28"/>
          <w:szCs w:val="28"/>
        </w:rPr>
        <w:t>，若我方中标，投标文件有效期延长至合同执行完毕。</w:t>
      </w:r>
    </w:p>
    <w:p>
      <w:pPr>
        <w:adjustRightInd w:val="0"/>
        <w:snapToGrid w:val="0"/>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8、有关于本投标文件的函电，请按下列地址联系。</w:t>
      </w:r>
    </w:p>
    <w:p>
      <w:pPr>
        <w:adjustRightInd w:val="0"/>
        <w:snapToGrid w:val="0"/>
        <w:spacing w:line="500" w:lineRule="exact"/>
        <w:rPr>
          <w:rFonts w:hint="eastAsia" w:ascii="仿宋" w:hAnsi="仿宋" w:eastAsia="仿宋" w:cs="仿宋"/>
          <w:sz w:val="28"/>
          <w:szCs w:val="28"/>
        </w:rPr>
      </w:pPr>
      <w:r>
        <w:rPr>
          <w:rFonts w:hint="eastAsia" w:ascii="仿宋" w:hAnsi="仿宋" w:eastAsia="仿宋" w:cs="仿宋"/>
          <w:sz w:val="28"/>
          <w:szCs w:val="28"/>
        </w:rPr>
        <w:t>供应商全称（印章）：</w:t>
      </w:r>
    </w:p>
    <w:p>
      <w:pPr>
        <w:adjustRightInd w:val="0"/>
        <w:snapToGrid w:val="0"/>
        <w:spacing w:line="500" w:lineRule="exact"/>
        <w:rPr>
          <w:rFonts w:hint="eastAsia" w:ascii="仿宋" w:hAnsi="仿宋" w:eastAsia="仿宋" w:cs="仿宋"/>
          <w:sz w:val="28"/>
          <w:szCs w:val="28"/>
        </w:rPr>
      </w:pPr>
      <w:r>
        <w:rPr>
          <w:rFonts w:hint="eastAsia" w:ascii="仿宋" w:hAnsi="仿宋" w:eastAsia="仿宋" w:cs="仿宋"/>
          <w:sz w:val="28"/>
          <w:szCs w:val="28"/>
        </w:rPr>
        <w:t>地    址：__________________________________________</w:t>
      </w:r>
    </w:p>
    <w:p>
      <w:pPr>
        <w:adjustRightInd w:val="0"/>
        <w:snapToGrid w:val="0"/>
        <w:spacing w:line="500" w:lineRule="exact"/>
        <w:rPr>
          <w:rFonts w:hint="eastAsia" w:ascii="仿宋" w:hAnsi="仿宋" w:eastAsia="仿宋" w:cs="仿宋"/>
          <w:sz w:val="28"/>
          <w:szCs w:val="28"/>
        </w:rPr>
      </w:pPr>
      <w:r>
        <w:rPr>
          <w:rFonts w:hint="eastAsia" w:ascii="仿宋" w:hAnsi="仿宋" w:eastAsia="仿宋" w:cs="仿宋"/>
          <w:sz w:val="28"/>
          <w:szCs w:val="28"/>
        </w:rPr>
        <w:t>开户银行：__________________________________________</w:t>
      </w:r>
    </w:p>
    <w:p>
      <w:pPr>
        <w:adjustRightInd w:val="0"/>
        <w:snapToGrid w:val="0"/>
        <w:spacing w:line="500" w:lineRule="exact"/>
        <w:rPr>
          <w:rFonts w:hint="eastAsia" w:ascii="仿宋" w:hAnsi="仿宋" w:eastAsia="仿宋" w:cs="仿宋"/>
          <w:sz w:val="28"/>
          <w:szCs w:val="28"/>
        </w:rPr>
      </w:pPr>
      <w:r>
        <w:rPr>
          <w:rFonts w:hint="eastAsia" w:ascii="仿宋" w:hAnsi="仿宋" w:eastAsia="仿宋" w:cs="仿宋"/>
          <w:sz w:val="28"/>
          <w:szCs w:val="28"/>
        </w:rPr>
        <w:t>帐    号：__________________________________________</w:t>
      </w:r>
    </w:p>
    <w:p>
      <w:pPr>
        <w:adjustRightInd w:val="0"/>
        <w:snapToGrid w:val="0"/>
        <w:spacing w:line="500" w:lineRule="exact"/>
        <w:rPr>
          <w:rFonts w:hint="eastAsia" w:ascii="仿宋" w:hAnsi="仿宋" w:eastAsia="仿宋" w:cs="仿宋"/>
          <w:sz w:val="28"/>
          <w:szCs w:val="28"/>
        </w:rPr>
      </w:pPr>
      <w:r>
        <w:rPr>
          <w:rFonts w:hint="eastAsia" w:ascii="仿宋" w:hAnsi="仿宋" w:eastAsia="仿宋" w:cs="仿宋"/>
          <w:sz w:val="28"/>
          <w:szCs w:val="28"/>
        </w:rPr>
        <w:t>电    话：__________________________________________</w:t>
      </w:r>
    </w:p>
    <w:p>
      <w:pPr>
        <w:adjustRightInd w:val="0"/>
        <w:snapToGrid w:val="0"/>
        <w:spacing w:line="500" w:lineRule="exact"/>
        <w:rPr>
          <w:rFonts w:hint="eastAsia" w:ascii="仿宋" w:hAnsi="仿宋" w:eastAsia="仿宋" w:cs="仿宋"/>
          <w:sz w:val="28"/>
          <w:szCs w:val="28"/>
        </w:rPr>
      </w:pPr>
      <w:r>
        <w:rPr>
          <w:rFonts w:hint="eastAsia" w:ascii="仿宋" w:hAnsi="仿宋" w:eastAsia="仿宋" w:cs="仿宋"/>
          <w:sz w:val="28"/>
          <w:szCs w:val="28"/>
        </w:rPr>
        <w:t>法定代表人（签字并盖章）：________________</w:t>
      </w:r>
    </w:p>
    <w:p>
      <w:pPr>
        <w:adjustRightInd w:val="0"/>
        <w:snapToGrid w:val="0"/>
        <w:spacing w:line="500" w:lineRule="exact"/>
        <w:ind w:firstLine="4760" w:firstLineChars="1700"/>
        <w:rPr>
          <w:rFonts w:hint="eastAsia" w:ascii="仿宋" w:hAnsi="仿宋" w:eastAsia="仿宋" w:cs="仿宋"/>
          <w:b/>
          <w:sz w:val="32"/>
          <w:szCs w:val="32"/>
        </w:rPr>
        <w:sectPr>
          <w:headerReference r:id="rId14" w:type="first"/>
          <w:headerReference r:id="rId13" w:type="default"/>
          <w:footerReference r:id="rId15" w:type="default"/>
          <w:pgSz w:w="11906" w:h="16838"/>
          <w:pgMar w:top="1418" w:right="1418" w:bottom="1418" w:left="1418" w:header="851" w:footer="992" w:gutter="0"/>
          <w:pgNumType w:fmt="decimal"/>
          <w:cols w:space="720" w:num="1"/>
          <w:docGrid w:type="lines" w:linePitch="312" w:charSpace="0"/>
        </w:sectPr>
      </w:pPr>
      <w:r>
        <w:rPr>
          <w:rFonts w:hint="eastAsia" w:ascii="仿宋" w:hAnsi="仿宋" w:eastAsia="仿宋" w:cs="仿宋"/>
          <w:sz w:val="28"/>
          <w:szCs w:val="28"/>
        </w:rPr>
        <w:t xml:space="preserve"> _____年_____月_____日</w:t>
      </w:r>
    </w:p>
    <w:p>
      <w:pPr>
        <w:tabs>
          <w:tab w:val="left" w:pos="1260"/>
        </w:tabs>
        <w:snapToGrid w:val="0"/>
        <w:spacing w:line="360" w:lineRule="auto"/>
        <w:jc w:val="center"/>
        <w:outlineLvl w:val="0"/>
        <w:rPr>
          <w:rFonts w:hint="eastAsia" w:ascii="仿宋" w:hAnsi="仿宋" w:eastAsia="仿宋" w:cs="仿宋"/>
          <w:b/>
          <w:bCs/>
          <w:sz w:val="32"/>
          <w:szCs w:val="32"/>
        </w:rPr>
      </w:pPr>
      <w:bookmarkStart w:id="502" w:name="_Toc25643"/>
      <w:r>
        <w:rPr>
          <w:rFonts w:hint="eastAsia" w:ascii="仿宋" w:hAnsi="仿宋" w:eastAsia="仿宋" w:cs="仿宋"/>
          <w:b/>
          <w:bCs/>
          <w:sz w:val="32"/>
          <w:szCs w:val="32"/>
        </w:rPr>
        <w:t>第3部分  开标一览表</w:t>
      </w:r>
      <w:bookmarkEnd w:id="502"/>
    </w:p>
    <w:p>
      <w:pPr>
        <w:jc w:val="center"/>
        <w:rPr>
          <w:rFonts w:hint="eastAsia" w:ascii="仿宋" w:hAnsi="仿宋" w:eastAsia="仿宋" w:cs="仿宋"/>
          <w:b/>
          <w:sz w:val="32"/>
          <w:szCs w:val="32"/>
          <w:lang w:val="zh-CN"/>
        </w:rPr>
      </w:pPr>
      <w:r>
        <w:rPr>
          <w:rFonts w:hint="eastAsia" w:ascii="仿宋" w:hAnsi="仿宋" w:eastAsia="仿宋" w:cs="仿宋"/>
          <w:b/>
          <w:sz w:val="32"/>
          <w:szCs w:val="32"/>
        </w:rPr>
        <w:t xml:space="preserve"> 开</w:t>
      </w:r>
      <w:r>
        <w:rPr>
          <w:rFonts w:hint="eastAsia" w:ascii="仿宋" w:hAnsi="仿宋" w:eastAsia="仿宋" w:cs="仿宋"/>
          <w:b/>
          <w:sz w:val="32"/>
          <w:szCs w:val="32"/>
          <w:lang w:val="zh-CN"/>
        </w:rPr>
        <w:t>标一览表（报价表）</w:t>
      </w:r>
    </w:p>
    <w:p>
      <w:pPr>
        <w:autoSpaceDE w:val="0"/>
        <w:autoSpaceDN w:val="0"/>
        <w:adjustRightInd w:val="0"/>
        <w:snapToGrid w:val="0"/>
        <w:spacing w:line="360" w:lineRule="auto"/>
        <w:ind w:left="7200" w:hanging="7200" w:hangingChars="225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项目名称：</w:t>
      </w:r>
    </w:p>
    <w:p>
      <w:pPr>
        <w:autoSpaceDE w:val="0"/>
        <w:autoSpaceDN w:val="0"/>
        <w:adjustRightInd w:val="0"/>
        <w:snapToGrid w:val="0"/>
        <w:spacing w:line="360" w:lineRule="auto"/>
        <w:ind w:left="7198" w:leftChars="304" w:hanging="6560" w:hangingChars="2050"/>
        <w:rPr>
          <w:rFonts w:hint="eastAsia" w:ascii="仿宋" w:hAnsi="仿宋" w:eastAsia="仿宋" w:cs="仿宋"/>
          <w:sz w:val="32"/>
          <w:szCs w:val="32"/>
          <w:lang w:val="en-US" w:eastAsia="zh-CN"/>
        </w:rPr>
      </w:pPr>
      <w:r>
        <w:rPr>
          <w:rFonts w:hint="eastAsia" w:ascii="仿宋" w:hAnsi="仿宋" w:eastAsia="仿宋" w:cs="仿宋"/>
          <w:sz w:val="32"/>
          <w:szCs w:val="32"/>
          <w:lang w:eastAsia="zh-CN"/>
        </w:rPr>
        <w:t>项目编号</w:t>
      </w:r>
      <w:r>
        <w:rPr>
          <w:rFonts w:hint="eastAsia" w:ascii="仿宋" w:hAnsi="仿宋" w:eastAsia="仿宋" w:cs="仿宋"/>
          <w:sz w:val="32"/>
          <w:szCs w:val="32"/>
          <w:lang w:val="en-US" w:eastAsia="zh-CN"/>
        </w:rPr>
        <w:t>：</w:t>
      </w:r>
    </w:p>
    <w:p>
      <w:pPr>
        <w:autoSpaceDE w:val="0"/>
        <w:autoSpaceDN w:val="0"/>
        <w:adjustRightInd w:val="0"/>
        <w:snapToGrid w:val="0"/>
        <w:spacing w:line="360" w:lineRule="auto"/>
        <w:ind w:left="7198" w:leftChars="304" w:hanging="6560" w:hangingChars="2050"/>
        <w:rPr>
          <w:rFonts w:hint="eastAsia" w:ascii="仿宋" w:hAnsi="仿宋" w:eastAsia="仿宋" w:cs="仿宋"/>
          <w:b/>
          <w:sz w:val="28"/>
          <w:szCs w:val="28"/>
        </w:rPr>
      </w:pPr>
      <w:r>
        <w:rPr>
          <w:rFonts w:hint="eastAsia" w:ascii="仿宋" w:hAnsi="仿宋" w:eastAsia="仿宋" w:cs="仿宋"/>
          <w:sz w:val="32"/>
          <w:szCs w:val="32"/>
        </w:rPr>
        <w:t xml:space="preserve">                                           </w:t>
      </w:r>
      <w:r>
        <w:rPr>
          <w:rFonts w:hint="eastAsia" w:ascii="仿宋" w:hAnsi="仿宋" w:eastAsia="仿宋" w:cs="仿宋"/>
          <w:b/>
          <w:sz w:val="28"/>
          <w:szCs w:val="28"/>
          <w:lang w:val="zh-CN"/>
        </w:rPr>
        <w:t>单位</w:t>
      </w:r>
      <w:r>
        <w:rPr>
          <w:rFonts w:hint="eastAsia" w:ascii="仿宋" w:hAnsi="仿宋" w:eastAsia="仿宋" w:cs="仿宋"/>
          <w:b/>
          <w:sz w:val="28"/>
          <w:szCs w:val="28"/>
        </w:rPr>
        <w:t xml:space="preserve"> </w:t>
      </w:r>
      <w:r>
        <w:rPr>
          <w:rFonts w:hint="eastAsia" w:ascii="仿宋" w:hAnsi="仿宋" w:eastAsia="仿宋" w:cs="仿宋"/>
          <w:b/>
          <w:sz w:val="28"/>
          <w:szCs w:val="28"/>
          <w:lang w:val="zh-CN"/>
        </w:rPr>
        <w:t>：元</w:t>
      </w:r>
      <w:r>
        <w:rPr>
          <w:rFonts w:hint="eastAsia" w:ascii="仿宋" w:hAnsi="仿宋" w:eastAsia="仿宋" w:cs="仿宋"/>
          <w:b/>
          <w:sz w:val="28"/>
          <w:szCs w:val="28"/>
        </w:rPr>
        <w:t xml:space="preserve"> </w:t>
      </w:r>
    </w:p>
    <w:tbl>
      <w:tblPr>
        <w:tblStyle w:val="12"/>
        <w:tblW w:w="10223" w:type="dxa"/>
        <w:jc w:val="center"/>
        <w:tblLayout w:type="fixed"/>
        <w:tblCellMar>
          <w:top w:w="0" w:type="dxa"/>
          <w:left w:w="108" w:type="dxa"/>
          <w:bottom w:w="0" w:type="dxa"/>
          <w:right w:w="108" w:type="dxa"/>
        </w:tblCellMar>
      </w:tblPr>
      <w:tblGrid>
        <w:gridCol w:w="1259"/>
        <w:gridCol w:w="1151"/>
        <w:gridCol w:w="1438"/>
        <w:gridCol w:w="1189"/>
        <w:gridCol w:w="1200"/>
        <w:gridCol w:w="2016"/>
        <w:gridCol w:w="1970"/>
      </w:tblGrid>
      <w:tr>
        <w:tblPrEx>
          <w:tblCellMar>
            <w:top w:w="0" w:type="dxa"/>
            <w:left w:w="108" w:type="dxa"/>
            <w:bottom w:w="0" w:type="dxa"/>
            <w:right w:w="108" w:type="dxa"/>
          </w:tblCellMar>
        </w:tblPrEx>
        <w:trPr>
          <w:trHeight w:val="1397" w:hRule="atLeast"/>
          <w:jc w:val="center"/>
        </w:trPr>
        <w:tc>
          <w:tcPr>
            <w:tcW w:w="2410" w:type="dxa"/>
            <w:gridSpan w:val="2"/>
            <w:tcBorders>
              <w:top w:val="single" w:color="auto" w:sz="6" w:space="0"/>
              <w:left w:val="single" w:color="auto" w:sz="6" w:space="0"/>
              <w:bottom w:val="single" w:color="auto" w:sz="6" w:space="0"/>
              <w:right w:val="single" w:color="auto" w:sz="6" w:space="0"/>
              <w:tl2br w:val="single" w:color="auto" w:sz="4" w:space="0"/>
            </w:tcBorders>
            <w:noWrap w:val="0"/>
            <w:vAlign w:val="top"/>
          </w:tcPr>
          <w:p>
            <w:pPr>
              <w:autoSpaceDE w:val="0"/>
              <w:autoSpaceDN w:val="0"/>
              <w:adjustRightInd w:val="0"/>
              <w:snapToGrid w:val="0"/>
              <w:spacing w:line="360" w:lineRule="auto"/>
              <w:ind w:firstLine="700" w:firstLineChars="250"/>
              <w:rPr>
                <w:rFonts w:hint="eastAsia" w:ascii="仿宋" w:hAnsi="仿宋" w:eastAsia="仿宋" w:cs="仿宋"/>
                <w:sz w:val="28"/>
                <w:szCs w:val="28"/>
              </w:rPr>
            </w:pPr>
            <w:r>
              <w:rPr>
                <w:rFonts w:hint="eastAsia" w:ascii="仿宋" w:hAnsi="仿宋" w:eastAsia="仿宋" w:cs="仿宋"/>
                <w:sz w:val="28"/>
                <w:szCs w:val="28"/>
                <w:lang w:val="zh-CN"/>
              </w:rPr>
              <w:t>报价内容</w:t>
            </w:r>
          </w:p>
          <w:p>
            <w:pPr>
              <w:autoSpaceDE w:val="0"/>
              <w:autoSpaceDN w:val="0"/>
              <w:adjustRightInd w:val="0"/>
              <w:snapToGrid w:val="0"/>
              <w:spacing w:line="360" w:lineRule="auto"/>
              <w:ind w:hanging="419"/>
              <w:rPr>
                <w:rFonts w:hint="eastAsia" w:ascii="仿宋" w:hAnsi="仿宋" w:eastAsia="仿宋" w:cs="仿宋"/>
                <w:sz w:val="28"/>
                <w:szCs w:val="28"/>
              </w:rPr>
            </w:pPr>
          </w:p>
          <w:p>
            <w:pPr>
              <w:autoSpaceDE w:val="0"/>
              <w:autoSpaceDN w:val="0"/>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项目</w:t>
            </w:r>
            <w:r>
              <w:rPr>
                <w:rFonts w:hint="eastAsia" w:ascii="仿宋" w:hAnsi="仿宋" w:eastAsia="仿宋" w:cs="仿宋"/>
                <w:sz w:val="28"/>
                <w:szCs w:val="28"/>
                <w:lang w:val="zh-CN"/>
              </w:rPr>
              <w:t>名称</w:t>
            </w:r>
          </w:p>
        </w:tc>
        <w:tc>
          <w:tcPr>
            <w:tcW w:w="1438"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lang w:eastAsia="zh-CN"/>
              </w:rPr>
              <w:t>数量</w:t>
            </w:r>
          </w:p>
        </w:tc>
        <w:tc>
          <w:tcPr>
            <w:tcW w:w="118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单位（亩）</w:t>
            </w:r>
          </w:p>
        </w:tc>
        <w:tc>
          <w:tcPr>
            <w:tcW w:w="12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单价</w:t>
            </w:r>
          </w:p>
        </w:tc>
        <w:tc>
          <w:tcPr>
            <w:tcW w:w="201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 w:hAnsi="仿宋" w:eastAsia="仿宋" w:cs="仿宋"/>
                <w:sz w:val="28"/>
                <w:szCs w:val="28"/>
                <w:lang w:eastAsia="zh-CN"/>
              </w:rPr>
            </w:pPr>
            <w:r>
              <w:rPr>
                <w:rFonts w:hint="eastAsia" w:ascii="仿宋" w:hAnsi="仿宋" w:eastAsia="仿宋" w:cs="仿宋"/>
                <w:sz w:val="28"/>
                <w:szCs w:val="28"/>
              </w:rPr>
              <w:t>总</w:t>
            </w:r>
            <w:r>
              <w:rPr>
                <w:rFonts w:hint="eastAsia" w:ascii="仿宋" w:hAnsi="仿宋" w:eastAsia="仿宋" w:cs="仿宋"/>
                <w:sz w:val="28"/>
                <w:szCs w:val="28"/>
                <w:lang w:eastAsia="zh-CN"/>
              </w:rPr>
              <w:t>价</w:t>
            </w:r>
          </w:p>
        </w:tc>
        <w:tc>
          <w:tcPr>
            <w:tcW w:w="197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lang w:eastAsia="zh-CN"/>
              </w:rPr>
              <w:t>完工</w:t>
            </w:r>
            <w:r>
              <w:rPr>
                <w:rFonts w:hint="eastAsia" w:ascii="仿宋" w:hAnsi="仿宋" w:eastAsia="仿宋" w:cs="仿宋"/>
                <w:sz w:val="28"/>
                <w:szCs w:val="28"/>
              </w:rPr>
              <w:t>期</w:t>
            </w:r>
          </w:p>
        </w:tc>
      </w:tr>
      <w:tr>
        <w:tblPrEx>
          <w:tblCellMar>
            <w:top w:w="0" w:type="dxa"/>
            <w:left w:w="108" w:type="dxa"/>
            <w:bottom w:w="0" w:type="dxa"/>
            <w:right w:w="108" w:type="dxa"/>
          </w:tblCellMar>
        </w:tblPrEx>
        <w:trPr>
          <w:trHeight w:val="1030" w:hRule="atLeast"/>
          <w:jc w:val="center"/>
        </w:trPr>
        <w:tc>
          <w:tcPr>
            <w:tcW w:w="241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 w:hAnsi="仿宋" w:eastAsia="仿宋" w:cs="仿宋"/>
                <w:sz w:val="28"/>
                <w:szCs w:val="28"/>
                <w:lang w:val="zh-CN"/>
              </w:rPr>
            </w:pPr>
            <w:r>
              <w:rPr>
                <w:rFonts w:hint="eastAsia" w:ascii="仿宋" w:hAnsi="仿宋" w:eastAsia="仿宋" w:cs="仿宋"/>
                <w:sz w:val="28"/>
                <w:szCs w:val="28"/>
                <w:lang w:val="zh-CN"/>
              </w:rPr>
              <w:t>吴起县林业局2021年铁边城国有林场退化林修复采购项目</w:t>
            </w:r>
          </w:p>
        </w:tc>
        <w:tc>
          <w:tcPr>
            <w:tcW w:w="1438"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 w:hAnsi="仿宋" w:eastAsia="仿宋" w:cs="仿宋"/>
                <w:sz w:val="28"/>
                <w:szCs w:val="28"/>
              </w:rPr>
            </w:pPr>
          </w:p>
        </w:tc>
        <w:tc>
          <w:tcPr>
            <w:tcW w:w="118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 w:hAnsi="仿宋" w:eastAsia="仿宋" w:cs="仿宋"/>
                <w:sz w:val="28"/>
                <w:szCs w:val="28"/>
              </w:rPr>
            </w:pPr>
          </w:p>
        </w:tc>
        <w:tc>
          <w:tcPr>
            <w:tcW w:w="12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 w:hAnsi="仿宋" w:eastAsia="仿宋" w:cs="仿宋"/>
                <w:sz w:val="28"/>
                <w:szCs w:val="28"/>
              </w:rPr>
            </w:pPr>
          </w:p>
        </w:tc>
        <w:tc>
          <w:tcPr>
            <w:tcW w:w="201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 w:hAnsi="仿宋" w:eastAsia="仿宋" w:cs="仿宋"/>
                <w:sz w:val="28"/>
                <w:szCs w:val="28"/>
              </w:rPr>
            </w:pPr>
          </w:p>
        </w:tc>
        <w:tc>
          <w:tcPr>
            <w:tcW w:w="197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360" w:lineRule="auto"/>
              <w:rPr>
                <w:rFonts w:hint="eastAsia" w:ascii="仿宋" w:hAnsi="仿宋" w:eastAsia="仿宋" w:cs="仿宋"/>
                <w:sz w:val="28"/>
                <w:szCs w:val="28"/>
                <w:lang w:eastAsia="zh-CN"/>
              </w:rPr>
            </w:pPr>
            <w:r>
              <w:rPr>
                <w:rFonts w:hint="eastAsia" w:ascii="仿宋" w:hAnsi="仿宋" w:eastAsia="仿宋" w:cs="仿宋"/>
                <w:sz w:val="28"/>
                <w:szCs w:val="28"/>
                <w:lang w:eastAsia="zh-CN"/>
              </w:rPr>
              <w:t>完工期：</w:t>
            </w:r>
          </w:p>
          <w:p>
            <w:pPr>
              <w:pStyle w:val="2"/>
              <w:ind w:left="0" w:leftChars="0" w:firstLine="0" w:firstLineChars="0"/>
              <w:rPr>
                <w:rFonts w:hint="eastAsia"/>
                <w:lang w:eastAsia="zh-CN"/>
              </w:rPr>
            </w:pPr>
            <w:r>
              <w:rPr>
                <w:rFonts w:hint="eastAsia" w:ascii="仿宋" w:hAnsi="仿宋" w:eastAsia="仿宋" w:cs="仿宋"/>
                <w:sz w:val="28"/>
                <w:szCs w:val="28"/>
                <w:lang w:eastAsia="zh-CN"/>
              </w:rPr>
              <w:t>养护期：</w:t>
            </w:r>
          </w:p>
        </w:tc>
      </w:tr>
      <w:tr>
        <w:tblPrEx>
          <w:tblCellMar>
            <w:top w:w="0" w:type="dxa"/>
            <w:left w:w="108" w:type="dxa"/>
            <w:bottom w:w="0" w:type="dxa"/>
            <w:right w:w="108" w:type="dxa"/>
          </w:tblCellMar>
        </w:tblPrEx>
        <w:trPr>
          <w:trHeight w:val="934" w:hRule="atLeast"/>
          <w:jc w:val="center"/>
        </w:trPr>
        <w:tc>
          <w:tcPr>
            <w:tcW w:w="1259" w:type="dxa"/>
            <w:tcBorders>
              <w:top w:val="single" w:color="auto" w:sz="6" w:space="0"/>
              <w:left w:val="single" w:color="auto" w:sz="6" w:space="0"/>
              <w:bottom w:val="single" w:color="auto" w:sz="6" w:space="0"/>
              <w:right w:val="single" w:color="auto" w:sz="4" w:space="0"/>
            </w:tcBorders>
            <w:noWrap w:val="0"/>
            <w:vAlign w:val="center"/>
          </w:tcPr>
          <w:p>
            <w:pPr>
              <w:adjustRightInd w:val="0"/>
              <w:snapToGrid w:val="0"/>
              <w:spacing w:line="360" w:lineRule="auto"/>
              <w:ind w:firstLine="280" w:firstLineChars="100"/>
              <w:rPr>
                <w:rFonts w:hint="eastAsia" w:ascii="仿宋" w:hAnsi="仿宋" w:eastAsia="仿宋" w:cs="仿宋"/>
                <w:sz w:val="28"/>
                <w:szCs w:val="28"/>
              </w:rPr>
            </w:pPr>
            <w:r>
              <w:rPr>
                <w:rFonts w:hint="eastAsia" w:ascii="仿宋" w:hAnsi="仿宋" w:eastAsia="仿宋" w:cs="仿宋"/>
                <w:sz w:val="28"/>
                <w:szCs w:val="28"/>
              </w:rPr>
              <w:t>总 计</w:t>
            </w:r>
          </w:p>
        </w:tc>
        <w:tc>
          <w:tcPr>
            <w:tcW w:w="8964" w:type="dxa"/>
            <w:gridSpan w:val="6"/>
            <w:tcBorders>
              <w:top w:val="single" w:color="auto" w:sz="6" w:space="0"/>
              <w:left w:val="single" w:color="auto" w:sz="6" w:space="0"/>
              <w:bottom w:val="single" w:color="auto" w:sz="6" w:space="0"/>
              <w:right w:val="single" w:color="auto" w:sz="4" w:space="0"/>
            </w:tcBorders>
            <w:noWrap w:val="0"/>
            <w:vAlign w:val="center"/>
          </w:tcPr>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人民币大写：                          </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      元</w:t>
            </w:r>
          </w:p>
        </w:tc>
      </w:tr>
    </w:tbl>
    <w:p>
      <w:pPr>
        <w:autoSpaceDE w:val="0"/>
        <w:autoSpaceDN w:val="0"/>
        <w:adjustRightInd w:val="0"/>
        <w:snapToGrid w:val="0"/>
        <w:spacing w:line="360" w:lineRule="auto"/>
        <w:rPr>
          <w:rFonts w:hint="eastAsia" w:ascii="仿宋" w:hAnsi="仿宋" w:eastAsia="仿宋" w:cs="仿宋"/>
          <w:sz w:val="28"/>
          <w:szCs w:val="28"/>
        </w:rPr>
      </w:pPr>
      <w:r>
        <w:rPr>
          <w:rFonts w:hint="eastAsia" w:ascii="仿宋" w:hAnsi="仿宋" w:eastAsia="仿宋" w:cs="仿宋"/>
          <w:b/>
          <w:bCs/>
          <w:sz w:val="28"/>
          <w:szCs w:val="28"/>
        </w:rPr>
        <w:t xml:space="preserve">                                                                                      </w:t>
      </w:r>
    </w:p>
    <w:p>
      <w:pPr>
        <w:autoSpaceDE w:val="0"/>
        <w:autoSpaceDN w:val="0"/>
        <w:adjustRightInd w:val="0"/>
        <w:snapToGrid w:val="0"/>
        <w:spacing w:line="360" w:lineRule="auto"/>
        <w:rPr>
          <w:rFonts w:hint="eastAsia" w:ascii="仿宋" w:hAnsi="仿宋" w:eastAsia="仿宋" w:cs="仿宋"/>
          <w:sz w:val="28"/>
          <w:szCs w:val="28"/>
          <w:lang w:val="zh-CN"/>
        </w:rPr>
      </w:pPr>
      <w:r>
        <w:rPr>
          <w:rFonts w:hint="eastAsia" w:ascii="仿宋" w:hAnsi="仿宋" w:eastAsia="仿宋" w:cs="仿宋"/>
          <w:sz w:val="28"/>
          <w:szCs w:val="28"/>
          <w:lang w:val="zh-CN"/>
        </w:rPr>
        <w:t>投标人</w:t>
      </w:r>
      <w:r>
        <w:rPr>
          <w:rFonts w:hint="eastAsia" w:ascii="仿宋" w:hAnsi="仿宋" w:eastAsia="仿宋" w:cs="仿宋"/>
          <w:sz w:val="28"/>
          <w:szCs w:val="28"/>
        </w:rPr>
        <w:t xml:space="preserve">                         </w:t>
      </w:r>
      <w:r>
        <w:rPr>
          <w:rFonts w:hint="eastAsia" w:ascii="仿宋" w:hAnsi="仿宋" w:eastAsia="仿宋" w:cs="仿宋"/>
          <w:sz w:val="28"/>
          <w:szCs w:val="28"/>
          <w:lang w:val="zh-CN"/>
        </w:rPr>
        <w:t>法定代表人</w:t>
      </w:r>
      <w:r>
        <w:rPr>
          <w:rFonts w:hint="eastAsia" w:ascii="仿宋" w:hAnsi="仿宋" w:eastAsia="仿宋" w:cs="仿宋"/>
          <w:sz w:val="28"/>
          <w:szCs w:val="28"/>
        </w:rPr>
        <w:t>或</w:t>
      </w:r>
      <w:r>
        <w:rPr>
          <w:rFonts w:hint="eastAsia" w:ascii="仿宋" w:hAnsi="仿宋" w:eastAsia="仿宋" w:cs="仿宋"/>
          <w:sz w:val="28"/>
          <w:szCs w:val="28"/>
          <w:lang w:val="zh-CN"/>
        </w:rPr>
        <w:t>授权代表</w:t>
      </w:r>
    </w:p>
    <w:p>
      <w:pPr>
        <w:autoSpaceDE w:val="0"/>
        <w:autoSpaceDN w:val="0"/>
        <w:adjustRightInd w:val="0"/>
        <w:snapToGrid w:val="0"/>
        <w:spacing w:line="360" w:lineRule="auto"/>
        <w:rPr>
          <w:rFonts w:hint="eastAsia" w:ascii="仿宋" w:hAnsi="仿宋" w:eastAsia="仿宋" w:cs="仿宋"/>
          <w:sz w:val="28"/>
          <w:szCs w:val="28"/>
          <w:lang w:val="zh-CN"/>
        </w:rPr>
      </w:pPr>
      <w:r>
        <w:rPr>
          <w:rFonts w:hint="eastAsia" w:ascii="仿宋" w:hAnsi="仿宋" w:eastAsia="仿宋" w:cs="仿宋"/>
          <w:sz w:val="28"/>
          <w:szCs w:val="28"/>
          <w:lang w:val="zh-CN"/>
        </w:rPr>
        <w:t>（单位公章）：                     （签字并盖章）：</w:t>
      </w:r>
    </w:p>
    <w:p>
      <w:pPr>
        <w:autoSpaceDE w:val="0"/>
        <w:autoSpaceDN w:val="0"/>
        <w:adjustRightInd w:val="0"/>
        <w:snapToGrid w:val="0"/>
        <w:spacing w:line="360" w:lineRule="auto"/>
        <w:rPr>
          <w:rFonts w:hint="eastAsia" w:ascii="仿宋" w:hAnsi="仿宋" w:eastAsia="仿宋" w:cs="仿宋"/>
          <w:sz w:val="28"/>
          <w:szCs w:val="28"/>
          <w:lang w:val="zh-CN"/>
        </w:rPr>
      </w:pPr>
    </w:p>
    <w:p>
      <w:pPr>
        <w:autoSpaceDE w:val="0"/>
        <w:autoSpaceDN w:val="0"/>
        <w:adjustRightInd w:val="0"/>
        <w:snapToGrid w:val="0"/>
        <w:spacing w:line="360" w:lineRule="auto"/>
        <w:ind w:firstLine="280" w:firstLineChars="100"/>
        <w:rPr>
          <w:rFonts w:hint="eastAsia" w:ascii="仿宋" w:hAnsi="仿宋" w:eastAsia="仿宋" w:cs="仿宋"/>
          <w:sz w:val="28"/>
          <w:szCs w:val="28"/>
          <w:lang w:val="zh-CN"/>
        </w:rPr>
      </w:pPr>
      <w:r>
        <w:rPr>
          <w:rFonts w:hint="eastAsia" w:ascii="仿宋" w:hAnsi="仿宋" w:eastAsia="仿宋" w:cs="仿宋"/>
          <w:sz w:val="28"/>
          <w:szCs w:val="28"/>
          <w:lang w:val="zh-CN"/>
        </w:rPr>
        <w:t xml:space="preserve">                          </w:t>
      </w:r>
      <w:r>
        <w:rPr>
          <w:rFonts w:hint="eastAsia" w:ascii="仿宋" w:hAnsi="仿宋" w:eastAsia="仿宋" w:cs="仿宋"/>
          <w:sz w:val="28"/>
          <w:szCs w:val="28"/>
          <w:u w:val="single"/>
          <w:lang w:val="zh-CN"/>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u w:val="single"/>
          <w:lang w:val="zh-CN"/>
        </w:rPr>
        <w:t xml:space="preserve">      </w:t>
      </w:r>
      <w:r>
        <w:rPr>
          <w:rFonts w:hint="eastAsia" w:ascii="仿宋" w:hAnsi="仿宋" w:eastAsia="仿宋" w:cs="仿宋"/>
          <w:sz w:val="28"/>
          <w:szCs w:val="28"/>
          <w:lang w:val="zh-CN"/>
        </w:rPr>
        <w:t>月</w:t>
      </w:r>
      <w:r>
        <w:rPr>
          <w:rFonts w:hint="eastAsia" w:ascii="仿宋" w:hAnsi="仿宋" w:eastAsia="仿宋" w:cs="仿宋"/>
          <w:sz w:val="28"/>
          <w:szCs w:val="28"/>
          <w:u w:val="single"/>
          <w:lang w:val="zh-CN"/>
        </w:rPr>
        <w:t xml:space="preserve">      </w:t>
      </w:r>
      <w:r>
        <w:rPr>
          <w:rFonts w:hint="eastAsia" w:ascii="仿宋" w:hAnsi="仿宋" w:eastAsia="仿宋" w:cs="仿宋"/>
          <w:sz w:val="28"/>
          <w:szCs w:val="28"/>
          <w:lang w:val="zh-CN"/>
        </w:rPr>
        <w:t>日</w:t>
      </w:r>
    </w:p>
    <w:p>
      <w:pPr>
        <w:autoSpaceDE w:val="0"/>
        <w:autoSpaceDN w:val="0"/>
        <w:adjustRightInd w:val="0"/>
        <w:snapToGrid w:val="0"/>
        <w:spacing w:line="360" w:lineRule="auto"/>
        <w:rPr>
          <w:rFonts w:hint="eastAsia" w:ascii="仿宋" w:hAnsi="仿宋" w:eastAsia="仿宋" w:cs="仿宋"/>
          <w:sz w:val="28"/>
          <w:szCs w:val="28"/>
        </w:rPr>
        <w:sectPr>
          <w:pgSz w:w="11906" w:h="16838"/>
          <w:pgMar w:top="1418" w:right="1418" w:bottom="1418" w:left="1418" w:header="851" w:footer="992" w:gutter="0"/>
          <w:pgNumType w:fmt="decimal"/>
          <w:cols w:space="720" w:num="1"/>
          <w:docGrid w:linePitch="312" w:charSpace="0"/>
        </w:sect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32"/>
          <w:szCs w:val="32"/>
        </w:rPr>
      </w:pPr>
      <w:r>
        <w:rPr>
          <w:rFonts w:hint="eastAsia" w:ascii="仿宋" w:hAnsi="仿宋" w:eastAsia="仿宋" w:cs="仿宋"/>
          <w:b/>
          <w:sz w:val="32"/>
          <w:szCs w:val="32"/>
        </w:rPr>
        <w:t>报价明细表</w:t>
      </w:r>
    </w:p>
    <w:p>
      <w:pPr>
        <w:spacing w:line="360" w:lineRule="auto"/>
        <w:jc w:val="center"/>
        <w:rPr>
          <w:rFonts w:hint="eastAsia" w:ascii="仿宋" w:hAnsi="仿宋" w:eastAsia="仿宋" w:cs="仿宋"/>
          <w:b/>
          <w:sz w:val="32"/>
          <w:szCs w:val="32"/>
        </w:rPr>
      </w:pPr>
      <w:r>
        <w:rPr>
          <w:rFonts w:hint="eastAsia" w:ascii="仿宋" w:hAnsi="仿宋" w:eastAsia="仿宋" w:cs="仿宋"/>
          <w:sz w:val="28"/>
          <w:szCs w:val="28"/>
        </w:rPr>
        <w:t xml:space="preserve"> </w:t>
      </w:r>
      <w:r>
        <w:rPr>
          <w:rFonts w:hint="eastAsia" w:ascii="仿宋" w:hAnsi="仿宋" w:eastAsia="仿宋" w:cs="仿宋"/>
          <w:sz w:val="28"/>
          <w:szCs w:val="28"/>
          <w:lang w:eastAsia="zh-CN"/>
        </w:rPr>
        <w:t>（</w:t>
      </w:r>
      <w:r>
        <w:rPr>
          <w:rFonts w:hint="eastAsia" w:ascii="仿宋" w:hAnsi="仿宋" w:eastAsia="仿宋" w:cs="仿宋"/>
          <w:b/>
          <w:sz w:val="32"/>
          <w:szCs w:val="32"/>
        </w:rPr>
        <w:t>格式自拟</w:t>
      </w:r>
      <w:r>
        <w:rPr>
          <w:rFonts w:hint="eastAsia" w:ascii="仿宋" w:hAnsi="仿宋" w:eastAsia="仿宋" w:cs="仿宋"/>
          <w:sz w:val="28"/>
          <w:szCs w:val="28"/>
          <w:lang w:eastAsia="zh-CN"/>
        </w:rPr>
        <w:t>）</w:t>
      </w:r>
    </w:p>
    <w:p>
      <w:pPr>
        <w:adjustRightInd w:val="0"/>
        <w:snapToGrid w:val="0"/>
        <w:spacing w:line="360" w:lineRule="auto"/>
        <w:rPr>
          <w:rFonts w:hint="eastAsia" w:ascii="仿宋" w:hAnsi="仿宋" w:eastAsia="仿宋" w:cs="仿宋"/>
          <w:sz w:val="28"/>
          <w:szCs w:val="28"/>
        </w:rPr>
      </w:pPr>
    </w:p>
    <w:p>
      <w:pPr>
        <w:pStyle w:val="4"/>
        <w:outlineLvl w:val="9"/>
        <w:rPr>
          <w:rFonts w:hint="eastAsia" w:ascii="仿宋" w:hAnsi="仿宋" w:eastAsia="仿宋" w:cs="仿宋"/>
          <w:sz w:val="28"/>
          <w:szCs w:val="28"/>
        </w:rPr>
      </w:pPr>
    </w:p>
    <w:p>
      <w:pPr>
        <w:rPr>
          <w:rFonts w:hint="eastAsia"/>
        </w:rPr>
      </w:pPr>
    </w:p>
    <w:p>
      <w:pPr>
        <w:spacing w:line="360" w:lineRule="auto"/>
        <w:jc w:val="center"/>
        <w:rPr>
          <w:rFonts w:hint="eastAsia" w:ascii="宋体" w:hAnsi="宋体"/>
          <w:b/>
          <w:sz w:val="30"/>
          <w:szCs w:val="30"/>
        </w:rPr>
      </w:pPr>
      <w:r>
        <w:rPr>
          <w:rFonts w:hint="eastAsia" w:ascii="宋体" w:hAnsi="宋体"/>
          <w:b/>
          <w:sz w:val="30"/>
          <w:szCs w:val="30"/>
        </w:rPr>
        <w:t>投标人针对报价需要说明的其他文件（格式自拟）</w:t>
      </w:r>
    </w:p>
    <w:p>
      <w:pPr>
        <w:spacing w:line="360" w:lineRule="auto"/>
        <w:ind w:firstLine="643" w:firstLineChars="200"/>
        <w:jc w:val="center"/>
        <w:rPr>
          <w:rFonts w:hint="eastAsia" w:ascii="宋体" w:hAnsi="宋体"/>
          <w:b/>
          <w:bCs/>
          <w:sz w:val="32"/>
          <w:szCs w:val="32"/>
        </w:rPr>
      </w:pPr>
    </w:p>
    <w:p>
      <w:pPr>
        <w:spacing w:line="360" w:lineRule="auto"/>
        <w:ind w:firstLine="643" w:firstLineChars="200"/>
        <w:jc w:val="center"/>
        <w:rPr>
          <w:rFonts w:hint="eastAsia" w:ascii="宋体" w:hAnsi="宋体"/>
          <w:b/>
          <w:bCs/>
          <w:sz w:val="32"/>
          <w:szCs w:val="32"/>
        </w:rPr>
      </w:pPr>
    </w:p>
    <w:p>
      <w:pPr>
        <w:spacing w:line="360" w:lineRule="auto"/>
        <w:ind w:firstLine="643" w:firstLineChars="200"/>
        <w:jc w:val="center"/>
        <w:rPr>
          <w:rFonts w:hint="eastAsia" w:ascii="宋体" w:hAnsi="宋体"/>
          <w:b/>
          <w:bCs/>
          <w:sz w:val="32"/>
          <w:szCs w:val="32"/>
        </w:rPr>
      </w:pPr>
    </w:p>
    <w:p>
      <w:pPr>
        <w:spacing w:line="360" w:lineRule="auto"/>
        <w:ind w:firstLine="643" w:firstLineChars="200"/>
        <w:jc w:val="center"/>
        <w:rPr>
          <w:rFonts w:hint="eastAsia" w:ascii="宋体" w:hAnsi="宋体"/>
          <w:b/>
          <w:bCs/>
          <w:sz w:val="32"/>
          <w:szCs w:val="32"/>
        </w:rPr>
      </w:pPr>
    </w:p>
    <w:p>
      <w:pPr>
        <w:spacing w:line="360" w:lineRule="auto"/>
        <w:ind w:firstLine="643" w:firstLineChars="200"/>
        <w:jc w:val="center"/>
        <w:rPr>
          <w:rFonts w:hint="eastAsia" w:ascii="宋体" w:hAnsi="宋体"/>
          <w:b/>
          <w:bCs/>
          <w:sz w:val="32"/>
          <w:szCs w:val="32"/>
        </w:rPr>
      </w:pPr>
    </w:p>
    <w:p>
      <w:pPr>
        <w:spacing w:line="360" w:lineRule="auto"/>
        <w:ind w:firstLine="643" w:firstLineChars="200"/>
        <w:jc w:val="center"/>
        <w:rPr>
          <w:rFonts w:hint="eastAsia" w:ascii="宋体" w:hAnsi="宋体"/>
          <w:b/>
          <w:bCs/>
          <w:sz w:val="32"/>
          <w:szCs w:val="32"/>
        </w:rPr>
      </w:pPr>
    </w:p>
    <w:p>
      <w:pPr>
        <w:spacing w:line="360" w:lineRule="auto"/>
        <w:ind w:firstLine="643" w:firstLineChars="200"/>
        <w:jc w:val="center"/>
        <w:rPr>
          <w:rFonts w:hint="eastAsia" w:ascii="宋体" w:hAnsi="宋体"/>
          <w:b/>
          <w:bCs/>
          <w:sz w:val="32"/>
          <w:szCs w:val="32"/>
        </w:rPr>
      </w:pPr>
    </w:p>
    <w:p>
      <w:pPr>
        <w:spacing w:line="360" w:lineRule="auto"/>
        <w:ind w:firstLine="643" w:firstLineChars="200"/>
        <w:jc w:val="center"/>
        <w:rPr>
          <w:rFonts w:hint="eastAsia" w:ascii="宋体" w:hAnsi="宋体"/>
          <w:b/>
          <w:bCs/>
          <w:sz w:val="32"/>
          <w:szCs w:val="32"/>
        </w:rPr>
      </w:pPr>
    </w:p>
    <w:p>
      <w:pPr>
        <w:pStyle w:val="4"/>
        <w:outlineLvl w:val="9"/>
        <w:rPr>
          <w:rFonts w:hint="eastAsia" w:ascii="宋体" w:hAnsi="宋体"/>
          <w:b/>
          <w:bCs/>
          <w:sz w:val="32"/>
          <w:szCs w:val="32"/>
        </w:rPr>
      </w:pPr>
    </w:p>
    <w:p>
      <w:pPr>
        <w:rPr>
          <w:rFonts w:hint="eastAsia" w:ascii="宋体" w:hAnsi="宋体"/>
          <w:b/>
          <w:bCs/>
          <w:sz w:val="32"/>
          <w:szCs w:val="32"/>
        </w:rPr>
      </w:pPr>
    </w:p>
    <w:p>
      <w:pPr>
        <w:pStyle w:val="4"/>
        <w:outlineLvl w:val="9"/>
        <w:rPr>
          <w:rFonts w:hint="eastAsia" w:ascii="宋体" w:hAnsi="宋体"/>
          <w:b/>
          <w:bCs/>
          <w:sz w:val="32"/>
          <w:szCs w:val="32"/>
        </w:rPr>
      </w:pPr>
    </w:p>
    <w:p>
      <w:pPr>
        <w:rPr>
          <w:rFonts w:hint="eastAsia" w:ascii="宋体" w:hAnsi="宋体"/>
          <w:b/>
          <w:bCs/>
          <w:sz w:val="32"/>
          <w:szCs w:val="32"/>
        </w:rPr>
      </w:pPr>
    </w:p>
    <w:p>
      <w:pPr>
        <w:spacing w:line="360" w:lineRule="auto"/>
        <w:ind w:firstLine="643" w:firstLineChars="200"/>
        <w:jc w:val="center"/>
        <w:rPr>
          <w:rFonts w:hint="eastAsia" w:ascii="宋体" w:hAnsi="宋体"/>
          <w:b/>
          <w:bCs/>
          <w:sz w:val="32"/>
          <w:szCs w:val="32"/>
        </w:rPr>
      </w:pPr>
    </w:p>
    <w:p>
      <w:pPr>
        <w:pStyle w:val="4"/>
        <w:outlineLvl w:val="9"/>
        <w:rPr>
          <w:rFonts w:hint="eastAsia"/>
        </w:rPr>
      </w:pPr>
    </w:p>
    <w:p>
      <w:pPr>
        <w:spacing w:line="360" w:lineRule="auto"/>
        <w:ind w:firstLine="643" w:firstLineChars="200"/>
        <w:jc w:val="center"/>
        <w:outlineLvl w:val="0"/>
        <w:rPr>
          <w:rFonts w:hint="eastAsia" w:ascii="仿宋" w:hAnsi="仿宋" w:eastAsia="仿宋" w:cs="仿宋"/>
          <w:b/>
          <w:bCs/>
          <w:sz w:val="32"/>
          <w:szCs w:val="32"/>
          <w:lang w:eastAsia="zh-CN"/>
        </w:rPr>
      </w:pPr>
      <w:bookmarkStart w:id="503" w:name="_Toc28111"/>
      <w:r>
        <w:rPr>
          <w:rFonts w:hint="eastAsia" w:ascii="仿宋" w:hAnsi="仿宋" w:eastAsia="仿宋" w:cs="仿宋"/>
          <w:b/>
          <w:bCs/>
          <w:sz w:val="32"/>
          <w:szCs w:val="32"/>
          <w:lang w:eastAsia="zh-CN"/>
        </w:rPr>
        <w:t>第</w:t>
      </w:r>
      <w:r>
        <w:rPr>
          <w:rFonts w:hint="eastAsia" w:ascii="仿宋" w:hAnsi="仿宋" w:eastAsia="仿宋" w:cs="仿宋"/>
          <w:b/>
          <w:bCs/>
          <w:sz w:val="32"/>
          <w:szCs w:val="32"/>
          <w:lang w:val="en-US" w:eastAsia="zh-CN"/>
        </w:rPr>
        <w:t xml:space="preserve">4部分  </w:t>
      </w:r>
      <w:r>
        <w:rPr>
          <w:rFonts w:hint="eastAsia" w:ascii="仿宋" w:hAnsi="仿宋" w:eastAsia="仿宋" w:cs="仿宋"/>
          <w:b/>
          <w:bCs/>
          <w:sz w:val="32"/>
          <w:szCs w:val="32"/>
        </w:rPr>
        <w:t>商务</w:t>
      </w:r>
      <w:r>
        <w:rPr>
          <w:rFonts w:hint="eastAsia" w:ascii="仿宋" w:hAnsi="仿宋" w:eastAsia="仿宋" w:cs="仿宋"/>
          <w:b/>
          <w:bCs/>
          <w:sz w:val="32"/>
          <w:szCs w:val="32"/>
          <w:lang w:eastAsia="zh-CN"/>
        </w:rPr>
        <w:t>投标方案</w:t>
      </w:r>
      <w:bookmarkEnd w:id="503"/>
    </w:p>
    <w:p>
      <w:pPr>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rPr>
        <w:t>1、政府采购诚信承诺书；（附件3）</w:t>
      </w:r>
    </w:p>
    <w:p>
      <w:pPr>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lang w:val="en-US" w:eastAsia="zh-CN"/>
        </w:rPr>
        <w:t>2</w:t>
      </w:r>
      <w:r>
        <w:rPr>
          <w:rFonts w:hint="eastAsia" w:ascii="仿宋" w:hAnsi="仿宋" w:eastAsia="仿宋" w:cs="仿宋"/>
          <w:bCs/>
          <w:sz w:val="28"/>
          <w:szCs w:val="28"/>
        </w:rPr>
        <w:t>、商务响应表(见附件</w:t>
      </w:r>
      <w:r>
        <w:rPr>
          <w:rFonts w:hint="eastAsia" w:ascii="仿宋" w:hAnsi="仿宋" w:eastAsia="仿宋" w:cs="仿宋"/>
          <w:bCs/>
          <w:sz w:val="28"/>
          <w:szCs w:val="28"/>
          <w:lang w:val="en-US" w:eastAsia="zh-CN"/>
        </w:rPr>
        <w:t>2</w:t>
      </w:r>
      <w:r>
        <w:rPr>
          <w:rFonts w:hint="eastAsia" w:ascii="仿宋" w:hAnsi="仿宋" w:eastAsia="仿宋" w:cs="仿宋"/>
          <w:bCs/>
          <w:sz w:val="28"/>
          <w:szCs w:val="28"/>
        </w:rPr>
        <w:t>)</w:t>
      </w:r>
    </w:p>
    <w:p>
      <w:pPr>
        <w:spacing w:line="360"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lang w:val="en-US" w:eastAsia="zh-CN"/>
        </w:rPr>
        <w:t>3</w:t>
      </w:r>
      <w:r>
        <w:rPr>
          <w:rFonts w:hint="eastAsia" w:ascii="仿宋" w:hAnsi="仿宋" w:eastAsia="仿宋" w:cs="仿宋"/>
          <w:bCs/>
          <w:sz w:val="28"/>
          <w:szCs w:val="28"/>
        </w:rPr>
        <w:t>、中小企业声明函 (见附件</w:t>
      </w:r>
      <w:r>
        <w:rPr>
          <w:rFonts w:hint="eastAsia" w:ascii="仿宋" w:hAnsi="仿宋" w:eastAsia="仿宋" w:cs="仿宋"/>
          <w:bCs/>
          <w:sz w:val="28"/>
          <w:szCs w:val="28"/>
          <w:lang w:val="en-US" w:eastAsia="zh-CN"/>
        </w:rPr>
        <w:t>3</w:t>
      </w:r>
      <w:r>
        <w:rPr>
          <w:rFonts w:hint="eastAsia" w:ascii="仿宋" w:hAnsi="仿宋" w:eastAsia="仿宋" w:cs="仿宋"/>
          <w:bCs/>
          <w:sz w:val="28"/>
          <w:szCs w:val="28"/>
        </w:rPr>
        <w:t>)</w:t>
      </w:r>
    </w:p>
    <w:p>
      <w:pPr>
        <w:spacing w:line="360" w:lineRule="auto"/>
        <w:ind w:firstLine="480" w:firstLineChars="200"/>
        <w:rPr>
          <w:rFonts w:hint="eastAsia" w:ascii="仿宋" w:hAnsi="仿宋" w:eastAsia="仿宋" w:cs="仿宋"/>
          <w:bCs/>
          <w:sz w:val="24"/>
          <w:szCs w:val="24"/>
        </w:rPr>
      </w:pPr>
    </w:p>
    <w:p>
      <w:pPr>
        <w:spacing w:line="360" w:lineRule="auto"/>
        <w:ind w:firstLine="480" w:firstLineChars="200"/>
        <w:rPr>
          <w:rFonts w:hint="eastAsia" w:ascii="仿宋" w:hAnsi="仿宋" w:eastAsia="仿宋" w:cs="仿宋"/>
          <w:bCs/>
          <w:sz w:val="24"/>
          <w:szCs w:val="24"/>
        </w:rPr>
      </w:pPr>
    </w:p>
    <w:p>
      <w:pPr>
        <w:spacing w:line="360" w:lineRule="auto"/>
        <w:ind w:firstLine="480" w:firstLineChars="200"/>
        <w:rPr>
          <w:rFonts w:hint="eastAsia" w:ascii="仿宋" w:hAnsi="仿宋" w:eastAsia="仿宋" w:cs="仿宋"/>
          <w:bCs/>
          <w:sz w:val="24"/>
          <w:szCs w:val="24"/>
        </w:rPr>
      </w:pPr>
    </w:p>
    <w:p>
      <w:pPr>
        <w:pStyle w:val="4"/>
        <w:outlineLvl w:val="9"/>
        <w:rPr>
          <w:rFonts w:hint="eastAsia" w:ascii="仿宋" w:hAnsi="仿宋" w:eastAsia="仿宋" w:cs="仿宋"/>
          <w:bCs/>
          <w:sz w:val="24"/>
          <w:szCs w:val="24"/>
        </w:rPr>
      </w:pPr>
    </w:p>
    <w:p>
      <w:pPr>
        <w:rPr>
          <w:rFonts w:hint="eastAsia" w:ascii="仿宋" w:hAnsi="仿宋" w:eastAsia="仿宋" w:cs="仿宋"/>
          <w:bCs/>
          <w:sz w:val="24"/>
          <w:szCs w:val="24"/>
        </w:rPr>
      </w:pPr>
    </w:p>
    <w:p>
      <w:pPr>
        <w:pStyle w:val="4"/>
        <w:outlineLvl w:val="9"/>
        <w:rPr>
          <w:rFonts w:hint="eastAsia" w:ascii="仿宋" w:hAnsi="仿宋" w:eastAsia="仿宋" w:cs="仿宋"/>
          <w:bCs/>
          <w:sz w:val="24"/>
          <w:szCs w:val="24"/>
        </w:rPr>
      </w:pPr>
    </w:p>
    <w:p>
      <w:pPr>
        <w:rPr>
          <w:rFonts w:hint="eastAsia" w:ascii="仿宋" w:hAnsi="仿宋" w:eastAsia="仿宋" w:cs="仿宋"/>
          <w:bCs/>
          <w:sz w:val="24"/>
          <w:szCs w:val="24"/>
        </w:rPr>
      </w:pPr>
    </w:p>
    <w:p>
      <w:pPr>
        <w:pStyle w:val="4"/>
        <w:outlineLvl w:val="9"/>
        <w:rPr>
          <w:rFonts w:hint="eastAsia" w:ascii="仿宋" w:hAnsi="仿宋" w:eastAsia="仿宋" w:cs="仿宋"/>
          <w:bCs/>
          <w:sz w:val="24"/>
          <w:szCs w:val="24"/>
        </w:rPr>
      </w:pPr>
    </w:p>
    <w:p>
      <w:pPr>
        <w:rPr>
          <w:rFonts w:hint="eastAsia" w:ascii="仿宋" w:hAnsi="仿宋" w:eastAsia="仿宋" w:cs="仿宋"/>
          <w:bCs/>
          <w:sz w:val="24"/>
          <w:szCs w:val="24"/>
        </w:rPr>
      </w:pPr>
    </w:p>
    <w:p>
      <w:pPr>
        <w:pStyle w:val="4"/>
        <w:outlineLvl w:val="9"/>
        <w:rPr>
          <w:rFonts w:hint="eastAsia" w:ascii="仿宋" w:hAnsi="仿宋" w:eastAsia="仿宋" w:cs="仿宋"/>
          <w:bCs/>
          <w:sz w:val="24"/>
          <w:szCs w:val="24"/>
        </w:rPr>
      </w:pPr>
    </w:p>
    <w:p>
      <w:pPr>
        <w:rPr>
          <w:rFonts w:hint="eastAsia" w:ascii="仿宋" w:hAnsi="仿宋" w:eastAsia="仿宋" w:cs="仿宋"/>
          <w:bCs/>
          <w:sz w:val="24"/>
          <w:szCs w:val="24"/>
        </w:rPr>
      </w:pPr>
    </w:p>
    <w:p>
      <w:pPr>
        <w:rPr>
          <w:rFonts w:hint="eastAsia" w:ascii="仿宋" w:hAnsi="仿宋" w:eastAsia="仿宋" w:cs="仿宋"/>
          <w:bCs/>
          <w:sz w:val="24"/>
          <w:szCs w:val="24"/>
        </w:rPr>
      </w:pPr>
    </w:p>
    <w:p>
      <w:pPr>
        <w:spacing w:line="360" w:lineRule="auto"/>
        <w:ind w:firstLine="480" w:firstLineChars="200"/>
        <w:rPr>
          <w:rFonts w:hint="eastAsia" w:ascii="仿宋" w:hAnsi="仿宋" w:eastAsia="仿宋" w:cs="仿宋"/>
          <w:bCs/>
          <w:sz w:val="24"/>
          <w:szCs w:val="24"/>
        </w:rPr>
      </w:pPr>
    </w:p>
    <w:p>
      <w:pPr>
        <w:pStyle w:val="4"/>
        <w:outlineLvl w:val="9"/>
        <w:rPr>
          <w:rFonts w:hint="eastAsia" w:ascii="仿宋" w:hAnsi="仿宋" w:eastAsia="仿宋" w:cs="仿宋"/>
          <w:bCs/>
          <w:sz w:val="24"/>
          <w:szCs w:val="24"/>
        </w:rPr>
      </w:pPr>
    </w:p>
    <w:p>
      <w:pPr>
        <w:pStyle w:val="4"/>
        <w:outlineLvl w:val="9"/>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spacing w:line="360" w:lineRule="auto"/>
        <w:rPr>
          <w:rFonts w:hint="eastAsia" w:ascii="仿宋" w:hAnsi="仿宋" w:eastAsia="仿宋" w:cs="仿宋"/>
          <w:bCs/>
          <w:sz w:val="24"/>
          <w:szCs w:val="24"/>
          <w:lang w:eastAsia="zh-CN"/>
        </w:rPr>
      </w:pPr>
      <w:r>
        <w:rPr>
          <w:rFonts w:hint="eastAsia" w:ascii="仿宋" w:hAnsi="仿宋" w:eastAsia="仿宋" w:cs="仿宋"/>
          <w:bCs/>
          <w:sz w:val="24"/>
          <w:szCs w:val="24"/>
        </w:rPr>
        <w:t>附件</w:t>
      </w:r>
      <w:r>
        <w:rPr>
          <w:rFonts w:hint="eastAsia" w:ascii="仿宋" w:hAnsi="仿宋" w:eastAsia="仿宋" w:cs="仿宋"/>
          <w:bCs/>
          <w:sz w:val="24"/>
          <w:szCs w:val="24"/>
          <w:lang w:val="en-US" w:eastAsia="zh-CN"/>
        </w:rPr>
        <w:t>1</w:t>
      </w:r>
    </w:p>
    <w:p>
      <w:pPr>
        <w:spacing w:line="360" w:lineRule="auto"/>
        <w:ind w:firstLine="643" w:firstLineChars="200"/>
        <w:jc w:val="center"/>
        <w:rPr>
          <w:rFonts w:hint="eastAsia" w:ascii="仿宋" w:hAnsi="仿宋" w:eastAsia="仿宋" w:cs="仿宋"/>
          <w:b/>
          <w:bCs/>
          <w:sz w:val="32"/>
          <w:szCs w:val="32"/>
        </w:rPr>
      </w:pPr>
      <w:r>
        <w:rPr>
          <w:rFonts w:hint="eastAsia" w:ascii="仿宋" w:hAnsi="仿宋" w:eastAsia="仿宋" w:cs="仿宋"/>
          <w:b/>
          <w:bCs/>
          <w:sz w:val="32"/>
          <w:szCs w:val="32"/>
        </w:rPr>
        <w:t>政府采购诚信承诺书</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（采购人） ：</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我公司</w:t>
      </w:r>
      <w:r>
        <w:rPr>
          <w:rFonts w:hint="eastAsia" w:ascii="仿宋" w:hAnsi="仿宋" w:eastAsia="仿宋" w:cs="仿宋"/>
          <w:sz w:val="24"/>
          <w:szCs w:val="24"/>
          <w:u w:val="single"/>
        </w:rPr>
        <w:t xml:space="preserve">               </w:t>
      </w:r>
      <w:r>
        <w:rPr>
          <w:rFonts w:hint="eastAsia" w:ascii="仿宋" w:hAnsi="仿宋" w:eastAsia="仿宋" w:cs="仿宋"/>
          <w:sz w:val="24"/>
          <w:szCs w:val="24"/>
        </w:rPr>
        <w:t>（投标人名称）已详细阅读了</w:t>
      </w:r>
      <w:r>
        <w:rPr>
          <w:rFonts w:hint="eastAsia" w:ascii="仿宋" w:hAnsi="仿宋" w:eastAsia="仿宋" w:cs="仿宋"/>
          <w:sz w:val="24"/>
          <w:szCs w:val="24"/>
          <w:u w:val="single"/>
        </w:rPr>
        <w:t xml:space="preserve">             </w:t>
      </w:r>
      <w:r>
        <w:rPr>
          <w:rFonts w:hint="eastAsia" w:ascii="仿宋" w:hAnsi="仿宋" w:eastAsia="仿宋" w:cs="仿宋"/>
          <w:sz w:val="24"/>
          <w:szCs w:val="24"/>
        </w:rPr>
        <w:t>项目（项目编号：</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）招标文件，自愿参加本次投标，现就有关事项郑重承诺如下：</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一、诚信投标，材料真实。我公司保证所提供的全部材料、投标内容均真实、合法、有效，保证不出借或者借用其他企业资质，不以他人名义投标，不弄虚作假；</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遵纪守法，公平竞争。不与其他投标人相互串通、哄抬价格，不排挤其他投标人，不损害招标人的合法权益；不向采购人、采购代理机构、评标委员会成员等及其他参与招标活动的人员行贿或采用其他不正当手段谋取中标；</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三、不捏造事实或借用他人名义进行虚假、恶意质疑和投诉，不以质疑或投诉为名排挤竞争对手，干扰政府采购秩序；</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四、若中标后，将按照规定及时与采购人签订政府采购合同，不与采购人订立有悖于招标结果的合同或协议；严格履行政府采购合同，不降低合同约定的产品质量及相关服务，不擅自变更、中止、终止合同，或者拒绝履行合同义务。</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若有违反以上承诺内容的行为，我公司自愿接受取消投标资格、记入信用档案、没收投标保证金、媒体通报、1～3年内禁止参与政府采购活动等处罚；如已中标的，自动放弃中标资格，并承担全部法律责任；给采购人造成损失的，依法承担赔偿责任。</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投标人名称(公章)：</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法定代表人（签字）：</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日期：     年   月   日</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w:t>
      </w:r>
    </w:p>
    <w:p>
      <w:pPr>
        <w:spacing w:line="360" w:lineRule="auto"/>
        <w:ind w:firstLine="480" w:firstLineChars="200"/>
        <w:rPr>
          <w:rFonts w:hint="eastAsia" w:ascii="仿宋" w:hAnsi="仿宋" w:eastAsia="仿宋" w:cs="仿宋"/>
          <w:sz w:val="24"/>
          <w:szCs w:val="24"/>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w:t>
      </w: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spacing w:line="360" w:lineRule="auto"/>
        <w:ind w:firstLine="4016" w:firstLineChars="1250"/>
        <w:rPr>
          <w:rFonts w:hint="eastAsia" w:ascii="仿宋" w:hAnsi="仿宋" w:eastAsia="仿宋" w:cs="仿宋"/>
          <w:sz w:val="24"/>
          <w:szCs w:val="24"/>
        </w:rPr>
      </w:pPr>
      <w:r>
        <w:rPr>
          <w:rFonts w:hint="eastAsia" w:ascii="仿宋" w:hAnsi="仿宋" w:eastAsia="仿宋" w:cs="仿宋"/>
          <w:b/>
          <w:bCs/>
          <w:sz w:val="32"/>
          <w:szCs w:val="32"/>
        </w:rPr>
        <w:t>承诺书Ⅱ</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lang w:eastAsia="zh-CN"/>
              </w:rPr>
              <w:t>吴起</w:t>
            </w:r>
            <w:r>
              <w:rPr>
                <w:rFonts w:hint="eastAsia" w:ascii="仿宋" w:hAnsi="仿宋" w:eastAsia="仿宋" w:cs="仿宋"/>
                <w:sz w:val="24"/>
                <w:szCs w:val="24"/>
              </w:rPr>
              <w:t>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作为参加贵单位组织的招标采购项目的投标单位，本公司承诺：在参加本项目招标之前不存在被依法禁止经营行为、财产被接管或冻结的情况，如有隐瞒实情，愿承担一切责任及后果。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投标单位</w:t>
            </w:r>
          </w:p>
        </w:tc>
        <w:tc>
          <w:tcPr>
            <w:tcW w:w="342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法定代表人</w:t>
            </w:r>
          </w:p>
        </w:tc>
        <w:tc>
          <w:tcPr>
            <w:tcW w:w="234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5" w:hRule="atLeast"/>
          <w:jc w:val="center"/>
        </w:trPr>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（公章）</w:t>
            </w:r>
          </w:p>
        </w:tc>
        <w:tc>
          <w:tcPr>
            <w:tcW w:w="342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（签字和盖章）</w:t>
            </w:r>
          </w:p>
        </w:tc>
        <w:tc>
          <w:tcPr>
            <w:tcW w:w="2340" w:type="dxa"/>
            <w:tcBorders>
              <w:top w:val="single" w:color="auto" w:sz="4" w:space="0"/>
              <w:left w:val="nil"/>
              <w:bottom w:val="single" w:color="auto" w:sz="4" w:space="0"/>
              <w:right w:val="single" w:color="auto" w:sz="4" w:space="0"/>
            </w:tcBorders>
            <w:noWrap w:val="0"/>
            <w:vAlign w:val="center"/>
          </w:tcPr>
          <w:p>
            <w:pPr>
              <w:spacing w:line="360" w:lineRule="auto"/>
              <w:ind w:firstLine="240" w:firstLineChars="100"/>
              <w:jc w:val="center"/>
              <w:rPr>
                <w:rFonts w:hint="eastAsia" w:ascii="仿宋" w:hAnsi="仿宋" w:eastAsia="仿宋" w:cs="仿宋"/>
                <w:sz w:val="24"/>
                <w:szCs w:val="24"/>
              </w:rPr>
            </w:pPr>
            <w:r>
              <w:rPr>
                <w:rFonts w:hint="eastAsia" w:ascii="仿宋" w:hAnsi="仿宋" w:eastAsia="仿宋" w:cs="仿宋"/>
                <w:sz w:val="24"/>
                <w:szCs w:val="24"/>
              </w:rPr>
              <w:t>年  月  日</w:t>
            </w:r>
          </w:p>
        </w:tc>
      </w:tr>
    </w:tbl>
    <w:p>
      <w:pPr>
        <w:spacing w:line="360" w:lineRule="auto"/>
        <w:rPr>
          <w:rFonts w:hint="eastAsia" w:ascii="仿宋" w:hAnsi="仿宋" w:eastAsia="仿宋" w:cs="仿宋"/>
          <w:b/>
          <w:bCs/>
          <w:sz w:val="42"/>
          <w:szCs w:val="42"/>
        </w:rPr>
      </w:pPr>
      <w:r>
        <w:rPr>
          <w:rFonts w:hint="eastAsia" w:ascii="仿宋" w:hAnsi="仿宋" w:eastAsia="仿宋" w:cs="仿宋"/>
          <w:b/>
          <w:bCs/>
          <w:sz w:val="42"/>
          <w:szCs w:val="42"/>
        </w:rPr>
        <w:t xml:space="preserve"> </w:t>
      </w:r>
    </w:p>
    <w:p>
      <w:pPr>
        <w:spacing w:line="360" w:lineRule="auto"/>
        <w:jc w:val="center"/>
        <w:rPr>
          <w:rFonts w:hint="eastAsia" w:ascii="仿宋" w:hAnsi="仿宋" w:eastAsia="仿宋" w:cs="仿宋"/>
          <w:b/>
          <w:bCs/>
          <w:sz w:val="32"/>
          <w:szCs w:val="32"/>
        </w:rPr>
      </w:pPr>
      <w:r>
        <w:rPr>
          <w:rFonts w:hint="eastAsia" w:ascii="仿宋" w:hAnsi="仿宋" w:eastAsia="仿宋" w:cs="仿宋"/>
          <w:b/>
          <w:bCs/>
          <w:sz w:val="32"/>
          <w:szCs w:val="32"/>
        </w:rPr>
        <w:t>承诺书Ⅲ</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lang w:eastAsia="zh-CN"/>
              </w:rPr>
              <w:t>吴起</w:t>
            </w:r>
            <w:r>
              <w:rPr>
                <w:rFonts w:hint="eastAsia" w:ascii="仿宋" w:hAnsi="仿宋" w:eastAsia="仿宋" w:cs="仿宋"/>
                <w:sz w:val="24"/>
                <w:szCs w:val="24"/>
              </w:rPr>
              <w:t>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作为参加贵单位组织的招标采购项目的投标单位，本公司郑重申告并承诺：近三年受到有关行政主管部门的行政处理、不良行为记录为</w:t>
            </w:r>
            <w:r>
              <w:rPr>
                <w:rFonts w:hint="eastAsia" w:ascii="仿宋" w:hAnsi="仿宋" w:eastAsia="仿宋" w:cs="仿宋"/>
                <w:sz w:val="24"/>
                <w:szCs w:val="24"/>
                <w:u w:val="single"/>
              </w:rPr>
              <w:t xml:space="preserve">    </w:t>
            </w:r>
            <w:r>
              <w:rPr>
                <w:rFonts w:hint="eastAsia" w:ascii="仿宋" w:hAnsi="仿宋" w:eastAsia="仿宋" w:cs="仿宋"/>
                <w:sz w:val="24"/>
                <w:szCs w:val="24"/>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投标单位</w:t>
            </w:r>
          </w:p>
        </w:tc>
        <w:tc>
          <w:tcPr>
            <w:tcW w:w="342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法定代表人</w:t>
            </w:r>
          </w:p>
        </w:tc>
        <w:tc>
          <w:tcPr>
            <w:tcW w:w="234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jc w:val="center"/>
        </w:trPr>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（公章）</w:t>
            </w:r>
          </w:p>
        </w:tc>
        <w:tc>
          <w:tcPr>
            <w:tcW w:w="342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（签字和盖章）</w:t>
            </w:r>
          </w:p>
        </w:tc>
        <w:tc>
          <w:tcPr>
            <w:tcW w:w="2340" w:type="dxa"/>
            <w:tcBorders>
              <w:top w:val="single" w:color="auto" w:sz="4" w:space="0"/>
              <w:left w:val="nil"/>
              <w:bottom w:val="single" w:color="auto" w:sz="4" w:space="0"/>
              <w:right w:val="single" w:color="auto" w:sz="4" w:space="0"/>
            </w:tcBorders>
            <w:noWrap w:val="0"/>
            <w:vAlign w:val="center"/>
          </w:tcPr>
          <w:p>
            <w:pPr>
              <w:spacing w:line="360" w:lineRule="auto"/>
              <w:ind w:firstLine="240" w:firstLineChars="100"/>
              <w:jc w:val="center"/>
              <w:rPr>
                <w:rFonts w:hint="eastAsia" w:ascii="仿宋" w:hAnsi="仿宋" w:eastAsia="仿宋" w:cs="仿宋"/>
                <w:sz w:val="24"/>
                <w:szCs w:val="24"/>
              </w:rPr>
            </w:pPr>
            <w:r>
              <w:rPr>
                <w:rFonts w:hint="eastAsia" w:ascii="仿宋" w:hAnsi="仿宋" w:eastAsia="仿宋" w:cs="仿宋"/>
                <w:sz w:val="24"/>
                <w:szCs w:val="24"/>
              </w:rPr>
              <w:t>年  月  日</w:t>
            </w:r>
          </w:p>
        </w:tc>
      </w:tr>
    </w:tbl>
    <w:p>
      <w:pPr>
        <w:spacing w:line="360" w:lineRule="auto"/>
        <w:rPr>
          <w:rFonts w:hint="eastAsia" w:ascii="仿宋" w:hAnsi="仿宋" w:eastAsia="仿宋" w:cs="仿宋"/>
          <w:b/>
          <w:bCs/>
          <w:sz w:val="32"/>
          <w:szCs w:val="32"/>
        </w:rPr>
      </w:pPr>
      <w:r>
        <w:rPr>
          <w:rFonts w:hint="eastAsia" w:ascii="仿宋" w:hAnsi="仿宋" w:eastAsia="仿宋" w:cs="仿宋"/>
          <w:b/>
          <w:bCs/>
          <w:sz w:val="32"/>
          <w:szCs w:val="32"/>
        </w:rPr>
        <w:t xml:space="preserve"> </w:t>
      </w: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p>
    <w:p>
      <w:pPr>
        <w:spacing w:line="360" w:lineRule="auto"/>
        <w:jc w:val="center"/>
        <w:rPr>
          <w:rFonts w:hint="eastAsia" w:ascii="仿宋" w:hAnsi="仿宋" w:eastAsia="仿宋" w:cs="仿宋"/>
          <w:b/>
          <w:bCs/>
          <w:sz w:val="32"/>
          <w:szCs w:val="32"/>
        </w:rPr>
      </w:pPr>
      <w:r>
        <w:rPr>
          <w:rFonts w:hint="eastAsia" w:ascii="仿宋" w:hAnsi="仿宋" w:eastAsia="仿宋" w:cs="仿宋"/>
          <w:b/>
          <w:bCs/>
          <w:sz w:val="32"/>
          <w:szCs w:val="32"/>
        </w:rPr>
        <w:t>承诺书Ⅳ</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lang w:eastAsia="zh-CN"/>
              </w:rPr>
              <w:t>吴起</w:t>
            </w:r>
            <w:r>
              <w:rPr>
                <w:rFonts w:hint="eastAsia" w:ascii="仿宋" w:hAnsi="仿宋" w:eastAsia="仿宋" w:cs="仿宋"/>
                <w:sz w:val="24"/>
                <w:szCs w:val="24"/>
              </w:rPr>
              <w:t>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作为参加贵单位组织的招标采购项目的投标单位，本公司郑重申告：近三年因产品供货问题（水货、替代品、次品、翻新品等）的不法行为记录为</w:t>
            </w:r>
            <w:r>
              <w:rPr>
                <w:rFonts w:hint="eastAsia" w:ascii="仿宋" w:hAnsi="仿宋" w:eastAsia="仿宋" w:cs="仿宋"/>
                <w:sz w:val="24"/>
                <w:szCs w:val="24"/>
                <w:u w:val="single"/>
              </w:rPr>
              <w:t xml:space="preserve">   </w:t>
            </w:r>
            <w:r>
              <w:rPr>
                <w:rFonts w:hint="eastAsia" w:ascii="仿宋" w:hAnsi="仿宋" w:eastAsia="仿宋" w:cs="仿宋"/>
                <w:sz w:val="24"/>
                <w:szCs w:val="24"/>
              </w:rPr>
              <w:t>次（没有填零），如有隐瞒实情，愿承担一切责任及后果。</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本公司承诺：本次投标产品为正品行货。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投标单位</w:t>
            </w:r>
          </w:p>
        </w:tc>
        <w:tc>
          <w:tcPr>
            <w:tcW w:w="342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法定代表人</w:t>
            </w:r>
          </w:p>
        </w:tc>
        <w:tc>
          <w:tcPr>
            <w:tcW w:w="234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（公章）</w:t>
            </w:r>
          </w:p>
        </w:tc>
        <w:tc>
          <w:tcPr>
            <w:tcW w:w="342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（签字和盖章）</w:t>
            </w:r>
          </w:p>
        </w:tc>
        <w:tc>
          <w:tcPr>
            <w:tcW w:w="2340" w:type="dxa"/>
            <w:tcBorders>
              <w:top w:val="single" w:color="auto" w:sz="4" w:space="0"/>
              <w:left w:val="nil"/>
              <w:bottom w:val="single" w:color="auto" w:sz="4" w:space="0"/>
              <w:right w:val="single" w:color="auto" w:sz="4" w:space="0"/>
            </w:tcBorders>
            <w:noWrap w:val="0"/>
            <w:vAlign w:val="center"/>
          </w:tcPr>
          <w:p>
            <w:pPr>
              <w:spacing w:line="360" w:lineRule="auto"/>
              <w:ind w:firstLine="240" w:firstLineChars="100"/>
              <w:jc w:val="center"/>
              <w:rPr>
                <w:rFonts w:hint="eastAsia" w:ascii="仿宋" w:hAnsi="仿宋" w:eastAsia="仿宋" w:cs="仿宋"/>
                <w:sz w:val="24"/>
                <w:szCs w:val="24"/>
              </w:rPr>
            </w:pPr>
            <w:r>
              <w:rPr>
                <w:rFonts w:hint="eastAsia" w:ascii="仿宋" w:hAnsi="仿宋" w:eastAsia="仿宋" w:cs="仿宋"/>
                <w:sz w:val="24"/>
                <w:szCs w:val="24"/>
              </w:rPr>
              <w:t>年  月  日</w:t>
            </w:r>
          </w:p>
        </w:tc>
      </w:tr>
    </w:tbl>
    <w:p>
      <w:pPr>
        <w:spacing w:line="360" w:lineRule="auto"/>
        <w:ind w:right="480"/>
        <w:rPr>
          <w:rFonts w:hint="eastAsia" w:ascii="仿宋" w:hAnsi="仿宋" w:eastAsia="仿宋" w:cs="仿宋"/>
          <w:sz w:val="24"/>
          <w:szCs w:val="24"/>
        </w:rPr>
      </w:pPr>
      <w:r>
        <w:rPr>
          <w:rFonts w:hint="eastAsia" w:ascii="仿宋" w:hAnsi="仿宋" w:eastAsia="仿宋" w:cs="仿宋"/>
          <w:sz w:val="24"/>
          <w:szCs w:val="24"/>
        </w:rPr>
        <w:t xml:space="preserve"> </w:t>
      </w:r>
    </w:p>
    <w:p>
      <w:pPr>
        <w:spacing w:line="360" w:lineRule="auto"/>
        <w:jc w:val="center"/>
        <w:rPr>
          <w:rFonts w:hint="eastAsia" w:ascii="仿宋" w:hAnsi="仿宋" w:eastAsia="仿宋" w:cs="仿宋"/>
          <w:b/>
          <w:bCs/>
          <w:sz w:val="32"/>
          <w:szCs w:val="32"/>
        </w:rPr>
      </w:pPr>
      <w:r>
        <w:rPr>
          <w:rFonts w:hint="eastAsia" w:ascii="仿宋" w:hAnsi="仿宋" w:eastAsia="仿宋" w:cs="仿宋"/>
          <w:b/>
          <w:bCs/>
          <w:sz w:val="32"/>
          <w:szCs w:val="32"/>
        </w:rPr>
        <w:t>承诺书</w:t>
      </w:r>
      <w:r>
        <w:rPr>
          <w:rFonts w:hint="eastAsia" w:ascii="仿宋" w:hAnsi="仿宋" w:eastAsia="仿宋" w:cs="仿宋"/>
          <w:b/>
          <w:bCs/>
          <w:sz w:val="36"/>
          <w:szCs w:val="36"/>
        </w:rPr>
        <w:t>V</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lang w:eastAsia="zh-CN"/>
              </w:rPr>
              <w:t>吴起</w:t>
            </w:r>
            <w:r>
              <w:rPr>
                <w:rFonts w:hint="eastAsia" w:ascii="仿宋" w:hAnsi="仿宋" w:eastAsia="仿宋" w:cs="仿宋"/>
                <w:sz w:val="24"/>
                <w:szCs w:val="24"/>
              </w:rPr>
              <w:t>县政府采购中心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作为参加贵单位组织的招标采购项目的投标单位，本公司承诺：参加本次投标提交的所有资质证明文件及业绩证明文件是真实的、有效的，如有隐瞒实情，愿承担一切责任及后果。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投标单位</w:t>
            </w:r>
          </w:p>
        </w:tc>
        <w:tc>
          <w:tcPr>
            <w:tcW w:w="342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法定代表人</w:t>
            </w:r>
          </w:p>
        </w:tc>
        <w:tc>
          <w:tcPr>
            <w:tcW w:w="234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（公章）</w:t>
            </w:r>
          </w:p>
        </w:tc>
        <w:tc>
          <w:tcPr>
            <w:tcW w:w="3420"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（签字和盖章）</w:t>
            </w:r>
          </w:p>
        </w:tc>
        <w:tc>
          <w:tcPr>
            <w:tcW w:w="2340" w:type="dxa"/>
            <w:tcBorders>
              <w:top w:val="single" w:color="auto" w:sz="4" w:space="0"/>
              <w:left w:val="nil"/>
              <w:bottom w:val="single" w:color="auto" w:sz="4" w:space="0"/>
              <w:right w:val="single" w:color="auto" w:sz="4" w:space="0"/>
            </w:tcBorders>
            <w:noWrap w:val="0"/>
            <w:vAlign w:val="center"/>
          </w:tcPr>
          <w:p>
            <w:pPr>
              <w:spacing w:line="360" w:lineRule="auto"/>
              <w:ind w:firstLine="240" w:firstLineChars="100"/>
              <w:jc w:val="center"/>
              <w:rPr>
                <w:rFonts w:hint="eastAsia" w:ascii="仿宋" w:hAnsi="仿宋" w:eastAsia="仿宋" w:cs="仿宋"/>
                <w:sz w:val="24"/>
                <w:szCs w:val="24"/>
              </w:rPr>
            </w:pPr>
            <w:r>
              <w:rPr>
                <w:rFonts w:hint="eastAsia" w:ascii="仿宋" w:hAnsi="仿宋" w:eastAsia="仿宋" w:cs="仿宋"/>
                <w:sz w:val="24"/>
                <w:szCs w:val="24"/>
              </w:rPr>
              <w:t>年  月  日</w:t>
            </w:r>
          </w:p>
        </w:tc>
      </w:tr>
    </w:tbl>
    <w:p>
      <w:pPr>
        <w:autoSpaceDE w:val="0"/>
        <w:autoSpaceDN w:val="0"/>
        <w:spacing w:line="640" w:lineRule="exact"/>
        <w:rPr>
          <w:rFonts w:hint="eastAsia" w:ascii="仿宋" w:hAnsi="仿宋" w:eastAsia="仿宋" w:cs="仿宋"/>
          <w:sz w:val="24"/>
          <w:szCs w:val="24"/>
        </w:rPr>
      </w:pPr>
    </w:p>
    <w:p>
      <w:pPr>
        <w:autoSpaceDE w:val="0"/>
        <w:autoSpaceDN w:val="0"/>
        <w:spacing w:line="640" w:lineRule="exact"/>
        <w:rPr>
          <w:rFonts w:hint="eastAsia" w:ascii="仿宋" w:hAnsi="仿宋" w:eastAsia="仿宋" w:cs="仿宋"/>
          <w:sz w:val="24"/>
          <w:szCs w:val="24"/>
        </w:rPr>
      </w:pPr>
    </w:p>
    <w:p>
      <w:pPr>
        <w:autoSpaceDE w:val="0"/>
        <w:autoSpaceDN w:val="0"/>
        <w:spacing w:line="640" w:lineRule="exact"/>
        <w:rPr>
          <w:rFonts w:hint="eastAsia" w:ascii="仿宋" w:hAnsi="仿宋" w:eastAsia="仿宋" w:cs="仿宋"/>
          <w:sz w:val="24"/>
          <w:szCs w:val="24"/>
        </w:rPr>
      </w:pPr>
      <w:r>
        <w:rPr>
          <w:rFonts w:hint="eastAsia" w:ascii="仿宋" w:hAnsi="仿宋" w:eastAsia="仿宋" w:cs="仿宋"/>
          <w:sz w:val="24"/>
          <w:szCs w:val="24"/>
        </w:rPr>
        <w:t>附件</w:t>
      </w:r>
      <w:r>
        <w:rPr>
          <w:rFonts w:hint="eastAsia" w:ascii="仿宋" w:hAnsi="仿宋" w:eastAsia="仿宋" w:cs="仿宋"/>
          <w:sz w:val="24"/>
          <w:szCs w:val="24"/>
          <w:lang w:val="en-US" w:eastAsia="zh-CN"/>
        </w:rPr>
        <w:t>2</w:t>
      </w:r>
      <w:r>
        <w:rPr>
          <w:rFonts w:hint="eastAsia" w:ascii="仿宋" w:hAnsi="仿宋" w:eastAsia="仿宋" w:cs="仿宋"/>
          <w:sz w:val="24"/>
          <w:szCs w:val="24"/>
        </w:rPr>
        <w:t xml:space="preserve">： </w:t>
      </w:r>
    </w:p>
    <w:p>
      <w:pPr>
        <w:jc w:val="center"/>
        <w:rPr>
          <w:rFonts w:hint="eastAsia" w:ascii="仿宋" w:hAnsi="仿宋" w:eastAsia="仿宋" w:cs="仿宋"/>
          <w:b/>
          <w:sz w:val="28"/>
          <w:szCs w:val="28"/>
          <w:lang w:eastAsia="zh-CN"/>
        </w:rPr>
      </w:pPr>
      <w:r>
        <w:rPr>
          <w:rFonts w:hint="eastAsia" w:ascii="仿宋" w:hAnsi="仿宋" w:eastAsia="仿宋" w:cs="仿宋"/>
          <w:b/>
          <w:sz w:val="28"/>
          <w:szCs w:val="28"/>
        </w:rPr>
        <w:t>商务条款</w:t>
      </w:r>
      <w:r>
        <w:rPr>
          <w:rFonts w:hint="eastAsia" w:ascii="仿宋" w:hAnsi="仿宋" w:eastAsia="仿宋" w:cs="仿宋"/>
          <w:b/>
          <w:sz w:val="28"/>
          <w:szCs w:val="28"/>
          <w:lang w:eastAsia="zh-CN"/>
        </w:rPr>
        <w:t>响应</w:t>
      </w:r>
    </w:p>
    <w:p>
      <w:pPr>
        <w:autoSpaceDE w:val="0"/>
        <w:autoSpaceDN w:val="0"/>
        <w:adjustRightInd w:val="0"/>
        <w:snapToGrid w:val="0"/>
        <w:spacing w:line="360" w:lineRule="auto"/>
        <w:jc w:val="right"/>
        <w:rPr>
          <w:rFonts w:hint="eastAsia" w:ascii="仿宋" w:hAnsi="仿宋" w:eastAsia="仿宋" w:cs="仿宋"/>
          <w:b/>
          <w:bCs/>
          <w:sz w:val="28"/>
          <w:szCs w:val="28"/>
        </w:rPr>
      </w:pPr>
      <w:r>
        <w:rPr>
          <w:rFonts w:hint="eastAsia" w:ascii="仿宋" w:hAnsi="仿宋" w:eastAsia="仿宋" w:cs="仿宋"/>
          <w:sz w:val="28"/>
          <w:szCs w:val="28"/>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3"/>
        <w:gridCol w:w="1621"/>
        <w:gridCol w:w="1862"/>
        <w:gridCol w:w="2005"/>
        <w:gridCol w:w="1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序号</w:t>
            </w:r>
          </w:p>
        </w:tc>
        <w:tc>
          <w:tcPr>
            <w:tcW w:w="1621" w:type="dxa"/>
            <w:noWrap w:val="0"/>
            <w:vAlign w:val="center"/>
          </w:tcPr>
          <w:p>
            <w:pPr>
              <w:adjustRightInd w:val="0"/>
              <w:snapToGrid w:val="0"/>
              <w:spacing w:line="360" w:lineRule="auto"/>
              <w:jc w:val="center"/>
              <w:rPr>
                <w:rFonts w:ascii="仿宋" w:hAnsi="仿宋" w:eastAsia="仿宋" w:cs="仿宋"/>
                <w:sz w:val="28"/>
                <w:szCs w:val="28"/>
              </w:rPr>
            </w:pPr>
            <w:r>
              <w:rPr>
                <w:rFonts w:hint="eastAsia" w:ascii="仿宋" w:hAnsi="仿宋" w:eastAsia="仿宋" w:cs="仿宋"/>
                <w:sz w:val="28"/>
                <w:szCs w:val="28"/>
              </w:rPr>
              <w:t>条款名称</w:t>
            </w:r>
          </w:p>
        </w:tc>
        <w:tc>
          <w:tcPr>
            <w:tcW w:w="1862" w:type="dxa"/>
            <w:noWrap w:val="0"/>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招标文件</w:t>
            </w:r>
          </w:p>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要求</w:t>
            </w:r>
          </w:p>
        </w:tc>
        <w:tc>
          <w:tcPr>
            <w:tcW w:w="2005" w:type="dxa"/>
            <w:noWrap w:val="0"/>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投标文件</w:t>
            </w:r>
          </w:p>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响应</w:t>
            </w:r>
          </w:p>
        </w:tc>
        <w:tc>
          <w:tcPr>
            <w:tcW w:w="1646" w:type="dxa"/>
            <w:noWrap w:val="0"/>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响应</w:t>
            </w:r>
          </w:p>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noWrap w:val="0"/>
            <w:vAlign w:val="top"/>
          </w:tcPr>
          <w:p>
            <w:pPr>
              <w:adjustRightInd w:val="0"/>
              <w:snapToGrid w:val="0"/>
              <w:spacing w:line="360" w:lineRule="auto"/>
              <w:rPr>
                <w:rFonts w:hint="eastAsia" w:ascii="仿宋" w:hAnsi="仿宋" w:eastAsia="仿宋" w:cs="仿宋"/>
                <w:sz w:val="28"/>
                <w:szCs w:val="28"/>
              </w:rPr>
            </w:pPr>
          </w:p>
        </w:tc>
        <w:tc>
          <w:tcPr>
            <w:tcW w:w="1621" w:type="dxa"/>
            <w:noWrap w:val="0"/>
            <w:vAlign w:val="top"/>
          </w:tcPr>
          <w:p>
            <w:pPr>
              <w:adjustRightInd w:val="0"/>
              <w:snapToGrid w:val="0"/>
              <w:spacing w:line="360" w:lineRule="auto"/>
              <w:rPr>
                <w:rFonts w:hint="eastAsia" w:ascii="仿宋" w:hAnsi="仿宋" w:eastAsia="仿宋" w:cs="仿宋"/>
                <w:sz w:val="28"/>
                <w:szCs w:val="28"/>
              </w:rPr>
            </w:pPr>
          </w:p>
        </w:tc>
        <w:tc>
          <w:tcPr>
            <w:tcW w:w="1862" w:type="dxa"/>
            <w:noWrap w:val="0"/>
            <w:vAlign w:val="top"/>
          </w:tcPr>
          <w:p>
            <w:pPr>
              <w:adjustRightInd w:val="0"/>
              <w:snapToGrid w:val="0"/>
              <w:spacing w:line="360" w:lineRule="auto"/>
              <w:rPr>
                <w:rFonts w:hint="eastAsia" w:ascii="仿宋" w:hAnsi="仿宋" w:eastAsia="仿宋" w:cs="仿宋"/>
                <w:sz w:val="28"/>
                <w:szCs w:val="28"/>
              </w:rPr>
            </w:pPr>
          </w:p>
        </w:tc>
        <w:tc>
          <w:tcPr>
            <w:tcW w:w="2005" w:type="dxa"/>
            <w:noWrap w:val="0"/>
            <w:vAlign w:val="top"/>
          </w:tcPr>
          <w:p>
            <w:pPr>
              <w:adjustRightInd w:val="0"/>
              <w:snapToGrid w:val="0"/>
              <w:spacing w:line="360" w:lineRule="auto"/>
              <w:rPr>
                <w:rFonts w:hint="eastAsia" w:ascii="仿宋" w:hAnsi="仿宋" w:eastAsia="仿宋" w:cs="仿宋"/>
                <w:sz w:val="28"/>
                <w:szCs w:val="28"/>
              </w:rPr>
            </w:pPr>
          </w:p>
        </w:tc>
        <w:tc>
          <w:tcPr>
            <w:tcW w:w="1646" w:type="dxa"/>
            <w:noWrap w:val="0"/>
            <w:vAlign w:val="top"/>
          </w:tcPr>
          <w:p>
            <w:pPr>
              <w:adjustRightInd w:val="0"/>
              <w:snapToGrid w:val="0"/>
              <w:spacing w:line="360" w:lineRule="auto"/>
              <w:rPr>
                <w:rFonts w:hint="eastAsia" w:ascii="仿宋" w:hAnsi="仿宋" w:eastAsia="仿宋" w:cs="仿宋"/>
                <w:sz w:val="28"/>
                <w:szCs w:val="28"/>
              </w:rPr>
            </w:pPr>
          </w:p>
        </w:tc>
      </w:tr>
    </w:tbl>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说明：响应说明填写：正偏离、负偏离、相同。</w:t>
      </w:r>
    </w:p>
    <w:p>
      <w:pPr>
        <w:adjustRightInd w:val="0"/>
        <w:snapToGrid w:val="0"/>
        <w:spacing w:line="360" w:lineRule="auto"/>
        <w:ind w:firstLine="280" w:firstLineChars="100"/>
        <w:rPr>
          <w:rFonts w:hint="eastAsia" w:ascii="仿宋" w:hAnsi="仿宋" w:eastAsia="仿宋" w:cs="仿宋"/>
          <w:sz w:val="28"/>
          <w:szCs w:val="28"/>
        </w:rPr>
      </w:pPr>
      <w:r>
        <w:rPr>
          <w:rFonts w:hint="eastAsia" w:ascii="仿宋" w:hAnsi="仿宋" w:eastAsia="仿宋" w:cs="仿宋"/>
          <w:sz w:val="28"/>
          <w:szCs w:val="28"/>
        </w:rPr>
        <w:t>投标人                            法定代表人或授权代表</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（单位公章）：                         （签字并盖章）：</w:t>
      </w:r>
    </w:p>
    <w:p>
      <w:pPr>
        <w:autoSpaceDE w:val="0"/>
        <w:autoSpaceDN w:val="0"/>
        <w:spacing w:line="360" w:lineRule="auto"/>
        <w:rPr>
          <w:rFonts w:hint="eastAsia" w:ascii="宋体" w:hAnsi="宋体" w:cs="宋体"/>
          <w:sz w:val="24"/>
          <w:szCs w:val="24"/>
        </w:rPr>
      </w:pPr>
    </w:p>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jc w:val="center"/>
        <w:rPr>
          <w:rFonts w:hint="eastAsia" w:ascii="宋体" w:hAnsi="宋体" w:cs="宋体"/>
        </w:rPr>
      </w:pPr>
    </w:p>
    <w:p>
      <w:pPr>
        <w:autoSpaceDE w:val="0"/>
        <w:autoSpaceDN w:val="0"/>
        <w:spacing w:line="640" w:lineRule="exact"/>
        <w:rPr>
          <w:rFonts w:hint="eastAsia" w:ascii="宋体" w:hAnsi="宋体" w:cs="宋体"/>
          <w:sz w:val="24"/>
          <w:szCs w:val="24"/>
        </w:rPr>
      </w:pPr>
    </w:p>
    <w:p>
      <w:pPr>
        <w:autoSpaceDE w:val="0"/>
        <w:autoSpaceDN w:val="0"/>
        <w:spacing w:line="640" w:lineRule="exact"/>
        <w:rPr>
          <w:rFonts w:hint="eastAsia" w:ascii="仿宋" w:hAnsi="仿宋" w:eastAsia="仿宋" w:cs="仿宋"/>
          <w:sz w:val="28"/>
          <w:szCs w:val="28"/>
        </w:rPr>
      </w:pPr>
      <w:r>
        <w:rPr>
          <w:rFonts w:hint="eastAsia" w:ascii="仿宋" w:hAnsi="仿宋" w:eastAsia="仿宋" w:cs="仿宋"/>
          <w:sz w:val="28"/>
          <w:szCs w:val="28"/>
        </w:rPr>
        <w:t>附件</w:t>
      </w:r>
      <w:r>
        <w:rPr>
          <w:rFonts w:hint="eastAsia" w:ascii="仿宋" w:hAnsi="仿宋" w:eastAsia="仿宋" w:cs="仿宋"/>
          <w:sz w:val="28"/>
          <w:szCs w:val="28"/>
          <w:lang w:val="en-US" w:eastAsia="zh-CN"/>
        </w:rPr>
        <w:t>3</w:t>
      </w:r>
      <w:r>
        <w:rPr>
          <w:rFonts w:hint="eastAsia" w:ascii="仿宋" w:hAnsi="仿宋" w:eastAsia="仿宋" w:cs="仿宋"/>
          <w:sz w:val="28"/>
          <w:szCs w:val="28"/>
        </w:rPr>
        <w:t>：</w:t>
      </w:r>
    </w:p>
    <w:p>
      <w:pPr>
        <w:jc w:val="center"/>
        <w:rPr>
          <w:rFonts w:hint="eastAsia" w:ascii="仿宋" w:hAnsi="仿宋" w:eastAsia="仿宋" w:cs="仿宋"/>
          <w:sz w:val="28"/>
          <w:szCs w:val="28"/>
        </w:rPr>
      </w:pPr>
      <w:r>
        <w:rPr>
          <w:rFonts w:hint="eastAsia" w:ascii="仿宋" w:hAnsi="仿宋" w:eastAsia="仿宋" w:cs="仿宋"/>
          <w:sz w:val="28"/>
          <w:szCs w:val="28"/>
        </w:rPr>
        <w:t>中小企业声明函</w:t>
      </w:r>
    </w:p>
    <w:p>
      <w:pPr>
        <w:autoSpaceDE w:val="0"/>
        <w:autoSpaceDN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 xml:space="preserve"> </w:t>
      </w:r>
    </w:p>
    <w:p>
      <w:pPr>
        <w:autoSpaceDE w:val="0"/>
        <w:autoSpaceDN w:val="0"/>
        <w:spacing w:line="588" w:lineRule="exact"/>
        <w:ind w:firstLine="504"/>
        <w:rPr>
          <w:rFonts w:hint="eastAsia" w:ascii="仿宋" w:hAnsi="仿宋" w:eastAsia="仿宋" w:cs="仿宋"/>
          <w:sz w:val="28"/>
          <w:szCs w:val="28"/>
        </w:rPr>
      </w:pPr>
      <w:r>
        <w:rPr>
          <w:rFonts w:hint="eastAsia" w:ascii="仿宋" w:hAnsi="仿宋" w:eastAsia="仿宋" w:cs="仿宋"/>
          <w:sz w:val="28"/>
          <w:szCs w:val="28"/>
        </w:rPr>
        <w:t xml:space="preserve">本公司郑重声明，根据《政府采购促进中小企业发展暂行办法》（财库[2011]181号）的规定，本公司为 </w:t>
      </w:r>
      <w:r>
        <w:rPr>
          <w:rFonts w:hint="eastAsia" w:ascii="仿宋" w:hAnsi="仿宋" w:eastAsia="仿宋" w:cs="仿宋"/>
          <w:sz w:val="28"/>
          <w:szCs w:val="28"/>
          <w:u w:val="single"/>
        </w:rPr>
        <w:t>（小型或微型）</w:t>
      </w:r>
      <w:r>
        <w:rPr>
          <w:rFonts w:hint="eastAsia" w:ascii="仿宋" w:hAnsi="仿宋" w:eastAsia="仿宋" w:cs="仿宋"/>
          <w:sz w:val="28"/>
          <w:szCs w:val="28"/>
        </w:rPr>
        <w:t xml:space="preserve"> 企业。即，本公司同时满足以下条件：</w:t>
      </w:r>
    </w:p>
    <w:p>
      <w:pPr>
        <w:autoSpaceDE w:val="0"/>
        <w:autoSpaceDN w:val="0"/>
        <w:spacing w:line="588" w:lineRule="exact"/>
        <w:ind w:firstLine="504"/>
        <w:rPr>
          <w:rFonts w:hint="eastAsia" w:ascii="仿宋" w:hAnsi="仿宋" w:eastAsia="仿宋" w:cs="仿宋"/>
          <w:sz w:val="28"/>
          <w:szCs w:val="28"/>
        </w:rPr>
      </w:pPr>
      <w:r>
        <w:rPr>
          <w:rFonts w:hint="eastAsia" w:ascii="仿宋" w:hAnsi="仿宋" w:eastAsia="仿宋" w:cs="仿宋"/>
          <w:sz w:val="28"/>
          <w:szCs w:val="28"/>
        </w:rPr>
        <w:t xml:space="preserve">1.根据《工业和信息化部、国家统计局、国家发展和改革委员会、财政部关于印发中小企业划型标准规定的通知》（工信部联企业[2011]300号）规定的划分标准，本公司为 </w:t>
      </w:r>
      <w:r>
        <w:rPr>
          <w:rFonts w:hint="eastAsia" w:ascii="仿宋" w:hAnsi="仿宋" w:eastAsia="仿宋" w:cs="仿宋"/>
          <w:sz w:val="28"/>
          <w:szCs w:val="28"/>
          <w:u w:val="single"/>
        </w:rPr>
        <w:t xml:space="preserve">（小型或微型） </w:t>
      </w:r>
      <w:r>
        <w:rPr>
          <w:rFonts w:hint="eastAsia" w:ascii="仿宋" w:hAnsi="仿宋" w:eastAsia="仿宋" w:cs="仿宋"/>
          <w:sz w:val="28"/>
          <w:szCs w:val="28"/>
        </w:rPr>
        <w:t>企业。</w:t>
      </w:r>
    </w:p>
    <w:p>
      <w:pPr>
        <w:autoSpaceDE w:val="0"/>
        <w:autoSpaceDN w:val="0"/>
        <w:spacing w:line="588" w:lineRule="exact"/>
        <w:ind w:firstLine="504"/>
        <w:rPr>
          <w:rFonts w:hint="eastAsia" w:ascii="仿宋" w:hAnsi="仿宋" w:eastAsia="仿宋" w:cs="仿宋"/>
          <w:sz w:val="28"/>
          <w:szCs w:val="28"/>
        </w:rPr>
      </w:pPr>
      <w:r>
        <w:rPr>
          <w:rFonts w:hint="eastAsia" w:ascii="仿宋" w:hAnsi="仿宋" w:eastAsia="仿宋" w:cs="仿宋"/>
          <w:sz w:val="28"/>
          <w:szCs w:val="28"/>
        </w:rPr>
        <w:t>2.本公司参加</w:t>
      </w:r>
      <w:r>
        <w:rPr>
          <w:rFonts w:hint="eastAsia" w:ascii="仿宋" w:hAnsi="仿宋" w:eastAsia="仿宋" w:cs="仿宋"/>
          <w:sz w:val="28"/>
          <w:szCs w:val="28"/>
          <w:u w:val="single"/>
        </w:rPr>
        <w:t xml:space="preserve"> （采购人） </w:t>
      </w:r>
      <w:r>
        <w:rPr>
          <w:rFonts w:hint="eastAsia" w:ascii="仿宋" w:hAnsi="仿宋" w:eastAsia="仿宋" w:cs="仿宋"/>
          <w:sz w:val="28"/>
          <w:szCs w:val="28"/>
        </w:rPr>
        <w:t xml:space="preserve">的 </w:t>
      </w:r>
      <w:r>
        <w:rPr>
          <w:rFonts w:hint="eastAsia" w:ascii="仿宋" w:hAnsi="仿宋" w:eastAsia="仿宋" w:cs="仿宋"/>
          <w:sz w:val="28"/>
          <w:szCs w:val="28"/>
          <w:u w:val="single"/>
        </w:rPr>
        <w:t xml:space="preserve">（项目名称） </w:t>
      </w:r>
      <w:r>
        <w:rPr>
          <w:rFonts w:hint="eastAsia" w:ascii="仿宋" w:hAnsi="仿宋" w:eastAsia="仿宋" w:cs="仿宋"/>
          <w:sz w:val="28"/>
          <w:szCs w:val="28"/>
        </w:rPr>
        <w:t>采购活动提供本企业制造的货物，由本企业承担工程、提供服务，或者提供其他</w:t>
      </w:r>
      <w:r>
        <w:rPr>
          <w:rFonts w:hint="eastAsia" w:ascii="仿宋" w:hAnsi="仿宋" w:eastAsia="仿宋" w:cs="仿宋"/>
          <w:sz w:val="28"/>
          <w:szCs w:val="28"/>
          <w:u w:val="single"/>
        </w:rPr>
        <w:t>（小型或微型）</w:t>
      </w:r>
      <w:r>
        <w:rPr>
          <w:rFonts w:hint="eastAsia" w:ascii="仿宋" w:hAnsi="仿宋" w:eastAsia="仿宋" w:cs="仿宋"/>
          <w:sz w:val="28"/>
          <w:szCs w:val="28"/>
        </w:rPr>
        <w:t>企业制造的货物。本条所称货物不包括使用大型企业注册商标的货物。</w:t>
      </w:r>
    </w:p>
    <w:p>
      <w:pPr>
        <w:autoSpaceDE w:val="0"/>
        <w:autoSpaceDN w:val="0"/>
        <w:spacing w:line="588" w:lineRule="exact"/>
        <w:ind w:firstLine="504"/>
        <w:rPr>
          <w:rFonts w:hint="eastAsia" w:ascii="仿宋" w:hAnsi="仿宋" w:eastAsia="仿宋" w:cs="仿宋"/>
          <w:sz w:val="28"/>
          <w:szCs w:val="28"/>
        </w:rPr>
      </w:pPr>
      <w:r>
        <w:rPr>
          <w:rFonts w:hint="eastAsia" w:ascii="仿宋" w:hAnsi="仿宋" w:eastAsia="仿宋" w:cs="仿宋"/>
          <w:sz w:val="28"/>
          <w:szCs w:val="28"/>
        </w:rPr>
        <w:t>本公司对上述声明的真实性负责。如有虚假，将依法承担相应责任。</w:t>
      </w:r>
    </w:p>
    <w:p>
      <w:pPr>
        <w:autoSpaceDE w:val="0"/>
        <w:autoSpaceDN w:val="0"/>
        <w:spacing w:line="588" w:lineRule="exact"/>
        <w:ind w:firstLine="504"/>
        <w:rPr>
          <w:rFonts w:hint="eastAsia" w:ascii="仿宋" w:hAnsi="仿宋" w:eastAsia="仿宋" w:cs="仿宋"/>
          <w:sz w:val="28"/>
          <w:szCs w:val="28"/>
        </w:rPr>
      </w:pPr>
      <w:r>
        <w:rPr>
          <w:rFonts w:hint="eastAsia" w:ascii="仿宋" w:hAnsi="仿宋" w:eastAsia="仿宋" w:cs="仿宋"/>
          <w:sz w:val="28"/>
          <w:szCs w:val="28"/>
        </w:rPr>
        <w:t xml:space="preserve"> </w:t>
      </w:r>
    </w:p>
    <w:p>
      <w:pPr>
        <w:autoSpaceDE w:val="0"/>
        <w:autoSpaceDN w:val="0"/>
        <w:spacing w:line="588" w:lineRule="exact"/>
        <w:ind w:firstLine="504"/>
        <w:rPr>
          <w:rFonts w:hint="eastAsia" w:ascii="仿宋" w:hAnsi="仿宋" w:eastAsia="仿宋" w:cs="仿宋"/>
          <w:sz w:val="28"/>
          <w:szCs w:val="28"/>
        </w:rPr>
      </w:pPr>
      <w:r>
        <w:rPr>
          <w:rFonts w:hint="eastAsia" w:ascii="仿宋" w:hAnsi="仿宋" w:eastAsia="仿宋" w:cs="仿宋"/>
          <w:sz w:val="28"/>
          <w:szCs w:val="28"/>
        </w:rPr>
        <w:t xml:space="preserve"> </w:t>
      </w:r>
    </w:p>
    <w:p>
      <w:pPr>
        <w:autoSpaceDE w:val="0"/>
        <w:autoSpaceDN w:val="0"/>
        <w:spacing w:line="588" w:lineRule="exact"/>
        <w:ind w:firstLine="504"/>
        <w:rPr>
          <w:rFonts w:hint="eastAsia" w:ascii="仿宋" w:hAnsi="仿宋" w:eastAsia="仿宋" w:cs="仿宋"/>
          <w:sz w:val="28"/>
          <w:szCs w:val="28"/>
        </w:rPr>
      </w:pPr>
      <w:r>
        <w:rPr>
          <w:rFonts w:hint="eastAsia" w:ascii="仿宋" w:hAnsi="仿宋" w:eastAsia="仿宋" w:cs="仿宋"/>
          <w:sz w:val="28"/>
          <w:szCs w:val="28"/>
        </w:rPr>
        <w:t>注：附相关证明材料</w:t>
      </w:r>
      <w:r>
        <w:rPr>
          <w:rFonts w:hint="eastAsia" w:ascii="仿宋" w:hAnsi="仿宋" w:eastAsia="仿宋" w:cs="仿宋"/>
          <w:kern w:val="0"/>
          <w:sz w:val="28"/>
          <w:szCs w:val="28"/>
        </w:rPr>
        <w:t>。</w:t>
      </w:r>
    </w:p>
    <w:p>
      <w:pPr>
        <w:autoSpaceDE w:val="0"/>
        <w:autoSpaceDN w:val="0"/>
        <w:spacing w:line="588" w:lineRule="exact"/>
        <w:ind w:right="1560" w:firstLine="504"/>
        <w:jc w:val="center"/>
        <w:rPr>
          <w:rFonts w:hint="eastAsia" w:ascii="仿宋" w:hAnsi="仿宋" w:eastAsia="仿宋" w:cs="仿宋"/>
          <w:sz w:val="28"/>
          <w:szCs w:val="28"/>
        </w:rPr>
      </w:pPr>
      <w:r>
        <w:rPr>
          <w:rFonts w:hint="eastAsia" w:ascii="仿宋" w:hAnsi="仿宋" w:eastAsia="仿宋" w:cs="仿宋"/>
          <w:sz w:val="28"/>
          <w:szCs w:val="28"/>
        </w:rPr>
        <w:t xml:space="preserve">             </w:t>
      </w:r>
    </w:p>
    <w:p>
      <w:pPr>
        <w:autoSpaceDE w:val="0"/>
        <w:autoSpaceDN w:val="0"/>
        <w:spacing w:line="588" w:lineRule="exact"/>
        <w:ind w:right="1560" w:firstLine="504"/>
        <w:jc w:val="center"/>
        <w:rPr>
          <w:rFonts w:hint="eastAsia" w:ascii="仿宋" w:hAnsi="仿宋" w:eastAsia="仿宋" w:cs="仿宋"/>
          <w:sz w:val="28"/>
          <w:szCs w:val="28"/>
        </w:rPr>
      </w:pPr>
      <w:r>
        <w:rPr>
          <w:rFonts w:hint="eastAsia" w:ascii="仿宋" w:hAnsi="仿宋" w:eastAsia="仿宋" w:cs="仿宋"/>
          <w:sz w:val="28"/>
          <w:szCs w:val="28"/>
        </w:rPr>
        <w:t xml:space="preserve"> </w:t>
      </w:r>
    </w:p>
    <w:p>
      <w:pPr>
        <w:autoSpaceDE w:val="0"/>
        <w:autoSpaceDN w:val="0"/>
        <w:spacing w:line="588" w:lineRule="exact"/>
        <w:ind w:right="1560" w:firstLine="504"/>
        <w:jc w:val="center"/>
        <w:rPr>
          <w:rFonts w:hint="eastAsia" w:ascii="仿宋" w:hAnsi="仿宋" w:eastAsia="仿宋" w:cs="仿宋"/>
          <w:sz w:val="28"/>
          <w:szCs w:val="28"/>
        </w:rPr>
      </w:pPr>
      <w:r>
        <w:rPr>
          <w:rFonts w:hint="eastAsia" w:ascii="仿宋" w:hAnsi="仿宋" w:eastAsia="仿宋" w:cs="仿宋"/>
          <w:sz w:val="28"/>
          <w:szCs w:val="28"/>
        </w:rPr>
        <w:t xml:space="preserve">                                  企业名称（公章）： </w:t>
      </w:r>
    </w:p>
    <w:p>
      <w:pPr>
        <w:autoSpaceDE w:val="0"/>
        <w:autoSpaceDN w:val="0"/>
        <w:spacing w:line="360" w:lineRule="auto"/>
        <w:ind w:firstLine="6020" w:firstLineChars="2150"/>
        <w:rPr>
          <w:rFonts w:hint="eastAsia" w:ascii="仿宋" w:hAnsi="仿宋" w:eastAsia="仿宋" w:cs="仿宋"/>
          <w:sz w:val="28"/>
          <w:szCs w:val="28"/>
        </w:rPr>
      </w:pPr>
      <w:r>
        <w:rPr>
          <w:rFonts w:hint="eastAsia" w:ascii="仿宋" w:hAnsi="仿宋" w:eastAsia="仿宋" w:cs="仿宋"/>
          <w:sz w:val="28"/>
          <w:szCs w:val="28"/>
        </w:rPr>
        <w:t>日期：     年  月   日</w:t>
      </w:r>
    </w:p>
    <w:p>
      <w:pPr>
        <w:autoSpaceDE w:val="0"/>
        <w:autoSpaceDN w:val="0"/>
        <w:spacing w:line="640" w:lineRule="exact"/>
        <w:rPr>
          <w:rFonts w:hint="eastAsia" w:ascii="仿宋" w:hAnsi="仿宋" w:eastAsia="仿宋" w:cs="仿宋"/>
          <w:sz w:val="24"/>
          <w:szCs w:val="24"/>
        </w:rPr>
      </w:pPr>
      <w:r>
        <w:rPr>
          <w:rFonts w:hint="eastAsia" w:ascii="仿宋" w:hAnsi="仿宋" w:eastAsia="仿宋" w:cs="仿宋"/>
          <w:sz w:val="24"/>
          <w:szCs w:val="24"/>
        </w:rPr>
        <w:t xml:space="preserve"> </w:t>
      </w:r>
    </w:p>
    <w:p>
      <w:pPr>
        <w:spacing w:line="360" w:lineRule="auto"/>
        <w:rPr>
          <w:rFonts w:hint="eastAsia" w:ascii="仿宋" w:hAnsi="仿宋" w:eastAsia="仿宋" w:cs="仿宋"/>
          <w:b/>
          <w:sz w:val="30"/>
          <w:szCs w:val="30"/>
        </w:rPr>
      </w:pPr>
    </w:p>
    <w:p>
      <w:pPr>
        <w:spacing w:line="360" w:lineRule="auto"/>
        <w:rPr>
          <w:rFonts w:hint="eastAsia" w:ascii="宋体" w:hAnsi="宋体"/>
          <w:b/>
          <w:sz w:val="30"/>
          <w:szCs w:val="30"/>
        </w:rPr>
      </w:pPr>
    </w:p>
    <w:p>
      <w:pPr>
        <w:pStyle w:val="4"/>
        <w:outlineLvl w:val="9"/>
        <w:rPr>
          <w:rFonts w:hint="eastAsia"/>
        </w:rPr>
      </w:pPr>
    </w:p>
    <w:p>
      <w:pPr>
        <w:snapToGrid w:val="0"/>
        <w:spacing w:line="360" w:lineRule="auto"/>
        <w:jc w:val="center"/>
        <w:outlineLvl w:val="0"/>
        <w:rPr>
          <w:rFonts w:hint="eastAsia" w:ascii="仿宋" w:hAnsi="仿宋" w:eastAsia="仿宋" w:cs="仿宋"/>
          <w:b/>
          <w:bCs/>
          <w:sz w:val="32"/>
          <w:szCs w:val="32"/>
        </w:rPr>
      </w:pPr>
      <w:bookmarkStart w:id="504" w:name="_Toc17994"/>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部分  技术投标方案</w:t>
      </w:r>
      <w:bookmarkEnd w:id="504"/>
    </w:p>
    <w:p>
      <w:pPr>
        <w:snapToGrid w:val="0"/>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.1技术投标方案的主要内容</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5.1.1</w:t>
      </w:r>
      <w:r>
        <w:rPr>
          <w:rFonts w:hint="eastAsia" w:ascii="仿宋" w:hAnsi="仿宋" w:eastAsia="仿宋" w:cs="仿宋"/>
          <w:sz w:val="28"/>
          <w:szCs w:val="28"/>
        </w:rPr>
        <w:t>施工质量管理措施、手段、方法</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5.1.2</w:t>
      </w:r>
      <w:r>
        <w:rPr>
          <w:rFonts w:hint="eastAsia" w:ascii="仿宋" w:hAnsi="仿宋" w:eastAsia="仿宋" w:cs="仿宋"/>
          <w:sz w:val="28"/>
          <w:szCs w:val="28"/>
        </w:rPr>
        <w:t xml:space="preserve"> 苗木移植过程中及养护期内保活率措施</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5.1.3</w:t>
      </w:r>
      <w:r>
        <w:rPr>
          <w:rFonts w:hint="eastAsia" w:ascii="仿宋" w:hAnsi="仿宋" w:eastAsia="仿宋" w:cs="仿宋"/>
          <w:sz w:val="28"/>
          <w:szCs w:val="28"/>
        </w:rPr>
        <w:t>苗木及主要材料来源计划表</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5.1.4</w:t>
      </w:r>
      <w:r>
        <w:rPr>
          <w:rFonts w:hint="eastAsia" w:ascii="仿宋" w:hAnsi="仿宋" w:eastAsia="仿宋" w:cs="仿宋"/>
          <w:sz w:val="28"/>
          <w:szCs w:val="28"/>
        </w:rPr>
        <w:t>苗木种植环境的保障措施</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5.1.5</w:t>
      </w:r>
      <w:r>
        <w:rPr>
          <w:rFonts w:hint="eastAsia" w:ascii="仿宋" w:hAnsi="仿宋" w:eastAsia="仿宋" w:cs="仿宋"/>
          <w:sz w:val="28"/>
          <w:szCs w:val="28"/>
        </w:rPr>
        <w:t>施工进度安排计划</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5.1.6</w:t>
      </w:r>
      <w:r>
        <w:rPr>
          <w:rFonts w:hint="eastAsia" w:ascii="仿宋" w:hAnsi="仿宋" w:eastAsia="仿宋" w:cs="仿宋"/>
          <w:sz w:val="28"/>
          <w:szCs w:val="28"/>
        </w:rPr>
        <w:t>施工进度计划表（或施工进度计划网络图）</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5.1.7</w:t>
      </w:r>
      <w:r>
        <w:rPr>
          <w:rFonts w:hint="eastAsia" w:ascii="仿宋" w:hAnsi="仿宋" w:eastAsia="仿宋" w:cs="仿宋"/>
          <w:sz w:val="28"/>
          <w:szCs w:val="28"/>
        </w:rPr>
        <w:t>施工机具及劳动力保障措施</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5.1.7.1</w:t>
      </w:r>
      <w:r>
        <w:rPr>
          <w:rFonts w:hint="eastAsia" w:ascii="仿宋" w:hAnsi="仿宋" w:eastAsia="仿宋" w:cs="仿宋"/>
          <w:sz w:val="28"/>
          <w:szCs w:val="28"/>
        </w:rPr>
        <w:t>主要施工机具投入计划表</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5.1.7.2</w:t>
      </w:r>
      <w:r>
        <w:rPr>
          <w:rFonts w:hint="eastAsia" w:ascii="仿宋" w:hAnsi="仿宋" w:eastAsia="仿宋" w:cs="仿宋"/>
          <w:sz w:val="28"/>
          <w:szCs w:val="28"/>
        </w:rPr>
        <w:t>劳动力投入计划表</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5.1.8</w:t>
      </w:r>
      <w:r>
        <w:rPr>
          <w:rFonts w:hint="eastAsia" w:ascii="仿宋" w:hAnsi="仿宋" w:eastAsia="仿宋" w:cs="仿宋"/>
          <w:sz w:val="28"/>
          <w:szCs w:val="28"/>
        </w:rPr>
        <w:t xml:space="preserve"> 苗木及主要材料供应计划表</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5.1.9</w:t>
      </w:r>
      <w:r>
        <w:rPr>
          <w:rFonts w:hint="eastAsia" w:ascii="仿宋" w:hAnsi="仿宋" w:eastAsia="仿宋" w:cs="仿宋"/>
          <w:sz w:val="28"/>
          <w:szCs w:val="28"/>
        </w:rPr>
        <w:t>对影响工期的因素分析及应对措施</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5.1.10</w:t>
      </w:r>
      <w:r>
        <w:rPr>
          <w:rFonts w:hint="eastAsia" w:ascii="仿宋" w:hAnsi="仿宋" w:eastAsia="仿宋" w:cs="仿宋"/>
          <w:sz w:val="28"/>
          <w:szCs w:val="28"/>
        </w:rPr>
        <w:t>项目管理班子成员表</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5.1.10.1</w:t>
      </w:r>
      <w:r>
        <w:rPr>
          <w:rFonts w:hint="eastAsia" w:ascii="仿宋" w:hAnsi="仿宋" w:eastAsia="仿宋" w:cs="仿宋"/>
          <w:sz w:val="28"/>
          <w:szCs w:val="28"/>
        </w:rPr>
        <w:t>技术负责人简历表</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5.1.11</w:t>
      </w:r>
      <w:r>
        <w:rPr>
          <w:rFonts w:hint="eastAsia" w:ascii="仿宋" w:hAnsi="仿宋" w:eastAsia="仿宋" w:cs="仿宋"/>
          <w:sz w:val="28"/>
          <w:szCs w:val="28"/>
        </w:rPr>
        <w:t>主要分部工程施工技术方案</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5.1.12</w:t>
      </w:r>
      <w:r>
        <w:rPr>
          <w:rFonts w:hint="eastAsia" w:ascii="仿宋" w:hAnsi="仿宋" w:eastAsia="仿宋" w:cs="仿宋"/>
          <w:sz w:val="28"/>
          <w:szCs w:val="28"/>
        </w:rPr>
        <w:t xml:space="preserve"> 施工总平面布置</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5.1.12.1</w:t>
      </w:r>
      <w:r>
        <w:rPr>
          <w:rFonts w:hint="eastAsia" w:ascii="仿宋" w:hAnsi="仿宋" w:eastAsia="仿宋" w:cs="仿宋"/>
          <w:sz w:val="28"/>
          <w:szCs w:val="28"/>
        </w:rPr>
        <w:t>施工总平面布置图</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5.1.13</w:t>
      </w:r>
      <w:r>
        <w:rPr>
          <w:rFonts w:hint="eastAsia" w:ascii="仿宋" w:hAnsi="仿宋" w:eastAsia="仿宋" w:cs="仿宋"/>
          <w:sz w:val="28"/>
          <w:szCs w:val="28"/>
        </w:rPr>
        <w:t xml:space="preserve"> 安全保证体系和安全措施</w:t>
      </w:r>
    </w:p>
    <w:p>
      <w:pPr>
        <w:spacing w:line="440" w:lineRule="exact"/>
        <w:ind w:left="720"/>
        <w:rPr>
          <w:rFonts w:hint="eastAsia" w:ascii="仿宋" w:hAnsi="仿宋" w:eastAsia="仿宋" w:cs="仿宋"/>
          <w:sz w:val="28"/>
          <w:szCs w:val="28"/>
        </w:rPr>
      </w:pPr>
      <w:r>
        <w:rPr>
          <w:rFonts w:hint="eastAsia" w:ascii="仿宋" w:hAnsi="仿宋" w:eastAsia="仿宋" w:cs="仿宋"/>
          <w:sz w:val="28"/>
          <w:szCs w:val="28"/>
          <w:lang w:val="en-US" w:eastAsia="zh-CN"/>
        </w:rPr>
        <w:t>5.1.14</w:t>
      </w:r>
      <w:r>
        <w:rPr>
          <w:rFonts w:hint="eastAsia" w:ascii="仿宋" w:hAnsi="仿宋" w:eastAsia="仿宋" w:cs="仿宋"/>
          <w:sz w:val="28"/>
          <w:szCs w:val="28"/>
        </w:rPr>
        <w:t>文明施工及环境保护措施</w:t>
      </w:r>
    </w:p>
    <w:p>
      <w:pPr>
        <w:spacing w:line="360" w:lineRule="auto"/>
        <w:ind w:firstLine="840" w:firstLineChars="300"/>
        <w:rPr>
          <w:rFonts w:hint="eastAsia" w:ascii="仿宋" w:hAnsi="仿宋" w:eastAsia="仿宋" w:cs="仿宋"/>
          <w:sz w:val="28"/>
          <w:szCs w:val="28"/>
        </w:rPr>
      </w:pPr>
      <w:r>
        <w:rPr>
          <w:rFonts w:hint="eastAsia" w:ascii="仿宋" w:hAnsi="仿宋" w:eastAsia="仿宋" w:cs="仿宋"/>
          <w:sz w:val="28"/>
          <w:szCs w:val="28"/>
          <w:lang w:val="en-US" w:eastAsia="zh-CN"/>
        </w:rPr>
        <w:t>5.1.15</w:t>
      </w:r>
      <w:r>
        <w:rPr>
          <w:rFonts w:hint="eastAsia" w:ascii="仿宋" w:hAnsi="仿宋" w:eastAsia="仿宋" w:cs="仿宋"/>
          <w:sz w:val="28"/>
          <w:szCs w:val="28"/>
        </w:rPr>
        <w:t>投标人认为需要提供的其他技术文件或材料等。</w:t>
      </w:r>
    </w:p>
    <w:p>
      <w:pPr>
        <w:jc w:val="center"/>
        <w:rPr>
          <w:rFonts w:hint="eastAsia" w:ascii="仿宋" w:hAnsi="仿宋" w:eastAsia="仿宋" w:cs="仿宋"/>
          <w:b/>
          <w:sz w:val="28"/>
          <w:szCs w:val="28"/>
        </w:rPr>
      </w:pPr>
    </w:p>
    <w:p>
      <w:pPr>
        <w:tabs>
          <w:tab w:val="left" w:pos="1470"/>
        </w:tabs>
        <w:snapToGrid w:val="0"/>
        <w:spacing w:line="360" w:lineRule="auto"/>
        <w:rPr>
          <w:rFonts w:hint="eastAsia" w:ascii="仿宋" w:hAnsi="仿宋" w:eastAsia="仿宋" w:cs="仿宋"/>
          <w:b/>
          <w:sz w:val="28"/>
          <w:szCs w:val="28"/>
        </w:rPr>
      </w:pPr>
      <w:r>
        <w:rPr>
          <w:rFonts w:hint="eastAsia" w:ascii="仿宋" w:hAnsi="仿宋" w:eastAsia="仿宋" w:cs="仿宋"/>
          <w:b/>
          <w:sz w:val="28"/>
          <w:szCs w:val="28"/>
          <w:lang w:val="en-US" w:eastAsia="zh-CN"/>
        </w:rPr>
        <w:t>5</w:t>
      </w:r>
      <w:r>
        <w:rPr>
          <w:rFonts w:hint="eastAsia" w:ascii="仿宋" w:hAnsi="仿宋" w:eastAsia="仿宋" w:cs="仿宋"/>
          <w:b/>
          <w:sz w:val="28"/>
          <w:szCs w:val="28"/>
        </w:rPr>
        <w:t>.2投标人技术承担能力说明</w:t>
      </w:r>
    </w:p>
    <w:p>
      <w:pPr>
        <w:tabs>
          <w:tab w:val="left" w:pos="1470"/>
        </w:tabs>
        <w:snapToGrid w:val="0"/>
        <w:spacing w:line="360" w:lineRule="auto"/>
        <w:ind w:firstLine="840" w:firstLineChars="3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.2.1技术支持能力说明；</w:t>
      </w:r>
    </w:p>
    <w:p>
      <w:pPr>
        <w:tabs>
          <w:tab w:val="left" w:pos="1470"/>
        </w:tabs>
        <w:snapToGrid w:val="0"/>
        <w:spacing w:line="360" w:lineRule="auto"/>
        <w:ind w:firstLine="840" w:firstLineChars="3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.2.2设备支持能力说明；</w:t>
      </w:r>
    </w:p>
    <w:p>
      <w:pPr>
        <w:tabs>
          <w:tab w:val="left" w:pos="1470"/>
        </w:tabs>
        <w:snapToGrid w:val="0"/>
        <w:spacing w:line="360" w:lineRule="auto"/>
        <w:ind w:firstLine="840" w:firstLineChars="3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 xml:space="preserve">.2.3其他有必要说明的问题。 </w:t>
      </w:r>
    </w:p>
    <w:p>
      <w:pPr>
        <w:snapToGrid w:val="0"/>
        <w:spacing w:line="360" w:lineRule="auto"/>
        <w:jc w:val="center"/>
        <w:rPr>
          <w:rFonts w:hint="eastAsia" w:ascii="仿宋" w:hAnsi="仿宋" w:eastAsia="仿宋" w:cs="仿宋"/>
          <w:b/>
          <w:bCs/>
          <w:sz w:val="28"/>
          <w:szCs w:val="28"/>
        </w:rPr>
      </w:pPr>
    </w:p>
    <w:p>
      <w:pPr>
        <w:snapToGrid w:val="0"/>
        <w:spacing w:line="360" w:lineRule="auto"/>
        <w:jc w:val="center"/>
        <w:rPr>
          <w:rFonts w:hint="eastAsia" w:ascii="仿宋" w:hAnsi="仿宋" w:eastAsia="仿宋" w:cs="仿宋"/>
          <w:b/>
          <w:bCs/>
          <w:sz w:val="28"/>
          <w:szCs w:val="28"/>
        </w:rPr>
      </w:pPr>
    </w:p>
    <w:p>
      <w:pPr>
        <w:adjustRightInd w:val="0"/>
        <w:snapToGrid w:val="0"/>
        <w:spacing w:line="360" w:lineRule="auto"/>
        <w:ind w:firstLine="643" w:firstLineChars="200"/>
        <w:jc w:val="left"/>
        <w:rPr>
          <w:rFonts w:hint="eastAsia" w:ascii="仿宋" w:hAnsi="仿宋" w:eastAsia="仿宋" w:cs="仿宋"/>
          <w:b/>
          <w:sz w:val="32"/>
          <w:szCs w:val="32"/>
        </w:rPr>
      </w:pPr>
      <w:bookmarkStart w:id="505" w:name="_Toc217446089"/>
      <w:r>
        <w:rPr>
          <w:rFonts w:hint="eastAsia" w:ascii="仿宋" w:hAnsi="仿宋" w:eastAsia="仿宋" w:cs="仿宋"/>
          <w:b/>
          <w:sz w:val="32"/>
          <w:szCs w:val="32"/>
        </w:rPr>
        <w:t>投标人类似项目业绩一览表</w:t>
      </w:r>
      <w:bookmarkEnd w:id="505"/>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188"/>
        <w:gridCol w:w="1680"/>
        <w:gridCol w:w="1560"/>
        <w:gridCol w:w="1485"/>
        <w:gridCol w:w="1260"/>
        <w:gridCol w:w="9"/>
        <w:gridCol w:w="1296"/>
        <w:gridCol w:w="9"/>
        <w:gridCol w:w="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2"/>
          <w:wAfter w:w="18" w:type="dxa"/>
          <w:cantSplit/>
          <w:trHeight w:val="600" w:hRule="atLeast"/>
          <w:jc w:val="center"/>
        </w:trPr>
        <w:tc>
          <w:tcPr>
            <w:tcW w:w="1188" w:type="dxa"/>
            <w:tcBorders>
              <w:top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年份</w:t>
            </w:r>
          </w:p>
        </w:tc>
        <w:tc>
          <w:tcPr>
            <w:tcW w:w="1680" w:type="dxa"/>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用户名称</w:t>
            </w:r>
          </w:p>
        </w:tc>
        <w:tc>
          <w:tcPr>
            <w:tcW w:w="1560" w:type="dxa"/>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项目名称</w:t>
            </w:r>
          </w:p>
        </w:tc>
        <w:tc>
          <w:tcPr>
            <w:tcW w:w="1485" w:type="dxa"/>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完成时间</w:t>
            </w:r>
          </w:p>
        </w:tc>
        <w:tc>
          <w:tcPr>
            <w:tcW w:w="1260" w:type="dxa"/>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合同金额</w:t>
            </w:r>
          </w:p>
        </w:tc>
        <w:tc>
          <w:tcPr>
            <w:tcW w:w="1305" w:type="dxa"/>
            <w:gridSpan w:val="2"/>
            <w:tcBorders>
              <w:left w:val="single" w:color="auto" w:sz="4" w:space="0"/>
            </w:tcBorders>
            <w:noWrap w:val="0"/>
            <w:vAlign w:val="center"/>
          </w:tcPr>
          <w:p>
            <w:pPr>
              <w:adjustRightInd w:val="0"/>
              <w:snapToGrid w:val="0"/>
              <w:jc w:val="center"/>
              <w:rPr>
                <w:rFonts w:hint="eastAsia" w:ascii="仿宋" w:hAnsi="仿宋" w:eastAsia="仿宋" w:cs="仿宋"/>
                <w:sz w:val="28"/>
                <w:szCs w:val="28"/>
              </w:rPr>
            </w:pPr>
            <w:r>
              <w:rPr>
                <w:rFonts w:hint="eastAsia" w:ascii="仿宋" w:hAnsi="仿宋" w:eastAsia="仿宋" w:cs="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2"/>
          <w:wAfter w:w="18" w:type="dxa"/>
          <w:cantSplit/>
          <w:trHeight w:val="600" w:hRule="atLeast"/>
          <w:jc w:val="center"/>
        </w:trPr>
        <w:tc>
          <w:tcPr>
            <w:tcW w:w="1188" w:type="dxa"/>
            <w:noWrap w:val="0"/>
            <w:vAlign w:val="center"/>
          </w:tcPr>
          <w:p>
            <w:pPr>
              <w:adjustRightInd w:val="0"/>
              <w:snapToGrid w:val="0"/>
              <w:jc w:val="left"/>
              <w:rPr>
                <w:rFonts w:hint="eastAsia" w:ascii="仿宋" w:hAnsi="仿宋" w:eastAsia="仿宋" w:cs="仿宋"/>
                <w:sz w:val="28"/>
                <w:szCs w:val="28"/>
              </w:rPr>
            </w:pPr>
          </w:p>
        </w:tc>
        <w:tc>
          <w:tcPr>
            <w:tcW w:w="1680" w:type="dxa"/>
            <w:noWrap w:val="0"/>
            <w:vAlign w:val="center"/>
          </w:tcPr>
          <w:p>
            <w:pPr>
              <w:adjustRightInd w:val="0"/>
              <w:snapToGrid w:val="0"/>
              <w:jc w:val="left"/>
              <w:rPr>
                <w:rFonts w:hint="eastAsia" w:ascii="仿宋" w:hAnsi="仿宋" w:eastAsia="仿宋" w:cs="仿宋"/>
                <w:sz w:val="28"/>
                <w:szCs w:val="28"/>
              </w:rPr>
            </w:pPr>
          </w:p>
        </w:tc>
        <w:tc>
          <w:tcPr>
            <w:tcW w:w="1560" w:type="dxa"/>
            <w:noWrap w:val="0"/>
            <w:vAlign w:val="center"/>
          </w:tcPr>
          <w:p>
            <w:pPr>
              <w:adjustRightInd w:val="0"/>
              <w:snapToGrid w:val="0"/>
              <w:jc w:val="left"/>
              <w:rPr>
                <w:rFonts w:hint="eastAsia" w:ascii="仿宋" w:hAnsi="仿宋" w:eastAsia="仿宋" w:cs="仿宋"/>
                <w:sz w:val="28"/>
                <w:szCs w:val="28"/>
              </w:rPr>
            </w:pPr>
          </w:p>
        </w:tc>
        <w:tc>
          <w:tcPr>
            <w:tcW w:w="1485" w:type="dxa"/>
            <w:noWrap w:val="0"/>
            <w:vAlign w:val="center"/>
          </w:tcPr>
          <w:p>
            <w:pPr>
              <w:adjustRightInd w:val="0"/>
              <w:snapToGrid w:val="0"/>
              <w:jc w:val="left"/>
              <w:rPr>
                <w:rFonts w:hint="eastAsia" w:ascii="仿宋" w:hAnsi="仿宋" w:eastAsia="仿宋" w:cs="仿宋"/>
                <w:sz w:val="28"/>
                <w:szCs w:val="28"/>
              </w:rPr>
            </w:pPr>
          </w:p>
        </w:tc>
        <w:tc>
          <w:tcPr>
            <w:tcW w:w="1260" w:type="dxa"/>
            <w:noWrap w:val="0"/>
            <w:vAlign w:val="center"/>
          </w:tcPr>
          <w:p>
            <w:pPr>
              <w:adjustRightInd w:val="0"/>
              <w:snapToGrid w:val="0"/>
              <w:jc w:val="left"/>
              <w:rPr>
                <w:rFonts w:hint="eastAsia" w:ascii="仿宋" w:hAnsi="仿宋" w:eastAsia="仿宋" w:cs="仿宋"/>
                <w:sz w:val="28"/>
                <w:szCs w:val="28"/>
              </w:rPr>
            </w:pPr>
          </w:p>
        </w:tc>
        <w:tc>
          <w:tcPr>
            <w:tcW w:w="1305" w:type="dxa"/>
            <w:gridSpan w:val="2"/>
            <w:tcBorders>
              <w:left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2"/>
          <w:wAfter w:w="18" w:type="dxa"/>
          <w:cantSplit/>
          <w:trHeight w:val="600" w:hRule="atLeast"/>
          <w:jc w:val="center"/>
        </w:trPr>
        <w:tc>
          <w:tcPr>
            <w:tcW w:w="1188" w:type="dxa"/>
            <w:noWrap w:val="0"/>
            <w:vAlign w:val="center"/>
          </w:tcPr>
          <w:p>
            <w:pPr>
              <w:adjustRightInd w:val="0"/>
              <w:snapToGrid w:val="0"/>
              <w:jc w:val="left"/>
              <w:rPr>
                <w:rFonts w:hint="eastAsia" w:ascii="仿宋" w:hAnsi="仿宋" w:eastAsia="仿宋" w:cs="仿宋"/>
                <w:sz w:val="28"/>
                <w:szCs w:val="28"/>
              </w:rPr>
            </w:pPr>
          </w:p>
        </w:tc>
        <w:tc>
          <w:tcPr>
            <w:tcW w:w="1680" w:type="dxa"/>
            <w:noWrap w:val="0"/>
            <w:vAlign w:val="center"/>
          </w:tcPr>
          <w:p>
            <w:pPr>
              <w:adjustRightInd w:val="0"/>
              <w:snapToGrid w:val="0"/>
              <w:jc w:val="left"/>
              <w:rPr>
                <w:rFonts w:hint="eastAsia" w:ascii="仿宋" w:hAnsi="仿宋" w:eastAsia="仿宋" w:cs="仿宋"/>
                <w:sz w:val="28"/>
                <w:szCs w:val="28"/>
              </w:rPr>
            </w:pPr>
          </w:p>
        </w:tc>
        <w:tc>
          <w:tcPr>
            <w:tcW w:w="1560" w:type="dxa"/>
            <w:noWrap w:val="0"/>
            <w:vAlign w:val="center"/>
          </w:tcPr>
          <w:p>
            <w:pPr>
              <w:adjustRightInd w:val="0"/>
              <w:snapToGrid w:val="0"/>
              <w:jc w:val="left"/>
              <w:rPr>
                <w:rFonts w:hint="eastAsia" w:ascii="仿宋" w:hAnsi="仿宋" w:eastAsia="仿宋" w:cs="仿宋"/>
                <w:sz w:val="28"/>
                <w:szCs w:val="28"/>
              </w:rPr>
            </w:pPr>
          </w:p>
        </w:tc>
        <w:tc>
          <w:tcPr>
            <w:tcW w:w="1485" w:type="dxa"/>
            <w:noWrap w:val="0"/>
            <w:vAlign w:val="center"/>
          </w:tcPr>
          <w:p>
            <w:pPr>
              <w:adjustRightInd w:val="0"/>
              <w:snapToGrid w:val="0"/>
              <w:jc w:val="left"/>
              <w:rPr>
                <w:rFonts w:hint="eastAsia" w:ascii="仿宋" w:hAnsi="仿宋" w:eastAsia="仿宋" w:cs="仿宋"/>
                <w:sz w:val="28"/>
                <w:szCs w:val="28"/>
              </w:rPr>
            </w:pPr>
          </w:p>
        </w:tc>
        <w:tc>
          <w:tcPr>
            <w:tcW w:w="1260" w:type="dxa"/>
            <w:noWrap w:val="0"/>
            <w:vAlign w:val="center"/>
          </w:tcPr>
          <w:p>
            <w:pPr>
              <w:adjustRightInd w:val="0"/>
              <w:snapToGrid w:val="0"/>
              <w:jc w:val="left"/>
              <w:rPr>
                <w:rFonts w:hint="eastAsia" w:ascii="仿宋" w:hAnsi="仿宋" w:eastAsia="仿宋" w:cs="仿宋"/>
                <w:sz w:val="28"/>
                <w:szCs w:val="28"/>
              </w:rPr>
            </w:pPr>
          </w:p>
        </w:tc>
        <w:tc>
          <w:tcPr>
            <w:tcW w:w="1305" w:type="dxa"/>
            <w:gridSpan w:val="2"/>
            <w:tcBorders>
              <w:left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2"/>
          <w:wAfter w:w="18" w:type="dxa"/>
          <w:cantSplit/>
          <w:trHeight w:val="600" w:hRule="atLeast"/>
          <w:jc w:val="center"/>
        </w:trPr>
        <w:tc>
          <w:tcPr>
            <w:tcW w:w="1188" w:type="dxa"/>
            <w:noWrap w:val="0"/>
            <w:vAlign w:val="center"/>
          </w:tcPr>
          <w:p>
            <w:pPr>
              <w:adjustRightInd w:val="0"/>
              <w:snapToGrid w:val="0"/>
              <w:jc w:val="left"/>
              <w:rPr>
                <w:rFonts w:hint="eastAsia" w:ascii="仿宋" w:hAnsi="仿宋" w:eastAsia="仿宋" w:cs="仿宋"/>
                <w:sz w:val="28"/>
                <w:szCs w:val="28"/>
              </w:rPr>
            </w:pPr>
          </w:p>
        </w:tc>
        <w:tc>
          <w:tcPr>
            <w:tcW w:w="1680" w:type="dxa"/>
            <w:noWrap w:val="0"/>
            <w:vAlign w:val="center"/>
          </w:tcPr>
          <w:p>
            <w:pPr>
              <w:adjustRightInd w:val="0"/>
              <w:snapToGrid w:val="0"/>
              <w:jc w:val="left"/>
              <w:rPr>
                <w:rFonts w:hint="eastAsia" w:ascii="仿宋" w:hAnsi="仿宋" w:eastAsia="仿宋" w:cs="仿宋"/>
                <w:sz w:val="28"/>
                <w:szCs w:val="28"/>
              </w:rPr>
            </w:pPr>
          </w:p>
        </w:tc>
        <w:tc>
          <w:tcPr>
            <w:tcW w:w="1560" w:type="dxa"/>
            <w:noWrap w:val="0"/>
            <w:vAlign w:val="center"/>
          </w:tcPr>
          <w:p>
            <w:pPr>
              <w:adjustRightInd w:val="0"/>
              <w:snapToGrid w:val="0"/>
              <w:jc w:val="left"/>
              <w:rPr>
                <w:rFonts w:hint="eastAsia" w:ascii="仿宋" w:hAnsi="仿宋" w:eastAsia="仿宋" w:cs="仿宋"/>
                <w:sz w:val="28"/>
                <w:szCs w:val="28"/>
              </w:rPr>
            </w:pPr>
          </w:p>
        </w:tc>
        <w:tc>
          <w:tcPr>
            <w:tcW w:w="1485" w:type="dxa"/>
            <w:noWrap w:val="0"/>
            <w:vAlign w:val="center"/>
          </w:tcPr>
          <w:p>
            <w:pPr>
              <w:adjustRightInd w:val="0"/>
              <w:snapToGrid w:val="0"/>
              <w:jc w:val="left"/>
              <w:rPr>
                <w:rFonts w:hint="eastAsia" w:ascii="仿宋" w:hAnsi="仿宋" w:eastAsia="仿宋" w:cs="仿宋"/>
                <w:sz w:val="28"/>
                <w:szCs w:val="28"/>
              </w:rPr>
            </w:pPr>
          </w:p>
        </w:tc>
        <w:tc>
          <w:tcPr>
            <w:tcW w:w="1260" w:type="dxa"/>
            <w:noWrap w:val="0"/>
            <w:vAlign w:val="center"/>
          </w:tcPr>
          <w:p>
            <w:pPr>
              <w:adjustRightInd w:val="0"/>
              <w:snapToGrid w:val="0"/>
              <w:jc w:val="left"/>
              <w:rPr>
                <w:rFonts w:hint="eastAsia" w:ascii="仿宋" w:hAnsi="仿宋" w:eastAsia="仿宋" w:cs="仿宋"/>
                <w:sz w:val="28"/>
                <w:szCs w:val="28"/>
              </w:rPr>
            </w:pPr>
          </w:p>
        </w:tc>
        <w:tc>
          <w:tcPr>
            <w:tcW w:w="1305" w:type="dxa"/>
            <w:gridSpan w:val="2"/>
            <w:tcBorders>
              <w:left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2"/>
          <w:wAfter w:w="18" w:type="dxa"/>
          <w:cantSplit/>
          <w:trHeight w:val="600" w:hRule="atLeast"/>
          <w:jc w:val="center"/>
        </w:trPr>
        <w:tc>
          <w:tcPr>
            <w:tcW w:w="1188" w:type="dxa"/>
            <w:noWrap w:val="0"/>
            <w:vAlign w:val="center"/>
          </w:tcPr>
          <w:p>
            <w:pPr>
              <w:adjustRightInd w:val="0"/>
              <w:snapToGrid w:val="0"/>
              <w:jc w:val="left"/>
              <w:rPr>
                <w:rFonts w:hint="eastAsia" w:ascii="仿宋" w:hAnsi="仿宋" w:eastAsia="仿宋" w:cs="仿宋"/>
                <w:sz w:val="28"/>
                <w:szCs w:val="28"/>
              </w:rPr>
            </w:pPr>
          </w:p>
        </w:tc>
        <w:tc>
          <w:tcPr>
            <w:tcW w:w="1680" w:type="dxa"/>
            <w:tcBorders>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560" w:type="dxa"/>
            <w:tcBorders>
              <w:lef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485" w:type="dxa"/>
            <w:noWrap w:val="0"/>
            <w:vAlign w:val="center"/>
          </w:tcPr>
          <w:p>
            <w:pPr>
              <w:adjustRightInd w:val="0"/>
              <w:snapToGrid w:val="0"/>
              <w:jc w:val="left"/>
              <w:rPr>
                <w:rFonts w:hint="eastAsia" w:ascii="仿宋" w:hAnsi="仿宋" w:eastAsia="仿宋" w:cs="仿宋"/>
                <w:sz w:val="28"/>
                <w:szCs w:val="28"/>
              </w:rPr>
            </w:pPr>
          </w:p>
        </w:tc>
        <w:tc>
          <w:tcPr>
            <w:tcW w:w="1260" w:type="dxa"/>
            <w:noWrap w:val="0"/>
            <w:vAlign w:val="center"/>
          </w:tcPr>
          <w:p>
            <w:pPr>
              <w:adjustRightInd w:val="0"/>
              <w:snapToGrid w:val="0"/>
              <w:jc w:val="left"/>
              <w:rPr>
                <w:rFonts w:hint="eastAsia" w:ascii="仿宋" w:hAnsi="仿宋" w:eastAsia="仿宋" w:cs="仿宋"/>
                <w:sz w:val="28"/>
                <w:szCs w:val="28"/>
              </w:rPr>
            </w:pPr>
          </w:p>
        </w:tc>
        <w:tc>
          <w:tcPr>
            <w:tcW w:w="1305" w:type="dxa"/>
            <w:gridSpan w:val="2"/>
            <w:tcBorders>
              <w:left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9" w:type="dxa"/>
          <w:cantSplit/>
          <w:trHeight w:val="600" w:hRule="atLeast"/>
          <w:jc w:val="center"/>
        </w:trPr>
        <w:tc>
          <w:tcPr>
            <w:tcW w:w="1188" w:type="dxa"/>
            <w:tcBorders>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680" w:type="dxa"/>
            <w:tcBorders>
              <w:left w:val="single" w:color="auto" w:sz="4" w:space="0"/>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560" w:type="dxa"/>
            <w:tcBorders>
              <w:left w:val="single" w:color="auto" w:sz="4" w:space="0"/>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485" w:type="dxa"/>
            <w:tcBorders>
              <w:left w:val="single" w:color="auto" w:sz="4" w:space="0"/>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269" w:type="dxa"/>
            <w:gridSpan w:val="2"/>
            <w:tcBorders>
              <w:left w:val="single" w:color="auto" w:sz="4" w:space="0"/>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305" w:type="dxa"/>
            <w:gridSpan w:val="2"/>
            <w:tcBorders>
              <w:left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188" w:type="dxa"/>
            <w:noWrap w:val="0"/>
            <w:vAlign w:val="center"/>
          </w:tcPr>
          <w:p>
            <w:pPr>
              <w:adjustRightInd w:val="0"/>
              <w:snapToGrid w:val="0"/>
              <w:jc w:val="left"/>
              <w:rPr>
                <w:rFonts w:hint="eastAsia" w:ascii="仿宋" w:hAnsi="仿宋" w:eastAsia="仿宋" w:cs="仿宋"/>
                <w:sz w:val="28"/>
                <w:szCs w:val="28"/>
              </w:rPr>
            </w:pPr>
          </w:p>
        </w:tc>
        <w:tc>
          <w:tcPr>
            <w:tcW w:w="1680" w:type="dxa"/>
            <w:noWrap w:val="0"/>
            <w:vAlign w:val="center"/>
          </w:tcPr>
          <w:p>
            <w:pPr>
              <w:adjustRightInd w:val="0"/>
              <w:snapToGrid w:val="0"/>
              <w:jc w:val="left"/>
              <w:rPr>
                <w:rFonts w:hint="eastAsia" w:ascii="仿宋" w:hAnsi="仿宋" w:eastAsia="仿宋" w:cs="仿宋"/>
                <w:sz w:val="28"/>
                <w:szCs w:val="28"/>
              </w:rPr>
            </w:pPr>
          </w:p>
        </w:tc>
        <w:tc>
          <w:tcPr>
            <w:tcW w:w="1560" w:type="dxa"/>
            <w:noWrap w:val="0"/>
            <w:vAlign w:val="center"/>
          </w:tcPr>
          <w:p>
            <w:pPr>
              <w:adjustRightInd w:val="0"/>
              <w:snapToGrid w:val="0"/>
              <w:jc w:val="left"/>
              <w:rPr>
                <w:rFonts w:hint="eastAsia" w:ascii="仿宋" w:hAnsi="仿宋" w:eastAsia="仿宋" w:cs="仿宋"/>
                <w:sz w:val="28"/>
                <w:szCs w:val="28"/>
              </w:rPr>
            </w:pPr>
          </w:p>
        </w:tc>
        <w:tc>
          <w:tcPr>
            <w:tcW w:w="1485" w:type="dxa"/>
            <w:noWrap w:val="0"/>
            <w:vAlign w:val="center"/>
          </w:tcPr>
          <w:p>
            <w:pPr>
              <w:adjustRightInd w:val="0"/>
              <w:snapToGrid w:val="0"/>
              <w:jc w:val="left"/>
              <w:rPr>
                <w:rFonts w:hint="eastAsia" w:ascii="仿宋" w:hAnsi="仿宋" w:eastAsia="仿宋" w:cs="仿宋"/>
                <w:sz w:val="28"/>
                <w:szCs w:val="28"/>
              </w:rPr>
            </w:pPr>
          </w:p>
        </w:tc>
        <w:tc>
          <w:tcPr>
            <w:tcW w:w="1269" w:type="dxa"/>
            <w:gridSpan w:val="2"/>
            <w:tcBorders>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314" w:type="dxa"/>
            <w:gridSpan w:val="3"/>
            <w:tcBorders>
              <w:left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188" w:type="dxa"/>
            <w:noWrap w:val="0"/>
            <w:vAlign w:val="center"/>
          </w:tcPr>
          <w:p>
            <w:pPr>
              <w:adjustRightInd w:val="0"/>
              <w:snapToGrid w:val="0"/>
              <w:jc w:val="left"/>
              <w:rPr>
                <w:rFonts w:hint="eastAsia" w:ascii="仿宋" w:hAnsi="仿宋" w:eastAsia="仿宋" w:cs="仿宋"/>
                <w:sz w:val="28"/>
                <w:szCs w:val="28"/>
              </w:rPr>
            </w:pPr>
          </w:p>
        </w:tc>
        <w:tc>
          <w:tcPr>
            <w:tcW w:w="1680" w:type="dxa"/>
            <w:noWrap w:val="0"/>
            <w:vAlign w:val="center"/>
          </w:tcPr>
          <w:p>
            <w:pPr>
              <w:adjustRightInd w:val="0"/>
              <w:snapToGrid w:val="0"/>
              <w:jc w:val="left"/>
              <w:rPr>
                <w:rFonts w:hint="eastAsia" w:ascii="仿宋" w:hAnsi="仿宋" w:eastAsia="仿宋" w:cs="仿宋"/>
                <w:sz w:val="28"/>
                <w:szCs w:val="28"/>
              </w:rPr>
            </w:pPr>
          </w:p>
        </w:tc>
        <w:tc>
          <w:tcPr>
            <w:tcW w:w="1560" w:type="dxa"/>
            <w:noWrap w:val="0"/>
            <w:vAlign w:val="center"/>
          </w:tcPr>
          <w:p>
            <w:pPr>
              <w:adjustRightInd w:val="0"/>
              <w:snapToGrid w:val="0"/>
              <w:jc w:val="left"/>
              <w:rPr>
                <w:rFonts w:hint="eastAsia" w:ascii="仿宋" w:hAnsi="仿宋" w:eastAsia="仿宋" w:cs="仿宋"/>
                <w:sz w:val="28"/>
                <w:szCs w:val="28"/>
              </w:rPr>
            </w:pPr>
          </w:p>
        </w:tc>
        <w:tc>
          <w:tcPr>
            <w:tcW w:w="1485" w:type="dxa"/>
            <w:noWrap w:val="0"/>
            <w:vAlign w:val="center"/>
          </w:tcPr>
          <w:p>
            <w:pPr>
              <w:adjustRightInd w:val="0"/>
              <w:snapToGrid w:val="0"/>
              <w:jc w:val="left"/>
              <w:rPr>
                <w:rFonts w:hint="eastAsia" w:ascii="仿宋" w:hAnsi="仿宋" w:eastAsia="仿宋" w:cs="仿宋"/>
                <w:sz w:val="28"/>
                <w:szCs w:val="28"/>
              </w:rPr>
            </w:pPr>
          </w:p>
        </w:tc>
        <w:tc>
          <w:tcPr>
            <w:tcW w:w="1269" w:type="dxa"/>
            <w:gridSpan w:val="2"/>
            <w:tcBorders>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314" w:type="dxa"/>
            <w:gridSpan w:val="3"/>
            <w:tcBorders>
              <w:left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188" w:type="dxa"/>
            <w:noWrap w:val="0"/>
            <w:vAlign w:val="center"/>
          </w:tcPr>
          <w:p>
            <w:pPr>
              <w:adjustRightInd w:val="0"/>
              <w:snapToGrid w:val="0"/>
              <w:jc w:val="left"/>
              <w:rPr>
                <w:rFonts w:hint="eastAsia" w:ascii="仿宋" w:hAnsi="仿宋" w:eastAsia="仿宋" w:cs="仿宋"/>
                <w:sz w:val="28"/>
                <w:szCs w:val="28"/>
              </w:rPr>
            </w:pPr>
          </w:p>
        </w:tc>
        <w:tc>
          <w:tcPr>
            <w:tcW w:w="1680" w:type="dxa"/>
            <w:noWrap w:val="0"/>
            <w:vAlign w:val="center"/>
          </w:tcPr>
          <w:p>
            <w:pPr>
              <w:adjustRightInd w:val="0"/>
              <w:snapToGrid w:val="0"/>
              <w:jc w:val="left"/>
              <w:rPr>
                <w:rFonts w:hint="eastAsia" w:ascii="仿宋" w:hAnsi="仿宋" w:eastAsia="仿宋" w:cs="仿宋"/>
                <w:sz w:val="28"/>
                <w:szCs w:val="28"/>
              </w:rPr>
            </w:pPr>
          </w:p>
        </w:tc>
        <w:tc>
          <w:tcPr>
            <w:tcW w:w="1560" w:type="dxa"/>
            <w:noWrap w:val="0"/>
            <w:vAlign w:val="center"/>
          </w:tcPr>
          <w:p>
            <w:pPr>
              <w:adjustRightInd w:val="0"/>
              <w:snapToGrid w:val="0"/>
              <w:jc w:val="left"/>
              <w:rPr>
                <w:rFonts w:hint="eastAsia" w:ascii="仿宋" w:hAnsi="仿宋" w:eastAsia="仿宋" w:cs="仿宋"/>
                <w:sz w:val="28"/>
                <w:szCs w:val="28"/>
              </w:rPr>
            </w:pPr>
          </w:p>
        </w:tc>
        <w:tc>
          <w:tcPr>
            <w:tcW w:w="1485" w:type="dxa"/>
            <w:noWrap w:val="0"/>
            <w:vAlign w:val="center"/>
          </w:tcPr>
          <w:p>
            <w:pPr>
              <w:adjustRightInd w:val="0"/>
              <w:snapToGrid w:val="0"/>
              <w:jc w:val="left"/>
              <w:rPr>
                <w:rFonts w:hint="eastAsia" w:ascii="仿宋" w:hAnsi="仿宋" w:eastAsia="仿宋" w:cs="仿宋"/>
                <w:sz w:val="28"/>
                <w:szCs w:val="28"/>
              </w:rPr>
            </w:pPr>
          </w:p>
        </w:tc>
        <w:tc>
          <w:tcPr>
            <w:tcW w:w="1269" w:type="dxa"/>
            <w:gridSpan w:val="2"/>
            <w:tcBorders>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314" w:type="dxa"/>
            <w:gridSpan w:val="3"/>
            <w:tcBorders>
              <w:left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1188" w:type="dxa"/>
            <w:tcBorders>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680" w:type="dxa"/>
            <w:tcBorders>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560" w:type="dxa"/>
            <w:tcBorders>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485" w:type="dxa"/>
            <w:tcBorders>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269" w:type="dxa"/>
            <w:gridSpan w:val="2"/>
            <w:tcBorders>
              <w:bottom w:val="single" w:color="auto" w:sz="4" w:space="0"/>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314" w:type="dxa"/>
            <w:gridSpan w:val="3"/>
            <w:tcBorders>
              <w:left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1188"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680"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560"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485"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269" w:type="dxa"/>
            <w:gridSpan w:val="2"/>
            <w:tcBorders>
              <w:top w:val="single" w:color="auto" w:sz="4" w:space="0"/>
              <w:bottom w:val="single" w:color="auto" w:sz="4" w:space="0"/>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314" w:type="dxa"/>
            <w:gridSpan w:val="3"/>
            <w:tcBorders>
              <w:top w:val="single" w:color="auto" w:sz="4" w:space="0"/>
              <w:left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1188"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680"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560"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485"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269" w:type="dxa"/>
            <w:gridSpan w:val="2"/>
            <w:tcBorders>
              <w:top w:val="single" w:color="auto" w:sz="4" w:space="0"/>
              <w:bottom w:val="single" w:color="auto" w:sz="4" w:space="0"/>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314" w:type="dxa"/>
            <w:gridSpan w:val="3"/>
            <w:tcBorders>
              <w:top w:val="single" w:color="auto" w:sz="4" w:space="0"/>
              <w:left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1188"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680"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560"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485" w:type="dxa"/>
            <w:tcBorders>
              <w:top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269" w:type="dxa"/>
            <w:gridSpan w:val="2"/>
            <w:tcBorders>
              <w:top w:val="single" w:color="auto" w:sz="4" w:space="0"/>
              <w:bottom w:val="single" w:color="auto" w:sz="4" w:space="0"/>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314" w:type="dxa"/>
            <w:gridSpan w:val="3"/>
            <w:tcBorders>
              <w:top w:val="single" w:color="auto" w:sz="4" w:space="0"/>
              <w:left w:val="single" w:color="auto" w:sz="4" w:space="0"/>
              <w:bottom w:val="single" w:color="auto" w:sz="4" w:space="0"/>
            </w:tcBorders>
            <w:noWrap w:val="0"/>
            <w:vAlign w:val="center"/>
          </w:tcPr>
          <w:p>
            <w:pPr>
              <w:adjustRightInd w:val="0"/>
              <w:snapToGrid w:val="0"/>
              <w:jc w:val="lef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1188" w:type="dxa"/>
            <w:tcBorders>
              <w:top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680" w:type="dxa"/>
            <w:tcBorders>
              <w:top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560" w:type="dxa"/>
            <w:tcBorders>
              <w:top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485" w:type="dxa"/>
            <w:tcBorders>
              <w:top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269" w:type="dxa"/>
            <w:gridSpan w:val="2"/>
            <w:tcBorders>
              <w:top w:val="single" w:color="auto" w:sz="4" w:space="0"/>
              <w:right w:val="single" w:color="auto" w:sz="4" w:space="0"/>
            </w:tcBorders>
            <w:noWrap w:val="0"/>
            <w:vAlign w:val="center"/>
          </w:tcPr>
          <w:p>
            <w:pPr>
              <w:adjustRightInd w:val="0"/>
              <w:snapToGrid w:val="0"/>
              <w:jc w:val="left"/>
              <w:rPr>
                <w:rFonts w:hint="eastAsia" w:ascii="仿宋" w:hAnsi="仿宋" w:eastAsia="仿宋" w:cs="仿宋"/>
                <w:sz w:val="28"/>
                <w:szCs w:val="28"/>
              </w:rPr>
            </w:pPr>
          </w:p>
        </w:tc>
        <w:tc>
          <w:tcPr>
            <w:tcW w:w="1314" w:type="dxa"/>
            <w:gridSpan w:val="3"/>
            <w:tcBorders>
              <w:top w:val="single" w:color="auto" w:sz="4" w:space="0"/>
              <w:left w:val="single" w:color="auto" w:sz="4" w:space="0"/>
            </w:tcBorders>
            <w:noWrap w:val="0"/>
            <w:vAlign w:val="center"/>
          </w:tcPr>
          <w:p>
            <w:pPr>
              <w:adjustRightInd w:val="0"/>
              <w:snapToGrid w:val="0"/>
              <w:jc w:val="left"/>
              <w:rPr>
                <w:rFonts w:hint="eastAsia" w:ascii="仿宋" w:hAnsi="仿宋" w:eastAsia="仿宋" w:cs="仿宋"/>
                <w:sz w:val="28"/>
                <w:szCs w:val="28"/>
              </w:rPr>
            </w:pPr>
          </w:p>
        </w:tc>
      </w:tr>
    </w:tbl>
    <w:p>
      <w:pPr>
        <w:adjustRightInd w:val="0"/>
        <w:snapToGrid w:val="0"/>
        <w:jc w:val="left"/>
        <w:rPr>
          <w:rFonts w:hint="eastAsia" w:ascii="仿宋" w:hAnsi="仿宋" w:eastAsia="仿宋" w:cs="仿宋"/>
          <w:sz w:val="28"/>
          <w:szCs w:val="28"/>
        </w:rPr>
      </w:pPr>
      <w:r>
        <w:rPr>
          <w:rFonts w:hint="eastAsia" w:ascii="仿宋" w:hAnsi="仿宋" w:eastAsia="仿宋" w:cs="仿宋"/>
          <w:sz w:val="28"/>
          <w:szCs w:val="28"/>
        </w:rPr>
        <w:t>注：以上业绩书面证明材料以合同为准。</w:t>
      </w:r>
    </w:p>
    <w:p>
      <w:pPr>
        <w:adjustRightInd w:val="0"/>
        <w:snapToGrid w:val="0"/>
        <w:jc w:val="left"/>
        <w:rPr>
          <w:rFonts w:hint="eastAsia" w:ascii="仿宋" w:hAnsi="仿宋" w:eastAsia="仿宋" w:cs="仿宋"/>
          <w:sz w:val="28"/>
          <w:szCs w:val="28"/>
        </w:rPr>
      </w:pPr>
    </w:p>
    <w:p>
      <w:pPr>
        <w:adjustRightInd w:val="0"/>
        <w:snapToGrid w:val="0"/>
        <w:jc w:val="left"/>
        <w:rPr>
          <w:rFonts w:hint="eastAsia" w:ascii="仿宋" w:hAnsi="仿宋" w:eastAsia="仿宋" w:cs="仿宋"/>
          <w:sz w:val="28"/>
          <w:szCs w:val="28"/>
        </w:rPr>
      </w:pP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投标人                          法定代表人或授权代表</w:t>
      </w:r>
    </w:p>
    <w:p>
      <w:pPr>
        <w:adjustRightInd w:val="0"/>
        <w:snapToGrid w:val="0"/>
        <w:spacing w:line="360" w:lineRule="auto"/>
        <w:rPr>
          <w:rFonts w:hint="eastAsia" w:ascii="仿宋" w:hAnsi="仿宋" w:eastAsia="仿宋" w:cs="仿宋"/>
          <w:sz w:val="28"/>
          <w:szCs w:val="28"/>
        </w:rPr>
      </w:pPr>
      <w:r>
        <w:rPr>
          <w:rFonts w:hint="eastAsia" w:ascii="仿宋" w:hAnsi="仿宋" w:eastAsia="仿宋" w:cs="仿宋"/>
          <w:sz w:val="28"/>
          <w:szCs w:val="28"/>
        </w:rPr>
        <w:t>（单位公章）：                         （签字并盖章）：</w:t>
      </w:r>
    </w:p>
    <w:p>
      <w:pPr>
        <w:snapToGrid w:val="0"/>
        <w:spacing w:line="360" w:lineRule="auto"/>
        <w:jc w:val="center"/>
        <w:rPr>
          <w:rFonts w:hint="eastAsia" w:ascii="仿宋" w:hAnsi="仿宋" w:eastAsia="仿宋" w:cs="仿宋"/>
          <w:b/>
          <w:bCs/>
          <w:sz w:val="36"/>
          <w:szCs w:val="44"/>
        </w:rPr>
      </w:pPr>
    </w:p>
    <w:p>
      <w:pPr>
        <w:snapToGrid w:val="0"/>
        <w:spacing w:line="360" w:lineRule="auto"/>
        <w:jc w:val="center"/>
        <w:rPr>
          <w:rFonts w:hint="eastAsia" w:ascii="仿宋" w:hAnsi="仿宋" w:eastAsia="仿宋" w:cs="仿宋"/>
          <w:b/>
          <w:bCs/>
          <w:sz w:val="36"/>
          <w:szCs w:val="44"/>
        </w:rPr>
      </w:pPr>
    </w:p>
    <w:p>
      <w:pPr>
        <w:snapToGrid w:val="0"/>
        <w:spacing w:line="360" w:lineRule="auto"/>
        <w:jc w:val="center"/>
        <w:rPr>
          <w:rFonts w:hint="eastAsia" w:ascii="仿宋" w:hAnsi="仿宋" w:eastAsia="仿宋" w:cs="仿宋"/>
          <w:b/>
          <w:bCs/>
          <w:sz w:val="36"/>
          <w:szCs w:val="44"/>
        </w:rPr>
      </w:pPr>
    </w:p>
    <w:p>
      <w:pPr>
        <w:snapToGrid w:val="0"/>
        <w:spacing w:line="360" w:lineRule="auto"/>
        <w:jc w:val="center"/>
        <w:rPr>
          <w:rFonts w:hint="eastAsia" w:ascii="仿宋" w:hAnsi="仿宋" w:eastAsia="仿宋" w:cs="仿宋"/>
          <w:b/>
          <w:bCs/>
          <w:sz w:val="32"/>
          <w:szCs w:val="32"/>
        </w:rPr>
      </w:pPr>
    </w:p>
    <w:p>
      <w:pPr>
        <w:snapToGrid w:val="0"/>
        <w:spacing w:line="360" w:lineRule="auto"/>
        <w:jc w:val="center"/>
        <w:outlineLvl w:val="0"/>
        <w:rPr>
          <w:rFonts w:hint="eastAsia" w:ascii="仿宋" w:hAnsi="仿宋" w:eastAsia="仿宋" w:cs="仿宋"/>
          <w:b/>
          <w:bCs/>
          <w:sz w:val="32"/>
          <w:szCs w:val="32"/>
        </w:rPr>
      </w:pPr>
      <w:bookmarkStart w:id="506" w:name="_Toc18515"/>
      <w:r>
        <w:rPr>
          <w:rFonts w:hint="eastAsia" w:ascii="仿宋" w:hAnsi="仿宋" w:eastAsia="仿宋" w:cs="仿宋"/>
          <w:b/>
          <w:bCs/>
          <w:sz w:val="32"/>
          <w:szCs w:val="32"/>
        </w:rPr>
        <w:t>第6部分  资格证明文件</w:t>
      </w:r>
      <w:bookmarkEnd w:id="506"/>
    </w:p>
    <w:p>
      <w:pPr>
        <w:snapToGrid w:val="0"/>
        <w:spacing w:line="360" w:lineRule="auto"/>
        <w:ind w:firstLine="274" w:firstLineChars="98"/>
        <w:rPr>
          <w:rFonts w:hint="eastAsia" w:ascii="仿宋" w:hAnsi="仿宋" w:eastAsia="仿宋" w:cs="仿宋"/>
          <w:sz w:val="28"/>
          <w:szCs w:val="28"/>
        </w:rPr>
      </w:pPr>
      <w:r>
        <w:rPr>
          <w:rFonts w:hint="eastAsia" w:ascii="仿宋" w:hAnsi="仿宋" w:eastAsia="仿宋" w:cs="仿宋"/>
          <w:sz w:val="28"/>
          <w:szCs w:val="28"/>
        </w:rPr>
        <w:t>6.1投标人资格证明文件主要内容（参照《投标人资格及审核方法》）。</w:t>
      </w:r>
    </w:p>
    <w:p>
      <w:pPr>
        <w:snapToGrid w:val="0"/>
        <w:spacing w:line="360" w:lineRule="auto"/>
        <w:ind w:firstLine="274" w:firstLineChars="98"/>
        <w:rPr>
          <w:rFonts w:hint="eastAsia" w:ascii="仿宋" w:hAnsi="仿宋" w:eastAsia="仿宋" w:cs="仿宋"/>
          <w:sz w:val="28"/>
          <w:szCs w:val="28"/>
        </w:rPr>
      </w:pPr>
      <w:r>
        <w:rPr>
          <w:rFonts w:hint="eastAsia" w:ascii="仿宋" w:hAnsi="仿宋" w:eastAsia="仿宋" w:cs="仿宋"/>
          <w:sz w:val="28"/>
          <w:szCs w:val="28"/>
        </w:rPr>
        <w:t>6.2投标人认为有必要说明的资格问题。</w:t>
      </w:r>
    </w:p>
    <w:p>
      <w:pPr>
        <w:autoSpaceDE w:val="0"/>
        <w:autoSpaceDN w:val="0"/>
        <w:adjustRightInd w:val="0"/>
        <w:rPr>
          <w:rFonts w:hint="default" w:ascii="仿宋" w:hAnsi="仿宋" w:eastAsia="仿宋" w:cs="仿宋"/>
          <w:sz w:val="28"/>
          <w:szCs w:val="28"/>
          <w:lang w:val="en-US" w:eastAsia="zh-CN"/>
        </w:rPr>
      </w:pPr>
    </w:p>
    <w:p>
      <w:pPr>
        <w:pStyle w:val="2"/>
        <w:rPr>
          <w:rFonts w:hint="default"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附件：</w:t>
      </w:r>
      <w:r>
        <w:rPr>
          <w:rFonts w:hint="eastAsia" w:ascii="仿宋" w:hAnsi="仿宋" w:eastAsia="仿宋" w:cs="仿宋"/>
          <w:sz w:val="28"/>
          <w:szCs w:val="28"/>
          <w:lang w:val="en-US" w:eastAsia="zh-CN"/>
        </w:rPr>
        <w:t>表1：吴起县2021年退化林修复小班调查一览表</w:t>
      </w:r>
    </w:p>
    <w:p>
      <w:pPr>
        <w:bidi w:val="0"/>
        <w:rPr>
          <w:rFonts w:hint="eastAsia"/>
          <w:kern w:val="2"/>
          <w:sz w:val="21"/>
          <w:szCs w:val="24"/>
          <w:lang w:val="en-US" w:eastAsia="zh-CN" w:bidi="ar-SA"/>
        </w:rPr>
      </w:pPr>
      <w:r>
        <w:rPr>
          <w:rFonts w:hint="eastAsia" w:ascii="仿宋" w:hAnsi="仿宋" w:eastAsia="仿宋" w:cs="仿宋"/>
          <w:sz w:val="28"/>
          <w:szCs w:val="28"/>
          <w:lang w:val="en-US" w:eastAsia="zh-CN"/>
        </w:rPr>
        <w:t xml:space="preserve">          表2：吴起县退化林修复小班设计一览表</w:t>
      </w: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格式A：投标文件封袋正面标识式样</w:t>
      </w:r>
    </w:p>
    <w:p>
      <w:pPr>
        <w:pStyle w:val="2"/>
        <w:rPr>
          <w:rFonts w:hint="eastAsia"/>
          <w:lang w:val="en-US" w:eastAsia="zh-CN"/>
        </w:rPr>
      </w:pPr>
      <w:r>
        <w:rPr>
          <w:rFonts w:hint="eastAsia" w:ascii="仿宋" w:hAnsi="仿宋" w:eastAsia="仿宋" w:cs="仿宋"/>
          <w:sz w:val="28"/>
          <w:szCs w:val="28"/>
        </w:rPr>
        <mc:AlternateContent>
          <mc:Choice Requires="wps">
            <w:drawing>
              <wp:anchor distT="0" distB="0" distL="114300" distR="114300" simplePos="0" relativeHeight="251661312" behindDoc="0" locked="0" layoutInCell="1" allowOverlap="1">
                <wp:simplePos x="0" y="0"/>
                <wp:positionH relativeFrom="column">
                  <wp:posOffset>345440</wp:posOffset>
                </wp:positionH>
                <wp:positionV relativeFrom="page">
                  <wp:posOffset>1306830</wp:posOffset>
                </wp:positionV>
                <wp:extent cx="4986655" cy="2268220"/>
                <wp:effectExtent l="5080" t="4445" r="18415" b="13335"/>
                <wp:wrapSquare wrapText="bothSides"/>
                <wp:docPr id="10" name="矩形 10"/>
                <wp:cNvGraphicFramePr/>
                <a:graphic xmlns:a="http://schemas.openxmlformats.org/drawingml/2006/main">
                  <a:graphicData uri="http://schemas.microsoft.com/office/word/2010/wordprocessingShape">
                    <wps:wsp>
                      <wps:cNvSpPr/>
                      <wps:spPr>
                        <a:xfrm>
                          <a:off x="0" y="0"/>
                          <a:ext cx="4986655" cy="2268220"/>
                        </a:xfrm>
                        <a:prstGeom prst="rect">
                          <a:avLst/>
                        </a:prstGeom>
                        <a:solidFill>
                          <a:srgbClr val="FFFFFF"/>
                        </a:solidFill>
                        <a:ln w="9525" cap="flat" cmpd="dbl">
                          <a:solidFill>
                            <a:srgbClr val="000000"/>
                          </a:solidFill>
                          <a:prstDash val="solid"/>
                          <a:miter/>
                          <a:headEnd type="none" w="med" len="med"/>
                          <a:tailEnd type="none" w="med" len="med"/>
                        </a:ln>
                      </wps:spPr>
                      <wps:txbx>
                        <w:txbxContent>
                          <w:p>
                            <w:pPr>
                              <w:spacing w:line="440" w:lineRule="exact"/>
                              <w:rPr>
                                <w:rFonts w:ascii="仿宋_GB2312" w:hAnsi="宋体" w:eastAsia="仿宋_GB2312"/>
                              </w:rPr>
                            </w:pPr>
                            <w:r>
                              <w:rPr>
                                <w:rFonts w:hint="eastAsia" w:ascii="仿宋_GB2312" w:eastAsia="仿宋_GB2312"/>
                              </w:rPr>
                              <w:t>致：吴起县政府采购中心</w:t>
                            </w:r>
                          </w:p>
                          <w:p>
                            <w:pPr>
                              <w:spacing w:line="440" w:lineRule="exact"/>
                              <w:rPr>
                                <w:rFonts w:ascii="仿宋_GB2312" w:eastAsia="仿宋_GB2312"/>
                              </w:rPr>
                            </w:pPr>
                            <w:r>
                              <w:rPr>
                                <w:rFonts w:hint="eastAsia" w:ascii="仿宋_GB2312" w:eastAsia="仿宋_GB2312"/>
                              </w:rPr>
                              <w:t>项目编号：</w:t>
                            </w:r>
                          </w:p>
                          <w:p>
                            <w:pPr>
                              <w:spacing w:line="440" w:lineRule="exact"/>
                              <w:rPr>
                                <w:rFonts w:ascii="仿宋_GB2312" w:eastAsia="仿宋_GB2312"/>
                                <w:sz w:val="36"/>
                                <w:szCs w:val="36"/>
                              </w:rPr>
                            </w:pPr>
                            <w:r>
                              <w:rPr>
                                <w:rFonts w:hint="eastAsia" w:ascii="仿宋_GB2312" w:eastAsia="仿宋_GB2312"/>
                              </w:rPr>
                              <w:t>项目名称：</w:t>
                            </w:r>
                          </w:p>
                          <w:p>
                            <w:pPr>
                              <w:spacing w:line="440" w:lineRule="exact"/>
                              <w:jc w:val="center"/>
                              <w:rPr>
                                <w:rFonts w:ascii="仿宋_GB2312" w:eastAsia="仿宋_GB2312"/>
                                <w:sz w:val="36"/>
                                <w:szCs w:val="36"/>
                              </w:rPr>
                            </w:pPr>
                            <w:r>
                              <w:rPr>
                                <w:rFonts w:hint="eastAsia" w:ascii="仿宋_GB2312" w:eastAsia="仿宋_GB2312"/>
                                <w:sz w:val="36"/>
                                <w:szCs w:val="36"/>
                              </w:rPr>
                              <w:t>投 标 文 件（正本或副本）</w:t>
                            </w:r>
                          </w:p>
                          <w:p>
                            <w:pPr>
                              <w:spacing w:line="440" w:lineRule="exact"/>
                              <w:jc w:val="center"/>
                              <w:rPr>
                                <w:rFonts w:ascii="仿宋_GB2312" w:eastAsia="仿宋_GB2312"/>
                                <w:szCs w:val="21"/>
                              </w:rPr>
                            </w:pPr>
                            <w:r>
                              <w:rPr>
                                <w:rFonts w:hint="eastAsia" w:ascii="仿宋_GB2312" w:eastAsia="仿宋_GB2312"/>
                                <w:szCs w:val="21"/>
                              </w:rPr>
                              <w:t>（非开标大会不得启封）</w:t>
                            </w:r>
                          </w:p>
                          <w:p>
                            <w:pPr>
                              <w:spacing w:line="440" w:lineRule="exact"/>
                              <w:rPr>
                                <w:rFonts w:ascii="仿宋_GB2312" w:eastAsia="仿宋_GB2312"/>
                                <w:szCs w:val="21"/>
                              </w:rPr>
                            </w:pPr>
                            <w:r>
                              <w:rPr>
                                <w:rFonts w:hint="eastAsia" w:ascii="仿宋_GB2312" w:eastAsia="仿宋_GB2312"/>
                                <w:szCs w:val="21"/>
                              </w:rPr>
                              <w:t>投标人名称：（公章）</w:t>
                            </w:r>
                          </w:p>
                          <w:p>
                            <w:pPr>
                              <w:spacing w:line="440" w:lineRule="exact"/>
                              <w:rPr>
                                <w:rFonts w:ascii="仿宋_GB2312" w:eastAsia="仿宋_GB2312"/>
                                <w:szCs w:val="21"/>
                              </w:rPr>
                            </w:pPr>
                            <w:r>
                              <w:rPr>
                                <w:rFonts w:hint="eastAsia" w:ascii="仿宋_GB2312" w:eastAsia="仿宋_GB2312"/>
                                <w:szCs w:val="21"/>
                              </w:rPr>
                              <w:t>通讯地址：                            邮编：</w:t>
                            </w:r>
                          </w:p>
                        </w:txbxContent>
                      </wps:txbx>
                      <wps:bodyPr upright="1"/>
                    </wps:wsp>
                  </a:graphicData>
                </a:graphic>
              </wp:anchor>
            </w:drawing>
          </mc:Choice>
          <mc:Fallback>
            <w:pict>
              <v:rect id="_x0000_s1026" o:spid="_x0000_s1026" o:spt="1" style="position:absolute;left:0pt;margin-left:27.2pt;margin-top:102.9pt;height:178.6pt;width:392.65pt;mso-position-vertical-relative:page;mso-wrap-distance-bottom:0pt;mso-wrap-distance-left:9pt;mso-wrap-distance-right:9pt;mso-wrap-distance-top:0pt;z-index:251661312;mso-width-relative:page;mso-height-relative:page;" fillcolor="#FFFFFF" filled="t" stroked="t" coordsize="21600,21600" o:gfxdata="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cLkmNgAAAAKAQAADwAAAAAAAAABACAAAAAiAAAAZHJz&#10;L2Rvd25yZXYueG1sUEsBAhQAFAAAAAgAh07iQO6wTgEEAgAALAQAAA4AAAAAAAAAAQAgAAAAJwEA&#10;AGRycy9lMm9Eb2MueG1sUEsFBgAAAAAGAAYAWQEAAJ0FAAAAAA==&#10;">
                <v:fill on="t" focussize="0,0"/>
                <v:stroke color="#000000" linestyle="thinThin" joinstyle="miter"/>
                <v:imagedata o:title=""/>
                <o:lock v:ext="edit" aspectratio="f"/>
                <v:textbox>
                  <w:txbxContent>
                    <w:p>
                      <w:pPr>
                        <w:spacing w:line="440" w:lineRule="exact"/>
                        <w:rPr>
                          <w:rFonts w:ascii="仿宋_GB2312" w:hAnsi="宋体" w:eastAsia="仿宋_GB2312"/>
                        </w:rPr>
                      </w:pPr>
                      <w:r>
                        <w:rPr>
                          <w:rFonts w:hint="eastAsia" w:ascii="仿宋_GB2312" w:eastAsia="仿宋_GB2312"/>
                        </w:rPr>
                        <w:t>致：吴起县政府采购中心</w:t>
                      </w:r>
                    </w:p>
                    <w:p>
                      <w:pPr>
                        <w:spacing w:line="440" w:lineRule="exact"/>
                        <w:rPr>
                          <w:rFonts w:ascii="仿宋_GB2312" w:eastAsia="仿宋_GB2312"/>
                        </w:rPr>
                      </w:pPr>
                      <w:r>
                        <w:rPr>
                          <w:rFonts w:hint="eastAsia" w:ascii="仿宋_GB2312" w:eastAsia="仿宋_GB2312"/>
                        </w:rPr>
                        <w:t>项目编号：</w:t>
                      </w:r>
                    </w:p>
                    <w:p>
                      <w:pPr>
                        <w:spacing w:line="440" w:lineRule="exact"/>
                        <w:rPr>
                          <w:rFonts w:ascii="仿宋_GB2312" w:eastAsia="仿宋_GB2312"/>
                          <w:sz w:val="36"/>
                          <w:szCs w:val="36"/>
                        </w:rPr>
                      </w:pPr>
                      <w:r>
                        <w:rPr>
                          <w:rFonts w:hint="eastAsia" w:ascii="仿宋_GB2312" w:eastAsia="仿宋_GB2312"/>
                        </w:rPr>
                        <w:t>项目名称：</w:t>
                      </w:r>
                    </w:p>
                    <w:p>
                      <w:pPr>
                        <w:spacing w:line="440" w:lineRule="exact"/>
                        <w:jc w:val="center"/>
                        <w:rPr>
                          <w:rFonts w:ascii="仿宋_GB2312" w:eastAsia="仿宋_GB2312"/>
                          <w:sz w:val="36"/>
                          <w:szCs w:val="36"/>
                        </w:rPr>
                      </w:pPr>
                      <w:r>
                        <w:rPr>
                          <w:rFonts w:hint="eastAsia" w:ascii="仿宋_GB2312" w:eastAsia="仿宋_GB2312"/>
                          <w:sz w:val="36"/>
                          <w:szCs w:val="36"/>
                        </w:rPr>
                        <w:t>投 标 文 件（正本或副本）</w:t>
                      </w:r>
                    </w:p>
                    <w:p>
                      <w:pPr>
                        <w:spacing w:line="440" w:lineRule="exact"/>
                        <w:jc w:val="center"/>
                        <w:rPr>
                          <w:rFonts w:ascii="仿宋_GB2312" w:eastAsia="仿宋_GB2312"/>
                          <w:szCs w:val="21"/>
                        </w:rPr>
                      </w:pPr>
                      <w:r>
                        <w:rPr>
                          <w:rFonts w:hint="eastAsia" w:ascii="仿宋_GB2312" w:eastAsia="仿宋_GB2312"/>
                          <w:szCs w:val="21"/>
                        </w:rPr>
                        <w:t>（非开标大会不得启封）</w:t>
                      </w:r>
                    </w:p>
                    <w:p>
                      <w:pPr>
                        <w:spacing w:line="440" w:lineRule="exact"/>
                        <w:rPr>
                          <w:rFonts w:ascii="仿宋_GB2312" w:eastAsia="仿宋_GB2312"/>
                          <w:szCs w:val="21"/>
                        </w:rPr>
                      </w:pPr>
                      <w:r>
                        <w:rPr>
                          <w:rFonts w:hint="eastAsia" w:ascii="仿宋_GB2312" w:eastAsia="仿宋_GB2312"/>
                          <w:szCs w:val="21"/>
                        </w:rPr>
                        <w:t>投标人名称：（公章）</w:t>
                      </w:r>
                    </w:p>
                    <w:p>
                      <w:pPr>
                        <w:spacing w:line="440" w:lineRule="exact"/>
                        <w:rPr>
                          <w:rFonts w:ascii="仿宋_GB2312" w:eastAsia="仿宋_GB2312"/>
                          <w:szCs w:val="21"/>
                        </w:rPr>
                      </w:pPr>
                      <w:r>
                        <w:rPr>
                          <w:rFonts w:hint="eastAsia" w:ascii="仿宋_GB2312" w:eastAsia="仿宋_GB2312"/>
                          <w:szCs w:val="21"/>
                        </w:rPr>
                        <w:t>通讯地址：                            邮编：</w:t>
                      </w:r>
                    </w:p>
                  </w:txbxContent>
                </v:textbox>
                <w10:wrap type="square"/>
              </v:rect>
            </w:pict>
          </mc:Fallback>
        </mc:AlternateContent>
      </w:r>
    </w:p>
    <w:p>
      <w:pPr>
        <w:pStyle w:val="2"/>
        <w:rPr>
          <w:rFonts w:hint="eastAsia" w:ascii="仿宋" w:hAnsi="仿宋" w:eastAsia="仿宋" w:cs="仿宋"/>
          <w:b/>
          <w:sz w:val="36"/>
          <w:szCs w:val="36"/>
        </w:rPr>
      </w:pPr>
    </w:p>
    <w:p>
      <w:pPr>
        <w:bidi w:val="0"/>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bidi w:val="0"/>
        <w:rPr>
          <w:rFonts w:hint="eastAsia"/>
          <w:lang w:val="en-US" w:eastAsia="zh-CN"/>
        </w:rPr>
      </w:pPr>
    </w:p>
    <w:p>
      <w:pPr>
        <w:bidi w:val="0"/>
        <w:rPr>
          <w:rFonts w:hint="eastAsia"/>
          <w:lang w:val="en-US" w:eastAsia="zh-CN"/>
        </w:rPr>
      </w:pPr>
    </w:p>
    <w:p>
      <w:pPr>
        <w:kinsoku w:val="0"/>
        <w:adjustRightInd w:val="0"/>
        <w:snapToGrid w:val="0"/>
        <w:spacing w:line="360" w:lineRule="auto"/>
        <w:ind w:firstLine="420" w:firstLineChars="200"/>
        <w:jc w:val="left"/>
        <w:rPr>
          <w:rFonts w:hint="eastAsia"/>
          <w:lang w:val="en-US" w:eastAsia="zh-CN"/>
        </w:rPr>
      </w:pPr>
    </w:p>
    <w:p>
      <w:pPr>
        <w:kinsoku w:val="0"/>
        <w:adjustRightInd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格式B：开标一览表封袋正面标识式样</w:t>
      </w:r>
    </w:p>
    <w:p>
      <w:pPr>
        <w:tabs>
          <w:tab w:val="left" w:pos="1355"/>
        </w:tabs>
        <w:bidi w:val="0"/>
        <w:jc w:val="left"/>
        <w:rPr>
          <w:rFonts w:hint="eastAsia"/>
          <w:lang w:val="en-US" w:eastAsia="zh-CN"/>
        </w:rPr>
      </w:pPr>
      <w:r>
        <w:rPr>
          <w:rFonts w:hint="eastAsia" w:ascii="仿宋" w:hAnsi="仿宋" w:eastAsia="仿宋" w:cs="仿宋"/>
          <w:b/>
          <w:sz w:val="36"/>
          <w:szCs w:val="36"/>
        </w:rPr>
        <mc:AlternateContent>
          <mc:Choice Requires="wps">
            <w:drawing>
              <wp:anchor distT="0" distB="0" distL="114300" distR="114300" simplePos="0" relativeHeight="251659264" behindDoc="0" locked="0" layoutInCell="1" allowOverlap="1">
                <wp:simplePos x="0" y="0"/>
                <wp:positionH relativeFrom="column">
                  <wp:posOffset>361950</wp:posOffset>
                </wp:positionH>
                <wp:positionV relativeFrom="page">
                  <wp:posOffset>4053205</wp:posOffset>
                </wp:positionV>
                <wp:extent cx="4940300" cy="2237740"/>
                <wp:effectExtent l="4445" t="4445" r="8255" b="5715"/>
                <wp:wrapSquare wrapText="bothSides"/>
                <wp:docPr id="11" name="矩形 11"/>
                <wp:cNvGraphicFramePr/>
                <a:graphic xmlns:a="http://schemas.openxmlformats.org/drawingml/2006/main">
                  <a:graphicData uri="http://schemas.microsoft.com/office/word/2010/wordprocessingShape">
                    <wps:wsp>
                      <wps:cNvSpPr>
                        <a:spLocks noRot="1"/>
                      </wps:cNvSpPr>
                      <wps:spPr>
                        <a:xfrm>
                          <a:off x="0" y="0"/>
                          <a:ext cx="4940300" cy="2237740"/>
                        </a:xfrm>
                        <a:prstGeom prst="rect">
                          <a:avLst/>
                        </a:prstGeom>
                        <a:solidFill>
                          <a:srgbClr val="FFFFFF"/>
                        </a:solidFill>
                        <a:ln w="9525" cap="flat" cmpd="dbl">
                          <a:solidFill>
                            <a:srgbClr val="000000"/>
                          </a:solidFill>
                          <a:prstDash val="solid"/>
                          <a:miter/>
                          <a:headEnd type="none" w="med" len="med"/>
                          <a:tailEnd type="none" w="med" len="med"/>
                        </a:ln>
                      </wps:spPr>
                      <wps:txbx>
                        <w:txbxContent>
                          <w:p>
                            <w:pPr>
                              <w:spacing w:line="440" w:lineRule="exact"/>
                              <w:rPr>
                                <w:rFonts w:ascii="仿宋_GB2312" w:hAnsi="宋体" w:eastAsia="仿宋_GB2312"/>
                              </w:rPr>
                            </w:pPr>
                            <w:r>
                              <w:rPr>
                                <w:rFonts w:hint="eastAsia" w:ascii="仿宋_GB2312" w:eastAsia="仿宋_GB2312"/>
                              </w:rPr>
                              <w:t>致：吴起县政府采购中心</w:t>
                            </w:r>
                          </w:p>
                          <w:p>
                            <w:pPr>
                              <w:spacing w:line="440" w:lineRule="exact"/>
                              <w:rPr>
                                <w:rFonts w:ascii="仿宋_GB2312" w:eastAsia="仿宋_GB2312"/>
                              </w:rPr>
                            </w:pPr>
                            <w:r>
                              <w:rPr>
                                <w:rFonts w:hint="eastAsia" w:ascii="仿宋_GB2312" w:eastAsia="仿宋_GB2312"/>
                              </w:rPr>
                              <w:t>项目编号：</w:t>
                            </w:r>
                          </w:p>
                          <w:p>
                            <w:pPr>
                              <w:spacing w:line="440" w:lineRule="exact"/>
                              <w:rPr>
                                <w:rFonts w:ascii="仿宋_GB2312" w:eastAsia="仿宋_GB2312"/>
                                <w:sz w:val="36"/>
                                <w:szCs w:val="36"/>
                              </w:rPr>
                            </w:pPr>
                            <w:r>
                              <w:rPr>
                                <w:rFonts w:hint="eastAsia" w:ascii="仿宋_GB2312" w:eastAsia="仿宋_GB2312"/>
                              </w:rPr>
                              <w:t>项目名称：</w:t>
                            </w:r>
                          </w:p>
                          <w:p>
                            <w:pPr>
                              <w:spacing w:line="440" w:lineRule="exact"/>
                              <w:jc w:val="center"/>
                              <w:rPr>
                                <w:rFonts w:ascii="仿宋_GB2312" w:eastAsia="仿宋_GB2312"/>
                                <w:sz w:val="36"/>
                                <w:szCs w:val="36"/>
                              </w:rPr>
                            </w:pPr>
                            <w:r>
                              <w:rPr>
                                <w:rFonts w:hint="eastAsia" w:ascii="仿宋_GB2312" w:eastAsia="仿宋_GB2312"/>
                                <w:sz w:val="36"/>
                                <w:szCs w:val="36"/>
                              </w:rPr>
                              <w:t>开 标 一 览 表</w:t>
                            </w:r>
                          </w:p>
                          <w:p>
                            <w:pPr>
                              <w:spacing w:line="440" w:lineRule="exact"/>
                              <w:jc w:val="center"/>
                              <w:rPr>
                                <w:rFonts w:ascii="仿宋_GB2312" w:eastAsia="仿宋_GB2312"/>
                                <w:szCs w:val="21"/>
                              </w:rPr>
                            </w:pPr>
                            <w:r>
                              <w:rPr>
                                <w:rFonts w:hint="eastAsia" w:ascii="仿宋_GB2312" w:eastAsia="仿宋_GB2312"/>
                                <w:szCs w:val="21"/>
                              </w:rPr>
                              <w:t>（非公开唱标不得启封）</w:t>
                            </w:r>
                          </w:p>
                          <w:p>
                            <w:pPr>
                              <w:jc w:val="center"/>
                              <w:rPr>
                                <w:rFonts w:ascii="仿宋_GB2312" w:eastAsia="仿宋_GB2312"/>
                                <w:szCs w:val="21"/>
                              </w:rPr>
                            </w:pPr>
                          </w:p>
                          <w:p>
                            <w:pPr>
                              <w:spacing w:line="440" w:lineRule="exact"/>
                              <w:rPr>
                                <w:rFonts w:ascii="仿宋_GB2312" w:eastAsia="仿宋_GB2312"/>
                                <w:szCs w:val="21"/>
                              </w:rPr>
                            </w:pPr>
                            <w:r>
                              <w:rPr>
                                <w:rFonts w:hint="eastAsia" w:ascii="仿宋_GB2312" w:eastAsia="仿宋_GB2312"/>
                                <w:szCs w:val="21"/>
                              </w:rPr>
                              <w:t>投标人名称：（公章）</w:t>
                            </w:r>
                          </w:p>
                          <w:p>
                            <w:pPr>
                              <w:spacing w:line="440" w:lineRule="exact"/>
                              <w:rPr>
                                <w:rFonts w:ascii="仿宋_GB2312" w:eastAsia="仿宋_GB2312"/>
                                <w:szCs w:val="21"/>
                              </w:rPr>
                            </w:pPr>
                            <w:r>
                              <w:rPr>
                                <w:rFonts w:hint="eastAsia" w:ascii="仿宋_GB2312" w:eastAsia="仿宋_GB2312"/>
                                <w:szCs w:val="21"/>
                              </w:rPr>
                              <w:t>通讯地址：                            邮编：</w:t>
                            </w:r>
                          </w:p>
                          <w:p>
                            <w:pPr>
                              <w:rPr>
                                <w:rFonts w:ascii="仿宋_GB2312" w:eastAsia="仿宋_GB2312"/>
                                <w:szCs w:val="21"/>
                              </w:rPr>
                            </w:pPr>
                          </w:p>
                        </w:txbxContent>
                      </wps:txbx>
                      <wps:bodyPr upright="1"/>
                    </wps:wsp>
                  </a:graphicData>
                </a:graphic>
              </wp:anchor>
            </w:drawing>
          </mc:Choice>
          <mc:Fallback>
            <w:pict>
              <v:rect id="_x0000_s1026" o:spid="_x0000_s1026" o:spt="1" style="position:absolute;left:0pt;margin-left:28.5pt;margin-top:319.15pt;height:176.2pt;width:389pt;mso-position-vertical-relative:page;mso-wrap-distance-bottom:0pt;mso-wrap-distance-left:9pt;mso-wrap-distance-right:9pt;mso-wrap-distance-top:0pt;z-index:251659264;mso-width-relative:page;mso-height-relative:page;" fillcolor="#FFFFFF" filled="t" stroked="t" coordsize="21600,21600" o:gfxdata="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JShnUtgAAAAKAQAADwAAAAAA&#10;AAABACAAAAAiAAAAZHJzL2Rvd25yZXYueG1sUEsBAhQAFAAAAAgAh07iQPjGkw8TAgAATwQAAA4A&#10;AAAAAAAAAQAgAAAAJwEAAGRycy9lMm9Eb2MueG1sUEsFBgAAAAAGAAYAWQEAAKwFAAAAAA==&#10;">
                <v:fill on="t" focussize="0,0"/>
                <v:stroke color="#000000" linestyle="thinThin" joinstyle="miter"/>
                <v:imagedata o:title=""/>
                <o:lock v:ext="edit" rotation="t" aspectratio="f"/>
                <v:textbox>
                  <w:txbxContent>
                    <w:p>
                      <w:pPr>
                        <w:spacing w:line="440" w:lineRule="exact"/>
                        <w:rPr>
                          <w:rFonts w:ascii="仿宋_GB2312" w:hAnsi="宋体" w:eastAsia="仿宋_GB2312"/>
                        </w:rPr>
                      </w:pPr>
                      <w:r>
                        <w:rPr>
                          <w:rFonts w:hint="eastAsia" w:ascii="仿宋_GB2312" w:eastAsia="仿宋_GB2312"/>
                        </w:rPr>
                        <w:t>致：吴起县政府采购中心</w:t>
                      </w:r>
                    </w:p>
                    <w:p>
                      <w:pPr>
                        <w:spacing w:line="440" w:lineRule="exact"/>
                        <w:rPr>
                          <w:rFonts w:ascii="仿宋_GB2312" w:eastAsia="仿宋_GB2312"/>
                        </w:rPr>
                      </w:pPr>
                      <w:r>
                        <w:rPr>
                          <w:rFonts w:hint="eastAsia" w:ascii="仿宋_GB2312" w:eastAsia="仿宋_GB2312"/>
                        </w:rPr>
                        <w:t>项目编号：</w:t>
                      </w:r>
                    </w:p>
                    <w:p>
                      <w:pPr>
                        <w:spacing w:line="440" w:lineRule="exact"/>
                        <w:rPr>
                          <w:rFonts w:ascii="仿宋_GB2312" w:eastAsia="仿宋_GB2312"/>
                          <w:sz w:val="36"/>
                          <w:szCs w:val="36"/>
                        </w:rPr>
                      </w:pPr>
                      <w:r>
                        <w:rPr>
                          <w:rFonts w:hint="eastAsia" w:ascii="仿宋_GB2312" w:eastAsia="仿宋_GB2312"/>
                        </w:rPr>
                        <w:t>项目名称：</w:t>
                      </w:r>
                    </w:p>
                    <w:p>
                      <w:pPr>
                        <w:spacing w:line="440" w:lineRule="exact"/>
                        <w:jc w:val="center"/>
                        <w:rPr>
                          <w:rFonts w:ascii="仿宋_GB2312" w:eastAsia="仿宋_GB2312"/>
                          <w:sz w:val="36"/>
                          <w:szCs w:val="36"/>
                        </w:rPr>
                      </w:pPr>
                      <w:r>
                        <w:rPr>
                          <w:rFonts w:hint="eastAsia" w:ascii="仿宋_GB2312" w:eastAsia="仿宋_GB2312"/>
                          <w:sz w:val="36"/>
                          <w:szCs w:val="36"/>
                        </w:rPr>
                        <w:t>开 标 一 览 表</w:t>
                      </w:r>
                    </w:p>
                    <w:p>
                      <w:pPr>
                        <w:spacing w:line="440" w:lineRule="exact"/>
                        <w:jc w:val="center"/>
                        <w:rPr>
                          <w:rFonts w:ascii="仿宋_GB2312" w:eastAsia="仿宋_GB2312"/>
                          <w:szCs w:val="21"/>
                        </w:rPr>
                      </w:pPr>
                      <w:r>
                        <w:rPr>
                          <w:rFonts w:hint="eastAsia" w:ascii="仿宋_GB2312" w:eastAsia="仿宋_GB2312"/>
                          <w:szCs w:val="21"/>
                        </w:rPr>
                        <w:t>（非公开唱标不得启封）</w:t>
                      </w:r>
                    </w:p>
                    <w:p>
                      <w:pPr>
                        <w:jc w:val="center"/>
                        <w:rPr>
                          <w:rFonts w:ascii="仿宋_GB2312" w:eastAsia="仿宋_GB2312"/>
                          <w:szCs w:val="21"/>
                        </w:rPr>
                      </w:pPr>
                    </w:p>
                    <w:p>
                      <w:pPr>
                        <w:spacing w:line="440" w:lineRule="exact"/>
                        <w:rPr>
                          <w:rFonts w:ascii="仿宋_GB2312" w:eastAsia="仿宋_GB2312"/>
                          <w:szCs w:val="21"/>
                        </w:rPr>
                      </w:pPr>
                      <w:r>
                        <w:rPr>
                          <w:rFonts w:hint="eastAsia" w:ascii="仿宋_GB2312" w:eastAsia="仿宋_GB2312"/>
                          <w:szCs w:val="21"/>
                        </w:rPr>
                        <w:t>投标人名称：（公章）</w:t>
                      </w:r>
                    </w:p>
                    <w:p>
                      <w:pPr>
                        <w:spacing w:line="440" w:lineRule="exact"/>
                        <w:rPr>
                          <w:rFonts w:ascii="仿宋_GB2312" w:eastAsia="仿宋_GB2312"/>
                          <w:szCs w:val="21"/>
                        </w:rPr>
                      </w:pPr>
                      <w:r>
                        <w:rPr>
                          <w:rFonts w:hint="eastAsia" w:ascii="仿宋_GB2312" w:eastAsia="仿宋_GB2312"/>
                          <w:szCs w:val="21"/>
                        </w:rPr>
                        <w:t>通讯地址：                            邮编：</w:t>
                      </w:r>
                    </w:p>
                    <w:p>
                      <w:pPr>
                        <w:rPr>
                          <w:rFonts w:ascii="仿宋_GB2312" w:eastAsia="仿宋_GB2312"/>
                          <w:szCs w:val="21"/>
                        </w:rPr>
                      </w:pPr>
                    </w:p>
                  </w:txbxContent>
                </v:textbox>
                <w10:wrap type="square"/>
              </v:rect>
            </w:pict>
          </mc:Fallback>
        </mc:AlternateContent>
      </w:r>
    </w:p>
    <w:p>
      <w:pPr>
        <w:pStyle w:val="2"/>
        <w:rPr>
          <w:rFonts w:hint="eastAsia" w:ascii="仿宋" w:hAnsi="仿宋" w:eastAsia="仿宋" w:cs="仿宋"/>
          <w:b/>
          <w:sz w:val="36"/>
          <w:szCs w:val="36"/>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kinsoku w:val="0"/>
        <w:adjustRightInd w:val="0"/>
        <w:snapToGrid w:val="0"/>
        <w:spacing w:line="360" w:lineRule="auto"/>
        <w:jc w:val="left"/>
        <w:rPr>
          <w:rFonts w:hint="eastAsia" w:ascii="仿宋" w:hAnsi="仿宋" w:eastAsia="仿宋" w:cs="仿宋"/>
          <w:sz w:val="28"/>
          <w:szCs w:val="28"/>
        </w:rPr>
      </w:pPr>
      <w:r>
        <w:rPr>
          <w:rFonts w:hint="eastAsia" w:ascii="仿宋" w:hAnsi="仿宋" w:eastAsia="仿宋" w:cs="仿宋"/>
          <w:b/>
          <w:sz w:val="36"/>
          <w:szCs w:val="36"/>
        </w:rPr>
        <mc:AlternateContent>
          <mc:Choice Requires="wps">
            <w:drawing>
              <wp:anchor distT="0" distB="0" distL="114300" distR="114300" simplePos="0" relativeHeight="251660288" behindDoc="0" locked="0" layoutInCell="1" allowOverlap="1">
                <wp:simplePos x="0" y="0"/>
                <wp:positionH relativeFrom="column">
                  <wp:posOffset>364490</wp:posOffset>
                </wp:positionH>
                <wp:positionV relativeFrom="page">
                  <wp:posOffset>6874510</wp:posOffset>
                </wp:positionV>
                <wp:extent cx="4930140" cy="2469515"/>
                <wp:effectExtent l="4445" t="4445" r="18415" b="21590"/>
                <wp:wrapSquare wrapText="bothSides"/>
                <wp:docPr id="12" name="矩形 12"/>
                <wp:cNvGraphicFramePr/>
                <a:graphic xmlns:a="http://schemas.openxmlformats.org/drawingml/2006/main">
                  <a:graphicData uri="http://schemas.microsoft.com/office/word/2010/wordprocessingShape">
                    <wps:wsp>
                      <wps:cNvSpPr>
                        <a:spLocks noRot="1"/>
                      </wps:cNvSpPr>
                      <wps:spPr>
                        <a:xfrm>
                          <a:off x="0" y="0"/>
                          <a:ext cx="4930140" cy="2469515"/>
                        </a:xfrm>
                        <a:prstGeom prst="rect">
                          <a:avLst/>
                        </a:prstGeom>
                        <a:solidFill>
                          <a:srgbClr val="FFFFFF"/>
                        </a:solidFill>
                        <a:ln w="9525" cap="flat" cmpd="dbl">
                          <a:solidFill>
                            <a:srgbClr val="000000"/>
                          </a:solidFill>
                          <a:prstDash val="solid"/>
                          <a:miter/>
                          <a:headEnd type="none" w="med" len="med"/>
                          <a:tailEnd type="none" w="med" len="med"/>
                        </a:ln>
                      </wps:spPr>
                      <wps:txbx>
                        <w:txbxContent>
                          <w:p>
                            <w:pPr>
                              <w:spacing w:line="440" w:lineRule="exact"/>
                              <w:rPr>
                                <w:rFonts w:ascii="仿宋_GB2312" w:hAnsi="宋体" w:eastAsia="仿宋_GB2312"/>
                              </w:rPr>
                            </w:pPr>
                            <w:r>
                              <w:rPr>
                                <w:rFonts w:hint="eastAsia" w:ascii="仿宋_GB2312" w:eastAsia="仿宋_GB2312"/>
                              </w:rPr>
                              <w:t>致：吴起县政府采购中心</w:t>
                            </w:r>
                          </w:p>
                          <w:p>
                            <w:pPr>
                              <w:spacing w:line="440" w:lineRule="exact"/>
                              <w:rPr>
                                <w:rFonts w:ascii="仿宋_GB2312" w:eastAsia="仿宋_GB2312"/>
                              </w:rPr>
                            </w:pPr>
                            <w:r>
                              <w:rPr>
                                <w:rFonts w:hint="eastAsia" w:ascii="仿宋_GB2312" w:eastAsia="仿宋_GB2312"/>
                              </w:rPr>
                              <w:t>项目编号：</w:t>
                            </w:r>
                          </w:p>
                          <w:p>
                            <w:pPr>
                              <w:spacing w:line="440" w:lineRule="exact"/>
                              <w:rPr>
                                <w:rFonts w:ascii="仿宋_GB2312" w:eastAsia="仿宋_GB2312"/>
                                <w:sz w:val="36"/>
                                <w:szCs w:val="36"/>
                              </w:rPr>
                            </w:pPr>
                            <w:r>
                              <w:rPr>
                                <w:rFonts w:hint="eastAsia" w:ascii="仿宋_GB2312" w:eastAsia="仿宋_GB2312"/>
                              </w:rPr>
                              <w:t>项目名称：</w:t>
                            </w:r>
                          </w:p>
                          <w:p>
                            <w:pPr>
                              <w:spacing w:line="440" w:lineRule="exact"/>
                              <w:jc w:val="center"/>
                              <w:rPr>
                                <w:rFonts w:hint="eastAsia" w:ascii="仿宋_GB2312" w:eastAsia="仿宋_GB2312"/>
                                <w:sz w:val="36"/>
                                <w:szCs w:val="36"/>
                              </w:rPr>
                            </w:pPr>
                            <w:r>
                              <w:rPr>
                                <w:rFonts w:hint="eastAsia" w:ascii="仿宋_GB2312" w:eastAsia="仿宋_GB2312"/>
                                <w:sz w:val="36"/>
                                <w:szCs w:val="36"/>
                              </w:rPr>
                              <w:t>资质证明文件</w:t>
                            </w:r>
                          </w:p>
                          <w:p>
                            <w:pPr>
                              <w:spacing w:line="440" w:lineRule="exact"/>
                              <w:jc w:val="center"/>
                              <w:rPr>
                                <w:rFonts w:ascii="仿宋_GB2312" w:eastAsia="仿宋_GB2312"/>
                                <w:szCs w:val="21"/>
                              </w:rPr>
                            </w:pPr>
                            <w:r>
                              <w:rPr>
                                <w:rFonts w:hint="eastAsia" w:ascii="仿宋_GB2312" w:eastAsia="仿宋_GB2312"/>
                                <w:szCs w:val="21"/>
                              </w:rPr>
                              <w:t>（非开标大会不得启封）</w:t>
                            </w:r>
                          </w:p>
                          <w:p>
                            <w:pPr>
                              <w:jc w:val="center"/>
                              <w:rPr>
                                <w:rFonts w:ascii="仿宋_GB2312" w:eastAsia="仿宋_GB2312"/>
                                <w:szCs w:val="21"/>
                              </w:rPr>
                            </w:pPr>
                          </w:p>
                          <w:p>
                            <w:pPr>
                              <w:spacing w:line="440" w:lineRule="exact"/>
                              <w:rPr>
                                <w:rFonts w:ascii="仿宋_GB2312" w:eastAsia="仿宋_GB2312"/>
                                <w:szCs w:val="21"/>
                              </w:rPr>
                            </w:pPr>
                            <w:r>
                              <w:rPr>
                                <w:rFonts w:hint="eastAsia" w:ascii="仿宋_GB2312" w:eastAsia="仿宋_GB2312"/>
                                <w:szCs w:val="21"/>
                              </w:rPr>
                              <w:t>投标人名称：（公章）</w:t>
                            </w:r>
                          </w:p>
                          <w:p>
                            <w:pPr>
                              <w:spacing w:line="440" w:lineRule="exact"/>
                              <w:rPr>
                                <w:rFonts w:ascii="仿宋_GB2312" w:eastAsia="仿宋_GB2312"/>
                                <w:szCs w:val="21"/>
                              </w:rPr>
                            </w:pPr>
                            <w:r>
                              <w:rPr>
                                <w:rFonts w:hint="eastAsia" w:ascii="仿宋_GB2312" w:eastAsia="仿宋_GB2312"/>
                                <w:szCs w:val="21"/>
                              </w:rPr>
                              <w:t>通讯地址：                            邮编：</w:t>
                            </w:r>
                          </w:p>
                          <w:p>
                            <w:pPr>
                              <w:rPr>
                                <w:rFonts w:ascii="仿宋_GB2312" w:eastAsia="仿宋_GB2312"/>
                                <w:szCs w:val="21"/>
                              </w:rPr>
                            </w:pPr>
                          </w:p>
                        </w:txbxContent>
                      </wps:txbx>
                      <wps:bodyPr upright="1"/>
                    </wps:wsp>
                  </a:graphicData>
                </a:graphic>
              </wp:anchor>
            </w:drawing>
          </mc:Choice>
          <mc:Fallback>
            <w:pict>
              <v:rect id="_x0000_s1026" o:spid="_x0000_s1026" o:spt="1" style="position:absolute;left:0pt;margin-left:28.7pt;margin-top:541.3pt;height:194.45pt;width:388.2pt;mso-position-vertical-relative:page;mso-wrap-distance-bottom:0pt;mso-wrap-distance-left:9pt;mso-wrap-distance-right:9pt;mso-wrap-distance-top:0pt;z-index:251660288;mso-width-relative:page;mso-height-relative:page;" fillcolor="#FFFFFF" filled="t" stroked="t" coordsize="21600,21600" o:gfxdata="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8ZfM+tkAAAAMAQAADwAAAAAA&#10;AAABACAAAAAiAAAAZHJzL2Rvd25yZXYueG1sUEsBAhQAFAAAAAgAh07iQDXmp2USAgAATwQAAA4A&#10;AAAAAAAAAQAgAAAAKAEAAGRycy9lMm9Eb2MueG1sUEsFBgAAAAAGAAYAWQEAAKwFAAAAAA==&#10;">
                <v:fill on="t" focussize="0,0"/>
                <v:stroke color="#000000" linestyle="thinThin" joinstyle="miter"/>
                <v:imagedata o:title=""/>
                <o:lock v:ext="edit" rotation="t" aspectratio="f"/>
                <v:textbox>
                  <w:txbxContent>
                    <w:p>
                      <w:pPr>
                        <w:spacing w:line="440" w:lineRule="exact"/>
                        <w:rPr>
                          <w:rFonts w:ascii="仿宋_GB2312" w:hAnsi="宋体" w:eastAsia="仿宋_GB2312"/>
                        </w:rPr>
                      </w:pPr>
                      <w:r>
                        <w:rPr>
                          <w:rFonts w:hint="eastAsia" w:ascii="仿宋_GB2312" w:eastAsia="仿宋_GB2312"/>
                        </w:rPr>
                        <w:t>致：吴起县政府采购中心</w:t>
                      </w:r>
                    </w:p>
                    <w:p>
                      <w:pPr>
                        <w:spacing w:line="440" w:lineRule="exact"/>
                        <w:rPr>
                          <w:rFonts w:ascii="仿宋_GB2312" w:eastAsia="仿宋_GB2312"/>
                        </w:rPr>
                      </w:pPr>
                      <w:r>
                        <w:rPr>
                          <w:rFonts w:hint="eastAsia" w:ascii="仿宋_GB2312" w:eastAsia="仿宋_GB2312"/>
                        </w:rPr>
                        <w:t>项目编号：</w:t>
                      </w:r>
                    </w:p>
                    <w:p>
                      <w:pPr>
                        <w:spacing w:line="440" w:lineRule="exact"/>
                        <w:rPr>
                          <w:rFonts w:ascii="仿宋_GB2312" w:eastAsia="仿宋_GB2312"/>
                          <w:sz w:val="36"/>
                          <w:szCs w:val="36"/>
                        </w:rPr>
                      </w:pPr>
                      <w:r>
                        <w:rPr>
                          <w:rFonts w:hint="eastAsia" w:ascii="仿宋_GB2312" w:eastAsia="仿宋_GB2312"/>
                        </w:rPr>
                        <w:t>项目名称：</w:t>
                      </w:r>
                    </w:p>
                    <w:p>
                      <w:pPr>
                        <w:spacing w:line="440" w:lineRule="exact"/>
                        <w:jc w:val="center"/>
                        <w:rPr>
                          <w:rFonts w:hint="eastAsia" w:ascii="仿宋_GB2312" w:eastAsia="仿宋_GB2312"/>
                          <w:sz w:val="36"/>
                          <w:szCs w:val="36"/>
                        </w:rPr>
                      </w:pPr>
                      <w:r>
                        <w:rPr>
                          <w:rFonts w:hint="eastAsia" w:ascii="仿宋_GB2312" w:eastAsia="仿宋_GB2312"/>
                          <w:sz w:val="36"/>
                          <w:szCs w:val="36"/>
                        </w:rPr>
                        <w:t>资质证明文件</w:t>
                      </w:r>
                    </w:p>
                    <w:p>
                      <w:pPr>
                        <w:spacing w:line="440" w:lineRule="exact"/>
                        <w:jc w:val="center"/>
                        <w:rPr>
                          <w:rFonts w:ascii="仿宋_GB2312" w:eastAsia="仿宋_GB2312"/>
                          <w:szCs w:val="21"/>
                        </w:rPr>
                      </w:pPr>
                      <w:r>
                        <w:rPr>
                          <w:rFonts w:hint="eastAsia" w:ascii="仿宋_GB2312" w:eastAsia="仿宋_GB2312"/>
                          <w:szCs w:val="21"/>
                        </w:rPr>
                        <w:t>（非开标大会不得启封）</w:t>
                      </w:r>
                    </w:p>
                    <w:p>
                      <w:pPr>
                        <w:jc w:val="center"/>
                        <w:rPr>
                          <w:rFonts w:ascii="仿宋_GB2312" w:eastAsia="仿宋_GB2312"/>
                          <w:szCs w:val="21"/>
                        </w:rPr>
                      </w:pPr>
                    </w:p>
                    <w:p>
                      <w:pPr>
                        <w:spacing w:line="440" w:lineRule="exact"/>
                        <w:rPr>
                          <w:rFonts w:ascii="仿宋_GB2312" w:eastAsia="仿宋_GB2312"/>
                          <w:szCs w:val="21"/>
                        </w:rPr>
                      </w:pPr>
                      <w:r>
                        <w:rPr>
                          <w:rFonts w:hint="eastAsia" w:ascii="仿宋_GB2312" w:eastAsia="仿宋_GB2312"/>
                          <w:szCs w:val="21"/>
                        </w:rPr>
                        <w:t>投标人名称：（公章）</w:t>
                      </w:r>
                    </w:p>
                    <w:p>
                      <w:pPr>
                        <w:spacing w:line="440" w:lineRule="exact"/>
                        <w:rPr>
                          <w:rFonts w:ascii="仿宋_GB2312" w:eastAsia="仿宋_GB2312"/>
                          <w:szCs w:val="21"/>
                        </w:rPr>
                      </w:pPr>
                      <w:r>
                        <w:rPr>
                          <w:rFonts w:hint="eastAsia" w:ascii="仿宋_GB2312" w:eastAsia="仿宋_GB2312"/>
                          <w:szCs w:val="21"/>
                        </w:rPr>
                        <w:t>通讯地址：                            邮编：</w:t>
                      </w:r>
                    </w:p>
                    <w:p>
                      <w:pPr>
                        <w:rPr>
                          <w:rFonts w:ascii="仿宋_GB2312" w:eastAsia="仿宋_GB2312"/>
                          <w:szCs w:val="21"/>
                        </w:rPr>
                      </w:pPr>
                    </w:p>
                  </w:txbxContent>
                </v:textbox>
                <w10:wrap type="square"/>
              </v:rect>
            </w:pict>
          </mc:Fallback>
        </mc:AlternateContent>
      </w:r>
      <w:r>
        <w:rPr>
          <w:rFonts w:hint="eastAsia"/>
          <w:lang w:val="en-US" w:eastAsia="zh-CN"/>
        </w:rPr>
        <w:tab/>
      </w:r>
      <w:r>
        <w:rPr>
          <w:rFonts w:hint="eastAsia" w:ascii="仿宋" w:hAnsi="仿宋" w:eastAsia="仿宋" w:cs="仿宋"/>
          <w:sz w:val="28"/>
          <w:szCs w:val="28"/>
        </w:rPr>
        <w:t>格式</w:t>
      </w:r>
      <w:r>
        <w:rPr>
          <w:rFonts w:hint="eastAsia" w:ascii="仿宋" w:hAnsi="仿宋" w:eastAsia="仿宋" w:cs="仿宋"/>
          <w:sz w:val="28"/>
          <w:szCs w:val="28"/>
          <w:lang w:val="en-US" w:eastAsia="zh-CN"/>
        </w:rPr>
        <w:t>C</w:t>
      </w:r>
      <w:r>
        <w:rPr>
          <w:rFonts w:hint="eastAsia" w:ascii="仿宋" w:hAnsi="仿宋" w:eastAsia="仿宋" w:cs="仿宋"/>
          <w:sz w:val="28"/>
          <w:szCs w:val="28"/>
        </w:rPr>
        <w:t>：资质证明文件封袋正面标识式样</w:t>
      </w:r>
    </w:p>
    <w:p>
      <w:pPr>
        <w:tabs>
          <w:tab w:val="left" w:pos="1481"/>
        </w:tabs>
        <w:bidi w:val="0"/>
        <w:jc w:val="left"/>
        <w:rPr>
          <w:rFonts w:hint="eastAsia"/>
          <w:lang w:val="en-US" w:eastAsia="zh-CN"/>
        </w:rPr>
        <w:sectPr>
          <w:headerReference r:id="rId16" w:type="default"/>
          <w:footerReference r:id="rId17" w:type="default"/>
          <w:pgSz w:w="11906" w:h="16838"/>
          <w:pgMar w:top="1418" w:right="1418" w:bottom="1418" w:left="1418" w:header="851" w:footer="992" w:gutter="0"/>
          <w:pgNumType w:fmt="decimal"/>
          <w:cols w:space="720" w:num="1"/>
          <w:docGrid w:linePitch="312" w:charSpace="0"/>
        </w:sectPr>
      </w:pP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41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5000" w:type="pct"/>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bdr w:val="none" w:color="auto" w:sz="0" w:space="0"/>
                <w:lang w:val="en-US" w:eastAsia="zh-CN" w:bidi="ar"/>
              </w:rPr>
              <w:t>吴起县2021年退化林修复小班调查一览表</w:t>
            </w:r>
          </w:p>
        </w:tc>
      </w:tr>
    </w:tbl>
    <w:p>
      <w:pPr>
        <w:pStyle w:val="6"/>
        <w:spacing w:before="61"/>
        <w:ind w:left="451"/>
        <w:jc w:val="center"/>
      </w:pP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388"/>
        <w:gridCol w:w="391"/>
        <w:gridCol w:w="388"/>
        <w:gridCol w:w="564"/>
        <w:gridCol w:w="564"/>
        <w:gridCol w:w="388"/>
        <w:gridCol w:w="388"/>
        <w:gridCol w:w="388"/>
        <w:gridCol w:w="1613"/>
        <w:gridCol w:w="901"/>
        <w:gridCol w:w="751"/>
        <w:gridCol w:w="388"/>
        <w:gridCol w:w="388"/>
        <w:gridCol w:w="388"/>
        <w:gridCol w:w="388"/>
        <w:gridCol w:w="403"/>
        <w:gridCol w:w="388"/>
        <w:gridCol w:w="388"/>
        <w:gridCol w:w="740"/>
        <w:gridCol w:w="564"/>
        <w:gridCol w:w="476"/>
        <w:gridCol w:w="388"/>
        <w:gridCol w:w="404"/>
        <w:gridCol w:w="565"/>
        <w:gridCol w:w="389"/>
        <w:gridCol w:w="389"/>
        <w:gridCol w:w="395"/>
        <w:gridCol w:w="4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275" w:type="pct"/>
            <w:gridSpan w:val="2"/>
            <w:tcBorders>
              <w:top w:val="nil"/>
              <w:left w:val="nil"/>
              <w:bottom w:val="nil"/>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表</w:t>
            </w:r>
            <w:r>
              <w:rPr>
                <w:rFonts w:hint="eastAsia" w:ascii="宋体" w:hAnsi="宋体" w:cs="宋体"/>
                <w:i w:val="0"/>
                <w:iCs w:val="0"/>
                <w:color w:val="000000"/>
                <w:kern w:val="0"/>
                <w:sz w:val="24"/>
                <w:szCs w:val="24"/>
                <w:u w:val="none"/>
                <w:bdr w:val="none" w:color="auto" w:sz="0" w:space="0"/>
                <w:lang w:val="en-US" w:eastAsia="zh-CN" w:bidi="ar"/>
              </w:rPr>
              <w:t>1</w:t>
            </w: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199" w:type="pct"/>
            <w:tcBorders>
              <w:top w:val="nil"/>
              <w:left w:val="nil"/>
              <w:bottom w:val="nil"/>
              <w:right w:val="nil"/>
            </w:tcBorders>
            <w:shd w:val="clear"/>
            <w:vAlign w:val="center"/>
          </w:tcPr>
          <w:p>
            <w:pPr>
              <w:jc w:val="right"/>
              <w:rPr>
                <w:rFonts w:hint="eastAsia" w:ascii="宋体" w:hAnsi="宋体" w:eastAsia="宋体" w:cs="宋体"/>
                <w:b/>
                <w:bCs/>
                <w:i w:val="0"/>
                <w:iCs w:val="0"/>
                <w:color w:val="000000"/>
                <w:sz w:val="24"/>
                <w:szCs w:val="24"/>
                <w:u w:val="none"/>
              </w:rPr>
            </w:pPr>
          </w:p>
        </w:tc>
        <w:tc>
          <w:tcPr>
            <w:tcW w:w="199" w:type="pct"/>
            <w:tcBorders>
              <w:top w:val="nil"/>
              <w:left w:val="nil"/>
              <w:bottom w:val="nil"/>
              <w:right w:val="nil"/>
            </w:tcBorders>
            <w:shd w:val="clear"/>
            <w:vAlign w:val="center"/>
          </w:tcPr>
          <w:p>
            <w:pPr>
              <w:jc w:val="right"/>
              <w:rPr>
                <w:rFonts w:hint="eastAsia" w:ascii="宋体" w:hAnsi="宋体" w:eastAsia="宋体" w:cs="宋体"/>
                <w:b/>
                <w:bCs/>
                <w:i w:val="0"/>
                <w:iCs w:val="0"/>
                <w:color w:val="000000"/>
                <w:sz w:val="24"/>
                <w:szCs w:val="24"/>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569"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18"/>
                <w:szCs w:val="18"/>
                <w:u w:val="none"/>
              </w:rPr>
            </w:pPr>
          </w:p>
        </w:tc>
        <w:tc>
          <w:tcPr>
            <w:tcW w:w="318"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265"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18"/>
                <w:szCs w:val="18"/>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18"/>
                <w:szCs w:val="18"/>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18"/>
                <w:szCs w:val="18"/>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18"/>
                <w:szCs w:val="18"/>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261"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18"/>
                <w:szCs w:val="18"/>
                <w:u w:val="none"/>
              </w:rPr>
            </w:pPr>
          </w:p>
        </w:tc>
        <w:tc>
          <w:tcPr>
            <w:tcW w:w="199"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18"/>
                <w:szCs w:val="18"/>
                <w:u w:val="none"/>
              </w:rPr>
            </w:pPr>
          </w:p>
        </w:tc>
        <w:tc>
          <w:tcPr>
            <w:tcW w:w="168"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18"/>
                <w:szCs w:val="18"/>
                <w:u w:val="none"/>
              </w:rPr>
            </w:pPr>
          </w:p>
        </w:tc>
        <w:tc>
          <w:tcPr>
            <w:tcW w:w="137"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18"/>
                <w:szCs w:val="18"/>
                <w:u w:val="none"/>
              </w:rPr>
            </w:pPr>
          </w:p>
        </w:tc>
        <w:tc>
          <w:tcPr>
            <w:tcW w:w="889" w:type="pct"/>
            <w:gridSpan w:val="6"/>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单位：亩、株/亩、cm、株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3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统计</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单位</w:t>
            </w:r>
          </w:p>
        </w:tc>
        <w:tc>
          <w:tcPr>
            <w:tcW w:w="13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作业区</w:t>
            </w:r>
          </w:p>
        </w:tc>
        <w:tc>
          <w:tcPr>
            <w:tcW w:w="13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小班号</w:t>
            </w:r>
          </w:p>
        </w:tc>
        <w:tc>
          <w:tcPr>
            <w:tcW w:w="199"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小班面积</w:t>
            </w:r>
          </w:p>
        </w:tc>
        <w:tc>
          <w:tcPr>
            <w:tcW w:w="199"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作业面积</w:t>
            </w:r>
          </w:p>
        </w:tc>
        <w:tc>
          <w:tcPr>
            <w:tcW w:w="13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经营权属</w:t>
            </w:r>
          </w:p>
        </w:tc>
        <w:tc>
          <w:tcPr>
            <w:tcW w:w="13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地类</w:t>
            </w:r>
          </w:p>
        </w:tc>
        <w:tc>
          <w:tcPr>
            <w:tcW w:w="13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林种</w:t>
            </w:r>
          </w:p>
        </w:tc>
        <w:tc>
          <w:tcPr>
            <w:tcW w:w="569"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乔木树种</w:t>
            </w:r>
          </w:p>
        </w:tc>
        <w:tc>
          <w:tcPr>
            <w:tcW w:w="318"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灌木树种</w:t>
            </w:r>
          </w:p>
        </w:tc>
        <w:tc>
          <w:tcPr>
            <w:tcW w:w="955" w:type="pct"/>
            <w:gridSpan w:val="6"/>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立地条件</w:t>
            </w:r>
          </w:p>
        </w:tc>
        <w:tc>
          <w:tcPr>
            <w:tcW w:w="1181" w:type="pct"/>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林分现状</w:t>
            </w:r>
          </w:p>
        </w:tc>
        <w:tc>
          <w:tcPr>
            <w:tcW w:w="199"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修复年度</w:t>
            </w:r>
          </w:p>
        </w:tc>
        <w:tc>
          <w:tcPr>
            <w:tcW w:w="413" w:type="pct"/>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退化类型与成因</w:t>
            </w:r>
          </w:p>
        </w:tc>
        <w:tc>
          <w:tcPr>
            <w:tcW w:w="13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9"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9"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569"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6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海拔</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坡度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坡向</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部位</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土壤</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土层   厚度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起源</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株数 </w:t>
            </w:r>
          </w:p>
        </w:tc>
        <w:tc>
          <w:tcPr>
            <w:tcW w:w="26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龄组</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郁闭度</w:t>
            </w:r>
          </w:p>
        </w:tc>
        <w:tc>
          <w:tcPr>
            <w:tcW w:w="16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灌草覆盖度%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枯梢枯死濒死株数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分布</w:t>
            </w:r>
          </w:p>
        </w:tc>
        <w:tc>
          <w:tcPr>
            <w:tcW w:w="199"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退化    类型</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主要   成因</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林分    评价</w:t>
            </w: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吴起县</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合计</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34</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7628</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6600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1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6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6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6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铁边城林场</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小计</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7628</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6600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1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6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6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6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高家峁</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计</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2066</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1800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1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6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6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6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325</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杨树、山杏、刺槐</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283</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山杏、刺槐</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1480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0.50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161</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1470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211</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185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刺槐、山杨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1460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中龄林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轻度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245</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0.50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310</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275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1470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260</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34</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271</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刘新庄</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计</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5562</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4800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287</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30</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0.50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一般</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167</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12</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175</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1490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29</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339</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290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1560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26</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0.50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294</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1490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0.50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255</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山杏、山杨、榆树</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沙棘</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0.50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一般</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176</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山杏、刺槐</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沙棘</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1485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278</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山杏、刺槐、山杨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16</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轻度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243</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151</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1500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一般</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11</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246</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1510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18</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一般</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12</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153</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山杏、刺槐</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山桃、沙棘</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1555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19</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0.60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157</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刺槐</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1480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轻度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294</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油松、山杏、刺槐</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沙棘</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1475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轻度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159</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山桃、沙棘</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1410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34</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16</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96</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油松、山杨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1480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幼龄林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一般</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282</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油松、山杨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1460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幼龄林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18</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138</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19</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226</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195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刺槐、杜梨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中龄林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203</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山杏、山杨、油松</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沙棘、柠条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1580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312</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265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1490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34</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0.55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轻度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一般</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227</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195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沙棘、柠条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块状</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23</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178</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山杏、山杨、杜梨</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1475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0.60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一般</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156</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油松、刺槐</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中龄林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0.45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一般</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245</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杜梨、山杏</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1490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近熟林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0.60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15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较差</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0" w:hRule="atLeast"/>
        </w:trPr>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26</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125</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110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国有</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有林地</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防护林</w:t>
            </w:r>
          </w:p>
        </w:tc>
        <w:tc>
          <w:tcPr>
            <w:tcW w:w="56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山杏、油松、榆树</w:t>
            </w:r>
          </w:p>
        </w:tc>
        <w:tc>
          <w:tcPr>
            <w:tcW w:w="3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265"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1470</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34</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w:t>
            </w:r>
          </w:p>
        </w:tc>
        <w:tc>
          <w:tcPr>
            <w:tcW w:w="137"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黄绵土</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人工</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261"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中龄林</w:t>
            </w:r>
          </w:p>
        </w:tc>
        <w:tc>
          <w:tcPr>
            <w:tcW w:w="19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0.35 </w:t>
            </w:r>
          </w:p>
        </w:tc>
        <w:tc>
          <w:tcPr>
            <w:tcW w:w="16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35%</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 </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均匀</w:t>
            </w:r>
          </w:p>
        </w:tc>
        <w:tc>
          <w:tcPr>
            <w:tcW w:w="19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2022年</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重度</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自然</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一般</w:t>
            </w:r>
          </w:p>
        </w:tc>
        <w:tc>
          <w:tcPr>
            <w:tcW w:w="13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000" w:type="pct"/>
            <w:gridSpan w:val="28"/>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其他说明：地貌类型 黄土高原残塬沟壑区、土壤质地 中壤，pH值7.0-7.5，地下水位50-100米，侵蚀类型 水力侵蚀，侵蚀强度等级 中等；林分类型：块状混交林，具有天然更新能力树种 刺槐、杨树，主要病虫害 未发现。</w:t>
            </w:r>
          </w:p>
        </w:tc>
      </w:tr>
    </w:tbl>
    <w:p>
      <w:pPr>
        <w:pStyle w:val="6"/>
        <w:spacing w:before="61"/>
        <w:ind w:left="451"/>
        <w:jc w:val="center"/>
      </w:pPr>
    </w:p>
    <w:p>
      <w:pPr>
        <w:pStyle w:val="6"/>
        <w:spacing w:before="61"/>
        <w:jc w:val="both"/>
      </w:pPr>
    </w:p>
    <w:p/>
    <w:p>
      <w:pPr>
        <w:pStyle w:val="2"/>
      </w:pPr>
    </w:p>
    <w:p>
      <w:pPr>
        <w:pStyle w:val="2"/>
      </w:pPr>
    </w:p>
    <w:p>
      <w:pPr>
        <w:pStyle w:val="6"/>
        <w:spacing w:before="61"/>
        <w:ind w:left="451"/>
        <w:jc w:val="center"/>
      </w:pPr>
    </w:p>
    <w:p/>
    <w:p>
      <w:pPr>
        <w:pStyle w:val="2"/>
      </w:pPr>
    </w:p>
    <w:p>
      <w:pPr>
        <w:pStyle w:val="2"/>
      </w:pP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80"/>
        <w:gridCol w:w="612"/>
        <w:gridCol w:w="513"/>
        <w:gridCol w:w="576"/>
        <w:gridCol w:w="576"/>
        <w:gridCol w:w="1480"/>
        <w:gridCol w:w="989"/>
        <w:gridCol w:w="1338"/>
        <w:gridCol w:w="1937"/>
        <w:gridCol w:w="828"/>
        <w:gridCol w:w="814"/>
        <w:gridCol w:w="910"/>
        <w:gridCol w:w="1121"/>
        <w:gridCol w:w="840"/>
        <w:gridCol w:w="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0" w:hRule="atLeast"/>
        </w:trPr>
        <w:tc>
          <w:tcPr>
            <w:tcW w:w="277" w:type="pct"/>
            <w:tcBorders>
              <w:top w:val="nil"/>
              <w:left w:val="nil"/>
              <w:bottom w:val="nil"/>
              <w:right w:val="nil"/>
            </w:tcBorders>
            <w:shd w:val="clear"/>
            <w:noWrap/>
            <w:vAlign w:val="center"/>
          </w:tcPr>
          <w:p>
            <w:pPr>
              <w:rPr>
                <w:rFonts w:hint="eastAsia" w:ascii="宋体" w:hAnsi="宋体" w:eastAsia="宋体" w:cs="宋体"/>
                <w:i w:val="0"/>
                <w:iCs w:val="0"/>
                <w:color w:val="000000"/>
                <w:sz w:val="24"/>
                <w:szCs w:val="24"/>
                <w:u w:val="none"/>
              </w:rPr>
            </w:pPr>
          </w:p>
        </w:tc>
        <w:tc>
          <w:tcPr>
            <w:tcW w:w="218" w:type="pct"/>
            <w:tcBorders>
              <w:top w:val="nil"/>
              <w:left w:val="nil"/>
              <w:bottom w:val="nil"/>
              <w:right w:val="nil"/>
            </w:tcBorders>
            <w:shd w:val="clear"/>
            <w:noWrap/>
            <w:vAlign w:val="center"/>
          </w:tcPr>
          <w:p>
            <w:pPr>
              <w:rPr>
                <w:rFonts w:hint="eastAsia" w:ascii="宋体" w:hAnsi="宋体" w:eastAsia="宋体" w:cs="宋体"/>
                <w:i w:val="0"/>
                <w:iCs w:val="0"/>
                <w:color w:val="000000"/>
                <w:sz w:val="24"/>
                <w:szCs w:val="24"/>
                <w:u w:val="none"/>
              </w:rPr>
            </w:pPr>
          </w:p>
        </w:tc>
        <w:tc>
          <w:tcPr>
            <w:tcW w:w="183" w:type="pct"/>
            <w:tcBorders>
              <w:top w:val="nil"/>
              <w:left w:val="nil"/>
              <w:bottom w:val="nil"/>
              <w:right w:val="nil"/>
            </w:tcBorders>
            <w:shd w:val="clear"/>
            <w:vAlign w:val="center"/>
          </w:tcPr>
          <w:p>
            <w:pPr>
              <w:rPr>
                <w:rFonts w:hint="eastAsia" w:ascii="宋体" w:hAnsi="宋体" w:eastAsia="宋体" w:cs="宋体"/>
                <w:b/>
                <w:bCs/>
                <w:i w:val="0"/>
                <w:iCs w:val="0"/>
                <w:color w:val="000000"/>
                <w:sz w:val="28"/>
                <w:szCs w:val="28"/>
                <w:u w:val="none"/>
              </w:rPr>
            </w:pPr>
          </w:p>
        </w:tc>
        <w:tc>
          <w:tcPr>
            <w:tcW w:w="188" w:type="pct"/>
            <w:tcBorders>
              <w:top w:val="nil"/>
              <w:left w:val="nil"/>
              <w:bottom w:val="nil"/>
              <w:right w:val="nil"/>
            </w:tcBorders>
            <w:shd w:val="clear"/>
            <w:noWrap/>
            <w:vAlign w:val="center"/>
          </w:tcPr>
          <w:p>
            <w:pPr>
              <w:rPr>
                <w:rFonts w:hint="eastAsia" w:ascii="宋体" w:hAnsi="宋体" w:eastAsia="宋体" w:cs="宋体"/>
                <w:i w:val="0"/>
                <w:iCs w:val="0"/>
                <w:color w:val="000000"/>
                <w:sz w:val="24"/>
                <w:szCs w:val="24"/>
                <w:u w:val="none"/>
              </w:rPr>
            </w:pPr>
          </w:p>
        </w:tc>
        <w:tc>
          <w:tcPr>
            <w:tcW w:w="192"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3337" w:type="pct"/>
            <w:gridSpan w:val="8"/>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吴起县退化林修复小班设计一览表</w:t>
            </w:r>
          </w:p>
        </w:tc>
        <w:tc>
          <w:tcPr>
            <w:tcW w:w="298"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303"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678" w:type="pct"/>
            <w:gridSpan w:val="3"/>
            <w:tcBorders>
              <w:top w:val="nil"/>
              <w:left w:val="nil"/>
              <w:bottom w:val="single" w:color="000000" w:sz="4" w:space="0"/>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表</w:t>
            </w:r>
            <w:r>
              <w:rPr>
                <w:rFonts w:hint="eastAsia" w:ascii="宋体" w:hAnsi="宋体" w:cs="宋体"/>
                <w:i w:val="0"/>
                <w:iCs w:val="0"/>
                <w:color w:val="000000"/>
                <w:kern w:val="0"/>
                <w:sz w:val="24"/>
                <w:szCs w:val="24"/>
                <w:u w:val="none"/>
                <w:bdr w:val="none" w:color="auto" w:sz="0" w:space="0"/>
                <w:lang w:val="en-US" w:eastAsia="zh-CN" w:bidi="ar"/>
              </w:rPr>
              <w:t>2</w:t>
            </w:r>
          </w:p>
        </w:tc>
        <w:tc>
          <w:tcPr>
            <w:tcW w:w="188"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192"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524"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351"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474"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685"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294"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289"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323"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393"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298"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c>
          <w:tcPr>
            <w:tcW w:w="303" w:type="pct"/>
            <w:tcBorders>
              <w:top w:val="nil"/>
              <w:left w:val="nil"/>
              <w:bottom w:val="nil"/>
              <w:right w:val="nil"/>
            </w:tcBorders>
            <w:shd w:val="clear"/>
            <w:vAlign w:val="center"/>
          </w:tcPr>
          <w:p>
            <w:pP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27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统计</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单位</w:t>
            </w:r>
          </w:p>
        </w:tc>
        <w:tc>
          <w:tcPr>
            <w:tcW w:w="218"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作业区</w:t>
            </w:r>
          </w:p>
        </w:tc>
        <w:tc>
          <w:tcPr>
            <w:tcW w:w="18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小班号</w:t>
            </w:r>
          </w:p>
        </w:tc>
        <w:tc>
          <w:tcPr>
            <w:tcW w:w="188"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小班面积</w:t>
            </w:r>
          </w:p>
        </w:tc>
        <w:tc>
          <w:tcPr>
            <w:tcW w:w="192"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作业面积</w:t>
            </w:r>
          </w:p>
        </w:tc>
        <w:tc>
          <w:tcPr>
            <w:tcW w:w="875" w:type="pct"/>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树种</w:t>
            </w:r>
          </w:p>
        </w:tc>
        <w:tc>
          <w:tcPr>
            <w:tcW w:w="474"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修复类型</w:t>
            </w:r>
          </w:p>
        </w:tc>
        <w:tc>
          <w:tcPr>
            <w:tcW w:w="685"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修复方式</w:t>
            </w:r>
          </w:p>
        </w:tc>
        <w:tc>
          <w:tcPr>
            <w:tcW w:w="1903" w:type="pct"/>
            <w:gridSpan w:val="6"/>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补植补造设计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2"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2"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524"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乔木树种</w:t>
            </w:r>
          </w:p>
        </w:tc>
        <w:tc>
          <w:tcPr>
            <w:tcW w:w="351"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灌木树种</w:t>
            </w:r>
          </w:p>
        </w:tc>
        <w:tc>
          <w:tcPr>
            <w:tcW w:w="474"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685"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4"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补植率%</w:t>
            </w:r>
          </w:p>
        </w:tc>
        <w:tc>
          <w:tcPr>
            <w:tcW w:w="289"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面积</w:t>
            </w:r>
          </w:p>
        </w:tc>
        <w:tc>
          <w:tcPr>
            <w:tcW w:w="32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造林时间</w:t>
            </w:r>
          </w:p>
        </w:tc>
        <w:tc>
          <w:tcPr>
            <w:tcW w:w="39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补植树种</w:t>
            </w:r>
          </w:p>
        </w:tc>
        <w:tc>
          <w:tcPr>
            <w:tcW w:w="298"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补植密度   (株/亩)</w:t>
            </w:r>
          </w:p>
        </w:tc>
        <w:tc>
          <w:tcPr>
            <w:tcW w:w="30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整地   </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6"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92"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524"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51"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74"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685"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4"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89"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2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9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0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吴起县</w:t>
            </w:r>
          </w:p>
        </w:tc>
        <w:tc>
          <w:tcPr>
            <w:tcW w:w="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合计</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34</w:t>
            </w:r>
          </w:p>
        </w:tc>
        <w:tc>
          <w:tcPr>
            <w:tcW w:w="18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7628</w:t>
            </w:r>
          </w:p>
        </w:tc>
        <w:tc>
          <w:tcPr>
            <w:tcW w:w="19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6600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2963.2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铁边城林场</w:t>
            </w:r>
          </w:p>
        </w:tc>
        <w:tc>
          <w:tcPr>
            <w:tcW w:w="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小计</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7628</w:t>
            </w:r>
          </w:p>
        </w:tc>
        <w:tc>
          <w:tcPr>
            <w:tcW w:w="19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6600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2963.2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高家峁</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计</w:t>
            </w:r>
          </w:p>
        </w:tc>
        <w:tc>
          <w:tcPr>
            <w:tcW w:w="18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2066</w:t>
            </w:r>
          </w:p>
        </w:tc>
        <w:tc>
          <w:tcPr>
            <w:tcW w:w="19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1800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642.8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325</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杨树、山杏、刺槐</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39.2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111.7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29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283</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山杏、刺槐</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33.3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81.6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161</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47.4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66.4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36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211</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185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刺槐、山杨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综合修复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28.6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52.9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245</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23.1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48.5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18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310</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275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49.4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135.9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39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260</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31.3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70.4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271</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235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32.1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75.4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26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刘新庄</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计</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5562</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4800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100.0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2320.4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82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287</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33.7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82.6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28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167</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34.5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50.0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29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175</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58.8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88.2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50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339</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290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36.0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104.4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31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294</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36.8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92.0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32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255</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山杏、山杨、榆树</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沙棘</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43.2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95.0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38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176</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山杏、刺槐</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沙棘</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43.8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65.7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39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278</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山杏、刺槐、山杨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综合修复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50.0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120.0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45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243</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39.6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83.2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36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铁边城林场</w:t>
            </w:r>
          </w:p>
        </w:tc>
        <w:tc>
          <w:tcPr>
            <w:tcW w:w="218"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刘新庄</w:t>
            </w: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151</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56.5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73.5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52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11</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246</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46.2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99.3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43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12</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153</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山杏、刺槐</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山桃、沙棘</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36.2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48.9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34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157</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刺槐</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综合修复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63.2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85.3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60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14</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294</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油松、山杏、刺槐</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沙棘</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综合修复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32.3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82.4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31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159</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山桃、沙棘</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63.9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86.3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62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16</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96</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油松、山杨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54.1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46.0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53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282</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油松、山杨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54.5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133.5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54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18</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138</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120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70.0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84.0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70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19</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226</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195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刺槐、杜梨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65.3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127.3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66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203</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山杏、山杨、油松</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沙棘、柠条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65.7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115.0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67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312</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265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综合修复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46.6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123.5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48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227</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195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沙棘、柠条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66.3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129.3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69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23</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178</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山杏、山杨、杜梨</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52.4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81.2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55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156</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135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油松、刺槐</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48.1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64.9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51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25</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245</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215</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杜梨、山杏</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更替修复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林冠下造林更新、抚育</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39.3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84.5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42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218"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18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26</w:t>
            </w:r>
          </w:p>
        </w:tc>
        <w:tc>
          <w:tcPr>
            <w:tcW w:w="18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125</w:t>
            </w:r>
          </w:p>
        </w:tc>
        <w:tc>
          <w:tcPr>
            <w:tcW w:w="19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110</w:t>
            </w:r>
          </w:p>
        </w:tc>
        <w:tc>
          <w:tcPr>
            <w:tcW w:w="52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山杏、油松、榆树</w:t>
            </w:r>
          </w:p>
        </w:tc>
        <w:tc>
          <w:tcPr>
            <w:tcW w:w="35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柠条</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择伐补植修复</w:t>
            </w:r>
          </w:p>
        </w:tc>
        <w:tc>
          <w:tcPr>
            <w:tcW w:w="6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补植补播</w:t>
            </w:r>
          </w:p>
        </w:tc>
        <w:tc>
          <w:tcPr>
            <w:tcW w:w="29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67.6 </w:t>
            </w:r>
          </w:p>
        </w:tc>
        <w:tc>
          <w:tcPr>
            <w:tcW w:w="28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74.4 </w:t>
            </w:r>
          </w:p>
        </w:tc>
        <w:tc>
          <w:tcPr>
            <w:tcW w:w="32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秋季</w:t>
            </w:r>
          </w:p>
        </w:tc>
        <w:tc>
          <w:tcPr>
            <w:tcW w:w="39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山杏（山桃）</w:t>
            </w:r>
          </w:p>
        </w:tc>
        <w:tc>
          <w:tcPr>
            <w:tcW w:w="29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73 </w:t>
            </w:r>
          </w:p>
        </w:tc>
        <w:tc>
          <w:tcPr>
            <w:tcW w:w="3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鱼鳞坑</w:t>
            </w:r>
          </w:p>
        </w:tc>
      </w:tr>
    </w:tbl>
    <w:p>
      <w:pPr>
        <w:pStyle w:val="2"/>
      </w:pPr>
    </w:p>
    <w:p>
      <w:pPr>
        <w:pStyle w:val="2"/>
      </w:pP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142"/>
        <w:gridCol w:w="1097"/>
        <w:gridCol w:w="1097"/>
        <w:gridCol w:w="1091"/>
        <w:gridCol w:w="1097"/>
        <w:gridCol w:w="1142"/>
        <w:gridCol w:w="1650"/>
        <w:gridCol w:w="1029"/>
        <w:gridCol w:w="975"/>
        <w:gridCol w:w="952"/>
        <w:gridCol w:w="933"/>
        <w:gridCol w:w="993"/>
        <w:gridCol w:w="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0" w:hRule="atLeast"/>
        </w:trPr>
        <w:tc>
          <w:tcPr>
            <w:tcW w:w="5000" w:type="pct"/>
            <w:gridSpan w:val="13"/>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吴起县退化林修复小班设计一览表(续)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403" w:type="pct"/>
            <w:tcBorders>
              <w:top w:val="nil"/>
              <w:left w:val="nil"/>
              <w:bottom w:val="nil"/>
              <w:right w:val="nil"/>
            </w:tcBorders>
            <w:shd w:val="clear"/>
            <w:noWrap/>
            <w:vAlign w:val="center"/>
          </w:tcPr>
          <w:p>
            <w:pPr>
              <w:jc w:val="center"/>
              <w:rPr>
                <w:rFonts w:hint="eastAsia" w:ascii="宋体" w:hAnsi="宋体" w:eastAsia="宋体" w:cs="宋体"/>
                <w:i w:val="0"/>
                <w:iCs w:val="0"/>
                <w:color w:val="000000"/>
                <w:sz w:val="24"/>
                <w:szCs w:val="24"/>
                <w:u w:val="none"/>
              </w:rPr>
            </w:pPr>
          </w:p>
        </w:tc>
        <w:tc>
          <w:tcPr>
            <w:tcW w:w="387" w:type="pct"/>
            <w:tcBorders>
              <w:top w:val="nil"/>
              <w:left w:val="nil"/>
              <w:bottom w:val="nil"/>
              <w:right w:val="nil"/>
            </w:tcBorders>
            <w:shd w:val="clear"/>
            <w:noWrap/>
            <w:vAlign w:val="center"/>
          </w:tcPr>
          <w:p>
            <w:pPr>
              <w:jc w:val="center"/>
              <w:rPr>
                <w:rFonts w:hint="eastAsia" w:ascii="宋体" w:hAnsi="宋体" w:eastAsia="宋体" w:cs="宋体"/>
                <w:i w:val="0"/>
                <w:iCs w:val="0"/>
                <w:color w:val="000000"/>
                <w:sz w:val="24"/>
                <w:szCs w:val="24"/>
                <w:u w:val="none"/>
              </w:rPr>
            </w:pPr>
          </w:p>
        </w:tc>
        <w:tc>
          <w:tcPr>
            <w:tcW w:w="387" w:type="pct"/>
            <w:tcBorders>
              <w:top w:val="nil"/>
              <w:left w:val="nil"/>
              <w:bottom w:val="nil"/>
              <w:right w:val="nil"/>
            </w:tcBorders>
            <w:shd w:val="clear"/>
            <w:noWrap/>
            <w:vAlign w:val="center"/>
          </w:tcPr>
          <w:p>
            <w:pPr>
              <w:jc w:val="center"/>
              <w:rPr>
                <w:rFonts w:hint="eastAsia" w:ascii="宋体" w:hAnsi="宋体" w:eastAsia="宋体" w:cs="宋体"/>
                <w:i w:val="0"/>
                <w:iCs w:val="0"/>
                <w:color w:val="000000"/>
                <w:sz w:val="24"/>
                <w:szCs w:val="24"/>
                <w:u w:val="none"/>
              </w:rPr>
            </w:pPr>
          </w:p>
        </w:tc>
        <w:tc>
          <w:tcPr>
            <w:tcW w:w="385" w:type="pct"/>
            <w:tcBorders>
              <w:top w:val="nil"/>
              <w:left w:val="nil"/>
              <w:bottom w:val="nil"/>
              <w:right w:val="nil"/>
            </w:tcBorders>
            <w:shd w:val="clear"/>
            <w:noWrap/>
            <w:vAlign w:val="center"/>
          </w:tcPr>
          <w:p>
            <w:pPr>
              <w:jc w:val="center"/>
              <w:rPr>
                <w:rFonts w:hint="eastAsia" w:ascii="宋体" w:hAnsi="宋体" w:eastAsia="宋体" w:cs="宋体"/>
                <w:i w:val="0"/>
                <w:iCs w:val="0"/>
                <w:color w:val="000000"/>
                <w:sz w:val="24"/>
                <w:szCs w:val="24"/>
                <w:u w:val="none"/>
              </w:rPr>
            </w:pPr>
          </w:p>
        </w:tc>
        <w:tc>
          <w:tcPr>
            <w:tcW w:w="385" w:type="pct"/>
            <w:tcBorders>
              <w:top w:val="nil"/>
              <w:left w:val="nil"/>
              <w:bottom w:val="nil"/>
              <w:right w:val="nil"/>
            </w:tcBorders>
            <w:shd w:val="clear"/>
            <w:noWrap/>
            <w:vAlign w:val="center"/>
          </w:tcPr>
          <w:p>
            <w:pPr>
              <w:jc w:val="center"/>
              <w:rPr>
                <w:rFonts w:hint="eastAsia" w:ascii="宋体" w:hAnsi="宋体" w:eastAsia="宋体" w:cs="宋体"/>
                <w:i w:val="0"/>
                <w:iCs w:val="0"/>
                <w:color w:val="000000"/>
                <w:sz w:val="24"/>
                <w:szCs w:val="24"/>
                <w:u w:val="none"/>
              </w:rPr>
            </w:pPr>
          </w:p>
        </w:tc>
        <w:tc>
          <w:tcPr>
            <w:tcW w:w="403" w:type="pct"/>
            <w:tcBorders>
              <w:top w:val="nil"/>
              <w:left w:val="nil"/>
              <w:bottom w:val="nil"/>
              <w:right w:val="nil"/>
            </w:tcBorders>
            <w:shd w:val="clear"/>
            <w:noWrap/>
            <w:vAlign w:val="center"/>
          </w:tcPr>
          <w:p>
            <w:pPr>
              <w:jc w:val="center"/>
              <w:rPr>
                <w:rFonts w:hint="eastAsia" w:ascii="宋体" w:hAnsi="宋体" w:eastAsia="宋体" w:cs="宋体"/>
                <w:i w:val="0"/>
                <w:iCs w:val="0"/>
                <w:color w:val="000000"/>
                <w:sz w:val="24"/>
                <w:szCs w:val="24"/>
                <w:u w:val="none"/>
              </w:rPr>
            </w:pPr>
          </w:p>
        </w:tc>
        <w:tc>
          <w:tcPr>
            <w:tcW w:w="582"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363"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344"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336"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329"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350"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c>
          <w:tcPr>
            <w:tcW w:w="339" w:type="pct"/>
            <w:tcBorders>
              <w:top w:val="nil"/>
              <w:left w:val="nil"/>
              <w:bottom w:val="nil"/>
              <w:right w:val="nil"/>
            </w:tcBorders>
            <w:shd w:val="cle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40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整地规格</w:t>
            </w:r>
          </w:p>
        </w:tc>
        <w:tc>
          <w:tcPr>
            <w:tcW w:w="1546" w:type="pct"/>
            <w:gridSpan w:val="4"/>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苗木需要量</w:t>
            </w:r>
          </w:p>
        </w:tc>
        <w:tc>
          <w:tcPr>
            <w:tcW w:w="40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物料GGR (g)</w:t>
            </w:r>
          </w:p>
        </w:tc>
        <w:tc>
          <w:tcPr>
            <w:tcW w:w="945" w:type="pct"/>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抚育改造设计</w:t>
            </w:r>
          </w:p>
        </w:tc>
        <w:tc>
          <w:tcPr>
            <w:tcW w:w="1701" w:type="pct"/>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用工量（工日）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2" w:hRule="atLeast"/>
        </w:trPr>
        <w:tc>
          <w:tcPr>
            <w:tcW w:w="40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合计</w:t>
            </w:r>
          </w:p>
        </w:tc>
        <w:tc>
          <w:tcPr>
            <w:tcW w:w="38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油松</w:t>
            </w:r>
          </w:p>
        </w:tc>
        <w:tc>
          <w:tcPr>
            <w:tcW w:w="385"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山杏</w:t>
            </w:r>
          </w:p>
        </w:tc>
        <w:tc>
          <w:tcPr>
            <w:tcW w:w="385"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山桃</w:t>
            </w:r>
          </w:p>
        </w:tc>
        <w:tc>
          <w:tcPr>
            <w:tcW w:w="40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582"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措施</w:t>
            </w:r>
          </w:p>
        </w:tc>
        <w:tc>
          <w:tcPr>
            <w:tcW w:w="363"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次数</w:t>
            </w:r>
          </w:p>
        </w:tc>
        <w:tc>
          <w:tcPr>
            <w:tcW w:w="344"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计</w:t>
            </w:r>
          </w:p>
        </w:tc>
        <w:tc>
          <w:tcPr>
            <w:tcW w:w="336"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整地</w:t>
            </w:r>
          </w:p>
        </w:tc>
        <w:tc>
          <w:tcPr>
            <w:tcW w:w="329"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栽植</w:t>
            </w:r>
          </w:p>
        </w:tc>
        <w:tc>
          <w:tcPr>
            <w:tcW w:w="350"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补造抚育  </w:t>
            </w:r>
          </w:p>
        </w:tc>
        <w:tc>
          <w:tcPr>
            <w:tcW w:w="339"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成林抚育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6" w:hRule="atLeast"/>
        </w:trPr>
        <w:tc>
          <w:tcPr>
            <w:tcW w:w="40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582"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44"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29"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50"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39"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272216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111120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80548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80548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889.0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26535.0 </w:t>
            </w:r>
          </w:p>
        </w:tc>
        <w:tc>
          <w:tcPr>
            <w:tcW w:w="33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5926.4 </w:t>
            </w:r>
          </w:p>
        </w:tc>
        <w:tc>
          <w:tcPr>
            <w:tcW w:w="32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7408.0 </w:t>
            </w:r>
          </w:p>
        </w:tc>
        <w:tc>
          <w:tcPr>
            <w:tcW w:w="350"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5926.4 </w:t>
            </w:r>
          </w:p>
        </w:tc>
        <w:tc>
          <w:tcPr>
            <w:tcW w:w="33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7273.6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272216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111120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80548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80548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889.0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26535.0 </w:t>
            </w:r>
          </w:p>
        </w:tc>
        <w:tc>
          <w:tcPr>
            <w:tcW w:w="33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5926.4 </w:t>
            </w:r>
          </w:p>
        </w:tc>
        <w:tc>
          <w:tcPr>
            <w:tcW w:w="32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7408.0 </w:t>
            </w:r>
          </w:p>
        </w:tc>
        <w:tc>
          <w:tcPr>
            <w:tcW w:w="350"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5926.4 </w:t>
            </w:r>
          </w:p>
        </w:tc>
        <w:tc>
          <w:tcPr>
            <w:tcW w:w="339"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7273.6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49741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29905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9918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9918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193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6492.6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1285.6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1607.0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1285.6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2314.4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8265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8265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33.5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1072.7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223.4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279.3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223.4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346.6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6125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6125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24.5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857.2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163.2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204.0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163.2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326.8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5040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2520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2520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19.9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578.8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132.8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166.0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132.8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147.2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4070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2035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2035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15.9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608.1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105.8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132.3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105.8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264.2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3780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3780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14.6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638.3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97.0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121.3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97.0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323.0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10726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5363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5363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40.8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1161.6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271.8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339.8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271.8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278.2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5625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5625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21.1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766.8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140.8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176.0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140.8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309.2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6110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6110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22.6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809.3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150.8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188.5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150.8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319.2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222475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81215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70630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70630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696.1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20042.4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4640.8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5801.0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4640.8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4959.2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6860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6860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24.8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861.7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165.2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206.5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165.2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324.8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4205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4205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15.0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515.0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100.0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125.0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100.0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7500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3750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3750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26.5 </w:t>
            </w: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696.9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176.4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220.5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176.4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8990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8990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31.3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1049.8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208.8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261.0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208.8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371.2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8000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8000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27.6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914.0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184.0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230.0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184.0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316.0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8360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8360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28.5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867.5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190.0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237.5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190.0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5850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5850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19.7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595.7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131.4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164.3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131.4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10800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5400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5400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36.0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1020.0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240.0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300.0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240.0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7560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7560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25.0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794.4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166.4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208.0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166.4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6760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3380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3380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22.1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590.8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147.0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183.8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147.0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113.0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9245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9245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29.8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876.9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198.6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248.3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198.6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231.4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4590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4590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14.7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490.1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97.8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122.3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97.8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172.2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8100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4050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4050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25.6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653.9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170.6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213.3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170.6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99.4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7906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3953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3953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24.7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880.8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164.8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206.0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164.8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345.2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8370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4185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4185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25.9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658.4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172.6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215.8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172.6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4506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2253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2253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13.8 </w:t>
            </w: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377.0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92.0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115.0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92.0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13230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6615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6615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40.1 </w:t>
            </w: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1090.8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267.0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333.8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267.0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8400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4200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4200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25.2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618.0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168.0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210.0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168.0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12870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6435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6435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38.2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962.9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254.6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318.3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254.6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135.4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11726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5863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5863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34.5 </w:t>
            </w: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867.5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230.0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287.5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230.0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12720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6360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6360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37.1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1085.8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247.0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308.8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247.0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283.0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13456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6728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6728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38.8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971.9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258.6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323.3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258.6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8525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8525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24.4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675.4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162.4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203.0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162.4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147.6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6886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3443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3443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19.5 </w:t>
            </w: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562.1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129.8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162.3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129.8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140.2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9030 </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9030 </w:t>
            </w:r>
          </w:p>
        </w:tc>
        <w:tc>
          <w:tcPr>
            <w:tcW w:w="385"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8"/>
                <w:szCs w:val="18"/>
                <w:u w:val="none"/>
              </w:rPr>
            </w:pP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25.4 </w:t>
            </w:r>
          </w:p>
        </w:tc>
        <w:tc>
          <w:tcPr>
            <w:tcW w:w="58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择伐、扩盘培土</w:t>
            </w: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3年3次</w:t>
            </w: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810.3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169.0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211.3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169.0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261.0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r>
              <w:rPr>
                <w:rStyle w:val="28"/>
                <w:rFonts w:eastAsia="宋体"/>
                <w:bdr w:val="none" w:color="auto" w:sz="0" w:space="0"/>
                <w:lang w:val="en-US" w:eastAsia="zh-CN" w:bidi="ar"/>
              </w:rPr>
              <w:t>×</w:t>
            </w: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38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8030 </w:t>
            </w:r>
          </w:p>
        </w:tc>
        <w:tc>
          <w:tcPr>
            <w:tcW w:w="387"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8"/>
                <w:szCs w:val="18"/>
                <w:u w:val="none"/>
              </w:rPr>
            </w:pP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4015 </w:t>
            </w:r>
          </w:p>
        </w:tc>
        <w:tc>
          <w:tcPr>
            <w:tcW w:w="38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4015 </w:t>
            </w:r>
          </w:p>
        </w:tc>
        <w:tc>
          <w:tcPr>
            <w:tcW w:w="40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22.3 </w:t>
            </w:r>
          </w:p>
        </w:tc>
        <w:tc>
          <w:tcPr>
            <w:tcW w:w="582"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single" w:color="000000" w:sz="4" w:space="0"/>
              <w:right w:val="single" w:color="000000" w:sz="4" w:space="0"/>
            </w:tcBorders>
            <w:shd w:val="clear"/>
            <w:noWrap/>
            <w:vAlign w:val="center"/>
          </w:tcPr>
          <w:p>
            <w:pP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554.8 </w:t>
            </w:r>
          </w:p>
        </w:tc>
        <w:tc>
          <w:tcPr>
            <w:tcW w:w="33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148.8 </w:t>
            </w:r>
          </w:p>
        </w:tc>
        <w:tc>
          <w:tcPr>
            <w:tcW w:w="32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186.0 </w:t>
            </w:r>
          </w:p>
        </w:tc>
        <w:tc>
          <w:tcPr>
            <w:tcW w:w="350"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148.8 </w:t>
            </w:r>
          </w:p>
        </w:tc>
        <w:tc>
          <w:tcPr>
            <w:tcW w:w="339"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71.2 </w:t>
            </w:r>
          </w:p>
        </w:tc>
      </w:tr>
    </w:tbl>
    <w:p>
      <w:pPr>
        <w:pStyle w:val="2"/>
      </w:pPr>
    </w:p>
    <w:sectPr>
      <w:headerReference r:id="rId18" w:type="default"/>
      <w:pgSz w:w="16838" w:h="11906" w:orient="landscape"/>
      <w:pgMar w:top="1800" w:right="1440" w:bottom="1800"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隶书">
    <w:altName w:val="微软雅黑"/>
    <w:panose1 w:val="02010509060101010101"/>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80</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80</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80</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80</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80</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fldChar w:fldCharType="end"/>
    </w:r>
  </w:p>
  <w:p>
    <w:pPr>
      <w:pStyle w:val="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top w:val="none" w:color="auto" w:sz="0" w:space="1"/>
        <w:left w:val="none" w:color="auto" w:sz="0" w:space="4"/>
        <w:bottom w:val="none" w:color="auto" w:sz="0" w:space="1"/>
        <w:right w:val="none" w:color="auto" w:sz="0" w:space="4"/>
      </w:pBdr>
      <w:tabs>
        <w:tab w:val="right" w:pos="8820"/>
        <w:tab w:val="clear" w:pos="8306"/>
      </w:tabs>
      <w:ind w:right="775"/>
      <w:jc w:val="cente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80</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&#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Cb0YQf0QEAAKMDAAAOAAAAAAAAAAEAIAAAACIB&#10;AABkcnMvZTJvRG9jLnhtbFBLBQYAAAAABgAGAFkBAABlBQ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80</w:t>
                    </w:r>
                    <w:r>
                      <w:fldChar w:fldCharType="end"/>
                    </w:r>
                    <w:r>
                      <w:t xml:space="preserve"> 页</w:t>
                    </w:r>
                  </w:p>
                </w:txbxContent>
              </v:textbox>
            </v:shape>
          </w:pict>
        </mc:Fallback>
      </mc:AlternateContent>
    </w:r>
    <w:r>
      <w:rPr>
        <w:b/>
        <w:bCs/>
        <w:sz w:val="20"/>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-48260</wp:posOffset>
              </wp:positionV>
              <wp:extent cx="19050" cy="1270"/>
              <wp:effectExtent l="0" t="0" r="0" b="0"/>
              <wp:wrapNone/>
              <wp:docPr id="9" name="直接连接符 9"/>
              <wp:cNvGraphicFramePr/>
              <a:graphic xmlns:a="http://schemas.openxmlformats.org/drawingml/2006/main">
                <a:graphicData uri="http://schemas.microsoft.com/office/word/2010/wordprocessingShape">
                  <wps:wsp>
                    <wps:cNvCnPr/>
                    <wps:spPr>
                      <a:xfrm>
                        <a:off x="0" y="0"/>
                        <a:ext cx="19050" cy="12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8pt;height:0.1pt;width:1.5pt;z-index:251662336;mso-width-relative:page;mso-height-relative:page;" filled="f" stroked="t" coordsize="21600,21600" o:gfxdata="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EzPwLSAAAABAEAAA8AAAAAAAAAAQAgAAAAIgAAAGRycy9kb3ducmV2LnhtbFBLAQIUABQA&#10;AAAIAIdO4kDPJP5d9gEAAOUDAAAOAAAAAAAAAAEAIAAAACEBAABkcnMvZTJvRG9jLnhtbFBLBQYA&#10;AAAABgAGAFkBAACJBQAAAAA=&#10;">
              <v:fill on="f" focussize="0,0"/>
              <v:stroke color="#000000" joinstyle="round"/>
              <v:imagedata o:title=""/>
              <o:lock v:ext="edit" aspectratio="f"/>
            </v:line>
          </w:pict>
        </mc:Fallback>
      </mc:AlternateContent>
    </w:r>
    <w:r>
      <w:rPr>
        <w:rFonts w:hint="eastAsia"/>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80</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tontNdIBAACl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80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right"/>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5984"/>
        <w:tab w:val="right" w:pos="9070"/>
      </w:tabs>
      <w:jc w:val="left"/>
    </w:pPr>
    <w:r>
      <w:tab/>
    </w:r>
    <w:r>
      <w:tab/>
    </w:r>
    <w:r>
      <w:tab/>
    </w:r>
    <w:r>
      <w:rPr>
        <w:rFonts w:hint="eastAsia"/>
      </w:rPr>
      <w:t>吴起县人民医院医疗设备采购项目</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b w:val="0"/>
        <w:sz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righ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矩形 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5dblS0AAAAAUBAAAPAAAAAAAAAAEAIAAAACIAAABkcnMvZG93bnJldi54bWxQSwECFAAU&#10;AAAACACHTuJAyw9jpsABAACMAwAADgAAAAAAAAABACAAAAAfAQAAZHJzL2Uyb0RvYy54bWxQSwUG&#10;AAAAAAYABgBZAQAAUQUAAAAA&#10;">
              <v:fill on="f" focussize="0,0"/>
              <v:stroke on="f"/>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rect>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widowControl/>
      <w:autoSpaceDE w:val="0"/>
      <w:spacing w:line="420" w:lineRule="exact"/>
      <w:rPr>
        <w:rFonts w:hint="default" w:cs="宋体"/>
        <w:b w:val="0"/>
        <w:sz w:val="18"/>
        <w:szCs w:val="18"/>
        <w:u w:val="single"/>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b w:val="0"/>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C16F7D"/>
    <w:multiLevelType w:val="singleLevel"/>
    <w:tmpl w:val="C9C16F7D"/>
    <w:lvl w:ilvl="0" w:tentative="0">
      <w:start w:val="3"/>
      <w:numFmt w:val="decimal"/>
      <w:suff w:val="nothing"/>
      <w:lvlText w:val="%1）"/>
      <w:lvlJc w:val="left"/>
    </w:lvl>
  </w:abstractNum>
  <w:abstractNum w:abstractNumId="1">
    <w:nsid w:val="248ED72A"/>
    <w:multiLevelType w:val="singleLevel"/>
    <w:tmpl w:val="248ED72A"/>
    <w:lvl w:ilvl="0" w:tentative="0">
      <w:start w:val="2"/>
      <w:numFmt w:val="decimal"/>
      <w:suff w:val="space"/>
      <w:lvlText w:val="第%1部分"/>
      <w:lvlJc w:val="left"/>
    </w:lvl>
  </w:abstractNum>
  <w:abstractNum w:abstractNumId="2">
    <w:nsid w:val="2954F7A1"/>
    <w:multiLevelType w:val="singleLevel"/>
    <w:tmpl w:val="2954F7A1"/>
    <w:lvl w:ilvl="0" w:tentative="0">
      <w:start w:val="2"/>
      <w:numFmt w:val="decimal"/>
      <w:suff w:val="nothing"/>
      <w:lvlText w:val="（%1）"/>
      <w:lvlJc w:val="left"/>
    </w:lvl>
  </w:abstractNum>
  <w:abstractNum w:abstractNumId="3">
    <w:nsid w:val="5A2EA0E8"/>
    <w:multiLevelType w:val="singleLevel"/>
    <w:tmpl w:val="5A2EA0E8"/>
    <w:lvl w:ilvl="0" w:tentative="0">
      <w:start w:val="1"/>
      <w:numFmt w:val="decimal"/>
      <w:suff w:val="nothing"/>
      <w:lvlText w:val="（%1）"/>
      <w:lvlJc w:val="left"/>
    </w:lvl>
  </w:abstractNum>
  <w:abstractNum w:abstractNumId="4">
    <w:nsid w:val="656348CD"/>
    <w:multiLevelType w:val="multilevel"/>
    <w:tmpl w:val="656348CD"/>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A45EDF"/>
    <w:rsid w:val="428A1E76"/>
    <w:rsid w:val="6CA45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uiPriority w:val="0"/>
    <w:pPr>
      <w:keepNext/>
      <w:keepLines/>
      <w:spacing w:before="340" w:beforeLines="0" w:after="330" w:afterLines="0" w:line="576" w:lineRule="auto"/>
      <w:outlineLvl w:val="0"/>
    </w:pPr>
    <w:rPr>
      <w:b/>
      <w:kern w:val="44"/>
      <w:sz w:val="44"/>
    </w:rPr>
  </w:style>
  <w:style w:type="paragraph" w:styleId="4">
    <w:name w:val="heading 2"/>
    <w:basedOn w:val="1"/>
    <w:next w:val="2"/>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2"/>
    <w:uiPriority w:val="0"/>
    <w:pPr>
      <w:keepNext/>
      <w:keepLines/>
      <w:spacing w:line="360" w:lineRule="auto"/>
      <w:outlineLvl w:val="2"/>
    </w:pPr>
    <w:rPr>
      <w:rFonts w:ascii="黑体" w:eastAsia="黑体"/>
      <w:sz w:val="30"/>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6">
    <w:name w:val="Body Text"/>
    <w:basedOn w:val="1"/>
    <w:next w:val="1"/>
    <w:unhideWhenUsed/>
    <w:qFormat/>
    <w:uiPriority w:val="99"/>
    <w:pPr>
      <w:spacing w:after="120" w:afterLines="0"/>
    </w:pPr>
    <w:rPr>
      <w:rFonts w:eastAsia="Times New Roman"/>
    </w:rPr>
  </w:style>
  <w:style w:type="paragraph" w:styleId="7">
    <w:name w:val="footer"/>
    <w:basedOn w:val="1"/>
    <w:qFormat/>
    <w:uiPriority w:val="0"/>
    <w:pPr>
      <w:tabs>
        <w:tab w:val="center" w:pos="4153"/>
        <w:tab w:val="right" w:pos="8306"/>
      </w:tabs>
      <w:snapToGrid w:val="0"/>
      <w:jc w:val="left"/>
    </w:pPr>
    <w:rPr>
      <w:sz w:val="18"/>
      <w:szCs w:val="20"/>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9">
    <w:name w:val="toc 1"/>
    <w:basedOn w:val="1"/>
    <w:next w:val="1"/>
    <w:uiPriority w:val="0"/>
    <w:pPr>
      <w:spacing w:before="120" w:beforeLines="0" w:after="120" w:afterLines="0"/>
      <w:jc w:val="left"/>
    </w:pPr>
    <w:rPr>
      <w:b/>
      <w:bCs/>
      <w:caps/>
      <w:sz w:val="20"/>
    </w:rPr>
  </w:style>
  <w:style w:type="paragraph" w:styleId="10">
    <w:name w:val="toc 2"/>
    <w:basedOn w:val="1"/>
    <w:next w:val="1"/>
    <w:uiPriority w:val="0"/>
    <w:pPr>
      <w:ind w:left="210"/>
      <w:jc w:val="left"/>
    </w:pPr>
    <w:rPr>
      <w:smallCaps/>
      <w:sz w:val="20"/>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4">
    <w:name w:val="Strong"/>
    <w:basedOn w:val="13"/>
    <w:qFormat/>
    <w:uiPriority w:val="0"/>
    <w:rPr>
      <w:b/>
    </w:rPr>
  </w:style>
  <w:style w:type="character" w:styleId="15">
    <w:name w:val="page number"/>
    <w:basedOn w:val="13"/>
    <w:qFormat/>
    <w:uiPriority w:val="0"/>
  </w:style>
  <w:style w:type="character" w:styleId="16">
    <w:name w:val="Hyperlink"/>
    <w:basedOn w:val="13"/>
    <w:qFormat/>
    <w:uiPriority w:val="0"/>
    <w:rPr>
      <w:color w:val="0000FF"/>
      <w:u w:val="none"/>
    </w:rPr>
  </w:style>
  <w:style w:type="paragraph" w:customStyle="1" w:styleId="17">
    <w:name w:val="WPSOffice手动目录 1"/>
    <w:uiPriority w:val="0"/>
    <w:pPr>
      <w:ind w:leftChars="0"/>
    </w:pPr>
    <w:rPr>
      <w:rFonts w:ascii="Times New Roman" w:hAnsi="Times New Roman" w:eastAsia="宋体" w:cs="Times New Roman"/>
      <w:sz w:val="20"/>
      <w:szCs w:val="20"/>
    </w:rPr>
  </w:style>
  <w:style w:type="character" w:customStyle="1" w:styleId="18">
    <w:name w:val="font41"/>
    <w:uiPriority w:val="0"/>
    <w:rPr>
      <w:rFonts w:hint="eastAsia" w:ascii="宋体" w:hAnsi="宋体" w:eastAsia="宋体" w:cs="宋体"/>
      <w:color w:val="000000"/>
      <w:sz w:val="22"/>
      <w:szCs w:val="22"/>
      <w:u w:val="none"/>
    </w:rPr>
  </w:style>
  <w:style w:type="paragraph" w:customStyle="1" w:styleId="19">
    <w:name w:val="Table Paragraph"/>
    <w:basedOn w:val="1"/>
    <w:qFormat/>
    <w:uiPriority w:val="1"/>
    <w:rPr>
      <w:rFonts w:ascii="宋体" w:hAnsi="宋体" w:eastAsia="宋体" w:cs="宋体"/>
      <w:lang w:val="zh-CN" w:eastAsia="zh-CN" w:bidi="zh-CN"/>
    </w:rPr>
  </w:style>
  <w:style w:type="paragraph" w:customStyle="1" w:styleId="20">
    <w:name w:val="title1"/>
    <w:basedOn w:val="1"/>
    <w:qFormat/>
    <w:uiPriority w:val="0"/>
    <w:pPr>
      <w:spacing w:before="150"/>
      <w:jc w:val="left"/>
    </w:pPr>
    <w:rPr>
      <w:rFonts w:hint="eastAsia" w:ascii="宋体" w:hAnsi="宋体" w:eastAsia="宋体" w:cs="Times New Roman"/>
      <w:b/>
      <w:kern w:val="0"/>
      <w:sz w:val="22"/>
    </w:rPr>
  </w:style>
  <w:style w:type="paragraph" w:customStyle="1" w:styleId="21">
    <w:name w:val="title12"/>
    <w:basedOn w:val="1"/>
    <w:uiPriority w:val="0"/>
    <w:pPr>
      <w:spacing w:before="150" w:beforeAutospacing="0" w:after="0" w:afterAutospacing="0"/>
      <w:ind w:left="0" w:right="0" w:firstLine="0"/>
      <w:jc w:val="left"/>
    </w:pPr>
    <w:rPr>
      <w:b/>
      <w:bCs/>
      <w:kern w:val="0"/>
      <w:sz w:val="22"/>
      <w:szCs w:val="22"/>
      <w:lang w:val="en-US" w:eastAsia="zh-CN" w:bidi="ar"/>
    </w:rPr>
  </w:style>
  <w:style w:type="character" w:customStyle="1" w:styleId="22">
    <w:name w:val="m1"/>
    <w:basedOn w:val="13"/>
    <w:uiPriority w:val="0"/>
    <w:rPr>
      <w:color w:val="666666"/>
    </w:rPr>
  </w:style>
  <w:style w:type="paragraph" w:customStyle="1" w:styleId="23">
    <w:name w:val="Char"/>
    <w:basedOn w:val="1"/>
    <w:uiPriority w:val="0"/>
    <w:pPr>
      <w:spacing w:line="600" w:lineRule="exact"/>
      <w:ind w:firstLine="480" w:firstLineChars="200"/>
      <w:jc w:val="center"/>
    </w:pPr>
    <w:rPr>
      <w:rFonts w:ascii="Tahoma" w:hAnsi="Tahoma" w:eastAsia="仿宋_GB2312"/>
      <w:sz w:val="24"/>
      <w:szCs w:val="24"/>
    </w:rPr>
  </w:style>
  <w:style w:type="paragraph" w:customStyle="1" w:styleId="24">
    <w:name w:val="正文 首行缩进:  2字符"/>
    <w:basedOn w:val="1"/>
    <w:qFormat/>
    <w:uiPriority w:val="0"/>
    <w:pPr>
      <w:spacing w:line="312" w:lineRule="atLeast"/>
      <w:ind w:firstLine="420" w:firstLineChars="200"/>
    </w:pPr>
    <w:rPr>
      <w:rFonts w:ascii="宋体" w:hAnsi="宋体"/>
    </w:rPr>
  </w:style>
  <w:style w:type="paragraph" w:customStyle="1" w:styleId="25">
    <w:name w:val="样式1"/>
    <w:basedOn w:val="1"/>
    <w:qFormat/>
    <w:uiPriority w:val="0"/>
    <w:pPr>
      <w:spacing w:line="560" w:lineRule="exact"/>
      <w:ind w:firstLine="560" w:firstLineChars="200"/>
    </w:pPr>
    <w:rPr>
      <w:rFonts w:ascii="仿宋_GB2312" w:hAnsi="宋体" w:eastAsia="仿宋_GB2312" w:cs="Arial"/>
      <w:color w:val="000000"/>
      <w:sz w:val="28"/>
      <w:szCs w:val="28"/>
      <w:lang w:val="en-US" w:eastAsia="zh-CN" w:bidi="ar-SA"/>
    </w:rPr>
  </w:style>
  <w:style w:type="character" w:customStyle="1" w:styleId="26">
    <w:name w:val="font71"/>
    <w:basedOn w:val="13"/>
    <w:uiPriority w:val="0"/>
    <w:rPr>
      <w:rFonts w:ascii="Arial" w:hAnsi="Arial" w:cs="Arial"/>
      <w:color w:val="000000"/>
      <w:sz w:val="18"/>
      <w:szCs w:val="18"/>
      <w:u w:val="none"/>
    </w:rPr>
  </w:style>
  <w:style w:type="character" w:customStyle="1" w:styleId="27">
    <w:name w:val="font21"/>
    <w:basedOn w:val="13"/>
    <w:uiPriority w:val="0"/>
    <w:rPr>
      <w:rFonts w:hint="eastAsia" w:ascii="宋体" w:hAnsi="宋体" w:eastAsia="宋体" w:cs="宋体"/>
      <w:color w:val="000000"/>
      <w:sz w:val="18"/>
      <w:szCs w:val="18"/>
      <w:u w:val="none"/>
    </w:rPr>
  </w:style>
  <w:style w:type="character" w:customStyle="1" w:styleId="28">
    <w:name w:val="font31"/>
    <w:basedOn w:val="13"/>
    <w:uiPriority w:val="0"/>
    <w:rPr>
      <w:rFonts w:ascii="Arial" w:hAnsi="Arial" w:cs="Arial"/>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chart" Target="charts/chart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header" Target="header9.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I:\&#24037;&#20316;&#31807;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0"/>
          <c:order val="0"/>
          <c:spPr>
            <a:ln w="9525" cap="rnd" cmpd="sng">
              <a:solidFill>
                <a:srgbClr val="000000"/>
              </a:solidFill>
              <a:prstDash val="solid"/>
              <a:bevel/>
            </a:ln>
            <a:effectLst/>
          </c:spPr>
          <c:marker>
            <c:symbol val="circle"/>
            <c:size val="5"/>
            <c:spPr>
              <a:solidFill>
                <a:srgbClr val="000000"/>
              </a:solidFill>
              <a:ln w="12700" cmpd="sng">
                <a:solidFill>
                  <a:srgbClr val="000000"/>
                </a:solidFill>
                <a:prstDash val="solid"/>
              </a:ln>
              <a:effectLst/>
            </c:spPr>
          </c:marker>
          <c:dPt>
            <c:idx val="20"/>
            <c:marker>
              <c:symbol val="circle"/>
              <c:size val="5"/>
              <c:spPr>
                <a:solidFill>
                  <a:srgbClr val="000000"/>
                </a:solidFill>
                <a:ln w="9525" cmpd="sng">
                  <a:solidFill>
                    <a:srgbClr val="000000"/>
                  </a:solidFill>
                  <a:prstDash val="solid"/>
                </a:ln>
                <a:effectLst/>
              </c:spPr>
            </c:marker>
            <c:bubble3D val="0"/>
          </c:dPt>
          <c:dPt>
            <c:idx val="30"/>
            <c:marker>
              <c:symbol val="circle"/>
              <c:size val="5"/>
              <c:spPr>
                <a:solidFill>
                  <a:srgbClr val="000000"/>
                </a:solidFill>
                <a:ln w="0" cmpd="sng">
                  <a:solidFill>
                    <a:srgbClr val="000000"/>
                  </a:solidFill>
                  <a:prstDash val="solid"/>
                </a:ln>
                <a:effectLst/>
              </c:spPr>
            </c:marker>
            <c:bubble3D val="0"/>
          </c:dPt>
          <c:dLbls>
            <c:delete val="1"/>
          </c:dLbls>
          <c:xVal>
            <c:numRef>
              <c:f>[工作簿1.xlsx]Sheet1!$B$26:$AN$26</c:f>
              <c:numCache>
                <c:formatCode>General</c:formatCode>
                <c:ptCount val="39"/>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pt idx="31">
                  <c:v>2011</c:v>
                </c:pt>
                <c:pt idx="32">
                  <c:v>2012</c:v>
                </c:pt>
                <c:pt idx="33">
                  <c:v>2013</c:v>
                </c:pt>
                <c:pt idx="34">
                  <c:v>2014</c:v>
                </c:pt>
                <c:pt idx="35">
                  <c:v>2015</c:v>
                </c:pt>
                <c:pt idx="36">
                  <c:v>2016</c:v>
                </c:pt>
                <c:pt idx="37">
                  <c:v>2017</c:v>
                </c:pt>
                <c:pt idx="38">
                  <c:v>2018</c:v>
                </c:pt>
              </c:numCache>
            </c:numRef>
          </c:xVal>
          <c:yVal>
            <c:numRef>
              <c:f>[工作簿1.xlsx]Sheet1!$B$27:$AN$27</c:f>
              <c:numCache>
                <c:formatCode>General</c:formatCode>
                <c:ptCount val="39"/>
                <c:pt idx="0">
                  <c:v>400</c:v>
                </c:pt>
                <c:pt idx="1">
                  <c:v>501</c:v>
                </c:pt>
                <c:pt idx="2">
                  <c:v>280</c:v>
                </c:pt>
                <c:pt idx="3">
                  <c:v>420</c:v>
                </c:pt>
                <c:pt idx="4">
                  <c:v>430</c:v>
                </c:pt>
                <c:pt idx="5">
                  <c:v>631</c:v>
                </c:pt>
                <c:pt idx="6">
                  <c:v>330</c:v>
                </c:pt>
                <c:pt idx="7">
                  <c:v>270</c:v>
                </c:pt>
                <c:pt idx="8">
                  <c:v>475</c:v>
                </c:pt>
                <c:pt idx="9">
                  <c:v>410</c:v>
                </c:pt>
                <c:pt idx="10">
                  <c:v>600</c:v>
                </c:pt>
                <c:pt idx="11">
                  <c:v>385</c:v>
                </c:pt>
                <c:pt idx="12">
                  <c:v>440</c:v>
                </c:pt>
                <c:pt idx="13">
                  <c:v>400</c:v>
                </c:pt>
                <c:pt idx="14">
                  <c:v>501</c:v>
                </c:pt>
                <c:pt idx="15">
                  <c:v>420</c:v>
                </c:pt>
                <c:pt idx="16">
                  <c:v>430</c:v>
                </c:pt>
                <c:pt idx="17">
                  <c:v>385</c:v>
                </c:pt>
                <c:pt idx="18">
                  <c:v>550</c:v>
                </c:pt>
                <c:pt idx="19">
                  <c:v>360</c:v>
                </c:pt>
                <c:pt idx="20">
                  <c:v>370</c:v>
                </c:pt>
                <c:pt idx="21">
                  <c:v>600</c:v>
                </c:pt>
                <c:pt idx="22">
                  <c:v>570</c:v>
                </c:pt>
                <c:pt idx="23">
                  <c:v>580</c:v>
                </c:pt>
                <c:pt idx="24">
                  <c:v>460</c:v>
                </c:pt>
                <c:pt idx="25">
                  <c:v>405</c:v>
                </c:pt>
                <c:pt idx="26">
                  <c:v>410</c:v>
                </c:pt>
                <c:pt idx="27">
                  <c:v>605</c:v>
                </c:pt>
                <c:pt idx="28">
                  <c:v>520</c:v>
                </c:pt>
                <c:pt idx="29" c:formatCode="0.0_ ">
                  <c:v>449.8</c:v>
                </c:pt>
                <c:pt idx="30" c:formatCode="0.0_ ">
                  <c:v>374.5</c:v>
                </c:pt>
                <c:pt idx="31" c:formatCode="0.0_ ">
                  <c:v>437</c:v>
                </c:pt>
                <c:pt idx="32" c:formatCode="0.0_ ">
                  <c:v>501.2</c:v>
                </c:pt>
                <c:pt idx="33" c:formatCode="0.0_ ">
                  <c:v>631.3</c:v>
                </c:pt>
                <c:pt idx="34" c:formatCode="0.0_ ">
                  <c:v>520</c:v>
                </c:pt>
                <c:pt idx="35" c:formatCode="0.0_ ">
                  <c:v>371.3</c:v>
                </c:pt>
                <c:pt idx="36" c:formatCode="0.0_ ">
                  <c:v>455.4</c:v>
                </c:pt>
                <c:pt idx="37" c:formatCode="0.0_ ">
                  <c:v>587.5</c:v>
                </c:pt>
                <c:pt idx="38" c:formatCode="0.0_ ">
                  <c:v>521.5</c:v>
                </c:pt>
              </c:numCache>
            </c:numRef>
          </c:yVal>
          <c:smooth val="1"/>
        </c:ser>
        <c:dLbls>
          <c:showLegendKey val="0"/>
          <c:showVal val="0"/>
          <c:showCatName val="0"/>
          <c:showSerName val="0"/>
          <c:showPercent val="0"/>
          <c:showBubbleSize val="0"/>
        </c:dLbls>
        <c:axId val="456834294"/>
        <c:axId val="544562920"/>
      </c:scatterChart>
      <c:valAx>
        <c:axId val="456834294"/>
        <c:scaling>
          <c:orientation val="minMax"/>
          <c:max val="2018"/>
          <c:min val="1980"/>
        </c:scaling>
        <c:delete val="0"/>
        <c:axPos val="b"/>
        <c:majorGridlines>
          <c:spPr>
            <a:ln w="0" cap="flat" cmpd="sng" algn="ctr">
              <a:noFill/>
              <a:round/>
            </a:ln>
            <a:effectLst/>
          </c:spPr>
        </c:majorGridlines>
        <c:numFmt formatCode="General" sourceLinked="0"/>
        <c:majorTickMark val="none"/>
        <c:minorTickMark val="none"/>
        <c:tickLblPos val="nextTo"/>
        <c:spPr>
          <a:noFill/>
          <a:ln w="19050" cap="flat" cmpd="sng" algn="ctr">
            <a:solidFill>
              <a:srgbClr val="000000"/>
            </a:solidFill>
            <a:prstDash val="solid"/>
            <a:miter lim="800000"/>
          </a:ln>
          <a:effectLst/>
          <a:sp3d>
            <a:extrusionClr>
              <a:srgbClr val="FFFFFF"/>
            </a:extrusionClr>
            <a:contourClr>
              <a:srgbClr val="FFFFFF"/>
            </a:contourClr>
          </a:sp3d>
        </c:spPr>
        <c:txPr>
          <a:bodyPr rot="-5400000" spcFirstLastPara="0" vertOverflow="ellipsis" vert="horz" wrap="square" anchor="ctr" anchorCtr="1"/>
          <a:lstStyle/>
          <a:p>
            <a:pPr>
              <a:defRPr lang="zh-CN" sz="900" b="0" i="0" u="none" strike="noStrike" kern="1200" baseline="0">
                <a:solidFill>
                  <a:srgbClr val="000000"/>
                </a:solidFill>
                <a:latin typeface="+mn-lt"/>
                <a:ea typeface="+mn-ea"/>
                <a:cs typeface="+mn-cs"/>
              </a:defRPr>
            </a:pPr>
          </a:p>
        </c:txPr>
        <c:crossAx val="544562920"/>
        <c:crosses val="autoZero"/>
        <c:crossBetween val="midCat"/>
        <c:majorUnit val="2"/>
      </c:valAx>
      <c:valAx>
        <c:axId val="544562920"/>
        <c:scaling>
          <c:orientation val="minMax"/>
        </c:scaling>
        <c:delete val="0"/>
        <c:axPos val="l"/>
        <c:majorGridlines>
          <c:spPr>
            <a:ln w="9525" cap="flat" cmpd="sng" algn="ctr">
              <a:solidFill>
                <a:srgbClr val="D9D9D9">
                  <a:lumMod val="15000"/>
                  <a:lumOff val="85000"/>
                </a:srgbClr>
              </a:solidFill>
              <a:round/>
            </a:ln>
            <a:effectLst/>
          </c:spPr>
        </c:majorGridlines>
        <c:numFmt formatCode="#,##0.0_);[Red]\(#,##0.0\)" sourceLinked="0"/>
        <c:majorTickMark val="in"/>
        <c:minorTickMark val="none"/>
        <c:tickLblPos val="nextTo"/>
        <c:spPr>
          <a:noFill/>
          <a:ln w="19050" cap="flat" cmpd="sng" algn="ctr">
            <a:solidFill>
              <a:srgbClr val="000000"/>
            </a:solidFill>
            <a:prstDash val="solid"/>
            <a:miter lim="800000"/>
          </a:ln>
          <a:effectLst/>
          <a:sp3d>
            <a:extrusionClr>
              <a:srgbClr val="FFFFFF"/>
            </a:extrusionClr>
            <a:contourClr>
              <a:srgbClr val="FFFFFF"/>
            </a:contourClr>
          </a:sp3d>
        </c:spPr>
        <c:txPr>
          <a:bodyPr rot="-60000000" spcFirstLastPara="0" vertOverflow="ellipsis" vert="horz" wrap="square" anchor="ctr" anchorCtr="1"/>
          <a:lstStyle/>
          <a:p>
            <a:pPr>
              <a:defRPr lang="zh-CN" sz="900" b="0" i="0" u="none" strike="noStrike" kern="1200" baseline="0">
                <a:solidFill>
                  <a:srgbClr val="000000"/>
                </a:solidFill>
                <a:latin typeface="+mn-lt"/>
                <a:ea typeface="+mn-ea"/>
                <a:cs typeface="+mn-cs"/>
              </a:defRPr>
            </a:pPr>
          </a:p>
        </c:txPr>
        <c:crossAx val="456834294"/>
        <c:crosses val="autoZero"/>
        <c:crossBetween val="midCat"/>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BFBFBF">
            <a:lumMod val="25000"/>
            <a:lumOff val="7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19050"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spPr>
      <a:ln w="9525" cap="flat" cmpd="sng" algn="ctr">
        <a:solidFill>
          <a:srgbClr val="BFBFBF">
            <a:lumMod val="25000"/>
            <a:lumOff val="75000"/>
          </a:srgbClr>
        </a:solidFill>
        <a:round/>
      </a:ln>
    </cs:spPr>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2022-01-04T03:45:00Z</dcterms:created>
  <dc:creator>五阿哥 </dc:creator>
  <cp:lastModifiedBy>五阿哥 </cp:lastModifiedBy>
  <dcterms:modified xsi:type="dcterms:W3CDTF">2022-01-06T07:31:09Z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9A04319938B745509A0B5F53FC7873D0</vt:lpwstr>
  </property>
</Properties>
</file>