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5250"/>
        </w:tabs>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 w:hAnsi="仿宋" w:eastAsia="仿宋" w:cs="仿宋"/>
          <w:b/>
          <w:color w:val="auto"/>
          <w:spacing w:val="-6"/>
          <w:sz w:val="84"/>
          <w:szCs w:val="8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 w:hAnsi="仿宋" w:eastAsia="仿宋" w:cs="仿宋"/>
          <w:b/>
          <w:color w:val="auto"/>
          <w:spacing w:val="-6"/>
          <w:sz w:val="84"/>
          <w:szCs w:val="8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color w:val="auto"/>
          <w:spacing w:val="-6"/>
          <w:sz w:val="84"/>
          <w:szCs w:val="84"/>
          <w:highlight w:val="none"/>
          <w:lang w:eastAsia="zh-CN"/>
        </w:rPr>
      </w:pPr>
      <w:r>
        <w:rPr>
          <w:rFonts w:hint="eastAsia" w:ascii="仿宋" w:hAnsi="仿宋" w:eastAsia="仿宋" w:cs="仿宋"/>
          <w:b/>
          <w:color w:val="auto"/>
          <w:spacing w:val="-6"/>
          <w:sz w:val="84"/>
          <w:szCs w:val="84"/>
          <w:highlight w:val="none"/>
          <w:lang w:eastAsia="zh-CN"/>
        </w:rPr>
        <w:t>之江实验室</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color w:val="auto"/>
          <w:spacing w:val="-6"/>
          <w:sz w:val="52"/>
          <w:szCs w:val="52"/>
          <w:highlight w:val="none"/>
          <w:lang w:eastAsia="zh-CN"/>
        </w:rPr>
      </w:pPr>
      <w:r>
        <w:rPr>
          <w:rFonts w:hint="eastAsia" w:ascii="仿宋" w:hAnsi="仿宋" w:eastAsia="仿宋" w:cs="仿宋"/>
          <w:b/>
          <w:color w:val="auto"/>
          <w:spacing w:val="-6"/>
          <w:sz w:val="52"/>
          <w:szCs w:val="52"/>
          <w:highlight w:val="none"/>
          <w:lang w:eastAsia="zh-CN"/>
        </w:rPr>
        <w:t>之江实验室智能计算育种数字反应堆平台专业实验室家具项目</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color w:val="auto"/>
          <w:spacing w:val="-6"/>
          <w:sz w:val="72"/>
          <w:szCs w:val="7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color w:val="auto"/>
          <w:spacing w:val="-6"/>
          <w:sz w:val="84"/>
          <w:szCs w:val="84"/>
          <w:highlight w:val="none"/>
        </w:rPr>
      </w:pPr>
      <w:r>
        <w:rPr>
          <w:rFonts w:hint="eastAsia" w:ascii="仿宋" w:hAnsi="仿宋" w:eastAsia="仿宋" w:cs="仿宋"/>
          <w:b/>
          <w:color w:val="auto"/>
          <w:spacing w:val="-6"/>
          <w:sz w:val="84"/>
          <w:szCs w:val="84"/>
          <w:highlight w:val="none"/>
        </w:rPr>
        <w:t>招 标 文 件</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color w:val="auto"/>
          <w:spacing w:val="-6"/>
          <w:sz w:val="72"/>
          <w:szCs w:val="7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color w:val="auto"/>
          <w:spacing w:val="-6"/>
          <w:sz w:val="72"/>
          <w:szCs w:val="72"/>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项目名称：</w:t>
      </w:r>
      <w:r>
        <w:rPr>
          <w:rFonts w:hint="eastAsia" w:ascii="仿宋" w:hAnsi="仿宋" w:eastAsia="仿宋" w:cs="仿宋"/>
          <w:b/>
          <w:color w:val="auto"/>
          <w:spacing w:val="-6"/>
          <w:sz w:val="30"/>
          <w:szCs w:val="30"/>
          <w:highlight w:val="none"/>
          <w:lang w:eastAsia="zh-CN"/>
        </w:rPr>
        <w:t>之江实验室智能计算育种数字反应堆平台专业实验室家具项目</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项目编号：</w:t>
      </w:r>
      <w:r>
        <w:rPr>
          <w:rFonts w:hint="eastAsia" w:ascii="仿宋" w:hAnsi="仿宋" w:eastAsia="仿宋" w:cs="仿宋"/>
          <w:b/>
          <w:color w:val="auto"/>
          <w:spacing w:val="-6"/>
          <w:sz w:val="30"/>
          <w:szCs w:val="30"/>
          <w:highlight w:val="none"/>
          <w:lang w:eastAsia="zh-CN"/>
        </w:rPr>
        <w:t>ZJLAB-JZ-GK2023032</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采 购 人：</w:t>
      </w:r>
      <w:r>
        <w:rPr>
          <w:rFonts w:hint="eastAsia" w:ascii="仿宋" w:hAnsi="仿宋" w:eastAsia="仿宋" w:cs="仿宋"/>
          <w:b/>
          <w:color w:val="auto"/>
          <w:spacing w:val="-6"/>
          <w:sz w:val="30"/>
          <w:szCs w:val="30"/>
          <w:highlight w:val="none"/>
          <w:lang w:eastAsia="zh-CN"/>
        </w:rPr>
        <w:t>之江实验室</w:t>
      </w:r>
    </w:p>
    <w:p>
      <w:pPr>
        <w:keepNext w:val="0"/>
        <w:keepLines w:val="0"/>
        <w:pageBreakBefore w:val="0"/>
        <w:widowControl w:val="0"/>
        <w:kinsoku/>
        <w:wordWrap/>
        <w:overflowPunct/>
        <w:topLinePunct w:val="0"/>
        <w:autoSpaceDE/>
        <w:autoSpaceDN/>
        <w:bidi w:val="0"/>
        <w:adjustRightInd w:val="0"/>
        <w:snapToGrid w:val="0"/>
        <w:spacing w:line="360" w:lineRule="auto"/>
        <w:ind w:right="0" w:rightChars="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采购代理机构：浙江求是招标代理有限公司</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9"/>
        <w:rPr>
          <w:rFonts w:hint="eastAsia" w:ascii="仿宋" w:hAnsi="仿宋" w:eastAsia="仿宋" w:cs="仿宋"/>
          <w:b/>
          <w:color w:val="auto"/>
          <w:sz w:val="32"/>
          <w:szCs w:val="32"/>
          <w:highlight w:val="none"/>
        </w:rPr>
        <w:sectPr>
          <w:headerReference r:id="rId3" w:type="default"/>
          <w:footerReference r:id="rId4" w:type="default"/>
          <w:pgSz w:w="11906" w:h="16838"/>
          <w:pgMar w:top="1440" w:right="1247" w:bottom="1440" w:left="1247" w:header="283" w:footer="850" w:gutter="0"/>
          <w:pgBorders>
            <w:top w:val="none" w:sz="0" w:space="0"/>
            <w:left w:val="none" w:sz="0" w:space="0"/>
            <w:bottom w:val="none" w:sz="0" w:space="0"/>
            <w:right w:val="none" w:sz="0" w:space="0"/>
          </w:pgBorders>
          <w:pgNumType w:fmt="decimal" w:start="1"/>
          <w:cols w:space="0" w:num="1"/>
          <w:rtlGutter w:val="0"/>
          <w:docGrid w:linePitch="381" w:charSpace="0"/>
        </w:sect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outlineLvl w:val="0"/>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t>目</w:t>
      </w:r>
      <w:r>
        <w:rPr>
          <w:rFonts w:hint="eastAsia" w:ascii="仿宋" w:hAnsi="仿宋" w:eastAsia="仿宋" w:cs="仿宋"/>
          <w:b/>
          <w:color w:val="auto"/>
          <w:sz w:val="32"/>
          <w:szCs w:val="32"/>
          <w:highlight w:val="none"/>
          <w:lang w:val="en-US" w:eastAsia="zh-CN"/>
        </w:rPr>
        <w:t xml:space="preserve">  </w:t>
      </w:r>
      <w:r>
        <w:rPr>
          <w:rFonts w:hint="eastAsia" w:ascii="仿宋" w:hAnsi="仿宋" w:eastAsia="仿宋" w:cs="仿宋"/>
          <w:b/>
          <w:color w:val="auto"/>
          <w:sz w:val="32"/>
          <w:szCs w:val="32"/>
          <w:highlight w:val="none"/>
        </w:rPr>
        <w:t>录</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578" w:firstLineChars="200"/>
        <w:textAlignment w:val="auto"/>
        <w:rPr>
          <w:rFonts w:hint="eastAsia" w:ascii="仿宋" w:hAnsi="仿宋" w:eastAsia="仿宋" w:cs="仿宋"/>
          <w:b/>
          <w:color w:val="auto"/>
          <w:spacing w:val="-6"/>
          <w:sz w:val="30"/>
          <w:szCs w:val="30"/>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78" w:firstLineChars="20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第一章  投标邀请</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78" w:firstLineChars="20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第二章  采购需求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78" w:firstLineChars="20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第三章  投标人须知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78" w:firstLineChars="20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第四章  评标方法及评标标准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78" w:firstLineChars="20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第五章  拟签订的合同文本</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78" w:firstLineChars="200"/>
        <w:jc w:val="both"/>
        <w:textAlignment w:val="auto"/>
        <w:outlineLvl w:val="9"/>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t>第六章  投标文件格式</w:t>
      </w:r>
    </w:p>
    <w:p>
      <w:pPr>
        <w:adjustRightInd w:val="0"/>
        <w:snapToGrid w:val="0"/>
        <w:spacing w:line="288" w:lineRule="auto"/>
        <w:ind w:firstLine="578" w:firstLineChars="200"/>
        <w:rPr>
          <w:rFonts w:hint="eastAsia" w:ascii="仿宋" w:hAnsi="仿宋" w:eastAsia="仿宋" w:cs="仿宋"/>
          <w:b/>
          <w:color w:val="auto"/>
          <w:spacing w:val="-6"/>
          <w:sz w:val="30"/>
          <w:szCs w:val="30"/>
          <w:highlight w:val="none"/>
        </w:rPr>
      </w:pPr>
      <w:r>
        <w:rPr>
          <w:rFonts w:hint="eastAsia" w:ascii="仿宋" w:hAnsi="仿宋" w:eastAsia="仿宋" w:cs="仿宋"/>
          <w:b/>
          <w:color w:val="auto"/>
          <w:spacing w:val="-6"/>
          <w:sz w:val="30"/>
          <w:szCs w:val="30"/>
          <w:highlight w:val="none"/>
        </w:rPr>
        <w:br w:type="page"/>
      </w:r>
    </w:p>
    <w:p>
      <w:pPr>
        <w:adjustRightInd w:val="0"/>
        <w:snapToGrid w:val="0"/>
        <w:spacing w:line="288" w:lineRule="auto"/>
        <w:jc w:val="center"/>
        <w:outlineLvl w:val="0"/>
        <w:rPr>
          <w:rFonts w:hint="eastAsia" w:ascii="仿宋" w:hAnsi="仿宋" w:eastAsia="仿宋" w:cs="仿宋"/>
          <w:b/>
          <w:color w:val="auto"/>
          <w:spacing w:val="-6"/>
          <w:sz w:val="32"/>
          <w:szCs w:val="32"/>
          <w:highlight w:val="none"/>
        </w:rPr>
      </w:pPr>
      <w:r>
        <w:rPr>
          <w:rFonts w:hint="eastAsia" w:ascii="仿宋" w:hAnsi="仿宋" w:eastAsia="仿宋" w:cs="仿宋"/>
          <w:b/>
          <w:color w:val="auto"/>
          <w:spacing w:val="-6"/>
          <w:sz w:val="32"/>
          <w:szCs w:val="32"/>
          <w:highlight w:val="none"/>
        </w:rPr>
        <w:t>第一章  投标邀请</w:t>
      </w:r>
    </w:p>
    <w:tbl>
      <w:tblPr>
        <w:tblStyle w:val="3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628" w:type="dxa"/>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22" w:firstLineChars="200"/>
              <w:jc w:val="both"/>
              <w:textAlignment w:val="auto"/>
              <w:outlineLvl w:val="9"/>
              <w:rPr>
                <w:rFonts w:hint="eastAsia" w:ascii="仿宋" w:hAnsi="仿宋" w:eastAsia="仿宋" w:cs="仿宋"/>
                <w:b/>
                <w:color w:val="auto"/>
                <w:szCs w:val="21"/>
                <w:highlight w:val="none"/>
                <w:vertAlign w:val="baseline"/>
              </w:rPr>
            </w:pPr>
            <w:bookmarkStart w:id="0" w:name="_Toc35393790"/>
            <w:bookmarkStart w:id="1" w:name="_Toc35393621"/>
            <w:bookmarkStart w:id="2" w:name="_Toc28359079"/>
            <w:bookmarkStart w:id="3" w:name="_Toc28359002"/>
            <w:bookmarkStart w:id="4" w:name="_Hlk24379207"/>
            <w:r>
              <w:rPr>
                <w:rFonts w:hint="eastAsia" w:ascii="仿宋" w:hAnsi="仿宋" w:eastAsia="仿宋" w:cs="仿宋"/>
                <w:b/>
                <w:color w:val="auto"/>
                <w:szCs w:val="21"/>
                <w:highlight w:val="none"/>
                <w:vertAlign w:val="baseline"/>
              </w:rPr>
              <w:t>项目概况</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422" w:firstLineChars="200"/>
              <w:jc w:val="both"/>
              <w:textAlignment w:val="auto"/>
              <w:outlineLvl w:val="9"/>
              <w:rPr>
                <w:rFonts w:hint="eastAsia" w:ascii="仿宋" w:hAnsi="仿宋" w:eastAsia="仿宋" w:cs="仿宋"/>
                <w:b/>
                <w:color w:val="auto"/>
                <w:szCs w:val="21"/>
                <w:highlight w:val="none"/>
                <w:vertAlign w:val="baseline"/>
              </w:rPr>
            </w:pPr>
            <w:r>
              <w:rPr>
                <w:rFonts w:hint="eastAsia" w:ascii="仿宋" w:hAnsi="仿宋" w:eastAsia="仿宋" w:cs="仿宋"/>
                <w:b/>
                <w:color w:val="auto"/>
                <w:szCs w:val="21"/>
                <w:highlight w:val="none"/>
                <w:vertAlign w:val="baseline"/>
                <w:lang w:eastAsia="zh-CN"/>
              </w:rPr>
              <w:t>之江实验室智能计算育种数字反应堆平台专业实验室家具项目</w:t>
            </w:r>
            <w:r>
              <w:rPr>
                <w:rFonts w:hint="eastAsia" w:ascii="仿宋" w:hAnsi="仿宋" w:eastAsia="仿宋" w:cs="仿宋"/>
                <w:b/>
                <w:color w:val="auto"/>
                <w:szCs w:val="21"/>
                <w:highlight w:val="none"/>
                <w:vertAlign w:val="baseline"/>
              </w:rPr>
              <w:t>招标项目的潜在投标人应在</w:t>
            </w:r>
            <w:r>
              <w:rPr>
                <w:rFonts w:hint="eastAsia" w:ascii="仿宋" w:hAnsi="仿宋" w:eastAsia="仿宋" w:cs="仿宋"/>
                <w:b/>
                <w:color w:val="auto"/>
                <w:szCs w:val="21"/>
                <w:highlight w:val="none"/>
                <w:vertAlign w:val="baseline"/>
                <w:lang w:eastAsia="zh-CN"/>
              </w:rPr>
              <w:t>微信（关注“浙江求是招标代理有限公司”企业公众号）获取招标文件</w:t>
            </w:r>
            <w:r>
              <w:rPr>
                <w:rFonts w:hint="eastAsia" w:ascii="仿宋" w:hAnsi="仿宋" w:eastAsia="仿宋" w:cs="仿宋"/>
                <w:b/>
                <w:color w:val="auto"/>
                <w:szCs w:val="21"/>
                <w:highlight w:val="none"/>
                <w:vertAlign w:val="baseline"/>
              </w:rPr>
              <w:t>，并于</w:t>
            </w:r>
            <w:r>
              <w:rPr>
                <w:rFonts w:hint="eastAsia" w:ascii="仿宋" w:hAnsi="仿宋" w:eastAsia="仿宋" w:cs="仿宋"/>
                <w:b/>
                <w:color w:val="auto"/>
                <w:szCs w:val="21"/>
                <w:highlight w:val="none"/>
                <w:vertAlign w:val="baseline"/>
                <w:lang w:eastAsia="zh-CN"/>
              </w:rPr>
              <w:t>2023年05月29日下午14:00:00（北京时间）</w:t>
            </w:r>
            <w:r>
              <w:rPr>
                <w:rFonts w:hint="eastAsia" w:ascii="仿宋" w:hAnsi="仿宋" w:eastAsia="仿宋" w:cs="仿宋"/>
                <w:b/>
                <w:color w:val="auto"/>
                <w:szCs w:val="21"/>
                <w:highlight w:val="none"/>
                <w:vertAlign w:val="baseline"/>
              </w:rPr>
              <w:t>前</w:t>
            </w:r>
            <w:r>
              <w:rPr>
                <w:rFonts w:hint="eastAsia" w:ascii="仿宋" w:hAnsi="仿宋" w:eastAsia="仿宋" w:cs="仿宋"/>
                <w:b/>
                <w:color w:val="auto"/>
                <w:szCs w:val="21"/>
                <w:highlight w:val="none"/>
                <w:vertAlign w:val="baseline"/>
                <w:lang w:eastAsia="zh-CN"/>
              </w:rPr>
              <w:t>递交</w:t>
            </w:r>
            <w:r>
              <w:rPr>
                <w:rFonts w:hint="eastAsia" w:ascii="仿宋" w:hAnsi="仿宋" w:eastAsia="仿宋" w:cs="仿宋"/>
                <w:b/>
                <w:color w:val="auto"/>
                <w:szCs w:val="21"/>
                <w:highlight w:val="none"/>
                <w:vertAlign w:val="baseline"/>
              </w:rPr>
              <w:t>投标文件。</w:t>
            </w:r>
          </w:p>
        </w:tc>
      </w:tr>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outlineLvl w:val="9"/>
        <w:rPr>
          <w:rFonts w:hint="eastAsia" w:ascii="仿宋" w:hAnsi="仿宋" w:eastAsia="仿宋" w:cs="仿宋"/>
          <w:b/>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outlineLvl w:val="9"/>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一、项目基本情况</w:t>
      </w:r>
      <w:bookmarkEnd w:id="0"/>
      <w:bookmarkEnd w:id="1"/>
      <w:bookmarkEnd w:id="2"/>
      <w:bookmarkEnd w:id="3"/>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项目编号：</w:t>
      </w:r>
      <w:r>
        <w:rPr>
          <w:rFonts w:hint="eastAsia" w:ascii="仿宋" w:hAnsi="仿宋" w:eastAsia="仿宋" w:cs="仿宋"/>
          <w:color w:val="auto"/>
          <w:szCs w:val="21"/>
          <w:highlight w:val="none"/>
          <w:lang w:eastAsia="zh-CN"/>
        </w:rPr>
        <w:t>ZJLAB-JZ-GK2023032</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项目名称：</w:t>
      </w:r>
      <w:r>
        <w:rPr>
          <w:rFonts w:hint="eastAsia" w:ascii="仿宋" w:hAnsi="仿宋" w:eastAsia="仿宋" w:cs="仿宋"/>
          <w:color w:val="auto"/>
          <w:szCs w:val="21"/>
          <w:highlight w:val="none"/>
          <w:lang w:eastAsia="zh-CN"/>
        </w:rPr>
        <w:t>之江实验室智能计算育种数字反应堆平台专业实验室家具项目</w:t>
      </w:r>
    </w:p>
    <w:bookmarkEnd w:id="4"/>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采购需求：</w:t>
      </w:r>
    </w:p>
    <w:tbl>
      <w:tblPr>
        <w:tblStyle w:val="36"/>
        <w:tblW w:w="9615"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41"/>
        <w:gridCol w:w="619"/>
        <w:gridCol w:w="3404"/>
        <w:gridCol w:w="1025"/>
        <w:gridCol w:w="10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3541" w:type="dxa"/>
            <w:tcBorders>
              <w:right w:val="single" w:color="auto" w:sz="4" w:space="0"/>
            </w:tcBorders>
            <w:vAlign w:val="center"/>
          </w:tcPr>
          <w:p>
            <w:pPr>
              <w:ind w:left="0" w:leftChars="0" w:right="0" w:rightChars="0" w:firstLine="0" w:firstLineChars="0"/>
              <w:jc w:val="center"/>
              <w:rPr>
                <w:rFonts w:hint="eastAsia" w:ascii="仿宋" w:hAnsi="仿宋" w:eastAsia="仿宋" w:cs="仿宋"/>
                <w:b/>
                <w:bCs/>
                <w:color w:val="auto"/>
                <w:sz w:val="18"/>
                <w:szCs w:val="18"/>
                <w:highlight w:val="none"/>
              </w:rPr>
            </w:pPr>
            <w:bookmarkStart w:id="5" w:name="_Toc28359080"/>
            <w:bookmarkStart w:id="6" w:name="_Toc28359003"/>
            <w:bookmarkStart w:id="7" w:name="_Toc35393791"/>
            <w:bookmarkStart w:id="8" w:name="_Toc35393622"/>
            <w:r>
              <w:rPr>
                <w:rFonts w:hint="eastAsia" w:ascii="仿宋" w:hAnsi="仿宋" w:eastAsia="仿宋" w:cs="仿宋"/>
                <w:b/>
                <w:bCs/>
                <w:color w:val="auto"/>
                <w:sz w:val="18"/>
                <w:szCs w:val="18"/>
                <w:highlight w:val="none"/>
              </w:rPr>
              <w:t>名称</w:t>
            </w:r>
          </w:p>
        </w:tc>
        <w:tc>
          <w:tcPr>
            <w:tcW w:w="619" w:type="dxa"/>
            <w:vAlign w:val="center"/>
          </w:tcPr>
          <w:p>
            <w:pPr>
              <w:ind w:left="0" w:leftChars="0" w:right="0" w:rightChars="0" w:firstLine="0" w:firstLineChars="0"/>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数量</w:t>
            </w:r>
          </w:p>
        </w:tc>
        <w:tc>
          <w:tcPr>
            <w:tcW w:w="3404" w:type="dxa"/>
            <w:tcBorders>
              <w:right w:val="single" w:color="auto" w:sz="4" w:space="0"/>
            </w:tcBorders>
            <w:vAlign w:val="center"/>
          </w:tcPr>
          <w:p>
            <w:pPr>
              <w:ind w:left="0" w:leftChars="0" w:right="0" w:rightChars="0" w:firstLine="0" w:firstLineChars="0"/>
              <w:jc w:val="center"/>
              <w:rPr>
                <w:rFonts w:hint="default" w:ascii="仿宋" w:hAnsi="仿宋" w:eastAsia="仿宋" w:cs="仿宋"/>
                <w:b/>
                <w:bCs/>
                <w:color w:val="auto"/>
                <w:sz w:val="18"/>
                <w:szCs w:val="18"/>
                <w:highlight w:val="none"/>
                <w:lang w:val="en-US" w:eastAsia="zh-CN"/>
              </w:rPr>
            </w:pPr>
            <w:r>
              <w:rPr>
                <w:rFonts w:hint="eastAsia" w:ascii="仿宋" w:hAnsi="仿宋" w:eastAsia="仿宋" w:cs="仿宋"/>
                <w:b/>
                <w:bCs/>
                <w:color w:val="auto"/>
                <w:sz w:val="18"/>
                <w:szCs w:val="18"/>
                <w:highlight w:val="none"/>
              </w:rPr>
              <w:t>简要</w:t>
            </w:r>
            <w:r>
              <w:rPr>
                <w:rFonts w:hint="eastAsia" w:ascii="仿宋" w:hAnsi="仿宋" w:eastAsia="仿宋" w:cs="仿宋"/>
                <w:b/>
                <w:bCs/>
                <w:color w:val="auto"/>
                <w:sz w:val="18"/>
                <w:szCs w:val="18"/>
                <w:highlight w:val="none"/>
                <w:lang w:val="en-US" w:eastAsia="zh-CN"/>
              </w:rPr>
              <w:t>技术需求</w:t>
            </w:r>
          </w:p>
        </w:tc>
        <w:tc>
          <w:tcPr>
            <w:tcW w:w="1025" w:type="dxa"/>
            <w:vAlign w:val="center"/>
          </w:tcPr>
          <w:p>
            <w:pPr>
              <w:ind w:left="0" w:leftChars="0" w:right="0" w:rightChars="0" w:firstLine="0" w:firstLineChars="0"/>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预算金额（万元）</w:t>
            </w:r>
          </w:p>
        </w:tc>
        <w:tc>
          <w:tcPr>
            <w:tcW w:w="1026" w:type="dxa"/>
            <w:tcBorders>
              <w:right w:val="single" w:color="auto" w:sz="4" w:space="0"/>
            </w:tcBorders>
            <w:vAlign w:val="center"/>
          </w:tcPr>
          <w:p>
            <w:pPr>
              <w:ind w:left="0" w:leftChars="0" w:right="0" w:rightChars="0" w:firstLine="0" w:firstLineChars="0"/>
              <w:jc w:val="cente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最高限价（万元）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54" w:hRule="atLeast"/>
          <w:jc w:val="center"/>
        </w:trPr>
        <w:tc>
          <w:tcPr>
            <w:tcW w:w="3541" w:type="dxa"/>
            <w:tcBorders>
              <w:right w:val="single" w:color="auto" w:sz="4" w:space="0"/>
            </w:tcBorders>
            <w:vAlign w:val="center"/>
          </w:tcPr>
          <w:p>
            <w:pPr>
              <w:ind w:left="0" w:leftChars="0" w:right="0" w:rightChars="0" w:firstLine="0" w:firstLineChars="0"/>
              <w:jc w:val="center"/>
              <w:rPr>
                <w:rFonts w:hint="eastAsia" w:ascii="仿宋" w:hAnsi="仿宋" w:eastAsia="仿宋" w:cs="仿宋"/>
                <w:color w:val="auto"/>
                <w:sz w:val="18"/>
                <w:szCs w:val="18"/>
                <w:highlight w:val="none"/>
                <w:lang w:eastAsia="zh-CN"/>
              </w:rPr>
            </w:pPr>
            <w:r>
              <w:rPr>
                <w:rFonts w:hint="eastAsia" w:ascii="仿宋" w:hAnsi="仿宋" w:eastAsia="仿宋" w:cs="仿宋"/>
                <w:color w:val="auto"/>
                <w:sz w:val="18"/>
                <w:szCs w:val="18"/>
                <w:highlight w:val="none"/>
                <w:lang w:eastAsia="zh-CN"/>
              </w:rPr>
              <w:t>之江实验室智能计算育种数字反应堆平台专业实验室家具项目</w:t>
            </w:r>
          </w:p>
        </w:tc>
        <w:tc>
          <w:tcPr>
            <w:tcW w:w="619" w:type="dxa"/>
            <w:vAlign w:val="center"/>
          </w:tcPr>
          <w:p>
            <w:pPr>
              <w:ind w:left="0" w:leftChars="0" w:right="0" w:rightChars="0" w:firstLine="0" w:firstLineChars="0"/>
              <w:jc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rPr>
              <w:t>1</w:t>
            </w:r>
            <w:r>
              <w:rPr>
                <w:rFonts w:hint="eastAsia" w:ascii="仿宋" w:hAnsi="仿宋" w:eastAsia="仿宋" w:cs="仿宋"/>
                <w:color w:val="auto"/>
                <w:sz w:val="18"/>
                <w:szCs w:val="18"/>
                <w:highlight w:val="none"/>
                <w:lang w:val="en-US" w:eastAsia="zh-CN"/>
              </w:rPr>
              <w:t>批</w:t>
            </w:r>
          </w:p>
        </w:tc>
        <w:tc>
          <w:tcPr>
            <w:tcW w:w="3404" w:type="dxa"/>
            <w:tcBorders>
              <w:right w:val="single" w:color="auto" w:sz="4" w:space="0"/>
            </w:tcBorders>
            <w:vAlign w:val="center"/>
          </w:tcPr>
          <w:p>
            <w:pPr>
              <w:ind w:left="0" w:leftChars="0" w:right="0" w:rightChars="0" w:firstLine="0" w:firstLineChars="0"/>
              <w:jc w:val="center"/>
              <w:rPr>
                <w:rFonts w:hint="eastAsia"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eastAsia="zh-CN"/>
              </w:rPr>
              <w:t>智能计算育种数字反应堆平台科研配套</w:t>
            </w:r>
          </w:p>
        </w:tc>
        <w:tc>
          <w:tcPr>
            <w:tcW w:w="1025" w:type="dxa"/>
            <w:vAlign w:val="center"/>
          </w:tcPr>
          <w:p>
            <w:pPr>
              <w:ind w:left="0" w:leftChars="0" w:right="0" w:rightChars="0" w:firstLine="0" w:firstLineChars="0"/>
              <w:jc w:val="center"/>
              <w:rPr>
                <w:rFonts w:hint="default"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70.47</w:t>
            </w:r>
          </w:p>
        </w:tc>
        <w:tc>
          <w:tcPr>
            <w:tcW w:w="1026" w:type="dxa"/>
            <w:tcBorders>
              <w:right w:val="single" w:color="auto" w:sz="4" w:space="0"/>
            </w:tcBorders>
            <w:vAlign w:val="center"/>
          </w:tcPr>
          <w:p>
            <w:pPr>
              <w:ind w:left="0" w:leftChars="0" w:right="0" w:rightChars="0" w:firstLine="0" w:firstLineChars="0"/>
              <w:jc w:val="center"/>
              <w:rPr>
                <w:rFonts w:hint="default" w:ascii="仿宋" w:hAnsi="仿宋" w:eastAsia="仿宋" w:cs="仿宋"/>
                <w:color w:val="auto"/>
                <w:sz w:val="18"/>
                <w:szCs w:val="18"/>
                <w:highlight w:val="none"/>
                <w:lang w:val="en-US" w:eastAsia="zh-CN"/>
              </w:rPr>
            </w:pPr>
            <w:r>
              <w:rPr>
                <w:rFonts w:hint="eastAsia" w:ascii="仿宋" w:hAnsi="仿宋" w:eastAsia="仿宋" w:cs="仿宋"/>
                <w:color w:val="auto"/>
                <w:sz w:val="18"/>
                <w:szCs w:val="18"/>
                <w:highlight w:val="none"/>
                <w:lang w:val="en-US" w:eastAsia="zh-CN"/>
              </w:rPr>
              <w:t>70.47</w:t>
            </w:r>
          </w:p>
        </w:tc>
      </w:tr>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u w:val="single"/>
        </w:rPr>
      </w:pPr>
      <w:r>
        <w:rPr>
          <w:rFonts w:hint="eastAsia" w:ascii="仿宋" w:hAnsi="仿宋" w:eastAsia="仿宋" w:cs="仿宋"/>
          <w:color w:val="auto"/>
          <w:szCs w:val="21"/>
          <w:highlight w:val="none"/>
        </w:rPr>
        <w:t>合同履约期限：自合同签订后30日内交付</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color w:val="auto"/>
          <w:szCs w:val="21"/>
          <w:highlight w:val="none"/>
        </w:rPr>
      </w:pPr>
      <w:r>
        <w:rPr>
          <w:rFonts w:hint="eastAsia" w:ascii="仿宋" w:hAnsi="仿宋" w:eastAsia="仿宋" w:cs="仿宋"/>
          <w:bCs/>
          <w:color w:val="auto"/>
          <w:szCs w:val="21"/>
          <w:highlight w:val="none"/>
        </w:rPr>
        <w:t>本项目（否）接受联合体投标。</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outlineLvl w:val="9"/>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二、申请人的资格要求：</w:t>
      </w:r>
      <w:bookmarkEnd w:id="5"/>
      <w:bookmarkEnd w:id="6"/>
      <w:bookmarkEnd w:id="7"/>
      <w:bookmarkEnd w:id="8"/>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bookmarkStart w:id="9" w:name="_Toc28359004"/>
      <w:bookmarkStart w:id="10" w:name="_Toc28359081"/>
      <w:r>
        <w:rPr>
          <w:rFonts w:hint="eastAsia" w:ascii="仿宋" w:hAnsi="仿宋" w:eastAsia="仿宋" w:cs="仿宋"/>
          <w:color w:val="auto"/>
          <w:szCs w:val="21"/>
          <w:highlight w:val="none"/>
        </w:rPr>
        <w:t>1.满足《中华人民共和国政府采购法》第二十二条规定；未被“信用中国”（www.creditchina.gov.cn)、中国政府采购网（www.ccgp.gov.cn）列入失信被执行人、重大税收违法案件当事人名单、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2.落实政府采购政策需满足的资格要求：</w:t>
      </w:r>
      <w:r>
        <w:rPr>
          <w:rFonts w:hint="eastAsia" w:ascii="仿宋" w:hAnsi="仿宋" w:eastAsia="仿宋" w:cs="仿宋"/>
          <w:color w:val="auto"/>
          <w:szCs w:val="21"/>
          <w:highlight w:val="none"/>
          <w:lang w:val="en-US" w:eastAsia="zh-CN"/>
        </w:rPr>
        <w:t>无</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3.本项目的特定资格要求：无</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rPr>
          <w:rFonts w:hint="eastAsia" w:ascii="仿宋" w:hAnsi="仿宋" w:eastAsia="仿宋" w:cs="仿宋"/>
          <w:b/>
          <w:color w:val="auto"/>
          <w:szCs w:val="21"/>
          <w:highlight w:val="none"/>
        </w:rPr>
      </w:pPr>
      <w:bookmarkStart w:id="11" w:name="_Toc35393623"/>
      <w:bookmarkStart w:id="12" w:name="_Toc35393792"/>
      <w:r>
        <w:rPr>
          <w:rFonts w:hint="eastAsia" w:ascii="仿宋" w:hAnsi="仿宋" w:eastAsia="仿宋" w:cs="仿宋"/>
          <w:b/>
          <w:color w:val="auto"/>
          <w:szCs w:val="21"/>
          <w:highlight w:val="none"/>
        </w:rPr>
        <w:t>三、获取招标文件</w:t>
      </w:r>
      <w:bookmarkEnd w:id="9"/>
      <w:bookmarkEnd w:id="10"/>
      <w:bookmarkEnd w:id="11"/>
      <w:bookmarkEnd w:id="12"/>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bookmarkStart w:id="13" w:name="_Toc28359082"/>
      <w:bookmarkStart w:id="14" w:name="_Toc35393793"/>
      <w:bookmarkStart w:id="15" w:name="_Toc28359005"/>
      <w:bookmarkStart w:id="16" w:name="_Toc35393624"/>
      <w:r>
        <w:rPr>
          <w:rFonts w:hint="eastAsia" w:ascii="仿宋" w:hAnsi="仿宋" w:eastAsia="仿宋" w:cs="仿宋"/>
          <w:color w:val="auto"/>
          <w:szCs w:val="21"/>
          <w:highlight w:val="none"/>
        </w:rPr>
        <w:t>时间：</w:t>
      </w:r>
      <w:r>
        <w:rPr>
          <w:rFonts w:hint="eastAsia" w:ascii="仿宋" w:hAnsi="仿宋" w:eastAsia="仿宋" w:cs="仿宋"/>
          <w:color w:val="auto"/>
          <w:szCs w:val="21"/>
          <w:highlight w:val="none"/>
          <w:lang w:eastAsia="zh-CN"/>
        </w:rPr>
        <w:t>2023年05月08日至2023年05月15日</w:t>
      </w:r>
      <w:r>
        <w:rPr>
          <w:rFonts w:hint="eastAsia" w:ascii="仿宋" w:hAnsi="仿宋" w:eastAsia="仿宋" w:cs="仿宋"/>
          <w:color w:val="auto"/>
          <w:szCs w:val="21"/>
          <w:highlight w:val="none"/>
        </w:rPr>
        <w:t>（北京时间，双休日及法定节假日除外）</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上午：8:30-11:30、下午：13:00-17:00</w:t>
      </w:r>
      <w:r>
        <w:rPr>
          <w:rFonts w:hint="eastAsia" w:ascii="仿宋" w:hAnsi="仿宋" w:eastAsia="仿宋" w:cs="仿宋"/>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2" w:firstLineChars="200"/>
        <w:jc w:val="both"/>
        <w:textAlignment w:val="auto"/>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备注：获取招标文件截止时间之后潜在投标人依然可以获取招标文件，对招标文件有质疑的应在规定的质疑期限内提出。</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地点：</w:t>
      </w:r>
      <w:r>
        <w:rPr>
          <w:rFonts w:hint="eastAsia" w:ascii="仿宋" w:hAnsi="仿宋" w:eastAsia="仿宋" w:cs="仿宋"/>
          <w:color w:val="auto"/>
          <w:szCs w:val="21"/>
          <w:highlight w:val="none"/>
          <w:lang w:val="en-US" w:eastAsia="zh-CN"/>
        </w:rPr>
        <w:t>微信</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方式：关注“浙江求是招标代理有限公司”企业公众号，文件获取申请函详见招标公告附件，获取文件联系人：於路莹 联系方式：0571-</w:t>
      </w:r>
      <w:r>
        <w:rPr>
          <w:rFonts w:hint="eastAsia" w:ascii="仿宋" w:hAnsi="仿宋" w:eastAsia="仿宋" w:cs="仿宋"/>
          <w:color w:val="auto"/>
          <w:szCs w:val="21"/>
          <w:highlight w:val="none"/>
          <w:lang w:val="en-US" w:eastAsia="zh-CN"/>
        </w:rPr>
        <w:t>87666112</w:t>
      </w:r>
      <w:r>
        <w:rPr>
          <w:rFonts w:hint="eastAsia" w:ascii="仿宋" w:hAnsi="仿宋" w:eastAsia="仿宋" w:cs="仿宋"/>
          <w:color w:val="auto"/>
          <w:szCs w:val="21"/>
          <w:highlight w:val="none"/>
        </w:rPr>
        <w:t xml:space="preserve"> 电子邮箱：</w:t>
      </w:r>
      <w:r>
        <w:rPr>
          <w:rFonts w:hint="eastAsia" w:ascii="仿宋" w:hAnsi="仿宋" w:eastAsia="仿宋" w:cs="仿宋"/>
          <w:color w:val="auto"/>
          <w:szCs w:val="21"/>
          <w:highlight w:val="none"/>
          <w:lang w:val="en-US" w:eastAsia="zh-CN"/>
        </w:rPr>
        <w:t>bm</w:t>
      </w:r>
      <w:r>
        <w:rPr>
          <w:rFonts w:hint="eastAsia" w:ascii="仿宋" w:hAnsi="仿宋" w:eastAsia="仿宋" w:cs="仿宋"/>
          <w:color w:val="auto"/>
          <w:szCs w:val="21"/>
          <w:highlight w:val="none"/>
        </w:rPr>
        <w:t>@qszb.net。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售价：¥500.0元（人民币）</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收款单位（户名）：浙江求是招标代理有限公司</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开户银行：工行浙大支行</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银行账号：1202024609900033043</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财务联系方式：0571-87666113</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开票信息请发送邮件至caiwu@qszb.net（提供项目名称或编号、开票资料、收件信息并注明专普票）</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四、</w:t>
      </w:r>
      <w:bookmarkEnd w:id="13"/>
      <w:bookmarkEnd w:id="14"/>
      <w:bookmarkEnd w:id="15"/>
      <w:bookmarkEnd w:id="16"/>
      <w:r>
        <w:rPr>
          <w:rFonts w:hint="eastAsia" w:ascii="仿宋" w:hAnsi="仿宋" w:eastAsia="仿宋" w:cs="仿宋"/>
          <w:b/>
          <w:color w:val="auto"/>
          <w:szCs w:val="21"/>
          <w:highlight w:val="none"/>
        </w:rPr>
        <w:t>提交投标文件截止时间、开标时间和地点</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Cs/>
          <w:color w:val="auto"/>
          <w:szCs w:val="21"/>
          <w:highlight w:val="none"/>
        </w:rPr>
      </w:pPr>
      <w:bookmarkStart w:id="17" w:name="_Hlk81212057"/>
      <w:r>
        <w:rPr>
          <w:rFonts w:hint="eastAsia" w:ascii="仿宋" w:hAnsi="仿宋" w:eastAsia="仿宋" w:cs="仿宋"/>
          <w:bCs/>
          <w:color w:val="auto"/>
          <w:szCs w:val="21"/>
          <w:highlight w:val="none"/>
        </w:rPr>
        <w:t>提交投标文件截止时间：</w:t>
      </w:r>
      <w:r>
        <w:rPr>
          <w:rFonts w:hint="eastAsia" w:ascii="仿宋" w:hAnsi="仿宋" w:eastAsia="仿宋" w:cs="仿宋"/>
          <w:bCs/>
          <w:color w:val="auto"/>
          <w:szCs w:val="21"/>
          <w:highlight w:val="none"/>
          <w:lang w:eastAsia="zh-CN"/>
        </w:rPr>
        <w:t>2023年05月29日下午14:00:00（北京时间）</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Cs/>
          <w:color w:val="auto"/>
          <w:szCs w:val="21"/>
          <w:highlight w:val="none"/>
          <w:lang w:eastAsia="zh-CN"/>
        </w:rPr>
      </w:pPr>
      <w:r>
        <w:rPr>
          <w:rFonts w:hint="eastAsia" w:ascii="仿宋" w:hAnsi="仿宋" w:eastAsia="仿宋" w:cs="仿宋"/>
          <w:bCs/>
          <w:color w:val="auto"/>
          <w:szCs w:val="21"/>
          <w:highlight w:val="none"/>
        </w:rPr>
        <w:t>投标地点：</w:t>
      </w:r>
      <w:r>
        <w:rPr>
          <w:rFonts w:hint="eastAsia" w:ascii="仿宋" w:hAnsi="仿宋" w:eastAsia="仿宋" w:cs="仿宋"/>
          <w:bCs/>
          <w:color w:val="auto"/>
          <w:szCs w:val="21"/>
          <w:highlight w:val="none"/>
          <w:lang w:eastAsia="zh-CN"/>
        </w:rPr>
        <w:t>杭州市西湖区玉古路173号中田大厦21楼求是招标会议室4</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开标时间：</w:t>
      </w:r>
      <w:r>
        <w:rPr>
          <w:rFonts w:hint="eastAsia" w:ascii="仿宋" w:hAnsi="仿宋" w:eastAsia="仿宋" w:cs="仿宋"/>
          <w:bCs/>
          <w:color w:val="auto"/>
          <w:szCs w:val="21"/>
          <w:highlight w:val="none"/>
          <w:lang w:eastAsia="zh-CN"/>
        </w:rPr>
        <w:t>2023年05月29日下午14:00:00（北京时间）</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Cs/>
          <w:color w:val="auto"/>
          <w:szCs w:val="21"/>
          <w:highlight w:val="none"/>
          <w:lang w:eastAsia="zh-CN"/>
        </w:rPr>
      </w:pPr>
      <w:r>
        <w:rPr>
          <w:rFonts w:hint="eastAsia" w:ascii="仿宋" w:hAnsi="仿宋" w:eastAsia="仿宋" w:cs="仿宋"/>
          <w:bCs/>
          <w:color w:val="auto"/>
          <w:szCs w:val="21"/>
          <w:highlight w:val="none"/>
        </w:rPr>
        <w:t>开标地点：</w:t>
      </w:r>
      <w:r>
        <w:rPr>
          <w:rFonts w:hint="eastAsia" w:ascii="仿宋" w:hAnsi="仿宋" w:eastAsia="仿宋" w:cs="仿宋"/>
          <w:bCs/>
          <w:color w:val="auto"/>
          <w:szCs w:val="21"/>
          <w:highlight w:val="none"/>
          <w:lang w:eastAsia="zh-CN"/>
        </w:rPr>
        <w:t>杭州市西湖区玉古路173号中田大厦21楼求是招标会议室4</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2" w:firstLineChars="200"/>
        <w:jc w:val="both"/>
        <w:textAlignment w:val="auto"/>
        <w:rPr>
          <w:rFonts w:hint="eastAsia" w:ascii="仿宋" w:hAnsi="仿宋" w:eastAsia="仿宋" w:cs="仿宋"/>
          <w:b/>
          <w:bCs w:val="0"/>
          <w:color w:val="auto"/>
          <w:szCs w:val="21"/>
          <w:highlight w:val="none"/>
        </w:rPr>
      </w:pPr>
      <w:r>
        <w:rPr>
          <w:rFonts w:hint="eastAsia" w:ascii="仿宋" w:hAnsi="仿宋" w:eastAsia="仿宋" w:cs="仿宋"/>
          <w:b/>
          <w:bCs w:val="0"/>
          <w:color w:val="auto"/>
          <w:szCs w:val="21"/>
          <w:highlight w:val="none"/>
        </w:rPr>
        <w:t>备注：逾期送达或未按照招标文件要求密封的投标文件采购代理机构将予以拒收</w:t>
      </w:r>
    </w:p>
    <w:bookmarkEnd w:id="17"/>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rPr>
          <w:rFonts w:hint="eastAsia" w:ascii="仿宋" w:hAnsi="仿宋" w:eastAsia="仿宋" w:cs="仿宋"/>
          <w:b/>
          <w:color w:val="auto"/>
          <w:szCs w:val="21"/>
          <w:highlight w:val="none"/>
        </w:rPr>
      </w:pPr>
      <w:bookmarkStart w:id="18" w:name="_Toc28359084"/>
      <w:bookmarkStart w:id="19" w:name="_Toc28359007"/>
      <w:bookmarkStart w:id="20" w:name="_Toc35393625"/>
      <w:bookmarkStart w:id="21" w:name="_Toc35393794"/>
      <w:r>
        <w:rPr>
          <w:rFonts w:hint="eastAsia" w:ascii="仿宋" w:hAnsi="仿宋" w:eastAsia="仿宋" w:cs="仿宋"/>
          <w:b/>
          <w:color w:val="auto"/>
          <w:szCs w:val="21"/>
          <w:highlight w:val="none"/>
        </w:rPr>
        <w:t>五、公告期限</w:t>
      </w:r>
      <w:bookmarkEnd w:id="18"/>
      <w:bookmarkEnd w:id="19"/>
      <w:bookmarkEnd w:id="20"/>
      <w:bookmarkEnd w:id="21"/>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自本公告发布之日起5个工作日。</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rPr>
          <w:rFonts w:hint="eastAsia" w:ascii="仿宋" w:hAnsi="仿宋" w:eastAsia="仿宋" w:cs="仿宋"/>
          <w:b/>
          <w:color w:val="auto"/>
          <w:szCs w:val="21"/>
          <w:highlight w:val="none"/>
        </w:rPr>
      </w:pPr>
      <w:bookmarkStart w:id="22" w:name="_Toc35393795"/>
      <w:bookmarkStart w:id="23" w:name="_Toc35393626"/>
      <w:r>
        <w:rPr>
          <w:rFonts w:hint="eastAsia" w:ascii="仿宋" w:hAnsi="仿宋" w:eastAsia="仿宋" w:cs="仿宋"/>
          <w:b/>
          <w:color w:val="auto"/>
          <w:szCs w:val="21"/>
          <w:highlight w:val="none"/>
        </w:rPr>
        <w:t>六、其他补充事宜</w:t>
      </w:r>
      <w:bookmarkEnd w:id="22"/>
      <w:bookmarkEnd w:id="23"/>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bookmarkStart w:id="24" w:name="_Hlk92271231"/>
      <w:r>
        <w:rPr>
          <w:rFonts w:hint="eastAsia" w:ascii="仿宋" w:hAnsi="仿宋" w:eastAsia="仿宋" w:cs="仿宋"/>
          <w:color w:val="auto"/>
          <w:szCs w:val="21"/>
          <w:highlight w:val="none"/>
          <w:lang w:val="en-US" w:eastAsia="zh-CN"/>
        </w:rPr>
        <w:t>1</w:t>
      </w:r>
      <w:r>
        <w:rPr>
          <w:rFonts w:hint="eastAsia" w:ascii="仿宋" w:hAnsi="仿宋" w:eastAsia="仿宋" w:cs="仿宋"/>
          <w:color w:val="auto"/>
          <w:szCs w:val="21"/>
          <w:highlight w:val="none"/>
        </w:rPr>
        <w:t>.供应商认为采购文件使自己的权益受到损害的，可以自获取采购文件之日或者采购公告期限届满之日（公告期限届满后获取采购文件的，以公告期限届满之日为准）起7个工作日内，对采购文件需求的以书面形式向采购人提出质疑，对其他内容的以书面形式向采购人和采购代理机构提出质疑</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质疑供应商对采购人、采购代理机构的答复不满意或者采购人、采购代理机构未在规定的时间内作出答复的，可以在答复期满后</w:t>
      </w:r>
      <w:r>
        <w:rPr>
          <w:rFonts w:hint="eastAsia" w:ascii="仿宋" w:hAnsi="仿宋" w:eastAsia="仿宋" w:cs="仿宋"/>
          <w:color w:val="auto"/>
          <w:szCs w:val="21"/>
          <w:highlight w:val="none"/>
          <w:lang w:val="en-US" w:eastAsia="zh-CN"/>
        </w:rPr>
        <w:t>15</w:t>
      </w:r>
      <w:r>
        <w:rPr>
          <w:rFonts w:hint="eastAsia" w:ascii="仿宋" w:hAnsi="仿宋" w:eastAsia="仿宋" w:cs="仿宋"/>
          <w:color w:val="auto"/>
          <w:szCs w:val="21"/>
          <w:highlight w:val="none"/>
        </w:rPr>
        <w:t>个工作日内向</w:t>
      </w:r>
      <w:r>
        <w:rPr>
          <w:rFonts w:hint="eastAsia" w:ascii="仿宋" w:hAnsi="仿宋" w:eastAsia="仿宋" w:cs="仿宋"/>
          <w:color w:val="auto"/>
          <w:szCs w:val="21"/>
          <w:highlight w:val="none"/>
          <w:lang w:val="en-US" w:eastAsia="zh-CN"/>
        </w:rPr>
        <w:t>采购人</w:t>
      </w:r>
      <w:r>
        <w:rPr>
          <w:rFonts w:hint="eastAsia" w:ascii="仿宋" w:hAnsi="仿宋" w:eastAsia="仿宋" w:cs="仿宋"/>
          <w:color w:val="auto"/>
          <w:szCs w:val="21"/>
          <w:highlight w:val="none"/>
        </w:rPr>
        <w:t>采购监督管理部门投诉。质疑函范本、投诉书范本请到浙江政府采购网下载专区下载。</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其他事项：</w:t>
      </w:r>
      <w:bookmarkStart w:id="25" w:name="_Hlk92271331"/>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1）需要落实的政府采购政策：包括节约资源、保护环境</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促进中小企业发展等</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具体</w:t>
      </w:r>
      <w:r>
        <w:rPr>
          <w:rFonts w:hint="eastAsia" w:ascii="仿宋" w:hAnsi="仿宋" w:eastAsia="仿宋" w:cs="仿宋"/>
          <w:color w:val="auto"/>
          <w:szCs w:val="21"/>
          <w:highlight w:val="none"/>
        </w:rPr>
        <w:t>详见招标文件第三章</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9.</w:t>
      </w:r>
      <w:r>
        <w:rPr>
          <w:rFonts w:hint="eastAsia" w:ascii="仿宋" w:hAnsi="仿宋" w:eastAsia="仿宋" w:cs="仿宋"/>
          <w:color w:val="auto"/>
          <w:szCs w:val="21"/>
          <w:highlight w:val="none"/>
        </w:rPr>
        <w:t>采购项目需要落实的政府采购政策</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w:t>
      </w:r>
      <w:bookmarkStart w:id="26" w:name="_Hlk92271072"/>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2）单位负责人为同一人或者存在直接控股、管理关系的不同供应商，不得参加同一合同项下的采购活动；为采购项目提供整体设计、规范编制或者项目管理、监理、检测等服务后不得再参加该采购项目的其他采购活动。</w:t>
      </w:r>
      <w:bookmarkEnd w:id="26"/>
    </w:p>
    <w:bookmarkEnd w:id="24"/>
    <w:bookmarkEnd w:id="25"/>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both"/>
        <w:textAlignment w:val="auto"/>
        <w:rPr>
          <w:rFonts w:hint="eastAsia" w:ascii="仿宋" w:hAnsi="仿宋" w:eastAsia="仿宋" w:cs="仿宋"/>
          <w:b/>
          <w:color w:val="auto"/>
          <w:szCs w:val="21"/>
          <w:highlight w:val="none"/>
          <w:lang w:eastAsia="zh-CN"/>
        </w:rPr>
      </w:pPr>
      <w:bookmarkStart w:id="27" w:name="_Toc35393627"/>
      <w:bookmarkStart w:id="28" w:name="_Toc28359008"/>
      <w:bookmarkStart w:id="29" w:name="_Toc28359085"/>
      <w:bookmarkStart w:id="30" w:name="_Toc35393796"/>
      <w:r>
        <w:rPr>
          <w:rFonts w:hint="eastAsia" w:ascii="仿宋" w:hAnsi="仿宋" w:eastAsia="仿宋" w:cs="仿宋"/>
          <w:b/>
          <w:color w:val="auto"/>
          <w:szCs w:val="21"/>
          <w:highlight w:val="none"/>
        </w:rPr>
        <w:t>七、</w:t>
      </w:r>
      <w:bookmarkEnd w:id="27"/>
      <w:bookmarkEnd w:id="28"/>
      <w:bookmarkEnd w:id="29"/>
      <w:bookmarkEnd w:id="30"/>
      <w:r>
        <w:rPr>
          <w:rFonts w:hint="eastAsia" w:ascii="仿宋" w:hAnsi="仿宋" w:eastAsia="仿宋" w:cs="仿宋"/>
          <w:b/>
          <w:color w:val="auto"/>
          <w:szCs w:val="21"/>
          <w:highlight w:val="none"/>
        </w:rPr>
        <w:t>对本次招标提出询问、质疑</w:t>
      </w:r>
      <w:r>
        <w:rPr>
          <w:rFonts w:hint="eastAsia" w:ascii="仿宋" w:hAnsi="仿宋" w:eastAsia="仿宋" w:cs="仿宋"/>
          <w:b/>
          <w:color w:val="auto"/>
          <w:szCs w:val="21"/>
          <w:highlight w:val="none"/>
          <w:lang w:eastAsia="zh-CN"/>
        </w:rPr>
        <w:t>、</w:t>
      </w:r>
      <w:r>
        <w:rPr>
          <w:rFonts w:hint="eastAsia" w:ascii="仿宋" w:hAnsi="仿宋" w:eastAsia="仿宋" w:cs="仿宋"/>
          <w:b/>
          <w:color w:val="auto"/>
          <w:szCs w:val="21"/>
          <w:highlight w:val="none"/>
          <w:lang w:val="en-US" w:eastAsia="zh-CN"/>
        </w:rPr>
        <w:t>投诉</w:t>
      </w:r>
      <w:r>
        <w:rPr>
          <w:rFonts w:hint="eastAsia" w:ascii="仿宋" w:hAnsi="仿宋" w:eastAsia="仿宋" w:cs="仿宋"/>
          <w:b/>
          <w:color w:val="auto"/>
          <w:szCs w:val="21"/>
          <w:highlight w:val="none"/>
          <w:lang w:eastAsia="zh-CN"/>
        </w:rPr>
        <w:t>，</w:t>
      </w:r>
      <w:r>
        <w:rPr>
          <w:rFonts w:hint="eastAsia" w:ascii="仿宋" w:hAnsi="仿宋" w:eastAsia="仿宋" w:cs="仿宋"/>
          <w:b/>
          <w:color w:val="auto"/>
          <w:szCs w:val="21"/>
          <w:highlight w:val="none"/>
        </w:rPr>
        <w:t>请按以下方式联系</w:t>
      </w:r>
      <w:r>
        <w:rPr>
          <w:rFonts w:hint="eastAsia" w:ascii="仿宋" w:hAnsi="仿宋" w:eastAsia="仿宋" w:cs="仿宋"/>
          <w:b/>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1.采购人信息</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名称：</w:t>
      </w:r>
      <w:r>
        <w:rPr>
          <w:rFonts w:hint="eastAsia" w:ascii="仿宋" w:hAnsi="仿宋" w:eastAsia="仿宋" w:cs="仿宋"/>
          <w:color w:val="auto"/>
          <w:szCs w:val="21"/>
          <w:highlight w:val="none"/>
          <w:lang w:eastAsia="zh-CN"/>
        </w:rPr>
        <w:t>之江实验室</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地址：杭州市余杭区中泰街道之江实验室新园区一期西区1号楼13楼</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传真：/</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联系人（询问）：柳老师</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联系方式（询问）</w:t>
      </w:r>
      <w:r>
        <w:rPr>
          <w:rFonts w:hint="eastAsia" w:ascii="仿宋" w:hAnsi="仿宋" w:eastAsia="仿宋" w:cs="仿宋"/>
          <w:color w:val="auto"/>
          <w:szCs w:val="21"/>
          <w:highlight w:val="none"/>
          <w:lang w:eastAsia="zh-CN"/>
        </w:rPr>
        <w:t>：0571-56393505</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rPr>
        <w:t>项目联系人（询问）：孙</w:t>
      </w:r>
      <w:r>
        <w:rPr>
          <w:rFonts w:hint="eastAsia" w:ascii="仿宋" w:hAnsi="仿宋" w:eastAsia="仿宋" w:cs="仿宋"/>
          <w:color w:val="auto"/>
          <w:szCs w:val="21"/>
          <w:highlight w:val="none"/>
          <w:lang w:val="en-US" w:eastAsia="zh-CN"/>
        </w:rPr>
        <w:t>老师</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项目联系方式（询问）：0571-56390516</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质疑、投诉联系人：钟老师</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联系方法：0571-56390603</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纪检监督联系人：饶老师</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联系方法：0571-58005087</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2.采购代理机构信息</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名称：浙江求是招标代理有限公司</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地址：杭州市西湖区玉古路173号</w:t>
      </w:r>
      <w:r>
        <w:rPr>
          <w:rFonts w:hint="eastAsia" w:ascii="仿宋" w:hAnsi="仿宋" w:eastAsia="仿宋" w:cs="仿宋"/>
          <w:color w:val="auto"/>
          <w:szCs w:val="21"/>
          <w:highlight w:val="none"/>
          <w:lang w:eastAsia="zh-CN"/>
        </w:rPr>
        <w:t>中田大厦21楼</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630" w:firstLineChars="3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传真：/</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项目联系人（询问）：杨立凯</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项目联系方式（询问）：0571-87679349</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质疑联系人：沈欣颐</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质疑联系方式：0571-81110356</w:t>
      </w:r>
    </w:p>
    <w:p>
      <w:pPr>
        <w:adjustRightInd w:val="0"/>
        <w:snapToGrid w:val="0"/>
        <w:spacing w:line="288" w:lineRule="auto"/>
        <w:ind w:firstLine="630" w:firstLineChars="300"/>
        <w:rPr>
          <w:rFonts w:ascii="仿宋" w:hAnsi="仿宋" w:eastAsia="仿宋" w:cs="仿宋"/>
          <w:color w:val="auto"/>
          <w:szCs w:val="21"/>
          <w:highlight w:val="none"/>
        </w:rPr>
      </w:pPr>
      <w:r>
        <w:rPr>
          <w:rFonts w:hint="eastAsia" w:ascii="仿宋" w:hAnsi="仿宋" w:eastAsia="仿宋" w:cs="仿宋"/>
          <w:color w:val="auto"/>
          <w:szCs w:val="21"/>
          <w:highlight w:val="none"/>
        </w:rPr>
        <w:t>质疑邮箱：jdkh@qszb.net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0"/>
        <w:rPr>
          <w:rFonts w:hint="eastAsia" w:ascii="仿宋" w:hAnsi="仿宋" w:eastAsia="仿宋" w:cs="仿宋"/>
          <w:b/>
          <w:bCs/>
          <w:color w:val="auto"/>
          <w:sz w:val="32"/>
          <w:szCs w:val="32"/>
          <w:highlight w:val="none"/>
        </w:rPr>
      </w:pPr>
      <w:r>
        <w:rPr>
          <w:rFonts w:hint="eastAsia" w:ascii="仿宋" w:hAnsi="仿宋" w:eastAsia="仿宋" w:cs="仿宋"/>
          <w:color w:val="auto"/>
          <w:szCs w:val="21"/>
          <w:highlight w:val="none"/>
        </w:rPr>
        <w:br w:type="page"/>
      </w:r>
      <w:r>
        <w:rPr>
          <w:rFonts w:hint="eastAsia" w:ascii="仿宋" w:hAnsi="仿宋" w:eastAsia="仿宋" w:cs="仿宋"/>
          <w:b/>
          <w:color w:val="auto"/>
          <w:sz w:val="32"/>
          <w:szCs w:val="32"/>
          <w:highlight w:val="none"/>
        </w:rPr>
        <w:t xml:space="preserve">第二章  </w:t>
      </w:r>
      <w:r>
        <w:rPr>
          <w:rFonts w:hint="eastAsia" w:ascii="仿宋" w:hAnsi="仿宋" w:eastAsia="仿宋" w:cs="仿宋"/>
          <w:b/>
          <w:bCs/>
          <w:color w:val="auto"/>
          <w:sz w:val="32"/>
          <w:szCs w:val="32"/>
          <w:highlight w:val="none"/>
        </w:rPr>
        <w:t>采购需求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textAlignment w:val="auto"/>
        <w:outlineLvl w:val="1"/>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一、为落实政府采购政策需满足的要求</w:t>
      </w:r>
    </w:p>
    <w:tbl>
      <w:tblPr>
        <w:tblStyle w:val="36"/>
        <w:tblW w:w="94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2860"/>
        <w:gridCol w:w="5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bookmarkStart w:id="31" w:name="_Hlk45005599"/>
            <w:r>
              <w:rPr>
                <w:rFonts w:hint="eastAsia" w:ascii="仿宋" w:hAnsi="仿宋" w:eastAsia="仿宋" w:cs="仿宋"/>
                <w:b/>
                <w:bCs/>
                <w:color w:val="auto"/>
                <w:sz w:val="21"/>
                <w:szCs w:val="21"/>
                <w:highlight w:val="none"/>
              </w:rPr>
              <w:t>序号</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政策名称</w:t>
            </w:r>
          </w:p>
        </w:tc>
        <w:tc>
          <w:tcPr>
            <w:tcW w:w="5984"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1</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政府采购进口产品</w:t>
            </w:r>
          </w:p>
        </w:tc>
        <w:tc>
          <w:tcPr>
            <w:tcW w:w="5984"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不允许</w:t>
            </w:r>
            <w:r>
              <w:rPr>
                <w:rFonts w:hint="eastAsia" w:ascii="仿宋" w:hAnsi="仿宋" w:eastAsia="仿宋" w:cs="仿宋"/>
                <w:color w:val="auto"/>
                <w:sz w:val="21"/>
                <w:szCs w:val="21"/>
                <w:highlight w:val="none"/>
              </w:rPr>
              <w:t>采购进口产品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2</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政府强制采购节能产品</w:t>
            </w:r>
          </w:p>
        </w:tc>
        <w:tc>
          <w:tcPr>
            <w:tcW w:w="5984"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3</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政府优先采购节能、环保产品</w:t>
            </w:r>
          </w:p>
        </w:tc>
        <w:tc>
          <w:tcPr>
            <w:tcW w:w="5984"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Cs w:val="21"/>
                <w:highlight w:val="none"/>
              </w:rPr>
              <w:t>提供材料详见招标文件第六章“</w:t>
            </w:r>
            <w:r>
              <w:rPr>
                <w:rFonts w:hint="eastAsia" w:ascii="仿宋" w:hAnsi="仿宋" w:eastAsia="仿宋" w:cs="仿宋"/>
                <w:color w:val="auto"/>
                <w:szCs w:val="21"/>
                <w:highlight w:val="none"/>
                <w:lang w:val="en-US" w:eastAsia="zh-CN"/>
              </w:rPr>
              <w:t>商务和技术文件</w:t>
            </w:r>
            <w:r>
              <w:rPr>
                <w:rFonts w:hint="eastAsia" w:ascii="仿宋" w:hAnsi="仿宋" w:eastAsia="仿宋" w:cs="仿宋"/>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4</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政府采购支持创新发展</w:t>
            </w:r>
          </w:p>
        </w:tc>
        <w:tc>
          <w:tcPr>
            <w:tcW w:w="5984"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5</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政府采购促进中小企业发展</w:t>
            </w:r>
          </w:p>
        </w:tc>
        <w:tc>
          <w:tcPr>
            <w:tcW w:w="5984"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提供材料详见招标文件第六章“报价文件”</w:t>
            </w:r>
          </w:p>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本项目采购标的</w:t>
            </w:r>
            <w:r>
              <w:rPr>
                <w:rFonts w:hint="eastAsia" w:ascii="仿宋" w:hAnsi="仿宋" w:eastAsia="仿宋" w:cs="仿宋"/>
                <w:color w:val="auto"/>
                <w:sz w:val="21"/>
                <w:szCs w:val="21"/>
                <w:highlight w:val="none"/>
                <w:lang w:val="en-US" w:eastAsia="zh-CN"/>
              </w:rPr>
              <w:t>为</w:t>
            </w:r>
            <w:r>
              <w:rPr>
                <w:rFonts w:hint="eastAsia" w:ascii="仿宋" w:hAnsi="仿宋" w:eastAsia="仿宋" w:cs="仿宋"/>
                <w:color w:val="auto"/>
                <w:sz w:val="21"/>
                <w:szCs w:val="21"/>
                <w:highlight w:val="none"/>
              </w:rPr>
              <w:t>货物，采购标的对应的中小企业划分标准所属行业</w:t>
            </w:r>
            <w:r>
              <w:rPr>
                <w:rFonts w:hint="eastAsia" w:ascii="仿宋" w:hAnsi="仿宋" w:eastAsia="仿宋" w:cs="仿宋"/>
                <w:color w:val="auto"/>
                <w:sz w:val="21"/>
                <w:szCs w:val="21"/>
                <w:highlight w:val="none"/>
                <w:lang w:val="en-US" w:eastAsia="zh-CN"/>
              </w:rPr>
              <w:t>为</w:t>
            </w:r>
            <w:r>
              <w:rPr>
                <w:rFonts w:hint="eastAsia" w:ascii="仿宋" w:hAnsi="仿宋" w:eastAsia="仿宋" w:cs="仿宋"/>
                <w:b/>
                <w:bCs/>
                <w:color w:val="auto"/>
                <w:sz w:val="21"/>
                <w:szCs w:val="21"/>
                <w:highlight w:val="none"/>
                <w:lang w:val="en-US" w:eastAsia="zh-CN"/>
              </w:rPr>
              <w:t>工业，</w:t>
            </w:r>
            <w:r>
              <w:rPr>
                <w:rFonts w:hint="eastAsia" w:ascii="仿宋" w:hAnsi="仿宋" w:eastAsia="仿宋" w:cs="仿宋"/>
                <w:b/>
                <w:bCs/>
                <w:color w:val="auto"/>
                <w:sz w:val="21"/>
                <w:szCs w:val="21"/>
                <w:highlight w:val="none"/>
              </w:rPr>
              <w:t>中小企业划型标准：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6</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政府采购支持监狱企业发展</w:t>
            </w:r>
          </w:p>
        </w:tc>
        <w:tc>
          <w:tcPr>
            <w:tcW w:w="5984" w:type="dxa"/>
            <w:vAlign w:val="center"/>
          </w:tcPr>
          <w:p>
            <w:pPr>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val="en-US" w:eastAsia="zh-CN"/>
              </w:rPr>
              <w:t>视同小微企业，</w:t>
            </w:r>
            <w:r>
              <w:rPr>
                <w:rFonts w:hint="eastAsia" w:ascii="仿宋" w:hAnsi="仿宋" w:eastAsia="仿宋" w:cs="仿宋"/>
                <w:color w:val="auto"/>
                <w:sz w:val="21"/>
                <w:szCs w:val="21"/>
                <w:highlight w:val="none"/>
              </w:rPr>
              <w:t>提供材料详见招标文件第六章“报价文件”</w:t>
            </w:r>
            <w:r>
              <w:rPr>
                <w:rFonts w:hint="eastAsia" w:ascii="仿宋" w:hAnsi="仿宋" w:eastAsia="仿宋" w:cs="仿宋"/>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7</w:t>
            </w:r>
          </w:p>
        </w:tc>
        <w:tc>
          <w:tcPr>
            <w:tcW w:w="286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政府采购促进残疾人就业</w:t>
            </w:r>
          </w:p>
        </w:tc>
        <w:tc>
          <w:tcPr>
            <w:tcW w:w="5984"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视同小微企业，</w:t>
            </w:r>
            <w:r>
              <w:rPr>
                <w:rFonts w:hint="eastAsia" w:ascii="仿宋" w:hAnsi="仿宋" w:eastAsia="仿宋" w:cs="仿宋"/>
                <w:color w:val="auto"/>
                <w:sz w:val="21"/>
                <w:szCs w:val="21"/>
                <w:highlight w:val="none"/>
              </w:rPr>
              <w:t>提供材料详见招标文件第六章“报价文件”</w:t>
            </w:r>
            <w:r>
              <w:rPr>
                <w:rFonts w:hint="eastAsia" w:ascii="仿宋" w:hAnsi="仿宋" w:eastAsia="仿宋" w:cs="仿宋"/>
                <w:color w:val="auto"/>
                <w:sz w:val="21"/>
                <w:szCs w:val="21"/>
                <w:highlight w:val="none"/>
                <w:lang w:eastAsia="zh-CN"/>
              </w:rPr>
              <w:t>。</w:t>
            </w:r>
          </w:p>
        </w:tc>
      </w:tr>
      <w:bookmarkEnd w:id="31"/>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b/>
          <w:color w:val="auto"/>
          <w:spacing w:val="-4"/>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outlineLvl w:val="1"/>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二、采购资金的支付方式、时间、条件</w:t>
      </w:r>
    </w:p>
    <w:tbl>
      <w:tblPr>
        <w:tblStyle w:val="36"/>
        <w:tblW w:w="962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666"/>
        <w:gridCol w:w="69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支付方式</w:t>
            </w:r>
          </w:p>
        </w:tc>
        <w:tc>
          <w:tcPr>
            <w:tcW w:w="696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银行转账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支付时间及条件</w:t>
            </w:r>
          </w:p>
        </w:tc>
        <w:tc>
          <w:tcPr>
            <w:tcW w:w="696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在</w:t>
            </w:r>
            <w:r>
              <w:rPr>
                <w:rFonts w:hint="eastAsia" w:ascii="仿宋" w:hAnsi="仿宋" w:eastAsia="仿宋" w:cs="仿宋"/>
                <w:color w:val="auto"/>
                <w:highlight w:val="none"/>
                <w:lang w:val="en-US" w:eastAsia="zh-CN"/>
              </w:rPr>
              <w:t>中标人</w:t>
            </w:r>
            <w:r>
              <w:rPr>
                <w:rFonts w:hint="eastAsia" w:ascii="仿宋" w:hAnsi="仿宋" w:eastAsia="仿宋" w:cs="仿宋"/>
                <w:color w:val="auto"/>
                <w:highlight w:val="none"/>
              </w:rPr>
              <w:t>无任何违约行为的前提下</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采购人</w:t>
            </w:r>
            <w:r>
              <w:rPr>
                <w:rFonts w:hint="eastAsia" w:ascii="仿宋" w:hAnsi="仿宋" w:eastAsia="仿宋" w:cs="仿宋"/>
                <w:color w:val="auto"/>
                <w:sz w:val="21"/>
                <w:szCs w:val="21"/>
                <w:highlight w:val="none"/>
              </w:rPr>
              <w:t>向</w:t>
            </w:r>
            <w:r>
              <w:rPr>
                <w:rFonts w:hint="eastAsia" w:ascii="仿宋" w:hAnsi="仿宋" w:eastAsia="仿宋" w:cs="仿宋"/>
                <w:color w:val="auto"/>
                <w:sz w:val="21"/>
                <w:szCs w:val="21"/>
                <w:highlight w:val="none"/>
                <w:lang w:val="en-US" w:eastAsia="zh-CN"/>
              </w:rPr>
              <w:t>中标人</w:t>
            </w:r>
            <w:r>
              <w:rPr>
                <w:rFonts w:hint="eastAsia" w:ascii="仿宋" w:hAnsi="仿宋" w:eastAsia="仿宋" w:cs="仿宋"/>
                <w:color w:val="auto"/>
                <w:sz w:val="21"/>
                <w:szCs w:val="21"/>
                <w:highlight w:val="none"/>
              </w:rPr>
              <w:t>分阶段支付价款</w:t>
            </w:r>
            <w:r>
              <w:rPr>
                <w:rFonts w:hint="eastAsia" w:ascii="仿宋" w:hAnsi="仿宋" w:eastAsia="仿宋" w:cs="仿宋"/>
                <w:color w:val="auto"/>
                <w:highlight w:val="none"/>
                <w:lang w:val="en-US" w:eastAsia="zh-CN"/>
              </w:rPr>
              <w:t>。</w:t>
            </w:r>
          </w:p>
          <w:p>
            <w:pPr>
              <w:rPr>
                <w:rFonts w:hint="eastAsia" w:ascii="仿宋" w:hAnsi="仿宋" w:eastAsia="仿宋" w:cs="仿宋"/>
                <w:color w:val="auto"/>
                <w:highlight w:val="none"/>
              </w:rPr>
            </w:pPr>
            <w:r>
              <w:rPr>
                <w:rFonts w:hint="eastAsia" w:ascii="仿宋" w:hAnsi="仿宋" w:eastAsia="仿宋" w:cs="仿宋"/>
                <w:color w:val="auto"/>
                <w:highlight w:val="none"/>
              </w:rPr>
              <w:t>1.自合同签订生效后15个工作日内，向</w:t>
            </w:r>
            <w:r>
              <w:rPr>
                <w:rFonts w:hint="eastAsia" w:ascii="仿宋" w:hAnsi="仿宋" w:eastAsia="仿宋" w:cs="仿宋"/>
                <w:color w:val="auto"/>
                <w:highlight w:val="none"/>
                <w:lang w:eastAsia="zh-CN"/>
              </w:rPr>
              <w:t>中标人</w:t>
            </w:r>
            <w:r>
              <w:rPr>
                <w:rFonts w:hint="eastAsia" w:ascii="仿宋" w:hAnsi="仿宋" w:eastAsia="仿宋" w:cs="仿宋"/>
                <w:color w:val="auto"/>
                <w:highlight w:val="none"/>
              </w:rPr>
              <w:t>支付合同总金额40%；</w:t>
            </w:r>
          </w:p>
          <w:p>
            <w:pPr>
              <w:rPr>
                <w:rFonts w:hint="default" w:ascii="仿宋" w:hAnsi="仿宋" w:eastAsia="仿宋" w:cs="仿宋"/>
                <w:color w:val="auto"/>
                <w:highlight w:val="none"/>
                <w:lang w:val="en-US" w:eastAsia="zh-CN"/>
              </w:rPr>
            </w:pPr>
            <w:r>
              <w:rPr>
                <w:rFonts w:hint="eastAsia" w:ascii="仿宋" w:hAnsi="仿宋" w:eastAsia="仿宋" w:cs="仿宋"/>
                <w:color w:val="auto"/>
                <w:highlight w:val="none"/>
              </w:rPr>
              <w:t>2.自货物验收合格后15个工作日内，向</w:t>
            </w:r>
            <w:r>
              <w:rPr>
                <w:rFonts w:hint="eastAsia" w:ascii="仿宋" w:hAnsi="仿宋" w:eastAsia="仿宋" w:cs="仿宋"/>
                <w:color w:val="auto"/>
                <w:highlight w:val="none"/>
                <w:lang w:eastAsia="zh-CN"/>
              </w:rPr>
              <w:t>中标人</w:t>
            </w:r>
            <w:r>
              <w:rPr>
                <w:rFonts w:hint="eastAsia" w:ascii="仿宋" w:hAnsi="仿宋" w:eastAsia="仿宋" w:cs="仿宋"/>
                <w:color w:val="auto"/>
                <w:highlight w:val="none"/>
              </w:rPr>
              <w:t>支付合同总金额60%。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履约保证金</w:t>
            </w:r>
          </w:p>
        </w:tc>
        <w:tc>
          <w:tcPr>
            <w:tcW w:w="6962" w:type="dxa"/>
            <w:tcBorders>
              <w:top w:val="single" w:color="auto" w:sz="4" w:space="0"/>
              <w:left w:val="single" w:color="auto" w:sz="4" w:space="0"/>
              <w:bottom w:val="single" w:color="auto" w:sz="4" w:space="0"/>
              <w:right w:val="single" w:color="auto" w:sz="4" w:space="0"/>
            </w:tcBorders>
            <w:vAlign w:val="center"/>
          </w:tcPr>
          <w:p>
            <w:pPr>
              <w:rPr>
                <w:rFonts w:hint="default" w:ascii="仿宋" w:hAnsi="仿宋" w:eastAsia="仿宋" w:cs="仿宋"/>
                <w:color w:val="auto"/>
                <w:sz w:val="21"/>
                <w:szCs w:val="21"/>
                <w:highlight w:val="none"/>
                <w:lang w:val="en-US"/>
              </w:rPr>
            </w:pPr>
            <w:r>
              <w:rPr>
                <w:rFonts w:hint="eastAsia" w:ascii="仿宋" w:hAnsi="仿宋" w:eastAsia="仿宋" w:cs="仿宋"/>
                <w:color w:val="auto"/>
                <w:sz w:val="21"/>
                <w:szCs w:val="21"/>
                <w:highlight w:val="none"/>
                <w:lang w:val="en-US" w:eastAsia="zh-CN"/>
              </w:rPr>
              <w:t>合同签订后5个工作日内，中标人向采购人缴纳合同总金额1%作为履约保证金，履约保证金自全部货物验收合格后，由采购人确认中标人合同主要义务履行完毕后无息退还。</w:t>
            </w:r>
          </w:p>
        </w:tc>
      </w:tr>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color w:val="auto"/>
          <w:spacing w:val="-4"/>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outlineLvl w:val="1"/>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三、服务要求（技术要求里另有注明的以技术要求为准）</w:t>
      </w:r>
    </w:p>
    <w:tbl>
      <w:tblPr>
        <w:tblStyle w:val="36"/>
        <w:tblW w:w="962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666"/>
        <w:gridCol w:w="69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交付时间</w:t>
            </w:r>
          </w:p>
        </w:tc>
        <w:tc>
          <w:tcPr>
            <w:tcW w:w="696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val="en-US" w:eastAsia="zh-CN"/>
              </w:rPr>
              <w:t>自</w:t>
            </w:r>
            <w:r>
              <w:rPr>
                <w:rFonts w:hint="eastAsia" w:ascii="仿宋" w:hAnsi="仿宋" w:eastAsia="仿宋" w:cs="仿宋"/>
                <w:color w:val="auto"/>
                <w:sz w:val="21"/>
                <w:szCs w:val="21"/>
                <w:highlight w:val="none"/>
                <w:lang w:eastAsia="zh-CN"/>
              </w:rPr>
              <w:t>合同签订后</w:t>
            </w:r>
            <w:r>
              <w:rPr>
                <w:rFonts w:hint="eastAsia" w:ascii="仿宋" w:hAnsi="仿宋" w:eastAsia="仿宋" w:cs="仿宋"/>
                <w:color w:val="auto"/>
                <w:sz w:val="21"/>
                <w:szCs w:val="21"/>
                <w:highlight w:val="none"/>
                <w:lang w:val="en-US" w:eastAsia="zh-CN"/>
              </w:rPr>
              <w:t>30</w:t>
            </w:r>
            <w:r>
              <w:rPr>
                <w:rFonts w:hint="eastAsia" w:ascii="仿宋" w:hAnsi="仿宋" w:eastAsia="仿宋" w:cs="仿宋"/>
                <w:color w:val="auto"/>
                <w:sz w:val="21"/>
                <w:szCs w:val="21"/>
                <w:highlight w:val="none"/>
                <w:lang w:eastAsia="zh-CN"/>
              </w:rPr>
              <w:t>日内交付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交付地点</w:t>
            </w:r>
          </w:p>
        </w:tc>
        <w:tc>
          <w:tcPr>
            <w:tcW w:w="6962"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质保期</w:t>
            </w:r>
          </w:p>
        </w:tc>
        <w:tc>
          <w:tcPr>
            <w:tcW w:w="6962" w:type="dxa"/>
            <w:tcBorders>
              <w:top w:val="single" w:color="auto" w:sz="4" w:space="0"/>
              <w:left w:val="single" w:color="auto" w:sz="4" w:space="0"/>
              <w:bottom w:val="single" w:color="auto" w:sz="4" w:space="0"/>
              <w:right w:val="single" w:color="auto" w:sz="4" w:space="0"/>
            </w:tcBorders>
            <w:vAlign w:val="center"/>
          </w:tcPr>
          <w:p>
            <w:pPr>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全部货物验收合格之日起开始计算</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5年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服务标准、期限、效率</w:t>
            </w:r>
          </w:p>
        </w:tc>
        <w:tc>
          <w:tcPr>
            <w:tcW w:w="696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auto"/>
                <w:szCs w:val="21"/>
                <w:highlight w:val="none"/>
              </w:rPr>
            </w:pPr>
            <w:r>
              <w:rPr>
                <w:rFonts w:hint="eastAsia" w:ascii="仿宋" w:hAnsi="仿宋" w:eastAsia="仿宋" w:cs="仿宋"/>
                <w:color w:val="auto"/>
                <w:szCs w:val="21"/>
                <w:highlight w:val="none"/>
              </w:rPr>
              <w:t>1.质量保证：所供货物是</w:t>
            </w:r>
            <w:r>
              <w:rPr>
                <w:rFonts w:hint="eastAsia" w:ascii="仿宋" w:hAnsi="仿宋" w:eastAsia="仿宋" w:cs="仿宋"/>
                <w:color w:val="auto"/>
                <w:spacing w:val="-6"/>
                <w:szCs w:val="21"/>
                <w:highlight w:val="none"/>
              </w:rPr>
              <w:t>最新生产的符合国家相关技术标准和质量要求的出厂原装合格产品；</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2.售后服务</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2.1 基本售后服务符合GB/T 37652-2019《家具售后服务要求》；</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2.2 质保期内：如在正常使用过程中出现的质量问题，中标人负责免费调换或维修，否则采购人有权按照“违约责任”条款的约定要求中标人承担相应违约责任，因维修而影响工作的情况每发生一次，质保期相应延长90天；</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2.3 质保期外：时间要求和质保期相同，维修所需配件按成本价结算，人工费免收；</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2.4 维修点提供足够备件以适应采购人维修需求；</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2.5 中标人在现场具备条件后须重新复核有关参数，确保安装后的产品与现场预留空间匹配。</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3.响应时间</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3.1 维修：在接到采购人维修相关要求后立即响应；</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3.2 解决问题：24小时内到达现场，4小时内修复普通故障，8小时内修复重大故障，24小时售后服务；</w:t>
            </w:r>
          </w:p>
          <w:p>
            <w:pPr>
              <w:rPr>
                <w:rFonts w:hint="eastAsia" w:ascii="仿宋" w:hAnsi="仿宋" w:eastAsia="仿宋" w:cs="仿宋"/>
                <w:color w:val="auto"/>
                <w:sz w:val="21"/>
                <w:szCs w:val="21"/>
                <w:highlight w:val="none"/>
              </w:rPr>
            </w:pPr>
            <w:r>
              <w:rPr>
                <w:rFonts w:hint="eastAsia" w:ascii="仿宋" w:hAnsi="仿宋" w:eastAsia="仿宋" w:cs="仿宋"/>
                <w:color w:val="auto"/>
                <w:szCs w:val="21"/>
                <w:highlight w:val="none"/>
              </w:rPr>
              <w:t>3.3 替代产品提供：如遇现场无法修复的，将用同类产品代替使用，直至故障完全修复。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其他技术、服务要求</w:t>
            </w:r>
          </w:p>
        </w:tc>
        <w:tc>
          <w:tcPr>
            <w:tcW w:w="696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auto"/>
                <w:szCs w:val="21"/>
                <w:highlight w:val="none"/>
              </w:rPr>
            </w:pPr>
            <w:r>
              <w:rPr>
                <w:rFonts w:hint="eastAsia" w:ascii="仿宋" w:hAnsi="仿宋" w:eastAsia="仿宋" w:cs="仿宋"/>
                <w:color w:val="auto"/>
                <w:szCs w:val="21"/>
                <w:highlight w:val="none"/>
              </w:rPr>
              <w:t>1.项目实施规划方案全面、科学、可行，包括整体实施方案、分解节点、跟踪实施；</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2.生产实施方案全面、有针对性，包括原材料采购、加工制作等各个环节的实施方案及在规定时间内有计划完成项目需求产品的生产装配方案；</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3.品质管理管控方案全面、有针对性，包括产品品质管理管控过程、专职品控人员和相应的品控标准、确保产品生产过程中质量控制完善的措施；</w:t>
            </w:r>
          </w:p>
          <w:p>
            <w:pPr>
              <w:rPr>
                <w:rFonts w:ascii="仿宋" w:hAnsi="仿宋" w:eastAsia="仿宋" w:cs="仿宋"/>
                <w:color w:val="auto"/>
                <w:szCs w:val="21"/>
                <w:highlight w:val="none"/>
              </w:rPr>
            </w:pPr>
            <w:r>
              <w:rPr>
                <w:rFonts w:hint="eastAsia" w:ascii="仿宋" w:hAnsi="仿宋" w:eastAsia="仿宋" w:cs="仿宋"/>
                <w:color w:val="auto"/>
                <w:szCs w:val="21"/>
                <w:highlight w:val="none"/>
              </w:rPr>
              <w:t>4.安装服务实施方案全面、有针对性，包括送货安装时间及项目负责人、专业技术安装人员、装卸人员；</w:t>
            </w:r>
          </w:p>
          <w:p>
            <w:pPr>
              <w:rPr>
                <w:rFonts w:ascii="仿宋" w:hAnsi="仿宋" w:eastAsia="仿宋" w:cs="仿宋"/>
                <w:color w:val="auto"/>
                <w:szCs w:val="21"/>
                <w:highlight w:val="none"/>
              </w:rPr>
            </w:pPr>
            <w:r>
              <w:rPr>
                <w:rFonts w:hint="eastAsia" w:ascii="仿宋" w:hAnsi="仿宋" w:eastAsia="仿宋" w:cs="仿宋"/>
                <w:color w:val="auto"/>
                <w:szCs w:val="21"/>
                <w:highlight w:val="none"/>
              </w:rPr>
              <w:t>5.中标人应在合同规定时间内完成全部货物现场安装并使之符合验收合格的标准，在安装过程中采购人有权采取适当的方式对中标人货物质量标准、规格型号、具体配置、数量以及安装质量和进度等进行检查，采购人检查时发现中标人所供货物不符合合同约定或者中标人安装时造成货物损坏的，采购人有权要求中标人无条件换货或退货，中标人不同意换货或退货的采购人有权单方解除合同，中标人应按合同约定承担违约责任；</w:t>
            </w:r>
          </w:p>
          <w:p>
            <w:pPr>
              <w:rPr>
                <w:rFonts w:ascii="仿宋" w:hAnsi="仿宋" w:eastAsia="仿宋" w:cs="仿宋"/>
                <w:color w:val="auto"/>
                <w:szCs w:val="21"/>
                <w:highlight w:val="none"/>
              </w:rPr>
            </w:pPr>
            <w:r>
              <w:rPr>
                <w:rFonts w:hint="eastAsia" w:ascii="仿宋" w:hAnsi="仿宋" w:eastAsia="仿宋" w:cs="仿宋"/>
                <w:color w:val="auto"/>
                <w:szCs w:val="21"/>
                <w:highlight w:val="none"/>
              </w:rPr>
              <w:t>6.若中标人并非原厂商、而合同约定安装服务提供方为原厂商的，则中标人有义务联系、安排、督促、要求原厂商按照本条约定履行安装服务义务，原厂商未按照约定履行安装服务义务的视为中标人未履行义务，采购人有权按照“违约责任”条款的约定要求中标人承担相应违约责任；</w:t>
            </w:r>
          </w:p>
          <w:p>
            <w:pPr>
              <w:rPr>
                <w:rFonts w:ascii="仿宋" w:hAnsi="仿宋" w:eastAsia="仿宋" w:cs="仿宋"/>
                <w:color w:val="auto"/>
                <w:szCs w:val="21"/>
                <w:highlight w:val="none"/>
              </w:rPr>
            </w:pPr>
            <w:r>
              <w:rPr>
                <w:rFonts w:hint="eastAsia" w:ascii="仿宋" w:hAnsi="仿宋" w:eastAsia="仿宋" w:cs="仿宋"/>
                <w:color w:val="auto"/>
                <w:szCs w:val="21"/>
                <w:highlight w:val="none"/>
              </w:rPr>
              <w:t>7.采购人为安装提供工作场地、电源等条件，货物安装所需的耗材应由安装服务提供方提供，安装服务提供方在安装过程中应当遵守采购人工作场所的工作纪律及相关管理规定；</w:t>
            </w:r>
          </w:p>
          <w:p>
            <w:pPr>
              <w:rPr>
                <w:rFonts w:hint="eastAsia" w:ascii="仿宋" w:hAnsi="仿宋" w:eastAsia="仿宋" w:cs="仿宋"/>
                <w:color w:val="auto"/>
                <w:sz w:val="21"/>
                <w:szCs w:val="21"/>
                <w:highlight w:val="none"/>
              </w:rPr>
            </w:pPr>
            <w:r>
              <w:rPr>
                <w:rFonts w:hint="eastAsia" w:ascii="仿宋" w:hAnsi="仿宋" w:eastAsia="仿宋" w:cs="仿宋"/>
                <w:color w:val="auto"/>
                <w:szCs w:val="21"/>
                <w:highlight w:val="none"/>
              </w:rPr>
              <w:t>8.在货物的安装过程中，安装服务提供方或其聘请的雇员遭受人身损害或安装服务提供方或其聘请的雇员令采购人或第三方遭受人身损害或财产损失，由此引起的一切法律责任由中标人全部承担，若采购人因此为中标人垫付任何款项，采购人有权要求中标人据实立即支付，且有权从应付中标人的价款中将上述款项自行扣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验收标准</w:t>
            </w:r>
          </w:p>
        </w:tc>
        <w:tc>
          <w:tcPr>
            <w:tcW w:w="696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auto"/>
                <w:szCs w:val="21"/>
                <w:highlight w:val="none"/>
              </w:rPr>
            </w:pPr>
            <w:r>
              <w:rPr>
                <w:rFonts w:hint="eastAsia" w:ascii="仿宋" w:hAnsi="仿宋" w:eastAsia="仿宋" w:cs="仿宋"/>
                <w:color w:val="auto"/>
                <w:szCs w:val="21"/>
                <w:highlight w:val="none"/>
              </w:rPr>
              <w:t>1.验收由采购人负责实施；</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2.验收依据</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2.1 合同、招标文件、投标文件；</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2.2 中标人提供的技术规格、经采购人认可的合同货物的有效检验文件；</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2.3 中标人投标文件中提供的经采购人认可的合同货物的验收标准（符合中国有关的国家、地方、行业标准）和检测办法及相应检测手段。</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3.中标人应派员在所供货物到采购人指定地点时进行到货验收，有需要时能联系产品制造商到场共同验收，若发现任何损坏及质量问题，中标人负责妥善处理直至采购人满意，由此产生的费用由中标人承担；</w:t>
            </w:r>
          </w:p>
          <w:p>
            <w:pPr>
              <w:rPr>
                <w:rFonts w:ascii="仿宋" w:hAnsi="仿宋" w:eastAsia="仿宋" w:cs="仿宋"/>
                <w:color w:val="auto"/>
                <w:szCs w:val="21"/>
                <w:highlight w:val="none"/>
              </w:rPr>
            </w:pPr>
            <w:r>
              <w:rPr>
                <w:rFonts w:hint="eastAsia" w:ascii="仿宋" w:hAnsi="仿宋" w:eastAsia="仿宋" w:cs="仿宋"/>
                <w:color w:val="auto"/>
                <w:szCs w:val="21"/>
                <w:highlight w:val="none"/>
              </w:rPr>
              <w:t>4.验收时中标人向采购人提供所有原材料的出货证明及检测合格证明、验收标准，同时家具产品必须和招标文件要求及采购人认可的式样或样品相一致；</w:t>
            </w:r>
          </w:p>
          <w:p>
            <w:pPr>
              <w:rPr>
                <w:rFonts w:ascii="仿宋" w:hAnsi="仿宋" w:eastAsia="仿宋" w:cs="仿宋"/>
                <w:color w:val="auto"/>
                <w:szCs w:val="21"/>
                <w:highlight w:val="none"/>
              </w:rPr>
            </w:pPr>
            <w:r>
              <w:rPr>
                <w:rFonts w:hint="eastAsia" w:ascii="仿宋" w:hAnsi="仿宋" w:eastAsia="仿宋" w:cs="仿宋"/>
                <w:color w:val="auto"/>
                <w:szCs w:val="21"/>
                <w:highlight w:val="none"/>
              </w:rPr>
              <w:t>5.采购人有权抽取中标人提供的所有产品的原材料、半成品、成品（在组织生产过程中和交货后）请专家验收和交第三方权威检测机构（采购人指定）进行检验（包含但不限于环保、材质、外观、工艺、理化性能、力学性能、有害物质限量等），如中标人的产品达不到招标文件规定的任意一项检测标准将被视为不合格产品。第三方权威检测机构检测产生的费用由中标人承担，中标人应提供便利来配合采购人的检查；</w:t>
            </w:r>
          </w:p>
          <w:p>
            <w:pPr>
              <w:rPr>
                <w:rFonts w:ascii="仿宋" w:hAnsi="仿宋" w:eastAsia="仿宋" w:cs="仿宋"/>
                <w:color w:val="auto"/>
                <w:szCs w:val="21"/>
                <w:highlight w:val="none"/>
              </w:rPr>
            </w:pPr>
            <w:r>
              <w:rPr>
                <w:rFonts w:hint="eastAsia" w:ascii="仿宋" w:hAnsi="仿宋" w:eastAsia="仿宋" w:cs="仿宋"/>
                <w:color w:val="auto"/>
                <w:szCs w:val="21"/>
                <w:highlight w:val="none"/>
              </w:rPr>
              <w:t>6.采购人有权对不合格产品采用以下方式处置：</w:t>
            </w:r>
          </w:p>
          <w:p>
            <w:pPr>
              <w:rPr>
                <w:rFonts w:ascii="仿宋" w:hAnsi="仿宋" w:eastAsia="仿宋" w:cs="仿宋"/>
                <w:color w:val="auto"/>
                <w:szCs w:val="21"/>
                <w:highlight w:val="none"/>
              </w:rPr>
            </w:pPr>
            <w:r>
              <w:rPr>
                <w:rFonts w:hint="eastAsia" w:ascii="仿宋" w:hAnsi="仿宋" w:eastAsia="仿宋" w:cs="仿宋"/>
                <w:color w:val="auto"/>
                <w:szCs w:val="21"/>
                <w:highlight w:val="none"/>
              </w:rPr>
              <w:t>（1）更换：由中标人承担所发生的全部费用；</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（2）贬值处理：双方合议定价并由中标人赔付采购人对应货款的70%；</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（3）退货处理：中标人退还采购人支付的合同价款，同时承担该货物的直接费用（运输、保险、检验、货款利息及银行手续费等）。</w:t>
            </w:r>
          </w:p>
          <w:p>
            <w:pPr>
              <w:rPr>
                <w:rFonts w:ascii="仿宋" w:hAnsi="仿宋" w:eastAsia="仿宋" w:cs="仿宋"/>
                <w:color w:val="auto"/>
                <w:szCs w:val="21"/>
                <w:highlight w:val="none"/>
              </w:rPr>
            </w:pPr>
            <w:r>
              <w:rPr>
                <w:rFonts w:hint="eastAsia" w:ascii="仿宋" w:hAnsi="仿宋" w:eastAsia="仿宋" w:cs="仿宋"/>
                <w:color w:val="auto"/>
                <w:szCs w:val="21"/>
                <w:highlight w:val="none"/>
              </w:rPr>
              <w:t>7.验收合格的条件</w:t>
            </w:r>
          </w:p>
          <w:p>
            <w:pPr>
              <w:rPr>
                <w:rFonts w:ascii="仿宋" w:hAnsi="仿宋" w:eastAsia="仿宋" w:cs="仿宋"/>
                <w:color w:val="auto"/>
                <w:szCs w:val="21"/>
                <w:highlight w:val="none"/>
              </w:rPr>
            </w:pPr>
            <w:r>
              <w:rPr>
                <w:rFonts w:hint="eastAsia" w:ascii="仿宋" w:hAnsi="仿宋" w:eastAsia="仿宋" w:cs="仿宋"/>
                <w:color w:val="auto"/>
                <w:szCs w:val="21"/>
                <w:highlight w:val="none"/>
              </w:rPr>
              <w:t>7.1 所供货物符合产品标准和招标文件及合同的要求；</w:t>
            </w:r>
          </w:p>
          <w:p>
            <w:pPr>
              <w:rPr>
                <w:rFonts w:ascii="仿宋" w:hAnsi="仿宋" w:eastAsia="仿宋" w:cs="仿宋"/>
                <w:color w:val="auto"/>
                <w:szCs w:val="21"/>
                <w:highlight w:val="none"/>
              </w:rPr>
            </w:pPr>
            <w:r>
              <w:rPr>
                <w:rFonts w:hint="eastAsia" w:ascii="仿宋" w:hAnsi="仿宋" w:eastAsia="仿宋" w:cs="仿宋"/>
                <w:color w:val="auto"/>
                <w:szCs w:val="21"/>
                <w:highlight w:val="none"/>
              </w:rPr>
              <w:t>7.2 在进行测试和验收过程中发现的问题已被解决并得到采购人的认可；</w:t>
            </w:r>
          </w:p>
          <w:p>
            <w:pPr>
              <w:rPr>
                <w:rFonts w:ascii="仿宋" w:hAnsi="仿宋" w:eastAsia="仿宋" w:cs="仿宋"/>
                <w:color w:val="auto"/>
                <w:szCs w:val="21"/>
                <w:highlight w:val="none"/>
              </w:rPr>
            </w:pPr>
            <w:r>
              <w:rPr>
                <w:rFonts w:hint="eastAsia" w:ascii="仿宋" w:hAnsi="仿宋" w:eastAsia="仿宋" w:cs="仿宋"/>
                <w:color w:val="auto"/>
                <w:szCs w:val="21"/>
                <w:highlight w:val="none"/>
              </w:rPr>
              <w:t>7.3 合同中规定的所有货物和材料均已交付；</w:t>
            </w:r>
          </w:p>
          <w:p>
            <w:pPr>
              <w:rPr>
                <w:rFonts w:ascii="仿宋" w:hAnsi="仿宋" w:eastAsia="仿宋" w:cs="仿宋"/>
                <w:color w:val="auto"/>
                <w:szCs w:val="21"/>
                <w:highlight w:val="none"/>
              </w:rPr>
            </w:pPr>
            <w:r>
              <w:rPr>
                <w:rFonts w:hint="eastAsia" w:ascii="仿宋" w:hAnsi="仿宋" w:eastAsia="仿宋" w:cs="仿宋"/>
                <w:color w:val="auto"/>
                <w:szCs w:val="21"/>
                <w:highlight w:val="none"/>
              </w:rPr>
              <w:t>7.4 所供货物已通过使用单位组织的验收；</w:t>
            </w:r>
          </w:p>
          <w:p>
            <w:pPr>
              <w:rPr>
                <w:rFonts w:hint="eastAsia" w:ascii="仿宋" w:hAnsi="仿宋" w:eastAsia="仿宋" w:cs="仿宋"/>
                <w:color w:val="auto"/>
                <w:sz w:val="21"/>
                <w:szCs w:val="21"/>
                <w:highlight w:val="none"/>
              </w:rPr>
            </w:pPr>
            <w:r>
              <w:rPr>
                <w:rFonts w:hint="eastAsia" w:ascii="仿宋" w:hAnsi="仿宋" w:eastAsia="仿宋" w:cs="仿宋"/>
                <w:color w:val="auto"/>
                <w:szCs w:val="21"/>
                <w:highlight w:val="none"/>
              </w:rPr>
              <w:t>7.5 所有相关的技术文件及资料均已提交并得到接受。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2666"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88" w:lineRule="auto"/>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质量全流程控制</w:t>
            </w:r>
          </w:p>
        </w:tc>
        <w:tc>
          <w:tcPr>
            <w:tcW w:w="6962"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color w:val="auto"/>
                <w:szCs w:val="21"/>
                <w:highlight w:val="none"/>
              </w:rPr>
            </w:pPr>
            <w:r>
              <w:rPr>
                <w:rFonts w:hint="eastAsia" w:ascii="仿宋" w:hAnsi="仿宋" w:eastAsia="仿宋" w:cs="仿宋"/>
                <w:color w:val="auto"/>
                <w:szCs w:val="21"/>
                <w:highlight w:val="none"/>
              </w:rPr>
              <w:t>1.前期</w:t>
            </w:r>
          </w:p>
          <w:p>
            <w:pPr>
              <w:rPr>
                <w:rFonts w:ascii="仿宋" w:hAnsi="仿宋" w:eastAsia="仿宋" w:cs="仿宋"/>
                <w:color w:val="auto"/>
                <w:szCs w:val="21"/>
                <w:highlight w:val="none"/>
              </w:rPr>
            </w:pPr>
            <w:r>
              <w:rPr>
                <w:rFonts w:hint="eastAsia" w:ascii="仿宋" w:hAnsi="仿宋" w:eastAsia="仿宋" w:cs="仿宋"/>
                <w:color w:val="auto"/>
                <w:szCs w:val="21"/>
                <w:highlight w:val="none"/>
              </w:rPr>
              <w:t>1.1 样品封存</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按招标文件要求，封存中标人投标样品。</w:t>
            </w:r>
          </w:p>
          <w:p>
            <w:pPr>
              <w:rPr>
                <w:rFonts w:ascii="仿宋" w:hAnsi="仿宋" w:eastAsia="仿宋" w:cs="仿宋"/>
                <w:color w:val="auto"/>
                <w:szCs w:val="21"/>
                <w:highlight w:val="none"/>
              </w:rPr>
            </w:pPr>
            <w:r>
              <w:rPr>
                <w:rFonts w:hint="eastAsia" w:ascii="仿宋" w:hAnsi="仿宋" w:eastAsia="仿宋" w:cs="仿宋"/>
                <w:color w:val="auto"/>
                <w:szCs w:val="21"/>
                <w:highlight w:val="none"/>
              </w:rPr>
              <w:t>1.2 深化方案</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按采购人要求，中标人深化家具配置方案，明确家具制作的技术图纸和材料后方能签订正式合同。</w:t>
            </w:r>
          </w:p>
          <w:p>
            <w:pPr>
              <w:rPr>
                <w:rFonts w:ascii="仿宋" w:hAnsi="仿宋" w:eastAsia="仿宋" w:cs="仿宋"/>
                <w:color w:val="auto"/>
                <w:szCs w:val="21"/>
                <w:highlight w:val="none"/>
              </w:rPr>
            </w:pPr>
            <w:r>
              <w:rPr>
                <w:rFonts w:hint="eastAsia" w:ascii="仿宋" w:hAnsi="仿宋" w:eastAsia="仿宋" w:cs="仿宋"/>
                <w:color w:val="auto"/>
                <w:szCs w:val="21"/>
                <w:highlight w:val="none"/>
              </w:rPr>
              <w:t>2.中期</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2.1 选材时抽检</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中标人得到采购人开工许可后立即开展原材料采购工作，采购时提供材料采购清单（含品牌等内容），采购人配合家具检测单位（中标人支付费用）赴实地抽查原材料，各材料封样送检</w:t>
            </w:r>
            <w:r>
              <w:rPr>
                <w:rFonts w:hint="eastAsia" w:ascii="仿宋" w:hAnsi="仿宋" w:eastAsia="仿宋" w:cs="仿宋"/>
                <w:color w:val="auto"/>
                <w:szCs w:val="21"/>
                <w:highlight w:val="none"/>
                <w:lang w:eastAsia="zh-CN"/>
              </w:rPr>
              <w:t>；</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2.2 制作时抽检</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各原材料检测合格后采购人允许其投入生产，生产期间采购人配合家具检测单位赴生产基地随机抽检（不少于2次）</w:t>
            </w:r>
            <w:r>
              <w:rPr>
                <w:rFonts w:hint="eastAsia" w:ascii="仿宋" w:hAnsi="仿宋" w:eastAsia="仿宋" w:cs="仿宋"/>
                <w:color w:val="auto"/>
                <w:szCs w:val="21"/>
                <w:highlight w:val="none"/>
                <w:lang w:eastAsia="zh-CN"/>
              </w:rPr>
              <w:t>；</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2.3 全时段视频监控</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中标人提供生产、仓储各视角视频监控，采购人可以随时调取相关视频内容，防止材料和产品遗失、掉包等情况发生</w:t>
            </w:r>
            <w:r>
              <w:rPr>
                <w:rFonts w:hint="eastAsia" w:ascii="仿宋" w:hAnsi="仿宋" w:eastAsia="仿宋" w:cs="仿宋"/>
                <w:color w:val="auto"/>
                <w:szCs w:val="21"/>
                <w:highlight w:val="none"/>
                <w:lang w:eastAsia="zh-CN"/>
              </w:rPr>
              <w:t>；</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2.4 仓储、装车时抽检</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生产完成后，采购人配合家具检测单位赴仓储地清点数量，并随机抽检相关产品</w:t>
            </w:r>
            <w:r>
              <w:rPr>
                <w:rFonts w:hint="eastAsia" w:ascii="仿宋" w:hAnsi="仿宋" w:eastAsia="仿宋" w:cs="仿宋"/>
                <w:color w:val="auto"/>
                <w:szCs w:val="21"/>
                <w:highlight w:val="none"/>
                <w:lang w:eastAsia="zh-CN"/>
              </w:rPr>
              <w:t>。</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3.后期</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3.1 生产安装</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采购人派人现场监督家具安装过程，包括清点数量、安装点位情况</w:t>
            </w:r>
            <w:r>
              <w:rPr>
                <w:rFonts w:hint="eastAsia" w:ascii="仿宋" w:hAnsi="仿宋" w:eastAsia="仿宋" w:cs="仿宋"/>
                <w:color w:val="auto"/>
                <w:szCs w:val="21"/>
                <w:highlight w:val="none"/>
                <w:lang w:eastAsia="zh-CN"/>
              </w:rPr>
              <w:t>；</w:t>
            </w:r>
          </w:p>
          <w:p>
            <w:pP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color w:val="auto"/>
                <w:szCs w:val="21"/>
                <w:highlight w:val="none"/>
              </w:rPr>
              <w:t>3.2 验收</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验收时开启原封存样品一一对照，不符合要求的进行整改，整改完成后方能验收合格。</w:t>
            </w:r>
          </w:p>
        </w:tc>
      </w:tr>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b/>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outlineLvl w:val="1"/>
        <w:rPr>
          <w:rFonts w:hint="default" w:ascii="仿宋" w:hAnsi="仿宋" w:eastAsia="仿宋" w:cs="仿宋"/>
          <w:b/>
          <w:bCs/>
          <w:color w:val="auto"/>
          <w:szCs w:val="21"/>
          <w:highlight w:val="none"/>
          <w:lang w:val="en-US" w:eastAsia="zh-CN"/>
        </w:rPr>
      </w:pPr>
      <w:r>
        <w:rPr>
          <w:rFonts w:hint="eastAsia" w:ascii="仿宋" w:hAnsi="仿宋" w:eastAsia="仿宋" w:cs="仿宋"/>
          <w:b/>
          <w:color w:val="auto"/>
          <w:szCs w:val="21"/>
          <w:highlight w:val="none"/>
        </w:rPr>
        <w:t>四、技术要求</w:t>
      </w:r>
      <w:bookmarkStart w:id="32" w:name="_Hlk92271413"/>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b w:val="0"/>
          <w:bCs w:val="0"/>
          <w:color w:val="auto"/>
          <w:szCs w:val="21"/>
          <w:highlight w:val="none"/>
        </w:rPr>
      </w:pPr>
      <w:r>
        <w:rPr>
          <w:rFonts w:hint="eastAsia" w:ascii="仿宋" w:hAnsi="仿宋" w:eastAsia="仿宋" w:cs="仿宋"/>
          <w:b/>
          <w:bCs/>
          <w:color w:val="auto"/>
          <w:szCs w:val="21"/>
          <w:highlight w:val="none"/>
        </w:rPr>
        <w:t>1.需执行的国家相关标准、行业标准、地方标准或者其他标准、规范：</w:t>
      </w:r>
      <w:r>
        <w:rPr>
          <w:rFonts w:hint="eastAsia" w:ascii="仿宋" w:hAnsi="仿宋" w:eastAsia="仿宋" w:cs="仿宋"/>
          <w:color w:val="auto"/>
          <w:szCs w:val="21"/>
          <w:highlight w:val="none"/>
        </w:rPr>
        <w:t>有强制性标准的执行国家强制性标准，无的统一执行最新国家、浙江省及行业协会相关标准、规范</w:t>
      </w:r>
      <w:r>
        <w:rPr>
          <w:rFonts w:hint="eastAsia" w:ascii="仿宋" w:hAnsi="仿宋" w:eastAsia="仿宋" w:cs="仿宋"/>
          <w:b w:val="0"/>
          <w:bCs w:val="0"/>
          <w:color w:val="auto"/>
          <w:szCs w:val="21"/>
          <w:highlight w:val="none"/>
        </w:rPr>
        <w:t>；</w:t>
      </w:r>
    </w:p>
    <w:bookmarkEnd w:id="32"/>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b w:val="0"/>
          <w:bCs w:val="0"/>
          <w:color w:val="auto"/>
          <w:szCs w:val="21"/>
          <w:highlight w:val="none"/>
          <w:lang w:eastAsia="zh-CN"/>
        </w:rPr>
      </w:pPr>
      <w:r>
        <w:rPr>
          <w:rFonts w:hint="eastAsia" w:ascii="仿宋" w:hAnsi="仿宋" w:eastAsia="仿宋" w:cs="仿宋"/>
          <w:b/>
          <w:bCs/>
          <w:color w:val="auto"/>
          <w:szCs w:val="21"/>
          <w:highlight w:val="none"/>
        </w:rPr>
        <w:t>2.需实现的功能或者目标：</w:t>
      </w:r>
      <w:r>
        <w:rPr>
          <w:rFonts w:hint="eastAsia" w:ascii="仿宋" w:hAnsi="仿宋" w:eastAsia="仿宋" w:cs="仿宋"/>
          <w:b w:val="0"/>
          <w:bCs w:val="0"/>
          <w:color w:val="auto"/>
          <w:szCs w:val="21"/>
          <w:highlight w:val="none"/>
        </w:rPr>
        <w:t>智能计算育种数字反应堆平台科研配套</w:t>
      </w:r>
      <w:r>
        <w:rPr>
          <w:rFonts w:hint="eastAsia" w:ascii="仿宋" w:hAnsi="仿宋" w:eastAsia="仿宋" w:cs="仿宋"/>
          <w:b w:val="0"/>
          <w:bCs w:val="0"/>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b/>
          <w:bCs/>
          <w:color w:val="auto"/>
          <w:spacing w:val="-4"/>
          <w:szCs w:val="21"/>
          <w:highlight w:val="none"/>
        </w:rPr>
      </w:pPr>
      <w:r>
        <w:rPr>
          <w:rFonts w:hint="eastAsia" w:ascii="仿宋" w:hAnsi="仿宋" w:eastAsia="仿宋" w:cs="仿宋"/>
          <w:b/>
          <w:bCs/>
          <w:color w:val="auto"/>
          <w:spacing w:val="-4"/>
          <w:szCs w:val="21"/>
          <w:highlight w:val="none"/>
        </w:rPr>
        <w:t>3.需满足的质量、安全、技术规格、物理特性等要求：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3.1 清单</w:t>
      </w:r>
    </w:p>
    <w:tbl>
      <w:tblPr>
        <w:tblStyle w:val="36"/>
        <w:tblW w:w="943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
      <w:tblGrid>
        <w:gridCol w:w="580"/>
        <w:gridCol w:w="1880"/>
        <w:gridCol w:w="1108"/>
        <w:gridCol w:w="1285"/>
        <w:gridCol w:w="595"/>
        <w:gridCol w:w="596"/>
        <w:gridCol w:w="33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vMerge w:val="restart"/>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序号</w:t>
            </w:r>
          </w:p>
        </w:tc>
        <w:tc>
          <w:tcPr>
            <w:tcW w:w="1880" w:type="dxa"/>
            <w:vMerge w:val="restart"/>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default" w:ascii="仿宋" w:hAnsi="仿宋" w:eastAsia="仿宋" w:cs="仿宋"/>
                <w:b/>
                <w:i w:val="0"/>
                <w:color w:val="auto"/>
                <w:sz w:val="18"/>
                <w:szCs w:val="18"/>
                <w:highlight w:val="none"/>
                <w:u w:val="none"/>
                <w:lang w:val="en-US"/>
              </w:rPr>
            </w:pPr>
            <w:r>
              <w:rPr>
                <w:rFonts w:hint="eastAsia" w:ascii="仿宋" w:hAnsi="仿宋" w:eastAsia="仿宋" w:cs="仿宋"/>
                <w:b/>
                <w:i w:val="0"/>
                <w:color w:val="auto"/>
                <w:kern w:val="0"/>
                <w:sz w:val="18"/>
                <w:szCs w:val="18"/>
                <w:highlight w:val="none"/>
                <w:u w:val="none"/>
                <w:lang w:val="en-US" w:eastAsia="zh-CN" w:bidi="ar"/>
              </w:rPr>
              <w:t>产品名称</w:t>
            </w:r>
          </w:p>
        </w:tc>
        <w:tc>
          <w:tcPr>
            <w:tcW w:w="2393" w:type="dxa"/>
            <w:gridSpan w:val="2"/>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default" w:ascii="仿宋" w:hAnsi="仿宋" w:eastAsia="仿宋" w:cs="仿宋"/>
                <w:b/>
                <w:i w:val="0"/>
                <w:color w:val="auto"/>
                <w:sz w:val="18"/>
                <w:szCs w:val="18"/>
                <w:highlight w:val="none"/>
                <w:u w:val="none"/>
                <w:lang w:val="en-US"/>
              </w:rPr>
            </w:pPr>
            <w:r>
              <w:rPr>
                <w:rFonts w:hint="eastAsia" w:ascii="仿宋" w:hAnsi="仿宋" w:eastAsia="仿宋" w:cs="仿宋"/>
                <w:b/>
                <w:i w:val="0"/>
                <w:color w:val="auto"/>
                <w:kern w:val="0"/>
                <w:sz w:val="18"/>
                <w:szCs w:val="18"/>
                <w:highlight w:val="none"/>
                <w:u w:val="none"/>
                <w:lang w:val="en-US" w:eastAsia="zh-CN" w:bidi="ar"/>
              </w:rPr>
              <w:t>规格mm</w:t>
            </w:r>
          </w:p>
        </w:tc>
        <w:tc>
          <w:tcPr>
            <w:tcW w:w="595" w:type="dxa"/>
            <w:vMerge w:val="restart"/>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数量</w:t>
            </w:r>
          </w:p>
        </w:tc>
        <w:tc>
          <w:tcPr>
            <w:tcW w:w="596" w:type="dxa"/>
            <w:vMerge w:val="restart"/>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单位</w:t>
            </w:r>
          </w:p>
        </w:tc>
        <w:tc>
          <w:tcPr>
            <w:tcW w:w="3388" w:type="dxa"/>
            <w:vMerge w:val="restart"/>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简要说明（具体详见3.2）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vMerge w:val="continue"/>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i w:val="0"/>
                <w:color w:val="auto"/>
                <w:sz w:val="18"/>
                <w:szCs w:val="18"/>
                <w:highlight w:val="none"/>
                <w:u w:val="none"/>
              </w:rPr>
            </w:pPr>
          </w:p>
        </w:tc>
        <w:tc>
          <w:tcPr>
            <w:tcW w:w="1880" w:type="dxa"/>
            <w:vMerge w:val="continue"/>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i w:val="0"/>
                <w:color w:val="auto"/>
                <w:sz w:val="18"/>
                <w:szCs w:val="18"/>
                <w:highlight w:val="none"/>
                <w:u w:val="none"/>
              </w:rPr>
            </w:pPr>
          </w:p>
        </w:tc>
        <w:tc>
          <w:tcPr>
            <w:tcW w:w="1108"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长</w:t>
            </w:r>
          </w:p>
        </w:tc>
        <w:tc>
          <w:tcPr>
            <w:tcW w:w="128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i w:val="0"/>
                <w:color w:val="auto"/>
                <w:sz w:val="18"/>
                <w:szCs w:val="18"/>
                <w:highlight w:val="none"/>
                <w:u w:val="none"/>
              </w:rPr>
            </w:pPr>
            <w:r>
              <w:rPr>
                <w:rFonts w:hint="eastAsia" w:ascii="仿宋" w:hAnsi="仿宋" w:eastAsia="仿宋" w:cs="仿宋"/>
                <w:b/>
                <w:i w:val="0"/>
                <w:color w:val="auto"/>
                <w:kern w:val="0"/>
                <w:sz w:val="18"/>
                <w:szCs w:val="18"/>
                <w:highlight w:val="none"/>
                <w:u w:val="none"/>
                <w:lang w:val="en-US" w:eastAsia="zh-CN" w:bidi="ar"/>
              </w:rPr>
              <w:t>宽*高</w:t>
            </w:r>
          </w:p>
        </w:tc>
        <w:tc>
          <w:tcPr>
            <w:tcW w:w="595" w:type="dxa"/>
            <w:vMerge w:val="continue"/>
            <w:tcBorders>
              <w:tl2br w:val="nil"/>
              <w:tr2bl w:val="nil"/>
            </w:tcBorders>
            <w:shd w:val="clear" w:color="auto" w:fill="auto"/>
            <w:tcMar>
              <w:top w:w="10" w:type="dxa"/>
              <w:left w:w="10" w:type="dxa"/>
              <w:right w:w="10" w:type="dxa"/>
            </w:tcMar>
            <w:vAlign w:val="center"/>
          </w:tcPr>
          <w:p>
            <w:pPr>
              <w:jc w:val="center"/>
              <w:rPr>
                <w:rFonts w:hint="eastAsia" w:ascii="仿宋" w:hAnsi="仿宋" w:eastAsia="仿宋" w:cs="仿宋"/>
                <w:b/>
                <w:i w:val="0"/>
                <w:color w:val="auto"/>
                <w:sz w:val="18"/>
                <w:szCs w:val="18"/>
                <w:highlight w:val="none"/>
                <w:u w:val="none"/>
              </w:rPr>
            </w:pPr>
          </w:p>
        </w:tc>
        <w:tc>
          <w:tcPr>
            <w:tcW w:w="596" w:type="dxa"/>
            <w:vMerge w:val="continue"/>
            <w:tcBorders>
              <w:tl2br w:val="nil"/>
              <w:tr2bl w:val="nil"/>
            </w:tcBorders>
            <w:shd w:val="clear" w:color="auto" w:fill="auto"/>
            <w:tcMar>
              <w:top w:w="10" w:type="dxa"/>
              <w:left w:w="10" w:type="dxa"/>
              <w:right w:w="10" w:type="dxa"/>
            </w:tcMar>
            <w:vAlign w:val="center"/>
          </w:tcPr>
          <w:p>
            <w:pPr>
              <w:jc w:val="center"/>
              <w:rPr>
                <w:rFonts w:hint="eastAsia" w:ascii="仿宋" w:hAnsi="仿宋" w:eastAsia="仿宋" w:cs="仿宋"/>
                <w:b/>
                <w:i w:val="0"/>
                <w:color w:val="auto"/>
                <w:sz w:val="18"/>
                <w:szCs w:val="18"/>
                <w:highlight w:val="none"/>
                <w:u w:val="none"/>
              </w:rPr>
            </w:pPr>
          </w:p>
        </w:tc>
        <w:tc>
          <w:tcPr>
            <w:tcW w:w="3388" w:type="dxa"/>
            <w:vMerge w:val="continue"/>
            <w:tcBorders>
              <w:tl2br w:val="nil"/>
              <w:tr2bl w:val="nil"/>
            </w:tcBorders>
            <w:shd w:val="clear" w:color="auto" w:fill="auto"/>
            <w:tcMar>
              <w:top w:w="10" w:type="dxa"/>
              <w:left w:w="10" w:type="dxa"/>
              <w:right w:w="10" w:type="dxa"/>
            </w:tcMar>
            <w:vAlign w:val="center"/>
          </w:tcPr>
          <w:p>
            <w:pPr>
              <w:jc w:val="center"/>
              <w:rPr>
                <w:rFonts w:hint="eastAsia" w:ascii="仿宋" w:hAnsi="仿宋" w:eastAsia="仿宋" w:cs="仿宋"/>
                <w:b/>
                <w:i w:val="0"/>
                <w:color w:val="auto"/>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rPr>
            </w:pPr>
            <w:r>
              <w:rPr>
                <w:rFonts w:hint="eastAsia" w:ascii="仿宋" w:hAnsi="仿宋" w:eastAsia="仿宋" w:cs="仿宋"/>
                <w:b w:val="0"/>
                <w:bCs/>
                <w:i w:val="0"/>
                <w:color w:val="auto"/>
                <w:sz w:val="18"/>
                <w:szCs w:val="18"/>
                <w:highlight w:val="none"/>
                <w:u w:val="none"/>
              </w:rPr>
              <w:t>中央台</w:t>
            </w:r>
          </w:p>
          <w:p>
            <w:pPr>
              <w:ind w:left="0" w:leftChars="0" w:right="0" w:rightChars="0" w:firstLine="0" w:firstLineChars="0"/>
              <w:jc w:val="center"/>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bCs w:val="0"/>
                <w:i w:val="0"/>
                <w:color w:val="auto"/>
                <w:sz w:val="18"/>
                <w:szCs w:val="18"/>
                <w:highlight w:val="none"/>
                <w:u w:val="none"/>
                <w:lang w:eastAsia="zh-CN"/>
              </w:rPr>
              <w:t>（</w:t>
            </w:r>
            <w:r>
              <w:rPr>
                <w:rFonts w:hint="eastAsia" w:ascii="仿宋" w:hAnsi="仿宋" w:eastAsia="仿宋" w:cs="仿宋"/>
                <w:b/>
                <w:bCs w:val="0"/>
                <w:i w:val="0"/>
                <w:color w:val="auto"/>
                <w:sz w:val="18"/>
                <w:szCs w:val="18"/>
                <w:highlight w:val="none"/>
                <w:u w:val="none"/>
                <w:lang w:val="en-US" w:eastAsia="zh-CN"/>
              </w:rPr>
              <w:t>核心产品</w:t>
            </w:r>
            <w:r>
              <w:rPr>
                <w:rFonts w:hint="eastAsia" w:ascii="仿宋" w:hAnsi="仿宋" w:eastAsia="仿宋" w:cs="仿宋"/>
                <w:b/>
                <w:bCs w:val="0"/>
                <w:i w:val="0"/>
                <w:color w:val="auto"/>
                <w:sz w:val="18"/>
                <w:szCs w:val="18"/>
                <w:highlight w:val="none"/>
                <w:u w:val="none"/>
                <w:lang w:eastAsia="zh-CN"/>
              </w:rPr>
              <w:t>）</w:t>
            </w:r>
          </w:p>
        </w:tc>
        <w:tc>
          <w:tcPr>
            <w:tcW w:w="1108"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default"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1000</w:t>
            </w:r>
          </w:p>
        </w:tc>
        <w:tc>
          <w:tcPr>
            <w:tcW w:w="128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1500*850</w:t>
            </w:r>
          </w:p>
        </w:tc>
        <w:tc>
          <w:tcPr>
            <w:tcW w:w="595" w:type="dxa"/>
            <w:tcBorders>
              <w:tl2br w:val="nil"/>
              <w:tr2bl w:val="nil"/>
            </w:tcBorders>
            <w:shd w:val="clear" w:color="auto" w:fill="auto"/>
            <w:tcMar>
              <w:top w:w="10" w:type="dxa"/>
              <w:left w:w="10" w:type="dxa"/>
              <w:right w:w="10" w:type="dxa"/>
            </w:tcMar>
            <w:vAlign w:val="center"/>
          </w:tcPr>
          <w:p>
            <w:pPr>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47</w:t>
            </w:r>
          </w:p>
        </w:tc>
        <w:tc>
          <w:tcPr>
            <w:tcW w:w="596" w:type="dxa"/>
            <w:tcBorders>
              <w:tl2br w:val="nil"/>
              <w:tr2bl w:val="nil"/>
            </w:tcBorders>
            <w:shd w:val="clear" w:color="auto" w:fill="auto"/>
            <w:tcMar>
              <w:top w:w="10" w:type="dxa"/>
              <w:left w:w="10" w:type="dxa"/>
              <w:right w:w="10" w:type="dxa"/>
            </w:tcMar>
            <w:vAlign w:val="center"/>
          </w:tcPr>
          <w:p>
            <w:pPr>
              <w:jc w:val="center"/>
              <w:rPr>
                <w:rFonts w:hint="eastAsia" w:ascii="仿宋" w:hAnsi="仿宋" w:eastAsia="仿宋" w:cs="仿宋"/>
                <w:b w:val="0"/>
                <w:bCs/>
                <w:i w:val="0"/>
                <w:color w:val="auto"/>
                <w:sz w:val="18"/>
                <w:szCs w:val="18"/>
                <w:highlight w:val="none"/>
                <w:u w:val="none"/>
              </w:rPr>
            </w:pPr>
            <w:r>
              <w:rPr>
                <w:rFonts w:hint="eastAsia" w:ascii="仿宋" w:hAnsi="仿宋" w:eastAsia="仿宋" w:cs="仿宋"/>
                <w:b w:val="0"/>
                <w:bCs/>
                <w:i w:val="0"/>
                <w:color w:val="auto"/>
                <w:sz w:val="18"/>
                <w:szCs w:val="18"/>
                <w:highlight w:val="none"/>
                <w:u w:val="none"/>
              </w:rPr>
              <w:t>延米</w:t>
            </w:r>
          </w:p>
        </w:tc>
        <w:tc>
          <w:tcPr>
            <w:tcW w:w="3388" w:type="dxa"/>
            <w:vMerge w:val="restart"/>
            <w:tcBorders>
              <w:tl2br w:val="nil"/>
              <w:tr2bl w:val="nil"/>
            </w:tcBorders>
            <w:shd w:val="clear" w:color="auto" w:fill="auto"/>
            <w:tcMar>
              <w:top w:w="10" w:type="dxa"/>
              <w:left w:w="10" w:type="dxa"/>
              <w:right w:w="10" w:type="dxa"/>
            </w:tcMar>
            <w:vAlign w:val="center"/>
          </w:tcPr>
          <w:p>
            <w:pPr>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rPr>
              <w:t>1.柜体：全钢结构，环氧树脂烤漆</w:t>
            </w:r>
            <w:r>
              <w:rPr>
                <w:rFonts w:hint="eastAsia" w:ascii="仿宋" w:hAnsi="仿宋" w:eastAsia="仿宋" w:cs="仿宋"/>
                <w:b w:val="0"/>
                <w:bCs/>
                <w:i w:val="0"/>
                <w:color w:val="auto"/>
                <w:sz w:val="18"/>
                <w:szCs w:val="18"/>
                <w:highlight w:val="none"/>
                <w:u w:val="none"/>
                <w:lang w:eastAsia="zh-CN"/>
              </w:rPr>
              <w:t>；</w:t>
            </w:r>
          </w:p>
          <w:p>
            <w:pPr>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rPr>
              <w:t>2.台面：</w:t>
            </w:r>
            <w:r>
              <w:rPr>
                <w:rFonts w:hint="eastAsia" w:ascii="仿宋" w:hAnsi="仿宋" w:eastAsia="仿宋" w:cs="仿宋"/>
                <w:b w:val="0"/>
                <w:bCs/>
                <w:i w:val="0"/>
                <w:color w:val="auto"/>
                <w:sz w:val="18"/>
                <w:szCs w:val="18"/>
                <w:highlight w:val="none"/>
                <w:u w:val="none"/>
                <w:lang w:val="en-US" w:eastAsia="zh-CN"/>
              </w:rPr>
              <w:t>≥</w:t>
            </w:r>
            <w:r>
              <w:rPr>
                <w:rFonts w:hint="eastAsia" w:ascii="仿宋" w:hAnsi="仿宋" w:eastAsia="仿宋" w:cs="仿宋"/>
                <w:b w:val="0"/>
                <w:bCs/>
                <w:i w:val="0"/>
                <w:color w:val="auto"/>
                <w:sz w:val="18"/>
                <w:szCs w:val="18"/>
                <w:highlight w:val="none"/>
                <w:u w:val="none"/>
              </w:rPr>
              <w:t>20mm</w:t>
            </w:r>
            <w:r>
              <w:rPr>
                <w:rFonts w:hint="eastAsia" w:ascii="仿宋" w:hAnsi="仿宋" w:eastAsia="仿宋" w:cs="仿宋"/>
                <w:b w:val="0"/>
                <w:bCs/>
                <w:i w:val="0"/>
                <w:color w:val="auto"/>
                <w:sz w:val="18"/>
                <w:szCs w:val="18"/>
                <w:highlight w:val="none"/>
                <w:u w:val="none"/>
                <w:lang w:val="en-US" w:eastAsia="zh-CN"/>
              </w:rPr>
              <w:t>厚</w:t>
            </w:r>
            <w:r>
              <w:rPr>
                <w:rFonts w:hint="eastAsia" w:ascii="仿宋" w:hAnsi="仿宋" w:eastAsia="仿宋" w:cs="仿宋"/>
                <w:b w:val="0"/>
                <w:bCs/>
                <w:i w:val="0"/>
                <w:color w:val="auto"/>
                <w:sz w:val="18"/>
                <w:szCs w:val="18"/>
                <w:highlight w:val="none"/>
                <w:u w:val="none"/>
              </w:rPr>
              <w:t>陶瓷</w:t>
            </w:r>
            <w:r>
              <w:rPr>
                <w:rFonts w:hint="eastAsia" w:ascii="仿宋" w:hAnsi="仿宋" w:eastAsia="仿宋" w:cs="仿宋"/>
                <w:b w:val="0"/>
                <w:bCs/>
                <w:i w:val="0"/>
                <w:color w:val="auto"/>
                <w:sz w:val="18"/>
                <w:szCs w:val="18"/>
                <w:highlight w:val="none"/>
                <w:u w:val="none"/>
                <w:lang w:eastAsia="zh-CN"/>
              </w:rPr>
              <w:t>；</w:t>
            </w:r>
          </w:p>
          <w:p>
            <w:pPr>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rPr>
              <w:t>3.滑轨：重负荷包夹式滑轨</w:t>
            </w:r>
            <w:r>
              <w:rPr>
                <w:rFonts w:hint="eastAsia" w:ascii="仿宋" w:hAnsi="仿宋" w:eastAsia="仿宋" w:cs="仿宋"/>
                <w:b w:val="0"/>
                <w:bCs/>
                <w:i w:val="0"/>
                <w:color w:val="auto"/>
                <w:sz w:val="18"/>
                <w:szCs w:val="18"/>
                <w:highlight w:val="none"/>
                <w:u w:val="none"/>
                <w:lang w:eastAsia="zh-CN"/>
              </w:rPr>
              <w:t>；</w:t>
            </w:r>
          </w:p>
          <w:p>
            <w:pPr>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rPr>
              <w:t>4.含电源盒</w:t>
            </w:r>
            <w:r>
              <w:rPr>
                <w:rFonts w:hint="eastAsia" w:ascii="仿宋" w:hAnsi="仿宋" w:eastAsia="仿宋" w:cs="仿宋"/>
                <w:b w:val="0"/>
                <w:bCs/>
                <w:i w:val="0"/>
                <w:color w:val="auto"/>
                <w:sz w:val="18"/>
                <w:szCs w:val="18"/>
                <w:highlight w:val="none"/>
                <w:u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2</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rPr>
            </w:pPr>
            <w:r>
              <w:rPr>
                <w:rFonts w:hint="eastAsia" w:ascii="仿宋" w:hAnsi="仿宋" w:eastAsia="仿宋" w:cs="仿宋"/>
                <w:b w:val="0"/>
                <w:bCs/>
                <w:i w:val="0"/>
                <w:color w:val="auto"/>
                <w:sz w:val="18"/>
                <w:szCs w:val="18"/>
                <w:highlight w:val="none"/>
                <w:u w:val="none"/>
                <w:lang w:val="en-US" w:eastAsia="zh-CN"/>
              </w:rPr>
              <w:t>边台A</w:t>
            </w:r>
          </w:p>
        </w:tc>
        <w:tc>
          <w:tcPr>
            <w:tcW w:w="1108"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1000</w:t>
            </w:r>
          </w:p>
        </w:tc>
        <w:tc>
          <w:tcPr>
            <w:tcW w:w="128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750*850</w:t>
            </w:r>
          </w:p>
        </w:tc>
        <w:tc>
          <w:tcPr>
            <w:tcW w:w="59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16</w:t>
            </w:r>
          </w:p>
        </w:tc>
        <w:tc>
          <w:tcPr>
            <w:tcW w:w="596"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延米</w:t>
            </w:r>
          </w:p>
        </w:tc>
        <w:tc>
          <w:tcPr>
            <w:tcW w:w="3388" w:type="dxa"/>
            <w:vMerge w:val="continue"/>
            <w:tcBorders>
              <w:tl2br w:val="nil"/>
              <w:tr2bl w:val="nil"/>
            </w:tcBorders>
            <w:shd w:val="clear" w:color="auto" w:fill="auto"/>
            <w:tcMar>
              <w:top w:w="10" w:type="dxa"/>
              <w:left w:w="10" w:type="dxa"/>
              <w:right w:w="10" w:type="dxa"/>
            </w:tcMar>
            <w:vAlign w:val="center"/>
          </w:tcPr>
          <w:p>
            <w:pPr>
              <w:jc w:val="center"/>
              <w:rPr>
                <w:rFonts w:hint="eastAsia" w:ascii="仿宋" w:hAnsi="仿宋" w:eastAsia="仿宋" w:cs="仿宋"/>
                <w:b w:val="0"/>
                <w:bCs/>
                <w:i w:val="0"/>
                <w:color w:val="auto"/>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3</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rPr>
            </w:pPr>
            <w:r>
              <w:rPr>
                <w:rFonts w:hint="eastAsia" w:ascii="仿宋" w:hAnsi="仿宋" w:eastAsia="仿宋" w:cs="仿宋"/>
                <w:b w:val="0"/>
                <w:bCs/>
                <w:i w:val="0"/>
                <w:color w:val="auto"/>
                <w:sz w:val="18"/>
                <w:szCs w:val="18"/>
                <w:highlight w:val="none"/>
                <w:u w:val="none"/>
                <w:lang w:val="en-US" w:eastAsia="zh-CN"/>
              </w:rPr>
              <w:t>边台B</w:t>
            </w:r>
          </w:p>
        </w:tc>
        <w:tc>
          <w:tcPr>
            <w:tcW w:w="1108"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1000</w:t>
            </w:r>
          </w:p>
        </w:tc>
        <w:tc>
          <w:tcPr>
            <w:tcW w:w="128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750*750</w:t>
            </w:r>
          </w:p>
        </w:tc>
        <w:tc>
          <w:tcPr>
            <w:tcW w:w="59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8</w:t>
            </w:r>
          </w:p>
        </w:tc>
        <w:tc>
          <w:tcPr>
            <w:tcW w:w="596"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延米</w:t>
            </w:r>
          </w:p>
        </w:tc>
        <w:tc>
          <w:tcPr>
            <w:tcW w:w="3388" w:type="dxa"/>
            <w:vMerge w:val="continue"/>
            <w:tcBorders>
              <w:tl2br w:val="nil"/>
              <w:tr2bl w:val="nil"/>
            </w:tcBorders>
            <w:shd w:val="clear" w:color="auto" w:fill="auto"/>
            <w:tcMar>
              <w:top w:w="10" w:type="dxa"/>
              <w:left w:w="10" w:type="dxa"/>
              <w:right w:w="10" w:type="dxa"/>
            </w:tcMar>
            <w:vAlign w:val="center"/>
          </w:tcPr>
          <w:p>
            <w:pPr>
              <w:jc w:val="center"/>
              <w:rPr>
                <w:rFonts w:hint="eastAsia" w:ascii="仿宋" w:hAnsi="仿宋" w:eastAsia="仿宋" w:cs="仿宋"/>
                <w:b w:val="0"/>
                <w:bCs/>
                <w:i w:val="0"/>
                <w:color w:val="auto"/>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4</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rPr>
            </w:pPr>
            <w:r>
              <w:rPr>
                <w:rFonts w:hint="eastAsia" w:ascii="仿宋" w:hAnsi="仿宋" w:eastAsia="仿宋" w:cs="仿宋"/>
                <w:b w:val="0"/>
                <w:bCs/>
                <w:i w:val="0"/>
                <w:color w:val="auto"/>
                <w:sz w:val="18"/>
                <w:szCs w:val="18"/>
                <w:highlight w:val="none"/>
                <w:u w:val="none"/>
                <w:lang w:val="en-US" w:eastAsia="zh-CN"/>
              </w:rPr>
              <w:t>可移动边台</w:t>
            </w:r>
          </w:p>
        </w:tc>
        <w:tc>
          <w:tcPr>
            <w:tcW w:w="1108"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1000</w:t>
            </w:r>
          </w:p>
        </w:tc>
        <w:tc>
          <w:tcPr>
            <w:tcW w:w="128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750*850</w:t>
            </w:r>
          </w:p>
        </w:tc>
        <w:tc>
          <w:tcPr>
            <w:tcW w:w="59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19</w:t>
            </w:r>
          </w:p>
        </w:tc>
        <w:tc>
          <w:tcPr>
            <w:tcW w:w="596"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延米</w:t>
            </w:r>
          </w:p>
        </w:tc>
        <w:tc>
          <w:tcPr>
            <w:tcW w:w="3388" w:type="dxa"/>
            <w:vMerge w:val="continue"/>
            <w:tcBorders>
              <w:tl2br w:val="nil"/>
              <w:tr2bl w:val="nil"/>
            </w:tcBorders>
            <w:shd w:val="clear" w:color="auto" w:fill="auto"/>
            <w:tcMar>
              <w:top w:w="10" w:type="dxa"/>
              <w:left w:w="10" w:type="dxa"/>
              <w:right w:w="10" w:type="dxa"/>
            </w:tcMar>
            <w:vAlign w:val="center"/>
          </w:tcPr>
          <w:p>
            <w:pPr>
              <w:jc w:val="center"/>
              <w:rPr>
                <w:rFonts w:hint="eastAsia" w:ascii="仿宋" w:hAnsi="仿宋" w:eastAsia="仿宋" w:cs="仿宋"/>
                <w:b w:val="0"/>
                <w:bCs/>
                <w:i w:val="0"/>
                <w:color w:val="auto"/>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5</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中央台试剂架</w:t>
            </w:r>
          </w:p>
        </w:tc>
        <w:tc>
          <w:tcPr>
            <w:tcW w:w="1108"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1000</w:t>
            </w:r>
          </w:p>
        </w:tc>
        <w:tc>
          <w:tcPr>
            <w:tcW w:w="128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600*600</w:t>
            </w:r>
          </w:p>
        </w:tc>
        <w:tc>
          <w:tcPr>
            <w:tcW w:w="59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33</w:t>
            </w:r>
          </w:p>
        </w:tc>
        <w:tc>
          <w:tcPr>
            <w:tcW w:w="596"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延米</w:t>
            </w:r>
          </w:p>
        </w:tc>
        <w:tc>
          <w:tcPr>
            <w:tcW w:w="3388" w:type="dxa"/>
            <w:vMerge w:val="restart"/>
            <w:tcBorders>
              <w:tl2br w:val="nil"/>
              <w:tr2bl w:val="nil"/>
            </w:tcBorders>
            <w:shd w:val="clear" w:color="auto" w:fill="auto"/>
            <w:tcMar>
              <w:top w:w="10" w:type="dxa"/>
              <w:left w:w="10" w:type="dxa"/>
              <w:right w:w="10" w:type="dxa"/>
            </w:tcMar>
            <w:vAlign w:val="center"/>
          </w:tcPr>
          <w:p>
            <w:pPr>
              <w:ind w:left="0" w:leftChars="0" w:right="0" w:rightChars="0" w:firstLine="0" w:firstLineChars="0"/>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lang w:val="en-US" w:eastAsia="zh-CN"/>
              </w:rPr>
              <w:t>1.</w:t>
            </w:r>
            <w:r>
              <w:rPr>
                <w:rFonts w:hint="eastAsia" w:ascii="仿宋" w:hAnsi="仿宋" w:eastAsia="仿宋" w:cs="仿宋"/>
                <w:b w:val="0"/>
                <w:bCs/>
                <w:i w:val="0"/>
                <w:color w:val="auto"/>
                <w:sz w:val="18"/>
                <w:szCs w:val="18"/>
                <w:highlight w:val="none"/>
                <w:u w:val="none"/>
              </w:rPr>
              <w:t>钢制</w:t>
            </w:r>
            <w:r>
              <w:rPr>
                <w:rFonts w:hint="eastAsia" w:ascii="仿宋" w:hAnsi="仿宋" w:eastAsia="仿宋" w:cs="仿宋"/>
                <w:b w:val="0"/>
                <w:bCs/>
                <w:i w:val="0"/>
                <w:color w:val="auto"/>
                <w:sz w:val="18"/>
                <w:szCs w:val="18"/>
                <w:highlight w:val="none"/>
                <w:u w:val="none"/>
                <w:lang w:eastAsia="zh-CN"/>
              </w:rPr>
              <w:t>；</w:t>
            </w:r>
          </w:p>
          <w:p>
            <w:pPr>
              <w:ind w:left="0" w:leftChars="0" w:right="0" w:rightChars="0" w:firstLine="0" w:firstLineChars="0"/>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lang w:val="en-US" w:eastAsia="zh-CN"/>
              </w:rPr>
              <w:t>2.</w:t>
            </w:r>
            <w:r>
              <w:rPr>
                <w:rFonts w:hint="eastAsia" w:ascii="仿宋" w:hAnsi="仿宋" w:eastAsia="仿宋" w:cs="仿宋"/>
                <w:b w:val="0"/>
                <w:bCs/>
                <w:i w:val="0"/>
                <w:color w:val="auto"/>
                <w:sz w:val="18"/>
                <w:szCs w:val="18"/>
                <w:highlight w:val="none"/>
                <w:u w:val="none"/>
              </w:rPr>
              <w:t>双层可调节</w:t>
            </w:r>
            <w:r>
              <w:rPr>
                <w:rFonts w:hint="eastAsia" w:ascii="仿宋" w:hAnsi="仿宋" w:eastAsia="仿宋" w:cs="仿宋"/>
                <w:b w:val="0"/>
                <w:bCs/>
                <w:i w:val="0"/>
                <w:color w:val="auto"/>
                <w:sz w:val="18"/>
                <w:szCs w:val="18"/>
                <w:highlight w:val="none"/>
                <w:u w:val="none"/>
                <w:lang w:eastAsia="zh-CN"/>
              </w:rPr>
              <w:t>；</w:t>
            </w:r>
          </w:p>
          <w:p>
            <w:pPr>
              <w:ind w:left="0" w:leftChars="0" w:right="0" w:rightChars="0" w:firstLine="0" w:firstLineChars="0"/>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lang w:val="en-US" w:eastAsia="zh-CN"/>
              </w:rPr>
              <w:t>3.</w:t>
            </w:r>
            <w:r>
              <w:rPr>
                <w:rFonts w:hint="eastAsia" w:ascii="仿宋" w:hAnsi="仿宋" w:eastAsia="仿宋" w:cs="仿宋"/>
                <w:b w:val="0"/>
                <w:bCs/>
                <w:i w:val="0"/>
                <w:color w:val="auto"/>
                <w:sz w:val="18"/>
                <w:szCs w:val="18"/>
                <w:highlight w:val="none"/>
                <w:u w:val="none"/>
              </w:rPr>
              <w:t>带LED灯管</w:t>
            </w:r>
            <w:r>
              <w:rPr>
                <w:rFonts w:hint="eastAsia" w:ascii="仿宋" w:hAnsi="仿宋" w:eastAsia="仿宋" w:cs="仿宋"/>
                <w:b w:val="0"/>
                <w:bCs/>
                <w:i w:val="0"/>
                <w:color w:val="auto"/>
                <w:sz w:val="18"/>
                <w:szCs w:val="18"/>
                <w:highlight w:val="none"/>
                <w:u w:val="none"/>
                <w:lang w:eastAsia="zh-CN"/>
              </w:rPr>
              <w:t>；</w:t>
            </w:r>
          </w:p>
          <w:p>
            <w:pPr>
              <w:ind w:left="0" w:leftChars="0" w:right="0" w:rightChars="0" w:firstLine="0" w:firstLineChars="0"/>
              <w:jc w:val="both"/>
              <w:rPr>
                <w:rFonts w:hint="eastAsia" w:ascii="仿宋" w:hAnsi="仿宋" w:eastAsia="仿宋" w:cs="仿宋"/>
                <w:b w:val="0"/>
                <w:bCs/>
                <w:i w:val="0"/>
                <w:color w:val="auto"/>
                <w:sz w:val="18"/>
                <w:szCs w:val="18"/>
                <w:highlight w:val="none"/>
                <w:u w:val="none"/>
                <w:lang w:eastAsia="zh-CN"/>
              </w:rPr>
            </w:pPr>
            <w:r>
              <w:rPr>
                <w:rFonts w:hint="eastAsia" w:ascii="仿宋" w:hAnsi="仿宋" w:eastAsia="仿宋" w:cs="仿宋"/>
                <w:b w:val="0"/>
                <w:bCs/>
                <w:i w:val="0"/>
                <w:color w:val="auto"/>
                <w:sz w:val="18"/>
                <w:szCs w:val="18"/>
                <w:highlight w:val="none"/>
                <w:u w:val="none"/>
                <w:lang w:val="en-US" w:eastAsia="zh-CN"/>
              </w:rPr>
              <w:t>4.</w:t>
            </w:r>
            <w:r>
              <w:rPr>
                <w:rFonts w:hint="eastAsia" w:ascii="仿宋" w:hAnsi="仿宋" w:eastAsia="仿宋" w:cs="仿宋"/>
                <w:b w:val="0"/>
                <w:bCs/>
                <w:i w:val="0"/>
                <w:color w:val="auto"/>
                <w:sz w:val="18"/>
                <w:szCs w:val="18"/>
                <w:highlight w:val="none"/>
                <w:u w:val="none"/>
              </w:rPr>
              <w:t>含电源盒</w:t>
            </w:r>
            <w:r>
              <w:rPr>
                <w:rFonts w:hint="eastAsia" w:ascii="仿宋" w:hAnsi="仿宋" w:eastAsia="仿宋" w:cs="仿宋"/>
                <w:b w:val="0"/>
                <w:bCs/>
                <w:i w:val="0"/>
                <w:color w:val="auto"/>
                <w:sz w:val="18"/>
                <w:szCs w:val="18"/>
                <w:highlight w:val="none"/>
                <w:u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6</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边台试剂架</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kern w:val="0"/>
                <w:sz w:val="18"/>
                <w:szCs w:val="18"/>
                <w:highlight w:val="none"/>
                <w:u w:val="none"/>
                <w:lang w:val="en-US" w:eastAsia="zh-CN" w:bidi="ar"/>
              </w:rPr>
              <w:t>1000</w:t>
            </w:r>
          </w:p>
        </w:tc>
        <w:tc>
          <w:tcPr>
            <w:tcW w:w="128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300*600</w:t>
            </w:r>
          </w:p>
        </w:tc>
        <w:tc>
          <w:tcPr>
            <w:tcW w:w="595"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11</w:t>
            </w:r>
          </w:p>
        </w:tc>
        <w:tc>
          <w:tcPr>
            <w:tcW w:w="596" w:type="dxa"/>
            <w:tcBorders>
              <w:tl2br w:val="nil"/>
              <w:tr2bl w:val="nil"/>
            </w:tcBorders>
            <w:shd w:val="clear" w:color="auto" w:fill="auto"/>
            <w:tcMar>
              <w:top w:w="10" w:type="dxa"/>
              <w:left w:w="10" w:type="dxa"/>
              <w:right w:w="10" w:type="dxa"/>
            </w:tcMar>
            <w:vAlign w:val="center"/>
          </w:tcPr>
          <w:p>
            <w:pPr>
              <w:keepNext w:val="0"/>
              <w:keepLines w:val="0"/>
              <w:widowControl/>
              <w:suppressLineNumbers w:val="0"/>
              <w:ind w:left="0" w:leftChars="0" w:right="0" w:rightChars="0" w:firstLine="0" w:firstLineChars="0"/>
              <w:jc w:val="center"/>
              <w:textAlignment w:val="center"/>
              <w:rPr>
                <w:rFonts w:hint="eastAsia" w:ascii="仿宋" w:hAnsi="仿宋" w:eastAsia="仿宋" w:cs="仿宋"/>
                <w:b w:val="0"/>
                <w:bCs/>
                <w:i w:val="0"/>
                <w:color w:val="auto"/>
                <w:kern w:val="0"/>
                <w:sz w:val="18"/>
                <w:szCs w:val="18"/>
                <w:highlight w:val="none"/>
                <w:u w:val="none"/>
                <w:lang w:val="en-US" w:eastAsia="zh-CN" w:bidi="ar"/>
              </w:rPr>
            </w:pPr>
            <w:r>
              <w:rPr>
                <w:rFonts w:hint="eastAsia" w:ascii="仿宋" w:hAnsi="仿宋" w:eastAsia="仿宋" w:cs="仿宋"/>
                <w:b w:val="0"/>
                <w:bCs/>
                <w:i w:val="0"/>
                <w:color w:val="auto"/>
                <w:kern w:val="0"/>
                <w:sz w:val="18"/>
                <w:szCs w:val="18"/>
                <w:highlight w:val="none"/>
                <w:u w:val="none"/>
                <w:lang w:val="en-US" w:eastAsia="zh-CN" w:bidi="ar"/>
              </w:rPr>
              <w:t>延米</w:t>
            </w:r>
          </w:p>
        </w:tc>
        <w:tc>
          <w:tcPr>
            <w:tcW w:w="3388" w:type="dxa"/>
            <w:vMerge w:val="continue"/>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7</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大水槽</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1000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650*310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5</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陶瓷材质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8</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抽拉式水龙头</w:t>
            </w:r>
          </w:p>
        </w:tc>
        <w:tc>
          <w:tcPr>
            <w:tcW w:w="2393" w:type="dxa"/>
            <w:gridSpan w:val="2"/>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常规</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5</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9</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中水槽</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550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440*310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9</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陶瓷材质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10</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三口水龙头</w:t>
            </w:r>
          </w:p>
        </w:tc>
        <w:tc>
          <w:tcPr>
            <w:tcW w:w="2393" w:type="dxa"/>
            <w:gridSpan w:val="2"/>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常规</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9</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11</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滴水架</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440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120*550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14</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PP材质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12</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单口台式洗眼器</w:t>
            </w:r>
          </w:p>
        </w:tc>
        <w:tc>
          <w:tcPr>
            <w:tcW w:w="2393" w:type="dxa"/>
            <w:gridSpan w:val="2"/>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常规</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5</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13</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步入式通风柜</w:t>
            </w:r>
          </w:p>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（含VAV控制系统）</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1000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800*2350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vMerge w:val="restart"/>
            <w:tcBorders>
              <w:tl2br w:val="nil"/>
              <w:tr2bl w:val="nil"/>
            </w:tcBorders>
            <w:shd w:val="clear" w:color="auto" w:fill="auto"/>
            <w:tcMar>
              <w:top w:w="10" w:type="dxa"/>
              <w:left w:w="10" w:type="dxa"/>
              <w:right w:w="10" w:type="dxa"/>
            </w:tcMar>
            <w:vAlign w:val="center"/>
          </w:tcPr>
          <w:p>
            <w:pPr>
              <w:ind w:left="0" w:leftChars="0" w:right="0" w:rightChars="0" w:firstLine="0" w:firstLineChars="0"/>
              <w:jc w:val="both"/>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1.全钢;</w:t>
            </w:r>
          </w:p>
          <w:p>
            <w:pPr>
              <w:ind w:left="0" w:leftChars="0" w:right="0" w:rightChars="0" w:firstLine="0" w:firstLineChars="0"/>
              <w:jc w:val="both"/>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2.台面：≥25mm厚一体成型蝶形陶瓷。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14</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台式通风柜</w:t>
            </w:r>
          </w:p>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（含VAV控制系统）</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1500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800*2350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4</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vMerge w:val="continue"/>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15</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带通风药品柜A</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1400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460*2350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3</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vMerge w:val="restart"/>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全钢结构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16</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带通风药品柜B</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1600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460*2350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5</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vMerge w:val="continue"/>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17</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功能柱</w:t>
            </w:r>
          </w:p>
        </w:tc>
        <w:tc>
          <w:tcPr>
            <w:tcW w:w="110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300</w:t>
            </w:r>
          </w:p>
        </w:tc>
        <w:tc>
          <w:tcPr>
            <w:tcW w:w="128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150*2150</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8</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both"/>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1.全钢结构；</w:t>
            </w:r>
          </w:p>
          <w:p>
            <w:pPr>
              <w:ind w:left="0" w:leftChars="0" w:right="0" w:rightChars="0" w:firstLine="0" w:firstLineChars="0"/>
              <w:jc w:val="both"/>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2.配置方便拆卸检修口。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40" w:hRule="atLeast"/>
          <w:jc w:val="center"/>
        </w:trPr>
        <w:tc>
          <w:tcPr>
            <w:tcW w:w="5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default"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18</w:t>
            </w:r>
          </w:p>
        </w:tc>
        <w:tc>
          <w:tcPr>
            <w:tcW w:w="1880"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实验凳</w:t>
            </w:r>
          </w:p>
        </w:tc>
        <w:tc>
          <w:tcPr>
            <w:tcW w:w="2393" w:type="dxa"/>
            <w:gridSpan w:val="2"/>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直径340mm、高度480~580mm</w:t>
            </w:r>
          </w:p>
        </w:tc>
        <w:tc>
          <w:tcPr>
            <w:tcW w:w="595"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38</w:t>
            </w:r>
          </w:p>
        </w:tc>
        <w:tc>
          <w:tcPr>
            <w:tcW w:w="596"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val="0"/>
                <w:bCs/>
                <w:i w:val="0"/>
                <w:color w:val="auto"/>
                <w:sz w:val="18"/>
                <w:szCs w:val="18"/>
                <w:highlight w:val="none"/>
                <w:u w:val="none"/>
                <w:lang w:val="en-US" w:eastAsia="zh-CN"/>
              </w:rPr>
              <w:t>个</w:t>
            </w:r>
          </w:p>
        </w:tc>
        <w:tc>
          <w:tcPr>
            <w:tcW w:w="3388" w:type="dxa"/>
            <w:tcBorders>
              <w:tl2br w:val="nil"/>
              <w:tr2bl w:val="nil"/>
            </w:tcBorders>
            <w:shd w:val="clear" w:color="auto" w:fill="auto"/>
            <w:tcMar>
              <w:top w:w="10" w:type="dxa"/>
              <w:left w:w="10" w:type="dxa"/>
              <w:right w:w="10" w:type="dxa"/>
            </w:tcMar>
            <w:vAlign w:val="center"/>
          </w:tcPr>
          <w:p>
            <w:pPr>
              <w:ind w:left="0" w:leftChars="0" w:right="0" w:rightChars="0" w:firstLine="0" w:firstLineChars="0"/>
              <w:jc w:val="center"/>
              <w:rPr>
                <w:rFonts w:hint="eastAsia" w:ascii="仿宋" w:hAnsi="仿宋" w:eastAsia="仿宋" w:cs="仿宋"/>
                <w:b w:val="0"/>
                <w:bCs/>
                <w:i w:val="0"/>
                <w:color w:val="auto"/>
                <w:sz w:val="18"/>
                <w:szCs w:val="18"/>
                <w:highlight w:val="none"/>
                <w:u w:val="none"/>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340" w:hRule="atLeast"/>
          <w:jc w:val="center"/>
        </w:trPr>
        <w:tc>
          <w:tcPr>
            <w:tcW w:w="9432" w:type="dxa"/>
            <w:gridSpan w:val="7"/>
            <w:tcBorders>
              <w:tl2br w:val="nil"/>
              <w:tr2bl w:val="nil"/>
            </w:tcBorders>
            <w:shd w:val="clear" w:color="auto" w:fill="auto"/>
            <w:tcMar>
              <w:top w:w="10" w:type="dxa"/>
              <w:left w:w="10" w:type="dxa"/>
              <w:right w:w="10" w:type="dxa"/>
            </w:tcMar>
            <w:vAlign w:val="center"/>
          </w:tcPr>
          <w:p>
            <w:pPr>
              <w:jc w:val="both"/>
              <w:rPr>
                <w:rFonts w:hint="eastAsia" w:ascii="仿宋" w:hAnsi="仿宋" w:eastAsia="仿宋" w:cs="仿宋"/>
                <w:b/>
                <w:bCs/>
                <w:color w:val="auto"/>
                <w:sz w:val="18"/>
                <w:szCs w:val="18"/>
                <w:highlight w:val="none"/>
                <w:lang w:val="en-US" w:eastAsia="zh-CN"/>
              </w:rPr>
            </w:pPr>
            <w:r>
              <w:rPr>
                <w:rFonts w:hint="eastAsia" w:ascii="仿宋" w:hAnsi="仿宋" w:eastAsia="仿宋" w:cs="仿宋"/>
                <w:b/>
                <w:bCs/>
                <w:color w:val="auto"/>
                <w:sz w:val="18"/>
                <w:szCs w:val="18"/>
                <w:highlight w:val="none"/>
                <w:lang w:val="en-US" w:eastAsia="zh-CN"/>
              </w:rPr>
              <w:t>备注：</w:t>
            </w:r>
          </w:p>
          <w:p>
            <w:pPr>
              <w:jc w:val="both"/>
              <w:rPr>
                <w:rFonts w:hint="eastAsia" w:ascii="仿宋" w:hAnsi="仿宋" w:eastAsia="仿宋" w:cs="仿宋"/>
                <w:b/>
                <w:bCs/>
                <w:color w:val="auto"/>
                <w:sz w:val="18"/>
                <w:szCs w:val="18"/>
                <w:highlight w:val="none"/>
                <w:lang w:val="en-US" w:eastAsia="zh-CN"/>
              </w:rPr>
            </w:pPr>
            <w:r>
              <w:rPr>
                <w:rFonts w:hint="eastAsia" w:ascii="仿宋" w:hAnsi="仿宋" w:eastAsia="仿宋" w:cs="仿宋"/>
                <w:b/>
                <w:bCs/>
                <w:color w:val="auto"/>
                <w:sz w:val="18"/>
                <w:szCs w:val="18"/>
                <w:highlight w:val="none"/>
                <w:lang w:val="en-US" w:eastAsia="zh-CN"/>
              </w:rPr>
              <w:t>1.家具颜色由中标人提供色板，采购人根据现场情况最终确定；</w:t>
            </w:r>
          </w:p>
          <w:p>
            <w:pPr>
              <w:ind w:left="0" w:leftChars="0" w:right="0" w:rightChars="0" w:firstLine="0" w:firstLineChars="0"/>
              <w:jc w:val="both"/>
              <w:rPr>
                <w:rFonts w:hint="eastAsia" w:ascii="仿宋" w:hAnsi="仿宋" w:eastAsia="仿宋" w:cs="仿宋"/>
                <w:b w:val="0"/>
                <w:bCs/>
                <w:i w:val="0"/>
                <w:color w:val="auto"/>
                <w:sz w:val="18"/>
                <w:szCs w:val="18"/>
                <w:highlight w:val="none"/>
                <w:u w:val="none"/>
                <w:lang w:val="en-US" w:eastAsia="zh-CN"/>
              </w:rPr>
            </w:pPr>
            <w:r>
              <w:rPr>
                <w:rFonts w:hint="eastAsia" w:ascii="仿宋" w:hAnsi="仿宋" w:eastAsia="仿宋" w:cs="仿宋"/>
                <w:b/>
                <w:bCs/>
                <w:color w:val="auto"/>
                <w:sz w:val="18"/>
                <w:szCs w:val="18"/>
                <w:highlight w:val="none"/>
                <w:lang w:val="en-US" w:eastAsia="zh-CN"/>
              </w:rPr>
              <w:t>2.采购数量为预估数量，当采购数量与实际使用数量不一致时，中标人应根据实际使用量供货，合同的最终结算金额按实际使用量乘以中标单价进行计算。</w:t>
            </w:r>
          </w:p>
        </w:tc>
      </w:tr>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eastAsia" w:ascii="仿宋" w:hAnsi="仿宋" w:eastAsia="仿宋" w:cs="仿宋"/>
          <w:b w:val="0"/>
          <w:bCs w:val="0"/>
          <w:color w:val="auto"/>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both"/>
        <w:textAlignment w:val="auto"/>
        <w:rPr>
          <w:rFonts w:hint="default"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3.2 具体要求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（1）中央台、边台（实验台类）</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1）每延米承重≥500kg，底柜通过SEFA 8M测试且200小时无间断盐雾冲刷后等级为10级；</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2）基本柜体为冷轧钢板材质，表面经环氧树脂静电喷涂处理，耐潮、耐腐蚀；</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封板、后背板、组件顶板和底板、组件架构板、门外板、垂直衬板≥1.2mm厚，抽屉本体和面板、钢门钢板、实验台前后封板、搁板≥1mm厚，柜前上挡板和连接挡板、角撑板、桌脚、支架、桌脚连接件和延伸架≥1.2mm厚，桌腿角托架和水平撑架≥2.4mm厚；</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4）设有非常便利的检修位置，可在不影响实验的情况下随时检修；</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侧板、后背板一片成形式环绕设计，底柜前部和后部支撑有加强筋、筋上有隔板调节孔，前部支撑板可安装挡板、导轨、合页，水平过渡交叉挡板扣住、凹入并隐藏，所有地面安装式柜体均由4个可调螺丝支撑，由踢脚板开口处调整螺母调节台面水平，柜门后背板可用简单工具拆卸以检修管路系统，实底柜体、单片构造，抽屉内部安装橡胶缓冲垫、面板≥19mm厚、两层结构、装配前各面喷涂完毕、内有消声材料、底部和两边为一片式设计，柜门≥19mm厚、双层实体结构、内外喷涂并有消声材料、合叶可拆除（非焊接结构）、内有橡胶缓冲材料；</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6）重负荷包夹式滑轨、尼龙滚珠，自闭结构设计，当抽屉关到75mm距离时自动关闭；</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7）抽屉上有橡胶缓冲装置；</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8）金属表面喷涂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8.1）预处理：脱脂、水洗、酸洗、水洗中和、磷化、水洗等；</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8.2）喷涂：环氧树脂有色粉末静电喷塑，在高温烘箱内固定成平光表面，抗腐蚀性能符合SEFA 8M要求；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8.3）附着性能：交叉刻画（1.6*1.6mm）没有掉漆；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8.4）磨损性能：磨损实验100次循环≤5.5mg；</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8.5）硬度性能：表面硬度相当于4H铅笔或优于；</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8.6）防潮性能：华氏100度、饱和湿度情况下可抵抗1000小时的暴露；</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8.7）湿度性能：热水45度角冲淋5分钟没有变化、水持续浸湿100小时没有变化。</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9）实验台面</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9.1）整张≥20mm厚陶瓷台面，一体透芯、一体成型；</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9.2）靠墙边台配有高度10~12cm挡水板；</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9.3）台面≥20mm厚、水槽台为≥25mm厚碟型台面，有防滑沥水沟槽（一体釉面非后期破坏釉面开槽），水槽台台面配备陶瓷水槽，陶瓷台面黑色坯体和表面釉面经高温长时间煅烧而成，釉面和坯体结合后不脱落、不脱层、耐磨、耐强腐蚀，非后期二次加厚边。</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9.4）化学性能：对49种化学试剂进行测试，检测结果为至少48种试剂测试结果为0级（表面无可见变化）；</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9.5）可产品质量溯源；</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9.6）承载性能：依据T/CIQA 10-2020检测，≥720kg载荷保压时间≥600小时后检测结果为无破坏；</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9.7）抗菌性能：依据JC/T897-2014检测，检测结果为肺炎克雷伯氏菌抗菌率≥99%。</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10）配套水槽、冷热水龙头、洗眼器、PP滴水架</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10.1）水龙头：实验室专用陶瓷内芯单口水龙头及三口水龙头，表面为环氧树脂喷涂，耐酸碱腐蚀，三口水龙头中1个使用平嘴；</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10.2）所有水槽及杯槽表面光滑、各角落平整，底部向落水头处倾斜并能与台面紧密结合，非PP类水槽，水槽水容量≥50L且对含有98%硫酸、65%硝酸、37%盐酸、40%氢氧化钠、90%高氯酸等强酸碱试剂在内的测试检测结果均为无明显变化，除有特殊说明者外，所有水槽、杯槽出水口处均配备聚丙烯材质存水弯堵臭装置；</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10.3）PP滴水架：高密度PP聚丙烯材质，经一体模具注塑成型，耐酸碱，滴水棒具有锁扣功能且可自由组合拆卸，底部托盘中间设有排水孔；</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10.4）洗眼器：每个水槽设置洗眼器，主体加厚铜质，高亮度环氧树脂涂层，耐腐蚀、耐热、防紫外线辐射；软性橡胶喷淋头，出水经缓压处理呈泡沫状水柱，在30psi压力下流量≥30L/m；PP材质防尘盖，使用时自动被水冲开；具有水流锁定开关，水流开启、锁定一次完成；控水阀为止逆阀，阀门可自动关闭；长1.5m供水软管，软性PVC管外覆不锈钢网；最大耐水压7pa；台式安装：</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11）电源盒：钢制表面经酸洗、磷化、抛光等处理后环氧树脂粉末喷塑。</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（2）通风柜</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1）浓度测试：内测法满足六氟化硫平均浓度≤0.10ppm、保护因子≥2*10</w:t>
      </w:r>
      <w:r>
        <w:rPr>
          <w:rFonts w:hint="eastAsia" w:ascii="仿宋" w:hAnsi="仿宋" w:eastAsia="仿宋" w:cs="仿宋"/>
          <w:b w:val="0"/>
          <w:bCs w:val="0"/>
          <w:color w:val="auto"/>
          <w:szCs w:val="21"/>
          <w:highlight w:val="none"/>
          <w:vertAlign w:val="superscript"/>
          <w:lang w:val="en-US" w:eastAsia="zh-CN"/>
        </w:rPr>
        <w:t>5</w:t>
      </w:r>
      <w:r>
        <w:rPr>
          <w:rFonts w:hint="eastAsia" w:ascii="仿宋" w:hAnsi="仿宋" w:eastAsia="仿宋" w:cs="仿宋"/>
          <w:b w:val="0"/>
          <w:bCs w:val="0"/>
          <w:color w:val="auto"/>
          <w:szCs w:val="21"/>
          <w:highlight w:val="none"/>
          <w:lang w:val="en-US" w:eastAsia="zh-CN"/>
        </w:rPr>
        <w:t>，外测法满足干扰测试六氟化硫浓度平均值≤0.65ppm、保护因子≥6.9*10</w:t>
      </w:r>
      <w:r>
        <w:rPr>
          <w:rFonts w:hint="eastAsia" w:ascii="仿宋" w:hAnsi="仿宋" w:eastAsia="仿宋" w:cs="仿宋"/>
          <w:b w:val="0"/>
          <w:bCs w:val="0"/>
          <w:color w:val="auto"/>
          <w:szCs w:val="21"/>
          <w:highlight w:val="none"/>
          <w:vertAlign w:val="superscript"/>
          <w:lang w:val="en-US" w:eastAsia="zh-CN"/>
        </w:rPr>
        <w:t>4</w:t>
      </w:r>
      <w:r>
        <w:rPr>
          <w:rFonts w:hint="eastAsia" w:ascii="仿宋" w:hAnsi="仿宋" w:eastAsia="仿宋" w:cs="仿宋"/>
          <w:b w:val="0"/>
          <w:bCs w:val="0"/>
          <w:color w:val="auto"/>
          <w:szCs w:val="21"/>
          <w:highlight w:val="none"/>
          <w:lang w:val="en-US" w:eastAsia="zh-CN"/>
        </w:rPr>
        <w:t>、空气交换效率≥50%；可视化测试：满足烟雾可排出无可见外泄；示踪气体浓度测试：满足示踪气体泄漏浓度平均值≤0.05ppm；拉门移动影响测试：反复开关拉门3次、每次开关间隔60s进行示踪气体测试，示踪气体泄漏浓度45s滚动平均值≤0.05ppm；周边扫描测试：使用探测器在开口边沿25mm处匀速扫描示踪气体浓度，示踪气体泄漏浓度平均值≤0.05ppm；</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2）在0.3~0.5m/s面风速下有毒气体残留＜0.01ppm；</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1.2mm后实验室专用冷轧钢板，表面经环氧树脂静电喷涂，外部金属部分喷涂化学性能为至少耐49种化学试剂，油漆反应级别≤4个3级（0级-无可见变化，1级-颜色或光泽发生轻微变化，2级-轻微表面腐蚀或严重沾污，3级-涂层出现起坑、凹陷、凸起或侵蚀等明显和剧烈的损害）；</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default"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4）台面</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4.1）≥25mm厚实芯黑坯碟型陶瓷台面，一体成型陶瓷台面碟型工艺（非后期加厚），操作碟型区域储水量≥5L/m</w:t>
      </w:r>
      <w:r>
        <w:rPr>
          <w:rFonts w:hint="eastAsia" w:ascii="仿宋" w:hAnsi="仿宋" w:eastAsia="仿宋" w:cs="仿宋"/>
          <w:b w:val="0"/>
          <w:bCs w:val="0"/>
          <w:color w:val="auto"/>
          <w:szCs w:val="21"/>
          <w:highlight w:val="none"/>
          <w:vertAlign w:val="superscript"/>
          <w:lang w:val="en-US" w:eastAsia="zh-CN"/>
        </w:rPr>
        <w:t>2</w:t>
      </w:r>
      <w:r>
        <w:rPr>
          <w:rFonts w:hint="eastAsia" w:ascii="仿宋" w:hAnsi="仿宋" w:eastAsia="仿宋" w:cs="仿宋"/>
          <w:b w:val="0"/>
          <w:bCs w:val="0"/>
          <w:color w:val="auto"/>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4.2）配备260*150*210mm陶瓷水杯（非PP类水杯），依据GB/T17657-2013检测，检测结果为对98%硫酸、37%盐酸等至少5种酸碱检测结果达到5级、无明显变化；</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4.3）化学性能：对49种化学试剂进行测试，检测结果为至少48种试剂测试结果为0级（表面无可见变化）；</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4.4）可产品质量溯源。</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5）内衬板、导流板：≥5mm厚安全环保氟纤板，表面具有耐腐蚀氟膜，耐腐蚀、易清洁、不含甲醛。</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5.1）化学性能：不少于6种化学试剂（三氯甲烷、二氯甲烷、乙酸乙酯、98%硫酸、65%硝酸、丙酮）经检测达到5级、无明显变化；</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5.2）依据GB/T17657-2013检测，检测结果为甲醛未检出。</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6）低噪音，系统运行后室内噪音≤60dB；</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7）表面风速稳定，在任意设计点测到的表面风速≥平均表面风速的20%；</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8）平衡系统：有同步轮和同步皮带等装置，可阻止移门倾斜且可用1只手操控；</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9）不超过2.35kg的力即可升降移门；</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10）在725+5mm安装高度有限位器限制玻璃移门，当移门高于460mm操作高度时自动下降维持设计表面风速和排风风量；</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11）移门：可清楚看清通风柜内部工作区域，≥5mm厚双层夹膜防爆安全玻璃；</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12）所有内部连接装置均需隐藏布置和耐腐蚀，无外露螺钉；</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13）≥110mm厚双层框架支持；</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14）安装通风柜内阀门管道可通过外层可拆除的侧挡板、内部密封的视窗挡板和可拆除的前面板；</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15）移门的关、闭有橡胶缓冲装置；</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16）上部有最小480mm工作深度；</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17）扰流板支架由非金属材料构成；</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18）照明装置：2个LED灯管，上面有安全玻璃面板且和柜体密封，亮度≥800Lux；</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19）含气体考克头（每个通风柜配备2个）、普通插座（每个通风柜配备4个）及其他辅材辅料；</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20）配套系统</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20.1）VAV控制方式排风，每套通风柜自成1套独立的VAV控制系统，配有柜门位移传感器、变风量文丘里阀、通风柜操作显示器等，界面变风量排风系统不在招标范围，仅负责实施文丘里阀至末端；</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20.2）变风量通风柜：在调节门开启高度发生变化时排风量相应发生变化，在排风量相应变化情况下，面风速保持在设计值的±10%以内；在所在实验室排风系统额定总排风量的范围内个别通风柜调节门允许开启至工作开启高度（台面上方约500mm），其面风速保持在设计值的±10%以内；变风量通风柜在启动紧急排风工况时，无论调节门开启高度，排风量立即达到额定最大设计值（±10%）；</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20.3）变风量控制系统：采用位移传感器对通风柜面风速进行控制，位移传感器检测通风柜柜门开度变化控制通风柜排风量，保持通风柜面风速恒定在设定值；当通风柜柜门位置发生改变，在柜门停止变化后的1秒内能自动调节至相应需求的风量，维持通风柜排风面风速恒定；当通风柜柜门关闭至10cm后排风文丘里阀维持通风柜的最小排风量；操作面板实时显示通风柜实际面风速或排风风量；当通风柜面风速异常、柜门开启过大等报警发生时，操作面板同时提供视觉、文字和声音报警提示；当出现异常情况时开启紧急排放模式，控制系统将变风量文丘里阀打开到设定的最大排风量，操作面板有声音报警同时可上传报警至中控系统；能应对房间断电保护，断电后可保证控制器持续工作，风阀具备断电保护功能，失电后处于常开状态；</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20.4）每台通风柜边框上安装1台操作显示器，具有通风柜排风启/停、标准/节能模式、紧急排风和消音及照明启/停功能等，≥6英寸彩色触摸屏显示，可至少显示实时面风速、排风量、运行状态、工作模式、报警状态等参数；通风柜运行时若发生面风速过低、紧急排风、柜门开启过高等，操作显示器立即进行报警指示（声、光报警），报警说明以文字显示并同时闪烁，面板上具有静音功能可将报警声置于静音；</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20.5）位移传感器：用于将通风柜移动窗的开启位置转换为开度电信号，直接卷轴式传感技术，柜门位置发生变化时电位器电阻改变，输出0~10V DC或0~5KΩ的模拟量电信号到通风柜控制器，由不锈钢钢丝直连到调节门或其配重上。</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21）配合采购人及采购人指定的第三方进行通风柜系统调试。</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（3）实验凳</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1）凳面直径340mm、高度480~580mm可调节；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2）凳面采用高密度定性海绵、皮革软垫；</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3）304不锈钢材质一体成型凳体，填充纤维密度板，拉丝收尾。</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（4）试剂架</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1）钢制；</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2）钢制立柱与台面下钢制柜体或钢制支撑架连接或焊接（非直接固定在台面上）；</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3）双层构造，高度≥600mm，层板高度可调；</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4）配有双层活动层板，≥1mm厚冷轧钢板折弯制作，表面经环氧树脂静电粉末喷涂，耐酸碱、防腐蚀；</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5）挂耳采用≥2.5mm厚冷轧钢板折弯制作，表面经环氧树脂静电粉末喷涂，耐酸碱、防腐蚀；</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6）所有焊接件均满焊，焊接牢固、无松动现象即无砂眼、虚焊、明显焊瘤及飞溅物，焊痕光滑平整；</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7）可配置多功能线槽、安装电源插座及网络插座等，在第一层层板下方安装带手动开关的功率约为10W的LED灯管（颜色为冷光白），长度与试剂架层板长度匹配。</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8）电源盒：钢制表面经酸洗、磷化、抛光等处理后环氧树脂粉末喷塑。</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（5）功能柱</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1）≥1.2mm厚冷轧钢板制造，高度2.7m；</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2）抗拉强度：375~500Mpa；</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3）钢制表面经酸洗、磷化、抛光等处理后环氧树脂粉末喷塑；</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4）本体与面板组合可拆装式设计，管线槽内的强电/弱电/水/气等具各自独立的区隔；</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5）预留实验台配电箱安装空间。</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（6）带通风药品柜</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1）全钢结构，≥1.2mm厚优质冷轧钢板一体成型；</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2）柜体内所有紧固件采用304不锈钢材质或尼龙材质；</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3）门板、层板采用≥1mm厚优质一级冷轧钢板材质，表面环氧树脂喷涂；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4）304不锈钢拉手、专用折页，折页旋转角度＞270°，柜门与柜体垂直开启角度180°；</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jc w:val="both"/>
        <w:textAlignment w:val="auto"/>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5）排风系统不在招标范围。</w:t>
      </w:r>
    </w:p>
    <w:tbl>
      <w:tblPr>
        <w:tblStyle w:val="36"/>
        <w:tblW w:w="9628" w:type="dxa"/>
        <w:jc w:val="center"/>
        <w:tblInd w:w="0" w:type="dxa"/>
        <w:tblLayout w:type="fixed"/>
        <w:tblCellMar>
          <w:top w:w="0" w:type="dxa"/>
          <w:left w:w="108" w:type="dxa"/>
          <w:bottom w:w="0" w:type="dxa"/>
          <w:right w:w="108" w:type="dxa"/>
        </w:tblCellMar>
      </w:tblPr>
      <w:tblGrid>
        <w:gridCol w:w="819"/>
        <w:gridCol w:w="4317"/>
        <w:gridCol w:w="4492"/>
      </w:tblGrid>
      <w:tr>
        <w:tblPrEx>
          <w:tblLayout w:type="fixed"/>
          <w:tblCellMar>
            <w:top w:w="0" w:type="dxa"/>
            <w:left w:w="108" w:type="dxa"/>
            <w:bottom w:w="0" w:type="dxa"/>
            <w:right w:w="108" w:type="dxa"/>
          </w:tblCellMar>
        </w:tblPrEx>
        <w:trPr>
          <w:trHeight w:val="340" w:hRule="atLeast"/>
          <w:jc w:val="center"/>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1"/>
                <w:szCs w:val="21"/>
                <w:highlight w:val="none"/>
              </w:rPr>
            </w:pPr>
            <w:r>
              <w:rPr>
                <w:rFonts w:hint="eastAsia" w:ascii="仿宋" w:hAnsi="仿宋" w:eastAsia="仿宋" w:cs="仿宋"/>
                <w:b/>
                <w:bCs/>
                <w:color w:val="auto"/>
                <w:kern w:val="0"/>
                <w:sz w:val="21"/>
                <w:szCs w:val="21"/>
                <w:highlight w:val="none"/>
                <w:lang w:bidi="ar"/>
              </w:rPr>
              <w:t>序号</w:t>
            </w:r>
          </w:p>
        </w:tc>
        <w:tc>
          <w:tcPr>
            <w:tcW w:w="4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auto"/>
                <w:sz w:val="21"/>
                <w:szCs w:val="21"/>
                <w:highlight w:val="none"/>
              </w:rPr>
            </w:pPr>
            <w:r>
              <w:rPr>
                <w:rFonts w:hint="eastAsia" w:ascii="仿宋" w:hAnsi="仿宋" w:eastAsia="仿宋" w:cs="仿宋"/>
                <w:b/>
                <w:bCs/>
                <w:color w:val="auto"/>
                <w:kern w:val="0"/>
                <w:sz w:val="21"/>
                <w:szCs w:val="21"/>
                <w:highlight w:val="none"/>
                <w:lang w:bidi="ar"/>
              </w:rPr>
              <w:t>产品或原材料名称</w:t>
            </w:r>
          </w:p>
        </w:tc>
        <w:tc>
          <w:tcPr>
            <w:tcW w:w="4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b/>
                <w:bCs/>
                <w:color w:val="auto"/>
                <w:sz w:val="21"/>
                <w:szCs w:val="21"/>
                <w:highlight w:val="none"/>
                <w:lang w:val="en-US" w:eastAsia="zh-CN"/>
              </w:rPr>
            </w:pPr>
            <w:r>
              <w:rPr>
                <w:rFonts w:hint="eastAsia" w:ascii="仿宋" w:hAnsi="仿宋" w:eastAsia="仿宋" w:cs="仿宋"/>
                <w:b/>
                <w:bCs/>
                <w:color w:val="auto"/>
                <w:kern w:val="0"/>
                <w:sz w:val="21"/>
                <w:szCs w:val="21"/>
                <w:highlight w:val="none"/>
                <w:lang w:bidi="ar"/>
              </w:rPr>
              <w:t>品牌</w:t>
            </w:r>
            <w:r>
              <w:rPr>
                <w:rFonts w:hint="eastAsia" w:ascii="仿宋" w:hAnsi="仿宋" w:eastAsia="仿宋" w:cs="仿宋"/>
                <w:b/>
                <w:bCs/>
                <w:color w:val="auto"/>
                <w:kern w:val="0"/>
                <w:sz w:val="21"/>
                <w:szCs w:val="21"/>
                <w:highlight w:val="none"/>
                <w:lang w:val="en-US" w:eastAsia="zh-CN" w:bidi="ar"/>
              </w:rPr>
              <w:t>参照或相当于</w:t>
            </w:r>
          </w:p>
        </w:tc>
      </w:tr>
      <w:tr>
        <w:tblPrEx>
          <w:tblLayout w:type="fixed"/>
          <w:tblCellMar>
            <w:top w:w="0" w:type="dxa"/>
            <w:left w:w="108" w:type="dxa"/>
            <w:bottom w:w="0" w:type="dxa"/>
            <w:right w:w="108" w:type="dxa"/>
          </w:tblCellMar>
        </w:tblPrEx>
        <w:trPr>
          <w:trHeight w:val="340" w:hRule="atLeast"/>
          <w:jc w:val="center"/>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kern w:val="0"/>
                <w:sz w:val="21"/>
                <w:szCs w:val="21"/>
                <w:highlight w:val="none"/>
                <w:lang w:val="en-US" w:eastAsia="zh-CN" w:bidi="ar"/>
              </w:rPr>
              <w:t>1</w:t>
            </w:r>
          </w:p>
        </w:tc>
        <w:tc>
          <w:tcPr>
            <w:tcW w:w="4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VAV文丘里阀控制系统</w:t>
            </w:r>
          </w:p>
        </w:tc>
        <w:tc>
          <w:tcPr>
            <w:tcW w:w="4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21"/>
                <w:szCs w:val="21"/>
                <w:highlight w:val="none"/>
                <w:lang w:val="en-US" w:eastAsia="zh-CN"/>
              </w:rPr>
            </w:pPr>
            <w:r>
              <w:rPr>
                <w:rFonts w:hint="eastAsia" w:ascii="仿宋" w:hAnsi="仿宋" w:eastAsia="仿宋" w:cs="仿宋"/>
                <w:color w:val="auto"/>
                <w:kern w:val="0"/>
                <w:sz w:val="21"/>
                <w:szCs w:val="21"/>
                <w:highlight w:val="none"/>
                <w:lang w:val="en-US" w:eastAsia="zh-CN" w:bidi="ar"/>
              </w:rPr>
              <w:t>科仕、</w:t>
            </w:r>
            <w:r>
              <w:rPr>
                <w:rFonts w:hint="eastAsia" w:ascii="仿宋" w:hAnsi="仿宋" w:eastAsia="仿宋" w:cs="仿宋"/>
                <w:color w:val="auto"/>
                <w:kern w:val="0"/>
                <w:sz w:val="21"/>
                <w:szCs w:val="21"/>
                <w:highlight w:val="none"/>
                <w:lang w:bidi="ar"/>
              </w:rPr>
              <w:t>西门子、阿尔法</w:t>
            </w:r>
          </w:p>
        </w:tc>
      </w:tr>
      <w:tr>
        <w:tblPrEx>
          <w:tblLayout w:type="fixed"/>
          <w:tblCellMar>
            <w:top w:w="0" w:type="dxa"/>
            <w:left w:w="108" w:type="dxa"/>
            <w:bottom w:w="0" w:type="dxa"/>
            <w:right w:w="108" w:type="dxa"/>
          </w:tblCellMar>
        </w:tblPrEx>
        <w:trPr>
          <w:trHeight w:val="340" w:hRule="atLeast"/>
          <w:jc w:val="center"/>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kern w:val="0"/>
                <w:sz w:val="21"/>
                <w:szCs w:val="21"/>
                <w:highlight w:val="none"/>
                <w:lang w:val="en-US" w:eastAsia="zh-CN" w:bidi="ar"/>
              </w:rPr>
              <w:t>2</w:t>
            </w:r>
          </w:p>
        </w:tc>
        <w:tc>
          <w:tcPr>
            <w:tcW w:w="4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仿宋" w:hAnsi="仿宋" w:eastAsia="仿宋" w:cs="仿宋"/>
                <w:color w:val="auto"/>
                <w:sz w:val="21"/>
                <w:szCs w:val="21"/>
                <w:highlight w:val="none"/>
                <w:lang w:val="en-US" w:eastAsia="zh-CN"/>
              </w:rPr>
            </w:pPr>
            <w:r>
              <w:rPr>
                <w:rFonts w:hint="eastAsia" w:ascii="仿宋" w:hAnsi="仿宋" w:eastAsia="仿宋" w:cs="仿宋"/>
                <w:color w:val="auto"/>
                <w:kern w:val="0"/>
                <w:sz w:val="21"/>
                <w:szCs w:val="21"/>
                <w:highlight w:val="none"/>
                <w:lang w:bidi="ar"/>
              </w:rPr>
              <w:t>陶瓷台面</w:t>
            </w:r>
            <w:r>
              <w:rPr>
                <w:rFonts w:hint="eastAsia" w:ascii="仿宋" w:hAnsi="仿宋" w:eastAsia="仿宋" w:cs="仿宋"/>
                <w:color w:val="auto"/>
                <w:kern w:val="0"/>
                <w:sz w:val="21"/>
                <w:szCs w:val="21"/>
                <w:highlight w:val="none"/>
                <w:lang w:eastAsia="zh-CN" w:bidi="ar"/>
              </w:rPr>
              <w:t>、</w:t>
            </w:r>
            <w:r>
              <w:rPr>
                <w:rFonts w:hint="eastAsia" w:ascii="仿宋" w:hAnsi="仿宋" w:eastAsia="仿宋" w:cs="仿宋"/>
                <w:color w:val="auto"/>
                <w:kern w:val="0"/>
                <w:sz w:val="21"/>
                <w:szCs w:val="21"/>
                <w:highlight w:val="none"/>
                <w:lang w:val="en-US" w:eastAsia="zh-CN" w:bidi="ar"/>
              </w:rPr>
              <w:t>水槽</w:t>
            </w:r>
          </w:p>
        </w:tc>
        <w:tc>
          <w:tcPr>
            <w:tcW w:w="4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榕德</w:t>
            </w:r>
            <w:r>
              <w:rPr>
                <w:rFonts w:hint="eastAsia" w:ascii="仿宋" w:hAnsi="仿宋" w:eastAsia="仿宋" w:cs="仿宋"/>
                <w:color w:val="auto"/>
                <w:kern w:val="0"/>
                <w:sz w:val="21"/>
                <w:szCs w:val="21"/>
                <w:highlight w:val="none"/>
                <w:lang w:eastAsia="zh-CN" w:bidi="ar"/>
              </w:rPr>
              <w:t>、</w:t>
            </w:r>
            <w:r>
              <w:rPr>
                <w:rFonts w:hint="eastAsia" w:ascii="仿宋" w:hAnsi="仿宋" w:eastAsia="仿宋" w:cs="仿宋"/>
                <w:color w:val="auto"/>
                <w:kern w:val="0"/>
                <w:sz w:val="21"/>
                <w:szCs w:val="21"/>
                <w:highlight w:val="none"/>
                <w:lang w:bidi="ar"/>
              </w:rPr>
              <w:t>科恩、陶克</w:t>
            </w:r>
          </w:p>
        </w:tc>
      </w:tr>
      <w:tr>
        <w:tblPrEx>
          <w:tblLayout w:type="fixed"/>
          <w:tblCellMar>
            <w:top w:w="0" w:type="dxa"/>
            <w:left w:w="108" w:type="dxa"/>
            <w:bottom w:w="0" w:type="dxa"/>
            <w:right w:w="108" w:type="dxa"/>
          </w:tblCellMar>
        </w:tblPrEx>
        <w:trPr>
          <w:trHeight w:val="340" w:hRule="atLeast"/>
          <w:jc w:val="center"/>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kern w:val="0"/>
                <w:sz w:val="21"/>
                <w:szCs w:val="21"/>
                <w:highlight w:val="none"/>
                <w:lang w:val="en-US" w:eastAsia="zh-CN" w:bidi="ar"/>
              </w:rPr>
              <w:t>3</w:t>
            </w:r>
          </w:p>
        </w:tc>
        <w:tc>
          <w:tcPr>
            <w:tcW w:w="4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三口水龙头</w:t>
            </w:r>
            <w:r>
              <w:rPr>
                <w:rFonts w:hint="eastAsia" w:ascii="仿宋" w:hAnsi="仿宋" w:eastAsia="仿宋" w:cs="仿宋"/>
                <w:color w:val="auto"/>
                <w:kern w:val="0"/>
                <w:sz w:val="21"/>
                <w:szCs w:val="21"/>
                <w:highlight w:val="none"/>
                <w:lang w:eastAsia="zh-CN" w:bidi="ar"/>
              </w:rPr>
              <w:t>、</w:t>
            </w:r>
            <w:r>
              <w:rPr>
                <w:rFonts w:hint="eastAsia" w:ascii="仿宋" w:hAnsi="仿宋" w:eastAsia="仿宋" w:cs="仿宋"/>
                <w:color w:val="auto"/>
                <w:kern w:val="0"/>
                <w:sz w:val="21"/>
                <w:szCs w:val="21"/>
                <w:highlight w:val="none"/>
                <w:lang w:bidi="ar"/>
              </w:rPr>
              <w:t>洗眼器</w:t>
            </w:r>
          </w:p>
        </w:tc>
        <w:tc>
          <w:tcPr>
            <w:tcW w:w="4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Watersaver、Broen、FAR</w:t>
            </w:r>
          </w:p>
        </w:tc>
      </w:tr>
      <w:tr>
        <w:tblPrEx>
          <w:tblLayout w:type="fixed"/>
          <w:tblCellMar>
            <w:top w:w="0" w:type="dxa"/>
            <w:left w:w="108" w:type="dxa"/>
            <w:bottom w:w="0" w:type="dxa"/>
            <w:right w:w="108" w:type="dxa"/>
          </w:tblCellMar>
        </w:tblPrEx>
        <w:trPr>
          <w:trHeight w:val="340" w:hRule="atLeast"/>
          <w:jc w:val="center"/>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kern w:val="0"/>
                <w:sz w:val="21"/>
                <w:szCs w:val="21"/>
                <w:highlight w:val="none"/>
                <w:lang w:val="en-US" w:eastAsia="zh-CN" w:bidi="ar"/>
              </w:rPr>
              <w:t>4</w:t>
            </w:r>
          </w:p>
        </w:tc>
        <w:tc>
          <w:tcPr>
            <w:tcW w:w="4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滴水架</w:t>
            </w:r>
          </w:p>
        </w:tc>
        <w:tc>
          <w:tcPr>
            <w:tcW w:w="4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科恩、博朗、台雄</w:t>
            </w:r>
          </w:p>
        </w:tc>
      </w:tr>
      <w:tr>
        <w:tblPrEx>
          <w:tblLayout w:type="fixed"/>
          <w:tblCellMar>
            <w:top w:w="0" w:type="dxa"/>
            <w:left w:w="108" w:type="dxa"/>
            <w:bottom w:w="0" w:type="dxa"/>
            <w:right w:w="108" w:type="dxa"/>
          </w:tblCellMar>
        </w:tblPrEx>
        <w:trPr>
          <w:trHeight w:val="340" w:hRule="atLeast"/>
          <w:jc w:val="center"/>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kern w:val="0"/>
                <w:sz w:val="21"/>
                <w:szCs w:val="21"/>
                <w:highlight w:val="none"/>
                <w:lang w:val="en-US" w:eastAsia="zh-CN" w:bidi="ar"/>
              </w:rPr>
              <w:t>5</w:t>
            </w:r>
          </w:p>
        </w:tc>
        <w:tc>
          <w:tcPr>
            <w:tcW w:w="4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滑轨</w:t>
            </w:r>
          </w:p>
        </w:tc>
        <w:tc>
          <w:tcPr>
            <w:tcW w:w="4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海福、DTC、TEVEL</w:t>
            </w:r>
          </w:p>
        </w:tc>
      </w:tr>
      <w:tr>
        <w:tblPrEx>
          <w:tblLayout w:type="fixed"/>
          <w:tblCellMar>
            <w:top w:w="0" w:type="dxa"/>
            <w:left w:w="108" w:type="dxa"/>
            <w:bottom w:w="0" w:type="dxa"/>
            <w:right w:w="108" w:type="dxa"/>
          </w:tblCellMar>
        </w:tblPrEx>
        <w:trPr>
          <w:trHeight w:val="340" w:hRule="atLeast"/>
          <w:jc w:val="center"/>
        </w:trPr>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lang w:eastAsia="zh-CN"/>
              </w:rPr>
            </w:pPr>
            <w:r>
              <w:rPr>
                <w:rFonts w:hint="eastAsia" w:ascii="仿宋" w:hAnsi="仿宋" w:eastAsia="仿宋" w:cs="仿宋"/>
                <w:color w:val="auto"/>
                <w:kern w:val="0"/>
                <w:sz w:val="21"/>
                <w:szCs w:val="21"/>
                <w:highlight w:val="none"/>
                <w:lang w:val="en-US" w:eastAsia="zh-CN" w:bidi="ar"/>
              </w:rPr>
              <w:t>6</w:t>
            </w:r>
          </w:p>
        </w:tc>
        <w:tc>
          <w:tcPr>
            <w:tcW w:w="431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钢板</w:t>
            </w:r>
          </w:p>
        </w:tc>
        <w:tc>
          <w:tcPr>
            <w:tcW w:w="44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宝钢、鞍钢、武钢</w:t>
            </w:r>
          </w:p>
        </w:tc>
      </w:tr>
    </w:tbl>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outlineLvl w:val="9"/>
        <w:rPr>
          <w:rFonts w:hint="eastAsia" w:ascii="仿宋" w:hAnsi="仿宋" w:eastAsia="仿宋" w:cs="仿宋"/>
          <w:b/>
          <w:color w:val="auto"/>
          <w:spacing w:val="-6"/>
          <w:kern w:val="0"/>
          <w:sz w:val="21"/>
          <w:szCs w:val="21"/>
          <w:highlight w:val="none"/>
        </w:rPr>
      </w:pP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outlineLvl w:val="9"/>
        <w:rPr>
          <w:rFonts w:hint="eastAsia" w:ascii="仿宋" w:hAnsi="仿宋" w:eastAsia="仿宋" w:cs="仿宋"/>
          <w:b/>
          <w:color w:val="auto"/>
          <w:spacing w:val="-6"/>
          <w:kern w:val="0"/>
          <w:sz w:val="21"/>
          <w:szCs w:val="21"/>
          <w:highlight w:val="none"/>
        </w:rPr>
      </w:pPr>
      <w:r>
        <w:rPr>
          <w:rFonts w:hint="eastAsia" w:ascii="仿宋" w:hAnsi="仿宋" w:eastAsia="仿宋" w:cs="仿宋"/>
          <w:b/>
          <w:color w:val="auto"/>
          <w:spacing w:val="-6"/>
          <w:kern w:val="0"/>
          <w:sz w:val="21"/>
          <w:szCs w:val="21"/>
          <w:highlight w:val="none"/>
        </w:rPr>
        <w:t>其他技术要求</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outlineLvl w:val="9"/>
        <w:rPr>
          <w:rFonts w:hint="eastAsia" w:ascii="仿宋" w:hAnsi="仿宋" w:eastAsia="仿宋" w:cs="仿宋"/>
          <w:color w:val="auto"/>
          <w:sz w:val="21"/>
          <w:szCs w:val="21"/>
          <w:highlight w:val="none"/>
          <w:lang w:val="zh-CN"/>
        </w:rPr>
      </w:pPr>
      <w:r>
        <w:rPr>
          <w:rFonts w:hint="eastAsia" w:ascii="仿宋" w:hAnsi="仿宋" w:eastAsia="仿宋" w:cs="仿宋"/>
          <w:color w:val="auto"/>
          <w:spacing w:val="-6"/>
          <w:kern w:val="0"/>
          <w:sz w:val="21"/>
          <w:szCs w:val="21"/>
          <w:highlight w:val="none"/>
        </w:rPr>
        <w:t>本次招标要求携带样品参加投标</w:t>
      </w:r>
      <w:r>
        <w:rPr>
          <w:rFonts w:hint="eastAsia" w:ascii="仿宋" w:hAnsi="仿宋" w:eastAsia="仿宋" w:cs="仿宋"/>
          <w:color w:val="auto"/>
          <w:spacing w:val="-6"/>
          <w:kern w:val="0"/>
          <w:sz w:val="21"/>
          <w:szCs w:val="21"/>
          <w:highlight w:val="none"/>
          <w:lang w:eastAsia="zh-CN"/>
        </w:rPr>
        <w:t>，</w:t>
      </w:r>
      <w:r>
        <w:rPr>
          <w:rFonts w:hint="eastAsia" w:ascii="仿宋" w:hAnsi="仿宋" w:eastAsia="仿宋" w:cs="仿宋"/>
          <w:color w:val="auto"/>
          <w:spacing w:val="-6"/>
          <w:kern w:val="0"/>
          <w:sz w:val="21"/>
          <w:szCs w:val="21"/>
          <w:highlight w:val="none"/>
        </w:rPr>
        <w:t>验收时如果中标人提供的产品质量低于样品质量，采购人将不予接受，其造成的一切损失和后果由中标人承担。样品中不准有与投标人</w:t>
      </w:r>
      <w:r>
        <w:rPr>
          <w:rFonts w:hint="eastAsia" w:ascii="仿宋" w:hAnsi="仿宋" w:eastAsia="仿宋" w:cs="仿宋"/>
          <w:color w:val="auto"/>
          <w:spacing w:val="-6"/>
          <w:kern w:val="0"/>
          <w:sz w:val="21"/>
          <w:szCs w:val="21"/>
          <w:highlight w:val="none"/>
          <w:lang w:eastAsia="zh-CN"/>
        </w:rPr>
        <w:t>（</w:t>
      </w:r>
      <w:r>
        <w:rPr>
          <w:rFonts w:hint="eastAsia" w:ascii="仿宋" w:hAnsi="仿宋" w:eastAsia="仿宋" w:cs="仿宋"/>
          <w:color w:val="auto"/>
          <w:spacing w:val="-6"/>
          <w:kern w:val="0"/>
          <w:sz w:val="21"/>
          <w:szCs w:val="21"/>
          <w:highlight w:val="none"/>
          <w:lang w:val="en-US" w:eastAsia="zh-CN"/>
        </w:rPr>
        <w:t>含产品制造商</w:t>
      </w:r>
      <w:r>
        <w:rPr>
          <w:rFonts w:hint="eastAsia" w:ascii="仿宋" w:hAnsi="仿宋" w:eastAsia="仿宋" w:cs="仿宋"/>
          <w:color w:val="auto"/>
          <w:spacing w:val="-6"/>
          <w:kern w:val="0"/>
          <w:sz w:val="21"/>
          <w:szCs w:val="21"/>
          <w:highlight w:val="none"/>
          <w:lang w:eastAsia="zh-CN"/>
        </w:rPr>
        <w:t>）</w:t>
      </w:r>
      <w:r>
        <w:rPr>
          <w:rFonts w:hint="eastAsia" w:ascii="仿宋" w:hAnsi="仿宋" w:eastAsia="仿宋" w:cs="仿宋"/>
          <w:color w:val="auto"/>
          <w:spacing w:val="-6"/>
          <w:kern w:val="0"/>
          <w:sz w:val="21"/>
          <w:szCs w:val="21"/>
          <w:highlight w:val="none"/>
        </w:rPr>
        <w:t>相关的商标、图案和文字等标识（如有此标识，请遮挡或剔除该标识），否则</w:t>
      </w:r>
      <w:r>
        <w:rPr>
          <w:rFonts w:hint="eastAsia" w:ascii="仿宋" w:hAnsi="仿宋" w:eastAsia="仿宋" w:cs="仿宋"/>
          <w:color w:val="auto"/>
          <w:spacing w:val="-6"/>
          <w:kern w:val="0"/>
          <w:sz w:val="21"/>
          <w:szCs w:val="21"/>
          <w:highlight w:val="none"/>
          <w:lang w:val="en-US" w:eastAsia="zh-CN"/>
        </w:rPr>
        <w:t>样品分为零分</w:t>
      </w:r>
      <w:r>
        <w:rPr>
          <w:rFonts w:hint="eastAsia" w:ascii="仿宋" w:hAnsi="仿宋" w:eastAsia="仿宋" w:cs="仿宋"/>
          <w:color w:val="auto"/>
          <w:spacing w:val="-6"/>
          <w:kern w:val="0"/>
          <w:sz w:val="21"/>
          <w:szCs w:val="21"/>
          <w:highlight w:val="none"/>
        </w:rPr>
        <w:t>。</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outlineLvl w:val="9"/>
        <w:rPr>
          <w:rFonts w:hint="eastAsia" w:ascii="仿宋" w:hAnsi="仿宋" w:eastAsia="仿宋" w:cs="仿宋"/>
          <w:b/>
          <w:bCs/>
          <w:color w:val="auto"/>
          <w:spacing w:val="-6"/>
          <w:kern w:val="0"/>
          <w:sz w:val="21"/>
          <w:szCs w:val="21"/>
          <w:highlight w:val="none"/>
        </w:rPr>
      </w:pPr>
      <w:r>
        <w:rPr>
          <w:rFonts w:hint="eastAsia" w:ascii="仿宋" w:hAnsi="仿宋" w:eastAsia="仿宋" w:cs="仿宋"/>
          <w:b/>
          <w:bCs/>
          <w:color w:val="auto"/>
          <w:spacing w:val="-6"/>
          <w:kern w:val="0"/>
          <w:sz w:val="21"/>
          <w:szCs w:val="21"/>
          <w:highlight w:val="none"/>
        </w:rPr>
        <w:t>样品要求</w:t>
      </w:r>
    </w:p>
    <w:tbl>
      <w:tblPr>
        <w:tblStyle w:val="36"/>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5969"/>
        <w:gridCol w:w="1619"/>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57"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5969"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产品</w:t>
            </w:r>
            <w:r>
              <w:rPr>
                <w:rFonts w:hint="eastAsia" w:ascii="仿宋" w:hAnsi="仿宋" w:eastAsia="仿宋" w:cs="仿宋"/>
                <w:b/>
                <w:bCs/>
                <w:color w:val="auto"/>
                <w:sz w:val="21"/>
                <w:szCs w:val="21"/>
                <w:highlight w:val="none"/>
              </w:rPr>
              <w:t>名称</w:t>
            </w:r>
          </w:p>
        </w:tc>
        <w:tc>
          <w:tcPr>
            <w:tcW w:w="161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规格</w:t>
            </w:r>
            <w:r>
              <w:rPr>
                <w:rFonts w:hint="eastAsia" w:ascii="仿宋" w:hAnsi="仿宋" w:eastAsia="仿宋" w:cs="仿宋"/>
                <w:b/>
                <w:bCs/>
                <w:color w:val="auto"/>
                <w:sz w:val="21"/>
                <w:szCs w:val="21"/>
                <w:highlight w:val="none"/>
                <w:lang w:val="en-US" w:eastAsia="zh-CN"/>
              </w:rPr>
              <w:t>mm</w:t>
            </w:r>
          </w:p>
        </w:tc>
        <w:tc>
          <w:tcPr>
            <w:tcW w:w="1383"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57" w:type="dxa"/>
            <w:vAlign w:val="center"/>
          </w:tcPr>
          <w:p>
            <w:pPr>
              <w:jc w:val="center"/>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4</w:t>
            </w:r>
          </w:p>
        </w:tc>
        <w:tc>
          <w:tcPr>
            <w:tcW w:w="5969" w:type="dxa"/>
            <w:vAlign w:val="center"/>
          </w:tcPr>
          <w:p>
            <w:pPr>
              <w:jc w:val="center"/>
              <w:rPr>
                <w:rFonts w:hint="default" w:ascii="仿宋" w:hAnsi="仿宋" w:eastAsia="仿宋" w:cs="仿宋"/>
                <w:color w:val="auto"/>
                <w:sz w:val="21"/>
                <w:szCs w:val="21"/>
                <w:highlight w:val="none"/>
                <w:lang w:val="en-US" w:eastAsia="zh-CN"/>
              </w:rPr>
            </w:pPr>
            <w:r>
              <w:rPr>
                <w:rFonts w:hint="default" w:ascii="仿宋" w:hAnsi="仿宋" w:eastAsia="仿宋" w:cs="仿宋"/>
                <w:color w:val="auto"/>
                <w:sz w:val="21"/>
                <w:szCs w:val="21"/>
                <w:highlight w:val="none"/>
                <w:lang w:val="en-US" w:eastAsia="zh-CN"/>
              </w:rPr>
              <w:t>可移动边台</w:t>
            </w:r>
            <w:r>
              <w:rPr>
                <w:rFonts w:hint="eastAsia" w:ascii="仿宋" w:hAnsi="仿宋" w:eastAsia="仿宋" w:cs="仿宋"/>
                <w:color w:val="auto"/>
                <w:sz w:val="21"/>
                <w:szCs w:val="21"/>
                <w:highlight w:val="none"/>
                <w:lang w:val="en-US" w:eastAsia="zh-CN"/>
              </w:rPr>
              <w:t>（含</w:t>
            </w:r>
            <w:r>
              <w:rPr>
                <w:rFonts w:hint="default" w:ascii="仿宋" w:hAnsi="仿宋" w:eastAsia="仿宋" w:cs="仿宋"/>
                <w:color w:val="auto"/>
                <w:sz w:val="21"/>
                <w:szCs w:val="21"/>
                <w:highlight w:val="none"/>
                <w:lang w:val="en-US" w:eastAsia="zh-CN"/>
              </w:rPr>
              <w:t>试剂架</w:t>
            </w:r>
            <w:r>
              <w:rPr>
                <w:rFonts w:hint="eastAsia" w:ascii="仿宋" w:hAnsi="仿宋" w:eastAsia="仿宋" w:cs="仿宋"/>
                <w:color w:val="auto"/>
                <w:sz w:val="21"/>
                <w:szCs w:val="21"/>
                <w:highlight w:val="none"/>
                <w:lang w:val="en-US" w:eastAsia="zh-CN"/>
              </w:rPr>
              <w:t>）</w:t>
            </w:r>
          </w:p>
        </w:tc>
        <w:tc>
          <w:tcPr>
            <w:tcW w:w="1619" w:type="dxa"/>
            <w:vAlign w:val="center"/>
          </w:tcPr>
          <w:p>
            <w:pPr>
              <w:jc w:val="cente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1000*750*850</w:t>
            </w:r>
          </w:p>
        </w:tc>
        <w:tc>
          <w:tcPr>
            <w:tcW w:w="1383" w:type="dxa"/>
            <w:vAlign w:val="center"/>
          </w:tcPr>
          <w:p>
            <w:pPr>
              <w:jc w:val="center"/>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≥1延米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8" w:type="dxa"/>
            <w:gridSpan w:val="4"/>
            <w:vAlign w:val="center"/>
          </w:tcPr>
          <w:p>
            <w:pPr>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备注：样品评分时评标委员会会对样品进行破坏性实验，投标人自行考虑投标风险。</w:t>
            </w:r>
          </w:p>
        </w:tc>
      </w:tr>
    </w:tbl>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422" w:firstLineChars="200"/>
        <w:jc w:val="both"/>
        <w:textAlignment w:val="auto"/>
        <w:outlineLvl w:val="9"/>
        <w:rPr>
          <w:rFonts w:hint="eastAsia" w:ascii="仿宋" w:hAnsi="仿宋" w:eastAsia="仿宋" w:cs="仿宋"/>
          <w:b/>
          <w:color w:val="auto"/>
          <w:sz w:val="21"/>
          <w:szCs w:val="21"/>
          <w:highlight w:val="none"/>
        </w:rPr>
      </w:pPr>
    </w:p>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422" w:firstLineChars="200"/>
        <w:jc w:val="both"/>
        <w:textAlignment w:val="auto"/>
        <w:outlineLvl w:val="9"/>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1.样品递交时间</w:t>
      </w:r>
      <w:r>
        <w:rPr>
          <w:rFonts w:hint="eastAsia" w:ascii="仿宋" w:hAnsi="仿宋" w:eastAsia="仿宋" w:cs="仿宋"/>
          <w:b/>
          <w:color w:val="auto"/>
          <w:sz w:val="21"/>
          <w:szCs w:val="21"/>
          <w:highlight w:val="none"/>
          <w:lang w:eastAsia="zh-CN"/>
        </w:rPr>
        <w:t>：</w:t>
      </w:r>
      <w:r>
        <w:rPr>
          <w:rFonts w:hint="eastAsia" w:ascii="仿宋" w:hAnsi="仿宋" w:eastAsia="仿宋" w:cs="仿宋"/>
          <w:b/>
          <w:color w:val="auto"/>
          <w:szCs w:val="21"/>
          <w:highlight w:val="none"/>
          <w:vertAlign w:val="baseline"/>
          <w:lang w:eastAsia="zh-CN"/>
        </w:rPr>
        <w:t>2023年05月29日下午14:00:00</w:t>
      </w:r>
      <w:r>
        <w:rPr>
          <w:rFonts w:hint="eastAsia" w:ascii="仿宋" w:hAnsi="仿宋" w:eastAsia="仿宋" w:cs="仿宋"/>
          <w:b/>
          <w:color w:val="auto"/>
          <w:szCs w:val="21"/>
          <w:highlight w:val="none"/>
          <w:vertAlign w:val="baseline"/>
        </w:rPr>
        <w:t>前</w:t>
      </w:r>
      <w:r>
        <w:rPr>
          <w:rFonts w:hint="eastAsia" w:ascii="仿宋" w:hAnsi="仿宋" w:eastAsia="仿宋" w:cs="仿宋"/>
          <w:b/>
          <w:color w:val="auto"/>
          <w:sz w:val="21"/>
          <w:szCs w:val="21"/>
          <w:highlight w:val="none"/>
          <w:lang w:val="en-US" w:eastAsia="zh-CN"/>
        </w:rPr>
        <w:t>（含完成组装）</w:t>
      </w:r>
      <w:r>
        <w:rPr>
          <w:rFonts w:hint="eastAsia" w:ascii="仿宋" w:hAnsi="仿宋" w:eastAsia="仿宋" w:cs="仿宋"/>
          <w:b/>
          <w:color w:val="auto"/>
          <w:sz w:val="21"/>
          <w:szCs w:val="21"/>
          <w:highlight w:val="none"/>
        </w:rPr>
        <w:t>，</w:t>
      </w:r>
      <w:r>
        <w:rPr>
          <w:rFonts w:hint="eastAsia" w:ascii="仿宋" w:hAnsi="仿宋" w:eastAsia="仿宋" w:cs="仿宋"/>
          <w:b/>
          <w:color w:val="auto"/>
          <w:sz w:val="21"/>
          <w:szCs w:val="21"/>
          <w:highlight w:val="none"/>
          <w:lang w:eastAsia="zh-CN"/>
        </w:rPr>
        <w:t>递交地点：杭州市西湖区玉古路173号中田大厦</w:t>
      </w:r>
      <w:r>
        <w:rPr>
          <w:rFonts w:hint="eastAsia" w:ascii="仿宋" w:hAnsi="仿宋" w:eastAsia="仿宋" w:cs="仿宋"/>
          <w:b/>
          <w:color w:val="auto"/>
          <w:sz w:val="21"/>
          <w:szCs w:val="21"/>
          <w:highlight w:val="none"/>
          <w:lang w:val="en-US" w:eastAsia="zh-CN"/>
        </w:rPr>
        <w:t>16</w:t>
      </w:r>
      <w:r>
        <w:rPr>
          <w:rFonts w:hint="eastAsia" w:ascii="仿宋" w:hAnsi="仿宋" w:eastAsia="仿宋" w:cs="仿宋"/>
          <w:b/>
          <w:color w:val="auto"/>
          <w:sz w:val="21"/>
          <w:szCs w:val="21"/>
          <w:highlight w:val="none"/>
          <w:lang w:eastAsia="zh-CN"/>
        </w:rPr>
        <w:t>楼求是招标</w:t>
      </w:r>
      <w:r>
        <w:rPr>
          <w:rFonts w:hint="eastAsia" w:ascii="仿宋" w:hAnsi="仿宋" w:eastAsia="仿宋" w:cs="仿宋"/>
          <w:b/>
          <w:color w:val="auto"/>
          <w:sz w:val="21"/>
          <w:szCs w:val="21"/>
          <w:highlight w:val="none"/>
          <w:lang w:val="en-US" w:eastAsia="zh-CN"/>
        </w:rPr>
        <w:t>样品室</w:t>
      </w:r>
      <w:r>
        <w:rPr>
          <w:rFonts w:hint="eastAsia" w:ascii="仿宋" w:hAnsi="仿宋" w:eastAsia="仿宋" w:cs="仿宋"/>
          <w:b/>
          <w:color w:val="auto"/>
          <w:sz w:val="21"/>
          <w:szCs w:val="21"/>
          <w:highlight w:val="none"/>
          <w:lang w:eastAsia="zh-CN"/>
        </w:rPr>
        <w:t>，</w:t>
      </w:r>
      <w:r>
        <w:rPr>
          <w:rFonts w:hint="eastAsia" w:ascii="仿宋" w:hAnsi="仿宋" w:eastAsia="仿宋" w:cs="仿宋"/>
          <w:b/>
          <w:color w:val="auto"/>
          <w:sz w:val="21"/>
          <w:szCs w:val="21"/>
          <w:highlight w:val="none"/>
        </w:rPr>
        <w:t>逾期送达将予以拒收；</w:t>
      </w:r>
    </w:p>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422" w:firstLineChars="200"/>
        <w:jc w:val="both"/>
        <w:textAlignment w:val="auto"/>
        <w:outlineLvl w:val="9"/>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lang w:val="en-US" w:eastAsia="zh-CN"/>
        </w:rPr>
        <w:t>2.</w:t>
      </w:r>
      <w:r>
        <w:rPr>
          <w:rFonts w:hint="eastAsia" w:ascii="仿宋" w:hAnsi="仿宋" w:eastAsia="仿宋" w:cs="仿宋"/>
          <w:b/>
          <w:color w:val="auto"/>
          <w:sz w:val="21"/>
          <w:szCs w:val="21"/>
          <w:highlight w:val="none"/>
        </w:rPr>
        <w:t>采购活动结束后，对于未中标人提供的样品，采购代理机构及时退还或者经未中标人同意后自行处理；</w:t>
      </w:r>
    </w:p>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422" w:firstLineChars="200"/>
        <w:jc w:val="both"/>
        <w:textAlignment w:val="auto"/>
        <w:outlineLvl w:val="9"/>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3.样品制作标准和要求：</w:t>
      </w:r>
      <w:r>
        <w:rPr>
          <w:rFonts w:hint="eastAsia" w:ascii="仿宋" w:hAnsi="仿宋" w:eastAsia="仿宋" w:cs="仿宋"/>
          <w:b/>
          <w:color w:val="auto"/>
          <w:sz w:val="21"/>
          <w:szCs w:val="21"/>
          <w:highlight w:val="none"/>
          <w:lang w:eastAsia="zh-CN"/>
        </w:rPr>
        <w:t>详见样品要求及采购需求</w:t>
      </w:r>
      <w:r>
        <w:rPr>
          <w:rFonts w:hint="eastAsia" w:ascii="仿宋" w:hAnsi="仿宋" w:eastAsia="仿宋" w:cs="仿宋"/>
          <w:b/>
          <w:color w:val="auto"/>
          <w:sz w:val="21"/>
          <w:szCs w:val="21"/>
          <w:highlight w:val="none"/>
        </w:rPr>
        <w:t>；</w:t>
      </w:r>
    </w:p>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422" w:firstLineChars="200"/>
        <w:jc w:val="both"/>
        <w:textAlignment w:val="auto"/>
        <w:outlineLvl w:val="9"/>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4.是否需要随样品提交相关检测报告</w:t>
      </w:r>
      <w:r>
        <w:rPr>
          <w:rFonts w:hint="eastAsia" w:ascii="仿宋" w:hAnsi="仿宋" w:eastAsia="仿宋" w:cs="仿宋"/>
          <w:b/>
          <w:color w:val="auto"/>
          <w:sz w:val="21"/>
          <w:szCs w:val="21"/>
          <w:highlight w:val="none"/>
          <w:lang w:eastAsia="zh-CN"/>
        </w:rPr>
        <w:t>：否；</w:t>
      </w:r>
    </w:p>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422" w:firstLineChars="200"/>
        <w:jc w:val="both"/>
        <w:textAlignment w:val="auto"/>
        <w:outlineLvl w:val="9"/>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 xml:space="preserve">5.样品的评审方法以及评审标准：样品随机排序，评标委员会针对样品的序号进行样品分打分，评审标准详见第四章 </w:t>
      </w:r>
      <w:r>
        <w:rPr>
          <w:rFonts w:hint="eastAsia" w:ascii="仿宋" w:hAnsi="仿宋" w:eastAsia="仿宋" w:cs="仿宋"/>
          <w:b/>
          <w:color w:val="auto"/>
          <w:sz w:val="21"/>
          <w:szCs w:val="21"/>
          <w:highlight w:val="none"/>
          <w:lang w:val="en-US" w:eastAsia="zh-CN"/>
        </w:rPr>
        <w:t xml:space="preserve"> </w:t>
      </w:r>
      <w:r>
        <w:rPr>
          <w:rFonts w:hint="eastAsia" w:ascii="仿宋" w:hAnsi="仿宋" w:eastAsia="仿宋" w:cs="仿宋"/>
          <w:b/>
          <w:color w:val="auto"/>
          <w:sz w:val="21"/>
          <w:szCs w:val="21"/>
          <w:highlight w:val="none"/>
        </w:rPr>
        <w:t>评标办法及评分标准；</w:t>
      </w:r>
    </w:p>
    <w:p>
      <w:pPr>
        <w:pStyle w:val="2"/>
        <w:keepNext w:val="0"/>
        <w:keepLines w:val="0"/>
        <w:pageBreakBefore w:val="0"/>
        <w:widowControl w:val="0"/>
        <w:kinsoku/>
        <w:wordWrap/>
        <w:overflowPunct/>
        <w:topLinePunct w:val="0"/>
        <w:autoSpaceDE/>
        <w:autoSpaceDN/>
        <w:bidi w:val="0"/>
        <w:adjustRightInd/>
        <w:snapToGrid/>
        <w:spacing w:after="0" w:line="288" w:lineRule="auto"/>
        <w:ind w:firstLine="422"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6.投标人中标并与采购人签订合同后，其样品的质量将作为验收标准之一。</w:t>
      </w:r>
    </w:p>
    <w:p>
      <w:pPr>
        <w:pStyle w:val="2"/>
        <w:keepNext w:val="0"/>
        <w:keepLines w:val="0"/>
        <w:pageBreakBefore w:val="0"/>
        <w:widowControl w:val="0"/>
        <w:kinsoku/>
        <w:wordWrap/>
        <w:overflowPunct/>
        <w:topLinePunct w:val="0"/>
        <w:autoSpaceDE/>
        <w:autoSpaceDN/>
        <w:bidi w:val="0"/>
        <w:adjustRightInd/>
        <w:snapToGrid/>
        <w:spacing w:after="0" w:line="288" w:lineRule="auto"/>
        <w:ind w:firstLine="643" w:firstLineChars="200"/>
        <w:textAlignment w:val="auto"/>
        <w:rPr>
          <w:color w:val="auto"/>
          <w:highlight w:val="none"/>
        </w:rPr>
      </w:pPr>
      <w:r>
        <w:rPr>
          <w:rFonts w:hint="eastAsia" w:ascii="仿宋" w:hAnsi="仿宋" w:eastAsia="仿宋" w:cs="仿宋"/>
          <w:b/>
          <w:color w:val="auto"/>
          <w:sz w:val="32"/>
          <w:szCs w:val="32"/>
          <w:highlight w:val="none"/>
        </w:rPr>
        <w:br w:type="page"/>
      </w:r>
    </w:p>
    <w:p>
      <w:pPr>
        <w:adjustRightInd w:val="0"/>
        <w:snapToGrid w:val="0"/>
        <w:spacing w:line="288" w:lineRule="auto"/>
        <w:jc w:val="center"/>
        <w:outlineLvl w:val="0"/>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第三章  投标人须知</w:t>
      </w:r>
    </w:p>
    <w:p>
      <w:pPr>
        <w:adjustRightInd w:val="0"/>
        <w:snapToGrid w:val="0"/>
        <w:spacing w:line="288" w:lineRule="auto"/>
        <w:jc w:val="center"/>
        <w:outlineLvl w:val="1"/>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投标人须知前附表</w:t>
      </w:r>
    </w:p>
    <w:tbl>
      <w:tblPr>
        <w:tblStyle w:val="36"/>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1789"/>
        <w:gridCol w:w="6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条款号</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内容</w:t>
            </w:r>
          </w:p>
        </w:tc>
        <w:tc>
          <w:tcPr>
            <w:tcW w:w="682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一、1</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适用范围</w:t>
            </w:r>
          </w:p>
        </w:tc>
        <w:tc>
          <w:tcPr>
            <w:tcW w:w="6829"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本招标文件适用于</w:t>
            </w:r>
            <w:r>
              <w:rPr>
                <w:rFonts w:hint="eastAsia" w:ascii="仿宋" w:hAnsi="仿宋" w:eastAsia="仿宋" w:cs="仿宋"/>
                <w:color w:val="auto"/>
                <w:sz w:val="21"/>
                <w:szCs w:val="21"/>
                <w:highlight w:val="none"/>
                <w:lang w:eastAsia="zh-CN"/>
              </w:rPr>
              <w:t>之江实验室之江实验室智能计算育种数字反应堆平台专业实验室家具项目</w:t>
            </w:r>
            <w:r>
              <w:rPr>
                <w:rFonts w:hint="eastAsia" w:ascii="仿宋" w:hAnsi="仿宋" w:eastAsia="仿宋" w:cs="仿宋"/>
                <w:color w:val="auto"/>
                <w:sz w:val="21"/>
                <w:szCs w:val="21"/>
                <w:highlight w:val="none"/>
              </w:rPr>
              <w:t>的招标、评标、定标、验收、合同履约、付款等（法律、法规另有规定的，从其规定）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一、3</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招标方式</w:t>
            </w:r>
          </w:p>
        </w:tc>
        <w:tc>
          <w:tcPr>
            <w:tcW w:w="6829"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pacing w:val="-6"/>
                <w:szCs w:val="21"/>
                <w:highlight w:val="none"/>
              </w:rPr>
              <w:t>本次招标采用公开招标方式进行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一、4</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投标费用</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4.</w:t>
            </w:r>
            <w:r>
              <w:rPr>
                <w:rFonts w:hint="eastAsia" w:ascii="仿宋" w:hAnsi="仿宋" w:eastAsia="仿宋" w:cs="仿宋"/>
                <w:color w:val="auto"/>
                <w:sz w:val="21"/>
                <w:szCs w:val="21"/>
                <w:highlight w:val="none"/>
              </w:rPr>
              <w:t>1</w:t>
            </w:r>
            <w:r>
              <w:rPr>
                <w:rFonts w:hint="eastAsia" w:ascii="仿宋" w:hAnsi="仿宋" w:eastAsia="仿宋" w:cs="仿宋"/>
                <w:color w:val="auto"/>
                <w:sz w:val="21"/>
                <w:szCs w:val="21"/>
                <w:highlight w:val="none"/>
                <w:lang w:val="en-US" w:eastAsia="zh-CN"/>
              </w:rPr>
              <w:t xml:space="preserve"> </w:t>
            </w:r>
            <w:r>
              <w:rPr>
                <w:rFonts w:hint="eastAsia" w:ascii="仿宋" w:hAnsi="仿宋" w:eastAsia="仿宋" w:cs="仿宋"/>
                <w:color w:val="auto"/>
                <w:sz w:val="21"/>
                <w:szCs w:val="21"/>
                <w:highlight w:val="none"/>
              </w:rPr>
              <w:t>不论投标结果如何，投标人均应自行承担所有与投标有关的全部费用；</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4.</w:t>
            </w:r>
            <w:r>
              <w:rPr>
                <w:rFonts w:hint="eastAsia" w:ascii="仿宋" w:hAnsi="仿宋" w:eastAsia="仿宋" w:cs="仿宋"/>
                <w:color w:val="auto"/>
                <w:sz w:val="21"/>
                <w:szCs w:val="21"/>
                <w:highlight w:val="none"/>
              </w:rPr>
              <w:t>2</w:t>
            </w:r>
            <w:r>
              <w:rPr>
                <w:rFonts w:hint="eastAsia" w:ascii="仿宋" w:hAnsi="仿宋" w:eastAsia="仿宋" w:cs="仿宋"/>
                <w:color w:val="auto"/>
                <w:sz w:val="21"/>
                <w:szCs w:val="21"/>
                <w:highlight w:val="none"/>
                <w:lang w:val="en-US" w:eastAsia="zh-CN"/>
              </w:rPr>
              <w:t xml:space="preserve"> </w:t>
            </w:r>
            <w:r>
              <w:rPr>
                <w:rFonts w:hint="eastAsia" w:ascii="仿宋" w:hAnsi="仿宋" w:eastAsia="仿宋" w:cs="仿宋"/>
                <w:color w:val="auto"/>
                <w:sz w:val="21"/>
                <w:szCs w:val="21"/>
                <w:highlight w:val="none"/>
                <w:lang w:eastAsia="zh-CN"/>
              </w:rPr>
              <w:t>中标人在中标通知书发出之日起七个工作日内向采购代理机构交纳代理服务费</w:t>
            </w:r>
            <w:r>
              <w:rPr>
                <w:rFonts w:hint="eastAsia" w:ascii="仿宋" w:hAnsi="仿宋" w:eastAsia="仿宋" w:cs="仿宋"/>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 xml:space="preserve">4.3 </w:t>
            </w:r>
            <w:r>
              <w:rPr>
                <w:rFonts w:hint="eastAsia" w:ascii="仿宋" w:hAnsi="仿宋" w:eastAsia="仿宋" w:cs="仿宋"/>
                <w:color w:val="auto"/>
                <w:sz w:val="21"/>
                <w:szCs w:val="21"/>
                <w:highlight w:val="none"/>
              </w:rPr>
              <w:t>中标人逾期支付代理服务费，须承担代理服务费每日百分之三的违约金，逾期十日未支付的，采购代理机构有权向杭州仲裁委员会对中标人提起仲裁，仲裁费用（包括仲裁受理费和仲裁处理费）均由中标人承担</w:t>
            </w:r>
            <w:r>
              <w:rPr>
                <w:rFonts w:hint="eastAsia" w:ascii="仿宋" w:hAnsi="仿宋" w:eastAsia="仿宋" w:cs="仿宋"/>
                <w:color w:val="auto"/>
                <w:sz w:val="21"/>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z w:val="21"/>
                <w:szCs w:val="21"/>
                <w:highlight w:val="none"/>
                <w:lang w:val="en-US" w:eastAsia="zh-CN"/>
              </w:rPr>
              <w:t>4.</w:t>
            </w:r>
            <w:r>
              <w:rPr>
                <w:rFonts w:hint="eastAsia" w:ascii="仿宋" w:hAnsi="仿宋" w:eastAsia="仿宋" w:cs="仿宋"/>
                <w:color w:val="auto"/>
                <w:sz w:val="21"/>
                <w:szCs w:val="21"/>
                <w:highlight w:val="none"/>
              </w:rPr>
              <w:t>4</w:t>
            </w:r>
            <w:r>
              <w:rPr>
                <w:rFonts w:hint="eastAsia" w:ascii="仿宋" w:hAnsi="仿宋" w:eastAsia="仿宋" w:cs="仿宋"/>
                <w:color w:val="auto"/>
                <w:sz w:val="21"/>
                <w:szCs w:val="21"/>
                <w:highlight w:val="none"/>
                <w:lang w:val="en-US" w:eastAsia="zh-CN"/>
              </w:rPr>
              <w:t xml:space="preserve"> </w:t>
            </w:r>
            <w:r>
              <w:rPr>
                <w:rFonts w:hint="eastAsia" w:ascii="仿宋" w:hAnsi="仿宋" w:eastAsia="仿宋" w:cs="仿宋"/>
                <w:color w:val="auto"/>
                <w:spacing w:val="-6"/>
                <w:sz w:val="21"/>
                <w:szCs w:val="21"/>
                <w:highlight w:val="none"/>
              </w:rPr>
              <w:t>收费标准：</w:t>
            </w:r>
          </w:p>
          <w:tbl>
            <w:tblPr>
              <w:tblStyle w:val="36"/>
              <w:tblW w:w="5384"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692"/>
              <w:gridCol w:w="269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中标金额（万元）</w:t>
                  </w:r>
                </w:p>
              </w:tc>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收费标准（费率，%）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100以下</w:t>
                  </w:r>
                </w:p>
              </w:tc>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lang w:val="en-US" w:eastAsia="zh-CN"/>
                    </w:rPr>
                    <w:t>0.75</w:t>
                  </w:r>
                </w:p>
              </w:tc>
            </w:tr>
          </w:tbl>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pacing w:val="-6"/>
                <w:sz w:val="21"/>
                <w:szCs w:val="21"/>
                <w:highlight w:val="none"/>
                <w:lang w:val="en-US" w:eastAsia="zh-CN"/>
              </w:rPr>
              <w:t>4.</w:t>
            </w:r>
            <w:r>
              <w:rPr>
                <w:rFonts w:hint="eastAsia" w:ascii="仿宋" w:hAnsi="仿宋" w:eastAsia="仿宋" w:cs="仿宋"/>
                <w:color w:val="auto"/>
                <w:spacing w:val="-6"/>
                <w:sz w:val="21"/>
                <w:szCs w:val="21"/>
                <w:highlight w:val="none"/>
              </w:rPr>
              <w:t>5</w:t>
            </w:r>
            <w:r>
              <w:rPr>
                <w:rFonts w:hint="eastAsia" w:ascii="仿宋" w:hAnsi="仿宋" w:eastAsia="仿宋" w:cs="仿宋"/>
                <w:color w:val="auto"/>
                <w:spacing w:val="-6"/>
                <w:sz w:val="21"/>
                <w:szCs w:val="21"/>
                <w:highlight w:val="none"/>
                <w:lang w:val="en-US" w:eastAsia="zh-CN"/>
              </w:rPr>
              <w:t xml:space="preserve"> </w:t>
            </w:r>
            <w:r>
              <w:rPr>
                <w:rFonts w:hint="eastAsia" w:ascii="仿宋" w:hAnsi="仿宋" w:eastAsia="仿宋" w:cs="仿宋"/>
                <w:color w:val="auto"/>
                <w:spacing w:val="-6"/>
                <w:sz w:val="21"/>
                <w:szCs w:val="21"/>
                <w:highlight w:val="none"/>
              </w:rPr>
              <w:t>投标保证金：无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一、5</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投标委托</w:t>
            </w:r>
          </w:p>
        </w:tc>
        <w:tc>
          <w:tcPr>
            <w:tcW w:w="6829" w:type="dxa"/>
            <w:vAlign w:val="center"/>
          </w:tcPr>
          <w:p>
            <w:pPr>
              <w:adjustRightInd w:val="0"/>
              <w:snapToGrid w:val="0"/>
              <w:jc w:val="left"/>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 xml:space="preserve">5.1 </w:t>
            </w:r>
            <w:r>
              <w:rPr>
                <w:rFonts w:hint="eastAsia" w:ascii="仿宋" w:hAnsi="仿宋" w:eastAsia="仿宋" w:cs="仿宋"/>
                <w:color w:val="auto"/>
                <w:szCs w:val="21"/>
                <w:highlight w:val="none"/>
              </w:rPr>
              <w:t>投标人代表是法定代表人（单位负责人、自然人本人）的提供本人身份证明</w:t>
            </w:r>
            <w:r>
              <w:rPr>
                <w:rFonts w:hint="eastAsia" w:ascii="仿宋" w:hAnsi="仿宋" w:eastAsia="仿宋" w:cs="仿宋"/>
                <w:color w:val="auto"/>
                <w:szCs w:val="21"/>
                <w:highlight w:val="none"/>
                <w:lang w:eastAsia="zh-CN"/>
              </w:rPr>
              <w:t>；</w:t>
            </w:r>
          </w:p>
          <w:p>
            <w:pPr>
              <w:adjustRightInd w:val="0"/>
              <w:snapToGrid w:val="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 xml:space="preserve">5.2 </w:t>
            </w:r>
            <w:r>
              <w:rPr>
                <w:rFonts w:hint="eastAsia" w:ascii="仿宋" w:hAnsi="仿宋" w:eastAsia="仿宋" w:cs="仿宋"/>
                <w:color w:val="auto"/>
                <w:szCs w:val="21"/>
                <w:highlight w:val="none"/>
              </w:rPr>
              <w:t>投标人代表不是法定代表人（单位负责人、自然人本人）的提供授权委托书（格式详见招标文件第六章）和授权代表</w:t>
            </w:r>
            <w:r>
              <w:rPr>
                <w:rFonts w:hint="eastAsia" w:ascii="仿宋" w:hAnsi="仿宋" w:eastAsia="仿宋" w:cs="仿宋"/>
                <w:color w:val="auto"/>
                <w:szCs w:val="21"/>
                <w:highlight w:val="none"/>
                <w:lang w:eastAsia="zh-CN"/>
              </w:rPr>
              <w:t>近三个月社保缴纳证明</w:t>
            </w:r>
            <w:r>
              <w:rPr>
                <w:rFonts w:hint="eastAsia" w:ascii="仿宋" w:hAnsi="仿宋" w:eastAsia="仿宋" w:cs="仿宋"/>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 xml:space="preserve">5.3 </w:t>
            </w:r>
            <w:r>
              <w:rPr>
                <w:rFonts w:hint="eastAsia" w:ascii="仿宋" w:hAnsi="仿宋" w:eastAsia="仿宋" w:cs="仿宋"/>
                <w:color w:val="auto"/>
                <w:szCs w:val="21"/>
                <w:highlight w:val="none"/>
              </w:rPr>
              <w:t>投标人委派不在本单位缴纳社保的人员作为授权代表的，在投标文件中说明具体原因、授权代表缴纳社保单位并附列该授权代表缴纳社保清单</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近三个月</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一、6</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联合体投标</w:t>
            </w:r>
          </w:p>
        </w:tc>
        <w:tc>
          <w:tcPr>
            <w:tcW w:w="6829" w:type="dxa"/>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Cs w:val="21"/>
                <w:highlight w:val="none"/>
              </w:rPr>
              <w:t>本项目不接受联合体投标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一、7</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转包与分包</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7.</w:t>
            </w: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本项目不允许转包；</w:t>
            </w:r>
          </w:p>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pacing w:val="-6"/>
                <w:szCs w:val="21"/>
                <w:highlight w:val="none"/>
                <w:lang w:val="en-US" w:eastAsia="zh-CN"/>
              </w:rPr>
              <w:t>7.</w:t>
            </w: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投标人根据招标文件的规定和采购项目的实际情况，拟在中标后将中标项目的非主体、非关键性工作分包的，应当在投标文件中载明分包承担主体，分包承担主体应当具备相应资质条件且不得再次分包。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资格审查要求的资格证明材料</w:t>
            </w:r>
          </w:p>
        </w:tc>
        <w:tc>
          <w:tcPr>
            <w:tcW w:w="6829" w:type="dxa"/>
            <w:vAlign w:val="center"/>
          </w:tcPr>
          <w:p>
            <w:pPr>
              <w:rPr>
                <w:rFonts w:hint="eastAsia" w:ascii="仿宋" w:hAnsi="仿宋" w:eastAsia="仿宋" w:cs="仿宋"/>
                <w:b/>
                <w:bCs/>
                <w:color w:val="auto"/>
                <w:sz w:val="21"/>
                <w:szCs w:val="21"/>
                <w:highlight w:val="none"/>
                <w:lang w:eastAsia="zh-CN"/>
              </w:rPr>
            </w:pPr>
            <w:r>
              <w:rPr>
                <w:rFonts w:hint="eastAsia" w:ascii="仿宋" w:hAnsi="仿宋" w:eastAsia="仿宋" w:cs="仿宋"/>
                <w:b/>
                <w:bCs/>
                <w:color w:val="auto"/>
                <w:sz w:val="21"/>
                <w:szCs w:val="21"/>
                <w:highlight w:val="none"/>
              </w:rPr>
              <w:t>资格审查要求的资格证明材料</w:t>
            </w:r>
            <w:r>
              <w:rPr>
                <w:rFonts w:hint="eastAsia" w:ascii="仿宋" w:hAnsi="仿宋" w:eastAsia="仿宋" w:cs="仿宋"/>
                <w:b/>
                <w:bCs/>
                <w:color w:val="auto"/>
                <w:sz w:val="21"/>
                <w:szCs w:val="21"/>
                <w:highlight w:val="none"/>
                <w:lang w:eastAsia="zh-CN"/>
              </w:rPr>
              <w:t>（</w:t>
            </w:r>
            <w:r>
              <w:rPr>
                <w:rFonts w:hint="eastAsia" w:ascii="仿宋" w:hAnsi="仿宋" w:eastAsia="仿宋" w:cs="仿宋"/>
                <w:b/>
                <w:bCs/>
                <w:color w:val="auto"/>
                <w:sz w:val="21"/>
                <w:szCs w:val="21"/>
                <w:highlight w:val="none"/>
              </w:rPr>
              <w:t>均需加盖公章</w:t>
            </w:r>
            <w:r>
              <w:rPr>
                <w:rFonts w:hint="eastAsia" w:ascii="仿宋" w:hAnsi="仿宋" w:eastAsia="仿宋" w:cs="仿宋"/>
                <w:b/>
                <w:bCs/>
                <w:color w:val="auto"/>
                <w:sz w:val="21"/>
                <w:szCs w:val="21"/>
                <w:highlight w:val="none"/>
                <w:lang w:eastAsia="zh-CN"/>
              </w:rPr>
              <w:t>）</w:t>
            </w:r>
          </w:p>
          <w:p>
            <w:pPr>
              <w:rPr>
                <w:rFonts w:hint="eastAsia" w:ascii="仿宋" w:hAnsi="仿宋" w:eastAsia="仿宋" w:cs="仿宋"/>
                <w:b/>
                <w:bCs/>
                <w:color w:val="auto"/>
                <w:sz w:val="21"/>
                <w:szCs w:val="21"/>
                <w:highlight w:val="none"/>
                <w:lang w:eastAsia="zh-CN"/>
              </w:rPr>
            </w:pPr>
            <w:r>
              <w:rPr>
                <w:rFonts w:hint="eastAsia" w:ascii="仿宋" w:hAnsi="仿宋" w:eastAsia="仿宋" w:cs="仿宋"/>
                <w:b/>
                <w:bCs/>
                <w:color w:val="auto"/>
                <w:sz w:val="21"/>
                <w:szCs w:val="21"/>
                <w:highlight w:val="none"/>
                <w:lang w:eastAsia="zh-CN"/>
              </w:rPr>
              <w:t>1）有效的法人或者其他组织的营业执照等证明文件/自然人的身份证明</w:t>
            </w:r>
          </w:p>
          <w:p>
            <w:pPr>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lang w:eastAsia="zh-CN"/>
              </w:rPr>
              <w:t>2）符合参加采购活动应当具备的一般条件的承诺函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五、</w:t>
            </w:r>
            <w:r>
              <w:rPr>
                <w:rFonts w:hint="eastAsia" w:ascii="仿宋" w:hAnsi="仿宋" w:eastAsia="仿宋" w:cs="仿宋"/>
                <w:b/>
                <w:bCs/>
                <w:color w:val="auto"/>
                <w:sz w:val="21"/>
                <w:szCs w:val="21"/>
                <w:highlight w:val="none"/>
              </w:rPr>
              <w:t>（三）</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信用信息</w:t>
            </w:r>
          </w:p>
        </w:tc>
        <w:tc>
          <w:tcPr>
            <w:tcW w:w="6829" w:type="dxa"/>
            <w:vAlign w:val="center"/>
          </w:tcPr>
          <w:p>
            <w:pPr>
              <w:pStyle w:val="101"/>
              <w:keepNext w:val="0"/>
              <w:keepLines w:val="0"/>
              <w:pageBreakBefore w:val="0"/>
              <w:widowControl w:val="0"/>
              <w:kinsoku/>
              <w:wordWrap/>
              <w:overflowPunct/>
              <w:topLinePunct w:val="0"/>
              <w:autoSpaceDE/>
              <w:autoSpaceDN/>
              <w:bidi w:val="0"/>
              <w:adjustRightInd w:val="0"/>
              <w:snapToGrid w:val="0"/>
              <w:spacing w:before="0" w:line="240" w:lineRule="auto"/>
              <w:ind w:left="0" w:leftChars="0" w:right="0" w:rightChars="0" w:firstLine="0" w:firstLineChars="0"/>
              <w:jc w:val="left"/>
              <w:textAlignment w:val="auto"/>
              <w:outlineLvl w:val="9"/>
              <w:rPr>
                <w:rFonts w:hint="eastAsia" w:ascii="仿宋" w:hAnsi="仿宋" w:eastAsia="仿宋" w:cs="仿宋"/>
                <w:b w:val="0"/>
                <w:bCs/>
                <w:color w:val="auto"/>
                <w:kern w:val="0"/>
                <w:sz w:val="21"/>
                <w:szCs w:val="21"/>
                <w:highlight w:val="none"/>
              </w:rPr>
            </w:pPr>
            <w:r>
              <w:rPr>
                <w:rFonts w:hint="eastAsia" w:ascii="仿宋" w:hAnsi="仿宋" w:eastAsia="仿宋" w:cs="仿宋"/>
                <w:b w:val="0"/>
                <w:bCs/>
                <w:color w:val="auto"/>
                <w:kern w:val="0"/>
                <w:sz w:val="21"/>
                <w:szCs w:val="21"/>
                <w:highlight w:val="none"/>
              </w:rPr>
              <w:t>查询渠道及截止时间：</w:t>
            </w:r>
            <w:r>
              <w:rPr>
                <w:rFonts w:hint="eastAsia" w:ascii="仿宋" w:hAnsi="仿宋" w:eastAsia="仿宋" w:cs="仿宋"/>
                <w:b w:val="0"/>
                <w:bCs/>
                <w:color w:val="auto"/>
                <w:kern w:val="0"/>
                <w:sz w:val="21"/>
                <w:szCs w:val="21"/>
                <w:highlight w:val="none"/>
                <w:lang w:eastAsia="zh-CN"/>
              </w:rPr>
              <w:t>采购代理机构</w:t>
            </w:r>
            <w:r>
              <w:rPr>
                <w:rFonts w:hint="eastAsia" w:ascii="仿宋" w:hAnsi="仿宋" w:eastAsia="仿宋" w:cs="仿宋"/>
                <w:b w:val="0"/>
                <w:bCs/>
                <w:color w:val="auto"/>
                <w:kern w:val="0"/>
                <w:sz w:val="21"/>
                <w:szCs w:val="21"/>
                <w:highlight w:val="none"/>
                <w:lang w:val="en-US" w:eastAsia="zh-CN"/>
              </w:rPr>
              <w:t>将</w:t>
            </w:r>
            <w:r>
              <w:rPr>
                <w:rFonts w:hint="eastAsia" w:ascii="仿宋" w:hAnsi="仿宋" w:eastAsia="仿宋" w:cs="仿宋"/>
                <w:b w:val="0"/>
                <w:bCs/>
                <w:color w:val="auto"/>
                <w:kern w:val="0"/>
                <w:sz w:val="21"/>
                <w:szCs w:val="21"/>
                <w:highlight w:val="none"/>
              </w:rPr>
              <w:t>通过“信用中国”、中国政府采购网查询投标人</w:t>
            </w:r>
            <w:r>
              <w:rPr>
                <w:rFonts w:hint="eastAsia" w:ascii="仿宋" w:hAnsi="仿宋" w:eastAsia="仿宋" w:cs="仿宋"/>
                <w:b w:val="0"/>
                <w:bCs/>
                <w:color w:val="auto"/>
                <w:kern w:val="0"/>
                <w:sz w:val="21"/>
                <w:szCs w:val="21"/>
                <w:highlight w:val="none"/>
                <w:lang w:eastAsia="zh-CN"/>
              </w:rPr>
              <w:t>提交投标文件截止时间</w:t>
            </w:r>
            <w:r>
              <w:rPr>
                <w:rFonts w:hint="eastAsia" w:ascii="仿宋" w:hAnsi="仿宋" w:eastAsia="仿宋" w:cs="仿宋"/>
                <w:b w:val="0"/>
                <w:bCs/>
                <w:color w:val="auto"/>
                <w:kern w:val="0"/>
                <w:sz w:val="21"/>
                <w:szCs w:val="21"/>
                <w:highlight w:val="none"/>
              </w:rPr>
              <w:t>当天的信用记录</w:t>
            </w:r>
            <w:r>
              <w:rPr>
                <w:rFonts w:hint="eastAsia" w:ascii="仿宋" w:hAnsi="仿宋" w:eastAsia="仿宋" w:cs="仿宋"/>
                <w:b w:val="0"/>
                <w:bCs/>
                <w:color w:val="auto"/>
                <w:kern w:val="0"/>
                <w:sz w:val="21"/>
                <w:szCs w:val="21"/>
                <w:highlight w:val="none"/>
                <w:lang w:eastAsia="zh-CN"/>
              </w:rPr>
              <w:t>；</w:t>
            </w:r>
          </w:p>
          <w:p>
            <w:pPr>
              <w:pStyle w:val="101"/>
              <w:keepNext w:val="0"/>
              <w:keepLines w:val="0"/>
              <w:pageBreakBefore w:val="0"/>
              <w:widowControl w:val="0"/>
              <w:kinsoku/>
              <w:wordWrap/>
              <w:overflowPunct/>
              <w:topLinePunct w:val="0"/>
              <w:autoSpaceDE/>
              <w:autoSpaceDN/>
              <w:bidi w:val="0"/>
              <w:adjustRightInd w:val="0"/>
              <w:snapToGrid w:val="0"/>
              <w:spacing w:before="0" w:line="240" w:lineRule="auto"/>
              <w:ind w:left="0" w:leftChars="0" w:right="0" w:rightChars="0" w:firstLine="0" w:firstLineChars="0"/>
              <w:textAlignment w:val="auto"/>
              <w:outlineLvl w:val="9"/>
              <w:rPr>
                <w:rFonts w:hint="eastAsia" w:ascii="仿宋" w:hAnsi="仿宋" w:eastAsia="仿宋" w:cs="仿宋"/>
                <w:b w:val="0"/>
                <w:bCs/>
                <w:color w:val="auto"/>
                <w:kern w:val="0"/>
                <w:sz w:val="21"/>
                <w:szCs w:val="21"/>
                <w:highlight w:val="none"/>
              </w:rPr>
            </w:pPr>
            <w:r>
              <w:rPr>
                <w:rFonts w:hint="eastAsia" w:ascii="仿宋" w:hAnsi="仿宋" w:eastAsia="仿宋" w:cs="仿宋"/>
                <w:b w:val="0"/>
                <w:bCs/>
                <w:color w:val="auto"/>
                <w:kern w:val="0"/>
                <w:sz w:val="21"/>
                <w:szCs w:val="21"/>
                <w:highlight w:val="none"/>
              </w:rPr>
              <w:t>查询记录和证据留存的具体方式：现场查询的投标人的信用记录、查询结果经确认后将与采购文件一起存档</w:t>
            </w:r>
            <w:r>
              <w:rPr>
                <w:rFonts w:hint="eastAsia" w:ascii="仿宋" w:hAnsi="仿宋" w:eastAsia="仿宋" w:cs="仿宋"/>
                <w:b w:val="0"/>
                <w:bCs/>
                <w:color w:val="auto"/>
                <w:kern w:val="0"/>
                <w:sz w:val="21"/>
                <w:szCs w:val="21"/>
                <w:highlight w:val="none"/>
                <w:lang w:eastAsia="zh-CN"/>
              </w:rPr>
              <w:t>；</w:t>
            </w:r>
          </w:p>
          <w:p>
            <w:pPr>
              <w:pStyle w:val="101"/>
              <w:keepNext w:val="0"/>
              <w:keepLines w:val="0"/>
              <w:pageBreakBefore w:val="0"/>
              <w:widowControl w:val="0"/>
              <w:kinsoku/>
              <w:wordWrap/>
              <w:overflowPunct/>
              <w:topLinePunct w:val="0"/>
              <w:autoSpaceDE/>
              <w:autoSpaceDN/>
              <w:bidi w:val="0"/>
              <w:adjustRightInd w:val="0"/>
              <w:snapToGrid w:val="0"/>
              <w:spacing w:before="0" w:line="240" w:lineRule="auto"/>
              <w:ind w:left="0" w:leftChars="0" w:right="0" w:rightChars="0" w:firstLine="0" w:firstLineChars="0"/>
              <w:textAlignment w:val="auto"/>
              <w:outlineLvl w:val="9"/>
              <w:rPr>
                <w:rFonts w:hint="eastAsia" w:ascii="仿宋" w:hAnsi="仿宋" w:eastAsia="仿宋" w:cs="仿宋"/>
                <w:color w:val="auto"/>
                <w:sz w:val="21"/>
                <w:szCs w:val="21"/>
                <w:highlight w:val="none"/>
              </w:rPr>
            </w:pPr>
            <w:r>
              <w:rPr>
                <w:rFonts w:hint="eastAsia" w:ascii="仿宋" w:hAnsi="仿宋" w:eastAsia="仿宋" w:cs="仿宋"/>
                <w:b w:val="0"/>
                <w:bCs/>
                <w:color w:val="auto"/>
                <w:kern w:val="0"/>
                <w:sz w:val="21"/>
                <w:szCs w:val="21"/>
                <w:highlight w:val="none"/>
              </w:rPr>
              <w:t>使用规则：经查询列入失信被执行人名单、重大税收违法案件当事人名单、政府采购严重违法失信行为记录名单的投标人将被拒绝参与政府采购活动。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三、2.1</w:t>
            </w:r>
          </w:p>
        </w:tc>
        <w:tc>
          <w:tcPr>
            <w:tcW w:w="1789" w:type="dxa"/>
            <w:vAlign w:val="center"/>
          </w:tcPr>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z w:val="21"/>
                <w:szCs w:val="21"/>
                <w:highlight w:val="none"/>
              </w:rPr>
            </w:pPr>
            <w:r>
              <w:rPr>
                <w:rFonts w:hint="eastAsia" w:ascii="仿宋" w:hAnsi="仿宋" w:eastAsia="仿宋" w:cs="仿宋"/>
                <w:b/>
                <w:bCs/>
                <w:color w:val="auto"/>
                <w:spacing w:val="-6"/>
                <w:szCs w:val="21"/>
                <w:highlight w:val="none"/>
              </w:rPr>
              <w:t>装订与份数</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报价文件单独装订成册，资格文件、商务和技术文件合并装订成册，其中正本一份、</w:t>
            </w:r>
            <w:r>
              <w:rPr>
                <w:rFonts w:hint="eastAsia" w:ascii="仿宋" w:hAnsi="仿宋" w:eastAsia="仿宋" w:cs="仿宋"/>
                <w:b/>
                <w:bCs/>
                <w:color w:val="auto"/>
                <w:sz w:val="21"/>
                <w:szCs w:val="21"/>
                <w:highlight w:val="none"/>
                <w:lang w:eastAsia="zh-CN"/>
              </w:rPr>
              <w:t>副本五份</w:t>
            </w:r>
            <w:r>
              <w:rPr>
                <w:rFonts w:hint="eastAsia" w:ascii="仿宋" w:hAnsi="仿宋" w:eastAsia="仿宋" w:cs="仿宋"/>
                <w:b/>
                <w:bCs/>
                <w:color w:val="auto"/>
                <w:sz w:val="21"/>
                <w:szCs w:val="21"/>
                <w:highlight w:val="none"/>
              </w:rPr>
              <w:t>，投标文件的封面应注明“正本”、“副本”字样，同时提供投标文件电子文档一份（U盘或光盘形式，电子文档需为签字且加盖公章后的投标文件完成版彩色扫描件），▲活页装订（卡条、抽杆夹、订书机、散装）的投标文件无效</w:t>
            </w:r>
            <w:r>
              <w:rPr>
                <w:rFonts w:hint="eastAsia" w:ascii="仿宋" w:hAnsi="仿宋" w:eastAsia="仿宋" w:cs="仿宋"/>
                <w:b/>
                <w:bCs/>
                <w:color w:val="auto"/>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三、2.2</w:t>
            </w:r>
          </w:p>
        </w:tc>
        <w:tc>
          <w:tcPr>
            <w:tcW w:w="1789" w:type="dxa"/>
            <w:vAlign w:val="center"/>
          </w:tcPr>
          <w:p>
            <w:pPr>
              <w:keepNext w:val="0"/>
              <w:keepLines w:val="0"/>
              <w:pageBreakBefore w:val="0"/>
              <w:widowControl w:val="0"/>
              <w:kinsoku/>
              <w:wordWrap/>
              <w:overflowPunct/>
              <w:topLinePunct w:val="0"/>
              <w:autoSpaceDE/>
              <w:autoSpaceDN/>
              <w:bidi w:val="0"/>
              <w:adjustRightInd w:val="0"/>
              <w:snapToGrid w:val="0"/>
              <w:spacing w:line="288" w:lineRule="auto"/>
              <w:ind w:right="0" w:rightChars="0"/>
              <w:jc w:val="center"/>
              <w:textAlignment w:val="auto"/>
              <w:rPr>
                <w:rFonts w:hint="eastAsia" w:ascii="仿宋" w:hAnsi="仿宋" w:eastAsia="仿宋" w:cs="仿宋"/>
                <w:b/>
                <w:bCs/>
                <w:color w:val="auto"/>
                <w:sz w:val="21"/>
                <w:szCs w:val="21"/>
                <w:highlight w:val="none"/>
              </w:rPr>
            </w:pPr>
            <w:r>
              <w:rPr>
                <w:rFonts w:hint="eastAsia" w:ascii="仿宋" w:hAnsi="仿宋" w:eastAsia="仿宋" w:cs="仿宋"/>
                <w:b/>
                <w:bCs/>
                <w:color w:val="auto"/>
                <w:spacing w:val="-6"/>
                <w:szCs w:val="21"/>
                <w:highlight w:val="none"/>
              </w:rPr>
              <w:t>包装</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spacing w:val="-6"/>
                <w:szCs w:val="21"/>
                <w:highlight w:val="none"/>
              </w:rPr>
              <w:t>报价文件单独密封包装，资格文件、商务和技术文件合并密封包装，相同部分的正副本可密封在同一个密封袋内。</w:t>
            </w:r>
            <w:r>
              <w:rPr>
                <w:rFonts w:hint="eastAsia" w:ascii="仿宋" w:hAnsi="仿宋" w:eastAsia="仿宋" w:cs="仿宋"/>
                <w:b w:val="0"/>
                <w:bCs w:val="0"/>
                <w:color w:val="auto"/>
                <w:spacing w:val="-6"/>
                <w:szCs w:val="21"/>
                <w:highlight w:val="none"/>
              </w:rPr>
              <w:t>投标人应在投标文件包装封面上注明投标人名称、投标人地址、投标文件名称（报价文件、资格文件、商务和技术文件）、项目名称、项目编号及“开标时启封”字样，并加盖投标人公章</w:t>
            </w:r>
            <w:r>
              <w:rPr>
                <w:rFonts w:hint="eastAsia" w:ascii="仿宋" w:hAnsi="仿宋" w:eastAsia="仿宋" w:cs="仿宋"/>
                <w:b w:val="0"/>
                <w:bCs w:val="0"/>
                <w:color w:val="auto"/>
                <w:spacing w:val="-6"/>
                <w:szCs w:val="21"/>
                <w:highlight w:val="none"/>
                <w:lang w:eastAsia="zh-CN"/>
              </w:rPr>
              <w:t>。</w:t>
            </w:r>
            <w:r>
              <w:rPr>
                <w:rFonts w:hint="eastAsia" w:ascii="仿宋" w:hAnsi="仿宋" w:eastAsia="仿宋" w:cs="仿宋"/>
                <w:b/>
                <w:bCs/>
                <w:color w:val="auto"/>
                <w:spacing w:val="-6"/>
                <w:szCs w:val="21"/>
                <w:highlight w:val="none"/>
              </w:rPr>
              <w:t>报价文件未按要求密封导致开标时发生报价泄露，投标人自行承担相关责任</w:t>
            </w:r>
            <w:r>
              <w:rPr>
                <w:rFonts w:hint="eastAsia" w:ascii="仿宋" w:hAnsi="仿宋" w:eastAsia="仿宋" w:cs="仿宋"/>
                <w:b/>
                <w:bCs/>
                <w:color w:val="auto"/>
                <w:spacing w:val="-6"/>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rPr>
              <w:t>三、5</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投标报价</w:t>
            </w:r>
          </w:p>
        </w:tc>
        <w:tc>
          <w:tcPr>
            <w:tcW w:w="6829" w:type="dxa"/>
            <w:vAlign w:val="center"/>
          </w:tcPr>
          <w:p>
            <w:pPr>
              <w:adjustRightInd w:val="0"/>
              <w:snapToGrid w:val="0"/>
              <w:rPr>
                <w:rFonts w:ascii="仿宋" w:hAnsi="仿宋" w:eastAsia="仿宋" w:cs="仿宋"/>
                <w:color w:val="auto"/>
                <w:szCs w:val="21"/>
                <w:highlight w:val="none"/>
              </w:rPr>
            </w:pPr>
            <w:r>
              <w:rPr>
                <w:rFonts w:hint="eastAsia" w:ascii="仿宋" w:hAnsi="仿宋" w:eastAsia="仿宋" w:cs="仿宋"/>
                <w:color w:val="auto"/>
                <w:szCs w:val="21"/>
                <w:highlight w:val="none"/>
              </w:rPr>
              <w:t>5.1 报价应按</w:t>
            </w:r>
            <w:r>
              <w:rPr>
                <w:rFonts w:hint="eastAsia" w:ascii="仿宋" w:hAnsi="仿宋" w:eastAsia="仿宋" w:cs="仿宋"/>
                <w:color w:val="auto"/>
                <w:szCs w:val="21"/>
                <w:highlight w:val="none"/>
                <w:lang w:eastAsia="zh-CN"/>
              </w:rPr>
              <w:t>招标文件</w:t>
            </w:r>
            <w:r>
              <w:rPr>
                <w:rFonts w:hint="eastAsia" w:ascii="仿宋" w:hAnsi="仿宋" w:eastAsia="仿宋" w:cs="仿宋"/>
                <w:color w:val="auto"/>
                <w:szCs w:val="21"/>
                <w:highlight w:val="none"/>
              </w:rPr>
              <w:t>要求的格式编制、填写报价内容，未按</w:t>
            </w:r>
            <w:r>
              <w:rPr>
                <w:rFonts w:hint="eastAsia" w:ascii="仿宋" w:hAnsi="仿宋" w:eastAsia="仿宋" w:cs="仿宋"/>
                <w:color w:val="auto"/>
                <w:szCs w:val="21"/>
                <w:highlight w:val="none"/>
                <w:lang w:eastAsia="zh-CN"/>
              </w:rPr>
              <w:t>招标文件</w:t>
            </w:r>
            <w:r>
              <w:rPr>
                <w:rFonts w:hint="eastAsia" w:ascii="仿宋" w:hAnsi="仿宋" w:eastAsia="仿宋" w:cs="仿宋"/>
                <w:color w:val="auto"/>
                <w:szCs w:val="21"/>
                <w:highlight w:val="none"/>
              </w:rPr>
              <w:t>要求编制、填写的</w:t>
            </w:r>
            <w:r>
              <w:rPr>
                <w:rFonts w:hint="eastAsia" w:ascii="仿宋" w:hAnsi="仿宋" w:eastAsia="仿宋" w:cs="仿宋"/>
                <w:color w:val="auto"/>
                <w:szCs w:val="21"/>
                <w:highlight w:val="none"/>
                <w:lang w:eastAsia="zh-CN"/>
              </w:rPr>
              <w:t>投标文件</w:t>
            </w:r>
            <w:r>
              <w:rPr>
                <w:rFonts w:hint="eastAsia" w:ascii="仿宋" w:hAnsi="仿宋" w:eastAsia="仿宋" w:cs="仿宋"/>
                <w:color w:val="auto"/>
                <w:szCs w:val="21"/>
                <w:highlight w:val="none"/>
              </w:rPr>
              <w:t>可能被拒绝；</w:t>
            </w:r>
          </w:p>
          <w:p>
            <w:pPr>
              <w:rPr>
                <w:rFonts w:hint="eastAsia" w:ascii="仿宋" w:hAnsi="仿宋" w:eastAsia="仿宋" w:cs="仿宋"/>
                <w:b/>
                <w:color w:val="auto"/>
                <w:sz w:val="21"/>
                <w:szCs w:val="21"/>
                <w:highlight w:val="none"/>
              </w:rPr>
            </w:pPr>
            <w:r>
              <w:rPr>
                <w:rFonts w:hint="eastAsia" w:ascii="仿宋" w:hAnsi="仿宋" w:eastAsia="仿宋" w:cs="仿宋"/>
                <w:color w:val="auto"/>
                <w:szCs w:val="21"/>
                <w:highlight w:val="none"/>
              </w:rPr>
              <w:t xml:space="preserve">5.2 </w:t>
            </w:r>
            <w:r>
              <w:rPr>
                <w:rFonts w:hint="eastAsia" w:ascii="仿宋" w:hAnsi="仿宋" w:eastAsia="仿宋" w:cs="仿宋"/>
                <w:color w:val="auto"/>
                <w:szCs w:val="21"/>
                <w:highlight w:val="none"/>
                <w:lang w:val="en-US" w:eastAsia="zh-CN"/>
              </w:rPr>
              <w:t>投标</w:t>
            </w:r>
            <w:r>
              <w:rPr>
                <w:rFonts w:hint="eastAsia" w:ascii="仿宋" w:hAnsi="仿宋" w:eastAsia="仿宋" w:cs="仿宋"/>
                <w:color w:val="auto"/>
                <w:szCs w:val="21"/>
                <w:highlight w:val="none"/>
              </w:rPr>
              <w:t>报价是履行合同的最终价格，</w:t>
            </w:r>
            <w:r>
              <w:rPr>
                <w:rFonts w:hint="eastAsia" w:ascii="仿宋" w:hAnsi="仿宋" w:eastAsia="仿宋" w:cs="仿宋"/>
                <w:color w:val="auto"/>
                <w:szCs w:val="21"/>
                <w:highlight w:val="none"/>
                <w:lang w:eastAsia="zh-CN"/>
              </w:rPr>
              <w:t>应包含货物到达采购人或采购人指定用户并能正常使用所需的一切费用，包括货物金额、包装、运输保险费、装卸费、安装及相关材料费、调试费、软件费、检验费、培训费用及税金等为确保合法、正常使用货物及中标人履行合同项下约定的所有义务所需支出的全部费用</w:t>
            </w:r>
            <w:r>
              <w:rPr>
                <w:rFonts w:hint="eastAsia" w:ascii="仿宋" w:hAnsi="仿宋" w:eastAsia="仿宋" w:cs="仿宋"/>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三、6</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投标有效期</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b/>
                <w:color w:val="auto"/>
                <w:szCs w:val="21"/>
                <w:highlight w:val="none"/>
              </w:rPr>
            </w:pPr>
            <w:r>
              <w:rPr>
                <w:rFonts w:hint="eastAsia" w:ascii="仿宋" w:hAnsi="仿宋" w:eastAsia="仿宋" w:cs="仿宋"/>
                <w:color w:val="auto"/>
                <w:spacing w:val="-6"/>
                <w:sz w:val="21"/>
                <w:szCs w:val="21"/>
                <w:highlight w:val="none"/>
              </w:rPr>
              <w:t>▲从提交投标文件的截止之日起90天，在原投标有效期满之前，如果出现特殊情况，采购人或采购代理机构以书面形式通知投标人延长投标有效期。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w:t>
            </w:r>
          </w:p>
        </w:tc>
        <w:tc>
          <w:tcPr>
            <w:tcW w:w="178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评标方法及评标标准</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pacing w:val="-6"/>
                <w:sz w:val="21"/>
                <w:szCs w:val="21"/>
                <w:highlight w:val="none"/>
              </w:rPr>
              <w:t>详见“第四章  评标方法及评标标准”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七、1.3</w:t>
            </w:r>
          </w:p>
        </w:tc>
        <w:tc>
          <w:tcPr>
            <w:tcW w:w="1789" w:type="dxa"/>
            <w:vAlign w:val="center"/>
          </w:tcPr>
          <w:p>
            <w:pPr>
              <w:jc w:val="center"/>
              <w:rPr>
                <w:rFonts w:hint="eastAsia" w:ascii="仿宋" w:hAnsi="仿宋" w:eastAsia="仿宋" w:cs="仿宋"/>
                <w:b/>
                <w:bCs/>
                <w:color w:val="auto"/>
                <w:sz w:val="21"/>
                <w:szCs w:val="21"/>
                <w:highlight w:val="none"/>
                <w:lang w:eastAsia="zh-CN"/>
              </w:rPr>
            </w:pPr>
            <w:r>
              <w:rPr>
                <w:rFonts w:hint="eastAsia" w:ascii="仿宋" w:hAnsi="仿宋" w:eastAsia="仿宋" w:cs="仿宋"/>
                <w:b/>
                <w:bCs/>
                <w:color w:val="auto"/>
                <w:sz w:val="21"/>
                <w:szCs w:val="21"/>
                <w:highlight w:val="none"/>
                <w:lang w:val="en-US" w:eastAsia="zh-CN"/>
              </w:rPr>
              <w:t>中标</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zCs w:val="21"/>
                <w:highlight w:val="none"/>
              </w:rPr>
              <w:t>评标结果公示媒体：</w:t>
            </w:r>
            <w:r>
              <w:rPr>
                <w:rFonts w:hint="eastAsia" w:ascii="仿宋" w:hAnsi="仿宋" w:eastAsia="仿宋" w:cs="仿宋"/>
                <w:color w:val="auto"/>
                <w:szCs w:val="21"/>
                <w:highlight w:val="none"/>
                <w:lang w:eastAsia="zh-CN"/>
              </w:rPr>
              <w:t>浙江政府采购网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01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七、2.1</w:t>
            </w:r>
          </w:p>
        </w:tc>
        <w:tc>
          <w:tcPr>
            <w:tcW w:w="1789"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合同</w:t>
            </w:r>
          </w:p>
        </w:tc>
        <w:tc>
          <w:tcPr>
            <w:tcW w:w="6829"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pacing w:val="-6"/>
                <w:szCs w:val="21"/>
                <w:highlight w:val="none"/>
              </w:rPr>
              <w:t>采购人应当自中标通知书发出之日起30日内，按照招标文件和中标人投标文件的规定，与中标人签订书面合同。所签订的合同不得对招标文件确定的事项和中标人投标文件作实质性修改。采购人不得向中标人提出任何不合理的要求作为签订合同的条件</w:t>
            </w:r>
            <w:r>
              <w:rPr>
                <w:rFonts w:hint="eastAsia" w:ascii="仿宋" w:hAnsi="仿宋" w:eastAsia="仿宋" w:cs="仿宋"/>
                <w:color w:val="auto"/>
                <w:spacing w:val="-6"/>
                <w:szCs w:val="21"/>
                <w:highlight w:val="none"/>
                <w:lang w:eastAsia="zh-CN"/>
              </w:rPr>
              <w:t>。</w:t>
            </w:r>
          </w:p>
        </w:tc>
      </w:tr>
    </w:tbl>
    <w:p>
      <w:pPr>
        <w:adjustRightInd w:val="0"/>
        <w:snapToGrid w:val="0"/>
        <w:spacing w:line="288" w:lineRule="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1"/>
        <w:rPr>
          <w:rFonts w:hint="eastAsia" w:ascii="仿宋" w:hAnsi="仿宋" w:eastAsia="仿宋" w:cs="仿宋"/>
          <w:b/>
          <w:color w:val="auto"/>
          <w:spacing w:val="-6"/>
          <w:sz w:val="24"/>
          <w:szCs w:val="24"/>
          <w:highlight w:val="none"/>
        </w:rPr>
      </w:pPr>
      <w:r>
        <w:rPr>
          <w:rFonts w:hint="eastAsia" w:ascii="仿宋" w:hAnsi="仿宋" w:eastAsia="仿宋" w:cs="仿宋"/>
          <w:b/>
          <w:color w:val="auto"/>
          <w:spacing w:val="-6"/>
          <w:sz w:val="24"/>
          <w:szCs w:val="24"/>
          <w:highlight w:val="none"/>
        </w:rPr>
        <w:t>一、总  则</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bookmarkStart w:id="33" w:name="_Hlk94018326"/>
      <w:r>
        <w:rPr>
          <w:rFonts w:hint="eastAsia" w:ascii="仿宋" w:hAnsi="仿宋" w:eastAsia="仿宋" w:cs="仿宋"/>
          <w:color w:val="auto"/>
          <w:spacing w:val="-6"/>
          <w:szCs w:val="21"/>
          <w:highlight w:val="none"/>
        </w:rPr>
        <w:t>投标人应仔细阅读招标文件的所有内容，按照招标文件的要求提交投标文件，并对所提供的全部资料的真实性承担法律责任。</w:t>
      </w:r>
    </w:p>
    <w:bookmarkEnd w:id="33"/>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1.</w:t>
      </w:r>
      <w:r>
        <w:rPr>
          <w:rFonts w:hint="eastAsia" w:ascii="仿宋" w:hAnsi="仿宋" w:eastAsia="仿宋" w:cs="仿宋"/>
          <w:b/>
          <w:color w:val="auto"/>
          <w:spacing w:val="-6"/>
          <w:szCs w:val="21"/>
          <w:highlight w:val="none"/>
        </w:rPr>
        <w:t>适用范围</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本招标文件适用于</w:t>
      </w:r>
      <w:r>
        <w:rPr>
          <w:rFonts w:hint="eastAsia" w:ascii="仿宋" w:hAnsi="仿宋" w:eastAsia="仿宋" w:cs="仿宋"/>
          <w:color w:val="auto"/>
          <w:spacing w:val="-6"/>
          <w:szCs w:val="21"/>
          <w:highlight w:val="none"/>
          <w:lang w:eastAsia="zh-CN"/>
        </w:rPr>
        <w:t>之江实验室之江实验室智能计算育种数字反应堆平台专业实验室家具项目</w:t>
      </w:r>
      <w:r>
        <w:rPr>
          <w:rFonts w:hint="eastAsia" w:ascii="仿宋" w:hAnsi="仿宋" w:eastAsia="仿宋" w:cs="仿宋"/>
          <w:color w:val="auto"/>
          <w:spacing w:val="-6"/>
          <w:szCs w:val="21"/>
          <w:highlight w:val="none"/>
        </w:rPr>
        <w:t>的招标、评标、定标、验收、合同履约、付款等（法律、法规另有规定的，从其规定）。</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2.</w:t>
      </w:r>
      <w:r>
        <w:rPr>
          <w:rFonts w:hint="eastAsia" w:ascii="仿宋" w:hAnsi="仿宋" w:eastAsia="仿宋" w:cs="仿宋"/>
          <w:b/>
          <w:color w:val="auto"/>
          <w:spacing w:val="-6"/>
          <w:szCs w:val="21"/>
          <w:highlight w:val="none"/>
        </w:rPr>
        <w:t>定义</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“采购人”系指</w:t>
      </w:r>
      <w:r>
        <w:rPr>
          <w:rFonts w:hint="eastAsia" w:ascii="仿宋" w:hAnsi="仿宋" w:eastAsia="仿宋" w:cs="仿宋"/>
          <w:color w:val="auto"/>
          <w:spacing w:val="-6"/>
          <w:szCs w:val="21"/>
          <w:highlight w:val="none"/>
          <w:lang w:eastAsia="zh-CN"/>
        </w:rPr>
        <w:t>之江实验室</w:t>
      </w:r>
      <w:r>
        <w:rPr>
          <w:rFonts w:hint="eastAsia" w:ascii="仿宋" w:hAnsi="仿宋" w:eastAsia="仿宋" w:cs="仿宋"/>
          <w:color w:val="auto"/>
          <w:spacing w:val="-6"/>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val="en-US" w:eastAsia="zh-CN"/>
        </w:rPr>
        <w:t xml:space="preserve">2 </w:t>
      </w:r>
      <w:r>
        <w:rPr>
          <w:rFonts w:hint="eastAsia" w:ascii="仿宋" w:hAnsi="仿宋" w:eastAsia="仿宋" w:cs="仿宋"/>
          <w:color w:val="auto"/>
          <w:spacing w:val="-6"/>
          <w:szCs w:val="21"/>
          <w:highlight w:val="none"/>
        </w:rPr>
        <w:t>“采购代理机构”系指组织本次招标的浙江求是招标代理有限公司；</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3</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“投标人”系指响应招标、参加投标竞争的法人、其他组织或者自然人；</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4</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“书面形式”包括合同书、信件和数据电文</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包括电报、电传、传真、电子数据交换和电子邮件</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等可以有形地表现所载内容的形式</w:t>
      </w:r>
      <w:r>
        <w:rPr>
          <w:rFonts w:hint="eastAsia" w:ascii="仿宋" w:hAnsi="仿宋" w:eastAsia="仿宋" w:cs="仿宋"/>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val="en-US" w:eastAsia="zh-CN"/>
        </w:rPr>
        <w:t>2.</w:t>
      </w:r>
      <w:r>
        <w:rPr>
          <w:rFonts w:hint="eastAsia" w:ascii="仿宋" w:hAnsi="仿宋" w:eastAsia="仿宋" w:cs="仿宋"/>
          <w:b/>
          <w:bCs/>
          <w:color w:val="auto"/>
          <w:spacing w:val="-6"/>
          <w:szCs w:val="21"/>
          <w:highlight w:val="none"/>
        </w:rPr>
        <w:t>5</w:t>
      </w:r>
      <w:r>
        <w:rPr>
          <w:rFonts w:hint="eastAsia" w:ascii="仿宋" w:hAnsi="仿宋" w:eastAsia="仿宋" w:cs="仿宋"/>
          <w:b/>
          <w:bCs/>
          <w:color w:val="auto"/>
          <w:spacing w:val="-6"/>
          <w:szCs w:val="21"/>
          <w:highlight w:val="none"/>
          <w:lang w:val="en-US" w:eastAsia="zh-CN"/>
        </w:rPr>
        <w:t xml:space="preserve"> </w:t>
      </w:r>
      <w:bookmarkStart w:id="34" w:name="_Hlk96327615"/>
      <w:r>
        <w:rPr>
          <w:rFonts w:hint="eastAsia" w:ascii="仿宋" w:hAnsi="仿宋" w:eastAsia="仿宋" w:cs="仿宋"/>
          <w:b/>
          <w:bCs/>
          <w:color w:val="auto"/>
          <w:szCs w:val="21"/>
          <w:highlight w:val="none"/>
        </w:rPr>
        <w:t>“公章”系指单位法定名称章</w:t>
      </w:r>
      <w:r>
        <w:rPr>
          <w:rFonts w:hint="eastAsia" w:ascii="仿宋" w:hAnsi="仿宋" w:eastAsia="仿宋" w:cs="仿宋"/>
          <w:b/>
          <w:bCs/>
          <w:color w:val="auto"/>
          <w:szCs w:val="21"/>
          <w:highlight w:val="none"/>
          <w:lang w:eastAsia="zh-CN"/>
        </w:rPr>
        <w:t>【</w:t>
      </w:r>
      <w:r>
        <w:rPr>
          <w:rFonts w:hint="eastAsia" w:ascii="仿宋" w:hAnsi="仿宋" w:eastAsia="仿宋" w:cs="仿宋"/>
          <w:b/>
          <w:bCs/>
          <w:color w:val="auto"/>
          <w:szCs w:val="21"/>
          <w:highlight w:val="none"/>
        </w:rPr>
        <w:t>因特殊原因需要使用冠以法定名称的业务专用章的，投标</w:t>
      </w:r>
      <w:r>
        <w:rPr>
          <w:rFonts w:hint="eastAsia" w:ascii="仿宋" w:hAnsi="仿宋" w:eastAsia="仿宋" w:cs="仿宋"/>
          <w:b/>
          <w:bCs/>
          <w:color w:val="auto"/>
          <w:szCs w:val="21"/>
          <w:highlight w:val="none"/>
          <w:lang w:val="en-US" w:eastAsia="zh-CN"/>
        </w:rPr>
        <w:t>文件中</w:t>
      </w:r>
      <w:r>
        <w:rPr>
          <w:rFonts w:hint="eastAsia" w:ascii="仿宋" w:hAnsi="仿宋" w:eastAsia="仿宋" w:cs="仿宋"/>
          <w:b/>
          <w:bCs/>
          <w:color w:val="auto"/>
          <w:szCs w:val="21"/>
          <w:highlight w:val="none"/>
        </w:rPr>
        <w:t>提供《业务专用章使用说明函》</w:t>
      </w:r>
      <w:r>
        <w:rPr>
          <w:rFonts w:hint="eastAsia" w:ascii="仿宋" w:hAnsi="仿宋" w:eastAsia="仿宋" w:cs="仿宋"/>
          <w:b/>
          <w:bCs/>
          <w:color w:val="auto"/>
          <w:szCs w:val="21"/>
          <w:highlight w:val="none"/>
          <w:lang w:eastAsia="zh-CN"/>
        </w:rPr>
        <w:t>（</w:t>
      </w:r>
      <w:r>
        <w:rPr>
          <w:rFonts w:hint="eastAsia" w:ascii="仿宋" w:hAnsi="仿宋" w:eastAsia="仿宋" w:cs="仿宋"/>
          <w:b/>
          <w:bCs/>
          <w:color w:val="auto"/>
          <w:szCs w:val="21"/>
          <w:highlight w:val="none"/>
        </w:rPr>
        <w:t>附件1）</w:t>
      </w:r>
      <w:r>
        <w:rPr>
          <w:rFonts w:hint="eastAsia" w:ascii="仿宋" w:hAnsi="仿宋" w:eastAsia="仿宋" w:cs="仿宋"/>
          <w:b/>
          <w:bCs/>
          <w:color w:val="auto"/>
          <w:szCs w:val="21"/>
          <w:highlight w:val="none"/>
          <w:lang w:eastAsia="zh-CN"/>
        </w:rPr>
        <w:t>】</w:t>
      </w:r>
      <w:r>
        <w:rPr>
          <w:rFonts w:hint="eastAsia" w:ascii="仿宋" w:hAnsi="仿宋" w:eastAsia="仿宋" w:cs="仿宋"/>
          <w:b/>
          <w:bCs/>
          <w:color w:val="auto"/>
          <w:spacing w:val="-6"/>
          <w:szCs w:val="21"/>
          <w:highlight w:val="none"/>
          <w:lang w:eastAsia="zh-CN"/>
        </w:rPr>
        <w:t>；</w:t>
      </w:r>
    </w:p>
    <w:bookmarkEnd w:id="34"/>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6</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“▲”系指实质性要求条款，投标人应当做出实质性响应。</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3.</w:t>
      </w:r>
      <w:r>
        <w:rPr>
          <w:rFonts w:hint="eastAsia" w:ascii="仿宋" w:hAnsi="仿宋" w:eastAsia="仿宋" w:cs="仿宋"/>
          <w:b/>
          <w:color w:val="auto"/>
          <w:spacing w:val="-6"/>
          <w:szCs w:val="21"/>
          <w:highlight w:val="none"/>
        </w:rPr>
        <w:t>招标方式</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本次招标采用公开招标方式进行。</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4.</w:t>
      </w:r>
      <w:r>
        <w:rPr>
          <w:rFonts w:hint="eastAsia" w:ascii="仿宋" w:hAnsi="仿宋" w:eastAsia="仿宋" w:cs="仿宋"/>
          <w:b/>
          <w:color w:val="auto"/>
          <w:spacing w:val="-6"/>
          <w:szCs w:val="21"/>
          <w:highlight w:val="none"/>
        </w:rPr>
        <w:t>投标费用</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1</w:t>
      </w:r>
      <w:r>
        <w:rPr>
          <w:rFonts w:hint="eastAsia" w:ascii="仿宋" w:hAnsi="仿宋" w:eastAsia="仿宋" w:cs="仿宋"/>
          <w:color w:val="auto"/>
          <w:szCs w:val="21"/>
          <w:highlight w:val="none"/>
          <w:lang w:val="en-US" w:eastAsia="zh-CN"/>
        </w:rPr>
        <w:t xml:space="preserve"> </w:t>
      </w:r>
      <w:r>
        <w:rPr>
          <w:rFonts w:hint="eastAsia" w:ascii="仿宋" w:hAnsi="仿宋" w:eastAsia="仿宋" w:cs="仿宋"/>
          <w:color w:val="auto"/>
          <w:szCs w:val="21"/>
          <w:highlight w:val="none"/>
        </w:rPr>
        <w:t>不论投标结果如何，投标人均应自行承担所有与投标有关的全部费用；</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2</w:t>
      </w:r>
      <w:r>
        <w:rPr>
          <w:rFonts w:hint="eastAsia" w:ascii="仿宋" w:hAnsi="仿宋" w:eastAsia="仿宋" w:cs="仿宋"/>
          <w:color w:val="auto"/>
          <w:szCs w:val="21"/>
          <w:highlight w:val="none"/>
          <w:lang w:val="en-US" w:eastAsia="zh-CN"/>
        </w:rPr>
        <w:t xml:space="preserve"> </w:t>
      </w:r>
      <w:r>
        <w:rPr>
          <w:rFonts w:hint="eastAsia" w:ascii="仿宋" w:hAnsi="仿宋" w:eastAsia="仿宋" w:cs="仿宋"/>
          <w:color w:val="auto"/>
          <w:szCs w:val="21"/>
          <w:highlight w:val="none"/>
          <w:lang w:eastAsia="zh-CN"/>
        </w:rPr>
        <w:t>中标人在中标通知书发出之日起七个工作日内向采购代理机构交纳代理服务费</w:t>
      </w:r>
      <w:r>
        <w:rPr>
          <w:rFonts w:hint="eastAsia" w:ascii="仿宋" w:hAnsi="仿宋" w:eastAsia="仿宋" w:cs="仿宋"/>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lang w:val="en-US" w:eastAsia="zh-CN"/>
        </w:rPr>
        <w:t xml:space="preserve">4.3 </w:t>
      </w:r>
      <w:r>
        <w:rPr>
          <w:rFonts w:hint="eastAsia" w:ascii="仿宋" w:hAnsi="仿宋" w:eastAsia="仿宋" w:cs="仿宋"/>
          <w:color w:val="auto"/>
          <w:szCs w:val="21"/>
          <w:highlight w:val="none"/>
        </w:rPr>
        <w:t>中标人逾期支付代理服务费，须承担代理服务费每日百分之三的违约金，逾期十日未支付的，采购代理机构有权向杭州仲裁委员会对中标人提起仲裁，仲裁费用（包括仲裁受理费和仲裁处理费）均由中标人承担</w:t>
      </w:r>
      <w:r>
        <w:rPr>
          <w:rFonts w:hint="eastAsia" w:ascii="仿宋" w:hAnsi="仿宋" w:eastAsia="仿宋" w:cs="仿宋"/>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4</w:t>
      </w:r>
      <w:r>
        <w:rPr>
          <w:rFonts w:hint="eastAsia" w:ascii="仿宋" w:hAnsi="仿宋" w:eastAsia="仿宋" w:cs="仿宋"/>
          <w:color w:val="auto"/>
          <w:szCs w:val="21"/>
          <w:highlight w:val="none"/>
          <w:lang w:val="en-US" w:eastAsia="zh-CN"/>
        </w:rPr>
        <w:t xml:space="preserve"> </w:t>
      </w:r>
      <w:r>
        <w:rPr>
          <w:rFonts w:hint="eastAsia" w:ascii="仿宋" w:hAnsi="仿宋" w:eastAsia="仿宋" w:cs="仿宋"/>
          <w:color w:val="auto"/>
          <w:spacing w:val="-6"/>
          <w:szCs w:val="21"/>
          <w:highlight w:val="none"/>
        </w:rPr>
        <w:t>收费标准：</w:t>
      </w:r>
    </w:p>
    <w:tbl>
      <w:tblPr>
        <w:tblStyle w:val="36"/>
        <w:tblW w:w="5384"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2692"/>
        <w:gridCol w:w="269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中标金额（万元）</w:t>
            </w:r>
          </w:p>
        </w:tc>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收费标准（费率，%）</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40" w:hRule="atLeast"/>
          <w:jc w:val="center"/>
        </w:trPr>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100以下</w:t>
            </w:r>
          </w:p>
        </w:tc>
        <w:tc>
          <w:tcPr>
            <w:tcW w:w="2692" w:type="dxa"/>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spacing w:line="240" w:lineRule="auto"/>
              <w:ind w:left="0" w:leftChars="0" w:right="0" w:rightChars="0" w:firstLine="0" w:firstLineChars="0"/>
              <w:jc w:val="center"/>
              <w:textAlignment w:val="auto"/>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0.75</w:t>
            </w:r>
          </w:p>
        </w:tc>
      </w:tr>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9" w:firstLineChars="202"/>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4.</w:t>
      </w:r>
      <w:r>
        <w:rPr>
          <w:rFonts w:hint="eastAsia" w:ascii="仿宋" w:hAnsi="仿宋" w:eastAsia="仿宋" w:cs="仿宋"/>
          <w:color w:val="auto"/>
          <w:spacing w:val="-6"/>
          <w:szCs w:val="21"/>
          <w:highlight w:val="none"/>
        </w:rPr>
        <w:t>5</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投标保证金：无</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5.</w:t>
      </w:r>
      <w:r>
        <w:rPr>
          <w:rFonts w:hint="eastAsia" w:ascii="仿宋" w:hAnsi="仿宋" w:eastAsia="仿宋" w:cs="仿宋"/>
          <w:b/>
          <w:color w:val="auto"/>
          <w:spacing w:val="-6"/>
          <w:szCs w:val="21"/>
          <w:highlight w:val="none"/>
        </w:rPr>
        <w:t>投标委托</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 xml:space="preserve">5.1 </w:t>
      </w:r>
      <w:r>
        <w:rPr>
          <w:rFonts w:hint="eastAsia" w:ascii="仿宋" w:hAnsi="仿宋" w:eastAsia="仿宋" w:cs="仿宋"/>
          <w:color w:val="auto"/>
          <w:szCs w:val="21"/>
          <w:highlight w:val="none"/>
        </w:rPr>
        <w:t>投标人代表是法定代表人（单位负责人、自然人本人）的提供本人身份证明</w:t>
      </w:r>
      <w:r>
        <w:rPr>
          <w:rFonts w:hint="eastAsia" w:ascii="仿宋" w:hAnsi="仿宋" w:eastAsia="仿宋" w:cs="仿宋"/>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 xml:space="preserve">5.2 </w:t>
      </w:r>
      <w:r>
        <w:rPr>
          <w:rFonts w:hint="eastAsia" w:ascii="仿宋" w:hAnsi="仿宋" w:eastAsia="仿宋" w:cs="仿宋"/>
          <w:color w:val="auto"/>
          <w:szCs w:val="21"/>
          <w:highlight w:val="none"/>
        </w:rPr>
        <w:t>投标人代表不是法定代表人（单位负责人、自然人本人）的提供授权委托书（格式详见招标文件第六章）和授权代表</w:t>
      </w:r>
      <w:r>
        <w:rPr>
          <w:rFonts w:hint="eastAsia" w:ascii="仿宋" w:hAnsi="仿宋" w:eastAsia="仿宋" w:cs="仿宋"/>
          <w:color w:val="auto"/>
          <w:szCs w:val="21"/>
          <w:highlight w:val="none"/>
          <w:lang w:eastAsia="zh-CN"/>
        </w:rPr>
        <w:t>近三个月社保缴纳证明</w:t>
      </w:r>
      <w:r>
        <w:rPr>
          <w:rFonts w:hint="eastAsia" w:ascii="仿宋" w:hAnsi="仿宋" w:eastAsia="仿宋" w:cs="仿宋"/>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val="en-US" w:eastAsia="zh-CN"/>
        </w:rPr>
        <w:t xml:space="preserve">5.3 </w:t>
      </w:r>
      <w:r>
        <w:rPr>
          <w:rFonts w:hint="eastAsia" w:ascii="仿宋" w:hAnsi="仿宋" w:eastAsia="仿宋" w:cs="仿宋"/>
          <w:color w:val="auto"/>
          <w:szCs w:val="21"/>
          <w:highlight w:val="none"/>
        </w:rPr>
        <w:t>投标人委派不在本单位缴纳社保的人员作为授权代表的，在投标文件中说明具体原因、授权代表缴纳社保单位并附列该授权代表缴纳社保清单</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近三个月</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textAlignment w:val="auto"/>
        <w:outlineLvl w:val="2"/>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lang w:val="en-US" w:eastAsia="zh-CN"/>
        </w:rPr>
        <w:t>6.</w:t>
      </w:r>
      <w:r>
        <w:rPr>
          <w:rFonts w:hint="eastAsia" w:ascii="仿宋" w:hAnsi="仿宋" w:eastAsia="仿宋" w:cs="仿宋"/>
          <w:b/>
          <w:bCs/>
          <w:color w:val="auto"/>
          <w:szCs w:val="21"/>
          <w:highlight w:val="none"/>
        </w:rPr>
        <w:t>联合体投标</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本项目不接受联合体投标。</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7.</w:t>
      </w:r>
      <w:r>
        <w:rPr>
          <w:rFonts w:hint="eastAsia" w:ascii="仿宋" w:hAnsi="仿宋" w:eastAsia="仿宋" w:cs="仿宋"/>
          <w:b/>
          <w:color w:val="auto"/>
          <w:spacing w:val="-6"/>
          <w:szCs w:val="21"/>
          <w:highlight w:val="none"/>
        </w:rPr>
        <w:t>转包与分包</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7.</w:t>
      </w: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本项目不允许转包；</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7.</w:t>
      </w: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投标人根据招标文件的规定和采购项目的实际情况，拟在中标后将中标项目的非主体、非关键性工作分包的，应当在投标文件中载明分包承担主体，分包承担主体应当具备相应资质条件且不得再次分包。</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left"/>
        <w:textAlignment w:val="auto"/>
        <w:outlineLvl w:val="2"/>
        <w:rPr>
          <w:rFonts w:hint="default" w:ascii="仿宋" w:hAnsi="仿宋" w:eastAsia="仿宋" w:cs="仿宋"/>
          <w:b/>
          <w:color w:val="auto"/>
          <w:spacing w:val="-6"/>
          <w:szCs w:val="21"/>
          <w:highlight w:val="none"/>
          <w:lang w:val="en-US" w:eastAsia="zh-CN"/>
        </w:rPr>
      </w:pPr>
      <w:r>
        <w:rPr>
          <w:rFonts w:hint="eastAsia" w:ascii="仿宋" w:hAnsi="仿宋" w:eastAsia="仿宋" w:cs="仿宋"/>
          <w:b/>
          <w:color w:val="auto"/>
          <w:spacing w:val="-6"/>
          <w:szCs w:val="21"/>
          <w:highlight w:val="none"/>
          <w:lang w:val="en-US" w:eastAsia="zh-CN"/>
        </w:rPr>
        <w:t>8.</w:t>
      </w:r>
      <w:r>
        <w:rPr>
          <w:rFonts w:hint="eastAsia" w:ascii="仿宋" w:hAnsi="仿宋" w:eastAsia="仿宋" w:cs="仿宋"/>
          <w:b/>
          <w:color w:val="auto"/>
          <w:spacing w:val="-6"/>
          <w:szCs w:val="21"/>
          <w:highlight w:val="none"/>
        </w:rPr>
        <w:t>质疑</w:t>
      </w:r>
      <w:r>
        <w:rPr>
          <w:rFonts w:hint="eastAsia" w:ascii="仿宋" w:hAnsi="仿宋" w:eastAsia="仿宋" w:cs="仿宋"/>
          <w:b/>
          <w:color w:val="auto"/>
          <w:spacing w:val="-6"/>
          <w:szCs w:val="21"/>
          <w:highlight w:val="none"/>
          <w:lang w:val="en-US" w:eastAsia="zh-CN"/>
        </w:rPr>
        <w:t>和投诉</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bookmarkStart w:id="35" w:name="_Hlk92273406"/>
      <w:r>
        <w:rPr>
          <w:rFonts w:hint="eastAsia" w:ascii="仿宋" w:hAnsi="仿宋" w:eastAsia="仿宋" w:cs="仿宋"/>
          <w:color w:val="auto"/>
          <w:spacing w:val="-6"/>
          <w:szCs w:val="21"/>
          <w:highlight w:val="none"/>
          <w:lang w:val="en-US" w:eastAsia="zh-CN"/>
        </w:rPr>
        <w:t>8.</w:t>
      </w: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 xml:space="preserve"> 投标人</w:t>
      </w:r>
      <w:r>
        <w:rPr>
          <w:rFonts w:hint="eastAsia" w:ascii="仿宋" w:hAnsi="仿宋" w:eastAsia="仿宋" w:cs="仿宋"/>
          <w:color w:val="auto"/>
          <w:spacing w:val="-6"/>
          <w:szCs w:val="21"/>
          <w:highlight w:val="none"/>
        </w:rPr>
        <w:t>认为</w:t>
      </w:r>
      <w:r>
        <w:rPr>
          <w:rFonts w:hint="eastAsia" w:ascii="仿宋" w:hAnsi="仿宋" w:eastAsia="仿宋" w:cs="仿宋"/>
          <w:color w:val="auto"/>
          <w:spacing w:val="-6"/>
          <w:szCs w:val="21"/>
          <w:highlight w:val="none"/>
          <w:lang w:val="en-US" w:eastAsia="zh-CN"/>
        </w:rPr>
        <w:t>招标</w:t>
      </w:r>
      <w:r>
        <w:rPr>
          <w:rFonts w:hint="eastAsia" w:ascii="仿宋" w:hAnsi="仿宋" w:eastAsia="仿宋" w:cs="仿宋"/>
          <w:color w:val="auto"/>
          <w:spacing w:val="-6"/>
          <w:szCs w:val="21"/>
          <w:highlight w:val="none"/>
        </w:rPr>
        <w:t>文件、</w:t>
      </w:r>
      <w:r>
        <w:rPr>
          <w:rFonts w:hint="eastAsia" w:ascii="仿宋" w:hAnsi="仿宋" w:eastAsia="仿宋" w:cs="仿宋"/>
          <w:color w:val="auto"/>
          <w:spacing w:val="-6"/>
          <w:szCs w:val="21"/>
          <w:highlight w:val="none"/>
          <w:lang w:val="en-US" w:eastAsia="zh-CN"/>
        </w:rPr>
        <w:t>招标</w:t>
      </w:r>
      <w:r>
        <w:rPr>
          <w:rFonts w:hint="eastAsia" w:ascii="仿宋" w:hAnsi="仿宋" w:eastAsia="仿宋" w:cs="仿宋"/>
          <w:color w:val="auto"/>
          <w:spacing w:val="-6"/>
          <w:szCs w:val="21"/>
          <w:highlight w:val="none"/>
        </w:rPr>
        <w:t>过程、中标结果使自己的权益受到损害的，可以在知道或者应知其权益受到损害之日起7个工作日内，以书面形式向采购人、采购代理机构提出质疑。质疑供应商对采购人、采购代理机构的答复不满意，或者采购人、采购代理机构未在规定时间内作出答复的，可以在答复期满后15个工作日内向</w:t>
      </w:r>
      <w:r>
        <w:rPr>
          <w:rFonts w:hint="eastAsia" w:ascii="仿宋" w:hAnsi="仿宋" w:eastAsia="仿宋" w:cs="仿宋"/>
          <w:color w:val="auto"/>
          <w:szCs w:val="21"/>
          <w:highlight w:val="none"/>
          <w:lang w:val="en-US" w:eastAsia="zh-CN"/>
        </w:rPr>
        <w:t>采购人</w:t>
      </w:r>
      <w:r>
        <w:rPr>
          <w:rFonts w:hint="eastAsia" w:ascii="仿宋" w:hAnsi="仿宋" w:eastAsia="仿宋" w:cs="仿宋"/>
          <w:color w:val="auto"/>
          <w:szCs w:val="21"/>
          <w:highlight w:val="none"/>
        </w:rPr>
        <w:t>采购监督管理部门</w:t>
      </w:r>
      <w:r>
        <w:rPr>
          <w:rFonts w:hint="eastAsia" w:ascii="仿宋" w:hAnsi="仿宋" w:eastAsia="仿宋" w:cs="仿宋"/>
          <w:color w:val="auto"/>
          <w:spacing w:val="-6"/>
          <w:szCs w:val="21"/>
          <w:highlight w:val="none"/>
        </w:rPr>
        <w:t>提起投诉。</w:t>
      </w:r>
    </w:p>
    <w:bookmarkEnd w:id="35"/>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val="en-US" w:eastAsia="zh-CN"/>
        </w:rPr>
        <w:t>8.</w:t>
      </w:r>
      <w:r>
        <w:rPr>
          <w:rFonts w:hint="eastAsia" w:ascii="仿宋" w:hAnsi="仿宋" w:eastAsia="仿宋" w:cs="仿宋"/>
          <w:b/>
          <w:bCs/>
          <w:color w:val="auto"/>
          <w:spacing w:val="-6"/>
          <w:szCs w:val="21"/>
          <w:highlight w:val="none"/>
        </w:rPr>
        <w:t>2</w:t>
      </w:r>
      <w:r>
        <w:rPr>
          <w:rFonts w:hint="eastAsia" w:ascii="仿宋" w:hAnsi="仿宋" w:eastAsia="仿宋" w:cs="仿宋"/>
          <w:b/>
          <w:bCs/>
          <w:color w:val="auto"/>
          <w:spacing w:val="-6"/>
          <w:szCs w:val="21"/>
          <w:highlight w:val="none"/>
          <w:lang w:val="en-US" w:eastAsia="zh-CN"/>
        </w:rPr>
        <w:t xml:space="preserve"> </w:t>
      </w:r>
      <w:r>
        <w:rPr>
          <w:rFonts w:hint="eastAsia" w:ascii="仿宋" w:hAnsi="仿宋" w:eastAsia="仿宋" w:cs="仿宋"/>
          <w:b/>
          <w:bCs/>
          <w:color w:val="auto"/>
          <w:spacing w:val="-6"/>
          <w:szCs w:val="21"/>
          <w:highlight w:val="none"/>
        </w:rPr>
        <w:t>投标人提出质疑应当提交质疑函和必要的证明材料，质疑函应当包括下列内容：</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（1）供应商的姓名或者名称、地址、邮编、联系人及联系电话</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（2）质疑项目的名称、编号</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（3）具体、明确的质疑事项和与质疑事项相关的请求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（4）事实依据</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（5）必要的法律依据</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（6）提出质疑的日期</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投标人为自然人的，应当由本人签名；投标人为法人或者其他组织的，应当由法定代表人、主要负责人，或者其授权代表签名或者盖章，并加盖公章。</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b/>
          <w:color w:val="auto"/>
          <w:spacing w:val="-6"/>
          <w:szCs w:val="21"/>
          <w:highlight w:val="none"/>
        </w:rPr>
      </w:pPr>
      <w:r>
        <w:rPr>
          <w:rFonts w:hint="eastAsia" w:ascii="仿宋" w:hAnsi="仿宋" w:eastAsia="仿宋" w:cs="仿宋"/>
          <w:color w:val="auto"/>
          <w:spacing w:val="-6"/>
          <w:szCs w:val="21"/>
          <w:highlight w:val="none"/>
          <w:lang w:val="en-US" w:eastAsia="zh-CN"/>
        </w:rPr>
        <w:t>8.</w:t>
      </w:r>
      <w:r>
        <w:rPr>
          <w:rFonts w:hint="eastAsia" w:ascii="仿宋" w:hAnsi="仿宋" w:eastAsia="仿宋" w:cs="仿宋"/>
          <w:color w:val="auto"/>
          <w:spacing w:val="-6"/>
          <w:szCs w:val="21"/>
          <w:highlight w:val="none"/>
        </w:rPr>
        <w:t>3</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提出质疑的供应商应当是参与本项目招标活动的投标人。</w:t>
      </w:r>
      <w:r>
        <w:rPr>
          <w:rFonts w:hint="eastAsia" w:ascii="仿宋" w:hAnsi="仿宋" w:eastAsia="仿宋" w:cs="仿宋"/>
          <w:b/>
          <w:color w:val="auto"/>
          <w:spacing w:val="-6"/>
          <w:szCs w:val="21"/>
          <w:highlight w:val="none"/>
        </w:rPr>
        <w:t>投标人在法定质疑期内应一次性提出针对同一采购程序环节的质疑。</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8.</w:t>
      </w:r>
      <w:r>
        <w:rPr>
          <w:rFonts w:hint="eastAsia" w:ascii="仿宋" w:hAnsi="仿宋" w:eastAsia="仿宋" w:cs="仿宋"/>
          <w:color w:val="auto"/>
          <w:spacing w:val="-6"/>
          <w:szCs w:val="21"/>
          <w:highlight w:val="none"/>
        </w:rPr>
        <w:t>4</w:t>
      </w:r>
      <w:r>
        <w:rPr>
          <w:rFonts w:hint="eastAsia" w:ascii="仿宋" w:hAnsi="仿宋" w:eastAsia="仿宋" w:cs="仿宋"/>
          <w:color w:val="auto"/>
          <w:spacing w:val="-6"/>
          <w:szCs w:val="21"/>
          <w:highlight w:val="none"/>
          <w:lang w:val="en-US" w:eastAsia="zh-CN"/>
        </w:rPr>
        <w:t xml:space="preserve"> 参照</w:t>
      </w:r>
      <w:r>
        <w:rPr>
          <w:rFonts w:hint="eastAsia" w:ascii="仿宋" w:hAnsi="仿宋" w:eastAsia="仿宋" w:cs="仿宋"/>
          <w:color w:val="auto"/>
          <w:spacing w:val="-6"/>
          <w:szCs w:val="21"/>
          <w:highlight w:val="none"/>
        </w:rPr>
        <w:t>《政府采购质疑和投诉办法》第三十七条的规定，投诉人有下列行为之一的，属于虚假、恶意投诉：</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（1）捏造事实</w:t>
      </w:r>
      <w:r>
        <w:rPr>
          <w:rFonts w:hint="eastAsia" w:ascii="仿宋" w:hAnsi="仿宋" w:eastAsia="仿宋" w:cs="仿宋"/>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（2）提供虚假材料；</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（3）以非法手段取得证明材料。证据来源的合法性存在明显疑问，投诉人无法证明其取得方式合法的，视为以非法手段取得证明材料。</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textAlignment w:val="auto"/>
        <w:outlineLvl w:val="2"/>
        <w:rPr>
          <w:rFonts w:hint="eastAsia" w:ascii="仿宋" w:hAnsi="仿宋" w:eastAsia="仿宋" w:cs="仿宋"/>
          <w:color w:val="auto"/>
          <w:szCs w:val="21"/>
          <w:highlight w:val="none"/>
        </w:rPr>
      </w:pPr>
      <w:bookmarkStart w:id="36" w:name="_Hlk92273111"/>
      <w:bookmarkStart w:id="37" w:name="_Hlk94018492"/>
      <w:r>
        <w:rPr>
          <w:rFonts w:hint="eastAsia" w:ascii="仿宋" w:hAnsi="仿宋" w:eastAsia="仿宋" w:cs="仿宋"/>
          <w:b/>
          <w:color w:val="auto"/>
          <w:spacing w:val="-6"/>
          <w:kern w:val="0"/>
          <w:szCs w:val="21"/>
          <w:highlight w:val="none"/>
          <w:lang w:val="en-US" w:eastAsia="zh-CN"/>
        </w:rPr>
        <w:t>9.</w:t>
      </w:r>
      <w:r>
        <w:rPr>
          <w:rFonts w:hint="eastAsia" w:ascii="仿宋" w:hAnsi="仿宋" w:eastAsia="仿宋" w:cs="仿宋"/>
          <w:b/>
          <w:color w:val="auto"/>
          <w:spacing w:val="-6"/>
          <w:kern w:val="0"/>
          <w:szCs w:val="21"/>
          <w:highlight w:val="none"/>
        </w:rPr>
        <w:t>采购项目需要落实的政府采购政策</w:t>
      </w:r>
    </w:p>
    <w:bookmarkEnd w:id="36"/>
    <w:p>
      <w:pPr>
        <w:adjustRightInd w:val="0"/>
        <w:snapToGrid w:val="0"/>
        <w:spacing w:line="288" w:lineRule="auto"/>
        <w:ind w:firstLine="398" w:firstLineChars="200"/>
        <w:jc w:val="left"/>
        <w:rPr>
          <w:rFonts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9.1 本项目采购本国生产的货物</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rPr>
        <w:t>不允许采购进口产品；</w:t>
      </w:r>
    </w:p>
    <w:p>
      <w:pPr>
        <w:adjustRightInd w:val="0"/>
        <w:snapToGrid w:val="0"/>
        <w:spacing w:line="288" w:lineRule="auto"/>
        <w:ind w:firstLine="398" w:firstLineChars="200"/>
        <w:jc w:val="left"/>
        <w:rPr>
          <w:rFonts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9.2 支持绿色发展</w:t>
      </w:r>
    </w:p>
    <w:p>
      <w:pPr>
        <w:adjustRightInd w:val="0"/>
        <w:snapToGrid w:val="0"/>
        <w:spacing w:line="288" w:lineRule="auto"/>
        <w:ind w:firstLine="396" w:firstLineChars="200"/>
        <w:jc w:val="left"/>
        <w:rPr>
          <w:rFonts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采购人拟采购的产品属于品目清单范围的，采购人及其委托的采购代理机构将依据国家确定的认证机构出具的、有效的节能、环境标志产品认证证书，对获得证书的产品实施政府优先采购。投标人须按招标文件要求提供相关产品认证证书。</w:t>
      </w:r>
    </w:p>
    <w:p>
      <w:pPr>
        <w:keepNext w:val="0"/>
        <w:keepLines w:val="0"/>
        <w:pageBreakBefore w:val="0"/>
        <w:widowControl w:val="0"/>
        <w:kinsoku/>
        <w:wordWrap/>
        <w:overflowPunct/>
        <w:topLinePunct w:val="0"/>
        <w:autoSpaceDE/>
        <w:autoSpaceDN/>
        <w:bidi w:val="0"/>
        <w:adjustRightInd w:val="0"/>
        <w:snapToGrid w:val="0"/>
        <w:spacing w:line="288" w:lineRule="auto"/>
        <w:ind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为助力打好污染防治攻坚战，推广使用绿色包装，政府采购货物项目中涉及商品包装和快递包装的，供应商提供产品及相关快递服务的具体包装要求要参考《商品包装政府采购需求标准（试行）》《快递包装政府采购需求标准（试行）》。</w:t>
      </w:r>
    </w:p>
    <w:p>
      <w:pPr>
        <w:keepNext w:val="0"/>
        <w:keepLines w:val="0"/>
        <w:pageBreakBefore w:val="0"/>
        <w:widowControl w:val="0"/>
        <w:kinsoku/>
        <w:wordWrap/>
        <w:overflowPunct/>
        <w:topLinePunct w:val="0"/>
        <w:autoSpaceDE/>
        <w:autoSpaceDN/>
        <w:bidi w:val="0"/>
        <w:adjustRightInd w:val="0"/>
        <w:snapToGrid w:val="0"/>
        <w:spacing w:line="288" w:lineRule="auto"/>
        <w:ind w:firstLine="398" w:firstLineChars="200"/>
        <w:jc w:val="left"/>
        <w:textAlignment w:val="auto"/>
        <w:rPr>
          <w:rFonts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9.</w:t>
      </w:r>
      <w:r>
        <w:rPr>
          <w:rFonts w:hint="eastAsia" w:ascii="仿宋" w:hAnsi="仿宋" w:eastAsia="仿宋" w:cs="仿宋"/>
          <w:b/>
          <w:bCs/>
          <w:color w:val="auto"/>
          <w:spacing w:val="-6"/>
          <w:szCs w:val="21"/>
          <w:highlight w:val="none"/>
          <w:lang w:val="en-US" w:eastAsia="zh-CN"/>
        </w:rPr>
        <w:t>3</w:t>
      </w:r>
      <w:r>
        <w:rPr>
          <w:rFonts w:hint="eastAsia" w:ascii="仿宋" w:hAnsi="仿宋" w:eastAsia="仿宋" w:cs="仿宋"/>
          <w:b/>
          <w:bCs/>
          <w:color w:val="auto"/>
          <w:spacing w:val="-6"/>
          <w:szCs w:val="21"/>
          <w:highlight w:val="none"/>
        </w:rPr>
        <w:t xml:space="preserve"> 支持中小企业发展</w:t>
      </w:r>
    </w:p>
    <w:p>
      <w:pPr>
        <w:adjustRightInd w:val="0"/>
        <w:snapToGrid w:val="0"/>
        <w:spacing w:line="288" w:lineRule="auto"/>
        <w:ind w:firstLine="396" w:firstLineChars="200"/>
        <w:jc w:val="left"/>
        <w:rPr>
          <w:rFonts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中小企业，是指在中华人民共和国境内依法设立，依据国务院批准的中小企业划分标准确定的中型企业、小型企业和微型企业，但与大企业的负责人为同一人，或者与大企业存在直接控股、管理关系的除外。</w:t>
      </w:r>
    </w:p>
    <w:p>
      <w:pPr>
        <w:adjustRightInd w:val="0"/>
        <w:snapToGrid w:val="0"/>
        <w:spacing w:line="288" w:lineRule="auto"/>
        <w:ind w:firstLine="396" w:firstLineChars="200"/>
        <w:jc w:val="left"/>
        <w:rPr>
          <w:rFonts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符合中小企业划分标准的个体工商户，在政府采购活动中视同中小企业。</w:t>
      </w:r>
    </w:p>
    <w:p>
      <w:pPr>
        <w:adjustRightInd w:val="0"/>
        <w:snapToGrid w:val="0"/>
        <w:spacing w:line="288" w:lineRule="auto"/>
        <w:ind w:firstLine="396" w:firstLineChars="200"/>
        <w:jc w:val="left"/>
        <w:rPr>
          <w:rFonts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在政府采购活动中，投标人提供的服务符合下列情形的，享受中小企业扶持政策：服务由中小企业承接，即提供服务的人员为中小企业依照《中华人民共和国劳动合同法》订立劳动合同的从业人员。</w:t>
      </w:r>
    </w:p>
    <w:p>
      <w:pPr>
        <w:adjustRightInd w:val="0"/>
        <w:snapToGrid w:val="0"/>
        <w:spacing w:line="288" w:lineRule="auto"/>
        <w:ind w:firstLine="396" w:firstLineChars="200"/>
        <w:jc w:val="left"/>
        <w:rPr>
          <w:rFonts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可享受中小企业扶持政策的投标人应按照招标文件格式要求提供《中小企业声明函》，投标人提供的《中小企业声明函》与实际情况不符的，不享受中小企业扶持政策。声明内容不实的，属于提供虚假材料谋取中标，依法承担法律责任。</w:t>
      </w:r>
    </w:p>
    <w:p>
      <w:pPr>
        <w:adjustRightInd w:val="0"/>
        <w:snapToGrid w:val="0"/>
        <w:spacing w:line="288" w:lineRule="auto"/>
        <w:ind w:firstLine="396" w:firstLineChars="200"/>
        <w:jc w:val="left"/>
        <w:rPr>
          <w:rFonts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中小企业享受扶持政策获得政府采购合同的，小微企业不得将合同分包给大中型企业，中型企业不得将合同分包给大型企业。</w:t>
      </w:r>
    </w:p>
    <w:p>
      <w:pPr>
        <w:adjustRightInd w:val="0"/>
        <w:snapToGrid w:val="0"/>
        <w:spacing w:line="288" w:lineRule="auto"/>
        <w:ind w:firstLine="398" w:firstLineChars="200"/>
        <w:jc w:val="left"/>
        <w:rPr>
          <w:rFonts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9.</w:t>
      </w:r>
      <w:r>
        <w:rPr>
          <w:rFonts w:hint="eastAsia" w:ascii="仿宋" w:hAnsi="仿宋" w:eastAsia="仿宋" w:cs="仿宋"/>
          <w:b/>
          <w:bCs/>
          <w:color w:val="auto"/>
          <w:spacing w:val="-6"/>
          <w:szCs w:val="21"/>
          <w:highlight w:val="none"/>
          <w:lang w:val="en-US" w:eastAsia="zh-CN"/>
        </w:rPr>
        <w:t>4</w:t>
      </w:r>
      <w:r>
        <w:rPr>
          <w:rFonts w:hint="eastAsia" w:ascii="仿宋" w:hAnsi="仿宋" w:eastAsia="仿宋" w:cs="仿宋"/>
          <w:b/>
          <w:bCs/>
          <w:color w:val="auto"/>
          <w:spacing w:val="-6"/>
          <w:szCs w:val="21"/>
          <w:highlight w:val="none"/>
        </w:rPr>
        <w:t xml:space="preserve"> 政府采购支持监狱企业发展</w:t>
      </w:r>
    </w:p>
    <w:p>
      <w:pPr>
        <w:adjustRightInd w:val="0"/>
        <w:snapToGrid w:val="0"/>
        <w:spacing w:line="288" w:lineRule="auto"/>
        <w:ind w:firstLine="396" w:firstLineChars="200"/>
        <w:jc w:val="left"/>
        <w:rPr>
          <w:rFonts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符合《关于政府采购支持监狱企业发展有关问题的通知》（财库[2014]68号）规定的监狱企业并提供由省级以上监狱管理局、戒毒管理局（含新疆生产建设兵团）出具的属于监狱企业证明文件的，视同为小型、微型企业。</w:t>
      </w:r>
    </w:p>
    <w:p>
      <w:pPr>
        <w:adjustRightInd w:val="0"/>
        <w:snapToGrid w:val="0"/>
        <w:spacing w:line="288" w:lineRule="auto"/>
        <w:ind w:firstLine="398" w:firstLineChars="200"/>
        <w:jc w:val="left"/>
        <w:rPr>
          <w:rFonts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9.</w:t>
      </w:r>
      <w:r>
        <w:rPr>
          <w:rFonts w:hint="eastAsia" w:ascii="仿宋" w:hAnsi="仿宋" w:eastAsia="仿宋" w:cs="仿宋"/>
          <w:b/>
          <w:bCs/>
          <w:color w:val="auto"/>
          <w:spacing w:val="-6"/>
          <w:szCs w:val="21"/>
          <w:highlight w:val="none"/>
          <w:lang w:val="en-US" w:eastAsia="zh-CN"/>
        </w:rPr>
        <w:t>5</w:t>
      </w:r>
      <w:r>
        <w:rPr>
          <w:rFonts w:hint="eastAsia" w:ascii="仿宋" w:hAnsi="仿宋" w:eastAsia="仿宋" w:cs="仿宋"/>
          <w:b/>
          <w:bCs/>
          <w:color w:val="auto"/>
          <w:spacing w:val="-6"/>
          <w:szCs w:val="21"/>
          <w:highlight w:val="none"/>
        </w:rPr>
        <w:t xml:space="preserve"> 政府采购促进残疾人就业</w:t>
      </w:r>
    </w:p>
    <w:p>
      <w:pPr>
        <w:adjustRightInd w:val="0"/>
        <w:snapToGrid w:val="0"/>
        <w:spacing w:line="288" w:lineRule="auto"/>
        <w:ind w:firstLine="396" w:firstLineChars="200"/>
        <w:jc w:val="left"/>
        <w:rPr>
          <w:rFonts w:hint="eastAsia" w:ascii="仿宋" w:hAnsi="仿宋" w:eastAsia="仿宋" w:cs="仿宋"/>
          <w:color w:val="auto"/>
          <w:spacing w:val="-6"/>
          <w:szCs w:val="21"/>
          <w:highlight w:val="none"/>
          <w:lang w:eastAsia="zh-CN"/>
        </w:rPr>
      </w:pPr>
      <w:r>
        <w:rPr>
          <w:rFonts w:hint="eastAsia" w:ascii="仿宋" w:hAnsi="仿宋" w:eastAsia="仿宋" w:cs="仿宋"/>
          <w:color w:val="auto"/>
          <w:spacing w:val="-6"/>
          <w:szCs w:val="21"/>
          <w:highlight w:val="none"/>
        </w:rPr>
        <w:t>符合《关于促进残疾人就业政府采购政策的通知》（财库[2017]141号）规定的条件并提供《残疾人福利性单位声明函》的残疾人福利性单位视同小型、微型企业。</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pacing w:val="-6"/>
          <w:szCs w:val="21"/>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val="en-US" w:eastAsia="zh-CN"/>
        </w:rPr>
        <w:t>备注：</w:t>
      </w:r>
      <w:r>
        <w:rPr>
          <w:rFonts w:hint="eastAsia" w:ascii="仿宋" w:hAnsi="仿宋" w:eastAsia="仿宋" w:cs="仿宋"/>
          <w:b/>
          <w:bCs/>
          <w:color w:val="auto"/>
          <w:spacing w:val="-6"/>
          <w:szCs w:val="21"/>
          <w:highlight w:val="none"/>
        </w:rPr>
        <w:t>除财库《政府采购促进中小企业发展管理办法》（财库</w:t>
      </w:r>
      <w:r>
        <w:rPr>
          <w:rFonts w:hint="eastAsia" w:ascii="仿宋" w:hAnsi="仿宋" w:eastAsia="仿宋" w:cs="仿宋"/>
          <w:b/>
          <w:bCs/>
          <w:color w:val="auto"/>
          <w:spacing w:val="-6"/>
          <w:szCs w:val="21"/>
          <w:highlight w:val="none"/>
          <w:lang w:eastAsia="zh-CN"/>
        </w:rPr>
        <w:t>[2020]46</w:t>
      </w:r>
      <w:r>
        <w:rPr>
          <w:rFonts w:hint="eastAsia" w:ascii="仿宋" w:hAnsi="仿宋" w:eastAsia="仿宋" w:cs="仿宋"/>
          <w:b/>
          <w:bCs/>
          <w:color w:val="auto"/>
          <w:spacing w:val="-6"/>
          <w:szCs w:val="21"/>
          <w:highlight w:val="none"/>
        </w:rPr>
        <w:t>号）、《关于促进残疾人就业政府采购政策的通知》（财库[2017]141号）、《关于政府采购支持监狱企业发展有关问题的通知》（财库[2014]68号）规定企业类型以外的</w:t>
      </w:r>
      <w:r>
        <w:rPr>
          <w:rFonts w:hint="eastAsia" w:ascii="仿宋" w:hAnsi="仿宋" w:eastAsia="仿宋" w:cs="仿宋"/>
          <w:b/>
          <w:bCs/>
          <w:color w:val="auto"/>
          <w:spacing w:val="-6"/>
          <w:szCs w:val="21"/>
          <w:highlight w:val="none"/>
          <w:lang w:val="en-US" w:eastAsia="zh-CN"/>
        </w:rPr>
        <w:t>投标人</w:t>
      </w:r>
      <w:r>
        <w:rPr>
          <w:rFonts w:hint="eastAsia" w:ascii="仿宋" w:hAnsi="仿宋" w:eastAsia="仿宋" w:cs="仿宋"/>
          <w:b/>
          <w:bCs/>
          <w:color w:val="auto"/>
          <w:spacing w:val="-6"/>
          <w:szCs w:val="21"/>
          <w:highlight w:val="none"/>
        </w:rPr>
        <w:t>不享受中小企业扶持政策。</w:t>
      </w:r>
    </w:p>
    <w:bookmarkEnd w:id="37"/>
    <w:p>
      <w:pPr>
        <w:adjustRightInd w:val="0"/>
        <w:snapToGrid w:val="0"/>
        <w:spacing w:line="288" w:lineRule="auto"/>
        <w:ind w:firstLine="398" w:firstLineChars="200"/>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1"/>
        <w:rPr>
          <w:rFonts w:hint="eastAsia" w:ascii="仿宋" w:hAnsi="仿宋" w:eastAsia="仿宋" w:cs="仿宋"/>
          <w:b/>
          <w:color w:val="auto"/>
          <w:spacing w:val="-6"/>
          <w:sz w:val="24"/>
          <w:szCs w:val="24"/>
          <w:highlight w:val="none"/>
        </w:rPr>
      </w:pPr>
      <w:r>
        <w:rPr>
          <w:rFonts w:hint="eastAsia" w:ascii="仿宋" w:hAnsi="仿宋" w:eastAsia="仿宋" w:cs="仿宋"/>
          <w:b/>
          <w:color w:val="auto"/>
          <w:spacing w:val="-6"/>
          <w:sz w:val="24"/>
          <w:szCs w:val="24"/>
          <w:highlight w:val="none"/>
        </w:rPr>
        <w:t>二、招标文件</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1.</w:t>
      </w:r>
      <w:r>
        <w:rPr>
          <w:rFonts w:hint="eastAsia" w:ascii="仿宋" w:hAnsi="仿宋" w:eastAsia="仿宋" w:cs="仿宋"/>
          <w:b/>
          <w:color w:val="auto"/>
          <w:spacing w:val="-6"/>
          <w:szCs w:val="21"/>
          <w:highlight w:val="none"/>
        </w:rPr>
        <w:t>招标文件的构成</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本招标文件由以下部分组成：</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投标邀请</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采购需求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3</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投标人须知</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4</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评标方法及评标标准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5</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拟签订的合同文本</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6</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投标文件格式</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7</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本项目招标文件的澄清、答复、修改、补充的内容</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2.</w:t>
      </w:r>
      <w:r>
        <w:rPr>
          <w:rFonts w:hint="eastAsia" w:ascii="仿宋" w:hAnsi="仿宋" w:eastAsia="仿宋" w:cs="仿宋"/>
          <w:b/>
          <w:color w:val="auto"/>
          <w:spacing w:val="-6"/>
          <w:szCs w:val="21"/>
          <w:highlight w:val="none"/>
        </w:rPr>
        <w:t>招标文件的澄清与修改</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采购人或者采购代理机构可以对已发出的招标文件进行必要的澄清或者修改，澄清或者修改会在原公告发布媒体上发布澄清公告，澄清或者修改的内容为招标文件的组成部分。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澄清或者修改的内容可能影响投标文件编制的，采购人或者采购代理机构会在</w:t>
      </w:r>
      <w:r>
        <w:rPr>
          <w:rFonts w:hint="eastAsia" w:ascii="仿宋" w:hAnsi="仿宋" w:eastAsia="仿宋" w:cs="仿宋"/>
          <w:color w:val="auto"/>
          <w:spacing w:val="-6"/>
          <w:szCs w:val="21"/>
          <w:highlight w:val="none"/>
          <w:lang w:eastAsia="zh-CN"/>
        </w:rPr>
        <w:t>提交投标文件截止时间</w:t>
      </w:r>
      <w:r>
        <w:rPr>
          <w:rFonts w:hint="eastAsia" w:ascii="仿宋" w:hAnsi="仿宋" w:eastAsia="仿宋" w:cs="仿宋"/>
          <w:color w:val="auto"/>
          <w:spacing w:val="-6"/>
          <w:szCs w:val="21"/>
          <w:highlight w:val="none"/>
        </w:rPr>
        <w:t>至少15日前，以书面形式通知所有获取招标文件的潜在投标人；不足15日的，采购人或者采购代理机构会顺延提交投标文件的截止时间。</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招标文件的修改将以书面形式通知所有获取招标文件的投标人，并对其具有约束力。投标人在收到上述通知后，应立即向采购代理机构回函确认。若无书面回函确认，视同投标人已收到招标文件修改的通知，并受其约束。</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center"/>
        <w:textAlignment w:val="auto"/>
        <w:outlineLvl w:val="1"/>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br w:type="page"/>
      </w:r>
      <w:r>
        <w:rPr>
          <w:rFonts w:hint="eastAsia" w:ascii="仿宋" w:hAnsi="仿宋" w:eastAsia="仿宋" w:cs="仿宋"/>
          <w:b/>
          <w:color w:val="auto"/>
          <w:spacing w:val="-6"/>
          <w:sz w:val="24"/>
          <w:szCs w:val="24"/>
          <w:highlight w:val="none"/>
        </w:rPr>
        <w:t>三、投标文件编制要求</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1.</w:t>
      </w:r>
      <w:r>
        <w:rPr>
          <w:rFonts w:hint="eastAsia" w:ascii="仿宋" w:hAnsi="仿宋" w:eastAsia="仿宋" w:cs="仿宋"/>
          <w:b/>
          <w:color w:val="auto"/>
          <w:spacing w:val="-6"/>
          <w:szCs w:val="21"/>
          <w:highlight w:val="none"/>
        </w:rPr>
        <w:t>投标文件的组成</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bookmarkStart w:id="38" w:name="_Hlk94018532"/>
      <w:r>
        <w:rPr>
          <w:rFonts w:hint="eastAsia" w:ascii="仿宋" w:hAnsi="仿宋" w:eastAsia="仿宋" w:cs="仿宋"/>
          <w:color w:val="auto"/>
          <w:spacing w:val="-6"/>
          <w:szCs w:val="21"/>
          <w:highlight w:val="none"/>
          <w:lang w:val="en-US" w:eastAsia="zh-CN"/>
        </w:rPr>
        <w:t xml:space="preserve">1.1 </w:t>
      </w:r>
      <w:r>
        <w:rPr>
          <w:rFonts w:hint="eastAsia" w:ascii="仿宋" w:hAnsi="仿宋" w:eastAsia="仿宋" w:cs="仿宋"/>
          <w:color w:val="auto"/>
          <w:spacing w:val="-6"/>
          <w:szCs w:val="21"/>
          <w:highlight w:val="none"/>
          <w:lang w:eastAsia="zh-CN"/>
        </w:rPr>
        <w:t>投标文件</w:t>
      </w:r>
      <w:r>
        <w:rPr>
          <w:rFonts w:hint="eastAsia" w:ascii="仿宋" w:hAnsi="仿宋" w:eastAsia="仿宋" w:cs="仿宋"/>
          <w:color w:val="auto"/>
          <w:spacing w:val="-6"/>
          <w:szCs w:val="21"/>
          <w:highlight w:val="none"/>
        </w:rPr>
        <w:t>由</w:t>
      </w:r>
      <w:r>
        <w:rPr>
          <w:rFonts w:hint="eastAsia" w:ascii="仿宋" w:hAnsi="仿宋" w:eastAsia="仿宋" w:cs="仿宋"/>
          <w:b/>
          <w:color w:val="auto"/>
          <w:spacing w:val="-6"/>
          <w:szCs w:val="21"/>
          <w:highlight w:val="none"/>
        </w:rPr>
        <w:t>资格文件</w:t>
      </w:r>
      <w:r>
        <w:rPr>
          <w:rFonts w:hint="eastAsia" w:ascii="仿宋" w:hAnsi="仿宋" w:eastAsia="仿宋" w:cs="仿宋"/>
          <w:b/>
          <w:color w:val="auto"/>
          <w:spacing w:val="-6"/>
          <w:szCs w:val="21"/>
          <w:highlight w:val="none"/>
          <w:lang w:eastAsia="zh-CN"/>
        </w:rPr>
        <w:t>、</w:t>
      </w:r>
      <w:r>
        <w:rPr>
          <w:rFonts w:hint="eastAsia" w:ascii="仿宋" w:hAnsi="仿宋" w:eastAsia="仿宋" w:cs="仿宋"/>
          <w:b/>
          <w:color w:val="auto"/>
          <w:spacing w:val="-6"/>
          <w:szCs w:val="21"/>
          <w:highlight w:val="none"/>
        </w:rPr>
        <w:t>商务和技术文件、报价文件</w:t>
      </w:r>
      <w:r>
        <w:rPr>
          <w:rFonts w:hint="eastAsia" w:ascii="仿宋" w:hAnsi="仿宋" w:eastAsia="仿宋" w:cs="仿宋"/>
          <w:b/>
          <w:color w:val="auto"/>
          <w:spacing w:val="-6"/>
          <w:szCs w:val="21"/>
          <w:highlight w:val="none"/>
          <w:lang w:val="en-US" w:eastAsia="zh-CN"/>
        </w:rPr>
        <w:t>三</w:t>
      </w:r>
      <w:r>
        <w:rPr>
          <w:rFonts w:hint="eastAsia" w:ascii="仿宋" w:hAnsi="仿宋" w:eastAsia="仿宋" w:cs="仿宋"/>
          <w:b/>
          <w:color w:val="auto"/>
          <w:spacing w:val="-6"/>
          <w:szCs w:val="21"/>
          <w:highlight w:val="none"/>
        </w:rPr>
        <w:t>部分</w:t>
      </w:r>
      <w:r>
        <w:rPr>
          <w:rFonts w:hint="eastAsia" w:ascii="仿宋" w:hAnsi="仿宋" w:eastAsia="仿宋" w:cs="仿宋"/>
          <w:bCs/>
          <w:color w:val="auto"/>
          <w:spacing w:val="-6"/>
          <w:szCs w:val="21"/>
          <w:highlight w:val="none"/>
        </w:rPr>
        <w:t>组成（格式详见招标文件第六章）</w:t>
      </w:r>
      <w:r>
        <w:rPr>
          <w:rFonts w:hint="eastAsia" w:ascii="仿宋" w:hAnsi="仿宋" w:eastAsia="仿宋" w:cs="仿宋"/>
          <w:bCs/>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 xml:space="preserve">1.2 </w:t>
      </w:r>
      <w:r>
        <w:rPr>
          <w:rFonts w:hint="eastAsia" w:ascii="仿宋" w:hAnsi="仿宋" w:eastAsia="仿宋" w:cs="仿宋"/>
          <w:color w:val="auto"/>
          <w:spacing w:val="-6"/>
          <w:szCs w:val="21"/>
          <w:highlight w:val="none"/>
        </w:rPr>
        <w:t>投标文件组成：详见“第六章  投标文件格式”目录</w:t>
      </w:r>
      <w:r>
        <w:rPr>
          <w:rFonts w:hint="eastAsia" w:ascii="仿宋" w:hAnsi="仿宋" w:eastAsia="仿宋" w:cs="仿宋"/>
          <w:color w:val="auto"/>
          <w:spacing w:val="-6"/>
          <w:szCs w:val="21"/>
          <w:highlight w:val="none"/>
          <w:lang w:eastAsia="zh-CN"/>
        </w:rPr>
        <w:t>。</w:t>
      </w:r>
    </w:p>
    <w:bookmarkEnd w:id="38"/>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2.投标文件的装订、份数、包装、递交、修改和撤回</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val="en-US" w:eastAsia="zh-CN"/>
        </w:rPr>
        <w:t>2.</w:t>
      </w:r>
      <w:r>
        <w:rPr>
          <w:rFonts w:hint="eastAsia" w:ascii="仿宋" w:hAnsi="仿宋" w:eastAsia="仿宋" w:cs="仿宋"/>
          <w:b/>
          <w:bCs/>
          <w:color w:val="auto"/>
          <w:spacing w:val="-6"/>
          <w:szCs w:val="21"/>
          <w:highlight w:val="none"/>
        </w:rPr>
        <w:t>1</w:t>
      </w:r>
      <w:r>
        <w:rPr>
          <w:rFonts w:hint="eastAsia" w:ascii="仿宋" w:hAnsi="仿宋" w:eastAsia="仿宋" w:cs="仿宋"/>
          <w:b/>
          <w:bCs/>
          <w:color w:val="auto"/>
          <w:spacing w:val="-6"/>
          <w:szCs w:val="21"/>
          <w:highlight w:val="none"/>
          <w:lang w:val="en-US" w:eastAsia="zh-CN"/>
        </w:rPr>
        <w:t xml:space="preserve"> </w:t>
      </w:r>
      <w:r>
        <w:rPr>
          <w:rFonts w:hint="eastAsia" w:ascii="仿宋" w:hAnsi="仿宋" w:eastAsia="仿宋" w:cs="仿宋"/>
          <w:b/>
          <w:bCs/>
          <w:color w:val="auto"/>
          <w:spacing w:val="-6"/>
          <w:szCs w:val="21"/>
          <w:highlight w:val="none"/>
        </w:rPr>
        <w:t>装订与份数</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rPr>
        <w:t>报价文件单独装订成册，资格文件、商务和技术文件合并装订成册，其中正本一份、</w:t>
      </w:r>
      <w:r>
        <w:rPr>
          <w:rFonts w:hint="eastAsia" w:ascii="仿宋" w:hAnsi="仿宋" w:eastAsia="仿宋" w:cs="仿宋"/>
          <w:b/>
          <w:bCs/>
          <w:color w:val="auto"/>
          <w:spacing w:val="-6"/>
          <w:szCs w:val="21"/>
          <w:highlight w:val="none"/>
          <w:lang w:eastAsia="zh-CN"/>
        </w:rPr>
        <w:t>副本五份</w:t>
      </w:r>
      <w:r>
        <w:rPr>
          <w:rFonts w:hint="eastAsia" w:ascii="仿宋" w:hAnsi="仿宋" w:eastAsia="仿宋" w:cs="仿宋"/>
          <w:b/>
          <w:bCs/>
          <w:color w:val="auto"/>
          <w:spacing w:val="-6"/>
          <w:szCs w:val="21"/>
          <w:highlight w:val="none"/>
        </w:rPr>
        <w:t>，投标文件的封面应注明“正本”、“副本”字样，同时提供投标文件电子文档一份（U盘或光盘形式，电子文档需为签字且加盖公章后的投标文件完成版彩色扫描件）</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rPr>
        <w:t>▲活页装订（卡条、抽杆夹、订书机、散装）的投标文件无效</w:t>
      </w:r>
      <w:r>
        <w:rPr>
          <w:rFonts w:hint="eastAsia" w:ascii="仿宋" w:hAnsi="仿宋" w:eastAsia="仿宋" w:cs="仿宋"/>
          <w:b/>
          <w:bCs/>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2.</w:t>
      </w:r>
      <w:r>
        <w:rPr>
          <w:rFonts w:hint="eastAsia" w:ascii="仿宋" w:hAnsi="仿宋" w:eastAsia="仿宋" w:cs="仿宋"/>
          <w:b/>
          <w:bCs/>
          <w:color w:val="auto"/>
          <w:spacing w:val="-6"/>
          <w:szCs w:val="21"/>
          <w:highlight w:val="none"/>
          <w:lang w:val="en-US" w:eastAsia="zh-CN"/>
        </w:rPr>
        <w:t xml:space="preserve">2 </w:t>
      </w:r>
      <w:r>
        <w:rPr>
          <w:rFonts w:hint="eastAsia" w:ascii="仿宋" w:hAnsi="仿宋" w:eastAsia="仿宋" w:cs="仿宋"/>
          <w:b/>
          <w:bCs/>
          <w:color w:val="auto"/>
          <w:spacing w:val="-6"/>
          <w:szCs w:val="21"/>
          <w:highlight w:val="none"/>
        </w:rPr>
        <w:t>包装</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rPr>
        <w:t>报价文件单独密封包装，资格文件、商务和技术文件合并密封包装，相同部分的正副本可密封在同一个密封袋内。</w:t>
      </w:r>
      <w:r>
        <w:rPr>
          <w:rFonts w:hint="eastAsia" w:ascii="仿宋" w:hAnsi="仿宋" w:eastAsia="仿宋" w:cs="仿宋"/>
          <w:b w:val="0"/>
          <w:bCs w:val="0"/>
          <w:color w:val="auto"/>
          <w:spacing w:val="-6"/>
          <w:szCs w:val="21"/>
          <w:highlight w:val="none"/>
        </w:rPr>
        <w:t>投标人应在投标文件包装封面上注明投标人名称、投标人地址、投标文件名称（报价文件、资格文件、商务和技术文件）、项目名称、项目编号及“开标时启封”字样，并加盖投标人公章</w:t>
      </w:r>
      <w:r>
        <w:rPr>
          <w:rFonts w:hint="eastAsia" w:ascii="仿宋" w:hAnsi="仿宋" w:eastAsia="仿宋" w:cs="仿宋"/>
          <w:b w:val="0"/>
          <w:bCs w:val="0"/>
          <w:color w:val="auto"/>
          <w:spacing w:val="-6"/>
          <w:szCs w:val="21"/>
          <w:highlight w:val="none"/>
          <w:lang w:eastAsia="zh-CN"/>
        </w:rPr>
        <w:t>。</w:t>
      </w:r>
      <w:r>
        <w:rPr>
          <w:rFonts w:hint="eastAsia" w:ascii="仿宋" w:hAnsi="仿宋" w:eastAsia="仿宋" w:cs="仿宋"/>
          <w:b/>
          <w:bCs/>
          <w:color w:val="auto"/>
          <w:spacing w:val="-6"/>
          <w:szCs w:val="21"/>
          <w:highlight w:val="none"/>
        </w:rPr>
        <w:t>报价文件未按要求密封导致开标时发生报价泄露，投标人自行承担相关责任</w:t>
      </w:r>
      <w:r>
        <w:rPr>
          <w:rFonts w:hint="eastAsia" w:ascii="仿宋" w:hAnsi="仿宋" w:eastAsia="仿宋" w:cs="仿宋"/>
          <w:b/>
          <w:bCs/>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b w:val="0"/>
          <w:bCs w:val="0"/>
          <w:color w:val="auto"/>
          <w:spacing w:val="-6"/>
          <w:szCs w:val="21"/>
          <w:highlight w:val="none"/>
        </w:rPr>
      </w:pPr>
      <w:r>
        <w:rPr>
          <w:rFonts w:hint="eastAsia" w:ascii="仿宋" w:hAnsi="仿宋" w:eastAsia="仿宋" w:cs="仿宋"/>
          <w:b w:val="0"/>
          <w:bCs w:val="0"/>
          <w:color w:val="auto"/>
          <w:spacing w:val="-6"/>
          <w:szCs w:val="21"/>
          <w:highlight w:val="none"/>
          <w:lang w:val="en-US" w:eastAsia="zh-CN"/>
        </w:rPr>
        <w:t>2.</w:t>
      </w:r>
      <w:r>
        <w:rPr>
          <w:rFonts w:hint="eastAsia" w:ascii="仿宋" w:hAnsi="仿宋" w:eastAsia="仿宋" w:cs="仿宋"/>
          <w:b w:val="0"/>
          <w:bCs w:val="0"/>
          <w:color w:val="auto"/>
          <w:spacing w:val="-6"/>
          <w:szCs w:val="21"/>
          <w:highlight w:val="none"/>
        </w:rPr>
        <w:t>3</w:t>
      </w:r>
      <w:r>
        <w:rPr>
          <w:rFonts w:hint="eastAsia" w:ascii="仿宋" w:hAnsi="仿宋" w:eastAsia="仿宋" w:cs="仿宋"/>
          <w:b w:val="0"/>
          <w:bCs w:val="0"/>
          <w:color w:val="auto"/>
          <w:spacing w:val="-6"/>
          <w:szCs w:val="21"/>
          <w:highlight w:val="none"/>
          <w:lang w:val="en-US" w:eastAsia="zh-CN"/>
        </w:rPr>
        <w:t xml:space="preserve"> </w:t>
      </w:r>
      <w:r>
        <w:rPr>
          <w:rFonts w:hint="eastAsia" w:ascii="仿宋" w:hAnsi="仿宋" w:eastAsia="仿宋" w:cs="仿宋"/>
          <w:b w:val="0"/>
          <w:bCs w:val="0"/>
          <w:color w:val="auto"/>
          <w:spacing w:val="-6"/>
          <w:szCs w:val="21"/>
          <w:highlight w:val="none"/>
        </w:rPr>
        <w:t>未按规定密封或标记的投标文件被误投或提前拆封的风险由投标人承担</w:t>
      </w:r>
      <w:r>
        <w:rPr>
          <w:rFonts w:hint="eastAsia" w:ascii="仿宋" w:hAnsi="仿宋" w:eastAsia="仿宋" w:cs="仿宋"/>
          <w:b w:val="0"/>
          <w:bCs w:val="0"/>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b w:val="0"/>
          <w:bCs w:val="0"/>
          <w:color w:val="auto"/>
          <w:spacing w:val="-6"/>
          <w:szCs w:val="21"/>
          <w:highlight w:val="none"/>
        </w:rPr>
      </w:pPr>
      <w:r>
        <w:rPr>
          <w:rFonts w:hint="eastAsia" w:ascii="仿宋" w:hAnsi="仿宋" w:eastAsia="仿宋" w:cs="仿宋"/>
          <w:b w:val="0"/>
          <w:bCs w:val="0"/>
          <w:color w:val="auto"/>
          <w:spacing w:val="-6"/>
          <w:szCs w:val="21"/>
          <w:highlight w:val="none"/>
          <w:lang w:val="en-US" w:eastAsia="zh-CN"/>
        </w:rPr>
        <w:t>2.</w:t>
      </w:r>
      <w:r>
        <w:rPr>
          <w:rFonts w:hint="eastAsia" w:ascii="仿宋" w:hAnsi="仿宋" w:eastAsia="仿宋" w:cs="仿宋"/>
          <w:b w:val="0"/>
          <w:bCs w:val="0"/>
          <w:color w:val="auto"/>
          <w:spacing w:val="-6"/>
          <w:szCs w:val="21"/>
          <w:highlight w:val="none"/>
        </w:rPr>
        <w:t>4</w:t>
      </w:r>
      <w:r>
        <w:rPr>
          <w:rFonts w:hint="eastAsia" w:ascii="仿宋" w:hAnsi="仿宋" w:eastAsia="仿宋" w:cs="仿宋"/>
          <w:b w:val="0"/>
          <w:bCs w:val="0"/>
          <w:color w:val="auto"/>
          <w:spacing w:val="-6"/>
          <w:szCs w:val="21"/>
          <w:highlight w:val="none"/>
          <w:lang w:val="en-US" w:eastAsia="zh-CN"/>
        </w:rPr>
        <w:t xml:space="preserve"> </w:t>
      </w:r>
      <w:r>
        <w:rPr>
          <w:rFonts w:hint="eastAsia" w:ascii="仿宋" w:hAnsi="仿宋" w:eastAsia="仿宋" w:cs="仿宋"/>
          <w:b w:val="0"/>
          <w:bCs w:val="0"/>
          <w:color w:val="auto"/>
          <w:spacing w:val="-6"/>
          <w:szCs w:val="21"/>
          <w:highlight w:val="none"/>
        </w:rPr>
        <w:t>投标人在投标截止时间前，可以对所递交的投标文件进行补充、修改或者撤回，并书面通知采购代理机构。补充、修改的内容应当按照招标文件要求签署、盖章、密封后，作为投标文件的组成部分。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lang w:val="en-US" w:eastAsia="zh-CN"/>
        </w:rPr>
      </w:pPr>
      <w:r>
        <w:rPr>
          <w:rFonts w:hint="eastAsia" w:ascii="仿宋" w:hAnsi="仿宋" w:eastAsia="仿宋" w:cs="仿宋"/>
          <w:b/>
          <w:color w:val="auto"/>
          <w:spacing w:val="-6"/>
          <w:szCs w:val="21"/>
          <w:highlight w:val="none"/>
          <w:lang w:val="en-US" w:eastAsia="zh-CN"/>
        </w:rPr>
        <w:t>3.投标文件的签署</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b w:val="0"/>
          <w:bCs w:val="0"/>
          <w:color w:val="auto"/>
          <w:spacing w:val="-6"/>
          <w:szCs w:val="21"/>
          <w:highlight w:val="none"/>
          <w:lang w:val="en-US" w:eastAsia="zh-CN"/>
        </w:rPr>
      </w:pPr>
      <w:r>
        <w:rPr>
          <w:rFonts w:hint="eastAsia" w:ascii="仿宋" w:hAnsi="仿宋" w:eastAsia="仿宋" w:cs="仿宋"/>
          <w:b w:val="0"/>
          <w:bCs w:val="0"/>
          <w:color w:val="auto"/>
          <w:spacing w:val="-6"/>
          <w:szCs w:val="21"/>
          <w:highlight w:val="none"/>
          <w:lang w:val="en-US" w:eastAsia="zh-CN"/>
        </w:rPr>
        <w:t>3.1 投标人应按本招标文件规定的格式和顺序编制、装订投标文件，投标文件内容不完整、编排混乱导致投标文件被误读、漏读或者查找不到相关内容的，是投标人的责任；</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b w:val="0"/>
          <w:bCs w:val="0"/>
          <w:color w:val="auto"/>
          <w:spacing w:val="-6"/>
          <w:szCs w:val="21"/>
          <w:highlight w:val="none"/>
          <w:lang w:val="en-US" w:eastAsia="zh-CN"/>
        </w:rPr>
      </w:pPr>
      <w:r>
        <w:rPr>
          <w:rFonts w:hint="eastAsia" w:ascii="仿宋" w:hAnsi="仿宋" w:eastAsia="仿宋" w:cs="仿宋"/>
          <w:b w:val="0"/>
          <w:bCs w:val="0"/>
          <w:color w:val="auto"/>
          <w:spacing w:val="-6"/>
          <w:szCs w:val="21"/>
          <w:highlight w:val="none"/>
          <w:lang w:val="en-US" w:eastAsia="zh-CN"/>
        </w:rPr>
        <w:t>3.2 投标文件的正本需打印或用不褪色的墨水填写，投标文件正本除本《投标人须知》中规定的可提供复印件外均须提供原件（复印件须加盖公章）。副本可以是正本加盖公章后的复印件，正本和副本如有不一致之处以正本为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b w:val="0"/>
          <w:bCs w:val="0"/>
          <w:color w:val="auto"/>
          <w:spacing w:val="-6"/>
          <w:szCs w:val="21"/>
          <w:highlight w:val="none"/>
          <w:lang w:val="en-US" w:eastAsia="zh-CN"/>
        </w:rPr>
      </w:pPr>
      <w:r>
        <w:rPr>
          <w:rFonts w:hint="eastAsia" w:ascii="仿宋" w:hAnsi="仿宋" w:eastAsia="仿宋" w:cs="仿宋"/>
          <w:b w:val="0"/>
          <w:bCs w:val="0"/>
          <w:color w:val="auto"/>
          <w:spacing w:val="-6"/>
          <w:szCs w:val="21"/>
          <w:highlight w:val="none"/>
          <w:lang w:val="en-US" w:eastAsia="zh-CN"/>
        </w:rPr>
        <w:t>3.3 投标文件须由投标人在规定位置盖章并由投标人代表签署，投标人应写全称；</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b w:val="0"/>
          <w:bCs w:val="0"/>
          <w:color w:val="auto"/>
          <w:spacing w:val="-6"/>
          <w:szCs w:val="21"/>
          <w:highlight w:val="none"/>
          <w:lang w:val="en-US" w:eastAsia="zh-CN"/>
        </w:rPr>
      </w:pPr>
      <w:r>
        <w:rPr>
          <w:rFonts w:hint="eastAsia" w:ascii="仿宋" w:hAnsi="仿宋" w:eastAsia="仿宋" w:cs="仿宋"/>
          <w:b w:val="0"/>
          <w:bCs w:val="0"/>
          <w:color w:val="auto"/>
          <w:spacing w:val="-6"/>
          <w:szCs w:val="21"/>
          <w:highlight w:val="none"/>
          <w:lang w:val="en-US" w:eastAsia="zh-CN"/>
        </w:rPr>
        <w:t>3.4 投标文件不得涂改，若有修改错漏处，须由投标人代表签名并加盖公章。投标文件因字迹潦草或表达不清所引起的后果由投标人负责。</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lang w:val="en-US" w:eastAsia="zh-CN"/>
        </w:rPr>
      </w:pPr>
      <w:r>
        <w:rPr>
          <w:rFonts w:hint="eastAsia" w:ascii="仿宋" w:hAnsi="仿宋" w:eastAsia="仿宋" w:cs="仿宋"/>
          <w:b/>
          <w:color w:val="auto"/>
          <w:spacing w:val="-6"/>
          <w:szCs w:val="21"/>
          <w:highlight w:val="none"/>
          <w:lang w:val="en-US" w:eastAsia="zh-CN"/>
        </w:rPr>
        <w:t>4.投标文件的语言及计量</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投标文件以及投标人与采购人或采购代理机构就有关投标事宜的所有来往函电，均应以中文汉语书写。除签名、盖章、专用名称等特殊情形外，以中文汉语以外的文字表述的投标文件视同未提供（有中文汉语说明的除外）。</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lang w:val="en-US" w:eastAsia="zh-CN"/>
        </w:rPr>
      </w:pPr>
      <w:r>
        <w:rPr>
          <w:rFonts w:hint="eastAsia" w:ascii="仿宋" w:hAnsi="仿宋" w:eastAsia="仿宋" w:cs="仿宋"/>
          <w:b/>
          <w:color w:val="auto"/>
          <w:spacing w:val="-6"/>
          <w:szCs w:val="21"/>
          <w:highlight w:val="none"/>
          <w:lang w:val="en-US" w:eastAsia="zh-CN"/>
        </w:rPr>
        <w:t>5.投标报价</w:t>
      </w:r>
    </w:p>
    <w:p>
      <w:pPr>
        <w:spacing w:line="288" w:lineRule="auto"/>
        <w:ind w:firstLine="420" w:firstLineChars="200"/>
        <w:rPr>
          <w:rFonts w:hint="eastAsia" w:ascii="仿宋" w:hAnsi="仿宋" w:eastAsia="仿宋" w:cs="仿宋"/>
          <w:color w:val="auto"/>
          <w:szCs w:val="21"/>
          <w:highlight w:val="none"/>
        </w:rPr>
      </w:pPr>
      <w:r>
        <w:rPr>
          <w:rFonts w:hint="eastAsia" w:ascii="仿宋" w:hAnsi="仿宋" w:eastAsia="仿宋" w:cs="仿宋"/>
          <w:color w:val="auto"/>
          <w:szCs w:val="21"/>
          <w:highlight w:val="none"/>
        </w:rPr>
        <w:t>5.1 报价应按招标文件要求的格式编制、填写报价内容，未按招标文件要求编制、填写的投标文件可能被拒绝；</w:t>
      </w:r>
    </w:p>
    <w:p>
      <w:pPr>
        <w:spacing w:line="288" w:lineRule="auto"/>
        <w:ind w:firstLine="420" w:firstLineChars="200"/>
        <w:rPr>
          <w:rFonts w:hint="eastAsia" w:ascii="仿宋" w:hAnsi="仿宋" w:eastAsia="仿宋" w:cs="仿宋"/>
          <w:color w:val="auto"/>
          <w:sz w:val="21"/>
          <w:szCs w:val="21"/>
          <w:highlight w:val="none"/>
        </w:rPr>
      </w:pPr>
      <w:r>
        <w:rPr>
          <w:rFonts w:hint="eastAsia" w:ascii="仿宋" w:hAnsi="仿宋" w:eastAsia="仿宋" w:cs="仿宋"/>
          <w:color w:val="auto"/>
          <w:szCs w:val="21"/>
          <w:highlight w:val="none"/>
        </w:rPr>
        <w:t>5.2 投标报价是履行合同的最终价格，</w:t>
      </w:r>
      <w:r>
        <w:rPr>
          <w:rFonts w:hint="eastAsia" w:ascii="仿宋" w:hAnsi="仿宋" w:eastAsia="仿宋" w:cs="仿宋"/>
          <w:color w:val="auto"/>
          <w:szCs w:val="21"/>
          <w:highlight w:val="none"/>
          <w:lang w:eastAsia="zh-CN"/>
        </w:rPr>
        <w:t>应包含货物到达采购人或采购人指定用户并能正常使用所需的一切费用，包括货物金额、包装、运输保险费、装卸费、安装及相关材料费、调试费、软件费、检验费、培训费用及税金等为确保合法、正常使用货物及中标人履行合同项下约定的所有义务所需支出的全部费用</w:t>
      </w:r>
      <w:r>
        <w:rPr>
          <w:rFonts w:hint="eastAsia" w:ascii="仿宋" w:hAnsi="仿宋" w:eastAsia="仿宋" w:cs="仿宋"/>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2"/>
        <w:rPr>
          <w:rFonts w:hint="eastAsia" w:ascii="仿宋" w:hAnsi="仿宋" w:eastAsia="仿宋" w:cs="仿宋"/>
          <w:b/>
          <w:color w:val="auto"/>
          <w:spacing w:val="-6"/>
          <w:szCs w:val="21"/>
          <w:highlight w:val="none"/>
          <w:lang w:val="en-US" w:eastAsia="zh-CN"/>
        </w:rPr>
      </w:pPr>
      <w:r>
        <w:rPr>
          <w:rFonts w:hint="eastAsia" w:ascii="仿宋" w:hAnsi="仿宋" w:eastAsia="仿宋" w:cs="仿宋"/>
          <w:b/>
          <w:color w:val="auto"/>
          <w:spacing w:val="-6"/>
          <w:szCs w:val="21"/>
          <w:highlight w:val="none"/>
          <w:lang w:val="en-US" w:eastAsia="zh-CN"/>
        </w:rPr>
        <w:t>6.投标有效期</w:t>
      </w:r>
    </w:p>
    <w:p>
      <w:pPr>
        <w:pStyle w:val="12"/>
        <w:keepNext w:val="0"/>
        <w:keepLines w:val="0"/>
        <w:pageBreakBefore w:val="0"/>
        <w:widowControl w:val="0"/>
        <w:kinsoku/>
        <w:wordWrap/>
        <w:overflowPunct/>
        <w:topLinePunct w:val="0"/>
        <w:autoSpaceDE/>
        <w:autoSpaceDN/>
        <w:bidi w:val="0"/>
        <w:adjustRightInd w:val="0"/>
        <w:snapToGrid w:val="0"/>
        <w:spacing w:before="0" w:beforeLines="0" w:after="0" w:afterLines="0" w:line="288" w:lineRule="auto"/>
        <w:ind w:left="0" w:leftChars="0" w:right="0" w:rightChars="0" w:firstLine="396" w:firstLineChars="200"/>
        <w:jc w:val="left"/>
        <w:textAlignment w:val="auto"/>
        <w:rPr>
          <w:rFonts w:hint="eastAsia" w:ascii="仿宋" w:hAnsi="仿宋" w:eastAsia="仿宋" w:cs="仿宋"/>
          <w:color w:val="auto"/>
          <w:sz w:val="21"/>
          <w:szCs w:val="21"/>
          <w:highlight w:val="none"/>
        </w:rPr>
      </w:pPr>
      <w:r>
        <w:rPr>
          <w:rFonts w:hint="eastAsia" w:ascii="仿宋" w:hAnsi="仿宋" w:eastAsia="仿宋" w:cs="仿宋"/>
          <w:color w:val="auto"/>
          <w:spacing w:val="-6"/>
          <w:sz w:val="21"/>
          <w:szCs w:val="21"/>
          <w:highlight w:val="none"/>
        </w:rPr>
        <w:t>▲从提交投标文件的截止之日起90天，在原投标有效期满之前，如果出现特殊情况，采购人或采购代理机构以书面形式通知投标人延长投标有效期。</w:t>
      </w:r>
    </w:p>
    <w:p>
      <w:pPr>
        <w:widowControl/>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center"/>
        <w:textAlignment w:val="auto"/>
        <w:outlineLvl w:val="1"/>
        <w:rPr>
          <w:rFonts w:hint="eastAsia" w:ascii="仿宋" w:hAnsi="仿宋" w:eastAsia="仿宋" w:cs="仿宋"/>
          <w:b/>
          <w:color w:val="auto"/>
          <w:spacing w:val="-6"/>
          <w:sz w:val="24"/>
          <w:szCs w:val="24"/>
          <w:highlight w:val="none"/>
        </w:rPr>
      </w:pPr>
      <w:r>
        <w:rPr>
          <w:rFonts w:hint="eastAsia" w:ascii="仿宋" w:hAnsi="仿宋" w:eastAsia="仿宋" w:cs="仿宋"/>
          <w:b/>
          <w:color w:val="auto"/>
          <w:spacing w:val="-6"/>
          <w:sz w:val="24"/>
          <w:szCs w:val="24"/>
          <w:highlight w:val="none"/>
        </w:rPr>
        <w:t>四、资格审查不通过、投标无效的情形</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1.在资格审查时，如发现下列情形之一的，投标人将被视为资格审查不通过：</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（1）资格证明材料不全的或者不符合招标文件要求的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（2）投标人不具备招标文件中规定的资格要求的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（3）资格文件未按要求签署、盖章的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8" w:firstLineChars="200"/>
        <w:textAlignment w:val="auto"/>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2.在符合性审查、商务和技术评审时，如发现下列情形之一的，投标文件将被视为无效：</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（1）商务和技术文件未按要求签署、盖章的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（2）与招标文件中标“▲”的项目发生实质性偏离的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lang w:val="en-US" w:eastAsia="zh-CN"/>
        </w:rPr>
        <w:t>3</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未提供或未按要求提供投标函、</w:t>
      </w:r>
      <w:r>
        <w:rPr>
          <w:rFonts w:hint="eastAsia" w:ascii="仿宋" w:hAnsi="仿宋" w:eastAsia="仿宋" w:cs="仿宋"/>
          <w:color w:val="auto"/>
          <w:spacing w:val="-6"/>
          <w:szCs w:val="21"/>
          <w:highlight w:val="none"/>
          <w:lang w:eastAsia="zh-CN"/>
        </w:rPr>
        <w:t>授权委托书</w:t>
      </w:r>
      <w:r>
        <w:rPr>
          <w:rFonts w:hint="eastAsia" w:ascii="仿宋" w:hAnsi="仿宋" w:eastAsia="仿宋" w:cs="仿宋"/>
          <w:color w:val="auto"/>
          <w:spacing w:val="-6"/>
          <w:szCs w:val="21"/>
          <w:highlight w:val="none"/>
        </w:rPr>
        <w:t>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w:t>
      </w:r>
      <w:r>
        <w:rPr>
          <w:rFonts w:hint="eastAsia" w:ascii="仿宋" w:hAnsi="仿宋" w:eastAsia="仿宋" w:cs="仿宋"/>
          <w:color w:val="auto"/>
          <w:spacing w:val="-6"/>
          <w:szCs w:val="21"/>
          <w:highlight w:val="none"/>
          <w:lang w:val="en-US" w:eastAsia="zh-CN"/>
        </w:rPr>
        <w:t>4</w:t>
      </w:r>
      <w:r>
        <w:rPr>
          <w:rFonts w:hint="eastAsia" w:ascii="仿宋" w:hAnsi="仿宋" w:eastAsia="仿宋" w:cs="仿宋"/>
          <w:color w:val="auto"/>
          <w:spacing w:val="-6"/>
          <w:szCs w:val="21"/>
          <w:highlight w:val="none"/>
        </w:rPr>
        <w:t>）未提供或未如实提供采购需求偏离表的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w:t>
      </w:r>
      <w:r>
        <w:rPr>
          <w:rFonts w:hint="eastAsia" w:ascii="仿宋" w:hAnsi="仿宋" w:eastAsia="仿宋" w:cs="仿宋"/>
          <w:color w:val="auto"/>
          <w:spacing w:val="-6"/>
          <w:szCs w:val="21"/>
          <w:highlight w:val="none"/>
          <w:lang w:val="en-US" w:eastAsia="zh-CN"/>
        </w:rPr>
        <w:t>5</w:t>
      </w:r>
      <w:r>
        <w:rPr>
          <w:rFonts w:hint="eastAsia" w:ascii="仿宋" w:hAnsi="仿宋" w:eastAsia="仿宋" w:cs="仿宋"/>
          <w:color w:val="auto"/>
          <w:spacing w:val="-6"/>
          <w:szCs w:val="21"/>
          <w:highlight w:val="none"/>
        </w:rPr>
        <w:t>）质保期不满足招标文件要求的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lang w:val="en-US" w:eastAsia="zh-CN"/>
        </w:rPr>
        <w:t>6</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明显不符合招标文件要求</w:t>
      </w:r>
      <w:r>
        <w:rPr>
          <w:rFonts w:hint="eastAsia" w:ascii="仿宋" w:hAnsi="仿宋" w:eastAsia="仿宋" w:cs="仿宋"/>
          <w:color w:val="auto"/>
          <w:szCs w:val="21"/>
          <w:highlight w:val="none"/>
        </w:rPr>
        <w:t>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lang w:val="en-US" w:eastAsia="zh-CN"/>
        </w:rPr>
        <w:t>7</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投标技术方案不明确</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存在一个或一个以上备选</w:t>
      </w:r>
      <w:r>
        <w:rPr>
          <w:rFonts w:hint="eastAsia" w:ascii="仿宋" w:hAnsi="仿宋" w:eastAsia="仿宋" w:cs="仿宋"/>
          <w:color w:val="auto"/>
          <w:spacing w:val="-6"/>
          <w:szCs w:val="21"/>
          <w:highlight w:val="none"/>
          <w:lang w:val="en-US" w:eastAsia="zh-CN"/>
        </w:rPr>
        <w:t>/</w:t>
      </w:r>
      <w:r>
        <w:rPr>
          <w:rFonts w:hint="eastAsia" w:ascii="仿宋" w:hAnsi="仿宋" w:eastAsia="仿宋" w:cs="仿宋"/>
          <w:color w:val="auto"/>
          <w:spacing w:val="-6"/>
          <w:szCs w:val="21"/>
          <w:highlight w:val="none"/>
        </w:rPr>
        <w:t>替代投标方案</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default" w:ascii="仿宋" w:hAnsi="仿宋" w:eastAsia="仿宋" w:cs="仿宋"/>
          <w:color w:val="auto"/>
          <w:spacing w:val="-6"/>
          <w:szCs w:val="21"/>
          <w:highlight w:val="none"/>
          <w:lang w:val="en-US" w:eastAsia="zh-CN"/>
        </w:rPr>
      </w:pPr>
      <w:r>
        <w:rPr>
          <w:rFonts w:hint="eastAsia" w:ascii="仿宋" w:hAnsi="仿宋" w:eastAsia="仿宋" w:cs="仿宋"/>
          <w:color w:val="auto"/>
          <w:spacing w:val="-6"/>
          <w:szCs w:val="21"/>
          <w:highlight w:val="none"/>
        </w:rPr>
        <w:t>（</w:t>
      </w:r>
      <w:r>
        <w:rPr>
          <w:rFonts w:hint="eastAsia" w:ascii="仿宋" w:hAnsi="仿宋" w:eastAsia="仿宋" w:cs="仿宋"/>
          <w:color w:val="auto"/>
          <w:spacing w:val="-6"/>
          <w:szCs w:val="21"/>
          <w:highlight w:val="none"/>
          <w:lang w:val="en-US" w:eastAsia="zh-CN"/>
        </w:rPr>
        <w:t>8</w:t>
      </w:r>
      <w:r>
        <w:rPr>
          <w:rFonts w:hint="eastAsia" w:ascii="仿宋" w:hAnsi="仿宋" w:eastAsia="仿宋" w:cs="仿宋"/>
          <w:color w:val="auto"/>
          <w:spacing w:val="-6"/>
          <w:szCs w:val="21"/>
          <w:highlight w:val="none"/>
        </w:rPr>
        <w:t>）</w:t>
      </w:r>
      <w:r>
        <w:rPr>
          <w:rFonts w:hint="eastAsia" w:ascii="仿宋" w:hAnsi="仿宋" w:eastAsia="仿宋" w:cs="仿宋"/>
          <w:color w:val="auto"/>
          <w:spacing w:val="-6"/>
          <w:szCs w:val="21"/>
          <w:highlight w:val="none"/>
          <w:lang w:val="en-US" w:eastAsia="zh-CN"/>
        </w:rPr>
        <w:t>未提供样品的</w:t>
      </w:r>
    </w:p>
    <w:p>
      <w:pPr>
        <w:keepNext w:val="0"/>
        <w:keepLines w:val="0"/>
        <w:pageBreakBefore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lang w:val="en-US" w:eastAsia="zh-CN"/>
        </w:rPr>
        <w:t>9</w:t>
      </w:r>
      <w:r>
        <w:rPr>
          <w:rFonts w:hint="eastAsia" w:ascii="仿宋" w:hAnsi="仿宋" w:eastAsia="仿宋" w:cs="仿宋"/>
          <w:color w:val="auto"/>
          <w:spacing w:val="-6"/>
          <w:szCs w:val="21"/>
          <w:highlight w:val="none"/>
          <w:lang w:eastAsia="zh-CN"/>
        </w:rPr>
        <w:t>）</w:t>
      </w:r>
      <w:r>
        <w:rPr>
          <w:rFonts w:hint="eastAsia" w:ascii="仿宋" w:hAnsi="仿宋" w:eastAsia="仿宋" w:cs="仿宋"/>
          <w:color w:val="auto"/>
          <w:spacing w:val="-6"/>
          <w:szCs w:val="21"/>
          <w:highlight w:val="none"/>
        </w:rPr>
        <w:t>投标文件含有采购人不能接受的附加条件的</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w:t>
      </w:r>
      <w:r>
        <w:rPr>
          <w:rFonts w:hint="eastAsia" w:ascii="仿宋" w:hAnsi="仿宋" w:eastAsia="仿宋" w:cs="仿宋"/>
          <w:color w:val="auto"/>
          <w:spacing w:val="-6"/>
          <w:szCs w:val="21"/>
          <w:highlight w:val="none"/>
          <w:lang w:val="en-US" w:eastAsia="zh-CN"/>
        </w:rPr>
        <w:t>10</w:t>
      </w:r>
      <w:r>
        <w:rPr>
          <w:rFonts w:hint="eastAsia" w:ascii="仿宋" w:hAnsi="仿宋" w:eastAsia="仿宋" w:cs="仿宋"/>
          <w:color w:val="auto"/>
          <w:spacing w:val="-6"/>
          <w:szCs w:val="21"/>
          <w:highlight w:val="none"/>
        </w:rPr>
        <w:t>）法律、法规和招标文件规定的其他无效情形</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3.在报价评审时，如发现下列情形之一的，投标文件将被视为无效：</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（1）报价文件未按要求签署、盖章的</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（2）未按照招标文件标明的币种报价的</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（3）报价内容有缺漏项或者与招标文件要求不一致的</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（4）报价超过招标文件中规定的</w:t>
      </w:r>
      <w:r>
        <w:rPr>
          <w:rFonts w:hint="eastAsia" w:ascii="仿宋" w:hAnsi="仿宋" w:eastAsia="仿宋" w:cs="仿宋"/>
          <w:color w:val="auto"/>
          <w:spacing w:val="-6"/>
          <w:szCs w:val="21"/>
          <w:highlight w:val="none"/>
          <w:lang w:val="en-US" w:eastAsia="zh-CN"/>
        </w:rPr>
        <w:t>预算金额或者</w:t>
      </w:r>
      <w:r>
        <w:rPr>
          <w:rFonts w:hint="eastAsia" w:ascii="仿宋" w:hAnsi="仿宋" w:eastAsia="仿宋" w:cs="仿宋"/>
          <w:color w:val="auto"/>
          <w:spacing w:val="-6"/>
          <w:szCs w:val="21"/>
          <w:highlight w:val="none"/>
        </w:rPr>
        <w:t>最高限价的</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（5）报价具有选择性的</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bCs/>
          <w:color w:val="auto"/>
          <w:spacing w:val="-6"/>
          <w:szCs w:val="21"/>
          <w:highlight w:val="none"/>
        </w:rPr>
      </w:pPr>
      <w:bookmarkStart w:id="39" w:name="_Hlk94018736"/>
      <w:r>
        <w:rPr>
          <w:rFonts w:hint="eastAsia" w:ascii="仿宋" w:hAnsi="仿宋" w:eastAsia="仿宋" w:cs="仿宋"/>
          <w:b/>
          <w:bCs/>
          <w:color w:val="auto"/>
          <w:spacing w:val="-6"/>
          <w:szCs w:val="21"/>
          <w:highlight w:val="none"/>
        </w:rPr>
        <w:t>特别说明：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bookmarkEnd w:id="39"/>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8" w:firstLineChars="200"/>
        <w:jc w:val="left"/>
        <w:textAlignment w:val="auto"/>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4.有下列情形之一的，视为投标人串通投标，其投标无效：</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（1）不同投标人的投标文件由同一单位或者个人编制</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（2）不同投标人委托同一单位或者个人办理投标事宜</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（3）不同投标人的投标文件载明的项目管理成员或者联系人员为同一人</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（4）不同投标人的投标文件异常一致或者投标报价呈规律性差异</w:t>
      </w:r>
    </w:p>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（5）不同投标人的投标文件相互混装</w:t>
      </w:r>
    </w:p>
    <w:p>
      <w:pPr>
        <w:keepNext w:val="0"/>
        <w:keepLines w:val="0"/>
        <w:pageBreakBefore w:val="0"/>
        <w:kinsoku/>
        <w:wordWrap/>
        <w:overflowPunct/>
        <w:topLinePunct w:val="0"/>
        <w:bidi w:val="0"/>
        <w:adjustRightInd w:val="0"/>
        <w:snapToGrid w:val="0"/>
        <w:spacing w:line="288" w:lineRule="auto"/>
        <w:ind w:left="0" w:leftChars="0" w:right="0" w:rightChars="0"/>
        <w:jc w:val="center"/>
        <w:textAlignment w:val="auto"/>
        <w:outlineLvl w:val="1"/>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r>
        <w:rPr>
          <w:rFonts w:hint="eastAsia" w:ascii="仿宋" w:hAnsi="仿宋" w:eastAsia="仿宋" w:cs="仿宋"/>
          <w:b/>
          <w:color w:val="auto"/>
          <w:spacing w:val="-6"/>
          <w:sz w:val="24"/>
          <w:szCs w:val="24"/>
          <w:highlight w:val="none"/>
        </w:rPr>
        <w:t>五、开  标</w:t>
      </w:r>
    </w:p>
    <w:p>
      <w:pPr>
        <w:pStyle w:val="102"/>
        <w:keepNext w:val="0"/>
        <w:keepLines w:val="0"/>
        <w:pageBreakBefore w:val="0"/>
        <w:kinsoku/>
        <w:wordWrap/>
        <w:overflowPunct/>
        <w:topLinePunct w:val="0"/>
        <w:bidi w:val="0"/>
        <w:adjustRightInd w:val="0"/>
        <w:snapToGrid w:val="0"/>
        <w:spacing w:before="0" w:line="288" w:lineRule="auto"/>
        <w:ind w:left="0" w:leftChars="0" w:right="0" w:rightChars="0" w:firstLine="0" w:firstLineChars="0"/>
        <w:textAlignment w:val="auto"/>
        <w:rPr>
          <w:rFonts w:hint="eastAsia" w:ascii="仿宋" w:hAnsi="仿宋" w:eastAsia="仿宋" w:cs="仿宋"/>
          <w:b/>
          <w:color w:val="auto"/>
          <w:szCs w:val="21"/>
          <w:highlight w:val="none"/>
        </w:rPr>
      </w:pPr>
      <w:bookmarkStart w:id="40" w:name="_Hlk94018775"/>
      <w:r>
        <w:rPr>
          <w:rFonts w:hint="eastAsia" w:ascii="仿宋" w:hAnsi="仿宋" w:eastAsia="仿宋" w:cs="仿宋"/>
          <w:b/>
          <w:color w:val="auto"/>
          <w:szCs w:val="21"/>
          <w:highlight w:val="none"/>
        </w:rPr>
        <w:t>第一阶段</w:t>
      </w:r>
    </w:p>
    <w:p>
      <w:pPr>
        <w:pStyle w:val="102"/>
        <w:keepNext w:val="0"/>
        <w:keepLines w:val="0"/>
        <w:pageBreakBefore w:val="0"/>
        <w:kinsoku/>
        <w:wordWrap/>
        <w:overflowPunct/>
        <w:topLinePunct w:val="0"/>
        <w:bidi w:val="0"/>
        <w:adjustRightInd w:val="0"/>
        <w:snapToGrid w:val="0"/>
        <w:spacing w:before="0" w:line="288" w:lineRule="auto"/>
        <w:ind w:left="0" w:leftChars="0" w:right="0" w:rightChars="0" w:firstLine="424" w:firstLineChars="201"/>
        <w:textAlignment w:val="auto"/>
        <w:rPr>
          <w:rFonts w:hint="eastAsia" w:ascii="仿宋" w:hAnsi="仿宋" w:eastAsia="仿宋" w:cs="仿宋"/>
          <w:color w:val="auto"/>
          <w:szCs w:val="21"/>
          <w:highlight w:val="none"/>
        </w:rPr>
      </w:pPr>
      <w:r>
        <w:rPr>
          <w:rFonts w:hint="eastAsia" w:ascii="仿宋" w:hAnsi="仿宋" w:eastAsia="仿宋" w:cs="仿宋"/>
          <w:b/>
          <w:color w:val="auto"/>
          <w:szCs w:val="21"/>
          <w:highlight w:val="none"/>
        </w:rPr>
        <w:t>（一）开标</w:t>
      </w:r>
    </w:p>
    <w:p>
      <w:pPr>
        <w:keepNext w:val="0"/>
        <w:keepLines w:val="0"/>
        <w:pageBreakBefore w:val="0"/>
        <w:kinsoku/>
        <w:wordWrap/>
        <w:overflowPunct/>
        <w:topLinePunct w:val="0"/>
        <w:bidi w:val="0"/>
        <w:adjustRightInd w:val="0"/>
        <w:snapToGrid w:val="0"/>
        <w:spacing w:line="288" w:lineRule="auto"/>
        <w:ind w:left="0" w:leftChars="0" w:right="0" w:rightChars="0" w:firstLine="420" w:firstLineChars="200"/>
        <w:textAlignment w:val="auto"/>
        <w:rPr>
          <w:rFonts w:hint="eastAsia" w:ascii="仿宋" w:hAnsi="仿宋" w:eastAsia="仿宋" w:cs="仿宋"/>
          <w:b/>
          <w:color w:val="auto"/>
          <w:szCs w:val="21"/>
          <w:highlight w:val="none"/>
        </w:rPr>
      </w:pPr>
      <w:r>
        <w:rPr>
          <w:rFonts w:hint="eastAsia" w:ascii="仿宋" w:hAnsi="仿宋" w:eastAsia="仿宋" w:cs="仿宋"/>
          <w:color w:val="auto"/>
          <w:szCs w:val="21"/>
          <w:highlight w:val="none"/>
          <w:lang w:eastAsia="zh-CN"/>
        </w:rPr>
        <w:t>采购代理机构按照招标文件规定的时间、地点和程序组织开标，开标采取先拆封资格文件、商务和技术文件、后拆封报价文件的顺序进行，</w:t>
      </w:r>
      <w:r>
        <w:rPr>
          <w:rFonts w:hint="eastAsia" w:ascii="仿宋" w:hAnsi="仿宋" w:eastAsia="仿宋" w:cs="仿宋"/>
          <w:color w:val="auto"/>
          <w:szCs w:val="21"/>
          <w:highlight w:val="none"/>
          <w:lang w:val="en-US" w:eastAsia="zh-CN"/>
        </w:rPr>
        <w:t>开标前</w:t>
      </w:r>
      <w:r>
        <w:rPr>
          <w:rFonts w:hint="eastAsia" w:ascii="仿宋" w:hAnsi="仿宋" w:eastAsia="仿宋" w:cs="仿宋"/>
          <w:color w:val="auto"/>
          <w:szCs w:val="21"/>
          <w:highlight w:val="none"/>
          <w:lang w:eastAsia="zh-CN"/>
        </w:rPr>
        <w:t>组织投标人签署不存在影响公平竞争的《采购活动确认声明书》。投标人不足3家的，不得开标。</w:t>
      </w:r>
    </w:p>
    <w:p>
      <w:pPr>
        <w:keepNext w:val="0"/>
        <w:keepLines w:val="0"/>
        <w:pageBreakBefore w:val="0"/>
        <w:widowControl/>
        <w:kinsoku/>
        <w:wordWrap/>
        <w:overflowPunct/>
        <w:topLinePunct w:val="0"/>
        <w:bidi w:val="0"/>
        <w:adjustRightInd w:val="0"/>
        <w:snapToGrid w:val="0"/>
        <w:spacing w:line="288" w:lineRule="auto"/>
        <w:ind w:left="0" w:leftChars="0" w:right="0" w:rightChars="0" w:firstLine="424" w:firstLineChars="201"/>
        <w:jc w:val="left"/>
        <w:textAlignment w:val="auto"/>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（二）资格审查</w:t>
      </w:r>
    </w:p>
    <w:p>
      <w:pPr>
        <w:keepNext w:val="0"/>
        <w:keepLines w:val="0"/>
        <w:pageBreakBefore w:val="0"/>
        <w:kinsoku/>
        <w:wordWrap/>
        <w:overflowPunct/>
        <w:topLinePunct w:val="0"/>
        <w:bidi w:val="0"/>
        <w:adjustRightInd w:val="0"/>
        <w:snapToGrid w:val="0"/>
        <w:spacing w:line="288" w:lineRule="auto"/>
        <w:ind w:left="0" w:leftChars="0" w:right="0" w:rightChars="0" w:firstLine="422" w:firstLineChars="201"/>
        <w:textAlignment w:val="auto"/>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rPr>
        <w:t>开标后，</w:t>
      </w:r>
      <w:r>
        <w:rPr>
          <w:rFonts w:hint="eastAsia" w:ascii="仿宋" w:hAnsi="仿宋" w:eastAsia="仿宋" w:cs="仿宋"/>
          <w:color w:val="auto"/>
          <w:szCs w:val="21"/>
          <w:highlight w:val="none"/>
        </w:rPr>
        <w:t>采购人或</w:t>
      </w:r>
      <w:r>
        <w:rPr>
          <w:rFonts w:hint="eastAsia" w:ascii="仿宋" w:hAnsi="仿宋" w:eastAsia="仿宋" w:cs="仿宋"/>
          <w:color w:val="auto"/>
          <w:szCs w:val="21"/>
          <w:highlight w:val="none"/>
          <w:lang w:eastAsia="zh-CN"/>
        </w:rPr>
        <w:t>采购代理机构</w:t>
      </w:r>
      <w:r>
        <w:rPr>
          <w:rFonts w:hint="eastAsia" w:ascii="仿宋" w:hAnsi="仿宋" w:eastAsia="仿宋" w:cs="仿宋"/>
          <w:color w:val="auto"/>
          <w:szCs w:val="21"/>
          <w:highlight w:val="none"/>
        </w:rPr>
        <w:t>依据法律法规和招标文件的规定，对投标人的资格条件进行审查。</w:t>
      </w:r>
    </w:p>
    <w:p>
      <w:pPr>
        <w:pStyle w:val="101"/>
        <w:keepNext w:val="0"/>
        <w:keepLines w:val="0"/>
        <w:pageBreakBefore w:val="0"/>
        <w:kinsoku/>
        <w:wordWrap/>
        <w:overflowPunct/>
        <w:topLinePunct w:val="0"/>
        <w:bidi w:val="0"/>
        <w:adjustRightInd w:val="0"/>
        <w:snapToGrid w:val="0"/>
        <w:spacing w:before="0" w:line="288" w:lineRule="auto"/>
        <w:ind w:left="0" w:leftChars="0" w:right="0" w:rightChars="0" w:firstLine="422" w:firstLineChars="201"/>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对未通过资格审查的投标人，采购人或</w:t>
      </w:r>
      <w:r>
        <w:rPr>
          <w:rFonts w:hint="eastAsia" w:ascii="仿宋" w:hAnsi="仿宋" w:eastAsia="仿宋" w:cs="仿宋"/>
          <w:color w:val="auto"/>
          <w:sz w:val="21"/>
          <w:szCs w:val="21"/>
          <w:highlight w:val="none"/>
          <w:lang w:eastAsia="zh-CN"/>
        </w:rPr>
        <w:t>采购代理机构</w:t>
      </w:r>
      <w:r>
        <w:rPr>
          <w:rFonts w:hint="eastAsia" w:ascii="仿宋" w:hAnsi="仿宋" w:eastAsia="仿宋" w:cs="仿宋"/>
          <w:color w:val="auto"/>
          <w:sz w:val="21"/>
          <w:szCs w:val="21"/>
          <w:highlight w:val="none"/>
        </w:rPr>
        <w:t>告知其未通过的原因。</w:t>
      </w:r>
    </w:p>
    <w:p>
      <w:pPr>
        <w:pStyle w:val="101"/>
        <w:keepNext w:val="0"/>
        <w:keepLines w:val="0"/>
        <w:pageBreakBefore w:val="0"/>
        <w:kinsoku/>
        <w:wordWrap/>
        <w:overflowPunct/>
        <w:topLinePunct w:val="0"/>
        <w:bidi w:val="0"/>
        <w:adjustRightInd w:val="0"/>
        <w:snapToGrid w:val="0"/>
        <w:spacing w:before="0" w:line="288" w:lineRule="auto"/>
        <w:ind w:left="0" w:leftChars="0" w:right="0" w:rightChars="0" w:firstLine="422" w:firstLineChars="201"/>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通过资格审查的投标人不足3家的，不再评标。</w:t>
      </w:r>
    </w:p>
    <w:p>
      <w:pPr>
        <w:pStyle w:val="101"/>
        <w:keepNext w:val="0"/>
        <w:keepLines w:val="0"/>
        <w:pageBreakBefore w:val="0"/>
        <w:kinsoku/>
        <w:wordWrap/>
        <w:overflowPunct/>
        <w:topLinePunct w:val="0"/>
        <w:bidi w:val="0"/>
        <w:adjustRightInd w:val="0"/>
        <w:snapToGrid w:val="0"/>
        <w:spacing w:before="0" w:line="288" w:lineRule="auto"/>
        <w:ind w:left="0" w:leftChars="0" w:right="0" w:rightChars="0" w:firstLine="424" w:firstLineChars="201"/>
        <w:textAlignment w:val="auto"/>
        <w:rPr>
          <w:rFonts w:hint="eastAsia" w:ascii="仿宋" w:hAnsi="仿宋" w:eastAsia="仿宋" w:cs="仿宋"/>
          <w:b/>
          <w:bCs w:val="0"/>
          <w:color w:val="auto"/>
          <w:sz w:val="21"/>
          <w:szCs w:val="21"/>
          <w:highlight w:val="none"/>
        </w:rPr>
      </w:pPr>
      <w:r>
        <w:rPr>
          <w:rFonts w:hint="eastAsia" w:ascii="仿宋" w:hAnsi="仿宋" w:eastAsia="仿宋" w:cs="仿宋"/>
          <w:b/>
          <w:bCs w:val="0"/>
          <w:color w:val="auto"/>
          <w:sz w:val="21"/>
          <w:szCs w:val="21"/>
          <w:highlight w:val="none"/>
        </w:rPr>
        <w:t>（三）信用信息</w:t>
      </w:r>
    </w:p>
    <w:p>
      <w:pPr>
        <w:pStyle w:val="101"/>
        <w:keepNext w:val="0"/>
        <w:keepLines w:val="0"/>
        <w:pageBreakBefore w:val="0"/>
        <w:kinsoku/>
        <w:wordWrap/>
        <w:overflowPunct/>
        <w:topLinePunct w:val="0"/>
        <w:bidi w:val="0"/>
        <w:adjustRightInd w:val="0"/>
        <w:snapToGrid w:val="0"/>
        <w:spacing w:before="0" w:line="288" w:lineRule="auto"/>
        <w:ind w:left="0" w:leftChars="0" w:right="0" w:rightChars="0" w:firstLine="424" w:firstLineChars="201"/>
        <w:jc w:val="left"/>
        <w:textAlignment w:val="auto"/>
        <w:rPr>
          <w:rFonts w:hint="eastAsia" w:ascii="仿宋" w:hAnsi="仿宋" w:eastAsia="仿宋" w:cs="仿宋"/>
          <w:b/>
          <w:bCs w:val="0"/>
          <w:color w:val="auto"/>
          <w:kern w:val="0"/>
          <w:sz w:val="21"/>
          <w:szCs w:val="21"/>
          <w:highlight w:val="none"/>
        </w:rPr>
      </w:pPr>
      <w:r>
        <w:rPr>
          <w:rFonts w:hint="eastAsia" w:ascii="仿宋" w:hAnsi="仿宋" w:eastAsia="仿宋" w:cs="仿宋"/>
          <w:b/>
          <w:bCs w:val="0"/>
          <w:color w:val="auto"/>
          <w:kern w:val="0"/>
          <w:sz w:val="21"/>
          <w:szCs w:val="21"/>
          <w:highlight w:val="none"/>
        </w:rPr>
        <w:t>查询渠道及截止时间：</w:t>
      </w:r>
      <w:r>
        <w:rPr>
          <w:rFonts w:hint="eastAsia" w:ascii="仿宋" w:hAnsi="仿宋" w:eastAsia="仿宋" w:cs="仿宋"/>
          <w:b/>
          <w:bCs w:val="0"/>
          <w:color w:val="auto"/>
          <w:kern w:val="0"/>
          <w:sz w:val="21"/>
          <w:szCs w:val="21"/>
          <w:highlight w:val="none"/>
          <w:lang w:eastAsia="zh-CN"/>
        </w:rPr>
        <w:t>采购代理机构</w:t>
      </w:r>
      <w:r>
        <w:rPr>
          <w:rFonts w:hint="eastAsia" w:ascii="仿宋" w:hAnsi="仿宋" w:eastAsia="仿宋" w:cs="仿宋"/>
          <w:b/>
          <w:bCs w:val="0"/>
          <w:color w:val="auto"/>
          <w:kern w:val="0"/>
          <w:sz w:val="21"/>
          <w:szCs w:val="21"/>
          <w:highlight w:val="none"/>
        </w:rPr>
        <w:t>将通过“信用中国”、中国政府采购网查询投标人</w:t>
      </w:r>
      <w:r>
        <w:rPr>
          <w:rFonts w:hint="eastAsia" w:ascii="仿宋" w:hAnsi="仿宋" w:eastAsia="仿宋" w:cs="仿宋"/>
          <w:b/>
          <w:bCs w:val="0"/>
          <w:color w:val="auto"/>
          <w:kern w:val="0"/>
          <w:sz w:val="21"/>
          <w:szCs w:val="21"/>
          <w:highlight w:val="none"/>
          <w:lang w:eastAsia="zh-CN"/>
        </w:rPr>
        <w:t>提交投标文件截止时间</w:t>
      </w:r>
      <w:r>
        <w:rPr>
          <w:rFonts w:hint="eastAsia" w:ascii="仿宋" w:hAnsi="仿宋" w:eastAsia="仿宋" w:cs="仿宋"/>
          <w:b/>
          <w:bCs w:val="0"/>
          <w:color w:val="auto"/>
          <w:kern w:val="0"/>
          <w:sz w:val="21"/>
          <w:szCs w:val="21"/>
          <w:highlight w:val="none"/>
        </w:rPr>
        <w:t>当天的信用记录</w:t>
      </w:r>
      <w:r>
        <w:rPr>
          <w:rFonts w:hint="eastAsia" w:ascii="仿宋" w:hAnsi="仿宋" w:eastAsia="仿宋" w:cs="仿宋"/>
          <w:b/>
          <w:bCs w:val="0"/>
          <w:color w:val="auto"/>
          <w:kern w:val="0"/>
          <w:sz w:val="21"/>
          <w:szCs w:val="21"/>
          <w:highlight w:val="none"/>
          <w:lang w:eastAsia="zh-CN"/>
        </w:rPr>
        <w:t>；</w:t>
      </w:r>
    </w:p>
    <w:p>
      <w:pPr>
        <w:pStyle w:val="101"/>
        <w:keepNext w:val="0"/>
        <w:keepLines w:val="0"/>
        <w:pageBreakBefore w:val="0"/>
        <w:kinsoku/>
        <w:wordWrap/>
        <w:overflowPunct/>
        <w:topLinePunct w:val="0"/>
        <w:bidi w:val="0"/>
        <w:adjustRightInd w:val="0"/>
        <w:snapToGrid w:val="0"/>
        <w:spacing w:before="0" w:line="288" w:lineRule="auto"/>
        <w:ind w:left="0" w:leftChars="0" w:right="0" w:rightChars="0" w:firstLine="424" w:firstLineChars="201"/>
        <w:textAlignment w:val="auto"/>
        <w:rPr>
          <w:rFonts w:hint="eastAsia" w:ascii="仿宋" w:hAnsi="仿宋" w:eastAsia="仿宋" w:cs="仿宋"/>
          <w:b/>
          <w:bCs w:val="0"/>
          <w:color w:val="auto"/>
          <w:kern w:val="0"/>
          <w:sz w:val="21"/>
          <w:szCs w:val="21"/>
          <w:highlight w:val="none"/>
        </w:rPr>
      </w:pPr>
      <w:r>
        <w:rPr>
          <w:rFonts w:hint="eastAsia" w:ascii="仿宋" w:hAnsi="仿宋" w:eastAsia="仿宋" w:cs="仿宋"/>
          <w:b/>
          <w:bCs w:val="0"/>
          <w:color w:val="auto"/>
          <w:kern w:val="0"/>
          <w:sz w:val="21"/>
          <w:szCs w:val="21"/>
          <w:highlight w:val="none"/>
        </w:rPr>
        <w:t>查询记录和证据留存的具体方式：现场查询的投标人的信用记录、查询结果经确认后将与采购文件一起存档</w:t>
      </w:r>
      <w:r>
        <w:rPr>
          <w:rFonts w:hint="eastAsia" w:ascii="仿宋" w:hAnsi="仿宋" w:eastAsia="仿宋" w:cs="仿宋"/>
          <w:b/>
          <w:bCs w:val="0"/>
          <w:color w:val="auto"/>
          <w:kern w:val="0"/>
          <w:sz w:val="21"/>
          <w:szCs w:val="21"/>
          <w:highlight w:val="none"/>
          <w:lang w:eastAsia="zh-CN"/>
        </w:rPr>
        <w:t>；</w:t>
      </w:r>
    </w:p>
    <w:p>
      <w:pPr>
        <w:pStyle w:val="101"/>
        <w:keepNext w:val="0"/>
        <w:keepLines w:val="0"/>
        <w:pageBreakBefore w:val="0"/>
        <w:kinsoku/>
        <w:wordWrap/>
        <w:overflowPunct/>
        <w:topLinePunct w:val="0"/>
        <w:bidi w:val="0"/>
        <w:adjustRightInd w:val="0"/>
        <w:snapToGrid w:val="0"/>
        <w:spacing w:before="0" w:line="288" w:lineRule="auto"/>
        <w:ind w:left="0" w:leftChars="0" w:right="0" w:rightChars="0" w:firstLine="424" w:firstLineChars="201"/>
        <w:textAlignment w:val="auto"/>
        <w:rPr>
          <w:rFonts w:hint="eastAsia" w:ascii="仿宋" w:hAnsi="仿宋" w:eastAsia="仿宋" w:cs="仿宋"/>
          <w:b/>
          <w:bCs w:val="0"/>
          <w:color w:val="auto"/>
          <w:kern w:val="0"/>
          <w:sz w:val="21"/>
          <w:szCs w:val="21"/>
          <w:highlight w:val="none"/>
        </w:rPr>
      </w:pPr>
      <w:r>
        <w:rPr>
          <w:rFonts w:hint="eastAsia" w:ascii="仿宋" w:hAnsi="仿宋" w:eastAsia="仿宋" w:cs="仿宋"/>
          <w:b/>
          <w:bCs w:val="0"/>
          <w:color w:val="auto"/>
          <w:kern w:val="0"/>
          <w:sz w:val="21"/>
          <w:szCs w:val="21"/>
          <w:highlight w:val="none"/>
        </w:rPr>
        <w:t>使用规则：经查询列入失信被执行人名单、重大税收违法案件当事人名单、政府采购严重违法失信行为记录名单的投标人将被拒绝参与政府采购活动。</w:t>
      </w:r>
    </w:p>
    <w:p>
      <w:pPr>
        <w:pStyle w:val="102"/>
        <w:keepNext w:val="0"/>
        <w:keepLines w:val="0"/>
        <w:pageBreakBefore w:val="0"/>
        <w:kinsoku/>
        <w:wordWrap/>
        <w:overflowPunct/>
        <w:topLinePunct w:val="0"/>
        <w:bidi w:val="0"/>
        <w:adjustRightInd w:val="0"/>
        <w:snapToGrid w:val="0"/>
        <w:spacing w:before="0" w:line="288" w:lineRule="auto"/>
        <w:ind w:left="0" w:leftChars="0" w:right="0" w:rightChars="0" w:firstLine="0" w:firstLineChars="0"/>
        <w:textAlignment w:val="auto"/>
        <w:rPr>
          <w:rFonts w:hint="eastAsia" w:ascii="仿宋" w:hAnsi="仿宋" w:eastAsia="仿宋" w:cs="仿宋"/>
          <w:b/>
          <w:color w:val="auto"/>
          <w:szCs w:val="21"/>
          <w:highlight w:val="none"/>
        </w:rPr>
      </w:pPr>
    </w:p>
    <w:p>
      <w:pPr>
        <w:pStyle w:val="102"/>
        <w:keepNext w:val="0"/>
        <w:keepLines w:val="0"/>
        <w:pageBreakBefore w:val="0"/>
        <w:kinsoku/>
        <w:wordWrap/>
        <w:overflowPunct/>
        <w:topLinePunct w:val="0"/>
        <w:bidi w:val="0"/>
        <w:adjustRightInd w:val="0"/>
        <w:snapToGrid w:val="0"/>
        <w:spacing w:before="0" w:line="288" w:lineRule="auto"/>
        <w:ind w:left="0" w:leftChars="0" w:right="0" w:rightChars="0" w:firstLine="0" w:firstLineChars="0"/>
        <w:textAlignment w:val="auto"/>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第二阶段</w:t>
      </w:r>
    </w:p>
    <w:p>
      <w:pPr>
        <w:keepNext w:val="0"/>
        <w:keepLines w:val="0"/>
        <w:pageBreakBefore w:val="0"/>
        <w:kinsoku/>
        <w:wordWrap/>
        <w:overflowPunct/>
        <w:topLinePunct w:val="0"/>
        <w:bidi w:val="0"/>
        <w:adjustRightInd w:val="0"/>
        <w:snapToGrid w:val="0"/>
        <w:spacing w:line="288" w:lineRule="auto"/>
        <w:ind w:left="0" w:leftChars="0" w:right="0" w:rightChars="0" w:firstLine="422" w:firstLineChars="201"/>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商务和技术评审结束后，宣告商务和技术评审无效投标人名称及理由</w:t>
      </w:r>
      <w:r>
        <w:rPr>
          <w:rFonts w:hint="eastAsia" w:ascii="仿宋" w:hAnsi="仿宋" w:eastAsia="仿宋" w:cs="仿宋"/>
          <w:color w:val="auto"/>
          <w:kern w:val="0"/>
          <w:szCs w:val="21"/>
          <w:highlight w:val="none"/>
          <w:lang w:val="en-US" w:eastAsia="zh-CN"/>
        </w:rPr>
        <w:t>并退回其</w:t>
      </w:r>
      <w:r>
        <w:rPr>
          <w:rFonts w:hint="eastAsia" w:ascii="仿宋" w:hAnsi="仿宋" w:eastAsia="仿宋" w:cs="仿宋"/>
          <w:color w:val="auto"/>
          <w:kern w:val="0"/>
          <w:szCs w:val="21"/>
          <w:highlight w:val="none"/>
        </w:rPr>
        <w:t>未拆封的报价文件</w:t>
      </w:r>
      <w:r>
        <w:rPr>
          <w:rFonts w:hint="eastAsia" w:ascii="仿宋" w:hAnsi="仿宋" w:eastAsia="仿宋" w:cs="仿宋"/>
          <w:color w:val="auto"/>
          <w:kern w:val="0"/>
          <w:szCs w:val="21"/>
          <w:highlight w:val="none"/>
          <w:lang w:eastAsia="zh-CN"/>
        </w:rPr>
        <w:t>，公布经商务和技术评审符合采购需求的投标人名单</w:t>
      </w:r>
      <w:r>
        <w:rPr>
          <w:rFonts w:hint="eastAsia" w:ascii="仿宋" w:hAnsi="仿宋" w:eastAsia="仿宋" w:cs="仿宋"/>
          <w:color w:val="auto"/>
          <w:kern w:val="0"/>
          <w:szCs w:val="21"/>
          <w:highlight w:val="none"/>
          <w:lang w:val="en-US" w:eastAsia="zh-CN"/>
        </w:rPr>
        <w:t>并</w:t>
      </w:r>
      <w:r>
        <w:rPr>
          <w:rFonts w:hint="eastAsia" w:ascii="仿宋" w:hAnsi="仿宋" w:eastAsia="仿宋" w:cs="仿宋"/>
          <w:color w:val="auto"/>
          <w:kern w:val="0"/>
          <w:szCs w:val="21"/>
          <w:highlight w:val="none"/>
          <w:lang w:eastAsia="zh-CN"/>
        </w:rPr>
        <w:t>公布其商务和技术得分情况。</w:t>
      </w:r>
    </w:p>
    <w:p>
      <w:pPr>
        <w:keepNext w:val="0"/>
        <w:keepLines w:val="0"/>
        <w:pageBreakBefore w:val="0"/>
        <w:kinsoku/>
        <w:wordWrap/>
        <w:overflowPunct/>
        <w:topLinePunct w:val="0"/>
        <w:bidi w:val="0"/>
        <w:adjustRightInd w:val="0"/>
        <w:snapToGrid w:val="0"/>
        <w:spacing w:line="288" w:lineRule="auto"/>
        <w:ind w:left="0" w:leftChars="0" w:right="0" w:rightChars="0" w:firstLine="422" w:firstLineChars="201"/>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拆封投标人报价文件，宣读开标一览表有关内容，同时当场制作并打印开标记录表</w:t>
      </w: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rPr>
        <w:t>由投标人代表、唱标人、记录人和现场监督员在开标记录表上签字确认（不予确认的应说明理由，否则视为无异议）</w:t>
      </w: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rPr>
        <w:t>唱标结束后，由评标委员会对报价进行评审。</w:t>
      </w:r>
    </w:p>
    <w:bookmarkEnd w:id="40"/>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center"/>
        <w:textAlignment w:val="auto"/>
        <w:outlineLvl w:val="1"/>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r>
        <w:rPr>
          <w:rFonts w:hint="eastAsia" w:ascii="仿宋" w:hAnsi="仿宋" w:eastAsia="仿宋" w:cs="仿宋"/>
          <w:b/>
          <w:color w:val="auto"/>
          <w:spacing w:val="-6"/>
          <w:sz w:val="24"/>
          <w:szCs w:val="24"/>
          <w:highlight w:val="none"/>
        </w:rPr>
        <w:t>六、评  标</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kern w:val="0"/>
          <w:szCs w:val="21"/>
          <w:highlight w:val="none"/>
        </w:rPr>
      </w:pPr>
      <w:bookmarkStart w:id="41" w:name="_Hlk94018958"/>
      <w:r>
        <w:rPr>
          <w:rFonts w:hint="eastAsia" w:ascii="仿宋" w:hAnsi="仿宋" w:eastAsia="仿宋" w:cs="仿宋"/>
          <w:color w:val="auto"/>
          <w:kern w:val="0"/>
          <w:szCs w:val="21"/>
          <w:highlight w:val="none"/>
        </w:rPr>
        <w:t>评标委员会成员应当按照客观、公正、审慎的原则，根据招标文件规定的评标程序、评标方法和评标标准进行独立评审。招标文件内容违反国家有关强制性规定的，评标委员会应当停止评标并向采购人或者采购代理机构说明情况。</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评标中因评标委员会成员缺席、回避或者健康等特殊原因导致评标委员会组成不符合规定的，依法补足后继续评标。被更换的评标委员会成员所作出的评标意见无效。</w:t>
      </w:r>
    </w:p>
    <w:bookmarkEnd w:id="41"/>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bookmarkStart w:id="42" w:name="_Hlk94019000"/>
      <w:r>
        <w:rPr>
          <w:rFonts w:hint="eastAsia" w:ascii="仿宋" w:hAnsi="仿宋" w:eastAsia="仿宋" w:cs="仿宋"/>
          <w:b/>
          <w:color w:val="auto"/>
          <w:kern w:val="0"/>
          <w:szCs w:val="21"/>
          <w:highlight w:val="none"/>
        </w:rPr>
        <w:t>（一）符合性审查</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评标委员会对符合资格的投标人的投标文件进行符合性审查，以确定其是否满足招标文件的实质性要求。不满足招标文件的实质性要求的，投标无效。</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（二）比较与评价</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评标委员会按照招标文件中规定的评标方法和标准，对符合性审查合格的投标文件进行商务和技术评估，综合比较与评价。</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现场监督员如发现分值汇总计算错误、分项评分超出评分标准范围、客观评分不一致以及存在评分畸高、畸低情形的，应由相关人员当场改正或作出说明；拒不改正又不作说明的，由现场监督员如实记载后存入项目档案资料。</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（三）汇总商务技术得分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评标委员会各成员独立对每个投标人的商务和技术文件进行评价，并汇总商务技术得分情况。</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（四）报价评审</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投标文件报价出现前后不一致的，按照下列规定修正：</w:t>
      </w:r>
    </w:p>
    <w:p>
      <w:pPr>
        <w:pStyle w:val="101"/>
        <w:keepNext w:val="0"/>
        <w:keepLines w:val="0"/>
        <w:pageBreakBefore w:val="0"/>
        <w:widowControl w:val="0"/>
        <w:kinsoku/>
        <w:wordWrap/>
        <w:overflowPunct/>
        <w:topLinePunct w:val="0"/>
        <w:autoSpaceDE/>
        <w:autoSpaceDN/>
        <w:bidi w:val="0"/>
        <w:adjustRightInd w:val="0"/>
        <w:snapToGrid w:val="0"/>
        <w:spacing w:before="0" w:line="288" w:lineRule="auto"/>
        <w:ind w:left="0" w:leftChars="0" w:right="0" w:rightChars="0" w:firstLine="424" w:firstLineChars="202"/>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投标文件中开标一览表(报价表)内容与投标文件中相应内容不一致的，以开标一览表(报价表)为准；</w:t>
      </w:r>
    </w:p>
    <w:p>
      <w:pPr>
        <w:pStyle w:val="101"/>
        <w:keepNext w:val="0"/>
        <w:keepLines w:val="0"/>
        <w:pageBreakBefore w:val="0"/>
        <w:widowControl w:val="0"/>
        <w:kinsoku/>
        <w:wordWrap/>
        <w:overflowPunct/>
        <w:topLinePunct w:val="0"/>
        <w:autoSpaceDE/>
        <w:autoSpaceDN/>
        <w:bidi w:val="0"/>
        <w:adjustRightInd w:val="0"/>
        <w:snapToGrid w:val="0"/>
        <w:spacing w:before="0" w:line="288" w:lineRule="auto"/>
        <w:ind w:left="0" w:leftChars="0" w:right="0" w:rightChars="0" w:firstLine="424" w:firstLineChars="202"/>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大写金额和小写金额不一致的，以大写金额为准；</w:t>
      </w:r>
    </w:p>
    <w:p>
      <w:pPr>
        <w:pStyle w:val="101"/>
        <w:keepNext w:val="0"/>
        <w:keepLines w:val="0"/>
        <w:pageBreakBefore w:val="0"/>
        <w:widowControl w:val="0"/>
        <w:kinsoku/>
        <w:wordWrap/>
        <w:overflowPunct/>
        <w:topLinePunct w:val="0"/>
        <w:autoSpaceDE/>
        <w:autoSpaceDN/>
        <w:bidi w:val="0"/>
        <w:adjustRightInd w:val="0"/>
        <w:snapToGrid w:val="0"/>
        <w:spacing w:before="0" w:line="288" w:lineRule="auto"/>
        <w:ind w:left="0" w:leftChars="0" w:right="0" w:rightChars="0" w:firstLine="424" w:firstLineChars="202"/>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单价金额小数点或者百分比有明显错位的，以开标一览表的总价为准，并修改单价；</w:t>
      </w:r>
    </w:p>
    <w:p>
      <w:pPr>
        <w:pStyle w:val="101"/>
        <w:keepNext w:val="0"/>
        <w:keepLines w:val="0"/>
        <w:pageBreakBefore w:val="0"/>
        <w:widowControl w:val="0"/>
        <w:kinsoku/>
        <w:wordWrap/>
        <w:overflowPunct/>
        <w:topLinePunct w:val="0"/>
        <w:autoSpaceDE/>
        <w:autoSpaceDN/>
        <w:bidi w:val="0"/>
        <w:adjustRightInd w:val="0"/>
        <w:snapToGrid w:val="0"/>
        <w:spacing w:before="0" w:line="288" w:lineRule="auto"/>
        <w:ind w:left="0" w:leftChars="0" w:right="0" w:rightChars="0" w:firstLine="424" w:firstLineChars="202"/>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总价金额与按单价汇总金额不一致的，以单价金额计算结果为准。</w:t>
      </w:r>
    </w:p>
    <w:p>
      <w:pPr>
        <w:pStyle w:val="101"/>
        <w:keepNext w:val="0"/>
        <w:keepLines w:val="0"/>
        <w:pageBreakBefore w:val="0"/>
        <w:widowControl w:val="0"/>
        <w:kinsoku/>
        <w:wordWrap/>
        <w:overflowPunct/>
        <w:topLinePunct w:val="0"/>
        <w:autoSpaceDE/>
        <w:autoSpaceDN/>
        <w:bidi w:val="0"/>
        <w:adjustRightInd w:val="0"/>
        <w:snapToGrid w:val="0"/>
        <w:spacing w:before="0" w:line="288" w:lineRule="auto"/>
        <w:ind w:left="0" w:leftChars="0" w:right="0" w:rightChars="0" w:firstLine="424" w:firstLineChars="202"/>
        <w:textAlignment w:val="auto"/>
        <w:rPr>
          <w:rFonts w:hint="eastAsia" w:ascii="仿宋" w:hAnsi="仿宋" w:eastAsia="仿宋" w:cs="仿宋"/>
          <w:color w:val="auto"/>
          <w:kern w:val="0"/>
          <w:sz w:val="21"/>
          <w:szCs w:val="21"/>
          <w:highlight w:val="none"/>
        </w:rPr>
      </w:pPr>
      <w:r>
        <w:rPr>
          <w:rFonts w:hint="eastAsia" w:ascii="仿宋" w:hAnsi="仿宋" w:eastAsia="仿宋" w:cs="仿宋"/>
          <w:color w:val="auto"/>
          <w:kern w:val="0"/>
          <w:sz w:val="21"/>
          <w:szCs w:val="21"/>
          <w:highlight w:val="none"/>
        </w:rPr>
        <w:t>同时出现两种以上不一致的，按照前款规定的顺序修正。修正后的报价</w:t>
      </w:r>
      <w:r>
        <w:rPr>
          <w:rFonts w:hint="eastAsia" w:ascii="仿宋" w:hAnsi="仿宋" w:eastAsia="仿宋" w:cs="仿宋"/>
          <w:color w:val="auto"/>
          <w:kern w:val="0"/>
          <w:sz w:val="21"/>
          <w:szCs w:val="21"/>
          <w:highlight w:val="none"/>
          <w:lang w:val="en-US" w:eastAsia="zh-CN"/>
        </w:rPr>
        <w:t>参</w:t>
      </w:r>
      <w:r>
        <w:rPr>
          <w:rFonts w:hint="eastAsia" w:ascii="仿宋" w:hAnsi="仿宋" w:eastAsia="仿宋" w:cs="仿宋"/>
          <w:color w:val="auto"/>
          <w:kern w:val="0"/>
          <w:sz w:val="21"/>
          <w:szCs w:val="21"/>
          <w:highlight w:val="none"/>
        </w:rPr>
        <w:t>照财政部第87号令《政府采购货物和服务招标投标管理办法》第五十一条第二款的规定“投标人的澄清、说明或者补正应当采用书面形式，并</w:t>
      </w:r>
      <w:bookmarkStart w:id="43" w:name="_Hlk96329302"/>
      <w:r>
        <w:rPr>
          <w:rFonts w:hint="eastAsia" w:ascii="仿宋" w:hAnsi="仿宋" w:eastAsia="仿宋" w:cs="仿宋"/>
          <w:color w:val="auto"/>
          <w:kern w:val="0"/>
          <w:sz w:val="21"/>
          <w:szCs w:val="21"/>
          <w:highlight w:val="none"/>
        </w:rPr>
        <w:t>加盖公章，或者由法定代表人或其授权的代表签名</w:t>
      </w:r>
      <w:bookmarkEnd w:id="43"/>
      <w:r>
        <w:rPr>
          <w:rFonts w:hint="eastAsia" w:ascii="仿宋" w:hAnsi="仿宋" w:eastAsia="仿宋" w:cs="仿宋"/>
          <w:color w:val="auto"/>
          <w:kern w:val="0"/>
          <w:sz w:val="21"/>
          <w:szCs w:val="21"/>
          <w:highlight w:val="none"/>
        </w:rPr>
        <w:t>。投标人的澄清、说明或者补正不得超出投标文件的范围或者改变投标文件的实质性内容。”经投标人确认后产生约束力。投标人不确认的，其投标无效。</w:t>
      </w:r>
    </w:p>
    <w:p>
      <w:pPr>
        <w:pStyle w:val="101"/>
        <w:keepNext w:val="0"/>
        <w:keepLines w:val="0"/>
        <w:pageBreakBefore w:val="0"/>
        <w:widowControl w:val="0"/>
        <w:kinsoku/>
        <w:wordWrap/>
        <w:overflowPunct/>
        <w:topLinePunct w:val="0"/>
        <w:autoSpaceDE/>
        <w:autoSpaceDN/>
        <w:bidi w:val="0"/>
        <w:adjustRightInd w:val="0"/>
        <w:snapToGrid w:val="0"/>
        <w:spacing w:before="0" w:line="288" w:lineRule="auto"/>
        <w:ind w:left="0" w:leftChars="0" w:right="0" w:rightChars="0" w:firstLine="426" w:firstLineChars="202"/>
        <w:textAlignment w:val="auto"/>
        <w:rPr>
          <w:rFonts w:hint="eastAsia" w:ascii="仿宋" w:hAnsi="仿宋" w:eastAsia="仿宋" w:cs="仿宋"/>
          <w:b/>
          <w:bCs/>
          <w:color w:val="auto"/>
          <w:kern w:val="0"/>
          <w:sz w:val="21"/>
          <w:szCs w:val="21"/>
          <w:highlight w:val="none"/>
        </w:rPr>
      </w:pPr>
      <w:r>
        <w:rPr>
          <w:rFonts w:hint="eastAsia" w:ascii="仿宋" w:hAnsi="仿宋" w:eastAsia="仿宋" w:cs="仿宋"/>
          <w:b/>
          <w:bCs/>
          <w:color w:val="auto"/>
          <w:kern w:val="0"/>
          <w:sz w:val="21"/>
          <w:szCs w:val="21"/>
          <w:highlight w:val="none"/>
        </w:rPr>
        <w:t>投标人收到修正确认文件后，在规定时间内未做出回复的，视为不确认。</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（五）投标人澄清、说明或者补正</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对于投标文件中含义不明确、同类问题表述不一致或者有明显文字和计算错误的内容，评标委员会应当以书面形式要求投标人作出必要的澄清、说明或者补正。</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0" w:firstLineChars="200"/>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投标人的澄清、说明或者补正应当采用书面形式，并加盖公章，或者由法定代表人或其授权的代表签名。投标人的澄清、说明或者补正不得超出投标文件的范围或者改变投标文件的实质性内容。</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2" w:firstLineChars="200"/>
        <w:textAlignment w:val="auto"/>
        <w:rPr>
          <w:rFonts w:hint="eastAsia" w:ascii="仿宋" w:hAnsi="仿宋" w:eastAsia="仿宋" w:cs="仿宋"/>
          <w:b/>
          <w:bCs/>
          <w:color w:val="auto"/>
          <w:kern w:val="0"/>
          <w:szCs w:val="21"/>
          <w:highlight w:val="none"/>
        </w:rPr>
      </w:pPr>
      <w:r>
        <w:rPr>
          <w:rFonts w:hint="eastAsia" w:ascii="仿宋" w:hAnsi="仿宋" w:eastAsia="仿宋" w:cs="仿宋"/>
          <w:b/>
          <w:bCs/>
          <w:color w:val="auto"/>
          <w:kern w:val="0"/>
          <w:szCs w:val="21"/>
          <w:highlight w:val="none"/>
        </w:rPr>
        <w:t>投标人的书面澄清、说明或者补正可在规定时间内（不少于半小时）通过指定的电子邮箱（zb</w:t>
      </w:r>
      <w:r>
        <w:rPr>
          <w:rFonts w:hint="eastAsia" w:ascii="仿宋" w:hAnsi="仿宋" w:eastAsia="仿宋" w:cs="仿宋"/>
          <w:b/>
          <w:bCs/>
          <w:color w:val="auto"/>
          <w:kern w:val="0"/>
          <w:szCs w:val="21"/>
          <w:highlight w:val="none"/>
          <w:lang w:val="en-US" w:eastAsia="zh-CN"/>
        </w:rPr>
        <w:t>08</w:t>
      </w:r>
      <w:r>
        <w:rPr>
          <w:rFonts w:hint="eastAsia" w:ascii="仿宋" w:hAnsi="仿宋" w:eastAsia="仿宋" w:cs="仿宋"/>
          <w:b/>
          <w:bCs/>
          <w:color w:val="auto"/>
          <w:kern w:val="0"/>
          <w:szCs w:val="21"/>
          <w:highlight w:val="none"/>
        </w:rPr>
        <w:t>@qszb.net）提交</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（六）排序与推荐</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评标办法：本项目评标办法是综合评分法，具体评标内容及评分标准等详见</w:t>
      </w:r>
      <w:r>
        <w:rPr>
          <w:rFonts w:hint="eastAsia" w:ascii="仿宋" w:hAnsi="仿宋" w:eastAsia="仿宋" w:cs="仿宋"/>
          <w:color w:val="auto"/>
          <w:kern w:val="0"/>
          <w:szCs w:val="21"/>
          <w:highlight w:val="none"/>
          <w:lang w:eastAsia="zh-CN"/>
        </w:rPr>
        <w:t>“</w:t>
      </w:r>
      <w:r>
        <w:rPr>
          <w:rFonts w:hint="eastAsia" w:ascii="仿宋" w:hAnsi="仿宋" w:eastAsia="仿宋" w:cs="仿宋"/>
          <w:color w:val="auto"/>
          <w:kern w:val="0"/>
          <w:szCs w:val="21"/>
          <w:highlight w:val="none"/>
        </w:rPr>
        <w:t>第四章：评标方法及评标标准”。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r>
        <w:rPr>
          <w:rFonts w:hint="eastAsia" w:ascii="仿宋" w:hAnsi="仿宋" w:eastAsia="仿宋" w:cs="仿宋"/>
          <w:bCs/>
          <w:color w:val="auto"/>
          <w:spacing w:val="-6"/>
          <w:szCs w:val="21"/>
          <w:highlight w:val="none"/>
        </w:rPr>
        <w:t>出现并列第一名时由采购人确认中标人或采购人授权评标委员会（按技术得分由高到低排序，技术得分相同的抽签）确认中标人。</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非单一产品采购项目，采购人应当根据采购项目技术构成、产品价格比重等合理确定核心产品，并在招标文件中载明。多家投标人提供的核心产品品牌相同的，按前款规定处理。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6" w:firstLineChars="202"/>
        <w:textAlignment w:val="auto"/>
        <w:rPr>
          <w:rFonts w:hint="eastAsia" w:ascii="仿宋" w:hAnsi="仿宋" w:eastAsia="仿宋" w:cs="仿宋"/>
          <w:b/>
          <w:color w:val="auto"/>
          <w:kern w:val="0"/>
          <w:szCs w:val="21"/>
          <w:highlight w:val="none"/>
        </w:rPr>
      </w:pPr>
      <w:r>
        <w:rPr>
          <w:rFonts w:hint="eastAsia" w:ascii="仿宋" w:hAnsi="仿宋" w:eastAsia="仿宋" w:cs="仿宋"/>
          <w:b/>
          <w:color w:val="auto"/>
          <w:kern w:val="0"/>
          <w:szCs w:val="21"/>
          <w:highlight w:val="none"/>
        </w:rPr>
        <w:t>（七）编写评标报告</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424" w:firstLineChars="202"/>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评标委员会根据全体评标成员签名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bookmarkEnd w:id="42"/>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center"/>
        <w:textAlignment w:val="auto"/>
        <w:outlineLvl w:val="1"/>
        <w:rPr>
          <w:rFonts w:hint="eastAsia" w:ascii="仿宋" w:hAnsi="仿宋" w:eastAsia="仿宋" w:cs="仿宋"/>
          <w:b/>
          <w:color w:val="auto"/>
          <w:spacing w:val="-6"/>
          <w:sz w:val="24"/>
          <w:szCs w:val="24"/>
          <w:highlight w:val="none"/>
        </w:rPr>
      </w:pPr>
      <w:r>
        <w:rPr>
          <w:rFonts w:hint="eastAsia" w:ascii="仿宋" w:hAnsi="仿宋" w:eastAsia="仿宋" w:cs="仿宋"/>
          <w:b/>
          <w:color w:val="auto"/>
          <w:spacing w:val="-6"/>
          <w:sz w:val="24"/>
          <w:szCs w:val="24"/>
          <w:highlight w:val="none"/>
        </w:rPr>
        <w:t>七、中标与合同</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textAlignment w:val="auto"/>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1.</w:t>
      </w:r>
      <w:r>
        <w:rPr>
          <w:rFonts w:hint="eastAsia" w:ascii="仿宋" w:hAnsi="仿宋" w:eastAsia="仿宋" w:cs="仿宋"/>
          <w:b/>
          <w:color w:val="auto"/>
          <w:spacing w:val="-6"/>
          <w:szCs w:val="21"/>
          <w:highlight w:val="none"/>
        </w:rPr>
        <w:t>中标</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 xml:space="preserve">1 </w:t>
      </w:r>
      <w:r>
        <w:rPr>
          <w:rFonts w:hint="eastAsia" w:ascii="仿宋" w:hAnsi="仿宋" w:eastAsia="仿宋" w:cs="仿宋"/>
          <w:color w:val="auto"/>
          <w:spacing w:val="-6"/>
          <w:szCs w:val="21"/>
          <w:highlight w:val="none"/>
        </w:rPr>
        <w:t>采购代理机构自评标结束之日起2个工作日内将评标报告送交采购人。采购人收到评标报告之日起5个工作日内在评标报告推荐的中标候选人中按顺序确定中标人，也可以书面授权评标委员会直接确定中标人</w:t>
      </w:r>
      <w:r>
        <w:rPr>
          <w:rFonts w:hint="eastAsia" w:ascii="仿宋" w:hAnsi="仿宋" w:eastAsia="仿宋" w:cs="仿宋"/>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1.</w:t>
      </w: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采购代理机构自中标人确定之日起2个工作日内，公告中标结果，并发出中标通知书</w:t>
      </w:r>
      <w:r>
        <w:rPr>
          <w:rFonts w:hint="eastAsia" w:ascii="仿宋" w:hAnsi="仿宋" w:eastAsia="仿宋" w:cs="仿宋"/>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jc w:val="left"/>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1.</w:t>
      </w:r>
      <w:r>
        <w:rPr>
          <w:rFonts w:hint="eastAsia" w:ascii="仿宋" w:hAnsi="仿宋" w:eastAsia="仿宋" w:cs="仿宋"/>
          <w:color w:val="auto"/>
          <w:spacing w:val="-6"/>
          <w:szCs w:val="21"/>
          <w:highlight w:val="none"/>
        </w:rPr>
        <w:t>3</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zCs w:val="21"/>
          <w:highlight w:val="none"/>
        </w:rPr>
        <w:t>评标结果公示媒体：</w:t>
      </w:r>
      <w:r>
        <w:rPr>
          <w:rFonts w:hint="eastAsia" w:ascii="仿宋" w:hAnsi="仿宋" w:eastAsia="仿宋" w:cs="仿宋"/>
          <w:color w:val="auto"/>
          <w:szCs w:val="21"/>
          <w:highlight w:val="none"/>
          <w:lang w:eastAsia="zh-CN"/>
        </w:rPr>
        <w:t>浙江政府采购网</w:t>
      </w:r>
      <w:r>
        <w:rPr>
          <w:rFonts w:hint="eastAsia" w:ascii="仿宋" w:hAnsi="仿宋" w:eastAsia="仿宋" w:cs="仿宋"/>
          <w:color w:val="auto"/>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textAlignment w:val="auto"/>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lang w:val="en-US" w:eastAsia="zh-CN"/>
        </w:rPr>
        <w:t>2.</w:t>
      </w:r>
      <w:r>
        <w:rPr>
          <w:rFonts w:hint="eastAsia" w:ascii="仿宋" w:hAnsi="仿宋" w:eastAsia="仿宋" w:cs="仿宋"/>
          <w:b/>
          <w:color w:val="auto"/>
          <w:spacing w:val="-6"/>
          <w:szCs w:val="21"/>
          <w:highlight w:val="none"/>
        </w:rPr>
        <w:t>合同</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采购人应当自中标通知书发出之日起30日内，按照招标文件和中标人投标文件的规定，与中标人签订书面合同。所签订的合同不得对招标文件确定的事项和中标人投标文件作实质性修改。采购人不得向中标人提出任何不合理的要求作为签订合同的条件</w:t>
      </w:r>
      <w:r>
        <w:rPr>
          <w:rFonts w:hint="eastAsia" w:ascii="仿宋" w:hAnsi="仿宋" w:eastAsia="仿宋" w:cs="仿宋"/>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val="en-US" w:eastAsia="zh-CN"/>
        </w:rPr>
        <w:t xml:space="preserve"> </w:t>
      </w:r>
      <w:r>
        <w:rPr>
          <w:rFonts w:hint="eastAsia" w:ascii="仿宋" w:hAnsi="仿宋" w:eastAsia="仿宋" w:cs="仿宋"/>
          <w:color w:val="auto"/>
          <w:spacing w:val="-6"/>
          <w:szCs w:val="21"/>
          <w:highlight w:val="none"/>
        </w:rPr>
        <w:t>中标后无正当理由拒不与采购人签订采购合同，将被取消中标资格。</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center"/>
        <w:textAlignment w:val="auto"/>
        <w:outlineLvl w:val="1"/>
        <w:rPr>
          <w:rFonts w:hint="eastAsia" w:ascii="仿宋" w:hAnsi="仿宋" w:eastAsia="仿宋" w:cs="仿宋"/>
          <w:b/>
          <w:color w:val="auto"/>
          <w:spacing w:val="-6"/>
          <w:sz w:val="24"/>
          <w:szCs w:val="24"/>
          <w:highlight w:val="none"/>
        </w:rPr>
      </w:pPr>
      <w:r>
        <w:rPr>
          <w:rFonts w:hint="eastAsia" w:ascii="仿宋" w:hAnsi="仿宋" w:eastAsia="仿宋" w:cs="仿宋"/>
          <w:b/>
          <w:color w:val="auto"/>
          <w:spacing w:val="-6"/>
          <w:sz w:val="24"/>
          <w:szCs w:val="24"/>
          <w:highlight w:val="none"/>
        </w:rPr>
        <w:t>八、验  收</w:t>
      </w:r>
    </w:p>
    <w:p>
      <w:pPr>
        <w:keepNext w:val="0"/>
        <w:keepLines w:val="0"/>
        <w:pageBreakBefore w:val="0"/>
        <w:widowControl w:val="0"/>
        <w:tabs>
          <w:tab w:val="left" w:pos="0"/>
        </w:tabs>
        <w:kinsoku/>
        <w:wordWrap/>
        <w:overflowPunct/>
        <w:topLinePunct w:val="0"/>
        <w:autoSpaceDE/>
        <w:autoSpaceDN/>
        <w:bidi w:val="0"/>
        <w:adjustRightInd w:val="0"/>
        <w:snapToGrid w:val="0"/>
        <w:spacing w:line="288" w:lineRule="auto"/>
        <w:ind w:left="0" w:leftChars="0" w:right="0" w:rightChars="0" w:firstLine="422" w:firstLineChars="201"/>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采购人组织对供应商履约的验收。大型或者复杂的采购项目，应当邀请国家认可的质量检测机构参加验收工作。验收方成员应当在验收书上签名，并承担相应的法律责任。如果发现与合同中要求不符，供应商须承担由此发生的一切损失和费用，并接受相应的处理。</w:t>
      </w:r>
    </w:p>
    <w:p>
      <w:pPr>
        <w:keepNext w:val="0"/>
        <w:keepLines w:val="0"/>
        <w:pageBreakBefore w:val="0"/>
        <w:widowControl w:val="0"/>
        <w:tabs>
          <w:tab w:val="left" w:pos="0"/>
        </w:tabs>
        <w:kinsoku/>
        <w:wordWrap/>
        <w:overflowPunct/>
        <w:topLinePunct w:val="0"/>
        <w:autoSpaceDE/>
        <w:autoSpaceDN/>
        <w:bidi w:val="0"/>
        <w:adjustRightInd w:val="0"/>
        <w:snapToGrid w:val="0"/>
        <w:spacing w:line="288" w:lineRule="auto"/>
        <w:ind w:left="0" w:leftChars="0" w:right="0" w:rightChars="0" w:firstLine="422" w:firstLineChars="201"/>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采购人可以邀请参加本项目的其他投标人或者第三方机构参与验收。参与验收的投标人或者第三方机构的意见作为验收书的参考资料一并存档。</w:t>
      </w:r>
    </w:p>
    <w:p>
      <w:pPr>
        <w:keepNext w:val="0"/>
        <w:keepLines w:val="0"/>
        <w:pageBreakBefore w:val="0"/>
        <w:widowControl w:val="0"/>
        <w:tabs>
          <w:tab w:val="left" w:pos="0"/>
        </w:tabs>
        <w:kinsoku/>
        <w:wordWrap/>
        <w:overflowPunct/>
        <w:topLinePunct w:val="0"/>
        <w:autoSpaceDE/>
        <w:autoSpaceDN/>
        <w:bidi w:val="0"/>
        <w:adjustRightInd w:val="0"/>
        <w:snapToGrid w:val="0"/>
        <w:spacing w:line="288" w:lineRule="auto"/>
        <w:ind w:left="0" w:leftChars="0" w:right="0" w:rightChars="0" w:firstLine="422" w:firstLineChars="201"/>
        <w:textAlignment w:val="auto"/>
        <w:rPr>
          <w:rFonts w:hint="eastAsia" w:ascii="仿宋" w:hAnsi="仿宋" w:eastAsia="仿宋" w:cs="仿宋"/>
          <w:color w:val="auto"/>
          <w:kern w:val="0"/>
          <w:szCs w:val="21"/>
          <w:highlight w:val="none"/>
        </w:rPr>
      </w:pPr>
      <w:r>
        <w:rPr>
          <w:rFonts w:hint="eastAsia" w:ascii="仿宋" w:hAnsi="仿宋" w:eastAsia="仿宋" w:cs="仿宋"/>
          <w:color w:val="auto"/>
          <w:kern w:val="0"/>
          <w:szCs w:val="21"/>
          <w:highlight w:val="none"/>
        </w:rPr>
        <w:t>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keepNext w:val="0"/>
        <w:keepLines w:val="0"/>
        <w:pageBreakBefore w:val="0"/>
        <w:widowControl w:val="0"/>
        <w:tabs>
          <w:tab w:val="left" w:pos="0"/>
        </w:tabs>
        <w:kinsoku/>
        <w:wordWrap/>
        <w:overflowPunct/>
        <w:topLinePunct w:val="0"/>
        <w:autoSpaceDE/>
        <w:autoSpaceDN/>
        <w:bidi w:val="0"/>
        <w:adjustRightInd w:val="0"/>
        <w:snapToGrid w:val="0"/>
        <w:spacing w:line="288" w:lineRule="auto"/>
        <w:ind w:left="0" w:leftChars="0" w:right="0" w:rightChars="0" w:firstLine="422" w:firstLineChars="201"/>
        <w:textAlignment w:val="auto"/>
        <w:rPr>
          <w:rFonts w:hint="eastAsia" w:ascii="仿宋" w:hAnsi="仿宋" w:eastAsia="仿宋" w:cs="仿宋"/>
          <w:b/>
          <w:color w:val="auto"/>
          <w:spacing w:val="-6"/>
          <w:szCs w:val="21"/>
          <w:highlight w:val="none"/>
        </w:rPr>
      </w:pPr>
      <w:r>
        <w:rPr>
          <w:rFonts w:hint="eastAsia" w:ascii="仿宋" w:hAnsi="仿宋" w:eastAsia="仿宋" w:cs="仿宋"/>
          <w:color w:val="auto"/>
          <w:kern w:val="0"/>
          <w:szCs w:val="21"/>
          <w:highlight w:val="none"/>
        </w:rPr>
        <w:t>验收合格的项目，采购人将根据采购合同的约定及时向供应商支付采购资金、退还履约保证金。验收不合格的项目，采购人将依法及时处理。采购合同的履行、违约责任和解决争议的方式等适用《中华人民共和国民法典》。</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8" w:firstLineChars="200"/>
        <w:jc w:val="center"/>
        <w:textAlignment w:val="auto"/>
        <w:outlineLvl w:val="9"/>
        <w:rPr>
          <w:rFonts w:hint="eastAsia" w:ascii="仿宋" w:hAnsi="仿宋" w:eastAsia="仿宋" w:cs="仿宋"/>
          <w:color w:val="auto"/>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jc w:val="center"/>
        <w:textAlignment w:val="auto"/>
        <w:outlineLvl w:val="0"/>
        <w:rPr>
          <w:rFonts w:hint="eastAsia" w:ascii="仿宋" w:hAnsi="仿宋" w:eastAsia="仿宋" w:cs="仿宋"/>
          <w:b/>
          <w:color w:val="auto"/>
          <w:spacing w:val="-6"/>
          <w:sz w:val="32"/>
          <w:szCs w:val="32"/>
          <w:highlight w:val="none"/>
        </w:rPr>
      </w:pPr>
      <w:r>
        <w:rPr>
          <w:rFonts w:hint="eastAsia" w:ascii="仿宋" w:hAnsi="仿宋" w:eastAsia="仿宋" w:cs="仿宋"/>
          <w:b/>
          <w:color w:val="auto"/>
          <w:sz w:val="32"/>
          <w:szCs w:val="32"/>
          <w:highlight w:val="none"/>
        </w:rPr>
        <w:t>第四章  评标方法及评标标准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textAlignment w:val="auto"/>
        <w:outlineLvl w:val="1"/>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一、评标方法</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bCs/>
          <w:color w:val="auto"/>
          <w:spacing w:val="-6"/>
          <w:szCs w:val="21"/>
          <w:highlight w:val="none"/>
        </w:rPr>
      </w:pPr>
      <w:r>
        <w:rPr>
          <w:rFonts w:hint="eastAsia" w:ascii="仿宋" w:hAnsi="仿宋" w:eastAsia="仿宋" w:cs="仿宋"/>
          <w:bCs/>
          <w:color w:val="auto"/>
          <w:spacing w:val="-6"/>
          <w:szCs w:val="21"/>
          <w:highlight w:val="none"/>
        </w:rPr>
        <w:t>本次评标采用综合评分法，总分为100分。评分过程中采用四舍五入法，并保留小数2位。</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bCs/>
          <w:color w:val="auto"/>
          <w:spacing w:val="-6"/>
          <w:szCs w:val="21"/>
          <w:highlight w:val="none"/>
        </w:rPr>
      </w:pPr>
      <w:r>
        <w:rPr>
          <w:rFonts w:hint="eastAsia" w:ascii="仿宋" w:hAnsi="仿宋" w:eastAsia="仿宋" w:cs="仿宋"/>
          <w:color w:val="auto"/>
          <w:spacing w:val="-6"/>
          <w:szCs w:val="21"/>
          <w:highlight w:val="none"/>
        </w:rPr>
        <w:t>投标人评标</w:t>
      </w:r>
      <w:r>
        <w:rPr>
          <w:rFonts w:hint="eastAsia" w:ascii="仿宋" w:hAnsi="仿宋" w:eastAsia="仿宋" w:cs="仿宋"/>
          <w:bCs/>
          <w:color w:val="auto"/>
          <w:spacing w:val="-6"/>
          <w:szCs w:val="21"/>
          <w:highlight w:val="none"/>
        </w:rPr>
        <w:t>综合得分=商务分+技术分+价格分</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bCs/>
          <w:color w:val="auto"/>
          <w:spacing w:val="-6"/>
          <w:szCs w:val="21"/>
          <w:highlight w:val="none"/>
        </w:rPr>
        <w:t>商务和技术分按照评标委员会成员的独立评分结果的算术平均分计算，计算公式为：商务分、技术分=评标委员会所有成员评分合计数/评标委员会组成人员数</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textAlignment w:val="auto"/>
        <w:outlineLvl w:val="1"/>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二、评标标准</w:t>
      </w:r>
    </w:p>
    <w:tbl>
      <w:tblPr>
        <w:tblStyle w:val="36"/>
        <w:tblW w:w="96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750"/>
        <w:gridCol w:w="7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评审因素</w:t>
            </w:r>
          </w:p>
        </w:tc>
        <w:tc>
          <w:tcPr>
            <w:tcW w:w="75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分值</w:t>
            </w:r>
          </w:p>
        </w:tc>
        <w:tc>
          <w:tcPr>
            <w:tcW w:w="747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评分细则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0" w:type="dxa"/>
            <w:gridSpan w:val="3"/>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价格分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投标报价</w:t>
            </w:r>
          </w:p>
        </w:tc>
        <w:tc>
          <w:tcPr>
            <w:tcW w:w="7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30</w:t>
            </w:r>
          </w:p>
        </w:tc>
        <w:tc>
          <w:tcPr>
            <w:tcW w:w="747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价格分采用低价优先法计算，即满足招标文件要求且投标价格最低的投标报价为评标基准价，其价格分为满分。其他投标人的价格分按照下列公式计算：</w:t>
            </w:r>
          </w:p>
          <w:p>
            <w:pP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价格分=（评标基准价/投标报价）</w:t>
            </w:r>
            <w:r>
              <w:rPr>
                <w:rFonts w:hint="eastAsia" w:ascii="仿宋" w:hAnsi="仿宋" w:eastAsia="仿宋" w:cs="仿宋"/>
                <w:color w:val="auto"/>
                <w:sz w:val="21"/>
                <w:szCs w:val="21"/>
                <w:highlight w:val="none"/>
                <w:lang w:val="en-US" w:eastAsia="zh-CN"/>
              </w:rPr>
              <w:t>*30</w:t>
            </w: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w:t>
            </w:r>
            <w:r>
              <w:rPr>
                <w:rFonts w:hint="eastAsia" w:ascii="仿宋" w:hAnsi="仿宋" w:eastAsia="仿宋" w:cs="仿宋"/>
                <w:color w:val="auto"/>
                <w:sz w:val="21"/>
                <w:szCs w:val="21"/>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0" w:type="dxa"/>
            <w:gridSpan w:val="3"/>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商务分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质保期</w:t>
            </w:r>
          </w:p>
        </w:tc>
        <w:tc>
          <w:tcPr>
            <w:tcW w:w="75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1</w:t>
            </w:r>
          </w:p>
        </w:tc>
        <w:tc>
          <w:tcPr>
            <w:tcW w:w="7470" w:type="dxa"/>
            <w:vAlign w:val="center"/>
          </w:tcPr>
          <w:p>
            <w:pPr>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sz w:val="21"/>
                <w:szCs w:val="21"/>
                <w:highlight w:val="none"/>
                <w:lang w:eastAsia="zh-CN"/>
              </w:rPr>
              <w:t>【</w:t>
            </w:r>
            <w:r>
              <w:rPr>
                <w:rFonts w:hint="eastAsia" w:ascii="仿宋" w:hAnsi="仿宋" w:eastAsia="仿宋" w:cs="仿宋"/>
                <w:b/>
                <w:bCs/>
                <w:color w:val="auto"/>
                <w:sz w:val="21"/>
                <w:szCs w:val="21"/>
                <w:highlight w:val="none"/>
                <w:lang w:val="en-US" w:eastAsia="zh-CN"/>
              </w:rPr>
              <w:t>客观分</w:t>
            </w:r>
            <w:r>
              <w:rPr>
                <w:rFonts w:hint="eastAsia" w:ascii="仿宋" w:hAnsi="仿宋" w:eastAsia="仿宋" w:cs="仿宋"/>
                <w:b/>
                <w:bCs/>
                <w:color w:val="auto"/>
                <w:sz w:val="21"/>
                <w:szCs w:val="21"/>
                <w:highlight w:val="none"/>
                <w:lang w:eastAsia="zh-CN"/>
              </w:rPr>
              <w:t>】</w:t>
            </w:r>
            <w:r>
              <w:rPr>
                <w:rFonts w:hint="eastAsia" w:ascii="仿宋" w:hAnsi="仿宋" w:eastAsia="仿宋" w:cs="仿宋"/>
                <w:color w:val="auto"/>
                <w:sz w:val="21"/>
                <w:szCs w:val="21"/>
                <w:highlight w:val="none"/>
                <w:lang w:eastAsia="zh-CN"/>
              </w:rPr>
              <w:t>满足招标文件要求基础上每延长</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lang w:eastAsia="zh-CN"/>
              </w:rPr>
              <w:t>年得0.5分（最</w:t>
            </w:r>
            <w:r>
              <w:rPr>
                <w:rFonts w:hint="eastAsia" w:ascii="仿宋" w:hAnsi="仿宋" w:eastAsia="仿宋" w:cs="仿宋"/>
                <w:color w:val="auto"/>
                <w:sz w:val="21"/>
                <w:szCs w:val="21"/>
                <w:highlight w:val="none"/>
                <w:lang w:val="en-US" w:eastAsia="zh-CN"/>
              </w:rPr>
              <w:t>高1</w:t>
            </w:r>
            <w:r>
              <w:rPr>
                <w:rFonts w:hint="eastAsia" w:ascii="仿宋" w:hAnsi="仿宋" w:eastAsia="仿宋" w:cs="仿宋"/>
                <w:color w:val="auto"/>
                <w:sz w:val="21"/>
                <w:szCs w:val="21"/>
                <w:highlight w:val="none"/>
                <w:lang w:eastAsia="zh-CN"/>
              </w:rPr>
              <w:t>分），延长时间不足</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lang w:eastAsia="zh-CN"/>
              </w:rPr>
              <w:t>年不计入得分，</w:t>
            </w:r>
            <w:r>
              <w:rPr>
                <w:rFonts w:hint="eastAsia" w:ascii="仿宋" w:hAnsi="仿宋" w:eastAsia="仿宋" w:cs="仿宋"/>
                <w:color w:val="auto"/>
                <w:sz w:val="21"/>
                <w:szCs w:val="21"/>
                <w:highlight w:val="none"/>
                <w:lang w:val="en-US" w:eastAsia="zh-CN"/>
              </w:rPr>
              <w:t>不</w:t>
            </w:r>
            <w:r>
              <w:rPr>
                <w:rFonts w:hint="eastAsia" w:ascii="仿宋" w:hAnsi="仿宋" w:eastAsia="仿宋" w:cs="仿宋"/>
                <w:color w:val="auto"/>
                <w:sz w:val="21"/>
                <w:szCs w:val="21"/>
                <w:highlight w:val="none"/>
                <w:lang w:eastAsia="zh-CN"/>
              </w:rPr>
              <w:t>满足招标文件要求</w:t>
            </w:r>
            <w:r>
              <w:rPr>
                <w:rFonts w:hint="eastAsia" w:ascii="仿宋" w:hAnsi="仿宋" w:eastAsia="仿宋" w:cs="仿宋"/>
                <w:color w:val="auto"/>
                <w:sz w:val="21"/>
                <w:szCs w:val="21"/>
                <w:highlight w:val="none"/>
                <w:lang w:val="en-US" w:eastAsia="zh-CN"/>
              </w:rPr>
              <w:t>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业绩</w:t>
            </w:r>
          </w:p>
        </w:tc>
        <w:tc>
          <w:tcPr>
            <w:tcW w:w="75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lang w:val="en-US" w:eastAsia="zh-CN"/>
              </w:rPr>
              <w:t>3</w:t>
            </w:r>
          </w:p>
        </w:tc>
        <w:tc>
          <w:tcPr>
            <w:tcW w:w="7470" w:type="dxa"/>
            <w:vAlign w:val="center"/>
          </w:tcPr>
          <w:p>
            <w:pPr>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szCs w:val="21"/>
                <w:highlight w:val="none"/>
              </w:rPr>
              <w:t>【客观分】</w:t>
            </w:r>
            <w:r>
              <w:rPr>
                <w:rFonts w:hint="eastAsia" w:ascii="仿宋" w:hAnsi="仿宋" w:eastAsia="仿宋" w:cs="仿宋"/>
                <w:color w:val="auto"/>
                <w:szCs w:val="21"/>
                <w:highlight w:val="none"/>
              </w:rPr>
              <w:t>投标人或核心产品制造商自2020年1月1日以来（以合同签订时间为准）与采购标的同品类产品合同（最高</w:t>
            </w: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分）：1分/份（以提供的合同及对应验收报告</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发票复印件</w:t>
            </w:r>
            <w:r>
              <w:rPr>
                <w:rFonts w:hint="eastAsia" w:ascii="仿宋" w:hAnsi="仿宋" w:eastAsia="仿宋" w:cs="仿宋"/>
                <w:color w:val="auto"/>
                <w:szCs w:val="21"/>
                <w:highlight w:val="none"/>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政策功能</w:t>
            </w:r>
          </w:p>
        </w:tc>
        <w:tc>
          <w:tcPr>
            <w:tcW w:w="75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1</w:t>
            </w:r>
          </w:p>
        </w:tc>
        <w:tc>
          <w:tcPr>
            <w:tcW w:w="7470" w:type="dxa"/>
            <w:vAlign w:val="center"/>
          </w:tcPr>
          <w:p>
            <w:pPr>
              <w:rPr>
                <w:rFonts w:ascii="仿宋" w:hAnsi="仿宋" w:eastAsia="仿宋" w:cs="仿宋"/>
                <w:color w:val="auto"/>
                <w:szCs w:val="21"/>
                <w:highlight w:val="none"/>
              </w:rPr>
            </w:pPr>
            <w:r>
              <w:rPr>
                <w:rFonts w:hint="eastAsia" w:ascii="仿宋" w:hAnsi="仿宋" w:eastAsia="仿宋" w:cs="仿宋"/>
                <w:b/>
                <w:bCs/>
                <w:color w:val="auto"/>
                <w:szCs w:val="21"/>
                <w:highlight w:val="none"/>
              </w:rPr>
              <w:t>1.【客观分】</w:t>
            </w:r>
            <w:r>
              <w:rPr>
                <w:rFonts w:hint="eastAsia" w:ascii="仿宋" w:hAnsi="仿宋" w:eastAsia="仿宋" w:cs="仿宋"/>
                <w:color w:val="auto"/>
                <w:szCs w:val="21"/>
                <w:highlight w:val="none"/>
              </w:rPr>
              <w:t>投标产品属于财政部、发展改革委公布的“节能产品政府采购品目清单”范围且具有国家确定的认证机构出具的处于有效期之内的节能产品认证证书（最高0.5分）：0.5分/样（以提供的认证证书</w:t>
            </w:r>
            <w:r>
              <w:rPr>
                <w:rFonts w:hint="eastAsia" w:ascii="仿宋" w:hAnsi="仿宋" w:eastAsia="仿宋" w:cs="仿宋"/>
                <w:color w:val="auto"/>
                <w:szCs w:val="21"/>
                <w:highlight w:val="none"/>
                <w:lang w:val="en-US" w:eastAsia="zh-CN"/>
              </w:rPr>
              <w:t>复印件</w:t>
            </w:r>
            <w:r>
              <w:rPr>
                <w:rFonts w:hint="eastAsia" w:ascii="仿宋" w:hAnsi="仿宋" w:eastAsia="仿宋" w:cs="仿宋"/>
                <w:color w:val="auto"/>
                <w:szCs w:val="21"/>
                <w:highlight w:val="none"/>
              </w:rPr>
              <w:t>为准）</w:t>
            </w:r>
          </w:p>
          <w:p>
            <w:pP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2.【客观分】</w:t>
            </w:r>
            <w:r>
              <w:rPr>
                <w:rFonts w:hint="eastAsia" w:ascii="仿宋" w:hAnsi="仿宋" w:eastAsia="仿宋" w:cs="仿宋"/>
                <w:color w:val="auto"/>
                <w:szCs w:val="21"/>
                <w:highlight w:val="none"/>
              </w:rPr>
              <w:t>投标产品属于财政部、生态环境部公布的“环境标志产品政府采购品目清单”范围且具有国家确定的认证机构出具的处于有效期之内的环境标志产品认证证书（最高0.5分）：0.5分/样（以提供的认证证书</w:t>
            </w:r>
            <w:r>
              <w:rPr>
                <w:rFonts w:hint="eastAsia" w:ascii="仿宋" w:hAnsi="仿宋" w:eastAsia="仿宋" w:cs="仿宋"/>
                <w:color w:val="auto"/>
                <w:szCs w:val="21"/>
                <w:highlight w:val="none"/>
                <w:lang w:val="en-US" w:eastAsia="zh-CN"/>
              </w:rPr>
              <w:t>复印件</w:t>
            </w:r>
            <w:r>
              <w:rPr>
                <w:rFonts w:hint="eastAsia" w:ascii="仿宋" w:hAnsi="仿宋" w:eastAsia="仿宋" w:cs="仿宋"/>
                <w:color w:val="auto"/>
                <w:szCs w:val="21"/>
                <w:highlight w:val="none"/>
              </w:rPr>
              <w:t>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Align w:val="center"/>
          </w:tcPr>
          <w:p>
            <w:pPr>
              <w:jc w:val="center"/>
              <w:rPr>
                <w:rFonts w:hint="default"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rPr>
              <w:t>体系认证</w:t>
            </w:r>
          </w:p>
        </w:tc>
        <w:tc>
          <w:tcPr>
            <w:tcW w:w="75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lang w:val="en-US" w:eastAsia="zh-CN"/>
              </w:rPr>
              <w:t>3</w:t>
            </w:r>
          </w:p>
        </w:tc>
        <w:tc>
          <w:tcPr>
            <w:tcW w:w="7470" w:type="dxa"/>
            <w:vAlign w:val="center"/>
          </w:tcPr>
          <w:p>
            <w:pPr>
              <w:rPr>
                <w:rFonts w:hint="default" w:ascii="仿宋" w:hAnsi="仿宋" w:eastAsia="仿宋" w:cs="仿宋"/>
                <w:b/>
                <w:bCs/>
                <w:color w:val="auto"/>
                <w:sz w:val="21"/>
                <w:szCs w:val="21"/>
                <w:highlight w:val="none"/>
                <w:lang w:val="en-US"/>
              </w:rPr>
            </w:pPr>
            <w:r>
              <w:rPr>
                <w:rFonts w:hint="eastAsia" w:ascii="仿宋" w:hAnsi="仿宋" w:eastAsia="仿宋" w:cs="仿宋"/>
                <w:b/>
                <w:bCs/>
                <w:color w:val="auto"/>
                <w:szCs w:val="21"/>
                <w:highlight w:val="none"/>
              </w:rPr>
              <w:t>【客观分】</w:t>
            </w:r>
            <w:r>
              <w:rPr>
                <w:rFonts w:hint="eastAsia" w:ascii="仿宋" w:hAnsi="仿宋" w:eastAsia="仿宋" w:cs="仿宋"/>
                <w:color w:val="auto"/>
                <w:szCs w:val="21"/>
                <w:highlight w:val="none"/>
              </w:rPr>
              <w:t>投标人或核心产品制造商有效的质量、环境、职业健康安全管理体系认证</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lang w:val="en-US" w:eastAsia="zh-CN"/>
              </w:rPr>
              <w:t>最高3分</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：1分</w:t>
            </w:r>
            <w:r>
              <w:rPr>
                <w:rFonts w:hint="eastAsia" w:ascii="仿宋" w:hAnsi="仿宋" w:eastAsia="仿宋" w:cs="仿宋"/>
                <w:color w:val="auto"/>
                <w:szCs w:val="21"/>
                <w:highlight w:val="none"/>
                <w:lang w:val="en-US" w:eastAsia="zh-CN"/>
              </w:rPr>
              <w:t>/项</w:t>
            </w:r>
            <w:r>
              <w:rPr>
                <w:rFonts w:hint="eastAsia" w:ascii="仿宋" w:hAnsi="仿宋" w:eastAsia="仿宋" w:cs="仿宋"/>
                <w:color w:val="auto"/>
                <w:szCs w:val="21"/>
                <w:highlight w:val="none"/>
              </w:rPr>
              <w:t>（以提供的证书</w:t>
            </w:r>
            <w:r>
              <w:rPr>
                <w:rFonts w:hint="eastAsia" w:ascii="仿宋" w:hAnsi="仿宋" w:eastAsia="仿宋" w:cs="仿宋"/>
                <w:color w:val="auto"/>
                <w:szCs w:val="21"/>
                <w:highlight w:val="none"/>
                <w:lang w:val="en-US" w:eastAsia="zh-CN"/>
              </w:rPr>
              <w:t>复印件</w:t>
            </w:r>
            <w:r>
              <w:rPr>
                <w:rFonts w:hint="eastAsia" w:ascii="仿宋" w:hAnsi="仿宋" w:eastAsia="仿宋" w:cs="仿宋"/>
                <w:color w:val="auto"/>
                <w:szCs w:val="21"/>
                <w:highlight w:val="none"/>
              </w:rPr>
              <w:t>及www.cnca.gov.cn“认证结果”查询截图为准）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0" w:type="dxa"/>
            <w:gridSpan w:val="3"/>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技术分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restart"/>
            <w:vAlign w:val="center"/>
          </w:tcPr>
          <w:p>
            <w:pPr>
              <w:jc w:val="center"/>
              <w:rPr>
                <w:rFonts w:hint="default"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rPr>
              <w:t>合同履约</w:t>
            </w:r>
          </w:p>
        </w:tc>
        <w:tc>
          <w:tcPr>
            <w:tcW w:w="750" w:type="dxa"/>
            <w:vAlign w:val="center"/>
          </w:tcPr>
          <w:p>
            <w:pPr>
              <w:jc w:val="center"/>
              <w:rPr>
                <w:rFonts w:hint="default"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lang w:val="en-US" w:eastAsia="zh-CN"/>
              </w:rPr>
              <w:t>3</w:t>
            </w:r>
          </w:p>
        </w:tc>
        <w:tc>
          <w:tcPr>
            <w:tcW w:w="7470" w:type="dxa"/>
            <w:vAlign w:val="center"/>
          </w:tcPr>
          <w:p>
            <w:pPr>
              <w:rPr>
                <w:rFonts w:hint="default" w:ascii="仿宋" w:hAnsi="仿宋" w:eastAsia="仿宋" w:cs="仿宋"/>
                <w:b/>
                <w:bCs/>
                <w:color w:val="auto"/>
                <w:sz w:val="21"/>
                <w:szCs w:val="21"/>
                <w:highlight w:val="none"/>
                <w:lang w:val="en-US"/>
              </w:rPr>
            </w:pPr>
            <w:r>
              <w:rPr>
                <w:rFonts w:hint="eastAsia" w:ascii="仿宋" w:hAnsi="仿宋" w:eastAsia="仿宋" w:cs="仿宋"/>
                <w:b/>
                <w:bCs/>
                <w:color w:val="auto"/>
                <w:sz w:val="21"/>
                <w:szCs w:val="21"/>
                <w:highlight w:val="none"/>
              </w:rPr>
              <w:t>【</w:t>
            </w:r>
            <w:r>
              <w:rPr>
                <w:rFonts w:hint="eastAsia" w:ascii="仿宋" w:hAnsi="仿宋" w:eastAsia="仿宋" w:cs="仿宋"/>
                <w:b/>
                <w:bCs/>
                <w:color w:val="auto"/>
                <w:sz w:val="21"/>
                <w:szCs w:val="21"/>
                <w:highlight w:val="none"/>
                <w:lang w:val="en-US" w:eastAsia="zh-CN"/>
              </w:rPr>
              <w:t>客</w:t>
            </w:r>
            <w:r>
              <w:rPr>
                <w:rFonts w:hint="eastAsia" w:ascii="仿宋" w:hAnsi="仿宋" w:eastAsia="仿宋" w:cs="仿宋"/>
                <w:b/>
                <w:bCs/>
                <w:color w:val="auto"/>
                <w:sz w:val="21"/>
                <w:szCs w:val="21"/>
                <w:highlight w:val="none"/>
              </w:rPr>
              <w:t>观分】</w:t>
            </w:r>
            <w:r>
              <w:rPr>
                <w:rFonts w:hint="eastAsia" w:ascii="仿宋" w:hAnsi="仿宋" w:eastAsia="仿宋" w:cs="仿宋"/>
                <w:b w:val="0"/>
                <w:bCs w:val="0"/>
                <w:color w:val="auto"/>
                <w:sz w:val="21"/>
                <w:szCs w:val="21"/>
                <w:highlight w:val="none"/>
              </w:rPr>
              <w:t>核心专业生产</w:t>
            </w:r>
            <w:r>
              <w:rPr>
                <w:rFonts w:hint="eastAsia" w:ascii="仿宋" w:hAnsi="仿宋" w:eastAsia="仿宋" w:cs="仿宋"/>
                <w:b w:val="0"/>
                <w:bCs w:val="0"/>
                <w:color w:val="auto"/>
                <w:sz w:val="21"/>
                <w:szCs w:val="21"/>
                <w:highlight w:val="none"/>
                <w:lang w:eastAsia="zh-CN"/>
              </w:rPr>
              <w:t>（</w:t>
            </w:r>
            <w:r>
              <w:rPr>
                <w:rFonts w:hint="eastAsia" w:ascii="仿宋" w:hAnsi="仿宋" w:eastAsia="仿宋" w:cs="仿宋"/>
                <w:b w:val="0"/>
                <w:bCs w:val="0"/>
                <w:color w:val="auto"/>
                <w:sz w:val="21"/>
                <w:szCs w:val="21"/>
                <w:highlight w:val="none"/>
              </w:rPr>
              <w:t>切割设备、折弯机、焊接设备、涂装设备、冲床、钻床、加工中心等</w:t>
            </w:r>
            <w:r>
              <w:rPr>
                <w:rFonts w:hint="eastAsia" w:ascii="仿宋" w:hAnsi="仿宋" w:eastAsia="仿宋" w:cs="仿宋"/>
                <w:b w:val="0"/>
                <w:bCs w:val="0"/>
                <w:color w:val="auto"/>
                <w:sz w:val="21"/>
                <w:szCs w:val="21"/>
                <w:highlight w:val="none"/>
                <w:lang w:eastAsia="zh-CN"/>
              </w:rPr>
              <w:t>）</w:t>
            </w:r>
            <w:r>
              <w:rPr>
                <w:rFonts w:hint="eastAsia" w:ascii="仿宋" w:hAnsi="仿宋" w:eastAsia="仿宋" w:cs="仿宋"/>
                <w:b w:val="0"/>
                <w:bCs w:val="0"/>
                <w:color w:val="auto"/>
                <w:sz w:val="21"/>
                <w:szCs w:val="21"/>
                <w:highlight w:val="none"/>
              </w:rPr>
              <w:t>设备</w:t>
            </w:r>
            <w:r>
              <w:rPr>
                <w:rFonts w:hint="eastAsia" w:ascii="仿宋" w:hAnsi="仿宋" w:eastAsia="仿宋" w:cs="仿宋"/>
                <w:b w:val="0"/>
                <w:bCs w:val="0"/>
                <w:color w:val="auto"/>
                <w:sz w:val="21"/>
                <w:szCs w:val="21"/>
                <w:highlight w:val="none"/>
                <w:lang w:eastAsia="zh-CN"/>
              </w:rPr>
              <w:t>（</w:t>
            </w:r>
            <w:r>
              <w:rPr>
                <w:rFonts w:hint="eastAsia" w:ascii="仿宋" w:hAnsi="仿宋" w:eastAsia="仿宋" w:cs="仿宋"/>
                <w:b w:val="0"/>
                <w:bCs w:val="0"/>
                <w:color w:val="auto"/>
                <w:sz w:val="21"/>
                <w:szCs w:val="21"/>
                <w:highlight w:val="none"/>
                <w:lang w:val="en-US" w:eastAsia="zh-CN"/>
              </w:rPr>
              <w:t>最高3分</w:t>
            </w:r>
            <w:r>
              <w:rPr>
                <w:rFonts w:hint="eastAsia" w:ascii="仿宋" w:hAnsi="仿宋" w:eastAsia="仿宋" w:cs="仿宋"/>
                <w:b w:val="0"/>
                <w:bCs w:val="0"/>
                <w:color w:val="auto"/>
                <w:sz w:val="21"/>
                <w:szCs w:val="21"/>
                <w:highlight w:val="none"/>
                <w:lang w:eastAsia="zh-CN"/>
              </w:rPr>
              <w:t>）：</w:t>
            </w:r>
            <w:r>
              <w:rPr>
                <w:rFonts w:hint="eastAsia" w:ascii="仿宋" w:hAnsi="仿宋" w:eastAsia="仿宋" w:cs="仿宋"/>
                <w:b w:val="0"/>
                <w:bCs w:val="0"/>
                <w:color w:val="auto"/>
                <w:sz w:val="21"/>
                <w:szCs w:val="21"/>
                <w:highlight w:val="none"/>
                <w:lang w:val="en-US" w:eastAsia="zh-CN"/>
              </w:rPr>
              <w:t>0.5分/项（以提供的</w:t>
            </w:r>
            <w:r>
              <w:rPr>
                <w:rFonts w:hint="eastAsia" w:ascii="仿宋" w:hAnsi="仿宋" w:eastAsia="仿宋" w:cs="仿宋"/>
                <w:b w:val="0"/>
                <w:bCs w:val="0"/>
                <w:color w:val="auto"/>
                <w:sz w:val="21"/>
                <w:szCs w:val="21"/>
                <w:highlight w:val="none"/>
              </w:rPr>
              <w:t>购置发票或合同</w:t>
            </w:r>
            <w:r>
              <w:rPr>
                <w:rFonts w:hint="eastAsia" w:ascii="仿宋" w:hAnsi="仿宋" w:eastAsia="仿宋" w:cs="仿宋"/>
                <w:b w:val="0"/>
                <w:bCs w:val="0"/>
                <w:color w:val="auto"/>
                <w:sz w:val="21"/>
                <w:szCs w:val="21"/>
                <w:highlight w:val="none"/>
                <w:lang w:val="en-US" w:eastAsia="zh-CN"/>
              </w:rPr>
              <w:t>复印件为准）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rPr>
            </w:pPr>
          </w:p>
        </w:tc>
        <w:tc>
          <w:tcPr>
            <w:tcW w:w="75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lang w:val="en-US" w:eastAsia="zh-CN"/>
              </w:rPr>
              <w:t>2</w:t>
            </w:r>
          </w:p>
        </w:tc>
        <w:tc>
          <w:tcPr>
            <w:tcW w:w="7470" w:type="dxa"/>
            <w:vAlign w:val="center"/>
          </w:tcPr>
          <w:p>
            <w:pP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【主观分】</w:t>
            </w:r>
            <w:r>
              <w:rPr>
                <w:rFonts w:hint="eastAsia" w:ascii="仿宋" w:hAnsi="仿宋" w:eastAsia="仿宋" w:cs="仿宋"/>
                <w:color w:val="auto"/>
                <w:szCs w:val="21"/>
                <w:highlight w:val="none"/>
              </w:rPr>
              <w:t>生产实施方案的全面性、针对性，包括原材料采购、加工制作等各个环节的实施方案及在规定时间内有计划完成项目需求产品的生产装配方案。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rPr>
            </w:pPr>
          </w:p>
        </w:tc>
        <w:tc>
          <w:tcPr>
            <w:tcW w:w="75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lang w:val="en-US" w:eastAsia="zh-CN"/>
              </w:rPr>
              <w:t>2</w:t>
            </w:r>
          </w:p>
        </w:tc>
        <w:tc>
          <w:tcPr>
            <w:tcW w:w="7470" w:type="dxa"/>
            <w:vAlign w:val="center"/>
          </w:tcPr>
          <w:p>
            <w:pP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【主观分】</w:t>
            </w:r>
            <w:r>
              <w:rPr>
                <w:rFonts w:hint="eastAsia" w:ascii="仿宋" w:hAnsi="仿宋" w:eastAsia="仿宋" w:cs="仿宋"/>
                <w:color w:val="auto"/>
                <w:szCs w:val="21"/>
                <w:highlight w:val="none"/>
              </w:rPr>
              <w:t>品质管理管控方案的全面性、针对性，包括产品品质管理管控过程、专职品控人员和相应的品控标准、确保产品生产过程中质量控制完善的措施。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rPr>
            </w:pPr>
          </w:p>
        </w:tc>
        <w:tc>
          <w:tcPr>
            <w:tcW w:w="750" w:type="dxa"/>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Cs w:val="21"/>
                <w:highlight w:val="none"/>
                <w:lang w:val="en-US" w:eastAsia="zh-CN"/>
              </w:rPr>
              <w:t>2</w:t>
            </w:r>
          </w:p>
        </w:tc>
        <w:tc>
          <w:tcPr>
            <w:tcW w:w="7470" w:type="dxa"/>
            <w:vAlign w:val="center"/>
          </w:tcPr>
          <w:p>
            <w:pP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【主观分】</w:t>
            </w:r>
            <w:r>
              <w:rPr>
                <w:rFonts w:hint="eastAsia" w:ascii="仿宋" w:hAnsi="仿宋" w:eastAsia="仿宋" w:cs="仿宋"/>
                <w:color w:val="auto"/>
                <w:szCs w:val="21"/>
                <w:highlight w:val="none"/>
              </w:rPr>
              <w:t>安装服务实施方案的全面性、针对性，包括送货安装时间及项目负责人、专业技术安装人员、装卸人员的数量、经验、专业技术能力。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restart"/>
            <w:vAlign w:val="center"/>
          </w:tcPr>
          <w:p>
            <w:pPr>
              <w:jc w:val="center"/>
              <w:rPr>
                <w:rFonts w:hint="default"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技术方案</w:t>
            </w: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3</w:t>
            </w:r>
          </w:p>
        </w:tc>
        <w:tc>
          <w:tcPr>
            <w:tcW w:w="7470" w:type="dxa"/>
            <w:vAlign w:val="center"/>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【主观分】</w:t>
            </w:r>
            <w:r>
              <w:rPr>
                <w:rFonts w:hint="eastAsia" w:ascii="仿宋" w:hAnsi="仿宋" w:eastAsia="仿宋" w:cs="仿宋"/>
                <w:b w:val="0"/>
                <w:bCs w:val="0"/>
                <w:color w:val="auto"/>
                <w:szCs w:val="21"/>
                <w:highlight w:val="none"/>
                <w:lang w:val="en-US" w:eastAsia="zh-CN"/>
              </w:rPr>
              <w:t>实验室</w:t>
            </w:r>
            <w:r>
              <w:rPr>
                <w:rFonts w:hint="eastAsia" w:ascii="仿宋" w:hAnsi="仿宋" w:eastAsia="仿宋" w:cs="仿宋"/>
                <w:b w:val="0"/>
                <w:bCs w:val="0"/>
                <w:color w:val="auto"/>
                <w:szCs w:val="21"/>
                <w:highlight w:val="none"/>
              </w:rPr>
              <w:t>家具设计</w:t>
            </w:r>
            <w:r>
              <w:rPr>
                <w:rFonts w:hint="eastAsia" w:ascii="仿宋" w:hAnsi="仿宋" w:eastAsia="仿宋" w:cs="仿宋"/>
                <w:b w:val="0"/>
                <w:bCs w:val="0"/>
                <w:color w:val="auto"/>
                <w:szCs w:val="21"/>
                <w:highlight w:val="none"/>
                <w:lang w:val="en-US" w:eastAsia="zh-CN"/>
              </w:rPr>
              <w:t>方案（提供设计图）</w:t>
            </w:r>
            <w:r>
              <w:rPr>
                <w:rFonts w:hint="eastAsia" w:ascii="仿宋" w:hAnsi="仿宋" w:eastAsia="仿宋" w:cs="仿宋"/>
                <w:b w:val="0"/>
                <w:bCs w:val="0"/>
                <w:color w:val="auto"/>
                <w:szCs w:val="21"/>
                <w:highlight w:val="none"/>
              </w:rPr>
              <w:t>专业性、规范性、业务需求符合程度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lang w:val="en-US" w:eastAsia="zh-CN"/>
              </w:rPr>
            </w:pPr>
          </w:p>
        </w:tc>
        <w:tc>
          <w:tcPr>
            <w:tcW w:w="750" w:type="dxa"/>
            <w:vAlign w:val="center"/>
          </w:tcPr>
          <w:p>
            <w:pPr>
              <w:jc w:val="center"/>
              <w:rPr>
                <w:rFonts w:hint="default"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9</w:t>
            </w:r>
          </w:p>
        </w:tc>
        <w:tc>
          <w:tcPr>
            <w:tcW w:w="7470" w:type="dxa"/>
            <w:vAlign w:val="center"/>
          </w:tcPr>
          <w:p>
            <w:pPr>
              <w:rPr>
                <w:rFonts w:ascii="仿宋" w:hAnsi="仿宋" w:eastAsia="仿宋" w:cs="仿宋"/>
                <w:b/>
                <w:bCs/>
                <w:color w:val="auto"/>
                <w:highlight w:val="none"/>
              </w:rPr>
            </w:pPr>
            <w:r>
              <w:rPr>
                <w:rFonts w:hint="eastAsia" w:ascii="仿宋" w:hAnsi="仿宋" w:eastAsia="仿宋" w:cs="仿宋"/>
                <w:b/>
                <w:bCs/>
                <w:color w:val="auto"/>
                <w:szCs w:val="21"/>
                <w:highlight w:val="none"/>
              </w:rPr>
              <w:t>【主观分】</w:t>
            </w:r>
            <w:r>
              <w:rPr>
                <w:rFonts w:hint="eastAsia" w:ascii="仿宋" w:hAnsi="仿宋" w:eastAsia="仿宋" w:cs="仿宋"/>
                <w:b/>
                <w:bCs/>
                <w:color w:val="auto"/>
                <w:szCs w:val="21"/>
                <w:highlight w:val="none"/>
                <w:lang w:val="en-US" w:eastAsia="zh-CN"/>
              </w:rPr>
              <w:t>实验台</w:t>
            </w:r>
            <w:r>
              <w:rPr>
                <w:rFonts w:hint="eastAsia" w:ascii="仿宋" w:hAnsi="仿宋" w:eastAsia="仿宋" w:cs="仿宋"/>
                <w:b/>
                <w:bCs/>
                <w:color w:val="auto"/>
                <w:szCs w:val="21"/>
                <w:highlight w:val="none"/>
              </w:rPr>
              <w:t>性能（</w:t>
            </w:r>
            <w:r>
              <w:rPr>
                <w:rFonts w:hint="eastAsia" w:ascii="仿宋" w:hAnsi="仿宋" w:eastAsia="仿宋" w:cs="仿宋"/>
                <w:b/>
                <w:bCs/>
                <w:color w:val="auto"/>
                <w:highlight w:val="none"/>
              </w:rPr>
              <w:t>提供国家权威检测机构或国家认可的第三方检测机构出具的相关检测报告</w:t>
            </w:r>
            <w:r>
              <w:rPr>
                <w:rFonts w:hint="eastAsia" w:ascii="仿宋" w:hAnsi="仿宋" w:eastAsia="仿宋" w:cs="仿宋"/>
                <w:b/>
                <w:bCs/>
                <w:color w:val="auto"/>
                <w:highlight w:val="none"/>
                <w:lang w:eastAsia="zh-CN"/>
              </w:rPr>
              <w:t>、</w:t>
            </w:r>
            <w:r>
              <w:rPr>
                <w:rFonts w:hint="eastAsia" w:ascii="仿宋" w:hAnsi="仿宋" w:eastAsia="仿宋" w:cs="仿宋"/>
                <w:b/>
                <w:bCs/>
                <w:color w:val="auto"/>
                <w:highlight w:val="none"/>
                <w:lang w:val="en-US" w:eastAsia="zh-CN"/>
              </w:rPr>
              <w:t>相关认证</w:t>
            </w:r>
            <w:r>
              <w:rPr>
                <w:rFonts w:hint="eastAsia" w:ascii="仿宋" w:hAnsi="仿宋" w:eastAsia="仿宋" w:cs="仿宋"/>
                <w:b/>
                <w:bCs/>
                <w:color w:val="auto"/>
                <w:highlight w:val="none"/>
              </w:rPr>
              <w:t>）可靠性、业务需求符合程度</w:t>
            </w:r>
          </w:p>
          <w:p>
            <w:pPr>
              <w:rPr>
                <w:rFonts w:hint="eastAsia" w:ascii="仿宋" w:hAnsi="仿宋" w:eastAsia="仿宋" w:cs="仿宋"/>
                <w:color w:val="auto"/>
                <w:szCs w:val="21"/>
                <w:highlight w:val="none"/>
                <w:lang w:eastAsia="zh-CN"/>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承重</w:t>
            </w:r>
            <w:r>
              <w:rPr>
                <w:rFonts w:hint="eastAsia" w:ascii="仿宋" w:hAnsi="仿宋" w:eastAsia="仿宋" w:cs="仿宋"/>
                <w:color w:val="auto"/>
                <w:szCs w:val="21"/>
                <w:highlight w:val="none"/>
              </w:rPr>
              <w:t>：</w:t>
            </w:r>
            <w:r>
              <w:rPr>
                <w:rFonts w:hint="eastAsia" w:ascii="仿宋" w:hAnsi="仿宋" w:eastAsia="仿宋" w:cs="仿宋"/>
                <w:color w:val="auto"/>
                <w:szCs w:val="21"/>
                <w:highlight w:val="none"/>
                <w:lang w:eastAsia="zh-CN"/>
              </w:rPr>
              <w:t>最高</w:t>
            </w: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lang w:eastAsia="zh-CN"/>
              </w:rPr>
              <w:t>.5分</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2.SEFA 8M测试：</w:t>
            </w:r>
            <w:r>
              <w:rPr>
                <w:rFonts w:hint="eastAsia" w:ascii="仿宋" w:hAnsi="仿宋" w:eastAsia="仿宋" w:cs="仿宋"/>
                <w:color w:val="auto"/>
                <w:szCs w:val="21"/>
                <w:highlight w:val="none"/>
                <w:lang w:eastAsia="zh-CN"/>
              </w:rPr>
              <w:t>最高</w:t>
            </w: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lang w:eastAsia="zh-CN"/>
              </w:rPr>
              <w:t>.5分</w:t>
            </w:r>
          </w:p>
          <w:p>
            <w:pPr>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val="en-US" w:eastAsia="zh-CN"/>
              </w:rPr>
              <w:t>3.盐雾测试：</w:t>
            </w:r>
            <w:r>
              <w:rPr>
                <w:rFonts w:hint="eastAsia" w:ascii="仿宋" w:hAnsi="仿宋" w:eastAsia="仿宋" w:cs="仿宋"/>
                <w:color w:val="auto"/>
                <w:szCs w:val="21"/>
                <w:highlight w:val="none"/>
                <w:lang w:eastAsia="zh-CN"/>
              </w:rPr>
              <w:t>最高</w:t>
            </w: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lang w:eastAsia="zh-CN"/>
              </w:rPr>
              <w:t>分</w:t>
            </w:r>
          </w:p>
          <w:p>
            <w:pPr>
              <w:rPr>
                <w:rFonts w:hint="eastAsia" w:ascii="仿宋" w:hAnsi="仿宋" w:eastAsia="仿宋" w:cs="仿宋"/>
                <w:b/>
                <w:bCs/>
                <w:color w:val="auto"/>
                <w:szCs w:val="21"/>
                <w:highlight w:val="none"/>
                <w:lang w:val="en-US" w:eastAsia="zh-CN"/>
              </w:rPr>
            </w:pPr>
            <w:r>
              <w:rPr>
                <w:rFonts w:hint="eastAsia" w:ascii="仿宋" w:hAnsi="仿宋" w:eastAsia="仿宋" w:cs="仿宋"/>
                <w:color w:val="auto"/>
                <w:szCs w:val="21"/>
                <w:highlight w:val="none"/>
                <w:lang w:val="en-US" w:eastAsia="zh-CN"/>
              </w:rPr>
              <w:t>4.金属表面喷涂：</w:t>
            </w:r>
            <w:r>
              <w:rPr>
                <w:rFonts w:hint="eastAsia" w:ascii="仿宋" w:hAnsi="仿宋" w:eastAsia="仿宋" w:cs="仿宋"/>
                <w:color w:val="auto"/>
                <w:szCs w:val="21"/>
                <w:highlight w:val="none"/>
                <w:lang w:eastAsia="zh-CN"/>
              </w:rPr>
              <w:t>最高</w:t>
            </w: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lang w:val="en-US" w:eastAsia="zh-CN"/>
              </w:rPr>
            </w:pP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8</w:t>
            </w:r>
          </w:p>
        </w:tc>
        <w:tc>
          <w:tcPr>
            <w:tcW w:w="7470" w:type="dxa"/>
            <w:vAlign w:val="center"/>
          </w:tcPr>
          <w:p>
            <w:pPr>
              <w:rPr>
                <w:rFonts w:ascii="仿宋" w:hAnsi="仿宋" w:eastAsia="仿宋" w:cs="仿宋"/>
                <w:b/>
                <w:bCs/>
                <w:color w:val="auto"/>
                <w:highlight w:val="none"/>
              </w:rPr>
            </w:pPr>
            <w:r>
              <w:rPr>
                <w:rFonts w:hint="eastAsia" w:ascii="仿宋" w:hAnsi="仿宋" w:eastAsia="仿宋" w:cs="仿宋"/>
                <w:b/>
                <w:bCs/>
                <w:color w:val="auto"/>
                <w:szCs w:val="21"/>
                <w:highlight w:val="none"/>
              </w:rPr>
              <w:t>【主观分】</w:t>
            </w:r>
            <w:r>
              <w:rPr>
                <w:rFonts w:hint="eastAsia" w:ascii="仿宋" w:hAnsi="仿宋" w:eastAsia="仿宋" w:cs="仿宋"/>
                <w:b/>
                <w:bCs/>
                <w:color w:val="auto"/>
                <w:szCs w:val="21"/>
                <w:highlight w:val="none"/>
                <w:lang w:val="en-US" w:eastAsia="zh-CN"/>
              </w:rPr>
              <w:t>陶瓷台面</w:t>
            </w:r>
            <w:r>
              <w:rPr>
                <w:rFonts w:hint="eastAsia" w:ascii="仿宋" w:hAnsi="仿宋" w:eastAsia="仿宋" w:cs="仿宋"/>
                <w:b/>
                <w:bCs/>
                <w:color w:val="auto"/>
                <w:szCs w:val="21"/>
                <w:highlight w:val="none"/>
              </w:rPr>
              <w:t>性能（</w:t>
            </w:r>
            <w:r>
              <w:rPr>
                <w:rFonts w:hint="eastAsia" w:ascii="仿宋" w:hAnsi="仿宋" w:eastAsia="仿宋" w:cs="仿宋"/>
                <w:b/>
                <w:bCs/>
                <w:color w:val="auto"/>
                <w:highlight w:val="none"/>
              </w:rPr>
              <w:t>提供国家权威检测机构或国家认可的第三方检测机构出具的相关检测报告</w:t>
            </w:r>
            <w:r>
              <w:rPr>
                <w:rFonts w:hint="eastAsia" w:ascii="仿宋" w:hAnsi="仿宋" w:eastAsia="仿宋" w:cs="仿宋"/>
                <w:b/>
                <w:bCs/>
                <w:color w:val="auto"/>
                <w:highlight w:val="none"/>
                <w:lang w:eastAsia="zh-CN"/>
              </w:rPr>
              <w:t>、</w:t>
            </w:r>
            <w:r>
              <w:rPr>
                <w:rFonts w:hint="eastAsia" w:ascii="仿宋" w:hAnsi="仿宋" w:eastAsia="仿宋" w:cs="仿宋"/>
                <w:b/>
                <w:bCs/>
                <w:color w:val="auto"/>
                <w:highlight w:val="none"/>
                <w:lang w:val="en-US" w:eastAsia="zh-CN"/>
              </w:rPr>
              <w:t>相关认证</w:t>
            </w:r>
            <w:r>
              <w:rPr>
                <w:rFonts w:hint="eastAsia" w:ascii="仿宋" w:hAnsi="仿宋" w:eastAsia="仿宋" w:cs="仿宋"/>
                <w:b/>
                <w:bCs/>
                <w:color w:val="auto"/>
                <w:highlight w:val="none"/>
              </w:rPr>
              <w:t>）可靠性、业务需求符合程度</w:t>
            </w:r>
          </w:p>
          <w:p>
            <w:pPr>
              <w:rPr>
                <w:rFonts w:hint="eastAsia" w:ascii="仿宋" w:hAnsi="仿宋" w:eastAsia="仿宋" w:cs="仿宋"/>
                <w:b w:val="0"/>
                <w:bCs w:val="0"/>
                <w:color w:val="auto"/>
                <w:szCs w:val="21"/>
                <w:highlight w:val="none"/>
                <w:lang w:eastAsia="zh-CN"/>
              </w:rPr>
            </w:pPr>
            <w:r>
              <w:rPr>
                <w:rFonts w:hint="eastAsia" w:ascii="仿宋" w:hAnsi="仿宋" w:eastAsia="仿宋" w:cs="仿宋"/>
                <w:b w:val="0"/>
                <w:bCs w:val="0"/>
                <w:color w:val="auto"/>
                <w:highlight w:val="none"/>
              </w:rPr>
              <w:t>1.</w:t>
            </w:r>
            <w:r>
              <w:rPr>
                <w:rFonts w:hint="eastAsia" w:ascii="仿宋" w:hAnsi="仿宋" w:eastAsia="仿宋" w:cs="仿宋"/>
                <w:b w:val="0"/>
                <w:bCs w:val="0"/>
                <w:color w:val="auto"/>
                <w:highlight w:val="none"/>
                <w:lang w:val="en-US" w:eastAsia="zh-CN"/>
              </w:rPr>
              <w:t>化学性能</w:t>
            </w:r>
            <w:r>
              <w:rPr>
                <w:rFonts w:hint="eastAsia" w:ascii="仿宋" w:hAnsi="仿宋" w:eastAsia="仿宋" w:cs="仿宋"/>
                <w:b w:val="0"/>
                <w:bCs w:val="0"/>
                <w:color w:val="auto"/>
                <w:szCs w:val="21"/>
                <w:highlight w:val="none"/>
              </w:rPr>
              <w:t>：</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2</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eastAsia="zh-CN"/>
              </w:rPr>
            </w:pPr>
            <w:r>
              <w:rPr>
                <w:rFonts w:hint="eastAsia" w:ascii="仿宋" w:hAnsi="仿宋" w:eastAsia="仿宋" w:cs="仿宋"/>
                <w:b w:val="0"/>
                <w:bCs w:val="0"/>
                <w:color w:val="auto"/>
                <w:szCs w:val="21"/>
                <w:highlight w:val="none"/>
                <w:lang w:val="en-US" w:eastAsia="zh-CN"/>
              </w:rPr>
              <w:t>2.</w:t>
            </w:r>
            <w:r>
              <w:rPr>
                <w:rFonts w:hint="eastAsia" w:ascii="仿宋" w:hAnsi="仿宋" w:eastAsia="仿宋" w:cs="仿宋"/>
                <w:b w:val="0"/>
                <w:bCs w:val="0"/>
                <w:color w:val="auto"/>
                <w:szCs w:val="21"/>
                <w:highlight w:val="none"/>
              </w:rPr>
              <w:t>产品质量溯源：</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2</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3.承载性能：</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2</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bCs/>
                <w:color w:val="auto"/>
                <w:szCs w:val="21"/>
                <w:highlight w:val="none"/>
                <w:lang w:val="en-US" w:eastAsia="zh-CN"/>
              </w:rPr>
            </w:pPr>
            <w:r>
              <w:rPr>
                <w:rFonts w:hint="eastAsia" w:ascii="仿宋" w:hAnsi="仿宋" w:eastAsia="仿宋" w:cs="仿宋"/>
                <w:b w:val="0"/>
                <w:bCs w:val="0"/>
                <w:color w:val="auto"/>
                <w:szCs w:val="21"/>
                <w:highlight w:val="none"/>
                <w:lang w:val="en-US" w:eastAsia="zh-CN"/>
              </w:rPr>
              <w:t>4.抗菌性能：</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2</w:t>
            </w:r>
            <w:r>
              <w:rPr>
                <w:rFonts w:hint="eastAsia" w:ascii="仿宋" w:hAnsi="仿宋" w:eastAsia="仿宋" w:cs="仿宋"/>
                <w:b w:val="0"/>
                <w:bCs w:val="0"/>
                <w:color w:val="auto"/>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lang w:val="en-US" w:eastAsia="zh-CN"/>
              </w:rPr>
            </w:pP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2</w:t>
            </w:r>
          </w:p>
        </w:tc>
        <w:tc>
          <w:tcPr>
            <w:tcW w:w="7470" w:type="dxa"/>
            <w:vAlign w:val="center"/>
          </w:tcPr>
          <w:p>
            <w:pPr>
              <w:rPr>
                <w:rFonts w:hint="eastAsia" w:ascii="仿宋" w:hAnsi="仿宋" w:eastAsia="仿宋" w:cs="仿宋"/>
                <w:b w:val="0"/>
                <w:bCs w:val="0"/>
                <w:color w:val="auto"/>
                <w:szCs w:val="21"/>
                <w:highlight w:val="none"/>
                <w:lang w:val="en-US" w:eastAsia="zh-CN"/>
              </w:rPr>
            </w:pPr>
            <w:r>
              <w:rPr>
                <w:rFonts w:hint="eastAsia" w:ascii="仿宋" w:hAnsi="仿宋" w:eastAsia="仿宋" w:cs="仿宋"/>
                <w:b/>
                <w:bCs/>
                <w:color w:val="auto"/>
                <w:szCs w:val="21"/>
                <w:highlight w:val="none"/>
              </w:rPr>
              <w:t>【主观分】</w:t>
            </w:r>
            <w:r>
              <w:rPr>
                <w:rFonts w:hint="eastAsia" w:ascii="仿宋" w:hAnsi="仿宋" w:eastAsia="仿宋" w:cs="仿宋"/>
                <w:b w:val="0"/>
                <w:bCs w:val="0"/>
                <w:color w:val="auto"/>
                <w:szCs w:val="21"/>
                <w:highlight w:val="none"/>
                <w:lang w:val="en-US" w:eastAsia="zh-CN"/>
              </w:rPr>
              <w:t>水槽化学</w:t>
            </w:r>
            <w:r>
              <w:rPr>
                <w:rFonts w:hint="eastAsia" w:ascii="仿宋" w:hAnsi="仿宋" w:eastAsia="仿宋" w:cs="仿宋"/>
                <w:b w:val="0"/>
                <w:bCs w:val="0"/>
                <w:color w:val="auto"/>
                <w:szCs w:val="21"/>
                <w:highlight w:val="none"/>
              </w:rPr>
              <w:t>性能（</w:t>
            </w:r>
            <w:r>
              <w:rPr>
                <w:rFonts w:hint="eastAsia" w:ascii="仿宋" w:hAnsi="仿宋" w:eastAsia="仿宋" w:cs="仿宋"/>
                <w:b w:val="0"/>
                <w:bCs w:val="0"/>
                <w:color w:val="auto"/>
                <w:highlight w:val="none"/>
              </w:rPr>
              <w:t>提供国家权威检测机构或国家认可的第三方检测机构出具的相关检测报告</w:t>
            </w:r>
            <w:r>
              <w:rPr>
                <w:rFonts w:hint="eastAsia" w:ascii="仿宋" w:hAnsi="仿宋" w:eastAsia="仿宋" w:cs="仿宋"/>
                <w:b w:val="0"/>
                <w:bCs w:val="0"/>
                <w:color w:val="auto"/>
                <w:highlight w:val="none"/>
                <w:lang w:eastAsia="zh-CN"/>
              </w:rPr>
              <w:t>、</w:t>
            </w:r>
            <w:r>
              <w:rPr>
                <w:rFonts w:hint="eastAsia" w:ascii="仿宋" w:hAnsi="仿宋" w:eastAsia="仿宋" w:cs="仿宋"/>
                <w:b w:val="0"/>
                <w:bCs w:val="0"/>
                <w:color w:val="auto"/>
                <w:highlight w:val="none"/>
                <w:lang w:val="en-US" w:eastAsia="zh-CN"/>
              </w:rPr>
              <w:t>相关认证</w:t>
            </w:r>
            <w:r>
              <w:rPr>
                <w:rFonts w:hint="eastAsia" w:ascii="仿宋" w:hAnsi="仿宋" w:eastAsia="仿宋" w:cs="仿宋"/>
                <w:b w:val="0"/>
                <w:bCs w:val="0"/>
                <w:color w:val="auto"/>
                <w:highlight w:val="none"/>
              </w:rPr>
              <w:t>）可靠性、业务需求符合程度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lang w:val="en-US" w:eastAsia="zh-CN"/>
              </w:rPr>
            </w:pP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10</w:t>
            </w:r>
          </w:p>
        </w:tc>
        <w:tc>
          <w:tcPr>
            <w:tcW w:w="7470" w:type="dxa"/>
            <w:vAlign w:val="center"/>
          </w:tcPr>
          <w:p>
            <w:pPr>
              <w:rPr>
                <w:rFonts w:ascii="仿宋" w:hAnsi="仿宋" w:eastAsia="仿宋" w:cs="仿宋"/>
                <w:b/>
                <w:bCs/>
                <w:color w:val="auto"/>
                <w:highlight w:val="none"/>
              </w:rPr>
            </w:pPr>
            <w:r>
              <w:rPr>
                <w:rFonts w:hint="eastAsia" w:ascii="仿宋" w:hAnsi="仿宋" w:eastAsia="仿宋" w:cs="仿宋"/>
                <w:b/>
                <w:bCs/>
                <w:color w:val="auto"/>
                <w:szCs w:val="21"/>
                <w:highlight w:val="none"/>
              </w:rPr>
              <w:t>【主观分】</w:t>
            </w:r>
            <w:r>
              <w:rPr>
                <w:rFonts w:hint="eastAsia" w:ascii="仿宋" w:hAnsi="仿宋" w:eastAsia="仿宋" w:cs="仿宋"/>
                <w:b/>
                <w:bCs/>
                <w:color w:val="auto"/>
                <w:szCs w:val="21"/>
                <w:highlight w:val="none"/>
                <w:lang w:val="en-US" w:eastAsia="zh-CN"/>
              </w:rPr>
              <w:t>通风柜</w:t>
            </w:r>
            <w:r>
              <w:rPr>
                <w:rFonts w:hint="eastAsia" w:ascii="仿宋" w:hAnsi="仿宋" w:eastAsia="仿宋" w:cs="仿宋"/>
                <w:b/>
                <w:bCs/>
                <w:color w:val="auto"/>
                <w:szCs w:val="21"/>
                <w:highlight w:val="none"/>
              </w:rPr>
              <w:t>性能（</w:t>
            </w:r>
            <w:r>
              <w:rPr>
                <w:rFonts w:hint="eastAsia" w:ascii="仿宋" w:hAnsi="仿宋" w:eastAsia="仿宋" w:cs="仿宋"/>
                <w:b/>
                <w:bCs/>
                <w:color w:val="auto"/>
                <w:highlight w:val="none"/>
              </w:rPr>
              <w:t>提供国家权威检测机构或国家认可的第三方检测机构出具的相关检测报告</w:t>
            </w:r>
            <w:r>
              <w:rPr>
                <w:rFonts w:hint="eastAsia" w:ascii="仿宋" w:hAnsi="仿宋" w:eastAsia="仿宋" w:cs="仿宋"/>
                <w:b/>
                <w:bCs/>
                <w:color w:val="auto"/>
                <w:highlight w:val="none"/>
                <w:lang w:eastAsia="zh-CN"/>
              </w:rPr>
              <w:t>、</w:t>
            </w:r>
            <w:r>
              <w:rPr>
                <w:rFonts w:hint="eastAsia" w:ascii="仿宋" w:hAnsi="仿宋" w:eastAsia="仿宋" w:cs="仿宋"/>
                <w:b/>
                <w:bCs/>
                <w:color w:val="auto"/>
                <w:highlight w:val="none"/>
                <w:lang w:val="en-US" w:eastAsia="zh-CN"/>
              </w:rPr>
              <w:t>相关认证</w:t>
            </w:r>
            <w:r>
              <w:rPr>
                <w:rFonts w:hint="eastAsia" w:ascii="仿宋" w:hAnsi="仿宋" w:eastAsia="仿宋" w:cs="仿宋"/>
                <w:b/>
                <w:bCs/>
                <w:color w:val="auto"/>
                <w:highlight w:val="none"/>
              </w:rPr>
              <w:t>）可靠性、业务需求符合程度</w:t>
            </w:r>
          </w:p>
          <w:p>
            <w:pPr>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1.浓度测试：</w:t>
            </w:r>
            <w:r>
              <w:rPr>
                <w:rFonts w:hint="eastAsia" w:ascii="仿宋" w:hAnsi="仿宋" w:eastAsia="仿宋" w:cs="仿宋"/>
                <w:b w:val="0"/>
                <w:bCs w:val="0"/>
                <w:color w:val="auto"/>
                <w:szCs w:val="21"/>
                <w:highlight w:val="none"/>
                <w:lang w:eastAsia="zh-CN"/>
              </w:rPr>
              <w:t>最高1分</w:t>
            </w:r>
          </w:p>
          <w:p>
            <w:pPr>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2.可视化测试：</w:t>
            </w:r>
            <w:r>
              <w:rPr>
                <w:rFonts w:hint="eastAsia" w:ascii="仿宋" w:hAnsi="仿宋" w:eastAsia="仿宋" w:cs="仿宋"/>
                <w:b w:val="0"/>
                <w:bCs w:val="0"/>
                <w:color w:val="auto"/>
                <w:szCs w:val="21"/>
                <w:highlight w:val="none"/>
                <w:lang w:eastAsia="zh-CN"/>
              </w:rPr>
              <w:t>最高1分</w:t>
            </w:r>
          </w:p>
          <w:p>
            <w:pPr>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3.示踪气体浓度测试：</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val="en-US" w:eastAsia="zh-CN"/>
              </w:rPr>
            </w:pPr>
            <w:r>
              <w:rPr>
                <w:rFonts w:hint="eastAsia" w:ascii="仿宋" w:hAnsi="仿宋" w:eastAsia="仿宋" w:cs="仿宋"/>
                <w:b w:val="0"/>
                <w:bCs w:val="0"/>
                <w:color w:val="auto"/>
                <w:szCs w:val="21"/>
                <w:highlight w:val="none"/>
                <w:lang w:val="en-US" w:eastAsia="zh-CN"/>
              </w:rPr>
              <w:t>4.拉门移动影响测试：</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eastAsia="zh-CN"/>
              </w:rPr>
            </w:pPr>
            <w:r>
              <w:rPr>
                <w:rFonts w:hint="eastAsia" w:ascii="仿宋" w:hAnsi="仿宋" w:eastAsia="仿宋" w:cs="仿宋"/>
                <w:b w:val="0"/>
                <w:bCs w:val="0"/>
                <w:color w:val="auto"/>
                <w:szCs w:val="21"/>
                <w:highlight w:val="none"/>
                <w:lang w:val="en-US" w:eastAsia="zh-CN"/>
              </w:rPr>
              <w:t>5.周边扫描测试：</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eastAsia="zh-CN"/>
              </w:rPr>
            </w:pPr>
            <w:r>
              <w:rPr>
                <w:rFonts w:hint="eastAsia" w:ascii="仿宋" w:hAnsi="仿宋" w:eastAsia="仿宋" w:cs="仿宋"/>
                <w:b w:val="0"/>
                <w:bCs w:val="0"/>
                <w:color w:val="auto"/>
                <w:szCs w:val="21"/>
                <w:highlight w:val="none"/>
                <w:lang w:val="en-US" w:eastAsia="zh-CN"/>
              </w:rPr>
              <w:t>6.</w:t>
            </w:r>
            <w:r>
              <w:rPr>
                <w:rFonts w:hint="eastAsia" w:ascii="仿宋" w:hAnsi="仿宋" w:eastAsia="仿宋" w:cs="仿宋"/>
                <w:b w:val="0"/>
                <w:bCs w:val="0"/>
                <w:color w:val="auto"/>
                <w:szCs w:val="21"/>
                <w:highlight w:val="none"/>
              </w:rPr>
              <w:t>有毒气体残留</w:t>
            </w:r>
            <w:r>
              <w:rPr>
                <w:rFonts w:hint="eastAsia" w:ascii="仿宋" w:hAnsi="仿宋" w:eastAsia="仿宋" w:cs="仿宋"/>
                <w:b w:val="0"/>
                <w:bCs w:val="0"/>
                <w:color w:val="auto"/>
                <w:szCs w:val="21"/>
                <w:highlight w:val="none"/>
                <w:lang w:val="en-US" w:eastAsia="zh-CN"/>
              </w:rPr>
              <w:t>：</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eastAsia="zh-CN"/>
              </w:rPr>
            </w:pPr>
            <w:r>
              <w:rPr>
                <w:rFonts w:hint="eastAsia" w:ascii="仿宋" w:hAnsi="仿宋" w:eastAsia="仿宋" w:cs="仿宋"/>
                <w:b w:val="0"/>
                <w:bCs w:val="0"/>
                <w:color w:val="auto"/>
                <w:szCs w:val="21"/>
                <w:highlight w:val="none"/>
                <w:lang w:val="en-US" w:eastAsia="zh-CN"/>
              </w:rPr>
              <w:t>7.外部金属部分喷涂化学性能：</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eastAsia="zh-CN"/>
              </w:rPr>
            </w:pPr>
            <w:r>
              <w:rPr>
                <w:rFonts w:hint="eastAsia" w:ascii="仿宋" w:hAnsi="仿宋" w:eastAsia="仿宋" w:cs="仿宋"/>
                <w:b w:val="0"/>
                <w:bCs w:val="0"/>
                <w:color w:val="auto"/>
                <w:szCs w:val="21"/>
                <w:highlight w:val="none"/>
                <w:lang w:val="en-US" w:eastAsia="zh-CN"/>
              </w:rPr>
              <w:t>8.</w:t>
            </w:r>
            <w:r>
              <w:rPr>
                <w:rFonts w:hint="eastAsia" w:ascii="仿宋" w:hAnsi="仿宋" w:eastAsia="仿宋" w:cs="仿宋"/>
                <w:b w:val="0"/>
                <w:bCs w:val="0"/>
                <w:color w:val="auto"/>
                <w:szCs w:val="21"/>
                <w:highlight w:val="none"/>
                <w:lang w:eastAsia="zh-CN"/>
              </w:rPr>
              <w:t>油漆反应级别</w:t>
            </w:r>
            <w:r>
              <w:rPr>
                <w:rFonts w:hint="eastAsia" w:ascii="仿宋" w:hAnsi="仿宋" w:eastAsia="仿宋" w:cs="仿宋"/>
                <w:b w:val="0"/>
                <w:bCs w:val="0"/>
                <w:color w:val="auto"/>
                <w:szCs w:val="21"/>
                <w:highlight w:val="none"/>
                <w:lang w:val="en-US" w:eastAsia="zh-CN"/>
              </w:rPr>
              <w:t>：</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val="0"/>
                <w:bCs w:val="0"/>
                <w:color w:val="auto"/>
                <w:szCs w:val="21"/>
                <w:highlight w:val="none"/>
                <w:lang w:eastAsia="zh-CN"/>
              </w:rPr>
            </w:pPr>
            <w:r>
              <w:rPr>
                <w:rFonts w:hint="eastAsia" w:ascii="仿宋" w:hAnsi="仿宋" w:eastAsia="仿宋" w:cs="仿宋"/>
                <w:b w:val="0"/>
                <w:bCs w:val="0"/>
                <w:color w:val="auto"/>
                <w:szCs w:val="21"/>
                <w:highlight w:val="none"/>
                <w:lang w:val="en-US" w:eastAsia="zh-CN"/>
              </w:rPr>
              <w:t>9.陶瓷水杯化学性能：</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p>
            <w:pPr>
              <w:rPr>
                <w:rFonts w:hint="eastAsia" w:ascii="仿宋" w:hAnsi="仿宋" w:eastAsia="仿宋" w:cs="仿宋"/>
                <w:b/>
                <w:bCs/>
                <w:color w:val="auto"/>
                <w:szCs w:val="21"/>
                <w:highlight w:val="none"/>
              </w:rPr>
            </w:pPr>
            <w:r>
              <w:rPr>
                <w:rFonts w:hint="eastAsia" w:ascii="仿宋" w:hAnsi="仿宋" w:eastAsia="仿宋" w:cs="仿宋"/>
                <w:b w:val="0"/>
                <w:bCs w:val="0"/>
                <w:color w:val="auto"/>
                <w:szCs w:val="21"/>
                <w:highlight w:val="none"/>
                <w:lang w:val="en-US" w:eastAsia="zh-CN"/>
              </w:rPr>
              <w:t>10.内衬板、导流板化学性能、甲醛释放量：</w:t>
            </w:r>
            <w:r>
              <w:rPr>
                <w:rFonts w:hint="eastAsia" w:ascii="仿宋" w:hAnsi="仿宋" w:eastAsia="仿宋" w:cs="仿宋"/>
                <w:b w:val="0"/>
                <w:bCs w:val="0"/>
                <w:color w:val="auto"/>
                <w:szCs w:val="21"/>
                <w:highlight w:val="none"/>
                <w:lang w:eastAsia="zh-CN"/>
              </w:rPr>
              <w:t>最高</w:t>
            </w:r>
            <w:r>
              <w:rPr>
                <w:rFonts w:hint="eastAsia" w:ascii="仿宋" w:hAnsi="仿宋" w:eastAsia="仿宋" w:cs="仿宋"/>
                <w:b w:val="0"/>
                <w:bCs w:val="0"/>
                <w:color w:val="auto"/>
                <w:szCs w:val="21"/>
                <w:highlight w:val="none"/>
                <w:lang w:val="en-US" w:eastAsia="zh-CN"/>
              </w:rPr>
              <w:t>1</w:t>
            </w:r>
            <w:r>
              <w:rPr>
                <w:rFonts w:hint="eastAsia" w:ascii="仿宋" w:hAnsi="仿宋" w:eastAsia="仿宋" w:cs="仿宋"/>
                <w:b w:val="0"/>
                <w:bCs w:val="0"/>
                <w:color w:val="auto"/>
                <w:szCs w:val="21"/>
                <w:highlight w:val="none"/>
                <w:lang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lang w:val="en-US" w:eastAsia="zh-CN"/>
              </w:rPr>
            </w:pPr>
          </w:p>
        </w:tc>
        <w:tc>
          <w:tcPr>
            <w:tcW w:w="750" w:type="dxa"/>
            <w:vAlign w:val="center"/>
          </w:tcPr>
          <w:p>
            <w:pPr>
              <w:jc w:val="center"/>
              <w:rPr>
                <w:rFonts w:hint="default"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3</w:t>
            </w:r>
          </w:p>
        </w:tc>
        <w:tc>
          <w:tcPr>
            <w:tcW w:w="7470" w:type="dxa"/>
            <w:vAlign w:val="center"/>
          </w:tcPr>
          <w:p>
            <w:pPr>
              <w:rPr>
                <w:rFonts w:hint="default" w:ascii="仿宋" w:hAnsi="仿宋" w:eastAsia="仿宋" w:cs="仿宋"/>
                <w:b w:val="0"/>
                <w:bCs w:val="0"/>
                <w:color w:val="auto"/>
                <w:szCs w:val="21"/>
                <w:highlight w:val="none"/>
                <w:lang w:val="en-US" w:eastAsia="zh-CN"/>
              </w:rPr>
            </w:pPr>
            <w:r>
              <w:rPr>
                <w:rFonts w:hint="eastAsia" w:ascii="仿宋" w:hAnsi="仿宋" w:eastAsia="仿宋" w:cs="仿宋"/>
                <w:b/>
                <w:bCs/>
                <w:color w:val="auto"/>
                <w:szCs w:val="21"/>
                <w:highlight w:val="none"/>
              </w:rPr>
              <w:t>【主观分】</w:t>
            </w:r>
            <w:r>
              <w:rPr>
                <w:rFonts w:hint="eastAsia" w:ascii="仿宋" w:hAnsi="仿宋" w:eastAsia="仿宋" w:cs="仿宋"/>
                <w:b w:val="0"/>
                <w:bCs w:val="0"/>
                <w:color w:val="auto"/>
                <w:szCs w:val="21"/>
                <w:highlight w:val="none"/>
              </w:rPr>
              <w:t>通风柜变风量控制系统</w:t>
            </w:r>
            <w:r>
              <w:rPr>
                <w:rFonts w:hint="eastAsia" w:ascii="仿宋" w:hAnsi="仿宋" w:eastAsia="仿宋" w:cs="仿宋"/>
                <w:b w:val="0"/>
                <w:bCs w:val="0"/>
                <w:color w:val="auto"/>
                <w:szCs w:val="21"/>
                <w:highlight w:val="none"/>
                <w:lang w:val="en-US" w:eastAsia="zh-CN"/>
              </w:rPr>
              <w:t>[提供部件制造商</w:t>
            </w:r>
            <w:r>
              <w:rPr>
                <w:rFonts w:hint="eastAsia" w:ascii="仿宋" w:hAnsi="仿宋" w:eastAsia="仿宋" w:cs="仿宋"/>
                <w:b w:val="0"/>
                <w:bCs w:val="0"/>
                <w:color w:val="auto"/>
                <w:szCs w:val="21"/>
                <w:highlight w:val="none"/>
                <w:lang w:eastAsia="zh-CN"/>
              </w:rPr>
              <w:t>公开发布的印刷资料（官网材料、彩页、Datasheet）或由国家权威检测机构或国家认可的第三方检测机构出具的相关检测报告、相关认证、应用案例、功能</w:t>
            </w:r>
            <w:r>
              <w:rPr>
                <w:rFonts w:hint="eastAsia" w:ascii="仿宋" w:hAnsi="仿宋" w:eastAsia="仿宋" w:cs="仿宋"/>
                <w:b w:val="0"/>
                <w:bCs w:val="0"/>
                <w:color w:val="auto"/>
                <w:szCs w:val="21"/>
                <w:highlight w:val="none"/>
                <w:lang w:val="en-US" w:eastAsia="zh-CN"/>
              </w:rPr>
              <w:t>界面</w:t>
            </w:r>
            <w:r>
              <w:rPr>
                <w:rFonts w:hint="eastAsia" w:ascii="仿宋" w:hAnsi="仿宋" w:eastAsia="仿宋" w:cs="仿宋"/>
                <w:b w:val="0"/>
                <w:bCs w:val="0"/>
                <w:color w:val="auto"/>
                <w:szCs w:val="21"/>
                <w:highlight w:val="none"/>
                <w:lang w:eastAsia="zh-CN"/>
              </w:rPr>
              <w:t>截图</w:t>
            </w:r>
            <w:r>
              <w:rPr>
                <w:rFonts w:hint="eastAsia" w:ascii="仿宋" w:hAnsi="仿宋" w:eastAsia="仿宋" w:cs="仿宋"/>
                <w:b w:val="0"/>
                <w:bCs w:val="0"/>
                <w:color w:val="auto"/>
                <w:szCs w:val="21"/>
                <w:highlight w:val="none"/>
                <w:lang w:val="en-US" w:eastAsia="zh-CN"/>
              </w:rPr>
              <w:t>]专业性、成熟性、业务需求符合程度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restart"/>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Cs w:val="21"/>
                <w:highlight w:val="none"/>
              </w:rPr>
              <w:t>售后服务</w:t>
            </w: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2</w:t>
            </w:r>
          </w:p>
        </w:tc>
        <w:tc>
          <w:tcPr>
            <w:tcW w:w="7470" w:type="dxa"/>
            <w:vAlign w:val="center"/>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【主观分】</w:t>
            </w:r>
            <w:r>
              <w:rPr>
                <w:rFonts w:hint="eastAsia" w:ascii="仿宋" w:hAnsi="仿宋" w:eastAsia="仿宋" w:cs="仿宋"/>
                <w:color w:val="auto"/>
                <w:szCs w:val="21"/>
                <w:highlight w:val="none"/>
              </w:rPr>
              <w:t>售后服务方案的全面性、针对性，包括服务内容、服务承诺、响应时间、服务方式、人员配备、应急服务等。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rPr>
            </w:pP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1</w:t>
            </w:r>
          </w:p>
        </w:tc>
        <w:tc>
          <w:tcPr>
            <w:tcW w:w="7470" w:type="dxa"/>
            <w:vAlign w:val="center"/>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【主观分】</w:t>
            </w:r>
            <w:r>
              <w:rPr>
                <w:rFonts w:hint="eastAsia" w:ascii="仿宋" w:hAnsi="仿宋" w:eastAsia="仿宋" w:cs="仿宋"/>
                <w:color w:val="auto"/>
                <w:szCs w:val="21"/>
                <w:highlight w:val="none"/>
              </w:rPr>
              <w:t>配件、附件、备品备件的准备和保障措施充分性及购买折扣力度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restart"/>
            <w:vAlign w:val="center"/>
          </w:tcPr>
          <w:p>
            <w:pPr>
              <w:jc w:val="center"/>
              <w:rPr>
                <w:rFonts w:hint="eastAsia" w:ascii="仿宋" w:hAnsi="仿宋" w:eastAsia="仿宋" w:cs="仿宋"/>
                <w:b/>
                <w:bCs/>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样品</w:t>
            </w: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5</w:t>
            </w:r>
          </w:p>
        </w:tc>
        <w:tc>
          <w:tcPr>
            <w:tcW w:w="7470" w:type="dxa"/>
            <w:vAlign w:val="center"/>
          </w:tcPr>
          <w:p>
            <w:pPr>
              <w:rPr>
                <w:rFonts w:hint="eastAsia" w:ascii="仿宋" w:hAnsi="仿宋" w:eastAsia="仿宋" w:cs="仿宋"/>
                <w:b/>
                <w:bCs/>
                <w:color w:val="auto"/>
                <w:szCs w:val="21"/>
                <w:highlight w:val="none"/>
                <w:lang w:eastAsia="zh-CN"/>
              </w:rPr>
            </w:pPr>
            <w:r>
              <w:rPr>
                <w:rFonts w:hint="eastAsia" w:ascii="仿宋" w:hAnsi="仿宋" w:eastAsia="仿宋" w:cs="仿宋"/>
                <w:b/>
                <w:bCs/>
                <w:color w:val="auto"/>
                <w:szCs w:val="21"/>
                <w:highlight w:val="none"/>
              </w:rPr>
              <w:t>【主观分】外观、结构</w:t>
            </w:r>
            <w:r>
              <w:rPr>
                <w:rFonts w:hint="eastAsia" w:ascii="仿宋" w:hAnsi="仿宋" w:eastAsia="仿宋" w:cs="仿宋"/>
                <w:b/>
                <w:bCs/>
                <w:color w:val="auto"/>
                <w:szCs w:val="21"/>
                <w:highlight w:val="none"/>
                <w:lang w:eastAsia="zh-CN"/>
              </w:rPr>
              <w:t>（</w:t>
            </w:r>
            <w:r>
              <w:rPr>
                <w:rFonts w:hint="eastAsia" w:ascii="仿宋" w:hAnsi="仿宋" w:eastAsia="仿宋" w:cs="仿宋"/>
                <w:b/>
                <w:bCs/>
                <w:color w:val="auto"/>
                <w:szCs w:val="21"/>
                <w:highlight w:val="none"/>
                <w:lang w:val="en-US" w:eastAsia="zh-CN"/>
              </w:rPr>
              <w:t>未提供样品投标无效</w:t>
            </w:r>
            <w:r>
              <w:rPr>
                <w:rFonts w:hint="eastAsia" w:ascii="仿宋" w:hAnsi="仿宋" w:eastAsia="仿宋" w:cs="仿宋"/>
                <w:b/>
                <w:bCs/>
                <w:color w:val="auto"/>
                <w:szCs w:val="21"/>
                <w:highlight w:val="none"/>
                <w:lang w:eastAsia="zh-CN"/>
              </w:rPr>
              <w:t>）</w:t>
            </w:r>
          </w:p>
          <w:p>
            <w:pPr>
              <w:rPr>
                <w:rFonts w:ascii="仿宋" w:hAnsi="仿宋" w:eastAsia="仿宋" w:cs="仿宋"/>
                <w:color w:val="auto"/>
                <w:szCs w:val="21"/>
                <w:highlight w:val="none"/>
              </w:rPr>
            </w:pPr>
            <w:r>
              <w:rPr>
                <w:rFonts w:hint="eastAsia" w:ascii="仿宋" w:hAnsi="仿宋" w:eastAsia="仿宋" w:cs="仿宋"/>
                <w:color w:val="auto"/>
                <w:szCs w:val="21"/>
                <w:highlight w:val="none"/>
              </w:rPr>
              <w:t>1.外观及整体效果</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最高</w:t>
            </w: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分</w:t>
            </w:r>
          </w:p>
          <w:p>
            <w:pPr>
              <w:rPr>
                <w:rFonts w:hint="eastAsia" w:ascii="仿宋" w:hAnsi="仿宋" w:eastAsia="仿宋" w:cs="仿宋"/>
                <w:b/>
                <w:bCs/>
                <w:color w:val="auto"/>
                <w:szCs w:val="21"/>
                <w:highlight w:val="none"/>
              </w:rPr>
            </w:pPr>
            <w:r>
              <w:rPr>
                <w:rFonts w:hint="eastAsia" w:ascii="仿宋" w:hAnsi="仿宋" w:eastAsia="仿宋" w:cs="仿宋"/>
                <w:color w:val="auto"/>
                <w:szCs w:val="21"/>
                <w:highlight w:val="none"/>
              </w:rPr>
              <w:t>2.结构设计合理性、</w:t>
            </w:r>
            <w:r>
              <w:rPr>
                <w:rFonts w:hint="eastAsia" w:ascii="仿宋" w:hAnsi="仿宋" w:eastAsia="仿宋" w:cs="仿宋"/>
                <w:color w:val="auto"/>
                <w:szCs w:val="21"/>
                <w:highlight w:val="none"/>
                <w:lang w:val="en-US" w:eastAsia="zh-CN"/>
              </w:rPr>
              <w:t>安全性：</w:t>
            </w:r>
            <w:r>
              <w:rPr>
                <w:rFonts w:hint="eastAsia" w:ascii="仿宋" w:hAnsi="仿宋" w:eastAsia="仿宋" w:cs="仿宋"/>
                <w:color w:val="auto"/>
                <w:szCs w:val="21"/>
                <w:highlight w:val="none"/>
              </w:rPr>
              <w:t>最高</w:t>
            </w: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rPr>
            </w:pP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7</w:t>
            </w:r>
          </w:p>
        </w:tc>
        <w:tc>
          <w:tcPr>
            <w:tcW w:w="7470" w:type="dxa"/>
            <w:vAlign w:val="center"/>
          </w:tcPr>
          <w:p>
            <w:pPr>
              <w:rPr>
                <w:rFonts w:ascii="仿宋" w:hAnsi="仿宋" w:eastAsia="仿宋" w:cs="仿宋"/>
                <w:b/>
                <w:bCs/>
                <w:color w:val="auto"/>
                <w:szCs w:val="21"/>
                <w:highlight w:val="none"/>
              </w:rPr>
            </w:pPr>
            <w:r>
              <w:rPr>
                <w:rFonts w:hint="eastAsia" w:ascii="仿宋" w:hAnsi="仿宋" w:eastAsia="仿宋" w:cs="仿宋"/>
                <w:b/>
                <w:bCs/>
                <w:color w:val="auto"/>
                <w:szCs w:val="21"/>
                <w:highlight w:val="none"/>
              </w:rPr>
              <w:t>【主观分】制作工艺及质量</w:t>
            </w:r>
            <w:r>
              <w:rPr>
                <w:rFonts w:hint="eastAsia" w:ascii="仿宋" w:hAnsi="仿宋" w:eastAsia="仿宋" w:cs="仿宋"/>
                <w:b/>
                <w:bCs/>
                <w:color w:val="auto"/>
                <w:szCs w:val="21"/>
                <w:highlight w:val="none"/>
                <w:lang w:eastAsia="zh-CN"/>
              </w:rPr>
              <w:t>（</w:t>
            </w:r>
            <w:r>
              <w:rPr>
                <w:rFonts w:hint="eastAsia" w:ascii="仿宋" w:hAnsi="仿宋" w:eastAsia="仿宋" w:cs="仿宋"/>
                <w:b/>
                <w:bCs/>
                <w:color w:val="auto"/>
                <w:szCs w:val="21"/>
                <w:highlight w:val="none"/>
                <w:lang w:val="en-US" w:eastAsia="zh-CN"/>
              </w:rPr>
              <w:t>未提供样品投标无效</w:t>
            </w:r>
            <w:r>
              <w:rPr>
                <w:rFonts w:hint="eastAsia" w:ascii="仿宋" w:hAnsi="仿宋" w:eastAsia="仿宋" w:cs="仿宋"/>
                <w:b/>
                <w:bCs/>
                <w:color w:val="auto"/>
                <w:szCs w:val="21"/>
                <w:highlight w:val="none"/>
                <w:lang w:eastAsia="zh-CN"/>
              </w:rPr>
              <w:t>）</w:t>
            </w:r>
          </w:p>
          <w:p>
            <w:pPr>
              <w:rPr>
                <w:rFonts w:ascii="仿宋" w:hAnsi="仿宋" w:eastAsia="仿宋" w:cs="仿宋"/>
                <w:color w:val="auto"/>
                <w:szCs w:val="21"/>
                <w:highlight w:val="none"/>
              </w:rPr>
            </w:pPr>
            <w:r>
              <w:rPr>
                <w:rFonts w:hint="eastAsia" w:ascii="仿宋" w:hAnsi="仿宋" w:eastAsia="仿宋" w:cs="仿宋"/>
                <w:color w:val="auto"/>
                <w:szCs w:val="21"/>
                <w:highlight w:val="none"/>
              </w:rPr>
              <w:t>1.外表结合处缝隙、配件结合处紧密程度</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内部结构牢固程度</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最高</w:t>
            </w:r>
            <w:r>
              <w:rPr>
                <w:rFonts w:hint="eastAsia" w:ascii="仿宋" w:hAnsi="仿宋" w:eastAsia="仿宋" w:cs="仿宋"/>
                <w:color w:val="auto"/>
                <w:szCs w:val="21"/>
                <w:highlight w:val="none"/>
                <w:lang w:val="en-US" w:eastAsia="zh-CN"/>
              </w:rPr>
              <w:t>2</w:t>
            </w:r>
            <w:r>
              <w:rPr>
                <w:rFonts w:hint="eastAsia" w:ascii="仿宋" w:hAnsi="仿宋" w:eastAsia="仿宋" w:cs="仿宋"/>
                <w:color w:val="auto"/>
                <w:szCs w:val="21"/>
                <w:highlight w:val="none"/>
              </w:rPr>
              <w:t>分</w:t>
            </w:r>
          </w:p>
          <w:p>
            <w:pPr>
              <w:rPr>
                <w:rFonts w:ascii="仿宋" w:hAnsi="仿宋" w:eastAsia="仿宋" w:cs="仿宋"/>
                <w:color w:val="auto"/>
                <w:szCs w:val="21"/>
                <w:highlight w:val="none"/>
              </w:rPr>
            </w:pPr>
            <w:r>
              <w:rPr>
                <w:rFonts w:hint="eastAsia" w:ascii="仿宋" w:hAnsi="仿宋" w:eastAsia="仿宋" w:cs="仿宋"/>
                <w:color w:val="auto"/>
                <w:szCs w:val="21"/>
                <w:highlight w:val="none"/>
              </w:rPr>
              <w:t>3.加工工艺水平</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最高</w:t>
            </w:r>
            <w:r>
              <w:rPr>
                <w:rFonts w:hint="eastAsia" w:ascii="仿宋" w:hAnsi="仿宋" w:eastAsia="仿宋" w:cs="仿宋"/>
                <w:color w:val="auto"/>
                <w:szCs w:val="21"/>
                <w:highlight w:val="none"/>
                <w:lang w:val="en-US" w:eastAsia="zh-CN"/>
              </w:rPr>
              <w:t>3</w:t>
            </w:r>
            <w:r>
              <w:rPr>
                <w:rFonts w:hint="eastAsia" w:ascii="仿宋" w:hAnsi="仿宋" w:eastAsia="仿宋" w:cs="仿宋"/>
                <w:color w:val="auto"/>
                <w:szCs w:val="21"/>
                <w:highlight w:val="none"/>
              </w:rPr>
              <w:t>分</w:t>
            </w:r>
          </w:p>
          <w:p>
            <w:pPr>
              <w:rPr>
                <w:rFonts w:hint="eastAsia" w:ascii="仿宋" w:hAnsi="仿宋" w:eastAsia="仿宋" w:cs="仿宋"/>
                <w:b/>
                <w:bCs/>
                <w:color w:val="auto"/>
                <w:szCs w:val="21"/>
                <w:highlight w:val="none"/>
              </w:rPr>
            </w:pPr>
            <w:r>
              <w:rPr>
                <w:rFonts w:hint="eastAsia" w:ascii="仿宋" w:hAnsi="仿宋" w:eastAsia="仿宋" w:cs="仿宋"/>
                <w:color w:val="auto"/>
                <w:szCs w:val="21"/>
                <w:highlight w:val="none"/>
                <w:lang w:val="en-US" w:eastAsia="zh-CN"/>
              </w:rPr>
              <w:t>4</w:t>
            </w:r>
            <w:r>
              <w:rPr>
                <w:rFonts w:hint="eastAsia" w:ascii="仿宋" w:hAnsi="仿宋" w:eastAsia="仿宋" w:cs="仿宋"/>
                <w:color w:val="auto"/>
                <w:szCs w:val="21"/>
                <w:highlight w:val="none"/>
              </w:rPr>
              <w:t>.铰链、滑轨等部件灵活程度</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最高2分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1400" w:type="dxa"/>
            <w:vMerge w:val="continue"/>
            <w:vAlign w:val="center"/>
          </w:tcPr>
          <w:p>
            <w:pPr>
              <w:jc w:val="center"/>
              <w:rPr>
                <w:rFonts w:hint="eastAsia" w:ascii="仿宋" w:hAnsi="仿宋" w:eastAsia="仿宋" w:cs="仿宋"/>
                <w:b/>
                <w:bCs/>
                <w:color w:val="auto"/>
                <w:sz w:val="21"/>
                <w:szCs w:val="21"/>
                <w:highlight w:val="none"/>
              </w:rPr>
            </w:pPr>
          </w:p>
        </w:tc>
        <w:tc>
          <w:tcPr>
            <w:tcW w:w="750" w:type="dxa"/>
            <w:vAlign w:val="center"/>
          </w:tcPr>
          <w:p>
            <w:pPr>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3</w:t>
            </w:r>
          </w:p>
        </w:tc>
        <w:tc>
          <w:tcPr>
            <w:tcW w:w="7470" w:type="dxa"/>
            <w:vAlign w:val="center"/>
          </w:tcPr>
          <w:p>
            <w:pPr>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【主观分】</w:t>
            </w:r>
            <w:r>
              <w:rPr>
                <w:rFonts w:hint="eastAsia" w:ascii="仿宋" w:hAnsi="仿宋" w:eastAsia="仿宋" w:cs="仿宋"/>
                <w:color w:val="auto"/>
                <w:szCs w:val="21"/>
                <w:highlight w:val="none"/>
                <w:lang w:val="en-US" w:eastAsia="zh-CN"/>
              </w:rPr>
              <w:t>材质</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如台面、钢板、五金件等</w:t>
            </w:r>
            <w:r>
              <w:rPr>
                <w:rFonts w:hint="eastAsia" w:ascii="仿宋" w:hAnsi="仿宋" w:eastAsia="仿宋" w:cs="仿宋"/>
                <w:color w:val="auto"/>
                <w:szCs w:val="21"/>
                <w:highlight w:val="none"/>
                <w:lang w:eastAsia="zh-CN"/>
              </w:rPr>
              <w:t>）</w:t>
            </w:r>
            <w:r>
              <w:rPr>
                <w:rFonts w:hint="eastAsia" w:ascii="仿宋" w:hAnsi="仿宋" w:eastAsia="仿宋" w:cs="仿宋"/>
                <w:color w:val="auto"/>
                <w:szCs w:val="21"/>
                <w:highlight w:val="none"/>
              </w:rPr>
              <w:t>与采购需求符合程度</w:t>
            </w:r>
            <w:r>
              <w:rPr>
                <w:rFonts w:hint="eastAsia" w:ascii="仿宋" w:hAnsi="仿宋" w:eastAsia="仿宋" w:cs="仿宋"/>
                <w:b/>
                <w:bCs/>
                <w:color w:val="auto"/>
                <w:szCs w:val="21"/>
                <w:highlight w:val="none"/>
                <w:lang w:eastAsia="zh-CN"/>
              </w:rPr>
              <w:t>（</w:t>
            </w:r>
            <w:r>
              <w:rPr>
                <w:rFonts w:hint="eastAsia" w:ascii="仿宋" w:hAnsi="仿宋" w:eastAsia="仿宋" w:cs="仿宋"/>
                <w:b/>
                <w:bCs/>
                <w:color w:val="auto"/>
                <w:szCs w:val="21"/>
                <w:highlight w:val="none"/>
                <w:lang w:val="en-US" w:eastAsia="zh-CN"/>
              </w:rPr>
              <w:t>未提供样品投标无效</w:t>
            </w:r>
            <w:r>
              <w:rPr>
                <w:rFonts w:hint="eastAsia" w:ascii="仿宋" w:hAnsi="仿宋" w:eastAsia="仿宋" w:cs="仿宋"/>
                <w:b/>
                <w:bCs/>
                <w:color w:val="auto"/>
                <w:szCs w:val="21"/>
                <w:highlight w:val="none"/>
                <w:lang w:eastAsia="zh-CN"/>
              </w:rPr>
              <w:t>）</w:t>
            </w:r>
          </w:p>
        </w:tc>
      </w:tr>
    </w:tbl>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9"/>
        <w:rPr>
          <w:rFonts w:hint="eastAsia" w:ascii="仿宋" w:hAnsi="仿宋" w:eastAsia="仿宋" w:cs="仿宋"/>
          <w:b/>
          <w:color w:val="auto"/>
          <w:sz w:val="18"/>
          <w:szCs w:val="18"/>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9"/>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说明：</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left"/>
        <w:textAlignment w:val="auto"/>
        <w:outlineLvl w:val="9"/>
        <w:rPr>
          <w:rFonts w:hint="eastAsia" w:ascii="仿宋" w:hAnsi="仿宋" w:eastAsia="仿宋" w:cs="仿宋"/>
          <w:b/>
          <w:color w:val="auto"/>
          <w:sz w:val="18"/>
          <w:szCs w:val="18"/>
          <w:highlight w:val="none"/>
        </w:rPr>
      </w:pPr>
      <w:r>
        <w:rPr>
          <w:rFonts w:hint="eastAsia" w:ascii="仿宋" w:hAnsi="仿宋" w:eastAsia="仿宋" w:cs="仿宋"/>
          <w:b/>
          <w:color w:val="auto"/>
          <w:sz w:val="18"/>
          <w:szCs w:val="18"/>
          <w:highlight w:val="none"/>
        </w:rPr>
        <w:t>1.</w:t>
      </w:r>
      <w:r>
        <w:rPr>
          <w:rFonts w:hint="eastAsia" w:ascii="仿宋" w:hAnsi="仿宋" w:eastAsia="仿宋" w:cs="仿宋"/>
          <w:b/>
          <w:color w:val="auto"/>
          <w:sz w:val="18"/>
          <w:szCs w:val="18"/>
          <w:highlight w:val="none"/>
          <w:lang w:val="en-US" w:eastAsia="zh-CN"/>
        </w:rPr>
        <w:t>参照</w:t>
      </w:r>
      <w:r>
        <w:rPr>
          <w:rFonts w:hint="eastAsia" w:ascii="仿宋" w:hAnsi="仿宋" w:eastAsia="仿宋" w:cs="仿宋"/>
          <w:b/>
          <w:color w:val="auto"/>
          <w:sz w:val="18"/>
          <w:szCs w:val="18"/>
          <w:highlight w:val="none"/>
        </w:rPr>
        <w:t>《政府采购促进中小企业发展管理办法》（财库</w:t>
      </w:r>
      <w:r>
        <w:rPr>
          <w:rFonts w:hint="eastAsia" w:ascii="仿宋" w:hAnsi="仿宋" w:eastAsia="仿宋" w:cs="仿宋"/>
          <w:b/>
          <w:color w:val="auto"/>
          <w:sz w:val="18"/>
          <w:szCs w:val="18"/>
          <w:highlight w:val="none"/>
          <w:lang w:val="en-US" w:eastAsia="zh-CN"/>
        </w:rPr>
        <w:t>[</w:t>
      </w:r>
      <w:r>
        <w:rPr>
          <w:rFonts w:hint="eastAsia" w:ascii="仿宋" w:hAnsi="仿宋" w:eastAsia="仿宋" w:cs="仿宋"/>
          <w:b/>
          <w:color w:val="auto"/>
          <w:sz w:val="18"/>
          <w:szCs w:val="18"/>
          <w:highlight w:val="none"/>
        </w:rPr>
        <w:t>2020</w:t>
      </w:r>
      <w:r>
        <w:rPr>
          <w:rFonts w:hint="eastAsia" w:ascii="仿宋" w:hAnsi="仿宋" w:eastAsia="仿宋" w:cs="仿宋"/>
          <w:b/>
          <w:color w:val="auto"/>
          <w:sz w:val="18"/>
          <w:szCs w:val="18"/>
          <w:highlight w:val="none"/>
          <w:lang w:val="en-US" w:eastAsia="zh-CN"/>
        </w:rPr>
        <w:t>]</w:t>
      </w:r>
      <w:r>
        <w:rPr>
          <w:rFonts w:hint="eastAsia" w:ascii="仿宋" w:hAnsi="仿宋" w:eastAsia="仿宋" w:cs="仿宋"/>
          <w:b/>
          <w:color w:val="auto"/>
          <w:sz w:val="18"/>
          <w:szCs w:val="18"/>
          <w:highlight w:val="none"/>
        </w:rPr>
        <w:t>46号）</w:t>
      </w:r>
      <w:r>
        <w:rPr>
          <w:rFonts w:hint="eastAsia" w:ascii="仿宋" w:hAnsi="仿宋" w:eastAsia="仿宋" w:cs="仿宋"/>
          <w:b/>
          <w:color w:val="auto"/>
          <w:sz w:val="18"/>
          <w:szCs w:val="18"/>
          <w:highlight w:val="none"/>
          <w:lang w:eastAsia="zh-CN"/>
        </w:rPr>
        <w:t>、《关于进一步加大政府采购支持中小企业力度的通知》（财库</w:t>
      </w:r>
      <w:r>
        <w:rPr>
          <w:rFonts w:hint="eastAsia" w:ascii="仿宋" w:hAnsi="仿宋" w:eastAsia="仿宋" w:cs="仿宋"/>
          <w:b/>
          <w:color w:val="auto"/>
          <w:sz w:val="18"/>
          <w:szCs w:val="18"/>
          <w:highlight w:val="none"/>
          <w:lang w:val="en-US" w:eastAsia="zh-CN"/>
        </w:rPr>
        <w:t>[</w:t>
      </w:r>
      <w:r>
        <w:rPr>
          <w:rFonts w:hint="eastAsia" w:ascii="仿宋" w:hAnsi="仿宋" w:eastAsia="仿宋" w:cs="仿宋"/>
          <w:b/>
          <w:color w:val="auto"/>
          <w:sz w:val="18"/>
          <w:szCs w:val="18"/>
          <w:highlight w:val="none"/>
          <w:lang w:eastAsia="zh-CN"/>
        </w:rPr>
        <w:t>2022</w:t>
      </w:r>
      <w:r>
        <w:rPr>
          <w:rFonts w:hint="eastAsia" w:ascii="仿宋" w:hAnsi="仿宋" w:eastAsia="仿宋" w:cs="仿宋"/>
          <w:b/>
          <w:color w:val="auto"/>
          <w:sz w:val="18"/>
          <w:szCs w:val="18"/>
          <w:highlight w:val="none"/>
          <w:lang w:val="en-US" w:eastAsia="zh-CN"/>
        </w:rPr>
        <w:t>]</w:t>
      </w:r>
      <w:r>
        <w:rPr>
          <w:rFonts w:hint="eastAsia" w:ascii="仿宋" w:hAnsi="仿宋" w:eastAsia="仿宋" w:cs="仿宋"/>
          <w:b/>
          <w:color w:val="auto"/>
          <w:sz w:val="18"/>
          <w:szCs w:val="18"/>
          <w:highlight w:val="none"/>
          <w:lang w:eastAsia="zh-CN"/>
        </w:rPr>
        <w:t>19号）</w:t>
      </w:r>
      <w:r>
        <w:rPr>
          <w:rFonts w:hint="eastAsia" w:ascii="仿宋" w:hAnsi="仿宋" w:eastAsia="仿宋" w:cs="仿宋"/>
          <w:b/>
          <w:color w:val="auto"/>
          <w:sz w:val="18"/>
          <w:szCs w:val="18"/>
          <w:highlight w:val="none"/>
        </w:rPr>
        <w:t>的规定，对符合规定的小微企业报价给予</w:t>
      </w:r>
      <w:r>
        <w:rPr>
          <w:rFonts w:hint="eastAsia" w:ascii="仿宋" w:hAnsi="仿宋" w:eastAsia="仿宋" w:cs="仿宋"/>
          <w:b/>
          <w:color w:val="auto"/>
          <w:sz w:val="18"/>
          <w:szCs w:val="18"/>
          <w:highlight w:val="none"/>
          <w:lang w:val="en-US" w:eastAsia="zh-CN"/>
        </w:rPr>
        <w:t>1</w:t>
      </w:r>
      <w:r>
        <w:rPr>
          <w:rFonts w:hint="eastAsia" w:ascii="仿宋" w:hAnsi="仿宋" w:eastAsia="仿宋" w:cs="仿宋"/>
          <w:b/>
          <w:color w:val="auto"/>
          <w:sz w:val="18"/>
          <w:szCs w:val="18"/>
          <w:highlight w:val="none"/>
        </w:rPr>
        <w:t>0%的扣除后计算价格得分</w:t>
      </w:r>
      <w:r>
        <w:rPr>
          <w:rFonts w:hint="eastAsia" w:ascii="仿宋" w:hAnsi="仿宋" w:eastAsia="仿宋" w:cs="仿宋"/>
          <w:b/>
          <w:color w:val="auto"/>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textAlignment w:val="auto"/>
        <w:outlineLvl w:val="9"/>
        <w:rPr>
          <w:rFonts w:hint="eastAsia" w:ascii="仿宋" w:hAnsi="仿宋" w:eastAsia="仿宋" w:cs="仿宋"/>
          <w:b/>
          <w:bCs/>
          <w:color w:val="auto"/>
          <w:spacing w:val="-6"/>
          <w:sz w:val="18"/>
          <w:szCs w:val="18"/>
          <w:highlight w:val="none"/>
        </w:rPr>
      </w:pPr>
      <w:bookmarkStart w:id="44" w:name="_Hlk81817373"/>
      <w:r>
        <w:rPr>
          <w:rFonts w:hint="eastAsia" w:ascii="仿宋" w:hAnsi="仿宋" w:eastAsia="仿宋" w:cs="仿宋"/>
          <w:b/>
          <w:bCs/>
          <w:color w:val="auto"/>
          <w:spacing w:val="-6"/>
          <w:sz w:val="18"/>
          <w:szCs w:val="18"/>
          <w:highlight w:val="none"/>
        </w:rPr>
        <w:t>2.</w:t>
      </w:r>
      <w:r>
        <w:rPr>
          <w:rFonts w:hint="eastAsia" w:ascii="仿宋" w:hAnsi="仿宋" w:eastAsia="仿宋" w:cs="仿宋"/>
          <w:b/>
          <w:bCs/>
          <w:color w:val="auto"/>
          <w:spacing w:val="-6"/>
          <w:sz w:val="18"/>
          <w:szCs w:val="18"/>
          <w:highlight w:val="none"/>
          <w:lang w:val="en-US" w:eastAsia="zh-CN"/>
        </w:rPr>
        <w:t>参照</w:t>
      </w:r>
      <w:r>
        <w:rPr>
          <w:rFonts w:hint="eastAsia" w:ascii="仿宋" w:hAnsi="仿宋" w:eastAsia="仿宋" w:cs="仿宋"/>
          <w:b/>
          <w:bCs/>
          <w:color w:val="auto"/>
          <w:spacing w:val="-6"/>
          <w:sz w:val="18"/>
          <w:szCs w:val="18"/>
          <w:highlight w:val="none"/>
        </w:rPr>
        <w:t>《关于政府采购支持监狱企业发展有关问题的通知》（财库</w:t>
      </w:r>
      <w:r>
        <w:rPr>
          <w:rFonts w:hint="eastAsia" w:ascii="仿宋" w:hAnsi="仿宋" w:eastAsia="仿宋" w:cs="仿宋"/>
          <w:b/>
          <w:bCs/>
          <w:color w:val="auto"/>
          <w:spacing w:val="-6"/>
          <w:sz w:val="18"/>
          <w:szCs w:val="18"/>
          <w:highlight w:val="none"/>
          <w:lang w:val="en-US" w:eastAsia="zh-CN"/>
        </w:rPr>
        <w:t>[</w:t>
      </w:r>
      <w:r>
        <w:rPr>
          <w:rFonts w:hint="eastAsia" w:ascii="仿宋" w:hAnsi="仿宋" w:eastAsia="仿宋" w:cs="仿宋"/>
          <w:b/>
          <w:bCs/>
          <w:color w:val="auto"/>
          <w:spacing w:val="-6"/>
          <w:sz w:val="18"/>
          <w:szCs w:val="18"/>
          <w:highlight w:val="none"/>
        </w:rPr>
        <w:t>2014</w:t>
      </w:r>
      <w:r>
        <w:rPr>
          <w:rFonts w:hint="eastAsia" w:ascii="仿宋" w:hAnsi="仿宋" w:eastAsia="仿宋" w:cs="仿宋"/>
          <w:b/>
          <w:bCs/>
          <w:color w:val="auto"/>
          <w:spacing w:val="-6"/>
          <w:sz w:val="18"/>
          <w:szCs w:val="18"/>
          <w:highlight w:val="none"/>
          <w:lang w:val="en-US" w:eastAsia="zh-CN"/>
        </w:rPr>
        <w:t>]</w:t>
      </w:r>
      <w:r>
        <w:rPr>
          <w:rFonts w:hint="eastAsia" w:ascii="仿宋" w:hAnsi="仿宋" w:eastAsia="仿宋" w:cs="仿宋"/>
          <w:b/>
          <w:bCs/>
          <w:color w:val="auto"/>
          <w:spacing w:val="-6"/>
          <w:sz w:val="18"/>
          <w:szCs w:val="18"/>
          <w:highlight w:val="none"/>
        </w:rPr>
        <w:t>68号）的规定，</w:t>
      </w:r>
      <w:r>
        <w:rPr>
          <w:rFonts w:hint="eastAsia" w:ascii="仿宋" w:hAnsi="仿宋" w:eastAsia="仿宋" w:cs="仿宋"/>
          <w:color w:val="auto"/>
          <w:kern w:val="0"/>
          <w:sz w:val="18"/>
          <w:szCs w:val="18"/>
          <w:highlight w:val="none"/>
        </w:rPr>
        <w:t>监狱企业参加政府采购活动时</w:t>
      </w:r>
      <w:r>
        <w:rPr>
          <w:rFonts w:hint="eastAsia" w:ascii="仿宋" w:hAnsi="仿宋" w:eastAsia="仿宋" w:cs="仿宋"/>
          <w:color w:val="auto"/>
          <w:kern w:val="0"/>
          <w:sz w:val="18"/>
          <w:szCs w:val="18"/>
          <w:highlight w:val="none"/>
          <w:lang w:eastAsia="zh-CN"/>
        </w:rPr>
        <w:t>，</w:t>
      </w:r>
      <w:r>
        <w:rPr>
          <w:rFonts w:hint="eastAsia" w:ascii="仿宋" w:hAnsi="仿宋" w:eastAsia="仿宋" w:cs="仿宋"/>
          <w:color w:val="auto"/>
          <w:kern w:val="0"/>
          <w:sz w:val="18"/>
          <w:szCs w:val="18"/>
          <w:highlight w:val="none"/>
        </w:rPr>
        <w:t>提供由省级以上监狱管理局、戒毒管理局（含新疆生产建设兵团）出具的属于监狱企业的证明文件的，在政府采购活动中视同小微企业，享受预留份额、评审中价格扣除等政府采购促进中小企业发展的政府采购政策。</w:t>
      </w:r>
    </w:p>
    <w:bookmarkEnd w:id="44"/>
    <w:p>
      <w:pPr>
        <w:keepNext w:val="0"/>
        <w:keepLines w:val="0"/>
        <w:pageBreakBefore w:val="0"/>
        <w:widowControl/>
        <w:kinsoku/>
        <w:wordWrap/>
        <w:overflowPunct/>
        <w:topLinePunct w:val="0"/>
        <w:autoSpaceDE/>
        <w:autoSpaceDN/>
        <w:bidi w:val="0"/>
        <w:adjustRightInd w:val="0"/>
        <w:snapToGrid w:val="0"/>
        <w:spacing w:line="288" w:lineRule="auto"/>
        <w:ind w:left="0" w:leftChars="0" w:right="0" w:rightChars="0" w:firstLine="0" w:firstLineChars="0"/>
        <w:jc w:val="left"/>
        <w:textAlignment w:val="auto"/>
        <w:rPr>
          <w:rFonts w:hint="eastAsia" w:ascii="仿宋" w:hAnsi="仿宋" w:eastAsia="仿宋" w:cs="仿宋"/>
          <w:color w:val="auto"/>
          <w:spacing w:val="-6"/>
          <w:sz w:val="18"/>
          <w:szCs w:val="18"/>
          <w:highlight w:val="none"/>
        </w:rPr>
        <w:sectPr>
          <w:footerReference r:id="rId5" w:type="default"/>
          <w:pgSz w:w="11906" w:h="16838"/>
          <w:pgMar w:top="1440" w:right="1247" w:bottom="1440" w:left="1247" w:header="283" w:footer="850" w:gutter="0"/>
          <w:pgBorders>
            <w:top w:val="none" w:sz="0" w:space="0"/>
            <w:left w:val="none" w:sz="0" w:space="0"/>
            <w:bottom w:val="none" w:sz="0" w:space="0"/>
            <w:right w:val="none" w:sz="0" w:space="0"/>
          </w:pgBorders>
          <w:pgNumType w:fmt="decimal" w:start="1"/>
          <w:cols w:space="0" w:num="1"/>
          <w:rtlGutter w:val="0"/>
          <w:docGrid w:linePitch="381" w:charSpace="0"/>
        </w:sectPr>
      </w:pPr>
      <w:r>
        <w:rPr>
          <w:rFonts w:hint="eastAsia" w:ascii="仿宋" w:hAnsi="仿宋" w:eastAsia="仿宋" w:cs="仿宋"/>
          <w:b/>
          <w:bCs/>
          <w:color w:val="auto"/>
          <w:spacing w:val="-6"/>
          <w:sz w:val="18"/>
          <w:szCs w:val="18"/>
          <w:highlight w:val="none"/>
        </w:rPr>
        <w:t>3.</w:t>
      </w:r>
      <w:r>
        <w:rPr>
          <w:rFonts w:hint="eastAsia" w:ascii="仿宋" w:hAnsi="仿宋" w:eastAsia="仿宋" w:cs="仿宋"/>
          <w:b/>
          <w:bCs/>
          <w:color w:val="auto"/>
          <w:spacing w:val="-6"/>
          <w:sz w:val="18"/>
          <w:szCs w:val="18"/>
          <w:highlight w:val="none"/>
          <w:lang w:val="en-US" w:eastAsia="zh-CN"/>
        </w:rPr>
        <w:t>参照</w:t>
      </w:r>
      <w:r>
        <w:rPr>
          <w:rFonts w:hint="eastAsia" w:ascii="仿宋" w:hAnsi="仿宋" w:eastAsia="仿宋" w:cs="仿宋"/>
          <w:b/>
          <w:bCs/>
          <w:color w:val="auto"/>
          <w:spacing w:val="-6"/>
          <w:sz w:val="18"/>
          <w:szCs w:val="18"/>
          <w:highlight w:val="none"/>
        </w:rPr>
        <w:t>《关于促进残疾人就业政府采购政策的通知》（财库</w:t>
      </w:r>
      <w:r>
        <w:rPr>
          <w:rFonts w:hint="eastAsia" w:ascii="仿宋" w:hAnsi="仿宋" w:eastAsia="仿宋" w:cs="仿宋"/>
          <w:b/>
          <w:bCs/>
          <w:color w:val="auto"/>
          <w:spacing w:val="-6"/>
          <w:sz w:val="18"/>
          <w:szCs w:val="18"/>
          <w:highlight w:val="none"/>
          <w:lang w:val="en-US" w:eastAsia="zh-CN"/>
        </w:rPr>
        <w:t>[</w:t>
      </w:r>
      <w:r>
        <w:rPr>
          <w:rFonts w:hint="eastAsia" w:ascii="仿宋" w:hAnsi="仿宋" w:eastAsia="仿宋" w:cs="仿宋"/>
          <w:b/>
          <w:bCs/>
          <w:color w:val="auto"/>
          <w:spacing w:val="-6"/>
          <w:sz w:val="18"/>
          <w:szCs w:val="18"/>
          <w:highlight w:val="none"/>
        </w:rPr>
        <w:t>2017</w:t>
      </w:r>
      <w:r>
        <w:rPr>
          <w:rFonts w:hint="eastAsia" w:ascii="仿宋" w:hAnsi="仿宋" w:eastAsia="仿宋" w:cs="仿宋"/>
          <w:b/>
          <w:bCs/>
          <w:color w:val="auto"/>
          <w:spacing w:val="-6"/>
          <w:sz w:val="18"/>
          <w:szCs w:val="18"/>
          <w:highlight w:val="none"/>
          <w:lang w:val="en-US" w:eastAsia="zh-CN"/>
        </w:rPr>
        <w:t>]</w:t>
      </w:r>
      <w:r>
        <w:rPr>
          <w:rFonts w:hint="eastAsia" w:ascii="仿宋" w:hAnsi="仿宋" w:eastAsia="仿宋" w:cs="仿宋"/>
          <w:b/>
          <w:bCs/>
          <w:color w:val="auto"/>
          <w:spacing w:val="-6"/>
          <w:sz w:val="18"/>
          <w:szCs w:val="18"/>
          <w:highlight w:val="none"/>
        </w:rPr>
        <w:t>141号）的规定，</w:t>
      </w:r>
      <w:r>
        <w:rPr>
          <w:rFonts w:hint="eastAsia" w:ascii="仿宋" w:hAnsi="仿宋" w:eastAsia="仿宋" w:cs="仿宋"/>
          <w:color w:val="auto"/>
          <w:sz w:val="18"/>
          <w:szCs w:val="18"/>
          <w:highlight w:val="none"/>
        </w:rPr>
        <w:t>符合条件的残疾人福利性单位在参加政府采购活动时，提供财库</w:t>
      </w:r>
      <w:r>
        <w:rPr>
          <w:rFonts w:hint="eastAsia" w:ascii="仿宋" w:hAnsi="仿宋" w:eastAsia="仿宋" w:cs="仿宋"/>
          <w:color w:val="auto"/>
          <w:sz w:val="18"/>
          <w:szCs w:val="18"/>
          <w:highlight w:val="none"/>
          <w:lang w:val="en-US" w:eastAsia="zh-CN"/>
        </w:rPr>
        <w:t>[</w:t>
      </w:r>
      <w:r>
        <w:rPr>
          <w:rFonts w:hint="eastAsia" w:ascii="仿宋" w:hAnsi="仿宋" w:eastAsia="仿宋" w:cs="仿宋"/>
          <w:color w:val="auto"/>
          <w:sz w:val="18"/>
          <w:szCs w:val="18"/>
          <w:highlight w:val="none"/>
        </w:rPr>
        <w:t>2017</w:t>
      </w:r>
      <w:r>
        <w:rPr>
          <w:rFonts w:hint="eastAsia" w:ascii="仿宋" w:hAnsi="仿宋" w:eastAsia="仿宋" w:cs="仿宋"/>
          <w:color w:val="auto"/>
          <w:sz w:val="18"/>
          <w:szCs w:val="18"/>
          <w:highlight w:val="none"/>
          <w:lang w:val="en-US" w:eastAsia="zh-CN"/>
        </w:rPr>
        <w:t>]</w:t>
      </w:r>
      <w:r>
        <w:rPr>
          <w:rFonts w:hint="eastAsia" w:ascii="仿宋" w:hAnsi="仿宋" w:eastAsia="仿宋" w:cs="仿宋"/>
          <w:color w:val="auto"/>
          <w:sz w:val="18"/>
          <w:szCs w:val="18"/>
          <w:highlight w:val="none"/>
        </w:rPr>
        <w:t>141号文件规定的《残疾人福利性单位声明函》的，</w:t>
      </w:r>
      <w:r>
        <w:rPr>
          <w:rFonts w:hint="eastAsia" w:ascii="仿宋" w:hAnsi="仿宋" w:eastAsia="仿宋" w:cs="仿宋"/>
          <w:color w:val="auto"/>
          <w:kern w:val="0"/>
          <w:sz w:val="18"/>
          <w:szCs w:val="18"/>
          <w:highlight w:val="none"/>
        </w:rPr>
        <w:t>在政府采购活动中视同小微企业</w:t>
      </w:r>
      <w:r>
        <w:rPr>
          <w:rFonts w:hint="eastAsia" w:ascii="仿宋" w:hAnsi="仿宋" w:eastAsia="仿宋" w:cs="仿宋"/>
          <w:color w:val="auto"/>
          <w:sz w:val="18"/>
          <w:szCs w:val="18"/>
          <w:highlight w:val="none"/>
        </w:rPr>
        <w:t>，享受预留份额、评审中价格扣除等</w:t>
      </w:r>
      <w:r>
        <w:rPr>
          <w:rFonts w:hint="eastAsia" w:ascii="仿宋" w:hAnsi="仿宋" w:eastAsia="仿宋" w:cs="仿宋"/>
          <w:color w:val="auto"/>
          <w:kern w:val="0"/>
          <w:sz w:val="18"/>
          <w:szCs w:val="18"/>
          <w:highlight w:val="none"/>
        </w:rPr>
        <w:t>政府采购</w:t>
      </w:r>
      <w:r>
        <w:rPr>
          <w:rFonts w:hint="eastAsia" w:ascii="仿宋" w:hAnsi="仿宋" w:eastAsia="仿宋" w:cs="仿宋"/>
          <w:color w:val="auto"/>
          <w:sz w:val="18"/>
          <w:szCs w:val="18"/>
          <w:highlight w:val="none"/>
        </w:rPr>
        <w:t>促进中小企业发展的政府采购政策</w:t>
      </w:r>
      <w:r>
        <w:rPr>
          <w:rFonts w:hint="eastAsia" w:ascii="仿宋" w:hAnsi="仿宋" w:eastAsia="仿宋" w:cs="仿宋"/>
          <w:color w:val="auto"/>
          <w:sz w:val="18"/>
          <w:szCs w:val="18"/>
          <w:highlight w:val="none"/>
          <w:lang w:eastAsia="zh-CN"/>
        </w:rPr>
        <w:t>。</w:t>
      </w:r>
      <w:r>
        <w:rPr>
          <w:rFonts w:hint="eastAsia" w:ascii="仿宋" w:hAnsi="仿宋" w:eastAsia="仿宋" w:cs="仿宋"/>
          <w:color w:val="auto"/>
          <w:spacing w:val="-6"/>
          <w:sz w:val="18"/>
          <w:szCs w:val="18"/>
          <w:highlight w:val="none"/>
        </w:rPr>
        <w:t>残疾人福利性单位属于小微企业的，不重复享受政策。</w:t>
      </w:r>
    </w:p>
    <w:p>
      <w:pPr>
        <w:keepNext w:val="0"/>
        <w:keepLines w:val="0"/>
        <w:pageBreakBefore w:val="0"/>
        <w:widowControl w:val="0"/>
        <w:kinsoku/>
        <w:wordWrap/>
        <w:overflowPunct/>
        <w:topLinePunct w:val="0"/>
        <w:autoSpaceDE/>
        <w:autoSpaceDN/>
        <w:bidi w:val="0"/>
        <w:adjustRightInd w:val="0"/>
        <w:snapToGrid w:val="0"/>
        <w:spacing w:line="288" w:lineRule="auto"/>
        <w:jc w:val="center"/>
        <w:textAlignment w:val="auto"/>
        <w:outlineLvl w:val="0"/>
        <w:rPr>
          <w:rFonts w:hint="eastAsia" w:ascii="仿宋" w:hAnsi="仿宋" w:eastAsia="仿宋" w:cs="仿宋"/>
          <w:b/>
          <w:color w:val="auto"/>
          <w:sz w:val="32"/>
          <w:szCs w:val="32"/>
          <w:highlight w:val="none"/>
        </w:rPr>
        <w:sectPr>
          <w:headerReference r:id="rId6" w:type="default"/>
          <w:footerReference r:id="rId7" w:type="default"/>
          <w:type w:val="continuous"/>
          <w:pgSz w:w="11906" w:h="16838"/>
          <w:pgMar w:top="1440" w:right="1247" w:bottom="1440" w:left="1247" w:header="283" w:footer="850" w:gutter="0"/>
          <w:pgBorders>
            <w:top w:val="none" w:sz="0" w:space="0"/>
            <w:left w:val="none" w:sz="0" w:space="0"/>
            <w:bottom w:val="none" w:sz="0" w:space="0"/>
            <w:right w:val="none" w:sz="0" w:space="0"/>
          </w:pgBorders>
          <w:pgNumType w:fmt="decimal"/>
          <w:cols w:space="0" w:num="1"/>
          <w:rtlGutter w:val="0"/>
          <w:docGrid w:type="linesAndChars" w:linePitch="290" w:charSpace="-3420"/>
        </w:sectPr>
      </w:pPr>
    </w:p>
    <w:p>
      <w:pPr>
        <w:rPr>
          <w:rFonts w:hint="eastAsia" w:ascii="仿宋" w:hAnsi="仿宋" w:eastAsia="仿宋" w:cs="仿宋"/>
          <w:b/>
          <w:color w:val="auto"/>
          <w:sz w:val="32"/>
          <w:szCs w:val="32"/>
          <w:highlight w:val="none"/>
        </w:rPr>
      </w:pPr>
      <w:r>
        <w:rPr>
          <w:rFonts w:hint="eastAsia" w:ascii="仿宋" w:hAnsi="仿宋" w:eastAsia="仿宋" w:cs="仿宋"/>
          <w:b/>
          <w:color w:val="auto"/>
          <w:sz w:val="32"/>
          <w:szCs w:val="32"/>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jc w:val="center"/>
        <w:textAlignment w:val="auto"/>
        <w:outlineLvl w:val="0"/>
        <w:rPr>
          <w:rFonts w:hint="eastAsia" w:ascii="仿宋" w:hAnsi="仿宋" w:eastAsia="仿宋" w:cs="仿宋"/>
          <w:color w:val="auto"/>
          <w:kern w:val="0"/>
          <w:sz w:val="24"/>
          <w:szCs w:val="24"/>
          <w:highlight w:val="none"/>
        </w:rPr>
      </w:pPr>
      <w:r>
        <w:rPr>
          <w:rFonts w:hint="eastAsia" w:ascii="仿宋" w:hAnsi="仿宋" w:eastAsia="仿宋" w:cs="仿宋"/>
          <w:b/>
          <w:color w:val="auto"/>
          <w:sz w:val="32"/>
          <w:szCs w:val="32"/>
          <w:highlight w:val="none"/>
        </w:rPr>
        <w:t>第五章  拟签订的合同文本</w:t>
      </w:r>
    </w:p>
    <w:p>
      <w:pPr>
        <w:keepNext w:val="0"/>
        <w:keepLines w:val="0"/>
        <w:pageBreakBefore w:val="0"/>
        <w:widowControl w:val="0"/>
        <w:kinsoku/>
        <w:wordWrap/>
        <w:overflowPunct/>
        <w:topLinePunct w:val="0"/>
        <w:autoSpaceDE/>
        <w:autoSpaceDN/>
        <w:bidi w:val="0"/>
        <w:adjustRightInd/>
        <w:snapToGrid/>
        <w:spacing w:line="288" w:lineRule="auto"/>
        <w:ind w:firstLine="5820" w:firstLineChars="3000"/>
        <w:jc w:val="both"/>
        <w:textAlignment w:val="auto"/>
        <w:outlineLvl w:val="9"/>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合同编号：</w:t>
      </w:r>
    </w:p>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0" w:firstLineChars="0"/>
        <w:jc w:val="center"/>
        <w:textAlignment w:val="auto"/>
        <w:outlineLvl w:val="1"/>
        <w:rPr>
          <w:rFonts w:hint="eastAsia" w:ascii="仿宋" w:hAnsi="仿宋" w:eastAsia="仿宋" w:cs="仿宋"/>
          <w:b/>
          <w:bCs w:val="0"/>
          <w:color w:val="auto"/>
          <w:sz w:val="24"/>
          <w:szCs w:val="24"/>
          <w:highlight w:val="none"/>
        </w:rPr>
      </w:pPr>
      <w:r>
        <w:rPr>
          <w:rFonts w:hint="eastAsia" w:ascii="仿宋" w:hAnsi="仿宋" w:eastAsia="仿宋" w:cs="仿宋"/>
          <w:b/>
          <w:bCs w:val="0"/>
          <w:color w:val="auto"/>
          <w:sz w:val="24"/>
          <w:szCs w:val="24"/>
          <w:highlight w:val="none"/>
        </w:rPr>
        <w:t>集中采购合同</w:t>
      </w:r>
    </w:p>
    <w:p>
      <w:pPr>
        <w:keepNext w:val="0"/>
        <w:keepLines w:val="0"/>
        <w:pageBreakBefore w:val="0"/>
        <w:widowControl w:val="0"/>
        <w:kinsoku/>
        <w:wordWrap/>
        <w:overflowPunct/>
        <w:topLinePunct w:val="0"/>
        <w:autoSpaceDE/>
        <w:autoSpaceDN/>
        <w:bidi w:val="0"/>
        <w:adjustRightInd/>
        <w:snapToGrid/>
        <w:spacing w:line="288" w:lineRule="auto"/>
        <w:ind w:left="0" w:leftChars="0" w:right="0" w:rightChars="0" w:firstLine="0" w:firstLineChars="0"/>
        <w:jc w:val="center"/>
        <w:textAlignment w:val="auto"/>
        <w:outlineLvl w:val="9"/>
        <w:rPr>
          <w:rFonts w:hint="eastAsia" w:ascii="仿宋" w:hAnsi="仿宋" w:eastAsia="仿宋" w:cs="仿宋"/>
          <w:color w:val="auto"/>
          <w:spacing w:val="-6"/>
          <w:sz w:val="18"/>
          <w:szCs w:val="18"/>
          <w:highlight w:val="none"/>
        </w:rPr>
      </w:pPr>
      <w:r>
        <w:rPr>
          <w:rFonts w:hint="eastAsia" w:ascii="仿宋" w:hAnsi="仿宋" w:eastAsia="仿宋" w:cs="仿宋"/>
          <w:color w:val="auto"/>
          <w:spacing w:val="-6"/>
          <w:sz w:val="18"/>
          <w:szCs w:val="18"/>
          <w:highlight w:val="none"/>
        </w:rPr>
        <w:t>（本合同为合同样稿，最终稿由</w:t>
      </w:r>
      <w:r>
        <w:rPr>
          <w:rFonts w:hint="eastAsia" w:ascii="仿宋" w:hAnsi="仿宋" w:eastAsia="仿宋" w:cs="仿宋"/>
          <w:color w:val="auto"/>
          <w:spacing w:val="-6"/>
          <w:sz w:val="18"/>
          <w:szCs w:val="18"/>
          <w:highlight w:val="none"/>
          <w:lang w:val="en-US" w:eastAsia="zh-CN"/>
        </w:rPr>
        <w:t>双</w:t>
      </w:r>
      <w:r>
        <w:rPr>
          <w:rFonts w:hint="eastAsia" w:ascii="仿宋" w:hAnsi="仿宋" w:eastAsia="仿宋" w:cs="仿宋"/>
          <w:color w:val="auto"/>
          <w:spacing w:val="-6"/>
          <w:sz w:val="18"/>
          <w:szCs w:val="18"/>
          <w:highlight w:val="none"/>
        </w:rPr>
        <w:t>方协商后确定，合同实质性内容不得更改；签订合同时删除此行）</w:t>
      </w:r>
    </w:p>
    <w:p>
      <w:pPr>
        <w:keepNext w:val="0"/>
        <w:keepLines w:val="0"/>
        <w:pageBreakBefore w:val="0"/>
        <w:widowControl w:val="0"/>
        <w:kinsoku/>
        <w:wordWrap/>
        <w:overflowPunct/>
        <w:topLinePunct w:val="0"/>
        <w:autoSpaceDE/>
        <w:autoSpaceDN/>
        <w:bidi w:val="0"/>
        <w:snapToGrid w:val="0"/>
        <w:spacing w:line="288" w:lineRule="auto"/>
        <w:textAlignment w:val="auto"/>
        <w:rPr>
          <w:rFonts w:hint="eastAsia" w:ascii="仿宋" w:hAnsi="仿宋" w:eastAsia="仿宋" w:cs="仿宋"/>
          <w:b/>
          <w:color w:val="auto"/>
          <w:sz w:val="21"/>
          <w:szCs w:val="21"/>
          <w:highlight w:val="none"/>
          <w:u w:val="single"/>
          <w:lang w:eastAsia="zh-CN"/>
        </w:rPr>
      </w:pPr>
      <w:r>
        <w:rPr>
          <w:rFonts w:hint="eastAsia" w:ascii="仿宋" w:hAnsi="仿宋" w:eastAsia="仿宋" w:cs="仿宋"/>
          <w:b/>
          <w:color w:val="auto"/>
          <w:sz w:val="21"/>
          <w:szCs w:val="21"/>
          <w:highlight w:val="none"/>
        </w:rPr>
        <w:t>项目编号：</w:t>
      </w:r>
      <w:r>
        <w:rPr>
          <w:rFonts w:hint="eastAsia" w:ascii="仿宋" w:hAnsi="仿宋" w:eastAsia="仿宋" w:cs="仿宋"/>
          <w:b/>
          <w:color w:val="auto"/>
          <w:sz w:val="21"/>
          <w:szCs w:val="21"/>
          <w:highlight w:val="none"/>
          <w:lang w:eastAsia="zh-CN"/>
        </w:rPr>
        <w:t>ZJLAB-JZ-GK2023032</w:t>
      </w:r>
    </w:p>
    <w:p>
      <w:pPr>
        <w:keepNext w:val="0"/>
        <w:keepLines w:val="0"/>
        <w:pageBreakBefore w:val="0"/>
        <w:widowControl w:val="0"/>
        <w:kinsoku/>
        <w:wordWrap/>
        <w:overflowPunct/>
        <w:topLinePunct w:val="0"/>
        <w:autoSpaceDE/>
        <w:autoSpaceDN/>
        <w:bidi w:val="0"/>
        <w:snapToGrid w:val="0"/>
        <w:spacing w:line="288" w:lineRule="auto"/>
        <w:textAlignment w:val="auto"/>
        <w:rPr>
          <w:rFonts w:hint="eastAsia" w:ascii="仿宋" w:hAnsi="仿宋" w:eastAsia="仿宋" w:cs="仿宋"/>
          <w:b/>
          <w:color w:val="auto"/>
          <w:sz w:val="21"/>
          <w:szCs w:val="21"/>
          <w:highlight w:val="none"/>
          <w:u w:val="none"/>
        </w:rPr>
      </w:pPr>
      <w:r>
        <w:rPr>
          <w:rFonts w:hint="eastAsia" w:ascii="仿宋" w:hAnsi="仿宋" w:eastAsia="仿宋" w:cs="仿宋"/>
          <w:b/>
          <w:color w:val="auto"/>
          <w:sz w:val="21"/>
          <w:szCs w:val="21"/>
          <w:highlight w:val="none"/>
          <w:u w:val="none"/>
        </w:rPr>
        <w:t>甲方：之江实验室</w:t>
      </w:r>
    </w:p>
    <w:p>
      <w:pPr>
        <w:keepNext w:val="0"/>
        <w:keepLines w:val="0"/>
        <w:pageBreakBefore w:val="0"/>
        <w:widowControl w:val="0"/>
        <w:kinsoku/>
        <w:wordWrap/>
        <w:overflowPunct/>
        <w:topLinePunct w:val="0"/>
        <w:autoSpaceDE/>
        <w:autoSpaceDN/>
        <w:bidi w:val="0"/>
        <w:snapToGrid w:val="0"/>
        <w:spacing w:line="288" w:lineRule="auto"/>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乙方：</w:t>
      </w:r>
    </w:p>
    <w:p>
      <w:pPr>
        <w:keepNext w:val="0"/>
        <w:keepLines w:val="0"/>
        <w:pageBreakBefore w:val="0"/>
        <w:widowControl w:val="0"/>
        <w:kinsoku/>
        <w:wordWrap/>
        <w:overflowPunct/>
        <w:topLinePunct w:val="0"/>
        <w:autoSpaceDE/>
        <w:autoSpaceDN/>
        <w:bidi w:val="0"/>
        <w:snapToGrid w:val="0"/>
        <w:spacing w:line="288" w:lineRule="auto"/>
        <w:textAlignment w:val="auto"/>
        <w:rPr>
          <w:rFonts w:hint="eastAsia" w:ascii="仿宋" w:hAnsi="仿宋" w:eastAsia="仿宋" w:cs="仿宋"/>
          <w:b/>
          <w:bCs/>
          <w:color w:val="auto"/>
          <w:spacing w:val="-6"/>
          <w:sz w:val="21"/>
          <w:szCs w:val="21"/>
          <w:highlight w:val="none"/>
        </w:rPr>
      </w:pPr>
      <w:r>
        <w:rPr>
          <w:rFonts w:hint="eastAsia" w:ascii="仿宋" w:hAnsi="仿宋" w:eastAsia="仿宋" w:cs="仿宋"/>
          <w:b/>
          <w:color w:val="auto"/>
          <w:sz w:val="21"/>
          <w:szCs w:val="21"/>
          <w:highlight w:val="none"/>
        </w:rPr>
        <w:t>采购代理机构（鉴证方）：</w:t>
      </w:r>
      <w:r>
        <w:rPr>
          <w:rFonts w:hint="eastAsia" w:ascii="仿宋" w:hAnsi="仿宋" w:eastAsia="仿宋" w:cs="仿宋"/>
          <w:b/>
          <w:bCs/>
          <w:color w:val="auto"/>
          <w:spacing w:val="-6"/>
          <w:sz w:val="21"/>
          <w:szCs w:val="21"/>
          <w:highlight w:val="none"/>
        </w:rPr>
        <w:t>浙江求是招标代理有限公司</w:t>
      </w:r>
    </w:p>
    <w:p>
      <w:pPr>
        <w:keepNext w:val="0"/>
        <w:keepLines w:val="0"/>
        <w:pageBreakBefore w:val="0"/>
        <w:widowControl w:val="0"/>
        <w:kinsoku/>
        <w:wordWrap/>
        <w:overflowPunct/>
        <w:topLinePunct w:val="0"/>
        <w:autoSpaceDE/>
        <w:autoSpaceDN/>
        <w:bidi w:val="0"/>
        <w:adjustRightInd/>
        <w:snapToGrid w:val="0"/>
        <w:spacing w:line="288" w:lineRule="auto"/>
        <w:ind w:firstLine="388" w:firstLineChars="200"/>
        <w:textAlignment w:val="auto"/>
        <w:rPr>
          <w:rFonts w:hint="eastAsia" w:ascii="仿宋" w:hAnsi="仿宋" w:eastAsia="仿宋" w:cs="仿宋"/>
          <w:color w:val="auto"/>
          <w:sz w:val="21"/>
          <w:szCs w:val="21"/>
          <w:highlight w:val="none"/>
          <w:u w:val="single"/>
        </w:rPr>
      </w:pPr>
      <w:r>
        <w:rPr>
          <w:rFonts w:hint="eastAsia" w:ascii="仿宋" w:hAnsi="仿宋" w:eastAsia="仿宋" w:cs="仿宋"/>
          <w:color w:val="auto"/>
          <w:sz w:val="21"/>
          <w:szCs w:val="21"/>
          <w:highlight w:val="none"/>
        </w:rPr>
        <w:t>为保护甲、乙双方的合法权益，根据《中华人民共和国民法典》等相关法律法规，之江实验室特委托浙江求</w:t>
      </w:r>
      <w:r>
        <w:rPr>
          <w:rFonts w:hint="eastAsia" w:ascii="仿宋" w:hAnsi="仿宋" w:eastAsia="仿宋" w:cs="仿宋"/>
          <w:color w:val="auto"/>
          <w:sz w:val="21"/>
          <w:szCs w:val="21"/>
          <w:highlight w:val="none"/>
          <w:u w:val="none"/>
        </w:rPr>
        <w:t>是招标代理有限公司经</w:t>
      </w:r>
      <w:r>
        <w:rPr>
          <w:rFonts w:hint="eastAsia" w:ascii="仿宋" w:hAnsi="仿宋" w:eastAsia="仿宋" w:cs="仿宋"/>
          <w:color w:val="auto"/>
          <w:sz w:val="21"/>
          <w:szCs w:val="21"/>
          <w:highlight w:val="none"/>
          <w:u w:val="none"/>
          <w:lang w:val="en-US" w:eastAsia="zh-CN"/>
        </w:rPr>
        <w:t>公开招标</w:t>
      </w:r>
      <w:r>
        <w:rPr>
          <w:rFonts w:hint="eastAsia" w:ascii="仿宋" w:hAnsi="仿宋" w:eastAsia="仿宋" w:cs="仿宋"/>
          <w:color w:val="auto"/>
          <w:sz w:val="21"/>
          <w:szCs w:val="21"/>
          <w:highlight w:val="none"/>
          <w:u w:val="none"/>
        </w:rPr>
        <w:t>确定</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（乙方名称）为</w:t>
      </w:r>
      <w:r>
        <w:rPr>
          <w:rFonts w:hint="eastAsia" w:ascii="仿宋" w:hAnsi="仿宋" w:eastAsia="仿宋" w:cs="仿宋"/>
          <w:color w:val="auto"/>
          <w:sz w:val="21"/>
          <w:szCs w:val="21"/>
          <w:highlight w:val="none"/>
          <w:u w:val="none"/>
          <w:lang w:eastAsia="zh-CN"/>
        </w:rPr>
        <w:t>智能感知研究院等科研单位实验室家具</w:t>
      </w:r>
      <w:r>
        <w:rPr>
          <w:rFonts w:hint="eastAsia" w:ascii="仿宋" w:hAnsi="仿宋" w:eastAsia="仿宋" w:cs="仿宋"/>
          <w:color w:val="auto"/>
          <w:sz w:val="21"/>
          <w:szCs w:val="21"/>
          <w:highlight w:val="none"/>
          <w:u w:val="none"/>
          <w:lang w:val="en-US" w:eastAsia="zh-CN"/>
        </w:rPr>
        <w:t>标项【   】</w:t>
      </w:r>
      <w:r>
        <w:rPr>
          <w:rFonts w:hint="eastAsia" w:ascii="仿宋" w:hAnsi="仿宋" w:eastAsia="仿宋" w:cs="仿宋"/>
          <w:color w:val="auto"/>
          <w:sz w:val="21"/>
          <w:szCs w:val="21"/>
          <w:highlight w:val="none"/>
          <w:u w:val="none"/>
        </w:rPr>
        <w:t>的</w:t>
      </w:r>
      <w:r>
        <w:rPr>
          <w:rFonts w:hint="eastAsia" w:ascii="仿宋" w:hAnsi="仿宋" w:eastAsia="仿宋" w:cs="仿宋"/>
          <w:color w:val="auto"/>
          <w:sz w:val="21"/>
          <w:szCs w:val="21"/>
          <w:highlight w:val="none"/>
          <w:u w:val="none"/>
          <w:lang w:val="en-US" w:eastAsia="zh-CN"/>
        </w:rPr>
        <w:t>中标</w:t>
      </w:r>
      <w:r>
        <w:rPr>
          <w:rFonts w:hint="eastAsia" w:ascii="仿宋" w:hAnsi="仿宋" w:eastAsia="仿宋" w:cs="仿宋"/>
          <w:color w:val="auto"/>
          <w:sz w:val="21"/>
          <w:szCs w:val="21"/>
          <w:highlight w:val="none"/>
          <w:u w:val="none"/>
          <w:lang w:eastAsia="zh-Hans"/>
        </w:rPr>
        <w:t>供应商</w:t>
      </w:r>
      <w:r>
        <w:rPr>
          <w:rFonts w:hint="eastAsia" w:ascii="仿宋" w:hAnsi="仿宋" w:eastAsia="仿宋" w:cs="仿宋"/>
          <w:color w:val="auto"/>
          <w:sz w:val="21"/>
          <w:szCs w:val="21"/>
          <w:highlight w:val="none"/>
          <w:u w:val="none"/>
        </w:rPr>
        <w:t>。经甲、乙双方协商达成以下条款：</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第一条 采购标的、价格</w:t>
      </w:r>
    </w:p>
    <w:tbl>
      <w:tblPr>
        <w:tblStyle w:val="36"/>
        <w:tblW w:w="9359" w:type="dxa"/>
        <w:tblInd w:w="0" w:type="dxa"/>
        <w:tblLayout w:type="fixed"/>
        <w:tblCellMar>
          <w:top w:w="0" w:type="dxa"/>
          <w:left w:w="0" w:type="dxa"/>
          <w:bottom w:w="0" w:type="dxa"/>
          <w:right w:w="0" w:type="dxa"/>
        </w:tblCellMar>
      </w:tblPr>
      <w:tblGrid>
        <w:gridCol w:w="567"/>
        <w:gridCol w:w="1185"/>
        <w:gridCol w:w="1192"/>
        <w:gridCol w:w="2791"/>
        <w:gridCol w:w="902"/>
        <w:gridCol w:w="902"/>
        <w:gridCol w:w="902"/>
        <w:gridCol w:w="918"/>
      </w:tblGrid>
      <w:tr>
        <w:tblPrEx>
          <w:tblLayout w:type="fixed"/>
          <w:tblCellMar>
            <w:top w:w="0" w:type="dxa"/>
            <w:left w:w="0" w:type="dxa"/>
            <w:bottom w:w="0" w:type="dxa"/>
            <w:right w:w="0" w:type="dxa"/>
          </w:tblCellMar>
        </w:tblPrEx>
        <w:trPr>
          <w:trHeight w:val="340" w:hRule="atLeast"/>
        </w:trPr>
        <w:tc>
          <w:tcPr>
            <w:tcW w:w="567"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序号</w:t>
            </w:r>
          </w:p>
        </w:tc>
        <w:tc>
          <w:tcPr>
            <w:tcW w:w="1185"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货物名称</w:t>
            </w:r>
          </w:p>
        </w:tc>
        <w:tc>
          <w:tcPr>
            <w:tcW w:w="1192" w:type="dxa"/>
            <w:tcBorders>
              <w:top w:val="single" w:color="000000" w:sz="6" w:space="0"/>
              <w:left w:val="single" w:color="000000" w:sz="6" w:space="0"/>
              <w:bottom w:val="single" w:color="000000" w:sz="6" w:space="0"/>
              <w:right w:val="single" w:color="auto" w:sz="4"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品牌、型号</w:t>
            </w:r>
          </w:p>
        </w:tc>
        <w:tc>
          <w:tcPr>
            <w:tcW w:w="2791" w:type="dxa"/>
            <w:tcBorders>
              <w:top w:val="single" w:color="000000" w:sz="6" w:space="0"/>
              <w:left w:val="single" w:color="auto" w:sz="4" w:space="0"/>
              <w:bottom w:val="single" w:color="000000" w:sz="6" w:space="0"/>
              <w:right w:val="single" w:color="000000" w:sz="2" w:space="0"/>
            </w:tcBorders>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技术参数和要求</w:t>
            </w:r>
          </w:p>
        </w:tc>
        <w:tc>
          <w:tcPr>
            <w:tcW w:w="902" w:type="dxa"/>
            <w:tcBorders>
              <w:top w:val="single" w:color="000000" w:sz="6" w:space="0"/>
              <w:left w:val="single" w:color="000000" w:sz="2" w:space="0"/>
              <w:bottom w:val="single" w:color="000000" w:sz="6" w:space="0"/>
              <w:right w:val="single" w:color="auto" w:sz="4" w:space="0"/>
            </w:tcBorders>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数量</w:t>
            </w:r>
          </w:p>
        </w:tc>
        <w:tc>
          <w:tcPr>
            <w:tcW w:w="902" w:type="dxa"/>
            <w:tcBorders>
              <w:top w:val="single" w:color="000000" w:sz="6" w:space="0"/>
              <w:left w:val="single" w:color="auto" w:sz="4"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单位</w:t>
            </w:r>
          </w:p>
        </w:tc>
        <w:tc>
          <w:tcPr>
            <w:tcW w:w="902"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单价</w:t>
            </w:r>
          </w:p>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（元）</w:t>
            </w:r>
          </w:p>
        </w:tc>
        <w:tc>
          <w:tcPr>
            <w:tcW w:w="918" w:type="dxa"/>
            <w:tcBorders>
              <w:top w:val="single" w:color="000000" w:sz="6" w:space="0"/>
              <w:left w:val="single" w:color="000000" w:sz="6"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合价</w:t>
            </w:r>
          </w:p>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（元）</w:t>
            </w:r>
          </w:p>
        </w:tc>
      </w:tr>
      <w:tr>
        <w:tblPrEx>
          <w:tblLayout w:type="fixed"/>
          <w:tblCellMar>
            <w:top w:w="0" w:type="dxa"/>
            <w:left w:w="0" w:type="dxa"/>
            <w:bottom w:w="0" w:type="dxa"/>
            <w:right w:w="0" w:type="dxa"/>
          </w:tblCellMar>
        </w:tblPrEx>
        <w:trPr>
          <w:trHeight w:val="340" w:hRule="atLeast"/>
        </w:trPr>
        <w:tc>
          <w:tcPr>
            <w:tcW w:w="567"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1</w:t>
            </w:r>
          </w:p>
        </w:tc>
        <w:tc>
          <w:tcPr>
            <w:tcW w:w="1185"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1192" w:type="dxa"/>
            <w:tcBorders>
              <w:top w:val="single" w:color="000000" w:sz="6" w:space="0"/>
              <w:left w:val="single" w:color="000000" w:sz="6" w:space="0"/>
              <w:bottom w:val="single" w:color="000000" w:sz="6" w:space="0"/>
              <w:right w:val="single" w:color="auto" w:sz="4"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2791" w:type="dxa"/>
            <w:tcBorders>
              <w:top w:val="single" w:color="000000" w:sz="6" w:space="0"/>
              <w:left w:val="single" w:color="auto" w:sz="4" w:space="0"/>
              <w:bottom w:val="single" w:color="000000" w:sz="6" w:space="0"/>
              <w:right w:val="single" w:color="000000" w:sz="2" w:space="0"/>
            </w:tcBorders>
            <w:vAlign w:val="center"/>
          </w:tcPr>
          <w:p>
            <w:pPr>
              <w:ind w:left="0" w:leftChars="0" w:right="0" w:rightChars="0" w:firstLine="0" w:firstLineChars="0"/>
              <w:jc w:val="center"/>
              <w:rPr>
                <w:rFonts w:hint="default" w:ascii="仿宋" w:hAnsi="仿宋" w:eastAsia="仿宋" w:cs="仿宋"/>
                <w:color w:val="auto"/>
                <w:highlight w:val="none"/>
                <w:lang w:val="en-US" w:eastAsia="zh-CN"/>
              </w:rPr>
            </w:pPr>
            <w:r>
              <w:rPr>
                <w:rFonts w:hint="eastAsia" w:ascii="仿宋" w:hAnsi="仿宋" w:eastAsia="仿宋" w:cs="仿宋"/>
                <w:color w:val="auto"/>
                <w:highlight w:val="none"/>
                <w:lang w:eastAsia="zh-Hans"/>
              </w:rPr>
              <w:t>详见项目</w:t>
            </w:r>
            <w:r>
              <w:rPr>
                <w:rFonts w:hint="eastAsia" w:ascii="仿宋" w:hAnsi="仿宋" w:eastAsia="仿宋" w:cs="仿宋"/>
                <w:color w:val="auto"/>
                <w:highlight w:val="none"/>
                <w:lang w:val="en-US" w:eastAsia="zh-CN"/>
              </w:rPr>
              <w:t>招投标文件</w:t>
            </w:r>
          </w:p>
        </w:tc>
        <w:tc>
          <w:tcPr>
            <w:tcW w:w="902" w:type="dxa"/>
            <w:tcBorders>
              <w:top w:val="single" w:color="000000" w:sz="6" w:space="0"/>
              <w:left w:val="single" w:color="000000" w:sz="2" w:space="0"/>
              <w:bottom w:val="single" w:color="000000" w:sz="6" w:space="0"/>
              <w:right w:val="single" w:color="auto" w:sz="4"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auto" w:sz="4"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918" w:type="dxa"/>
            <w:tcBorders>
              <w:top w:val="single" w:color="000000" w:sz="6" w:space="0"/>
              <w:left w:val="single" w:color="000000" w:sz="6"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r>
      <w:tr>
        <w:tblPrEx>
          <w:tblLayout w:type="fixed"/>
          <w:tblCellMar>
            <w:top w:w="0" w:type="dxa"/>
            <w:left w:w="0" w:type="dxa"/>
            <w:bottom w:w="0" w:type="dxa"/>
            <w:right w:w="0" w:type="dxa"/>
          </w:tblCellMar>
        </w:tblPrEx>
        <w:trPr>
          <w:trHeight w:val="340" w:hRule="atLeast"/>
        </w:trPr>
        <w:tc>
          <w:tcPr>
            <w:tcW w:w="567"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2</w:t>
            </w:r>
          </w:p>
        </w:tc>
        <w:tc>
          <w:tcPr>
            <w:tcW w:w="1185"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1192" w:type="dxa"/>
            <w:tcBorders>
              <w:top w:val="single" w:color="000000" w:sz="6" w:space="0"/>
              <w:left w:val="single" w:color="000000" w:sz="6" w:space="0"/>
              <w:bottom w:val="single" w:color="000000" w:sz="6" w:space="0"/>
              <w:right w:val="single" w:color="auto" w:sz="4"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2791" w:type="dxa"/>
            <w:tcBorders>
              <w:top w:val="single" w:color="000000" w:sz="6" w:space="0"/>
              <w:left w:val="single" w:color="auto" w:sz="4" w:space="0"/>
              <w:bottom w:val="single" w:color="000000" w:sz="6" w:space="0"/>
              <w:right w:val="single" w:color="000000" w:sz="2"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000000" w:sz="2" w:space="0"/>
              <w:bottom w:val="single" w:color="000000" w:sz="6" w:space="0"/>
              <w:right w:val="single" w:color="auto" w:sz="4"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auto" w:sz="4"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918" w:type="dxa"/>
            <w:tcBorders>
              <w:top w:val="single" w:color="000000" w:sz="6" w:space="0"/>
              <w:left w:val="single" w:color="000000" w:sz="6"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r>
      <w:tr>
        <w:tblPrEx>
          <w:tblLayout w:type="fixed"/>
          <w:tblCellMar>
            <w:top w:w="0" w:type="dxa"/>
            <w:left w:w="0" w:type="dxa"/>
            <w:bottom w:w="0" w:type="dxa"/>
            <w:right w:w="0" w:type="dxa"/>
          </w:tblCellMar>
        </w:tblPrEx>
        <w:trPr>
          <w:trHeight w:val="340" w:hRule="atLeast"/>
        </w:trPr>
        <w:tc>
          <w:tcPr>
            <w:tcW w:w="567"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3</w:t>
            </w:r>
          </w:p>
        </w:tc>
        <w:tc>
          <w:tcPr>
            <w:tcW w:w="1185"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1192" w:type="dxa"/>
            <w:tcBorders>
              <w:top w:val="single" w:color="000000" w:sz="6" w:space="0"/>
              <w:left w:val="single" w:color="000000" w:sz="6" w:space="0"/>
              <w:bottom w:val="single" w:color="000000" w:sz="6" w:space="0"/>
              <w:right w:val="single" w:color="auto" w:sz="4"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2791" w:type="dxa"/>
            <w:tcBorders>
              <w:top w:val="single" w:color="000000" w:sz="6" w:space="0"/>
              <w:left w:val="single" w:color="auto" w:sz="4" w:space="0"/>
              <w:bottom w:val="single" w:color="000000" w:sz="6" w:space="0"/>
              <w:right w:val="single" w:color="000000" w:sz="2"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000000" w:sz="2" w:space="0"/>
              <w:bottom w:val="single" w:color="000000" w:sz="6" w:space="0"/>
              <w:right w:val="single" w:color="auto" w:sz="4"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auto" w:sz="4"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918" w:type="dxa"/>
            <w:tcBorders>
              <w:top w:val="single" w:color="000000" w:sz="6" w:space="0"/>
              <w:left w:val="single" w:color="000000" w:sz="6"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r>
      <w:tr>
        <w:tblPrEx>
          <w:tblLayout w:type="fixed"/>
          <w:tblCellMar>
            <w:top w:w="0" w:type="dxa"/>
            <w:left w:w="0" w:type="dxa"/>
            <w:bottom w:w="0" w:type="dxa"/>
            <w:right w:w="0" w:type="dxa"/>
          </w:tblCellMar>
        </w:tblPrEx>
        <w:trPr>
          <w:trHeight w:val="340" w:hRule="atLeast"/>
        </w:trPr>
        <w:tc>
          <w:tcPr>
            <w:tcW w:w="567"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r>
              <w:rPr>
                <w:rFonts w:hint="eastAsia" w:ascii="仿宋" w:hAnsi="仿宋" w:eastAsia="仿宋" w:cs="仿宋"/>
                <w:color w:val="auto"/>
                <w:highlight w:val="none"/>
              </w:rPr>
              <w:t>...</w:t>
            </w:r>
          </w:p>
        </w:tc>
        <w:tc>
          <w:tcPr>
            <w:tcW w:w="1185"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1192" w:type="dxa"/>
            <w:tcBorders>
              <w:top w:val="single" w:color="000000" w:sz="6" w:space="0"/>
              <w:left w:val="single" w:color="000000" w:sz="6" w:space="0"/>
              <w:bottom w:val="single" w:color="000000" w:sz="6" w:space="0"/>
              <w:right w:val="single" w:color="auto" w:sz="4"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2791" w:type="dxa"/>
            <w:tcBorders>
              <w:top w:val="single" w:color="000000" w:sz="6" w:space="0"/>
              <w:left w:val="single" w:color="auto" w:sz="4" w:space="0"/>
              <w:bottom w:val="single" w:color="000000" w:sz="6" w:space="0"/>
              <w:right w:val="single" w:color="000000" w:sz="2"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000000" w:sz="2" w:space="0"/>
              <w:bottom w:val="single" w:color="000000" w:sz="6" w:space="0"/>
              <w:right w:val="single" w:color="auto" w:sz="4"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auto" w:sz="4"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c>
          <w:tcPr>
            <w:tcW w:w="902"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ind w:left="0" w:leftChars="0" w:right="0" w:rightChars="0" w:firstLine="0" w:firstLineChars="0"/>
              <w:jc w:val="center"/>
              <w:rPr>
                <w:rFonts w:hint="eastAsia" w:ascii="仿宋" w:hAnsi="仿宋" w:eastAsia="仿宋" w:cs="仿宋"/>
                <w:color w:val="auto"/>
                <w:highlight w:val="none"/>
              </w:rPr>
            </w:pPr>
          </w:p>
        </w:tc>
        <w:tc>
          <w:tcPr>
            <w:tcW w:w="918" w:type="dxa"/>
            <w:tcBorders>
              <w:top w:val="single" w:color="000000" w:sz="6" w:space="0"/>
              <w:left w:val="single" w:color="000000" w:sz="6" w:space="0"/>
              <w:bottom w:val="single" w:color="000000" w:sz="6" w:space="0"/>
              <w:right w:val="single" w:color="000000" w:sz="6" w:space="0"/>
            </w:tcBorders>
            <w:vAlign w:val="center"/>
          </w:tcPr>
          <w:p>
            <w:pPr>
              <w:ind w:left="0" w:leftChars="0" w:right="0" w:rightChars="0" w:firstLine="0" w:firstLineChars="0"/>
              <w:jc w:val="center"/>
              <w:rPr>
                <w:rFonts w:hint="eastAsia" w:ascii="仿宋" w:hAnsi="仿宋" w:eastAsia="仿宋" w:cs="仿宋"/>
                <w:color w:val="auto"/>
                <w:highlight w:val="none"/>
              </w:rPr>
            </w:pPr>
          </w:p>
        </w:tc>
      </w:tr>
      <w:tr>
        <w:tblPrEx>
          <w:tblLayout w:type="fixed"/>
          <w:tblCellMar>
            <w:top w:w="0" w:type="dxa"/>
            <w:left w:w="0" w:type="dxa"/>
            <w:bottom w:w="0" w:type="dxa"/>
            <w:right w:w="0" w:type="dxa"/>
          </w:tblCellMar>
        </w:tblPrEx>
        <w:trPr>
          <w:trHeight w:val="340" w:hRule="atLeast"/>
        </w:trPr>
        <w:tc>
          <w:tcPr>
            <w:tcW w:w="9359" w:type="dxa"/>
            <w:gridSpan w:val="8"/>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rPr>
                <w:rFonts w:hint="eastAsia" w:ascii="仿宋" w:hAnsi="仿宋" w:eastAsia="仿宋" w:cs="仿宋"/>
                <w:color w:val="auto"/>
                <w:highlight w:val="none"/>
              </w:rPr>
            </w:pPr>
            <w:r>
              <w:rPr>
                <w:rFonts w:hint="eastAsia" w:ascii="仿宋" w:hAnsi="仿宋" w:eastAsia="仿宋" w:cs="仿宋"/>
                <w:b/>
                <w:bCs/>
                <w:color w:val="auto"/>
                <w:highlight w:val="none"/>
              </w:rPr>
              <w:t>合同总价</w:t>
            </w:r>
            <w:r>
              <w:rPr>
                <w:rFonts w:hint="eastAsia" w:ascii="仿宋" w:hAnsi="仿宋" w:eastAsia="仿宋" w:cs="仿宋"/>
                <w:color w:val="auto"/>
                <w:highlight w:val="none"/>
              </w:rPr>
              <w:t>（含税）：</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highlight w:val="none"/>
              </w:rPr>
              <w:t>（小写）</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highlight w:val="none"/>
              </w:rPr>
              <w:t>（大写）</w:t>
            </w:r>
          </w:p>
        </w:tc>
      </w:tr>
    </w:tbl>
    <w:p>
      <w:pPr>
        <w:keepNext w:val="0"/>
        <w:keepLines w:val="0"/>
        <w:pageBreakBefore w:val="0"/>
        <w:widowControl w:val="0"/>
        <w:kinsoku/>
        <w:wordWrap/>
        <w:overflowPunct/>
        <w:topLinePunct w:val="0"/>
        <w:autoSpaceDE/>
        <w:autoSpaceDN/>
        <w:bidi w:val="0"/>
        <w:adjustRightInd w:val="0"/>
        <w:snapToGrid w:val="0"/>
        <w:spacing w:line="288" w:lineRule="auto"/>
        <w:ind w:firstLine="328" w:firstLineChars="200"/>
        <w:textAlignment w:val="auto"/>
        <w:rPr>
          <w:rFonts w:hint="eastAsia" w:ascii="仿宋" w:hAnsi="仿宋" w:eastAsia="仿宋" w:cs="仿宋"/>
          <w:color w:val="auto"/>
          <w:sz w:val="18"/>
          <w:szCs w:val="18"/>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firstLine="328" w:firstLineChars="200"/>
        <w:textAlignment w:val="auto"/>
        <w:rPr>
          <w:rFonts w:hint="eastAsia" w:ascii="仿宋" w:hAnsi="仿宋" w:eastAsia="仿宋" w:cs="仿宋"/>
          <w:color w:val="auto"/>
          <w:sz w:val="18"/>
          <w:szCs w:val="18"/>
          <w:highlight w:val="none"/>
        </w:rPr>
      </w:pPr>
      <w:r>
        <w:rPr>
          <w:rFonts w:hint="eastAsia" w:ascii="仿宋" w:hAnsi="仿宋" w:eastAsia="仿宋" w:cs="仿宋"/>
          <w:color w:val="auto"/>
          <w:sz w:val="18"/>
          <w:szCs w:val="18"/>
          <w:highlight w:val="none"/>
        </w:rPr>
        <w:t>注：合同总价已包括货物金额、包装、运输保险费、装卸费、安装及相关材料费、调试费、软件费、检验费、培训费用及税金等为确保合法、正常使用货物及乙方履行本合同项下约定的所有义务所需支出的全部费用，甲方有权拒付本合同约定合同总价以外的任何费用，且无论国家税率是否调整，合同价款均不予调整。</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第二条 交货时间及地点</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color w:val="auto"/>
          <w:sz w:val="21"/>
          <w:szCs w:val="21"/>
          <w:highlight w:val="none"/>
        </w:rPr>
        <w:t>乙方负责将货物安全运至甲方指定交货地点</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交货时间为：</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甲方收货联系人、联系方式：</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lang w:eastAsia="zh-CN"/>
        </w:rPr>
      </w:pPr>
      <w:r>
        <w:rPr>
          <w:rFonts w:hint="eastAsia" w:ascii="仿宋" w:hAnsi="仿宋" w:eastAsia="仿宋" w:cs="仿宋"/>
          <w:b/>
          <w:color w:val="auto"/>
          <w:sz w:val="21"/>
          <w:szCs w:val="21"/>
          <w:highlight w:val="none"/>
        </w:rPr>
        <w:t>第三条 付款</w:t>
      </w:r>
      <w:r>
        <w:rPr>
          <w:rFonts w:hint="eastAsia" w:ascii="仿宋" w:hAnsi="仿宋" w:eastAsia="仿宋" w:cs="仿宋"/>
          <w:b/>
          <w:color w:val="auto"/>
          <w:sz w:val="21"/>
          <w:szCs w:val="21"/>
          <w:highlight w:val="none"/>
          <w:lang w:val="en-US" w:eastAsia="zh-CN"/>
        </w:rPr>
        <w:t>条款</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甲乙双方之间发生的本合同项下的一切价款、费用、金额均以人民币（币种）结算及支付。在乙方无任何违约行为的前提下，甲方应按照下列第</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项约定向乙方支付款项：</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1、甲方应于货物验收合格后</w:t>
      </w:r>
      <w:r>
        <w:rPr>
          <w:rFonts w:hint="eastAsia" w:ascii="仿宋" w:hAnsi="仿宋" w:eastAsia="仿宋" w:cs="仿宋"/>
          <w:color w:val="auto"/>
          <w:sz w:val="21"/>
          <w:szCs w:val="21"/>
          <w:highlight w:val="none"/>
          <w:lang w:val="en-US" w:eastAsia="zh-CN"/>
        </w:rPr>
        <w:t>15</w:t>
      </w:r>
      <w:r>
        <w:rPr>
          <w:rFonts w:hint="eastAsia" w:ascii="仿宋" w:hAnsi="仿宋" w:eastAsia="仿宋" w:cs="仿宋"/>
          <w:color w:val="auto"/>
          <w:sz w:val="21"/>
          <w:szCs w:val="21"/>
          <w:highlight w:val="none"/>
        </w:rPr>
        <w:t>个工作日内将货款全部支付给乙方。</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2、向乙方分阶段支付价款：</w:t>
      </w:r>
    </w:p>
    <w:p>
      <w:pPr>
        <w:keepNext w:val="0"/>
        <w:keepLines w:val="0"/>
        <w:pageBreakBefore w:val="0"/>
        <w:widowControl w:val="0"/>
        <w:kinsoku/>
        <w:wordWrap/>
        <w:overflowPunct/>
        <w:topLinePunct w:val="0"/>
        <w:autoSpaceDE/>
        <w:autoSpaceDN/>
        <w:bidi w:val="0"/>
        <w:adjustRightInd w:val="0"/>
        <w:snapToGrid w:val="0"/>
        <w:spacing w:line="288" w:lineRule="auto"/>
        <w:ind w:firstLine="582" w:firstLineChars="3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a.自</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后</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日内，向乙方支付</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u w:val="single"/>
          <w:lang w:val="en-US" w:eastAsia="zh-CN"/>
        </w:rPr>
        <w:t xml:space="preserve"> </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582" w:firstLineChars="3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b.自</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后</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u w:val="single"/>
          <w:lang w:val="en-US" w:eastAsia="zh-CN"/>
        </w:rPr>
        <w:t xml:space="preserve"> </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日内，向乙方支付</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u w:val="single"/>
          <w:lang w:val="en-US" w:eastAsia="zh-CN"/>
        </w:rPr>
        <w:t xml:space="preserve">  </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582" w:firstLineChars="3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c.自</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后</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u w:val="single"/>
          <w:lang w:val="en-US" w:eastAsia="zh-CN"/>
        </w:rPr>
        <w:t xml:space="preserve"> </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日内，向乙方支付</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u w:val="single"/>
          <w:lang w:val="en-US" w:eastAsia="zh-CN"/>
        </w:rPr>
        <w:t xml:space="preserve">  </w:t>
      </w:r>
      <w:r>
        <w:rPr>
          <w:rFonts w:hint="eastAsia" w:ascii="仿宋" w:hAnsi="仿宋" w:eastAsia="仿宋" w:cs="仿宋"/>
          <w:color w:val="auto"/>
          <w:sz w:val="21"/>
          <w:szCs w:val="21"/>
          <w:highlight w:val="none"/>
          <w:u w:val="single"/>
        </w:rPr>
        <w:t xml:space="preserve">       </w:t>
      </w:r>
      <w:r>
        <w:rPr>
          <w:rFonts w:hint="eastAsia" w:ascii="仿宋" w:hAnsi="仿宋" w:eastAsia="仿宋" w:cs="仿宋"/>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3、其他支付方式及支付时间：</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第四条 履约保证金</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合同签订后</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rPr>
        <w:t>个工作日内，乙方应向甲方缴纳合同总金额</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%作为履约保证金，履约保证金自全部货物验收合格后，由甲方确认乙方合同主要义务履行完毕后无息退还。</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第五条 质保期、售后服务承诺</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一、货物质保期为：</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合同另有特别约定的以特别约定为准），该期限自本合同项下的全部货物验收合格之日（对于还需要进行安装调试或集成服务的，应自所有相应服务完成并验收合格之日）起开始计算，质量保证期内如货物出现任何质量问题，甲方有权要求乙方予以无条件维修、更换或退货。若甲方选择维修的，乙方应免费提供配件并现场维修</w:t>
      </w:r>
      <w:r>
        <w:rPr>
          <w:rFonts w:hint="eastAsia" w:ascii="仿宋" w:hAnsi="仿宋" w:eastAsia="仿宋" w:cs="仿宋"/>
          <w:color w:val="auto"/>
          <w:sz w:val="21"/>
          <w:szCs w:val="21"/>
          <w:highlight w:val="none"/>
          <w:lang w:eastAsia="zh-CN"/>
        </w:rPr>
        <w:t>，维修或更换部分的货物和材料的质保期自修复或更换</w:t>
      </w:r>
      <w:r>
        <w:rPr>
          <w:rFonts w:hint="eastAsia" w:ascii="仿宋" w:hAnsi="仿宋" w:eastAsia="仿宋" w:cs="仿宋"/>
          <w:color w:val="auto"/>
          <w:sz w:val="21"/>
          <w:szCs w:val="21"/>
          <w:highlight w:val="none"/>
          <w:lang w:val="en-US" w:eastAsia="zh-CN"/>
        </w:rPr>
        <w:t>合格</w:t>
      </w:r>
      <w:r>
        <w:rPr>
          <w:rFonts w:hint="eastAsia" w:ascii="仿宋" w:hAnsi="仿宋" w:eastAsia="仿宋" w:cs="仿宋"/>
          <w:color w:val="auto"/>
          <w:sz w:val="21"/>
          <w:szCs w:val="21"/>
          <w:highlight w:val="none"/>
          <w:lang w:eastAsia="zh-CN"/>
        </w:rPr>
        <w:t>之日起重新计算</w:t>
      </w:r>
      <w:r>
        <w:rPr>
          <w:rFonts w:hint="eastAsia" w:ascii="仿宋" w:hAnsi="仿宋" w:eastAsia="仿宋" w:cs="仿宋"/>
          <w:color w:val="auto"/>
          <w:sz w:val="21"/>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u w:val="single"/>
        </w:rPr>
      </w:pPr>
      <w:r>
        <w:rPr>
          <w:rFonts w:hint="eastAsia" w:ascii="仿宋" w:hAnsi="仿宋" w:eastAsia="仿宋" w:cs="仿宋"/>
          <w:color w:val="auto"/>
          <w:sz w:val="21"/>
          <w:szCs w:val="21"/>
          <w:highlight w:val="none"/>
        </w:rPr>
        <w:t>二、其他：</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第六条 货物质量标准</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如甲方在本合同或附件中已指明所购货物品牌型号的，则产品应为甲方所指定品牌型号的原厂商生产的、完整、全新、未使用过的成套成品货物（含零部件、配件、随机工具、技术文件等），货物品质不低于原厂商同类同规格货物品质标准。货物内附质量说明或使用说明的，乙方同时保证货物质量与内附说明一致，保证货物能按照货物内附说明正常运行或使用。</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二、除非双方另行约定，</w:t>
      </w:r>
      <w:r>
        <w:rPr>
          <w:rFonts w:hint="eastAsia" w:ascii="仿宋" w:hAnsi="仿宋" w:eastAsia="仿宋" w:cs="仿宋"/>
          <w:color w:val="auto"/>
          <w:sz w:val="21"/>
          <w:szCs w:val="21"/>
          <w:highlight w:val="none"/>
          <w:lang w:val="en-US" w:eastAsia="zh-CN"/>
        </w:rPr>
        <w:t>货物</w:t>
      </w:r>
      <w:r>
        <w:rPr>
          <w:rFonts w:hint="eastAsia" w:ascii="仿宋" w:hAnsi="仿宋" w:eastAsia="仿宋" w:cs="仿宋"/>
          <w:color w:val="auto"/>
          <w:sz w:val="21"/>
          <w:szCs w:val="21"/>
          <w:highlight w:val="none"/>
        </w:rPr>
        <w:t>应至少符合本合同及</w:t>
      </w:r>
      <w:r>
        <w:rPr>
          <w:rFonts w:hint="eastAsia" w:ascii="仿宋" w:hAnsi="仿宋" w:eastAsia="仿宋" w:cs="仿宋"/>
          <w:color w:val="auto"/>
          <w:sz w:val="21"/>
          <w:szCs w:val="21"/>
          <w:highlight w:val="none"/>
          <w:lang w:eastAsia="zh-CN"/>
        </w:rPr>
        <w:t>招标文件</w:t>
      </w: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eastAsia="zh-CN"/>
        </w:rPr>
        <w:t>投标文件</w:t>
      </w:r>
      <w:r>
        <w:rPr>
          <w:rFonts w:hint="eastAsia" w:ascii="仿宋" w:hAnsi="仿宋" w:eastAsia="仿宋" w:cs="仿宋"/>
          <w:color w:val="auto"/>
          <w:sz w:val="21"/>
          <w:szCs w:val="21"/>
          <w:highlight w:val="none"/>
        </w:rPr>
        <w:t>约定的技术参数和要求。</w:t>
      </w:r>
      <w:r>
        <w:rPr>
          <w:rFonts w:hint="eastAsia" w:ascii="仿宋" w:hAnsi="仿宋" w:eastAsia="仿宋" w:cs="仿宋"/>
          <w:color w:val="auto"/>
          <w:sz w:val="21"/>
          <w:szCs w:val="21"/>
          <w:highlight w:val="none"/>
          <w:lang w:val="en-US" w:eastAsia="zh-CN"/>
        </w:rPr>
        <w:t>对于双方未明确的质量要求，</w:t>
      </w:r>
      <w:r>
        <w:rPr>
          <w:rFonts w:hint="eastAsia" w:ascii="仿宋" w:hAnsi="仿宋" w:eastAsia="仿宋" w:cs="仿宋"/>
          <w:color w:val="auto"/>
          <w:sz w:val="21"/>
          <w:szCs w:val="21"/>
          <w:highlight w:val="none"/>
        </w:rPr>
        <w:t>乙方提供的货物质量应符合同类同规格货物的国家质量标准及行业质量标准，上述质量标准区分等级的，则应符合最高级别的标准；如没有上述标准的，则应具备该类货物通常所应具备的使用功能和质量标准，且能正常运行和使用。</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乙方保证货物中的软件（若有）应当与本合同及附件中的描述或要求一致，软件质量、功能与附带的说明一致，且已通过乙方（乙方为原厂商时）或原厂商（若乙方非原厂商）质量测试和检验，能正常运行或使用。乙方应当向甲方提供相应的软件使用许可，并按甲方要求提供乙方或软件的原厂商（若乙方非软件的原厂商）正式签发的软件使用许可的授权证明文件。</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四、乙方保证货物中的软件不包含任何明显的或主要的缺陷、错误，不包含任何恶意的、破坏性的或可能导致未经授权者侵入、操作、控制计算机或计算机数据的计算机病毒、木马程序、后门程序等程序设计或程序代码。</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u w:val="single"/>
        </w:rPr>
      </w:pPr>
      <w:r>
        <w:rPr>
          <w:rFonts w:hint="eastAsia" w:ascii="仿宋" w:hAnsi="仿宋" w:eastAsia="仿宋" w:cs="仿宋"/>
          <w:color w:val="auto"/>
          <w:sz w:val="21"/>
          <w:szCs w:val="21"/>
          <w:highlight w:val="none"/>
        </w:rPr>
        <w:t>五、甲方对货物质量的其他要求</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六、乙方保证提供给甲方的货物符合本条有关货物质量标准的约定，且货物已通过原厂商质量测试和检验，并附带质量合格证书。货物序列号、包装箱号应与出厂批号一致，可追索查阅。若乙方非原厂商应确保进货渠道合法。</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第七条 货物交货及安装调试要求</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一、乙方应根据货物的不同特性和要求采取防潮、防雨、防锈、防震、防磁等保护措施，以确保货物安全无损地到达交货地点。货物必须洁净完好、无划痕、无凹陷、无褪色、无锈迹，包装外观完好、无破损。</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二、上述运输、包装、装卸及运输保险费用均由乙方负担，货物在按照本合同约定所有权转移给甲方前的全部风险由乙方承担。</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三、货物交货时应当同时附有技术规格、使用说明、质量检验合格证书、保修卡及</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等相关文件或技术资料，文件或技术资料应当清晰、正确和完整。</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四、甲方要求变更交货地点、交货时间的，应提前</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日通知乙方，乙方应当予以同意，由此增加的运输费用由双方协商解决。</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五、乙方应当在货物运至约定交货地点前</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日通知甲方，以便甲方做好接收准备。货物运至约定交货地点后</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rPr>
        <w:t>日内甲方对货物进行接收。接收时甲方有权对乙方所交货物的外包装完好程度、产品品牌、型号、数量、产地或生产厂商等是否符合本合同约定进行初验。乙方交付的货物存在损坏或短缺，或货物品牌、型号、配置等不符合约定的，甲方有权拒绝接收相应货物且乙方应按本合同约定承担违约责任。对于被拒绝接收的货物，可暂时存放甲方处，但货物毁损、灭失的风险由乙方承担。初验后应由甲方根据初验结果签署到货证明。</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六、本合同</w:t>
      </w:r>
      <w:r>
        <w:rPr>
          <w:rFonts w:hint="eastAsia" w:ascii="仿宋" w:hAnsi="仿宋" w:eastAsia="仿宋" w:cs="仿宋"/>
          <w:color w:val="auto"/>
          <w:sz w:val="21"/>
          <w:szCs w:val="21"/>
          <w:highlight w:val="none"/>
          <w:u w:val="none"/>
        </w:rPr>
        <w:t>需要</w:t>
      </w:r>
      <w:r>
        <w:rPr>
          <w:rFonts w:hint="eastAsia" w:ascii="仿宋" w:hAnsi="仿宋" w:eastAsia="仿宋" w:cs="仿宋"/>
          <w:color w:val="auto"/>
          <w:sz w:val="21"/>
          <w:szCs w:val="21"/>
          <w:highlight w:val="none"/>
        </w:rPr>
        <w:t>乙方提供安装调试服务。乙方应在</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（填写时间要求）</w:t>
      </w:r>
      <w:r>
        <w:rPr>
          <w:rFonts w:hint="eastAsia" w:ascii="仿宋" w:hAnsi="仿宋" w:eastAsia="仿宋" w:cs="仿宋"/>
          <w:color w:val="auto"/>
          <w:sz w:val="21"/>
          <w:szCs w:val="21"/>
          <w:highlight w:val="none"/>
        </w:rPr>
        <w:t>完成全部货物现场安装调试并使之符合验收合格的标准。在安装调试过程中，甲方有权采取适当的方式对乙方货物质量标准、规格型号、具体配置、数量以及安装质量和进度等进行检查。甲方检查时发现乙方所供货物不符合合同约定或者乙方安装调试时造成货物损坏的，甲方有权要求乙方无条件换货或退货，乙方不同意换货或退货的，甲方有权单方解除合同，乙方应按本合同约定承担违约责任。</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七、若乙方并非原厂商、而本合同约定安装调试服务提供方为原厂商的，则乙方有义务联系、安排、督促、要求原厂商按照本条约定履行安装调试服务义务。原厂商未按照本合同约定履行安装调试服务义务的，视为乙方未履行义务，甲方有权按照本合同“违约责任”条款的约定要求乙方承担相应违约责任。</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八、甲方为安装调试提供工作场地、电源等条件，货物安装调试所需的耗材应由安装调试服务提供方提供，安装调试服务提供方在安装调试过程中应当遵守甲方工作场所的工作纪律及相关管理规定。</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九、在货物的安装及调试过程中，安装调试服务提供方或其聘请的雇员遭受人身损害或安装调试服务提供方或其聘请的雇员令甲方或第三方遭受人身损害或财产损失，由此引起的一切法律责任由乙方全部承担。若甲方因此为乙方垫付任何款项，甲方有权要求乙方据实立即支付，且有权从应付乙方的价款中将上述款项自行扣除。</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十、其他要求</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第八条 验收</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一、验收标准：按本合同采购标的、价格及货物质量标准的约定进行验收。</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二、验收时间：乙方完成本合同第七条约定的安装调试及其他服务工作后，应当在</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日</w:t>
      </w:r>
      <w:r>
        <w:rPr>
          <w:rFonts w:hint="eastAsia" w:ascii="仿宋" w:hAnsi="仿宋" w:eastAsia="仿宋" w:cs="仿宋"/>
          <w:color w:val="auto"/>
          <w:sz w:val="21"/>
          <w:szCs w:val="21"/>
          <w:highlight w:val="none"/>
        </w:rPr>
        <w:t>内（乙方无需提供安装调试及其他服务的应在双方确定的交货时间之日起</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日</w:t>
      </w:r>
      <w:r>
        <w:rPr>
          <w:rFonts w:hint="eastAsia" w:ascii="仿宋" w:hAnsi="仿宋" w:eastAsia="仿宋" w:cs="仿宋"/>
          <w:color w:val="auto"/>
          <w:sz w:val="21"/>
          <w:szCs w:val="21"/>
          <w:highlight w:val="none"/>
        </w:rPr>
        <w:t>内）做好验收的必要准备并向甲方发出可以进行验收的书面通知。甲方自收到可以进行验收的通知之日起</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日</w:t>
      </w:r>
      <w:r>
        <w:rPr>
          <w:rFonts w:hint="eastAsia" w:ascii="仿宋" w:hAnsi="仿宋" w:eastAsia="仿宋" w:cs="仿宋"/>
          <w:color w:val="auto"/>
          <w:sz w:val="21"/>
          <w:szCs w:val="21"/>
          <w:highlight w:val="none"/>
        </w:rPr>
        <w:t>内开始验收。双方书面另行约定其他验收时间的，按约定时间进行验收。</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三、验收范围包括但不限于：1、型号规格、数量、外观；2、出厂合格证、说明书等约定应交付的证书、资料；3、设备组件及所附技术资料；4、设备功能、性能等参数指标；5、</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四、验收合格的确认：验收合格后甲方签署验收合格证明，此时乙方完成合同交付义务。如验收不合格，乙方应当立即采取措施纠正不符之处，并与甲方协商约定新的验收时间进行验收（简称“重新提交验收”）。若因重新提交验收而超出本合同确定的安装调试时间的（乙方无需安装调试的，若重新提交验收而超过本合同确定的交货时间），视为乙方未完成安装调试义务（乙方无需安装调试的，视为乙方未完成交货义务），乙方应承担逾期交付违约责任。</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第九条 知识产权</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一、乙方保证乙方提供的货物及服务（无论乙方是否为该货物或服务的原厂商）不存在任何侵犯第三方知识产权及其他权利的情形。如果第三方声称乙方向甲方提供的货物或服务侵犯其知识产权或其他权利的，</w:t>
      </w:r>
      <w:bookmarkStart w:id="45" w:name="_Hlk536733718"/>
      <w:r>
        <w:rPr>
          <w:rFonts w:hint="eastAsia" w:ascii="仿宋" w:hAnsi="仿宋" w:eastAsia="仿宋" w:cs="仿宋"/>
          <w:color w:val="auto"/>
          <w:sz w:val="21"/>
          <w:szCs w:val="21"/>
          <w:highlight w:val="none"/>
        </w:rPr>
        <w:t>由乙方负责处理并自担费用，知悉上述事项的一方应立即通知合同对方；</w:t>
      </w:r>
      <w:bookmarkEnd w:id="45"/>
      <w:r>
        <w:rPr>
          <w:rFonts w:hint="eastAsia" w:ascii="仿宋" w:hAnsi="仿宋" w:eastAsia="仿宋" w:cs="仿宋"/>
          <w:color w:val="auto"/>
          <w:sz w:val="21"/>
          <w:szCs w:val="21"/>
          <w:highlight w:val="none"/>
        </w:rPr>
        <w:t>如第三方已就此对甲方或乙方提起（包括威胁提起或很可能提起）法律诉讼程序或知识产权等维权行政执法程序（简称“侵权纠纷”），</w:t>
      </w:r>
      <w:bookmarkStart w:id="46" w:name="_Hlk536728548"/>
      <w:r>
        <w:rPr>
          <w:rFonts w:hint="eastAsia" w:ascii="仿宋" w:hAnsi="仿宋" w:eastAsia="仿宋" w:cs="仿宋"/>
          <w:color w:val="auto"/>
          <w:sz w:val="21"/>
          <w:szCs w:val="21"/>
          <w:highlight w:val="none"/>
        </w:rPr>
        <w:t>由乙方负责处理并自担费用，</w:t>
      </w:r>
      <w:bookmarkEnd w:id="46"/>
      <w:r>
        <w:rPr>
          <w:rFonts w:hint="eastAsia" w:ascii="仿宋" w:hAnsi="仿宋" w:eastAsia="仿宋" w:cs="仿宋"/>
          <w:color w:val="auto"/>
          <w:sz w:val="21"/>
          <w:szCs w:val="21"/>
          <w:highlight w:val="none"/>
        </w:rPr>
        <w:t>知悉上述事项的一方应立即通知合同对方，甲方并有权：1、暂停履行对侵权纠纷所涉货物或服务的采购或支付义务，直至侵权纠纷完全解决</w:t>
      </w:r>
      <w:bookmarkStart w:id="47" w:name="_Hlk536728589"/>
      <w:r>
        <w:rPr>
          <w:rFonts w:hint="eastAsia" w:ascii="仿宋" w:hAnsi="仿宋" w:eastAsia="仿宋" w:cs="仿宋"/>
          <w:color w:val="auto"/>
          <w:sz w:val="21"/>
          <w:szCs w:val="21"/>
          <w:highlight w:val="none"/>
        </w:rPr>
        <w:t>至纠纷已按照生效的协议、调解书、裁决等履行完毕时再启动继续履行，就甲方作为当事人的侵权纠纷，乙方无条件按照甲方的要求配合甲方处理，</w:t>
      </w:r>
      <w:bookmarkEnd w:id="47"/>
      <w:r>
        <w:rPr>
          <w:rFonts w:hint="eastAsia" w:ascii="仿宋" w:hAnsi="仿宋" w:eastAsia="仿宋" w:cs="仿宋"/>
          <w:color w:val="auto"/>
          <w:sz w:val="21"/>
          <w:szCs w:val="21"/>
          <w:highlight w:val="none"/>
        </w:rPr>
        <w:t>乙方并应自担费用向甲方提供甲方与该第三方协商、诉讼、和解所需的一切协助（包括但不限于向甲方提供证明侵权不存在的各类证据、派出人员参加协商、诉讼或会谈等）；2、甲方有权选择与该第三方达成和解，并由乙方支付和解协议所约定的全部费用以及甲方因侵权纠纷而遭受的全部损失或费用（包括但不限于诉讼/仲裁费、保全费、执行费、律师费、交通费、通讯费、差旅费、对第三方的损害赔偿金、行政处罚罚款、获取该货物或服务相应使用许可的费用、因停止使用或修改、替换侵权威胁所涉及的货物或服务而遭受的损失等）。如果甲方选择继续参加侵权纠纷法律程序，乙方应当赔偿甲方因侵权纠纷及履行和解协议、生效法律裁判而需支付的费用或遭受的损失（包括但不限于诉讼/仲裁费、保全费、执行费、律师费、交通费、通讯费、差旅费、对第三方的损害赔偿金、行政处罚罚款、获取该货物或服务相应使用许可的费用、因停止使用或修改、替换侵权威胁所涉及的货物或服务而遭受的损失等）。</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二、不论本合同是否解除或终止，本条款持续有效。</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三、其他：</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第十条 保密条款</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应当对本合同的内容、甲方为本合同提供的技术要求、规格指标、计划、图纸、模型、样品等信息或资料以及乙方在签订、履行本合同过程中知悉或获得的所有有关甲方的商业秘密、内部资料等信息（即“保密信息”）予以保密，除非该信息是：1、甲方以书面方式明确注明为非保密性质的信息；或2、公众已经知晓的或通过公开渠道可获得的信息，且不是因为乙方违反本保密义务而导致该信息公知公晓的；3、乙方从有权披露该信息的第三方获取的信息，且乙方对该信息无保密义务；4、在本合同谈判前乙方已独立开发的信息。</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在本合同约定的保密期限内，未经甲方书面同意，乙方不得将保密信息用于本合同以外的目的，并不得将其泄漏给任何第三方。乙方的雇员为履行本合同约定而必须接触相关保密信息时，乙方可以将此部分保密信息披露给该雇员，但乙方应当告知该雇员相关的保密义务并和其签署书面保密协议，使其承担不低于本保密条款约定的保密义务。</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司法、执法等机关（简称“有权机关”）或法律法规要求乙方披露保密信息的，乙方应在披露前或披露时尽最大努力为被要求披露的保密信息获取保密措施或保密待遇，并将披露范围严格限定在有权机关或法律法规所要求必须披露的范围之内。在法律许可的范围内，乙方应将此事立即书面通知甲方，使甲方有合理机会采取适当的申诉或保护措施。</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或其雇员（无论该雇员是否已从乙方离职）在本条约定的保密期限内违反保密义务的，乙方应当对甲方因此所遭受的损失承担赔偿责任。如果乙方在本合同有效期内严重违反保密义务，甲方同时还有权提前解除本合同。</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如果甲方有要求，乙方在完成合同后应将甲方为本合同提供的所有资料或物品返还甲方。</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保密期限自本合同生效之日起算，保密期限为：永久，不因本合同的解除或终止而失效。</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第十一条 承诺与保证</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乙方清楚地知悉甲方的经营范围及合同签字人权限。乙方已阅读本合同所有条款，并对本合同条款的含义及相应的法律后果已全部通晓并充分理解。</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保证具备签署、履行本合同的合法资格和能力，乙方在本合同项下的行为符合法律、行政法规、规章规定，乙方签署本合同或履行乙方在本合同项下的义务不违反乙方订立的任何其他协议，乙方在本合同项下的行为符合乙方的相关规定，且已获得公司（机构、组织）内部有权机构及/或国家有权机关的批准。</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若乙方并非甲方所采购的货物或服务的原厂商，而是作为该原厂商的经销商或代理商与甲方签订本合同的，则对于任何依本合同约定应由或理应由原厂商提供的货物或服务或履行的其他义务（包括但不限于原厂商生产货物、原厂商维护支持服务、</w:t>
      </w:r>
      <w:bookmarkStart w:id="48" w:name="_Hlk536733933"/>
      <w:r>
        <w:rPr>
          <w:rFonts w:hint="eastAsia" w:ascii="仿宋" w:hAnsi="仿宋" w:eastAsia="仿宋" w:cs="仿宋"/>
          <w:color w:val="auto"/>
          <w:sz w:val="21"/>
          <w:szCs w:val="21"/>
          <w:highlight w:val="none"/>
        </w:rPr>
        <w:t>原厂商售后服务、</w:t>
      </w:r>
      <w:bookmarkEnd w:id="48"/>
      <w:r>
        <w:rPr>
          <w:rFonts w:hint="eastAsia" w:ascii="仿宋" w:hAnsi="仿宋" w:eastAsia="仿宋" w:cs="仿宋"/>
          <w:color w:val="auto"/>
          <w:sz w:val="21"/>
          <w:szCs w:val="21"/>
          <w:highlight w:val="none"/>
        </w:rPr>
        <w:t>知识产权及保密方面的义务等），乙方均有义务通过协议、安排、协调、购买、督促、要求等任何方式保证该原厂商按照本合同约定予以提供或履行，原厂商不按照本合同约定予以提供或履行的，视为系乙方的违约行为，甲方有权按照本合同约定要求乙方对该违约行为承担违约责任。</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乙方保证提供给甲方的全部资料、文件和信息均是真实、合法、准确、完整、有效的。</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保证具备销售本合同项下货物及提供本合同项下各项服务的合法资质，并有义务在本合同履行期内持续保持该资质的合法有效性。乙方保证对所销售的货物合法享有所有权或处分权，货物不存在任何权属争议，也不存在任何未书面告知甲方的权利瑕疵或权利负担，包括但不限于被查封、被扣押、被监管、被出租、被留置、存在拖欠购置价款、维修费用、国家税款、损害赔偿金等情形或者货物已为第三人设定担保等。</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其他：</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第十二条 其他约定</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bookmarkStart w:id="49" w:name="_Hlk536733518"/>
      <w:bookmarkStart w:id="50" w:name="_Hlk536728215"/>
      <w:r>
        <w:rPr>
          <w:rFonts w:hint="eastAsia" w:ascii="仿宋" w:hAnsi="仿宋" w:eastAsia="仿宋" w:cs="仿宋"/>
          <w:color w:val="auto"/>
          <w:sz w:val="21"/>
          <w:szCs w:val="21"/>
          <w:highlight w:val="none"/>
        </w:rPr>
        <w:t>一、乙方应当按照下列第</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项约定开具</w:t>
      </w:r>
      <w:bookmarkStart w:id="51" w:name="_Hlk536733460"/>
      <w:r>
        <w:rPr>
          <w:rFonts w:hint="eastAsia" w:ascii="仿宋" w:hAnsi="仿宋" w:eastAsia="仿宋" w:cs="仿宋"/>
          <w:color w:val="auto"/>
          <w:sz w:val="21"/>
          <w:szCs w:val="21"/>
          <w:highlight w:val="none"/>
        </w:rPr>
        <w:t>并向甲方提供</w:t>
      </w:r>
      <w:bookmarkEnd w:id="51"/>
      <w:r>
        <w:rPr>
          <w:rFonts w:hint="eastAsia" w:ascii="仿宋" w:hAnsi="仿宋" w:eastAsia="仿宋" w:cs="仿宋"/>
          <w:color w:val="auto"/>
          <w:sz w:val="21"/>
          <w:szCs w:val="21"/>
          <w:highlight w:val="none"/>
        </w:rPr>
        <w:t>发票：</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u w:val="none"/>
        </w:rPr>
      </w:pPr>
      <w:r>
        <w:rPr>
          <w:rFonts w:hint="eastAsia" w:ascii="仿宋" w:hAnsi="仿宋" w:eastAsia="仿宋" w:cs="仿宋"/>
          <w:color w:val="auto"/>
          <w:sz w:val="21"/>
          <w:szCs w:val="21"/>
          <w:highlight w:val="none"/>
          <w:u w:val="none"/>
        </w:rPr>
        <w:t>1、在甲方支付款项前7个工作日开具并向甲方提供当次支付金额的符合规定的增值税专用发票，</w:t>
      </w:r>
      <w:bookmarkStart w:id="52" w:name="_Hlk536728170"/>
      <w:r>
        <w:rPr>
          <w:rFonts w:hint="eastAsia" w:ascii="仿宋" w:hAnsi="仿宋" w:eastAsia="仿宋" w:cs="仿宋"/>
          <w:color w:val="auto"/>
          <w:sz w:val="21"/>
          <w:szCs w:val="21"/>
          <w:highlight w:val="none"/>
          <w:u w:val="none"/>
        </w:rPr>
        <w:t>否则甲方有权拒绝付款</w:t>
      </w:r>
      <w:bookmarkEnd w:id="52"/>
      <w:r>
        <w:rPr>
          <w:rFonts w:hint="eastAsia" w:ascii="仿宋" w:hAnsi="仿宋" w:eastAsia="仿宋" w:cs="仿宋"/>
          <w:color w:val="auto"/>
          <w:sz w:val="21"/>
          <w:szCs w:val="21"/>
          <w:highlight w:val="none"/>
          <w:u w:val="none"/>
        </w:rPr>
        <w:t>。</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2、</w:t>
      </w:r>
      <w:r>
        <w:rPr>
          <w:rFonts w:hint="eastAsia" w:ascii="仿宋" w:hAnsi="仿宋" w:eastAsia="仿宋" w:cs="仿宋"/>
          <w:color w:val="auto"/>
          <w:sz w:val="21"/>
          <w:szCs w:val="21"/>
          <w:highlight w:val="none"/>
          <w:lang w:val="en-US" w:eastAsia="zh-CN"/>
        </w:rPr>
        <w:t>在甲方支付全额货款前（如分阶段付款，则为支付尾款前）7个工作日开具合同总额的符合规定的增值税专用发票，否则甲方有权拒绝付款。</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u w:val="single"/>
        </w:rPr>
      </w:pPr>
      <w:r>
        <w:rPr>
          <w:rFonts w:hint="eastAsia" w:ascii="仿宋" w:hAnsi="仿宋" w:eastAsia="仿宋" w:cs="仿宋"/>
          <w:color w:val="auto"/>
          <w:sz w:val="21"/>
          <w:szCs w:val="21"/>
          <w:highlight w:val="none"/>
          <w:lang w:val="en-US" w:eastAsia="zh-CN"/>
        </w:rPr>
        <w:t>3、</w:t>
      </w:r>
      <w:r>
        <w:rPr>
          <w:rFonts w:hint="eastAsia" w:ascii="仿宋" w:hAnsi="仿宋" w:eastAsia="仿宋" w:cs="仿宋"/>
          <w:color w:val="auto"/>
          <w:sz w:val="21"/>
          <w:szCs w:val="21"/>
          <w:highlight w:val="none"/>
        </w:rPr>
        <w:t>其他约定：</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bookmarkStart w:id="53" w:name="_Hlk536728187"/>
      <w:bookmarkStart w:id="54" w:name="_Hlk536733496"/>
      <w:r>
        <w:rPr>
          <w:rFonts w:hint="eastAsia" w:ascii="仿宋" w:hAnsi="仿宋" w:eastAsia="仿宋" w:cs="仿宋"/>
          <w:color w:val="auto"/>
          <w:sz w:val="21"/>
          <w:szCs w:val="21"/>
          <w:highlight w:val="none"/>
        </w:rPr>
        <w:t>乙方必须提供符合中华人民共和国国家税务规定的全额增值税专用发票，若乙方无法提供增值税专用发票或因乙方原因造成发票无法认证成功，导致甲方无法抵扣进项税额，乙方应全额赔偿甲方因此产生的税额损失。</w:t>
      </w:r>
      <w:bookmarkEnd w:id="53"/>
      <w:bookmarkEnd w:id="54"/>
      <w:r>
        <w:rPr>
          <w:rFonts w:hint="eastAsia" w:ascii="仿宋" w:hAnsi="仿宋" w:eastAsia="仿宋" w:cs="仿宋"/>
          <w:color w:val="auto"/>
          <w:sz w:val="21"/>
          <w:szCs w:val="21"/>
          <w:highlight w:val="none"/>
        </w:rPr>
        <w:t>如乙方依据税收法律法规无法开具（或通过税务机关代开）增值税专用发票，乙方应当开具合法有效的增值税普通发票。如未来乙方登记成为增值税一般纳税人，应及时通知甲方。自乙方登记成为增值税一般纳税人起，乙方应向甲方开具符合规定的增值税专用发票。</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甲方提供的开票信息如下：</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单位名称：之江实验室</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纳税人识别号：12330000MB1478604D </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 xml:space="preserve">银行账户：33050161612709088888 </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开户银行：中国建设银行杭州宝石支行</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地址：杭州市文一西路1818号 电话：057156390521</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如乙方向甲方开具的发票无效、虚假、发票类型与合同约定不符，或者乙方发生迟延开具或交付发票的情形，或者乙方出现违反合同约定的其他情形，乙方应当赔偿甲方全部损失，包括但不限于税金、附加税费、罚金、滞纳金。</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如发生需要作废发票或开具红字发票等情形，乙方应当根据甲方要求及时开具发票。</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因乙方未按约及时提供发票导致甲方迟延付款的，不视为甲方逾期付款，乙方不得因此向甲方主张承担逾期付款违约责任。</w:t>
      </w:r>
      <w:bookmarkEnd w:id="49"/>
      <w:bookmarkEnd w:id="50"/>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二、权利保留</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任何一方在本合同项下的权利并不影响和排除其根据法律、法规和其它合同所享有的任何权利。任何对违约或延误行为施以任何宽容、宽限、优惠或延缓行使本合同项下的任何权利，均不能视为对本合同项下权利、权益的放弃或对任何违反本合同行为的许可或认可，也不限制、阻止和妨碍对该权利的继续行使或对其任何其它权利的行使。</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三、通知</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本合同任何一方当事人传递给对方的通知，须按本合同所列的联系人、联系电话、通讯地址等联系方式进行。一方联系人、联系方式如有变动，应于发生变动之日起三个工作日内以书面形式通知对方，因未及时通知而造成的损失由变动方承担。</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四、税收</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合同双方均同意根据适用的税收法律法规各自缴纳其应承担的本合同或本合同项下的一切税收。甲方除依据本合同“支付条款”支付相应款项外，无义务向乙方额外补偿或支付任何税款。如果依据税收法律法规，甲方应当为乙方代扣代缴任何税款，甲方有权在依据本合同支付相应款项前扣除应代扣的税款；如甲方按照税收法律法规已为乙方代缴了税款，但未能在支付本合同约定款项时扣除相应数额，乙方应当在接到甲方提供的代缴税收证明文件后立即全额偿付甲方已代缴的税款。</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五、不可抗力</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由于发生不可抗力事件（如战争、暴动、严重火灾、水灾、台风、地震、政府行为和禁令等事件），致使合同任一方不能履行合同义务时，遭受不可抗力事件影响的一方负有在合理时间内尽快通知合同对方和采取合理措施减少对方损失的义务。</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遭受不可抗力事件影响的一方在履行前述义务后免除违约责任。但其合同义务不因此免除。经合同双方协商同意，合同履行时间可合理延长，延长时间相当于因事件发生受到影响的时间。</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六、权利义务的转让</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未经甲方事先书面同意，乙方不得通过任何方式出售、转让或转移其在本合同项下的任何权利或义务。</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七、市场宣传</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未经甲方书面同意，乙方不得在市场宣传中使用与甲方的合作案例，不得将甲方作为业务合作伙伴进行宣传，不得使用甲方的名称、标志、商标等。</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八、合同的完整性及解释顺序</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下列文件是本合同不可分割的组成部分，并按下列优先顺序进行解释：</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1、本合同及附件；</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r>
        <w:rPr>
          <w:rFonts w:hint="eastAsia" w:ascii="仿宋" w:hAnsi="仿宋" w:eastAsia="仿宋" w:cs="仿宋"/>
          <w:color w:val="auto"/>
          <w:sz w:val="21"/>
          <w:szCs w:val="21"/>
          <w:highlight w:val="none"/>
          <w:lang w:val="en-US" w:eastAsia="zh-CN"/>
        </w:rPr>
        <w:t>中标</w:t>
      </w:r>
      <w:r>
        <w:rPr>
          <w:rFonts w:hint="eastAsia" w:ascii="仿宋" w:hAnsi="仿宋" w:eastAsia="仿宋" w:cs="仿宋"/>
          <w:color w:val="auto"/>
          <w:sz w:val="21"/>
          <w:szCs w:val="21"/>
          <w:highlight w:val="none"/>
          <w:lang w:eastAsia="zh-CN"/>
        </w:rPr>
        <w:t>通知书</w:t>
      </w:r>
      <w:r>
        <w:rPr>
          <w:rFonts w:hint="eastAsia" w:ascii="仿宋" w:hAnsi="仿宋" w:eastAsia="仿宋" w:cs="仿宋"/>
          <w:color w:val="auto"/>
          <w:sz w:val="21"/>
          <w:szCs w:val="21"/>
          <w:highlight w:val="none"/>
        </w:rPr>
        <w:t>（如果有）；</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3、</w:t>
      </w:r>
      <w:r>
        <w:rPr>
          <w:rFonts w:hint="eastAsia" w:ascii="仿宋" w:hAnsi="仿宋" w:eastAsia="仿宋" w:cs="仿宋"/>
          <w:color w:val="auto"/>
          <w:sz w:val="21"/>
          <w:szCs w:val="21"/>
          <w:highlight w:val="none"/>
          <w:lang w:eastAsia="zh-CN"/>
        </w:rPr>
        <w:t>招标文件</w:t>
      </w:r>
      <w:r>
        <w:rPr>
          <w:rFonts w:hint="eastAsia" w:ascii="仿宋" w:hAnsi="仿宋" w:eastAsia="仿宋" w:cs="仿宋"/>
          <w:color w:val="auto"/>
          <w:sz w:val="21"/>
          <w:szCs w:val="21"/>
          <w:highlight w:val="none"/>
        </w:rPr>
        <w:t>及附件；</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4、</w:t>
      </w:r>
      <w:r>
        <w:rPr>
          <w:rFonts w:hint="eastAsia" w:ascii="仿宋" w:hAnsi="仿宋" w:eastAsia="仿宋" w:cs="仿宋"/>
          <w:color w:val="auto"/>
          <w:sz w:val="21"/>
          <w:szCs w:val="21"/>
          <w:highlight w:val="none"/>
          <w:lang w:eastAsia="zh-CN"/>
        </w:rPr>
        <w:t>投标文件</w:t>
      </w:r>
      <w:r>
        <w:rPr>
          <w:rFonts w:hint="eastAsia" w:ascii="仿宋" w:hAnsi="仿宋" w:eastAsia="仿宋" w:cs="仿宋"/>
          <w:color w:val="auto"/>
          <w:sz w:val="21"/>
          <w:szCs w:val="21"/>
          <w:highlight w:val="none"/>
        </w:rPr>
        <w:t>；</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val="en-US" w:eastAsia="zh-CN"/>
        </w:rPr>
        <w:t>5、供应商</w:t>
      </w:r>
      <w:r>
        <w:rPr>
          <w:rFonts w:hint="eastAsia" w:ascii="仿宋" w:hAnsi="仿宋" w:eastAsia="仿宋" w:cs="仿宋"/>
          <w:color w:val="auto"/>
          <w:sz w:val="21"/>
          <w:szCs w:val="21"/>
          <w:highlight w:val="none"/>
        </w:rPr>
        <w:t>所作的其他</w:t>
      </w:r>
      <w:r>
        <w:rPr>
          <w:rFonts w:hint="eastAsia" w:ascii="仿宋" w:hAnsi="仿宋" w:eastAsia="仿宋" w:cs="仿宋"/>
          <w:color w:val="auto"/>
          <w:sz w:val="21"/>
          <w:szCs w:val="21"/>
          <w:highlight w:val="none"/>
          <w:lang w:eastAsia="zh-Hans"/>
        </w:rPr>
        <w:t>书面</w:t>
      </w:r>
      <w:r>
        <w:rPr>
          <w:rFonts w:hint="eastAsia" w:ascii="仿宋" w:hAnsi="仿宋" w:eastAsia="仿宋" w:cs="仿宋"/>
          <w:color w:val="auto"/>
          <w:sz w:val="21"/>
          <w:szCs w:val="21"/>
          <w:highlight w:val="none"/>
        </w:rPr>
        <w:t>承诺</w:t>
      </w:r>
      <w:r>
        <w:rPr>
          <w:rFonts w:hint="eastAsia" w:ascii="仿宋" w:hAnsi="仿宋" w:eastAsia="仿宋" w:cs="仿宋"/>
          <w:color w:val="auto"/>
          <w:sz w:val="21"/>
          <w:szCs w:val="21"/>
          <w:highlight w:val="none"/>
          <w:lang w:eastAsia="zh-CN"/>
        </w:rPr>
        <w:t>；</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6、</w:t>
      </w:r>
      <w:r>
        <w:rPr>
          <w:rFonts w:hint="eastAsia" w:ascii="仿宋" w:hAnsi="仿宋" w:eastAsia="仿宋" w:cs="仿宋"/>
          <w:color w:val="auto"/>
          <w:sz w:val="21"/>
          <w:szCs w:val="21"/>
          <w:highlight w:val="none"/>
        </w:rPr>
        <w:t>在合同履行过程中形成的与合同有关的文件均构成合同文件组成部分。</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上述各项合同文件包括合同当事人就该项合同文件所作出的补充和修改，属于同一类内容的文件，应以最新签署的为准。</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九、合同条款的可分割性</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如果本合同的任何条款被司法机关或其它有权机关宣布为无效、非法或其它形式的不可执行，本合同其它条款仍然有效，双方均应遵照执行。</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十、合同使用文字及效力</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除甲乙双方另行书面约定外，本合同项下所有文件、资料、工作说明书、产品说明书、手册、书信、电传、通知、电子邮件及其他书面文件若包含中文及其他语言文字的，均应以中文或中文含义为准。</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十一、廉洁规定</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及乙方人员应严格遵守国家有关法律法规规定，遵守商业道德和市场规则，禁止商业贿赂，禁止不正当竞争，不得向甲方有关工作人员提供任何形式的回扣、现金、实物、证券、礼券等有价物品或邀请甲方相关工作人员参加旅游、高档宴请等其他可能影响职务行为公正履行的活动。否则，甲方有权将乙方列入不诚信供应商名单并进行公开通报。乙方因违反廉洁规定的行为而获得的非法所得，应返还甲方，因此导致甲方遭受损失的，乙方应赔偿甲方全部损失。</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第十</w:t>
      </w:r>
      <w:r>
        <w:rPr>
          <w:rFonts w:hint="eastAsia" w:ascii="仿宋" w:hAnsi="仿宋" w:eastAsia="仿宋" w:cs="仿宋"/>
          <w:b/>
          <w:color w:val="auto"/>
          <w:sz w:val="21"/>
          <w:szCs w:val="21"/>
          <w:highlight w:val="none"/>
          <w:lang w:val="en-US" w:eastAsia="zh-CN"/>
        </w:rPr>
        <w:t>三</w:t>
      </w:r>
      <w:r>
        <w:rPr>
          <w:rFonts w:hint="eastAsia" w:ascii="仿宋" w:hAnsi="仿宋" w:eastAsia="仿宋" w:cs="仿宋"/>
          <w:b/>
          <w:color w:val="auto"/>
          <w:sz w:val="21"/>
          <w:szCs w:val="21"/>
          <w:highlight w:val="none"/>
        </w:rPr>
        <w:t>条 违约责任</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一、乙方的违约行为及责任</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交付的货物存在损坏或短缺，或货物品牌、型号、配置性能、货物质量等不符合合同约定的，乙方应当按照甲方要求立即进行整改，予以无条件维修、更换或退货，并承担由此产生的全部费用。在乙方按要求完成整改前，甲方有权拒付相应合同价款。乙方拒绝整改的，甲方有权解除合同，按本合同的约定追究乙方违约责任。乙方因整改未按本合同要求的时间交货或未按本合同约定的期限履行安装调试义务的，视为逾期，甲方有权按照本合同的约定行使权利。</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未按约定交付期限向甲方交付货物或完成安装调试服务、集成服务工作的，乙方应自逾期之日起按照合同总价的</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‰乘以逾期天数向甲方支付违约金；如果乙方逾期</w:t>
      </w:r>
      <w:r>
        <w:rPr>
          <w:rFonts w:hint="eastAsia" w:ascii="仿宋" w:hAnsi="仿宋" w:eastAsia="仿宋" w:cs="仿宋"/>
          <w:color w:val="auto"/>
          <w:sz w:val="21"/>
          <w:szCs w:val="21"/>
          <w:highlight w:val="none"/>
          <w:lang w:val="en-US" w:eastAsia="zh-CN"/>
        </w:rPr>
        <w:t>30</w:t>
      </w:r>
      <w:r>
        <w:rPr>
          <w:rFonts w:hint="eastAsia" w:ascii="仿宋" w:hAnsi="仿宋" w:eastAsia="仿宋" w:cs="仿宋"/>
          <w:color w:val="auto"/>
          <w:sz w:val="21"/>
          <w:szCs w:val="21"/>
          <w:highlight w:val="none"/>
        </w:rPr>
        <w:t>日以上仍未交付货物或完成安装调试服务、集成服务的，甲方有权解除本合同，按本合同的约定追究乙方违约责任。</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乙方提供的安装调试服务或集成服务验收不合格，应当重新进行安装调试或集成工作，并与甲方约定新的</w:t>
      </w:r>
      <w:r>
        <w:rPr>
          <w:rFonts w:hint="eastAsia" w:ascii="仿宋" w:hAnsi="仿宋" w:eastAsia="仿宋" w:cs="仿宋"/>
          <w:color w:val="auto"/>
          <w:sz w:val="21"/>
          <w:szCs w:val="21"/>
          <w:highlight w:val="none"/>
          <w:u w:val="none"/>
        </w:rPr>
        <w:t>验收时间进行验收。如果连续经过</w:t>
      </w:r>
      <w:r>
        <w:rPr>
          <w:rFonts w:hint="eastAsia" w:ascii="仿宋" w:hAnsi="仿宋" w:eastAsia="仿宋" w:cs="仿宋"/>
          <w:color w:val="auto"/>
          <w:sz w:val="21"/>
          <w:szCs w:val="21"/>
          <w:highlight w:val="none"/>
          <w:u w:val="none"/>
          <w:lang w:val="en-US" w:eastAsia="zh-CN"/>
        </w:rPr>
        <w:t>2</w:t>
      </w:r>
      <w:r>
        <w:rPr>
          <w:rFonts w:hint="eastAsia" w:ascii="仿宋" w:hAnsi="仿宋" w:eastAsia="仿宋" w:cs="仿宋"/>
          <w:color w:val="auto"/>
          <w:sz w:val="21"/>
          <w:szCs w:val="21"/>
          <w:highlight w:val="none"/>
          <w:u w:val="none"/>
        </w:rPr>
        <w:t>次验收均不合格或自合同约定的安装调试或集成服务应当完成之日起</w:t>
      </w:r>
      <w:r>
        <w:rPr>
          <w:rFonts w:hint="eastAsia" w:ascii="仿宋" w:hAnsi="仿宋" w:eastAsia="仿宋" w:cs="仿宋"/>
          <w:color w:val="auto"/>
          <w:sz w:val="21"/>
          <w:szCs w:val="21"/>
          <w:highlight w:val="none"/>
          <w:u w:val="none"/>
          <w:lang w:val="en-US" w:eastAsia="zh-CN"/>
        </w:rPr>
        <w:t>30</w:t>
      </w:r>
      <w:r>
        <w:rPr>
          <w:rFonts w:hint="eastAsia" w:ascii="仿宋" w:hAnsi="仿宋" w:eastAsia="仿宋" w:cs="仿宋"/>
          <w:color w:val="auto"/>
          <w:sz w:val="21"/>
          <w:szCs w:val="21"/>
          <w:highlight w:val="none"/>
        </w:rPr>
        <w:t>日内仍不能验收合格的（以最先届至的为准），甲方有权选择行使下列权利：1、解除本合同，乙方向甲方返还甲方已支付的全部价款（对于未支付的价款，甲方不再支付），乙方同时应按合同总价的</w:t>
      </w:r>
      <w:r>
        <w:rPr>
          <w:rFonts w:hint="eastAsia" w:ascii="仿宋" w:hAnsi="仿宋" w:eastAsia="仿宋" w:cs="仿宋"/>
          <w:color w:val="auto"/>
          <w:sz w:val="21"/>
          <w:szCs w:val="21"/>
          <w:highlight w:val="none"/>
          <w:lang w:val="en-US" w:eastAsia="zh-CN"/>
        </w:rPr>
        <w:t>30%</w:t>
      </w:r>
      <w:r>
        <w:rPr>
          <w:rFonts w:hint="eastAsia" w:ascii="仿宋" w:hAnsi="仿宋" w:eastAsia="仿宋" w:cs="仿宋"/>
          <w:color w:val="auto"/>
          <w:sz w:val="21"/>
          <w:szCs w:val="21"/>
          <w:highlight w:val="none"/>
        </w:rPr>
        <w:t>向甲方支付违约金，违约金不足以弥补甲方损失的，乙方还应赔偿甲方遭受的全部损失。2、要求重新提供符合合同约定的服务，乙方同时应按合同总价的</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向甲方支付违约金，违约金不足以弥补甲方损失的，乙方还应赔偿甲方遭受的全部损失。</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乙方违反“承诺与保证”条款中任一约定的，甲方有权解除本合同，并按本合同的约定追究乙方违约责任。</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未按本合同约定履行培训服务、维护支持服务或其他约定义务的，应按照甲方要求承担继续履行、采取补救措施和赔偿损失等违约责任，并按以下约定向甲方支付违约金：对于超过时限不履行义务的，乙方应自逾期之日起按照合同总价的</w:t>
      </w:r>
      <w:r>
        <w:rPr>
          <w:rFonts w:hint="eastAsia" w:ascii="仿宋" w:hAnsi="仿宋" w:eastAsia="仿宋" w:cs="仿宋"/>
          <w:color w:val="auto"/>
          <w:sz w:val="21"/>
          <w:szCs w:val="21"/>
          <w:highlight w:val="none"/>
          <w:lang w:val="en-US" w:eastAsia="zh-CN"/>
        </w:rPr>
        <w:t>3</w:t>
      </w:r>
      <w:r>
        <w:rPr>
          <w:rFonts w:hint="eastAsia" w:ascii="仿宋" w:hAnsi="仿宋" w:eastAsia="仿宋" w:cs="仿宋"/>
          <w:color w:val="auto"/>
          <w:sz w:val="21"/>
          <w:szCs w:val="21"/>
          <w:highlight w:val="none"/>
        </w:rPr>
        <w:t>‰乘以逾期天数向甲方支付违约金；对于其他违约情形的，乙方应就每一违约事件按照合同总价的</w:t>
      </w:r>
      <w:r>
        <w:rPr>
          <w:rFonts w:hint="eastAsia" w:ascii="仿宋" w:hAnsi="仿宋" w:eastAsia="仿宋" w:cs="仿宋"/>
          <w:color w:val="auto"/>
          <w:sz w:val="21"/>
          <w:szCs w:val="21"/>
          <w:highlight w:val="none"/>
          <w:lang w:val="en-US" w:eastAsia="zh-CN"/>
        </w:rPr>
        <w:t>5</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向甲方支付违约金。违约金不足以补偿甲方损失的，乙方还应赔偿甲方遭受的全部损失。甲方认为违约行为已对甲方项目工作造成重大不利影响或者经甲方催告后乙方仍未提供支持维护服务、培训服务或其他约定义务的，甲方同时有权解除本合同。</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乙方应当向甲方支付违约金或赔偿金的，应当在甲方发出索赔通知后</w:t>
      </w:r>
      <w:r>
        <w:rPr>
          <w:rFonts w:hint="eastAsia" w:ascii="仿宋" w:hAnsi="仿宋" w:eastAsia="仿宋" w:cs="仿宋"/>
          <w:color w:val="auto"/>
          <w:sz w:val="21"/>
          <w:szCs w:val="21"/>
          <w:highlight w:val="none"/>
          <w:lang w:val="en-US" w:eastAsia="zh-CN"/>
        </w:rPr>
        <w:t>7</w:t>
      </w:r>
      <w:r>
        <w:rPr>
          <w:rFonts w:hint="eastAsia" w:ascii="仿宋" w:hAnsi="仿宋" w:eastAsia="仿宋" w:cs="仿宋"/>
          <w:color w:val="auto"/>
          <w:sz w:val="21"/>
          <w:szCs w:val="21"/>
          <w:highlight w:val="none"/>
        </w:rPr>
        <w:t>日之内支付给甲方。如甲方尚有未向乙方支付的款项的，乙方同意甲方有权从未支付款项中扣除相应数额的款项。</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上述所称损失是指直接损失和间接损失，包括但不限于诉讼费</w:t>
      </w:r>
      <w:bookmarkStart w:id="55" w:name="_Hlk536734292"/>
      <w:r>
        <w:rPr>
          <w:rFonts w:hint="eastAsia" w:ascii="仿宋" w:hAnsi="仿宋" w:eastAsia="仿宋" w:cs="仿宋"/>
          <w:color w:val="auto"/>
          <w:sz w:val="21"/>
          <w:szCs w:val="21"/>
          <w:highlight w:val="none"/>
        </w:rPr>
        <w:t>/仲裁费、保全费、执行费</w:t>
      </w:r>
      <w:bookmarkEnd w:id="55"/>
      <w:r>
        <w:rPr>
          <w:rFonts w:hint="eastAsia" w:ascii="仿宋" w:hAnsi="仿宋" w:eastAsia="仿宋" w:cs="仿宋"/>
          <w:color w:val="auto"/>
          <w:sz w:val="21"/>
          <w:szCs w:val="21"/>
          <w:highlight w:val="none"/>
        </w:rPr>
        <w:t>、律师费及调查取证费、鉴定费、公证费、公告费、评估费等相关费用。</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二、甲方的违约行为及责任</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甲方违反本合同约定逾期支付合同价款且经乙方书面催告后仍未及时支付的，甲方应自逾期之日起按照逾期支付合同价款的</w:t>
      </w: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 xml:space="preserve">‰乘以逾期天数向乙方支付违约金。 </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第十</w:t>
      </w:r>
      <w:r>
        <w:rPr>
          <w:rFonts w:hint="eastAsia" w:ascii="仿宋" w:hAnsi="仿宋" w:eastAsia="仿宋" w:cs="仿宋"/>
          <w:b/>
          <w:color w:val="auto"/>
          <w:sz w:val="21"/>
          <w:szCs w:val="21"/>
          <w:highlight w:val="none"/>
          <w:lang w:val="en-US" w:eastAsia="zh-CN"/>
        </w:rPr>
        <w:t>四</w:t>
      </w:r>
      <w:r>
        <w:rPr>
          <w:rFonts w:hint="eastAsia" w:ascii="仿宋" w:hAnsi="仿宋" w:eastAsia="仿宋" w:cs="仿宋"/>
          <w:b/>
          <w:color w:val="auto"/>
          <w:sz w:val="21"/>
          <w:szCs w:val="21"/>
          <w:highlight w:val="none"/>
        </w:rPr>
        <w:t>条 法律适用与争议的解决</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本合同适用中华人民共和国法律。</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凡因本合同引起的或与本合同有关的任何争议，双方可通过协商解决，协商不成，</w:t>
      </w:r>
      <w:r>
        <w:rPr>
          <w:rFonts w:hint="eastAsia" w:ascii="仿宋" w:hAnsi="仿宋" w:eastAsia="仿宋" w:cs="仿宋"/>
          <w:color w:val="auto"/>
          <w:sz w:val="21"/>
          <w:szCs w:val="21"/>
          <w:highlight w:val="none"/>
          <w:u w:val="none"/>
        </w:rPr>
        <w:t>按照以下第</w:t>
      </w:r>
      <w:r>
        <w:rPr>
          <w:rFonts w:hint="eastAsia" w:ascii="仿宋" w:hAnsi="仿宋" w:eastAsia="仿宋" w:cs="仿宋"/>
          <w:color w:val="auto"/>
          <w:sz w:val="21"/>
          <w:szCs w:val="21"/>
          <w:highlight w:val="none"/>
          <w:u w:val="none"/>
          <w:lang w:val="en-US" w:eastAsia="zh-CN"/>
        </w:rPr>
        <w:t>2</w:t>
      </w:r>
      <w:r>
        <w:rPr>
          <w:rFonts w:hint="eastAsia" w:ascii="仿宋" w:hAnsi="仿宋" w:eastAsia="仿宋" w:cs="仿宋"/>
          <w:color w:val="auto"/>
          <w:sz w:val="21"/>
          <w:szCs w:val="21"/>
          <w:highlight w:val="none"/>
          <w:u w:val="none"/>
        </w:rPr>
        <w:t>种方式解决：</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1、向甲方住所地有管辖权的人民法院起诉。</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2、将争议提交杭州仲裁委员会并按照申请仲裁时该会现行有效的仲裁规则进行仲裁。仲裁裁决是终局的，对双方均有约束力。</w:t>
      </w:r>
    </w:p>
    <w:p>
      <w:pPr>
        <w:keepNext w:val="0"/>
        <w:keepLines w:val="0"/>
        <w:pageBreakBefore w:val="0"/>
        <w:widowControl w:val="0"/>
        <w:kinsoku/>
        <w:wordWrap/>
        <w:overflowPunct/>
        <w:topLinePunct w:val="0"/>
        <w:autoSpaceDE/>
        <w:autoSpaceDN/>
        <w:bidi w:val="0"/>
        <w:spacing w:line="288" w:lineRule="auto"/>
        <w:ind w:firstLine="388" w:firstLineChars="200"/>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在诉讼或仲裁期间，本合同不涉及争议的条款仍须履行。</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第十</w:t>
      </w:r>
      <w:r>
        <w:rPr>
          <w:rFonts w:hint="eastAsia" w:ascii="仿宋" w:hAnsi="仿宋" w:eastAsia="仿宋" w:cs="仿宋"/>
          <w:b/>
          <w:color w:val="auto"/>
          <w:sz w:val="21"/>
          <w:szCs w:val="21"/>
          <w:highlight w:val="none"/>
          <w:lang w:val="en-US" w:eastAsia="zh-CN"/>
        </w:rPr>
        <w:t>五</w:t>
      </w:r>
      <w:r>
        <w:rPr>
          <w:rFonts w:hint="eastAsia" w:ascii="仿宋" w:hAnsi="仿宋" w:eastAsia="仿宋" w:cs="仿宋"/>
          <w:b/>
          <w:color w:val="auto"/>
          <w:sz w:val="21"/>
          <w:szCs w:val="21"/>
          <w:highlight w:val="none"/>
        </w:rPr>
        <w:t xml:space="preserve">条 合同的生效、变更及合同份数 </w:t>
      </w:r>
    </w:p>
    <w:p>
      <w:pPr>
        <w:keepNext w:val="0"/>
        <w:keepLines w:val="0"/>
        <w:pageBreakBefore w:val="0"/>
        <w:widowControl w:val="0"/>
        <w:kinsoku/>
        <w:wordWrap/>
        <w:overflowPunct/>
        <w:topLinePunct w:val="0"/>
        <w:autoSpaceDE/>
        <w:autoSpaceDN/>
        <w:bidi w:val="0"/>
        <w:adjustRightInd w:val="0"/>
        <w:snapToGrid w:val="0"/>
        <w:spacing w:line="288" w:lineRule="auto"/>
        <w:ind w:firstLine="388" w:firstLineChars="200"/>
        <w:textAlignment w:val="auto"/>
        <w:rPr>
          <w:rFonts w:hint="eastAsia" w:ascii="仿宋" w:hAnsi="仿宋" w:eastAsia="仿宋" w:cs="仿宋"/>
          <w:b/>
          <w:color w:val="auto"/>
          <w:sz w:val="21"/>
          <w:szCs w:val="21"/>
          <w:highlight w:val="none"/>
        </w:rPr>
      </w:pPr>
      <w:r>
        <w:rPr>
          <w:rFonts w:hint="eastAsia" w:ascii="仿宋" w:hAnsi="仿宋" w:eastAsia="仿宋" w:cs="仿宋"/>
          <w:color w:val="auto"/>
          <w:sz w:val="21"/>
          <w:szCs w:val="21"/>
          <w:highlight w:val="none"/>
        </w:rPr>
        <w:t>本合同经甲方法定代表人或授权代表签字并盖章、乙方法定代表人（负责人）或授权代表签字或盖章后生效。本合同生效后，未经双方共同协商并达成书面协议，任何一方不得擅自变更本合同约定。本合同正本一式</w:t>
      </w:r>
      <w:r>
        <w:rPr>
          <w:rFonts w:hint="eastAsia" w:ascii="仿宋" w:hAnsi="仿宋" w:eastAsia="仿宋" w:cs="仿宋"/>
          <w:color w:val="auto"/>
          <w:sz w:val="21"/>
          <w:szCs w:val="21"/>
          <w:highlight w:val="none"/>
          <w:lang w:val="en-US" w:eastAsia="zh-CN"/>
        </w:rPr>
        <w:t>伍</w:t>
      </w:r>
      <w:r>
        <w:rPr>
          <w:rFonts w:hint="eastAsia" w:ascii="仿宋" w:hAnsi="仿宋" w:eastAsia="仿宋" w:cs="仿宋"/>
          <w:color w:val="auto"/>
          <w:sz w:val="21"/>
          <w:szCs w:val="21"/>
          <w:highlight w:val="none"/>
        </w:rPr>
        <w:t>份，甲方执</w:t>
      </w:r>
      <w:r>
        <w:rPr>
          <w:rFonts w:hint="eastAsia" w:ascii="仿宋" w:hAnsi="仿宋" w:eastAsia="仿宋" w:cs="仿宋"/>
          <w:color w:val="auto"/>
          <w:sz w:val="21"/>
          <w:szCs w:val="21"/>
          <w:highlight w:val="none"/>
          <w:u w:val="none"/>
          <w:lang w:val="en-US" w:eastAsia="zh-CN"/>
        </w:rPr>
        <w:t>贰</w:t>
      </w:r>
      <w:r>
        <w:rPr>
          <w:rFonts w:hint="eastAsia" w:ascii="仿宋" w:hAnsi="仿宋" w:eastAsia="仿宋" w:cs="仿宋"/>
          <w:color w:val="auto"/>
          <w:sz w:val="21"/>
          <w:szCs w:val="21"/>
          <w:highlight w:val="none"/>
        </w:rPr>
        <w:t>份，乙方执</w:t>
      </w:r>
      <w:r>
        <w:rPr>
          <w:rFonts w:hint="eastAsia" w:ascii="仿宋" w:hAnsi="仿宋" w:eastAsia="仿宋" w:cs="仿宋"/>
          <w:color w:val="auto"/>
          <w:sz w:val="21"/>
          <w:szCs w:val="21"/>
          <w:highlight w:val="none"/>
          <w:u w:val="none"/>
          <w:lang w:val="en-US" w:eastAsia="zh-CN"/>
        </w:rPr>
        <w:t>贰</w:t>
      </w:r>
      <w:r>
        <w:rPr>
          <w:rFonts w:hint="eastAsia" w:ascii="仿宋" w:hAnsi="仿宋" w:eastAsia="仿宋" w:cs="仿宋"/>
          <w:color w:val="auto"/>
          <w:sz w:val="21"/>
          <w:szCs w:val="21"/>
          <w:highlight w:val="none"/>
        </w:rPr>
        <w:t>份</w:t>
      </w:r>
      <w:r>
        <w:rPr>
          <w:rFonts w:hint="eastAsia" w:ascii="仿宋" w:hAnsi="仿宋" w:eastAsia="仿宋" w:cs="仿宋"/>
          <w:color w:val="auto"/>
          <w:sz w:val="21"/>
          <w:szCs w:val="21"/>
          <w:highlight w:val="none"/>
          <w:u w:val="none"/>
        </w:rPr>
        <w:t>，鉴证方执</w:t>
      </w:r>
      <w:r>
        <w:rPr>
          <w:rFonts w:hint="eastAsia" w:ascii="仿宋" w:hAnsi="仿宋" w:eastAsia="仿宋" w:cs="仿宋"/>
          <w:color w:val="auto"/>
          <w:sz w:val="21"/>
          <w:szCs w:val="21"/>
          <w:highlight w:val="none"/>
          <w:u w:val="none"/>
          <w:lang w:val="en-US" w:eastAsia="zh-CN"/>
        </w:rPr>
        <w:t>壹</w:t>
      </w:r>
      <w:r>
        <w:rPr>
          <w:rFonts w:hint="eastAsia" w:ascii="仿宋" w:hAnsi="仿宋" w:eastAsia="仿宋" w:cs="仿宋"/>
          <w:color w:val="auto"/>
          <w:sz w:val="21"/>
          <w:szCs w:val="21"/>
          <w:highlight w:val="none"/>
          <w:u w:val="none"/>
        </w:rPr>
        <w:t>份，均具有同等法律效力。</w:t>
      </w:r>
    </w:p>
    <w:p>
      <w:pPr>
        <w:keepNext w:val="0"/>
        <w:keepLines w:val="0"/>
        <w:pageBreakBefore w:val="0"/>
        <w:widowControl w:val="0"/>
        <w:kinsoku/>
        <w:wordWrap/>
        <w:overflowPunct/>
        <w:topLinePunct w:val="0"/>
        <w:autoSpaceDE/>
        <w:autoSpaceDN/>
        <w:bidi w:val="0"/>
        <w:snapToGrid w:val="0"/>
        <w:spacing w:line="288" w:lineRule="auto"/>
        <w:ind w:firstLine="388" w:firstLineChars="200"/>
        <w:textAlignment w:val="auto"/>
        <w:rPr>
          <w:rFonts w:hint="eastAsia" w:ascii="仿宋" w:hAnsi="仿宋" w:eastAsia="仿宋" w:cs="仿宋"/>
          <w:color w:val="auto"/>
          <w:sz w:val="21"/>
          <w:szCs w:val="21"/>
          <w:highlight w:val="none"/>
          <w:u w:val="none"/>
          <w:lang w:eastAsia="zh-CN"/>
        </w:rPr>
      </w:pPr>
      <w:r>
        <w:rPr>
          <w:rFonts w:hint="eastAsia" w:ascii="仿宋" w:hAnsi="仿宋" w:eastAsia="仿宋" w:cs="仿宋"/>
          <w:b/>
          <w:color w:val="auto"/>
          <w:sz w:val="21"/>
          <w:szCs w:val="21"/>
          <w:highlight w:val="none"/>
        </w:rPr>
        <w:t>第十</w:t>
      </w:r>
      <w:r>
        <w:rPr>
          <w:rFonts w:hint="eastAsia" w:ascii="仿宋" w:hAnsi="仿宋" w:eastAsia="仿宋" w:cs="仿宋"/>
          <w:b/>
          <w:color w:val="auto"/>
          <w:sz w:val="21"/>
          <w:szCs w:val="21"/>
          <w:highlight w:val="none"/>
          <w:lang w:val="en-US" w:eastAsia="zh-CN"/>
        </w:rPr>
        <w:t>六</w:t>
      </w:r>
      <w:r>
        <w:rPr>
          <w:rFonts w:hint="eastAsia" w:ascii="仿宋" w:hAnsi="仿宋" w:eastAsia="仿宋" w:cs="仿宋"/>
          <w:b/>
          <w:color w:val="auto"/>
          <w:sz w:val="21"/>
          <w:szCs w:val="21"/>
          <w:highlight w:val="none"/>
        </w:rPr>
        <w:t>条  双方补充约定的其他事项：</w:t>
      </w:r>
      <w:r>
        <w:rPr>
          <w:rFonts w:hint="eastAsia" w:ascii="仿宋" w:hAnsi="仿宋" w:eastAsia="仿宋" w:cs="仿宋"/>
          <w:color w:val="auto"/>
          <w:sz w:val="21"/>
          <w:szCs w:val="21"/>
          <w:highlight w:val="none"/>
          <w:u w:val="none"/>
          <w:lang w:eastAsia="zh-CN"/>
        </w:rPr>
        <w:t>【</w:t>
      </w:r>
      <w:r>
        <w:rPr>
          <w:rFonts w:hint="eastAsia" w:ascii="仿宋" w:hAnsi="仿宋" w:eastAsia="仿宋" w:cs="仿宋"/>
          <w:color w:val="auto"/>
          <w:sz w:val="21"/>
          <w:szCs w:val="21"/>
          <w:highlight w:val="none"/>
          <w:u w:val="none"/>
        </w:rPr>
        <w:t xml:space="preserve">            </w:t>
      </w:r>
      <w:r>
        <w:rPr>
          <w:rFonts w:hint="eastAsia" w:ascii="仿宋" w:hAnsi="仿宋" w:eastAsia="仿宋" w:cs="仿宋"/>
          <w:color w:val="auto"/>
          <w:sz w:val="21"/>
          <w:szCs w:val="21"/>
          <w:highlight w:val="none"/>
          <w:u w:val="none"/>
          <w:lang w:eastAsia="zh-CN"/>
        </w:rPr>
        <w:t>】</w:t>
      </w:r>
    </w:p>
    <w:p>
      <w:pPr>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br w:type="page"/>
      </w:r>
    </w:p>
    <w:p>
      <w:pPr>
        <w:snapToGrid w:val="0"/>
        <w:spacing w:line="360" w:lineRule="auto"/>
        <w:ind w:left="0" w:leftChars="0" w:right="0" w:rightChars="0" w:firstLine="0" w:firstLineChars="0"/>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【本页无正文，为签署页】</w:t>
      </w:r>
    </w:p>
    <w:tbl>
      <w:tblPr>
        <w:tblStyle w:val="37"/>
        <w:tblW w:w="9628"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14"/>
        <w:gridCol w:w="4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买方（盖章）：之江实验室</w:t>
            </w:r>
          </w:p>
          <w:p>
            <w:pPr>
              <w:rPr>
                <w:rFonts w:hint="eastAsia" w:ascii="仿宋" w:hAnsi="仿宋" w:eastAsia="仿宋" w:cs="仿宋"/>
                <w:color w:val="auto"/>
                <w:highlight w:val="none"/>
              </w:rPr>
            </w:pPr>
          </w:p>
          <w:p>
            <w:pPr>
              <w:rPr>
                <w:rFonts w:hint="eastAsia" w:ascii="仿宋" w:hAnsi="仿宋" w:eastAsia="仿宋" w:cs="仿宋"/>
                <w:color w:val="auto"/>
                <w:highlight w:val="none"/>
              </w:rPr>
            </w:pP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卖方（盖章）：</w:t>
            </w:r>
          </w:p>
          <w:p>
            <w:pPr>
              <w:rPr>
                <w:rFonts w:hint="eastAsia" w:ascii="仿宋" w:hAnsi="仿宋" w:eastAsia="仿宋" w:cs="仿宋"/>
                <w:color w:val="auto"/>
                <w:highlight w:val="none"/>
              </w:rPr>
            </w:pPr>
          </w:p>
          <w:p>
            <w:pPr>
              <w:rPr>
                <w:rFonts w:hint="eastAsia" w:ascii="仿宋" w:hAnsi="仿宋" w:eastAsia="仿宋" w:cs="仿宋"/>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法定代表人或授权代表（签字）：</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法定代表人或授权代表（签字）：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地址：中泰街道之江实验室新园区一期</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邮编：310000</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邮编：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电话：0571-56390521</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lang w:val="en-US" w:eastAsia="zh-CN"/>
              </w:rPr>
            </w:pPr>
            <w:r>
              <w:rPr>
                <w:rFonts w:hint="eastAsia" w:ascii="仿宋" w:hAnsi="仿宋" w:eastAsia="仿宋" w:cs="仿宋"/>
                <w:color w:val="auto"/>
                <w:highlight w:val="none"/>
              </w:rPr>
              <w:t>传真：</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传真：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开户银行：建行杭州宝石支行</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开户银行：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银行账号：33050161612709088888</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银行账号：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 xml:space="preserve">日期：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 xml:space="preserve">年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 xml:space="preserve">月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日</w:t>
            </w:r>
          </w:p>
        </w:tc>
        <w:tc>
          <w:tcPr>
            <w:tcW w:w="4814" w:type="dxa"/>
            <w:tcBorders>
              <w:tl2br w:val="nil"/>
              <w:tr2bl w:val="nil"/>
            </w:tcBorders>
            <w:vAlign w:val="center"/>
          </w:tcPr>
          <w:p>
            <w:pPr>
              <w:rPr>
                <w:rFonts w:hint="eastAsia" w:ascii="仿宋" w:hAnsi="仿宋" w:eastAsia="仿宋" w:cs="仿宋"/>
                <w:color w:val="auto"/>
                <w:highlight w:val="none"/>
              </w:rPr>
            </w:pPr>
            <w:r>
              <w:rPr>
                <w:rFonts w:hint="eastAsia" w:ascii="仿宋" w:hAnsi="仿宋" w:eastAsia="仿宋" w:cs="仿宋"/>
                <w:color w:val="auto"/>
                <w:highlight w:val="none"/>
              </w:rPr>
              <w:t xml:space="preserve">日期：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 xml:space="preserve">年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 xml:space="preserve">月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日</w:t>
            </w:r>
          </w:p>
        </w:tc>
      </w:tr>
    </w:tbl>
    <w:p>
      <w:pPr>
        <w:snapToGrid w:val="0"/>
        <w:spacing w:line="360" w:lineRule="auto"/>
        <w:rPr>
          <w:rFonts w:hint="eastAsia" w:ascii="仿宋" w:hAnsi="仿宋" w:eastAsia="仿宋" w:cs="仿宋"/>
          <w:color w:val="auto"/>
          <w:sz w:val="21"/>
          <w:szCs w:val="21"/>
          <w:highlight w:val="none"/>
        </w:rPr>
      </w:pPr>
    </w:p>
    <w:p>
      <w:pPr>
        <w:snapToGrid w:val="0"/>
        <w:spacing w:line="360" w:lineRule="auto"/>
        <w:ind w:firstLine="97" w:firstLineChars="5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鉴证方（盖章）：浙江求是招标代理有限公司</w:t>
      </w:r>
    </w:p>
    <w:p>
      <w:pPr>
        <w:snapToGrid w:val="0"/>
        <w:spacing w:line="360" w:lineRule="auto"/>
        <w:ind w:firstLine="97" w:firstLineChars="50"/>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法定代表人（负责人）或授权代表（签字）：</w:t>
      </w:r>
    </w:p>
    <w:p>
      <w:pPr>
        <w:snapToGrid w:val="0"/>
        <w:spacing w:line="360" w:lineRule="auto"/>
        <w:ind w:firstLine="97" w:firstLineChars="50"/>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电话：</w:t>
      </w:r>
      <w:r>
        <w:rPr>
          <w:rFonts w:hint="eastAsia" w:ascii="仿宋" w:hAnsi="仿宋" w:eastAsia="仿宋" w:cs="仿宋"/>
          <w:color w:val="auto"/>
          <w:sz w:val="21"/>
          <w:szCs w:val="21"/>
          <w:highlight w:val="none"/>
          <w:lang w:val="en-US" w:eastAsia="zh-CN"/>
        </w:rPr>
        <w:t>0571-87679349</w:t>
      </w:r>
    </w:p>
    <w:p>
      <w:pPr>
        <w:snapToGrid w:val="0"/>
        <w:spacing w:line="360" w:lineRule="auto"/>
        <w:ind w:firstLine="97" w:firstLineChars="50"/>
        <w:rPr>
          <w:rFonts w:hint="default"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地址：</w:t>
      </w:r>
      <w:r>
        <w:rPr>
          <w:rFonts w:hint="eastAsia" w:ascii="仿宋" w:hAnsi="仿宋" w:eastAsia="仿宋" w:cs="仿宋"/>
          <w:color w:val="auto"/>
          <w:sz w:val="21"/>
          <w:szCs w:val="21"/>
          <w:highlight w:val="none"/>
          <w:lang w:val="en-US" w:eastAsia="zh-CN"/>
        </w:rPr>
        <w:t>杭州市西湖区玉古路173号中田大厦21楼</w:t>
      </w:r>
    </w:p>
    <w:p>
      <w:pPr>
        <w:snapToGrid w:val="0"/>
        <w:spacing w:line="360" w:lineRule="auto"/>
        <w:ind w:firstLine="97" w:firstLineChars="50"/>
        <w:rPr>
          <w:rFonts w:ascii="宋体" w:hAnsi="宋体" w:eastAsia="宋体"/>
          <w:color w:val="auto"/>
          <w:sz w:val="24"/>
          <w:szCs w:val="24"/>
          <w:highlight w:val="none"/>
        </w:rPr>
      </w:pPr>
      <w:r>
        <w:rPr>
          <w:rFonts w:hint="eastAsia" w:ascii="仿宋" w:hAnsi="仿宋" w:eastAsia="仿宋" w:cs="仿宋"/>
          <w:color w:val="auto"/>
          <w:sz w:val="21"/>
          <w:szCs w:val="21"/>
          <w:highlight w:val="none"/>
        </w:rPr>
        <w:t>日期：</w:t>
      </w:r>
      <w:r>
        <w:rPr>
          <w:rFonts w:hint="eastAsia" w:ascii="仿宋" w:hAnsi="仿宋" w:eastAsia="仿宋" w:cs="仿宋"/>
          <w:color w:val="auto"/>
          <w:highlight w:val="none"/>
        </w:rPr>
        <w:t xml:space="preserve">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 xml:space="preserve">年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 xml:space="preserve">月 </w:t>
      </w:r>
      <w:r>
        <w:rPr>
          <w:rFonts w:hint="eastAsia" w:ascii="仿宋" w:hAnsi="仿宋" w:eastAsia="仿宋" w:cs="仿宋"/>
          <w:color w:val="auto"/>
          <w:highlight w:val="none"/>
          <w:lang w:val="en-US" w:eastAsia="zh-CN"/>
        </w:rPr>
        <w:t xml:space="preserve">  </w:t>
      </w:r>
      <w:r>
        <w:rPr>
          <w:rFonts w:hint="eastAsia" w:ascii="仿宋" w:hAnsi="仿宋" w:eastAsia="仿宋" w:cs="仿宋"/>
          <w:color w:val="auto"/>
          <w:highlight w:val="none"/>
        </w:rPr>
        <w:t>日</w:t>
      </w:r>
    </w:p>
    <w:p>
      <w:pPr>
        <w:adjustRightInd w:val="0"/>
        <w:snapToGrid w:val="0"/>
        <w:spacing w:before="145" w:after="145" w:line="360" w:lineRule="auto"/>
        <w:rPr>
          <w:rFonts w:ascii="宋体" w:hAnsi="宋体" w:eastAsia="宋体" w:cs="黑体"/>
          <w:color w:val="auto"/>
          <w:sz w:val="24"/>
          <w:szCs w:val="24"/>
          <w:highlight w:val="none"/>
        </w:rPr>
        <w:sectPr>
          <w:headerReference r:id="rId8" w:type="default"/>
          <w:footerReference r:id="rId9" w:type="default"/>
          <w:type w:val="continuous"/>
          <w:pgSz w:w="11906" w:h="16838"/>
          <w:pgMar w:top="1440" w:right="1247" w:bottom="1440" w:left="1247" w:header="283" w:footer="850" w:gutter="0"/>
          <w:pgNumType w:fmt="decimal"/>
          <w:cols w:space="0" w:num="1"/>
          <w:rtlGutter w:val="0"/>
          <w:docGrid w:type="linesAndChars" w:linePitch="290" w:charSpace="-3420"/>
        </w:sectPr>
      </w:pPr>
    </w:p>
    <w:p>
      <w:pPr>
        <w:rPr>
          <w:rFonts w:hint="eastAsia" w:ascii="宋体" w:hAnsi="宋体" w:eastAsia="宋体" w:cs="黑体"/>
          <w:b/>
          <w:color w:val="auto"/>
          <w:sz w:val="24"/>
          <w:szCs w:val="24"/>
          <w:highlight w:val="none"/>
        </w:rPr>
      </w:pPr>
      <w:r>
        <w:rPr>
          <w:rFonts w:hint="eastAsia" w:ascii="宋体" w:hAnsi="宋体" w:eastAsia="宋体" w:cs="黑体"/>
          <w:b/>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288" w:lineRule="auto"/>
        <w:ind w:right="0" w:rightChars="0"/>
        <w:jc w:val="both"/>
        <w:textAlignment w:val="auto"/>
        <w:outlineLvl w:val="9"/>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附件1：《货物配置清单》</w:t>
      </w:r>
    </w:p>
    <w:p>
      <w:pPr>
        <w:widowControl/>
        <w:spacing w:line="360" w:lineRule="auto"/>
        <w:jc w:val="left"/>
        <w:rPr>
          <w:rFonts w:ascii="宋体" w:hAnsi="宋体" w:eastAsia="宋体" w:cs="黑体"/>
          <w:b/>
          <w:color w:val="auto"/>
          <w:sz w:val="24"/>
          <w:szCs w:val="24"/>
          <w:highlight w:val="none"/>
        </w:rPr>
      </w:pPr>
      <w:r>
        <w:rPr>
          <w:rFonts w:ascii="宋体" w:hAnsi="宋体" w:eastAsia="宋体" w:cs="黑体"/>
          <w:b/>
          <w:color w:val="auto"/>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288" w:lineRule="auto"/>
        <w:ind w:right="0" w:rightChars="0"/>
        <w:jc w:val="both"/>
        <w:textAlignment w:val="auto"/>
        <w:outlineLvl w:val="9"/>
        <w:rPr>
          <w:rFonts w:hint="eastAsia" w:ascii="宋体" w:hAnsi="宋体" w:eastAsia="宋体" w:cs="黑体"/>
          <w:b/>
          <w:color w:val="auto"/>
          <w:sz w:val="24"/>
          <w:szCs w:val="24"/>
          <w:highlight w:val="none"/>
        </w:rPr>
        <w:sectPr>
          <w:headerReference r:id="rId10" w:type="default"/>
          <w:footerReference r:id="rId11" w:type="default"/>
          <w:type w:val="continuous"/>
          <w:pgSz w:w="11906" w:h="16838"/>
          <w:pgMar w:top="1440" w:right="1247" w:bottom="1440" w:left="1247" w:header="283" w:footer="850" w:gutter="0"/>
          <w:pgNumType w:fmt="decimal"/>
          <w:cols w:space="0" w:num="1"/>
          <w:rtlGutter w:val="0"/>
          <w:docGrid w:linePitch="381" w:charSpace="0"/>
        </w:sectPr>
      </w:pPr>
      <w:r>
        <w:rPr>
          <w:rFonts w:hint="eastAsia" w:ascii="仿宋" w:hAnsi="仿宋" w:eastAsia="仿宋" w:cs="仿宋"/>
          <w:b/>
          <w:color w:val="auto"/>
          <w:sz w:val="21"/>
          <w:szCs w:val="21"/>
          <w:highlight w:val="none"/>
        </w:rPr>
        <w:t>附件2：《售后服务承诺》</w:t>
      </w:r>
    </w:p>
    <w:p>
      <w:pPr>
        <w:rPr>
          <w:rFonts w:hint="eastAsia" w:ascii="仿宋" w:hAnsi="仿宋" w:eastAsia="仿宋" w:cs="仿宋"/>
          <w:b/>
          <w:color w:val="auto"/>
          <w:sz w:val="32"/>
          <w:szCs w:val="32"/>
          <w:highlight w:val="none"/>
        </w:rPr>
      </w:pPr>
    </w:p>
    <w:p>
      <w:pPr>
        <w:adjustRightInd w:val="0"/>
        <w:snapToGrid w:val="0"/>
        <w:spacing w:line="288" w:lineRule="auto"/>
        <w:jc w:val="center"/>
        <w:outlineLvl w:val="0"/>
        <w:rPr>
          <w:rFonts w:hint="eastAsia" w:ascii="仿宋" w:hAnsi="仿宋" w:eastAsia="仿宋" w:cs="仿宋"/>
          <w:b/>
          <w:color w:val="auto"/>
          <w:sz w:val="32"/>
          <w:szCs w:val="32"/>
          <w:highlight w:val="none"/>
        </w:rPr>
        <w:sectPr>
          <w:headerReference r:id="rId12" w:type="default"/>
          <w:footerReference r:id="rId13" w:type="default"/>
          <w:type w:val="continuous"/>
          <w:pgSz w:w="11906" w:h="16838"/>
          <w:pgMar w:top="1440" w:right="1247" w:bottom="1440" w:left="1247" w:header="283" w:footer="850" w:gutter="0"/>
          <w:pgBorders>
            <w:top w:val="none" w:sz="0" w:space="0"/>
            <w:left w:val="none" w:sz="0" w:space="0"/>
            <w:bottom w:val="none" w:sz="0" w:space="0"/>
            <w:right w:val="none" w:sz="0" w:space="0"/>
          </w:pgBorders>
          <w:pgNumType w:fmt="decimal"/>
          <w:cols w:space="0" w:num="1"/>
          <w:rtlGutter w:val="0"/>
          <w:docGrid w:linePitch="381" w:charSpace="0"/>
        </w:sectPr>
      </w:pPr>
    </w:p>
    <w:p>
      <w:pPr>
        <w:adjustRightInd w:val="0"/>
        <w:snapToGrid w:val="0"/>
        <w:spacing w:line="288" w:lineRule="auto"/>
        <w:jc w:val="center"/>
        <w:outlineLvl w:val="0"/>
        <w:rPr>
          <w:rFonts w:hint="eastAsia" w:ascii="仿宋" w:hAnsi="仿宋" w:eastAsia="仿宋" w:cs="仿宋"/>
          <w:color w:val="auto"/>
          <w:sz w:val="28"/>
          <w:szCs w:val="24"/>
          <w:highlight w:val="none"/>
        </w:rPr>
      </w:pPr>
      <w:r>
        <w:rPr>
          <w:rFonts w:hint="eastAsia" w:ascii="仿宋" w:hAnsi="仿宋" w:eastAsia="仿宋" w:cs="仿宋"/>
          <w:b/>
          <w:color w:val="auto"/>
          <w:sz w:val="32"/>
          <w:szCs w:val="32"/>
          <w:highlight w:val="none"/>
        </w:rPr>
        <w:t>第六章  投标文件格式</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ascii="仿宋" w:hAnsi="仿宋" w:eastAsia="仿宋" w:cs="仿宋"/>
          <w:b/>
          <w:bCs/>
          <w:color w:val="auto"/>
          <w:spacing w:val="-6"/>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仿宋" w:hAnsi="仿宋" w:eastAsia="仿宋" w:cs="仿宋"/>
          <w:b/>
          <w:bCs/>
          <w:color w:val="auto"/>
          <w:spacing w:val="-6"/>
          <w:sz w:val="24"/>
          <w:szCs w:val="24"/>
          <w:highlight w:val="none"/>
        </w:rPr>
      </w:pPr>
      <w:r>
        <w:rPr>
          <w:rFonts w:hint="eastAsia" w:ascii="仿宋" w:hAnsi="仿宋" w:eastAsia="仿宋" w:cs="仿宋"/>
          <w:b/>
          <w:bCs/>
          <w:color w:val="auto"/>
          <w:spacing w:val="-6"/>
          <w:sz w:val="24"/>
          <w:szCs w:val="24"/>
          <w:highlight w:val="none"/>
        </w:rPr>
        <w:t>目  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outlineLvl w:val="9"/>
        <w:rPr>
          <w:rFonts w:hint="eastAsia" w:ascii="仿宋" w:hAnsi="仿宋" w:eastAsia="仿宋" w:cs="仿宋"/>
          <w:b/>
          <w:bCs/>
          <w:color w:val="auto"/>
          <w:spacing w:val="-6"/>
          <w:sz w:val="24"/>
          <w:szCs w:val="24"/>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8" w:firstLineChars="200"/>
        <w:jc w:val="left"/>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▲1.资格文件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8" w:firstLineChars="200"/>
        <w:jc w:val="left"/>
        <w:textAlignment w:val="auto"/>
        <w:outlineLvl w:val="9"/>
        <w:rPr>
          <w:rFonts w:hint="eastAsia" w:ascii="仿宋" w:hAnsi="仿宋" w:eastAsia="仿宋" w:cs="仿宋"/>
          <w:b/>
          <w:bCs w:val="0"/>
          <w:color w:val="auto"/>
          <w:spacing w:val="-6"/>
          <w:szCs w:val="21"/>
          <w:highlight w:val="none"/>
        </w:rPr>
      </w:pPr>
      <w:r>
        <w:rPr>
          <w:rFonts w:hint="eastAsia" w:ascii="仿宋" w:hAnsi="仿宋" w:eastAsia="仿宋" w:cs="仿宋"/>
          <w:b/>
          <w:bCs w:val="0"/>
          <w:color w:val="auto"/>
          <w:spacing w:val="-6"/>
          <w:szCs w:val="21"/>
          <w:highlight w:val="none"/>
        </w:rPr>
        <w:t>1）</w:t>
      </w:r>
      <w:r>
        <w:rPr>
          <w:rFonts w:hint="eastAsia" w:ascii="仿宋" w:hAnsi="仿宋" w:eastAsia="仿宋" w:cs="仿宋"/>
          <w:b/>
          <w:bCs w:val="0"/>
          <w:color w:val="auto"/>
          <w:spacing w:val="-6"/>
          <w:szCs w:val="21"/>
          <w:highlight w:val="none"/>
          <w:lang w:eastAsia="zh-CN"/>
        </w:rPr>
        <w:t>有效的法人或者其他组织的营业执照等证明文件/自然人的身份证明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8" w:firstLineChars="200"/>
        <w:jc w:val="left"/>
        <w:textAlignment w:val="auto"/>
        <w:outlineLvl w:val="9"/>
        <w:rPr>
          <w:rFonts w:hint="eastAsia" w:ascii="仿宋" w:hAnsi="仿宋" w:eastAsia="仿宋" w:cs="仿宋"/>
          <w:b/>
          <w:bCs w:val="0"/>
          <w:color w:val="auto"/>
          <w:spacing w:val="-6"/>
          <w:szCs w:val="21"/>
          <w:highlight w:val="none"/>
        </w:rPr>
      </w:pPr>
      <w:r>
        <w:rPr>
          <w:rFonts w:hint="eastAsia" w:ascii="仿宋" w:hAnsi="仿宋" w:eastAsia="仿宋" w:cs="仿宋"/>
          <w:b/>
          <w:bCs w:val="0"/>
          <w:color w:val="auto"/>
          <w:spacing w:val="-6"/>
          <w:szCs w:val="21"/>
          <w:highlight w:val="none"/>
        </w:rPr>
        <w:t>2）</w:t>
      </w:r>
      <w:r>
        <w:rPr>
          <w:rFonts w:hint="eastAsia" w:ascii="仿宋" w:hAnsi="仿宋" w:eastAsia="仿宋" w:cs="仿宋"/>
          <w:b/>
          <w:bCs w:val="0"/>
          <w:color w:val="auto"/>
          <w:spacing w:val="-6"/>
          <w:szCs w:val="21"/>
          <w:highlight w:val="none"/>
          <w:lang w:eastAsia="zh-CN"/>
        </w:rPr>
        <w:t>符合参加采购活动应当具备的一般条件的承诺函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8" w:firstLineChars="200"/>
        <w:jc w:val="left"/>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color w:val="auto"/>
          <w:spacing w:val="-6"/>
          <w:szCs w:val="21"/>
          <w:highlight w:val="none"/>
        </w:rPr>
        <w:t>2.商务和</w:t>
      </w:r>
      <w:r>
        <w:rPr>
          <w:rFonts w:hint="eastAsia" w:ascii="仿宋" w:hAnsi="仿宋" w:eastAsia="仿宋" w:cs="仿宋"/>
          <w:b/>
          <w:bCs/>
          <w:color w:val="auto"/>
          <w:spacing w:val="-6"/>
          <w:szCs w:val="21"/>
          <w:highlight w:val="none"/>
        </w:rPr>
        <w:t>技术文件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1）投标函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lang w:eastAsia="zh-CN"/>
        </w:rPr>
      </w:pPr>
      <w:r>
        <w:rPr>
          <w:rFonts w:hint="eastAsia" w:ascii="仿宋" w:hAnsi="仿宋" w:eastAsia="仿宋" w:cs="仿宋"/>
          <w:color w:val="auto"/>
          <w:spacing w:val="-6"/>
          <w:szCs w:val="21"/>
          <w:highlight w:val="none"/>
        </w:rPr>
        <w:t>2）法定代表人（单位负责人、自然人本人）身份证明</w:t>
      </w:r>
      <w:r>
        <w:rPr>
          <w:rFonts w:hint="eastAsia" w:ascii="仿宋" w:hAnsi="仿宋" w:eastAsia="仿宋" w:cs="仿宋"/>
          <w:color w:val="auto"/>
          <w:spacing w:val="-6"/>
          <w:szCs w:val="21"/>
          <w:highlight w:val="none"/>
          <w:lang w:val="en-US" w:eastAsia="zh-CN"/>
        </w:rPr>
        <w:t>/</w:t>
      </w:r>
      <w:r>
        <w:rPr>
          <w:rFonts w:hint="eastAsia" w:ascii="仿宋" w:hAnsi="仿宋" w:eastAsia="仿宋" w:cs="仿宋"/>
          <w:color w:val="auto"/>
          <w:spacing w:val="-6"/>
          <w:szCs w:val="21"/>
          <w:highlight w:val="none"/>
          <w:lang w:eastAsia="zh-CN"/>
        </w:rPr>
        <w:t>授权委托书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735" w:firstLineChars="35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z w:val="21"/>
          <w:szCs w:val="21"/>
          <w:highlight w:val="none"/>
          <w:lang w:eastAsia="zh-CN"/>
        </w:rPr>
        <w:t>近三个月投标授权代表社保缴纳证明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3）采购需求偏离表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lang w:eastAsia="zh-CN"/>
        </w:rPr>
      </w:pPr>
      <w:r>
        <w:rPr>
          <w:rFonts w:hint="eastAsia" w:ascii="仿宋" w:hAnsi="仿宋" w:eastAsia="仿宋" w:cs="仿宋"/>
          <w:color w:val="auto"/>
          <w:spacing w:val="-6"/>
          <w:szCs w:val="21"/>
          <w:highlight w:val="none"/>
          <w:lang w:eastAsia="zh-CN"/>
        </w:rPr>
        <w:t>4）类似合同实施情况一览表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5）</w:t>
      </w:r>
      <w:r>
        <w:rPr>
          <w:rFonts w:hint="eastAsia" w:ascii="仿宋" w:hAnsi="仿宋" w:eastAsia="仿宋" w:cs="仿宋"/>
          <w:color w:val="auto"/>
          <w:spacing w:val="-6"/>
          <w:szCs w:val="21"/>
          <w:highlight w:val="none"/>
          <w:lang w:val="en-US" w:eastAsia="zh-CN"/>
        </w:rPr>
        <w:t>节能</w:t>
      </w:r>
      <w:r>
        <w:rPr>
          <w:rFonts w:hint="eastAsia" w:ascii="仿宋" w:hAnsi="仿宋" w:eastAsia="仿宋" w:cs="仿宋"/>
          <w:color w:val="auto"/>
          <w:spacing w:val="-6"/>
          <w:szCs w:val="21"/>
          <w:highlight w:val="none"/>
        </w:rPr>
        <w:t>环保产品证明材料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default" w:ascii="仿宋" w:hAnsi="仿宋" w:eastAsia="仿宋" w:cs="仿宋"/>
          <w:color w:val="auto"/>
          <w:spacing w:val="-6"/>
          <w:szCs w:val="21"/>
          <w:highlight w:val="none"/>
          <w:lang w:val="en-US" w:eastAsia="zh-CN"/>
        </w:rPr>
      </w:pPr>
      <w:r>
        <w:rPr>
          <w:rFonts w:hint="eastAsia" w:ascii="仿宋" w:hAnsi="仿宋" w:eastAsia="仿宋" w:cs="仿宋"/>
          <w:color w:val="auto"/>
          <w:spacing w:val="-6"/>
          <w:szCs w:val="21"/>
          <w:highlight w:val="none"/>
          <w:lang w:val="en-US" w:eastAsia="zh-CN"/>
        </w:rPr>
        <w:t>6）商务分评审相关证明材料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default" w:ascii="仿宋" w:hAnsi="仿宋" w:eastAsia="仿宋" w:cs="仿宋"/>
          <w:color w:val="auto"/>
          <w:spacing w:val="-6"/>
          <w:szCs w:val="21"/>
          <w:highlight w:val="none"/>
          <w:lang w:val="en-US" w:eastAsia="zh-CN"/>
        </w:rPr>
      </w:pPr>
      <w:r>
        <w:rPr>
          <w:rFonts w:hint="eastAsia" w:ascii="仿宋" w:hAnsi="仿宋" w:eastAsia="仿宋" w:cs="仿宋"/>
          <w:color w:val="auto"/>
          <w:spacing w:val="-6"/>
          <w:szCs w:val="21"/>
          <w:highlight w:val="none"/>
          <w:lang w:val="en-US" w:eastAsia="zh-CN"/>
        </w:rPr>
        <w:t>7）</w:t>
      </w:r>
      <w:r>
        <w:rPr>
          <w:rFonts w:hint="eastAsia" w:ascii="仿宋" w:hAnsi="仿宋" w:eastAsia="仿宋" w:cs="仿宋"/>
          <w:color w:val="auto"/>
          <w:spacing w:val="-6"/>
          <w:szCs w:val="21"/>
          <w:highlight w:val="none"/>
        </w:rPr>
        <w:t>货物配置清单</w:t>
      </w:r>
      <w:r>
        <w:rPr>
          <w:rFonts w:hint="eastAsia" w:ascii="仿宋" w:hAnsi="仿宋" w:eastAsia="仿宋" w:cs="仿宋"/>
          <w:color w:val="auto"/>
          <w:spacing w:val="-6"/>
          <w:szCs w:val="21"/>
          <w:highlight w:val="none"/>
          <w:lang w:eastAsia="zh-CN"/>
        </w:rPr>
        <w:t>、产品或原材料</w:t>
      </w:r>
      <w:r>
        <w:rPr>
          <w:rFonts w:hint="eastAsia" w:ascii="仿宋" w:hAnsi="仿宋" w:eastAsia="仿宋" w:cs="仿宋"/>
          <w:color w:val="auto"/>
          <w:spacing w:val="-6"/>
          <w:szCs w:val="21"/>
          <w:highlight w:val="none"/>
          <w:lang w:val="en-US" w:eastAsia="zh-CN"/>
        </w:rPr>
        <w:t>选用品牌一览表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default" w:ascii="仿宋" w:hAnsi="仿宋" w:eastAsia="仿宋" w:cs="仿宋"/>
          <w:color w:val="auto"/>
          <w:spacing w:val="-6"/>
          <w:szCs w:val="21"/>
          <w:highlight w:val="none"/>
          <w:lang w:val="en-US" w:eastAsia="zh-CN"/>
        </w:rPr>
      </w:pPr>
      <w:r>
        <w:rPr>
          <w:rFonts w:hint="eastAsia" w:ascii="仿宋" w:hAnsi="仿宋" w:eastAsia="仿宋" w:cs="仿宋"/>
          <w:color w:val="auto"/>
          <w:spacing w:val="-6"/>
          <w:szCs w:val="21"/>
          <w:highlight w:val="none"/>
          <w:lang w:val="en-US" w:eastAsia="zh-CN"/>
        </w:rPr>
        <w:t>8）合同履约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default" w:ascii="仿宋" w:hAnsi="仿宋" w:eastAsia="仿宋" w:cs="仿宋"/>
          <w:color w:val="auto"/>
          <w:spacing w:val="-6"/>
          <w:szCs w:val="21"/>
          <w:highlight w:val="none"/>
          <w:lang w:val="en-US" w:eastAsia="zh-CN"/>
        </w:rPr>
      </w:pPr>
      <w:r>
        <w:rPr>
          <w:rFonts w:hint="eastAsia" w:ascii="仿宋" w:hAnsi="仿宋" w:eastAsia="仿宋" w:cs="仿宋"/>
          <w:color w:val="auto"/>
          <w:spacing w:val="-6"/>
          <w:szCs w:val="21"/>
          <w:highlight w:val="none"/>
          <w:lang w:val="en-US" w:eastAsia="zh-CN"/>
        </w:rPr>
        <w:t>9）技术方案</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lang w:val="en-US" w:eastAsia="zh-CN"/>
        </w:rPr>
      </w:pPr>
      <w:r>
        <w:rPr>
          <w:rFonts w:hint="eastAsia" w:ascii="仿宋" w:hAnsi="仿宋" w:eastAsia="仿宋" w:cs="仿宋"/>
          <w:color w:val="auto"/>
          <w:spacing w:val="-6"/>
          <w:szCs w:val="21"/>
          <w:highlight w:val="none"/>
          <w:lang w:val="en-US" w:eastAsia="zh-CN"/>
        </w:rPr>
        <w:t>10）售后服务方案</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lang w:val="en-US" w:eastAsia="zh-CN"/>
        </w:rPr>
      </w:pPr>
      <w:r>
        <w:rPr>
          <w:rFonts w:hint="eastAsia" w:ascii="仿宋" w:hAnsi="仿宋" w:eastAsia="仿宋" w:cs="仿宋"/>
          <w:color w:val="auto"/>
          <w:spacing w:val="-6"/>
          <w:szCs w:val="21"/>
          <w:highlight w:val="none"/>
          <w:lang w:val="en-US" w:eastAsia="zh-CN"/>
        </w:rPr>
        <w:t>11）</w:t>
      </w:r>
      <w:r>
        <w:rPr>
          <w:rFonts w:hint="eastAsia" w:ascii="仿宋" w:hAnsi="仿宋" w:eastAsia="仿宋" w:cs="仿宋"/>
          <w:color w:val="auto"/>
          <w:spacing w:val="-6"/>
          <w:szCs w:val="21"/>
          <w:highlight w:val="none"/>
        </w:rPr>
        <w:t>配件、专用耗材和售后服务优惠表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8" w:firstLineChars="200"/>
        <w:jc w:val="left"/>
        <w:textAlignment w:val="auto"/>
        <w:outlineLvl w:val="9"/>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3.报价文件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1）开标一览表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2）</w:t>
      </w:r>
      <w:r>
        <w:rPr>
          <w:rFonts w:hint="eastAsia" w:ascii="仿宋" w:hAnsi="仿宋" w:eastAsia="仿宋" w:cs="仿宋"/>
          <w:color w:val="auto"/>
          <w:spacing w:val="-6"/>
          <w:szCs w:val="21"/>
          <w:highlight w:val="none"/>
        </w:rPr>
        <w:t>中小企业声明函</w:t>
      </w:r>
      <w:bookmarkStart w:id="56" w:name="_Hlk81815656"/>
      <w:r>
        <w:rPr>
          <w:rFonts w:hint="eastAsia" w:ascii="仿宋" w:hAnsi="仿宋" w:eastAsia="仿宋" w:cs="仿宋"/>
          <w:color w:val="auto"/>
          <w:spacing w:val="-6"/>
          <w:szCs w:val="21"/>
          <w:highlight w:val="none"/>
        </w:rPr>
        <w:t>（若属于中小企业）</w:t>
      </w:r>
      <w:bookmarkEnd w:id="56"/>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lang w:val="en-US" w:eastAsia="zh-CN"/>
        </w:rPr>
        <w:t>3</w:t>
      </w:r>
      <w:r>
        <w:rPr>
          <w:rFonts w:hint="eastAsia" w:ascii="仿宋" w:hAnsi="仿宋" w:eastAsia="仿宋" w:cs="仿宋"/>
          <w:color w:val="auto"/>
          <w:spacing w:val="-6"/>
          <w:szCs w:val="21"/>
          <w:highlight w:val="none"/>
        </w:rPr>
        <w:t>）属于监狱企业的证明文件</w:t>
      </w:r>
      <w:bookmarkStart w:id="57" w:name="_Hlk81815359"/>
      <w:r>
        <w:rPr>
          <w:rFonts w:hint="eastAsia" w:ascii="仿宋" w:hAnsi="仿宋" w:eastAsia="仿宋" w:cs="仿宋"/>
          <w:color w:val="auto"/>
          <w:spacing w:val="-6"/>
          <w:szCs w:val="21"/>
          <w:highlight w:val="none"/>
        </w:rPr>
        <w:t>（若属于监狱企业）</w:t>
      </w:r>
      <w:bookmarkEnd w:id="57"/>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left"/>
        <w:textAlignment w:val="auto"/>
        <w:outlineLvl w:val="9"/>
        <w:rPr>
          <w:rFonts w:hint="eastAsia" w:ascii="仿宋" w:hAnsi="仿宋" w:eastAsia="仿宋" w:cs="仿宋"/>
          <w:b/>
          <w:color w:val="auto"/>
          <w:spacing w:val="-6"/>
          <w:szCs w:val="21"/>
          <w:highlight w:val="none"/>
        </w:rPr>
      </w:pPr>
      <w:r>
        <w:rPr>
          <w:rFonts w:hint="eastAsia" w:ascii="仿宋" w:hAnsi="仿宋" w:eastAsia="仿宋" w:cs="仿宋"/>
          <w:color w:val="auto"/>
          <w:spacing w:val="-6"/>
          <w:szCs w:val="21"/>
          <w:highlight w:val="none"/>
          <w:lang w:val="en-US" w:eastAsia="zh-CN"/>
        </w:rPr>
        <w:t>4</w:t>
      </w:r>
      <w:r>
        <w:rPr>
          <w:rFonts w:hint="eastAsia" w:ascii="仿宋" w:hAnsi="仿宋" w:eastAsia="仿宋" w:cs="仿宋"/>
          <w:color w:val="auto"/>
          <w:spacing w:val="-6"/>
          <w:szCs w:val="21"/>
          <w:highlight w:val="none"/>
        </w:rPr>
        <w:t>）</w:t>
      </w:r>
      <w:bookmarkStart w:id="58" w:name="OLE_LINK14"/>
      <w:bookmarkStart w:id="59" w:name="OLE_LINK13"/>
      <w:r>
        <w:rPr>
          <w:rFonts w:hint="eastAsia" w:ascii="仿宋" w:hAnsi="仿宋" w:eastAsia="仿宋" w:cs="仿宋"/>
          <w:color w:val="auto"/>
          <w:spacing w:val="-6"/>
          <w:szCs w:val="21"/>
          <w:highlight w:val="none"/>
        </w:rPr>
        <w:t>残疾人福利性单位声明函</w:t>
      </w:r>
      <w:bookmarkEnd w:id="58"/>
      <w:bookmarkEnd w:id="59"/>
      <w:bookmarkStart w:id="60" w:name="_Hlk81815372"/>
      <w:r>
        <w:rPr>
          <w:rFonts w:hint="eastAsia" w:ascii="仿宋" w:hAnsi="仿宋" w:eastAsia="仿宋" w:cs="仿宋"/>
          <w:color w:val="auto"/>
          <w:spacing w:val="-6"/>
          <w:szCs w:val="21"/>
          <w:highlight w:val="none"/>
        </w:rPr>
        <w:t>（若属于残疾人福利性单位）</w:t>
      </w:r>
      <w:bookmarkEnd w:id="60"/>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p>
    <w:p>
      <w:pPr>
        <w:spacing w:line="360" w:lineRule="auto"/>
        <w:jc w:val="center"/>
        <w:rPr>
          <w:rFonts w:hint="eastAsia" w:ascii="仿宋" w:hAnsi="仿宋" w:eastAsia="仿宋" w:cs="仿宋"/>
          <w:b/>
          <w:bCs/>
          <w:color w:val="auto"/>
          <w:spacing w:val="-6"/>
          <w:sz w:val="24"/>
          <w:highlight w:val="none"/>
        </w:rPr>
      </w:pPr>
      <w:r>
        <w:rPr>
          <w:rFonts w:hint="eastAsia" w:ascii="仿宋" w:hAnsi="仿宋" w:eastAsia="仿宋" w:cs="仿宋"/>
          <w:b/>
          <w:bCs/>
          <w:color w:val="auto"/>
          <w:spacing w:val="-6"/>
          <w:sz w:val="24"/>
          <w:highlight w:val="none"/>
        </w:rPr>
        <w:t>外层包装（封签）</w:t>
      </w:r>
    </w:p>
    <w:p>
      <w:pPr>
        <w:spacing w:line="360" w:lineRule="auto"/>
        <w:rPr>
          <w:rFonts w:hint="eastAsia" w:ascii="仿宋" w:hAnsi="仿宋" w:eastAsia="仿宋" w:cs="仿宋"/>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u w:val="single"/>
        </w:rPr>
        <w:t xml:space="preserve">                    </w:t>
      </w:r>
      <w:r>
        <w:rPr>
          <w:rFonts w:hint="eastAsia" w:ascii="仿宋" w:hAnsi="仿宋" w:eastAsia="仿宋" w:cs="仿宋"/>
          <w:bCs/>
          <w:color w:val="auto"/>
          <w:spacing w:val="-6"/>
          <w:sz w:val="24"/>
          <w:highlight w:val="none"/>
        </w:rPr>
        <w:t>（投标人名称）</w:t>
      </w:r>
    </w:p>
    <w:p>
      <w:pPr>
        <w:spacing w:line="360" w:lineRule="auto"/>
        <w:jc w:val="center"/>
        <w:rPr>
          <w:rFonts w:hint="eastAsia" w:ascii="仿宋" w:hAnsi="仿宋" w:eastAsia="仿宋" w:cs="仿宋"/>
          <w:b/>
          <w:bCs/>
          <w:color w:val="auto"/>
          <w:spacing w:val="-6"/>
          <w:sz w:val="24"/>
          <w:highlight w:val="none"/>
        </w:rPr>
      </w:pPr>
      <w:r>
        <w:rPr>
          <w:rFonts w:hint="eastAsia" w:ascii="仿宋" w:hAnsi="仿宋" w:eastAsia="仿宋" w:cs="仿宋"/>
          <w:b/>
          <w:bCs/>
          <w:color w:val="auto"/>
          <w:spacing w:val="-6"/>
          <w:sz w:val="24"/>
          <w:highlight w:val="none"/>
        </w:rPr>
        <w:t>投标文件</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lang w:eastAsia="zh-CN"/>
        </w:rPr>
      </w:pPr>
      <w:r>
        <w:rPr>
          <w:rFonts w:hint="eastAsia" w:ascii="仿宋" w:hAnsi="仿宋" w:eastAsia="仿宋" w:cs="仿宋"/>
          <w:bCs/>
          <w:color w:val="auto"/>
          <w:spacing w:val="-6"/>
          <w:sz w:val="24"/>
          <w:highlight w:val="none"/>
        </w:rPr>
        <w:t>采 购 人：</w:t>
      </w:r>
      <w:r>
        <w:rPr>
          <w:rFonts w:hint="eastAsia" w:ascii="仿宋" w:hAnsi="仿宋" w:eastAsia="仿宋" w:cs="仿宋"/>
          <w:bCs/>
          <w:color w:val="auto"/>
          <w:spacing w:val="-6"/>
          <w:sz w:val="24"/>
          <w:highlight w:val="none"/>
          <w:lang w:eastAsia="zh-CN"/>
        </w:rPr>
        <w:t>之江实验室</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项目名称：</w:t>
      </w:r>
      <w:r>
        <w:rPr>
          <w:rFonts w:hint="eastAsia" w:ascii="仿宋" w:hAnsi="仿宋" w:eastAsia="仿宋" w:cs="仿宋"/>
          <w:bCs/>
          <w:color w:val="auto"/>
          <w:spacing w:val="-6"/>
          <w:sz w:val="24"/>
          <w:highlight w:val="none"/>
          <w:lang w:eastAsia="zh-CN"/>
        </w:rPr>
        <w:t>之江实验室智能计算育种数字反应堆平台专业实验室家具项目</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项目编号：</w:t>
      </w:r>
      <w:r>
        <w:rPr>
          <w:rFonts w:hint="eastAsia" w:ascii="仿宋" w:hAnsi="仿宋" w:eastAsia="仿宋" w:cs="仿宋"/>
          <w:bCs/>
          <w:color w:val="auto"/>
          <w:spacing w:val="-6"/>
          <w:sz w:val="24"/>
          <w:highlight w:val="none"/>
          <w:lang w:eastAsia="zh-CN"/>
        </w:rPr>
        <w:t>ZJLAB-JZ-GK2023032</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投标文件名称：资格文件及商务技术文件</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lang w:eastAsia="zh-CN"/>
        </w:rPr>
        <w:t>投标人名称（公章）</w:t>
      </w:r>
      <w:r>
        <w:rPr>
          <w:rFonts w:hint="eastAsia" w:ascii="仿宋" w:hAnsi="仿宋" w:eastAsia="仿宋" w:cs="仿宋"/>
          <w:bCs/>
          <w:color w:val="auto"/>
          <w:spacing w:val="-6"/>
          <w:sz w:val="24"/>
          <w:highlight w:val="none"/>
        </w:rPr>
        <w:t>：</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投标人地址：</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在     年   月   日   时   分之前不得启封</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投标人代表（签字）：</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日期：     年   月   日</w:t>
      </w:r>
    </w:p>
    <w:p>
      <w:pPr>
        <w:spacing w:line="360" w:lineRule="auto"/>
        <w:rPr>
          <w:rFonts w:hint="eastAsia" w:ascii="仿宋" w:hAnsi="仿宋" w:eastAsia="仿宋" w:cs="仿宋"/>
          <w:color w:val="auto"/>
          <w:spacing w:val="-6"/>
          <w:sz w:val="24"/>
          <w:highlight w:val="none"/>
        </w:rPr>
      </w:pPr>
      <w:r>
        <w:rPr>
          <w:rFonts w:hint="eastAsia" w:ascii="宋体" w:hAnsi="宋体" w:cs="宋体"/>
          <w:bCs/>
          <w:color w:val="auto"/>
          <w:spacing w:val="-6"/>
          <w:sz w:val="24"/>
          <w:highlight w:val="none"/>
        </w:rPr>
        <w:br w:type="page"/>
      </w:r>
      <w:r>
        <w:rPr>
          <w:rFonts w:hint="eastAsia" w:ascii="仿宋" w:hAnsi="仿宋" w:eastAsia="仿宋" w:cs="仿宋"/>
          <w:bCs/>
          <w:color w:val="auto"/>
          <w:spacing w:val="-6"/>
          <w:sz w:val="24"/>
          <w:highlight w:val="none"/>
        </w:rPr>
        <w:t>资格文件及商务技术文件</w:t>
      </w:r>
      <w:r>
        <w:rPr>
          <w:rFonts w:hint="eastAsia" w:ascii="仿宋" w:hAnsi="仿宋" w:eastAsia="仿宋" w:cs="仿宋"/>
          <w:color w:val="auto"/>
          <w:spacing w:val="-6"/>
          <w:sz w:val="24"/>
          <w:highlight w:val="none"/>
        </w:rPr>
        <w:t>封面</w:t>
      </w:r>
    </w:p>
    <w:p>
      <w:pPr>
        <w:spacing w:line="360" w:lineRule="auto"/>
        <w:jc w:val="right"/>
        <w:rPr>
          <w:rFonts w:hint="eastAsia" w:ascii="仿宋" w:hAnsi="仿宋" w:eastAsia="仿宋" w:cs="仿宋"/>
          <w:color w:val="auto"/>
          <w:spacing w:val="-6"/>
          <w:sz w:val="24"/>
          <w:highlight w:val="none"/>
        </w:rPr>
      </w:pPr>
      <w:r>
        <w:rPr>
          <w:rFonts w:hint="eastAsia" w:ascii="仿宋" w:hAnsi="仿宋" w:eastAsia="仿宋" w:cs="仿宋"/>
          <w:b/>
          <w:bCs/>
          <w:color w:val="auto"/>
          <w:spacing w:val="-6"/>
          <w:sz w:val="24"/>
          <w:highlight w:val="none"/>
        </w:rPr>
        <w:t>正本或副本</w:t>
      </w:r>
    </w:p>
    <w:p>
      <w:pPr>
        <w:spacing w:line="360" w:lineRule="auto"/>
        <w:rPr>
          <w:rFonts w:hint="eastAsia" w:ascii="仿宋" w:hAnsi="仿宋" w:eastAsia="仿宋" w:cs="仿宋"/>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u w:val="single"/>
        </w:rPr>
        <w:t xml:space="preserve">                    </w:t>
      </w:r>
      <w:r>
        <w:rPr>
          <w:rFonts w:hint="eastAsia" w:ascii="仿宋" w:hAnsi="仿宋" w:eastAsia="仿宋" w:cs="仿宋"/>
          <w:bCs/>
          <w:color w:val="auto"/>
          <w:spacing w:val="-6"/>
          <w:sz w:val="24"/>
          <w:highlight w:val="none"/>
        </w:rPr>
        <w:t>（投标人名称）</w:t>
      </w:r>
    </w:p>
    <w:p>
      <w:pPr>
        <w:spacing w:line="360" w:lineRule="auto"/>
        <w:jc w:val="center"/>
        <w:rPr>
          <w:rFonts w:hint="eastAsia" w:ascii="仿宋" w:hAnsi="仿宋" w:eastAsia="仿宋" w:cs="仿宋"/>
          <w:b/>
          <w:bCs/>
          <w:color w:val="auto"/>
          <w:spacing w:val="-6"/>
          <w:sz w:val="24"/>
          <w:highlight w:val="none"/>
        </w:rPr>
      </w:pPr>
      <w:r>
        <w:rPr>
          <w:rFonts w:hint="eastAsia" w:ascii="仿宋" w:hAnsi="仿宋" w:eastAsia="仿宋" w:cs="仿宋"/>
          <w:b/>
          <w:bCs/>
          <w:color w:val="auto"/>
          <w:spacing w:val="-6"/>
          <w:sz w:val="24"/>
          <w:highlight w:val="none"/>
        </w:rPr>
        <w:t>资格文件及商务技术文件</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lang w:eastAsia="zh-CN"/>
        </w:rPr>
      </w:pPr>
      <w:r>
        <w:rPr>
          <w:rFonts w:hint="eastAsia" w:ascii="仿宋" w:hAnsi="仿宋" w:eastAsia="仿宋" w:cs="仿宋"/>
          <w:bCs/>
          <w:color w:val="auto"/>
          <w:spacing w:val="-6"/>
          <w:sz w:val="24"/>
          <w:highlight w:val="none"/>
        </w:rPr>
        <w:t>采 购 人：</w:t>
      </w:r>
      <w:r>
        <w:rPr>
          <w:rFonts w:hint="eastAsia" w:ascii="仿宋" w:hAnsi="仿宋" w:eastAsia="仿宋" w:cs="仿宋"/>
          <w:bCs/>
          <w:color w:val="auto"/>
          <w:spacing w:val="-6"/>
          <w:sz w:val="24"/>
          <w:highlight w:val="none"/>
          <w:lang w:eastAsia="zh-CN"/>
        </w:rPr>
        <w:t>之江实验室</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项目名称：</w:t>
      </w:r>
      <w:r>
        <w:rPr>
          <w:rFonts w:hint="eastAsia" w:ascii="仿宋" w:hAnsi="仿宋" w:eastAsia="仿宋" w:cs="仿宋"/>
          <w:bCs/>
          <w:color w:val="auto"/>
          <w:spacing w:val="-6"/>
          <w:sz w:val="24"/>
          <w:highlight w:val="none"/>
          <w:lang w:eastAsia="zh-CN"/>
        </w:rPr>
        <w:t>之江实验室智能计算育种数字反应堆平台专业实验室家具项目</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项目编号：</w:t>
      </w:r>
      <w:r>
        <w:rPr>
          <w:rFonts w:hint="eastAsia" w:ascii="仿宋" w:hAnsi="仿宋" w:eastAsia="仿宋" w:cs="仿宋"/>
          <w:bCs/>
          <w:color w:val="auto"/>
          <w:spacing w:val="-6"/>
          <w:sz w:val="24"/>
          <w:highlight w:val="none"/>
          <w:lang w:eastAsia="zh-CN"/>
        </w:rPr>
        <w:t>ZJLAB-JZ-GK2023032</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lang w:eastAsia="zh-CN"/>
        </w:rPr>
        <w:t>投标人名称（公章）</w:t>
      </w:r>
      <w:r>
        <w:rPr>
          <w:rFonts w:hint="eastAsia" w:ascii="仿宋" w:hAnsi="仿宋" w:eastAsia="仿宋" w:cs="仿宋"/>
          <w:bCs/>
          <w:color w:val="auto"/>
          <w:spacing w:val="-6"/>
          <w:sz w:val="24"/>
          <w:highlight w:val="none"/>
        </w:rPr>
        <w:t>：</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投标人地址：</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投标人代表（签字）：</w:t>
      </w:r>
    </w:p>
    <w:p>
      <w:pPr>
        <w:tabs>
          <w:tab w:val="center" w:pos="4706"/>
          <w:tab w:val="left" w:pos="6222"/>
        </w:tabs>
        <w:spacing w:line="360" w:lineRule="auto"/>
        <w:rPr>
          <w:rFonts w:hint="eastAsia" w:ascii="宋体" w:hAnsi="宋体" w:cs="宋体"/>
          <w:bCs/>
          <w:color w:val="auto"/>
          <w:spacing w:val="-6"/>
          <w:sz w:val="24"/>
          <w:highlight w:val="none"/>
        </w:rPr>
      </w:pPr>
      <w:r>
        <w:rPr>
          <w:rFonts w:hint="eastAsia" w:ascii="仿宋" w:hAnsi="仿宋" w:eastAsia="仿宋" w:cs="仿宋"/>
          <w:bCs/>
          <w:color w:val="auto"/>
          <w:spacing w:val="-6"/>
          <w:sz w:val="24"/>
          <w:highlight w:val="none"/>
        </w:rPr>
        <w:t>日期：     年   月   日</w:t>
      </w:r>
    </w:p>
    <w:p>
      <w:pPr>
        <w:tabs>
          <w:tab w:val="center" w:pos="4706"/>
          <w:tab w:val="left" w:pos="6222"/>
        </w:tabs>
        <w:spacing w:line="360" w:lineRule="auto"/>
        <w:jc w:val="center"/>
        <w:outlineLvl w:val="1"/>
        <w:rPr>
          <w:rFonts w:hint="eastAsia" w:ascii="仿宋" w:hAnsi="仿宋" w:eastAsia="仿宋" w:cs="仿宋"/>
          <w:b/>
          <w:bCs/>
          <w:color w:val="auto"/>
          <w:spacing w:val="-6"/>
          <w:sz w:val="24"/>
          <w:highlight w:val="none"/>
        </w:rPr>
      </w:pPr>
      <w:r>
        <w:rPr>
          <w:rFonts w:hint="eastAsia" w:ascii="宋体" w:hAnsi="宋体" w:cs="宋体"/>
          <w:bCs/>
          <w:color w:val="auto"/>
          <w:spacing w:val="-6"/>
          <w:sz w:val="24"/>
          <w:highlight w:val="none"/>
        </w:rPr>
        <w:br w:type="page"/>
      </w:r>
      <w:r>
        <w:rPr>
          <w:rFonts w:hint="eastAsia" w:ascii="仿宋" w:hAnsi="仿宋" w:eastAsia="仿宋" w:cs="仿宋"/>
          <w:b/>
          <w:bCs/>
          <w:color w:val="auto"/>
          <w:spacing w:val="-6"/>
          <w:sz w:val="24"/>
          <w:highlight w:val="none"/>
        </w:rPr>
        <w:t>评分索引表</w:t>
      </w:r>
    </w:p>
    <w:tbl>
      <w:tblPr>
        <w:tblStyle w:val="36"/>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2"/>
        <w:gridCol w:w="1971"/>
        <w:gridCol w:w="669"/>
        <w:gridCol w:w="3611"/>
        <w:gridCol w:w="912"/>
        <w:gridCol w:w="1162"/>
        <w:gridCol w:w="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0" w:hRule="atLeast"/>
        </w:trPr>
        <w:tc>
          <w:tcPr>
            <w:tcW w:w="642"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1971"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评审因素</w:t>
            </w:r>
          </w:p>
        </w:tc>
        <w:tc>
          <w:tcPr>
            <w:tcW w:w="669"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分值</w:t>
            </w:r>
          </w:p>
        </w:tc>
        <w:tc>
          <w:tcPr>
            <w:tcW w:w="3611"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评分细则</w:t>
            </w:r>
          </w:p>
        </w:tc>
        <w:tc>
          <w:tcPr>
            <w:tcW w:w="912"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自评分</w:t>
            </w:r>
          </w:p>
        </w:tc>
        <w:tc>
          <w:tcPr>
            <w:tcW w:w="1162"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自评依据</w:t>
            </w:r>
          </w:p>
        </w:tc>
        <w:tc>
          <w:tcPr>
            <w:tcW w:w="661"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628" w:type="dxa"/>
            <w:gridSpan w:val="7"/>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商务分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jc w:val="center"/>
              <w:rPr>
                <w:rFonts w:hint="eastAsia" w:ascii="仿宋" w:hAnsi="仿宋" w:eastAsia="仿宋" w:cs="仿宋"/>
                <w:b/>
                <w:bCs/>
                <w:color w:val="auto"/>
                <w:sz w:val="21"/>
                <w:szCs w:val="21"/>
                <w:highlight w:val="none"/>
              </w:rPr>
            </w:pPr>
          </w:p>
        </w:tc>
        <w:tc>
          <w:tcPr>
            <w:tcW w:w="1971" w:type="dxa"/>
            <w:vAlign w:val="center"/>
          </w:tcPr>
          <w:p>
            <w:pPr>
              <w:jc w:val="center"/>
              <w:rPr>
                <w:rFonts w:hint="eastAsia" w:ascii="仿宋" w:hAnsi="仿宋" w:eastAsia="仿宋" w:cs="仿宋"/>
                <w:b/>
                <w:bCs/>
                <w:color w:val="auto"/>
                <w:sz w:val="21"/>
                <w:szCs w:val="21"/>
                <w:highlight w:val="none"/>
              </w:rPr>
            </w:pPr>
          </w:p>
        </w:tc>
        <w:tc>
          <w:tcPr>
            <w:tcW w:w="669" w:type="dxa"/>
            <w:vAlign w:val="center"/>
          </w:tcPr>
          <w:p>
            <w:pPr>
              <w:jc w:val="center"/>
              <w:rPr>
                <w:rFonts w:hint="eastAsia" w:ascii="仿宋" w:hAnsi="仿宋" w:eastAsia="仿宋" w:cs="仿宋"/>
                <w:b/>
                <w:bCs/>
                <w:color w:val="auto"/>
                <w:sz w:val="21"/>
                <w:szCs w:val="21"/>
                <w:highlight w:val="none"/>
              </w:rPr>
            </w:pPr>
          </w:p>
        </w:tc>
        <w:tc>
          <w:tcPr>
            <w:tcW w:w="3611" w:type="dxa"/>
            <w:vAlign w:val="center"/>
          </w:tcPr>
          <w:p>
            <w:pPr>
              <w:jc w:val="center"/>
              <w:rPr>
                <w:rFonts w:hint="eastAsia" w:ascii="仿宋" w:hAnsi="仿宋" w:eastAsia="仿宋" w:cs="仿宋"/>
                <w:b/>
                <w:bCs/>
                <w:color w:val="auto"/>
                <w:sz w:val="21"/>
                <w:szCs w:val="21"/>
                <w:highlight w:val="none"/>
              </w:rPr>
            </w:pPr>
          </w:p>
        </w:tc>
        <w:tc>
          <w:tcPr>
            <w:tcW w:w="912" w:type="dxa"/>
            <w:vAlign w:val="center"/>
          </w:tcPr>
          <w:p>
            <w:pPr>
              <w:jc w:val="center"/>
              <w:rPr>
                <w:rFonts w:hint="eastAsia" w:ascii="仿宋" w:hAnsi="仿宋" w:eastAsia="仿宋" w:cs="仿宋"/>
                <w:b/>
                <w:bCs/>
                <w:color w:val="auto"/>
                <w:sz w:val="21"/>
                <w:szCs w:val="21"/>
                <w:highlight w:val="none"/>
              </w:rPr>
            </w:pPr>
          </w:p>
        </w:tc>
        <w:tc>
          <w:tcPr>
            <w:tcW w:w="1162" w:type="dxa"/>
            <w:vAlign w:val="center"/>
          </w:tcPr>
          <w:p>
            <w:pPr>
              <w:jc w:val="center"/>
              <w:rPr>
                <w:rFonts w:hint="eastAsia" w:ascii="仿宋" w:hAnsi="仿宋" w:eastAsia="仿宋" w:cs="仿宋"/>
                <w:b/>
                <w:bCs/>
                <w:color w:val="auto"/>
                <w:sz w:val="21"/>
                <w:szCs w:val="21"/>
                <w:highlight w:val="none"/>
              </w:rPr>
            </w:pPr>
          </w:p>
        </w:tc>
        <w:tc>
          <w:tcPr>
            <w:tcW w:w="661" w:type="dxa"/>
            <w:vAlign w:val="top"/>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jc w:val="center"/>
              <w:rPr>
                <w:rFonts w:hint="eastAsia" w:ascii="仿宋" w:hAnsi="仿宋" w:eastAsia="仿宋" w:cs="仿宋"/>
                <w:b/>
                <w:bCs/>
                <w:color w:val="auto"/>
                <w:sz w:val="21"/>
                <w:szCs w:val="21"/>
                <w:highlight w:val="none"/>
              </w:rPr>
            </w:pPr>
          </w:p>
        </w:tc>
        <w:tc>
          <w:tcPr>
            <w:tcW w:w="1971" w:type="dxa"/>
            <w:vAlign w:val="center"/>
          </w:tcPr>
          <w:p>
            <w:pPr>
              <w:jc w:val="center"/>
              <w:rPr>
                <w:rFonts w:hint="eastAsia" w:ascii="仿宋" w:hAnsi="仿宋" w:eastAsia="仿宋" w:cs="仿宋"/>
                <w:b/>
                <w:bCs/>
                <w:color w:val="auto"/>
                <w:sz w:val="21"/>
                <w:szCs w:val="21"/>
                <w:highlight w:val="none"/>
              </w:rPr>
            </w:pPr>
          </w:p>
        </w:tc>
        <w:tc>
          <w:tcPr>
            <w:tcW w:w="669" w:type="dxa"/>
            <w:vAlign w:val="center"/>
          </w:tcPr>
          <w:p>
            <w:pPr>
              <w:jc w:val="center"/>
              <w:rPr>
                <w:rFonts w:hint="eastAsia" w:ascii="仿宋" w:hAnsi="仿宋" w:eastAsia="仿宋" w:cs="仿宋"/>
                <w:b/>
                <w:bCs/>
                <w:color w:val="auto"/>
                <w:sz w:val="21"/>
                <w:szCs w:val="21"/>
                <w:highlight w:val="none"/>
              </w:rPr>
            </w:pPr>
          </w:p>
        </w:tc>
        <w:tc>
          <w:tcPr>
            <w:tcW w:w="3611" w:type="dxa"/>
            <w:vAlign w:val="center"/>
          </w:tcPr>
          <w:p>
            <w:pPr>
              <w:jc w:val="center"/>
              <w:rPr>
                <w:rFonts w:hint="eastAsia" w:ascii="仿宋" w:hAnsi="仿宋" w:eastAsia="仿宋" w:cs="仿宋"/>
                <w:b/>
                <w:bCs/>
                <w:color w:val="auto"/>
                <w:sz w:val="21"/>
                <w:szCs w:val="21"/>
                <w:highlight w:val="none"/>
              </w:rPr>
            </w:pPr>
          </w:p>
        </w:tc>
        <w:tc>
          <w:tcPr>
            <w:tcW w:w="912" w:type="dxa"/>
            <w:vAlign w:val="center"/>
          </w:tcPr>
          <w:p>
            <w:pPr>
              <w:jc w:val="center"/>
              <w:rPr>
                <w:rFonts w:hint="eastAsia" w:ascii="仿宋" w:hAnsi="仿宋" w:eastAsia="仿宋" w:cs="仿宋"/>
                <w:b/>
                <w:bCs/>
                <w:color w:val="auto"/>
                <w:sz w:val="21"/>
                <w:szCs w:val="21"/>
                <w:highlight w:val="none"/>
              </w:rPr>
            </w:pPr>
          </w:p>
        </w:tc>
        <w:tc>
          <w:tcPr>
            <w:tcW w:w="1162" w:type="dxa"/>
            <w:vAlign w:val="center"/>
          </w:tcPr>
          <w:p>
            <w:pPr>
              <w:jc w:val="center"/>
              <w:rPr>
                <w:rFonts w:hint="eastAsia" w:ascii="仿宋" w:hAnsi="仿宋" w:eastAsia="仿宋" w:cs="仿宋"/>
                <w:b/>
                <w:bCs/>
                <w:color w:val="auto"/>
                <w:sz w:val="21"/>
                <w:szCs w:val="21"/>
                <w:highlight w:val="none"/>
              </w:rPr>
            </w:pPr>
          </w:p>
        </w:tc>
        <w:tc>
          <w:tcPr>
            <w:tcW w:w="661" w:type="dxa"/>
            <w:vAlign w:val="top"/>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jc w:val="center"/>
              <w:rPr>
                <w:rFonts w:hint="eastAsia" w:ascii="仿宋" w:hAnsi="仿宋" w:eastAsia="仿宋" w:cs="仿宋"/>
                <w:b/>
                <w:bCs/>
                <w:color w:val="auto"/>
                <w:sz w:val="21"/>
                <w:szCs w:val="21"/>
                <w:highlight w:val="none"/>
              </w:rPr>
            </w:pPr>
          </w:p>
        </w:tc>
        <w:tc>
          <w:tcPr>
            <w:tcW w:w="1971" w:type="dxa"/>
            <w:vAlign w:val="center"/>
          </w:tcPr>
          <w:p>
            <w:pPr>
              <w:jc w:val="center"/>
              <w:rPr>
                <w:rFonts w:hint="eastAsia" w:ascii="仿宋" w:hAnsi="仿宋" w:eastAsia="仿宋" w:cs="仿宋"/>
                <w:b/>
                <w:bCs/>
                <w:color w:val="auto"/>
                <w:sz w:val="21"/>
                <w:szCs w:val="21"/>
                <w:highlight w:val="none"/>
              </w:rPr>
            </w:pPr>
          </w:p>
        </w:tc>
        <w:tc>
          <w:tcPr>
            <w:tcW w:w="669" w:type="dxa"/>
            <w:vAlign w:val="center"/>
          </w:tcPr>
          <w:p>
            <w:pPr>
              <w:jc w:val="center"/>
              <w:rPr>
                <w:rFonts w:hint="eastAsia" w:ascii="仿宋" w:hAnsi="仿宋" w:eastAsia="仿宋" w:cs="仿宋"/>
                <w:b/>
                <w:bCs/>
                <w:color w:val="auto"/>
                <w:sz w:val="21"/>
                <w:szCs w:val="21"/>
                <w:highlight w:val="none"/>
              </w:rPr>
            </w:pPr>
          </w:p>
        </w:tc>
        <w:tc>
          <w:tcPr>
            <w:tcW w:w="3611" w:type="dxa"/>
            <w:vAlign w:val="center"/>
          </w:tcPr>
          <w:p>
            <w:pPr>
              <w:jc w:val="center"/>
              <w:rPr>
                <w:rFonts w:hint="eastAsia" w:ascii="仿宋" w:hAnsi="仿宋" w:eastAsia="仿宋" w:cs="仿宋"/>
                <w:b/>
                <w:bCs/>
                <w:color w:val="auto"/>
                <w:sz w:val="21"/>
                <w:szCs w:val="21"/>
                <w:highlight w:val="none"/>
              </w:rPr>
            </w:pPr>
          </w:p>
        </w:tc>
        <w:tc>
          <w:tcPr>
            <w:tcW w:w="912" w:type="dxa"/>
            <w:vAlign w:val="center"/>
          </w:tcPr>
          <w:p>
            <w:pPr>
              <w:jc w:val="center"/>
              <w:rPr>
                <w:rFonts w:hint="eastAsia" w:ascii="仿宋" w:hAnsi="仿宋" w:eastAsia="仿宋" w:cs="仿宋"/>
                <w:b/>
                <w:bCs/>
                <w:color w:val="auto"/>
                <w:sz w:val="21"/>
                <w:szCs w:val="21"/>
                <w:highlight w:val="none"/>
              </w:rPr>
            </w:pPr>
          </w:p>
        </w:tc>
        <w:tc>
          <w:tcPr>
            <w:tcW w:w="1162" w:type="dxa"/>
            <w:vAlign w:val="center"/>
          </w:tcPr>
          <w:p>
            <w:pPr>
              <w:jc w:val="center"/>
              <w:rPr>
                <w:rFonts w:hint="eastAsia" w:ascii="仿宋" w:hAnsi="仿宋" w:eastAsia="仿宋" w:cs="仿宋"/>
                <w:b/>
                <w:bCs/>
                <w:color w:val="auto"/>
                <w:sz w:val="21"/>
                <w:szCs w:val="21"/>
                <w:highlight w:val="none"/>
              </w:rPr>
            </w:pPr>
          </w:p>
        </w:tc>
        <w:tc>
          <w:tcPr>
            <w:tcW w:w="661" w:type="dxa"/>
            <w:vAlign w:val="top"/>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jc w:val="center"/>
              <w:rPr>
                <w:rFonts w:hint="eastAsia" w:ascii="仿宋" w:hAnsi="仿宋" w:eastAsia="仿宋" w:cs="仿宋"/>
                <w:b/>
                <w:bCs/>
                <w:color w:val="auto"/>
                <w:sz w:val="21"/>
                <w:szCs w:val="21"/>
                <w:highlight w:val="none"/>
              </w:rPr>
            </w:pPr>
          </w:p>
        </w:tc>
        <w:tc>
          <w:tcPr>
            <w:tcW w:w="1971" w:type="dxa"/>
            <w:vAlign w:val="center"/>
          </w:tcPr>
          <w:p>
            <w:pPr>
              <w:jc w:val="center"/>
              <w:rPr>
                <w:rFonts w:hint="eastAsia" w:ascii="仿宋" w:hAnsi="仿宋" w:eastAsia="仿宋" w:cs="仿宋"/>
                <w:b/>
                <w:bCs/>
                <w:color w:val="auto"/>
                <w:sz w:val="21"/>
                <w:szCs w:val="21"/>
                <w:highlight w:val="none"/>
              </w:rPr>
            </w:pPr>
          </w:p>
        </w:tc>
        <w:tc>
          <w:tcPr>
            <w:tcW w:w="669" w:type="dxa"/>
            <w:vAlign w:val="center"/>
          </w:tcPr>
          <w:p>
            <w:pPr>
              <w:jc w:val="center"/>
              <w:rPr>
                <w:rFonts w:hint="eastAsia" w:ascii="仿宋" w:hAnsi="仿宋" w:eastAsia="仿宋" w:cs="仿宋"/>
                <w:b/>
                <w:bCs/>
                <w:color w:val="auto"/>
                <w:sz w:val="21"/>
                <w:szCs w:val="21"/>
                <w:highlight w:val="none"/>
              </w:rPr>
            </w:pPr>
          </w:p>
        </w:tc>
        <w:tc>
          <w:tcPr>
            <w:tcW w:w="3611" w:type="dxa"/>
            <w:vAlign w:val="center"/>
          </w:tcPr>
          <w:p>
            <w:pPr>
              <w:jc w:val="center"/>
              <w:rPr>
                <w:rFonts w:hint="eastAsia" w:ascii="仿宋" w:hAnsi="仿宋" w:eastAsia="仿宋" w:cs="仿宋"/>
                <w:b/>
                <w:bCs/>
                <w:color w:val="auto"/>
                <w:sz w:val="21"/>
                <w:szCs w:val="21"/>
                <w:highlight w:val="none"/>
              </w:rPr>
            </w:pPr>
          </w:p>
        </w:tc>
        <w:tc>
          <w:tcPr>
            <w:tcW w:w="912" w:type="dxa"/>
            <w:vAlign w:val="center"/>
          </w:tcPr>
          <w:p>
            <w:pPr>
              <w:jc w:val="center"/>
              <w:rPr>
                <w:rFonts w:hint="eastAsia" w:ascii="仿宋" w:hAnsi="仿宋" w:eastAsia="仿宋" w:cs="仿宋"/>
                <w:b/>
                <w:bCs/>
                <w:color w:val="auto"/>
                <w:sz w:val="21"/>
                <w:szCs w:val="21"/>
                <w:highlight w:val="none"/>
              </w:rPr>
            </w:pPr>
          </w:p>
        </w:tc>
        <w:tc>
          <w:tcPr>
            <w:tcW w:w="1162" w:type="dxa"/>
            <w:vAlign w:val="center"/>
          </w:tcPr>
          <w:p>
            <w:pPr>
              <w:jc w:val="center"/>
              <w:rPr>
                <w:rFonts w:hint="eastAsia" w:ascii="仿宋" w:hAnsi="仿宋" w:eastAsia="仿宋" w:cs="仿宋"/>
                <w:b/>
                <w:bCs/>
                <w:color w:val="auto"/>
                <w:sz w:val="21"/>
                <w:szCs w:val="21"/>
                <w:highlight w:val="none"/>
              </w:rPr>
            </w:pPr>
          </w:p>
        </w:tc>
        <w:tc>
          <w:tcPr>
            <w:tcW w:w="661" w:type="dxa"/>
            <w:vAlign w:val="top"/>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jc w:val="center"/>
              <w:rPr>
                <w:rFonts w:hint="eastAsia" w:ascii="仿宋" w:hAnsi="仿宋" w:eastAsia="仿宋" w:cs="仿宋"/>
                <w:b/>
                <w:bCs/>
                <w:color w:val="auto"/>
                <w:sz w:val="21"/>
                <w:szCs w:val="21"/>
                <w:highlight w:val="none"/>
              </w:rPr>
            </w:pPr>
          </w:p>
        </w:tc>
        <w:tc>
          <w:tcPr>
            <w:tcW w:w="1971" w:type="dxa"/>
            <w:vAlign w:val="center"/>
          </w:tcPr>
          <w:p>
            <w:pPr>
              <w:jc w:val="center"/>
              <w:rPr>
                <w:rFonts w:hint="eastAsia" w:ascii="仿宋" w:hAnsi="仿宋" w:eastAsia="仿宋" w:cs="仿宋"/>
                <w:b/>
                <w:bCs/>
                <w:color w:val="auto"/>
                <w:sz w:val="21"/>
                <w:szCs w:val="21"/>
                <w:highlight w:val="none"/>
              </w:rPr>
            </w:pPr>
          </w:p>
        </w:tc>
        <w:tc>
          <w:tcPr>
            <w:tcW w:w="669" w:type="dxa"/>
            <w:vAlign w:val="center"/>
          </w:tcPr>
          <w:p>
            <w:pPr>
              <w:jc w:val="center"/>
              <w:rPr>
                <w:rFonts w:hint="eastAsia" w:ascii="仿宋" w:hAnsi="仿宋" w:eastAsia="仿宋" w:cs="仿宋"/>
                <w:b/>
                <w:bCs/>
                <w:color w:val="auto"/>
                <w:sz w:val="21"/>
                <w:szCs w:val="21"/>
                <w:highlight w:val="none"/>
              </w:rPr>
            </w:pPr>
          </w:p>
        </w:tc>
        <w:tc>
          <w:tcPr>
            <w:tcW w:w="3611" w:type="dxa"/>
            <w:vAlign w:val="center"/>
          </w:tcPr>
          <w:p>
            <w:pPr>
              <w:jc w:val="center"/>
              <w:rPr>
                <w:rFonts w:hint="eastAsia" w:ascii="仿宋" w:hAnsi="仿宋" w:eastAsia="仿宋" w:cs="仿宋"/>
                <w:b/>
                <w:bCs/>
                <w:color w:val="auto"/>
                <w:sz w:val="21"/>
                <w:szCs w:val="21"/>
                <w:highlight w:val="none"/>
              </w:rPr>
            </w:pPr>
          </w:p>
        </w:tc>
        <w:tc>
          <w:tcPr>
            <w:tcW w:w="912" w:type="dxa"/>
            <w:vAlign w:val="center"/>
          </w:tcPr>
          <w:p>
            <w:pPr>
              <w:jc w:val="center"/>
              <w:rPr>
                <w:rFonts w:hint="eastAsia" w:ascii="仿宋" w:hAnsi="仿宋" w:eastAsia="仿宋" w:cs="仿宋"/>
                <w:b/>
                <w:bCs/>
                <w:color w:val="auto"/>
                <w:sz w:val="21"/>
                <w:szCs w:val="21"/>
                <w:highlight w:val="none"/>
              </w:rPr>
            </w:pPr>
          </w:p>
        </w:tc>
        <w:tc>
          <w:tcPr>
            <w:tcW w:w="1162" w:type="dxa"/>
            <w:vAlign w:val="center"/>
          </w:tcPr>
          <w:p>
            <w:pPr>
              <w:jc w:val="center"/>
              <w:rPr>
                <w:rFonts w:hint="eastAsia" w:ascii="仿宋" w:hAnsi="仿宋" w:eastAsia="仿宋" w:cs="仿宋"/>
                <w:b/>
                <w:bCs/>
                <w:color w:val="auto"/>
                <w:sz w:val="21"/>
                <w:szCs w:val="21"/>
                <w:highlight w:val="none"/>
              </w:rPr>
            </w:pPr>
          </w:p>
        </w:tc>
        <w:tc>
          <w:tcPr>
            <w:tcW w:w="661" w:type="dxa"/>
            <w:vAlign w:val="top"/>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jc w:val="center"/>
              <w:rPr>
                <w:rFonts w:hint="eastAsia" w:ascii="仿宋" w:hAnsi="仿宋" w:eastAsia="仿宋" w:cs="仿宋"/>
                <w:b/>
                <w:bCs/>
                <w:color w:val="auto"/>
                <w:sz w:val="21"/>
                <w:szCs w:val="21"/>
                <w:highlight w:val="none"/>
              </w:rPr>
            </w:pPr>
          </w:p>
        </w:tc>
        <w:tc>
          <w:tcPr>
            <w:tcW w:w="1971" w:type="dxa"/>
            <w:vAlign w:val="center"/>
          </w:tcPr>
          <w:p>
            <w:pPr>
              <w:jc w:val="center"/>
              <w:rPr>
                <w:rFonts w:hint="eastAsia" w:ascii="仿宋" w:hAnsi="仿宋" w:eastAsia="仿宋" w:cs="仿宋"/>
                <w:b/>
                <w:bCs/>
                <w:color w:val="auto"/>
                <w:sz w:val="21"/>
                <w:szCs w:val="21"/>
                <w:highlight w:val="none"/>
              </w:rPr>
            </w:pPr>
          </w:p>
        </w:tc>
        <w:tc>
          <w:tcPr>
            <w:tcW w:w="669" w:type="dxa"/>
            <w:vAlign w:val="center"/>
          </w:tcPr>
          <w:p>
            <w:pPr>
              <w:jc w:val="center"/>
              <w:rPr>
                <w:rFonts w:hint="eastAsia" w:ascii="仿宋" w:hAnsi="仿宋" w:eastAsia="仿宋" w:cs="仿宋"/>
                <w:b/>
                <w:bCs/>
                <w:color w:val="auto"/>
                <w:sz w:val="21"/>
                <w:szCs w:val="21"/>
                <w:highlight w:val="none"/>
              </w:rPr>
            </w:pPr>
          </w:p>
        </w:tc>
        <w:tc>
          <w:tcPr>
            <w:tcW w:w="3611" w:type="dxa"/>
            <w:vAlign w:val="center"/>
          </w:tcPr>
          <w:p>
            <w:pPr>
              <w:jc w:val="center"/>
              <w:rPr>
                <w:rFonts w:hint="eastAsia" w:ascii="仿宋" w:hAnsi="仿宋" w:eastAsia="仿宋" w:cs="仿宋"/>
                <w:b/>
                <w:bCs/>
                <w:color w:val="auto"/>
                <w:sz w:val="21"/>
                <w:szCs w:val="21"/>
                <w:highlight w:val="none"/>
              </w:rPr>
            </w:pPr>
          </w:p>
        </w:tc>
        <w:tc>
          <w:tcPr>
            <w:tcW w:w="912" w:type="dxa"/>
            <w:vAlign w:val="center"/>
          </w:tcPr>
          <w:p>
            <w:pPr>
              <w:jc w:val="center"/>
              <w:rPr>
                <w:rFonts w:hint="eastAsia" w:ascii="仿宋" w:hAnsi="仿宋" w:eastAsia="仿宋" w:cs="仿宋"/>
                <w:b/>
                <w:bCs/>
                <w:color w:val="auto"/>
                <w:sz w:val="21"/>
                <w:szCs w:val="21"/>
                <w:highlight w:val="none"/>
              </w:rPr>
            </w:pPr>
          </w:p>
        </w:tc>
        <w:tc>
          <w:tcPr>
            <w:tcW w:w="1162" w:type="dxa"/>
            <w:vAlign w:val="center"/>
          </w:tcPr>
          <w:p>
            <w:pPr>
              <w:jc w:val="center"/>
              <w:rPr>
                <w:rFonts w:hint="eastAsia" w:ascii="仿宋" w:hAnsi="仿宋" w:eastAsia="仿宋" w:cs="仿宋"/>
                <w:b/>
                <w:bCs/>
                <w:color w:val="auto"/>
                <w:sz w:val="21"/>
                <w:szCs w:val="21"/>
                <w:highlight w:val="none"/>
              </w:rPr>
            </w:pPr>
          </w:p>
        </w:tc>
        <w:tc>
          <w:tcPr>
            <w:tcW w:w="661" w:type="dxa"/>
            <w:vAlign w:val="top"/>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9628" w:type="dxa"/>
            <w:gridSpan w:val="7"/>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技术分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rPr>
                <w:rFonts w:hint="eastAsia" w:ascii="仿宋" w:hAnsi="仿宋" w:eastAsia="仿宋" w:cs="仿宋"/>
                <w:b/>
                <w:bCs/>
                <w:color w:val="auto"/>
                <w:sz w:val="21"/>
                <w:szCs w:val="21"/>
                <w:highlight w:val="none"/>
              </w:rPr>
            </w:pPr>
          </w:p>
        </w:tc>
        <w:tc>
          <w:tcPr>
            <w:tcW w:w="1971" w:type="dxa"/>
            <w:vAlign w:val="center"/>
          </w:tcPr>
          <w:p>
            <w:pPr>
              <w:rPr>
                <w:rFonts w:hint="eastAsia" w:ascii="仿宋" w:hAnsi="仿宋" w:eastAsia="仿宋" w:cs="仿宋"/>
                <w:b/>
                <w:bCs/>
                <w:color w:val="auto"/>
                <w:sz w:val="21"/>
                <w:szCs w:val="21"/>
                <w:highlight w:val="none"/>
              </w:rPr>
            </w:pPr>
          </w:p>
        </w:tc>
        <w:tc>
          <w:tcPr>
            <w:tcW w:w="669" w:type="dxa"/>
            <w:vAlign w:val="center"/>
          </w:tcPr>
          <w:p>
            <w:pPr>
              <w:rPr>
                <w:rFonts w:hint="eastAsia" w:ascii="仿宋" w:hAnsi="仿宋" w:eastAsia="仿宋" w:cs="仿宋"/>
                <w:b/>
                <w:bCs/>
                <w:color w:val="auto"/>
                <w:sz w:val="21"/>
                <w:szCs w:val="21"/>
                <w:highlight w:val="none"/>
              </w:rPr>
            </w:pPr>
          </w:p>
        </w:tc>
        <w:tc>
          <w:tcPr>
            <w:tcW w:w="3611" w:type="dxa"/>
            <w:vAlign w:val="center"/>
          </w:tcPr>
          <w:p>
            <w:pPr>
              <w:rPr>
                <w:rFonts w:hint="eastAsia" w:ascii="仿宋" w:hAnsi="仿宋" w:eastAsia="仿宋" w:cs="仿宋"/>
                <w:b/>
                <w:bCs/>
                <w:color w:val="auto"/>
                <w:sz w:val="21"/>
                <w:szCs w:val="21"/>
                <w:highlight w:val="none"/>
              </w:rPr>
            </w:pPr>
          </w:p>
        </w:tc>
        <w:tc>
          <w:tcPr>
            <w:tcW w:w="912" w:type="dxa"/>
            <w:vAlign w:val="center"/>
          </w:tcPr>
          <w:p>
            <w:pPr>
              <w:rPr>
                <w:rFonts w:hint="eastAsia" w:ascii="仿宋" w:hAnsi="仿宋" w:eastAsia="仿宋" w:cs="仿宋"/>
                <w:b/>
                <w:bCs/>
                <w:color w:val="auto"/>
                <w:sz w:val="21"/>
                <w:szCs w:val="21"/>
                <w:highlight w:val="none"/>
              </w:rPr>
            </w:pPr>
          </w:p>
        </w:tc>
        <w:tc>
          <w:tcPr>
            <w:tcW w:w="1162" w:type="dxa"/>
            <w:vAlign w:val="center"/>
          </w:tcPr>
          <w:p>
            <w:pPr>
              <w:rPr>
                <w:rFonts w:hint="eastAsia" w:ascii="仿宋" w:hAnsi="仿宋" w:eastAsia="仿宋" w:cs="仿宋"/>
                <w:b/>
                <w:bCs/>
                <w:color w:val="auto"/>
                <w:sz w:val="21"/>
                <w:szCs w:val="21"/>
                <w:highlight w:val="none"/>
              </w:rPr>
            </w:pPr>
          </w:p>
        </w:tc>
        <w:tc>
          <w:tcPr>
            <w:tcW w:w="661" w:type="dxa"/>
            <w:vAlign w:val="top"/>
          </w:tcPr>
          <w:p>
            <w:pP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rPr>
                <w:rFonts w:hint="eastAsia" w:ascii="仿宋" w:hAnsi="仿宋" w:eastAsia="仿宋" w:cs="仿宋"/>
                <w:b/>
                <w:bCs/>
                <w:color w:val="auto"/>
                <w:sz w:val="21"/>
                <w:szCs w:val="21"/>
                <w:highlight w:val="none"/>
              </w:rPr>
            </w:pPr>
          </w:p>
        </w:tc>
        <w:tc>
          <w:tcPr>
            <w:tcW w:w="1971" w:type="dxa"/>
            <w:vAlign w:val="center"/>
          </w:tcPr>
          <w:p>
            <w:pPr>
              <w:rPr>
                <w:rFonts w:hint="eastAsia" w:ascii="仿宋" w:hAnsi="仿宋" w:eastAsia="仿宋" w:cs="仿宋"/>
                <w:b/>
                <w:bCs/>
                <w:color w:val="auto"/>
                <w:sz w:val="21"/>
                <w:szCs w:val="21"/>
                <w:highlight w:val="none"/>
              </w:rPr>
            </w:pPr>
          </w:p>
        </w:tc>
        <w:tc>
          <w:tcPr>
            <w:tcW w:w="669" w:type="dxa"/>
            <w:vAlign w:val="center"/>
          </w:tcPr>
          <w:p>
            <w:pPr>
              <w:rPr>
                <w:rFonts w:hint="eastAsia" w:ascii="仿宋" w:hAnsi="仿宋" w:eastAsia="仿宋" w:cs="仿宋"/>
                <w:b/>
                <w:bCs/>
                <w:color w:val="auto"/>
                <w:sz w:val="21"/>
                <w:szCs w:val="21"/>
                <w:highlight w:val="none"/>
              </w:rPr>
            </w:pPr>
          </w:p>
        </w:tc>
        <w:tc>
          <w:tcPr>
            <w:tcW w:w="3611" w:type="dxa"/>
            <w:vAlign w:val="center"/>
          </w:tcPr>
          <w:p>
            <w:pPr>
              <w:rPr>
                <w:rFonts w:hint="eastAsia" w:ascii="仿宋" w:hAnsi="仿宋" w:eastAsia="仿宋" w:cs="仿宋"/>
                <w:b/>
                <w:bCs/>
                <w:color w:val="auto"/>
                <w:sz w:val="21"/>
                <w:szCs w:val="21"/>
                <w:highlight w:val="none"/>
              </w:rPr>
            </w:pPr>
          </w:p>
        </w:tc>
        <w:tc>
          <w:tcPr>
            <w:tcW w:w="912" w:type="dxa"/>
            <w:vAlign w:val="center"/>
          </w:tcPr>
          <w:p>
            <w:pPr>
              <w:rPr>
                <w:rFonts w:hint="eastAsia" w:ascii="仿宋" w:hAnsi="仿宋" w:eastAsia="仿宋" w:cs="仿宋"/>
                <w:b/>
                <w:bCs/>
                <w:color w:val="auto"/>
                <w:sz w:val="21"/>
                <w:szCs w:val="21"/>
                <w:highlight w:val="none"/>
              </w:rPr>
            </w:pPr>
          </w:p>
        </w:tc>
        <w:tc>
          <w:tcPr>
            <w:tcW w:w="1162" w:type="dxa"/>
            <w:vAlign w:val="center"/>
          </w:tcPr>
          <w:p>
            <w:pPr>
              <w:rPr>
                <w:rFonts w:hint="eastAsia" w:ascii="仿宋" w:hAnsi="仿宋" w:eastAsia="仿宋" w:cs="仿宋"/>
                <w:b/>
                <w:bCs/>
                <w:color w:val="auto"/>
                <w:sz w:val="21"/>
                <w:szCs w:val="21"/>
                <w:highlight w:val="none"/>
              </w:rPr>
            </w:pPr>
          </w:p>
        </w:tc>
        <w:tc>
          <w:tcPr>
            <w:tcW w:w="661" w:type="dxa"/>
            <w:vAlign w:val="top"/>
          </w:tcPr>
          <w:p>
            <w:pP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rPr>
                <w:rFonts w:hint="eastAsia" w:ascii="仿宋" w:hAnsi="仿宋" w:eastAsia="仿宋" w:cs="仿宋"/>
                <w:b/>
                <w:bCs/>
                <w:color w:val="auto"/>
                <w:sz w:val="21"/>
                <w:szCs w:val="21"/>
                <w:highlight w:val="none"/>
              </w:rPr>
            </w:pPr>
          </w:p>
        </w:tc>
        <w:tc>
          <w:tcPr>
            <w:tcW w:w="1971" w:type="dxa"/>
            <w:vAlign w:val="center"/>
          </w:tcPr>
          <w:p>
            <w:pPr>
              <w:rPr>
                <w:rFonts w:hint="eastAsia" w:ascii="仿宋" w:hAnsi="仿宋" w:eastAsia="仿宋" w:cs="仿宋"/>
                <w:b/>
                <w:bCs/>
                <w:color w:val="auto"/>
                <w:sz w:val="21"/>
                <w:szCs w:val="21"/>
                <w:highlight w:val="none"/>
              </w:rPr>
            </w:pPr>
          </w:p>
        </w:tc>
        <w:tc>
          <w:tcPr>
            <w:tcW w:w="669" w:type="dxa"/>
            <w:vAlign w:val="center"/>
          </w:tcPr>
          <w:p>
            <w:pPr>
              <w:rPr>
                <w:rFonts w:hint="eastAsia" w:ascii="仿宋" w:hAnsi="仿宋" w:eastAsia="仿宋" w:cs="仿宋"/>
                <w:b/>
                <w:bCs/>
                <w:color w:val="auto"/>
                <w:sz w:val="21"/>
                <w:szCs w:val="21"/>
                <w:highlight w:val="none"/>
              </w:rPr>
            </w:pPr>
          </w:p>
        </w:tc>
        <w:tc>
          <w:tcPr>
            <w:tcW w:w="3611" w:type="dxa"/>
            <w:vAlign w:val="center"/>
          </w:tcPr>
          <w:p>
            <w:pPr>
              <w:rPr>
                <w:rFonts w:hint="eastAsia" w:ascii="仿宋" w:hAnsi="仿宋" w:eastAsia="仿宋" w:cs="仿宋"/>
                <w:b/>
                <w:bCs/>
                <w:color w:val="auto"/>
                <w:sz w:val="21"/>
                <w:szCs w:val="21"/>
                <w:highlight w:val="none"/>
              </w:rPr>
            </w:pPr>
          </w:p>
        </w:tc>
        <w:tc>
          <w:tcPr>
            <w:tcW w:w="912" w:type="dxa"/>
            <w:vAlign w:val="center"/>
          </w:tcPr>
          <w:p>
            <w:pPr>
              <w:rPr>
                <w:rFonts w:hint="eastAsia" w:ascii="仿宋" w:hAnsi="仿宋" w:eastAsia="仿宋" w:cs="仿宋"/>
                <w:b/>
                <w:bCs/>
                <w:color w:val="auto"/>
                <w:sz w:val="21"/>
                <w:szCs w:val="21"/>
                <w:highlight w:val="none"/>
              </w:rPr>
            </w:pPr>
          </w:p>
        </w:tc>
        <w:tc>
          <w:tcPr>
            <w:tcW w:w="1162" w:type="dxa"/>
            <w:vAlign w:val="center"/>
          </w:tcPr>
          <w:p>
            <w:pPr>
              <w:rPr>
                <w:rFonts w:hint="eastAsia" w:ascii="仿宋" w:hAnsi="仿宋" w:eastAsia="仿宋" w:cs="仿宋"/>
                <w:b/>
                <w:bCs/>
                <w:color w:val="auto"/>
                <w:sz w:val="21"/>
                <w:szCs w:val="21"/>
                <w:highlight w:val="none"/>
              </w:rPr>
            </w:pPr>
          </w:p>
        </w:tc>
        <w:tc>
          <w:tcPr>
            <w:tcW w:w="661" w:type="dxa"/>
            <w:vAlign w:val="top"/>
          </w:tcPr>
          <w:p>
            <w:pP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rPr>
                <w:rFonts w:hint="eastAsia" w:ascii="仿宋" w:hAnsi="仿宋" w:eastAsia="仿宋" w:cs="仿宋"/>
                <w:b/>
                <w:bCs/>
                <w:color w:val="auto"/>
                <w:sz w:val="21"/>
                <w:szCs w:val="21"/>
                <w:highlight w:val="none"/>
              </w:rPr>
            </w:pPr>
          </w:p>
        </w:tc>
        <w:tc>
          <w:tcPr>
            <w:tcW w:w="1971" w:type="dxa"/>
            <w:vAlign w:val="center"/>
          </w:tcPr>
          <w:p>
            <w:pPr>
              <w:rPr>
                <w:rFonts w:hint="eastAsia" w:ascii="仿宋" w:hAnsi="仿宋" w:eastAsia="仿宋" w:cs="仿宋"/>
                <w:b/>
                <w:bCs/>
                <w:color w:val="auto"/>
                <w:sz w:val="21"/>
                <w:szCs w:val="21"/>
                <w:highlight w:val="none"/>
              </w:rPr>
            </w:pPr>
          </w:p>
        </w:tc>
        <w:tc>
          <w:tcPr>
            <w:tcW w:w="669" w:type="dxa"/>
            <w:vAlign w:val="center"/>
          </w:tcPr>
          <w:p>
            <w:pPr>
              <w:rPr>
                <w:rFonts w:hint="eastAsia" w:ascii="仿宋" w:hAnsi="仿宋" w:eastAsia="仿宋" w:cs="仿宋"/>
                <w:b/>
                <w:bCs/>
                <w:color w:val="auto"/>
                <w:sz w:val="21"/>
                <w:szCs w:val="21"/>
                <w:highlight w:val="none"/>
              </w:rPr>
            </w:pPr>
          </w:p>
        </w:tc>
        <w:tc>
          <w:tcPr>
            <w:tcW w:w="3611" w:type="dxa"/>
            <w:vAlign w:val="center"/>
          </w:tcPr>
          <w:p>
            <w:pPr>
              <w:rPr>
                <w:rFonts w:hint="eastAsia" w:ascii="仿宋" w:hAnsi="仿宋" w:eastAsia="仿宋" w:cs="仿宋"/>
                <w:b/>
                <w:bCs/>
                <w:color w:val="auto"/>
                <w:sz w:val="21"/>
                <w:szCs w:val="21"/>
                <w:highlight w:val="none"/>
              </w:rPr>
            </w:pPr>
          </w:p>
        </w:tc>
        <w:tc>
          <w:tcPr>
            <w:tcW w:w="912" w:type="dxa"/>
            <w:vAlign w:val="center"/>
          </w:tcPr>
          <w:p>
            <w:pPr>
              <w:rPr>
                <w:rFonts w:hint="eastAsia" w:ascii="仿宋" w:hAnsi="仿宋" w:eastAsia="仿宋" w:cs="仿宋"/>
                <w:b/>
                <w:bCs/>
                <w:color w:val="auto"/>
                <w:sz w:val="21"/>
                <w:szCs w:val="21"/>
                <w:highlight w:val="none"/>
              </w:rPr>
            </w:pPr>
          </w:p>
        </w:tc>
        <w:tc>
          <w:tcPr>
            <w:tcW w:w="1162" w:type="dxa"/>
            <w:vAlign w:val="center"/>
          </w:tcPr>
          <w:p>
            <w:pPr>
              <w:rPr>
                <w:rFonts w:hint="eastAsia" w:ascii="仿宋" w:hAnsi="仿宋" w:eastAsia="仿宋" w:cs="仿宋"/>
                <w:b/>
                <w:bCs/>
                <w:color w:val="auto"/>
                <w:sz w:val="21"/>
                <w:szCs w:val="21"/>
                <w:highlight w:val="none"/>
              </w:rPr>
            </w:pPr>
          </w:p>
        </w:tc>
        <w:tc>
          <w:tcPr>
            <w:tcW w:w="661" w:type="dxa"/>
            <w:vAlign w:val="top"/>
          </w:tcPr>
          <w:p>
            <w:pP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642" w:type="dxa"/>
            <w:vAlign w:val="center"/>
          </w:tcPr>
          <w:p>
            <w:pPr>
              <w:rPr>
                <w:rFonts w:hint="eastAsia" w:ascii="仿宋" w:hAnsi="仿宋" w:eastAsia="仿宋" w:cs="仿宋"/>
                <w:b/>
                <w:bCs/>
                <w:color w:val="auto"/>
                <w:sz w:val="21"/>
                <w:szCs w:val="21"/>
                <w:highlight w:val="none"/>
              </w:rPr>
            </w:pPr>
          </w:p>
        </w:tc>
        <w:tc>
          <w:tcPr>
            <w:tcW w:w="1971" w:type="dxa"/>
            <w:vAlign w:val="center"/>
          </w:tcPr>
          <w:p>
            <w:pPr>
              <w:rPr>
                <w:rFonts w:hint="eastAsia" w:ascii="仿宋" w:hAnsi="仿宋" w:eastAsia="仿宋" w:cs="仿宋"/>
                <w:b/>
                <w:bCs/>
                <w:color w:val="auto"/>
                <w:sz w:val="21"/>
                <w:szCs w:val="21"/>
                <w:highlight w:val="none"/>
              </w:rPr>
            </w:pPr>
          </w:p>
        </w:tc>
        <w:tc>
          <w:tcPr>
            <w:tcW w:w="669" w:type="dxa"/>
            <w:vAlign w:val="center"/>
          </w:tcPr>
          <w:p>
            <w:pPr>
              <w:rPr>
                <w:rFonts w:hint="eastAsia" w:ascii="仿宋" w:hAnsi="仿宋" w:eastAsia="仿宋" w:cs="仿宋"/>
                <w:b/>
                <w:bCs/>
                <w:color w:val="auto"/>
                <w:sz w:val="21"/>
                <w:szCs w:val="21"/>
                <w:highlight w:val="none"/>
              </w:rPr>
            </w:pPr>
          </w:p>
        </w:tc>
        <w:tc>
          <w:tcPr>
            <w:tcW w:w="3611" w:type="dxa"/>
            <w:vAlign w:val="center"/>
          </w:tcPr>
          <w:p>
            <w:pPr>
              <w:rPr>
                <w:rFonts w:hint="eastAsia" w:ascii="仿宋" w:hAnsi="仿宋" w:eastAsia="仿宋" w:cs="仿宋"/>
                <w:b/>
                <w:bCs/>
                <w:color w:val="auto"/>
                <w:sz w:val="21"/>
                <w:szCs w:val="21"/>
                <w:highlight w:val="none"/>
              </w:rPr>
            </w:pPr>
          </w:p>
        </w:tc>
        <w:tc>
          <w:tcPr>
            <w:tcW w:w="912" w:type="dxa"/>
            <w:vAlign w:val="center"/>
          </w:tcPr>
          <w:p>
            <w:pPr>
              <w:rPr>
                <w:rFonts w:hint="eastAsia" w:ascii="仿宋" w:hAnsi="仿宋" w:eastAsia="仿宋" w:cs="仿宋"/>
                <w:b/>
                <w:bCs/>
                <w:color w:val="auto"/>
                <w:sz w:val="21"/>
                <w:szCs w:val="21"/>
                <w:highlight w:val="none"/>
              </w:rPr>
            </w:pPr>
          </w:p>
        </w:tc>
        <w:tc>
          <w:tcPr>
            <w:tcW w:w="1162" w:type="dxa"/>
            <w:vAlign w:val="center"/>
          </w:tcPr>
          <w:p>
            <w:pPr>
              <w:rPr>
                <w:rFonts w:hint="eastAsia" w:ascii="仿宋" w:hAnsi="仿宋" w:eastAsia="仿宋" w:cs="仿宋"/>
                <w:b/>
                <w:bCs/>
                <w:color w:val="auto"/>
                <w:sz w:val="21"/>
                <w:szCs w:val="21"/>
                <w:highlight w:val="none"/>
              </w:rPr>
            </w:pPr>
          </w:p>
        </w:tc>
        <w:tc>
          <w:tcPr>
            <w:tcW w:w="661" w:type="dxa"/>
            <w:vAlign w:val="top"/>
          </w:tcPr>
          <w:p>
            <w:pPr>
              <w:rPr>
                <w:rFonts w:hint="eastAsia" w:ascii="仿宋" w:hAnsi="仿宋" w:eastAsia="仿宋" w:cs="仿宋"/>
                <w:b/>
                <w:bCs/>
                <w:color w:val="auto"/>
                <w:sz w:val="21"/>
                <w:szCs w:val="21"/>
                <w:highlight w:val="none"/>
              </w:rPr>
            </w:pPr>
          </w:p>
        </w:tc>
      </w:tr>
    </w:tbl>
    <w:p>
      <w:pPr>
        <w:spacing w:line="360" w:lineRule="auto"/>
        <w:rPr>
          <w:rFonts w:hint="eastAsia" w:ascii="仿宋" w:hAnsi="仿宋" w:eastAsia="仿宋" w:cs="仿宋"/>
          <w:color w:val="auto"/>
          <w:spacing w:val="-6"/>
          <w:sz w:val="18"/>
          <w:szCs w:val="18"/>
          <w:highlight w:val="none"/>
        </w:rPr>
      </w:pPr>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bCs/>
          <w:color w:val="auto"/>
          <w:spacing w:val="-6"/>
          <w:sz w:val="18"/>
          <w:szCs w:val="18"/>
          <w:highlight w:val="none"/>
        </w:rPr>
        <w:t>备注：本表仅为方便评标委员会评审使用，不作为判别投标文件是否有效的依据。</w:t>
      </w: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adjustRightInd w:val="0"/>
        <w:snapToGrid w:val="0"/>
        <w:spacing w:line="288" w:lineRule="auto"/>
        <w:jc w:val="center"/>
        <w:outlineLvl w:val="1"/>
        <w:rPr>
          <w:rFonts w:hint="eastAsia" w:ascii="仿宋" w:hAnsi="仿宋" w:eastAsia="仿宋" w:cs="仿宋"/>
          <w:b/>
          <w:bCs/>
          <w:color w:val="auto"/>
          <w:sz w:val="84"/>
          <w:szCs w:val="84"/>
          <w:highlight w:val="none"/>
        </w:rPr>
      </w:pPr>
      <w:r>
        <w:rPr>
          <w:rFonts w:hint="eastAsia" w:ascii="仿宋" w:hAnsi="仿宋" w:eastAsia="仿宋" w:cs="仿宋"/>
          <w:b/>
          <w:bCs/>
          <w:color w:val="auto"/>
          <w:sz w:val="84"/>
          <w:szCs w:val="84"/>
          <w:highlight w:val="none"/>
        </w:rPr>
        <w:t>资格文件</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adjustRightInd w:val="0"/>
        <w:snapToGrid w:val="0"/>
        <w:spacing w:line="288" w:lineRule="auto"/>
        <w:jc w:val="center"/>
        <w:rPr>
          <w:rFonts w:hint="eastAsia" w:ascii="仿宋" w:hAnsi="仿宋" w:eastAsia="仿宋" w:cs="仿宋"/>
          <w:b/>
          <w:bCs/>
          <w:color w:val="auto"/>
          <w:szCs w:val="21"/>
          <w:highlight w:val="none"/>
          <w:lang w:eastAsia="zh-CN"/>
        </w:rPr>
      </w:pPr>
      <w:bookmarkStart w:id="61" w:name="_Hlk94097338"/>
      <w:r>
        <w:rPr>
          <w:rFonts w:hint="eastAsia" w:ascii="仿宋" w:hAnsi="仿宋" w:eastAsia="仿宋" w:cs="仿宋"/>
          <w:b/>
          <w:bCs/>
          <w:color w:val="auto"/>
          <w:sz w:val="24"/>
          <w:szCs w:val="24"/>
          <w:highlight w:val="none"/>
        </w:rPr>
        <w:t>资格审查要求的资格证明材料</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均需加盖公章</w:t>
      </w:r>
      <w:r>
        <w:rPr>
          <w:rFonts w:hint="eastAsia" w:ascii="仿宋" w:hAnsi="仿宋" w:eastAsia="仿宋" w:cs="仿宋"/>
          <w:b/>
          <w:bCs/>
          <w:color w:val="auto"/>
          <w:sz w:val="24"/>
          <w:szCs w:val="24"/>
          <w:highlight w:val="none"/>
          <w:lang w:eastAsia="zh-CN"/>
        </w:rPr>
        <w:t>）</w:t>
      </w:r>
      <w:bookmarkEnd w:id="61"/>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eastAsia="zh-CN"/>
        </w:rPr>
        <w:t>有效的法人或者其他组织的营业执照等证明文件/自然人的身份证明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
          <w:bCs/>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说明：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1.如供应商是企业（包括合伙企业），提供在工商部门注册的有效“企业法人营业执照”或“营业执照”；</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2.如供应商是事业单位，提供有效的“事业单位法人证书”；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3.如供应商是非企业专业服务机构，提供执业许可证等证明文件；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4.如供应商是个体工商户，提供有效的“个体工商户营业执照”；</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Cs/>
          <w:color w:val="auto"/>
          <w:spacing w:val="-6"/>
          <w:szCs w:val="21"/>
          <w:highlight w:val="none"/>
        </w:rPr>
      </w:pPr>
      <w:r>
        <w:rPr>
          <w:rFonts w:hint="eastAsia" w:ascii="仿宋" w:hAnsi="仿宋" w:eastAsia="仿宋" w:cs="仿宋"/>
          <w:b/>
          <w:bCs/>
          <w:color w:val="auto"/>
          <w:sz w:val="18"/>
          <w:szCs w:val="18"/>
          <w:highlight w:val="none"/>
        </w:rPr>
        <w:t>5.如供应商是自然人，提供有效的自然人身份证明。</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color w:val="auto"/>
          <w:spacing w:val="-6"/>
          <w:szCs w:val="21"/>
          <w:highlight w:val="none"/>
        </w:rPr>
      </w:pPr>
      <w:r>
        <w:rPr>
          <w:rFonts w:hint="eastAsia" w:ascii="仿宋" w:hAnsi="仿宋" w:eastAsia="仿宋" w:cs="仿宋"/>
          <w:bCs/>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b/>
          <w:bCs/>
          <w:color w:val="auto"/>
          <w:spacing w:val="-6"/>
          <w:sz w:val="24"/>
          <w:szCs w:val="24"/>
          <w:highlight w:val="none"/>
        </w:rPr>
      </w:pPr>
      <w:r>
        <w:rPr>
          <w:rFonts w:hint="eastAsia" w:ascii="仿宋" w:hAnsi="仿宋" w:eastAsia="仿宋" w:cs="仿宋"/>
          <w:b/>
          <w:bCs/>
          <w:color w:val="auto"/>
          <w:sz w:val="24"/>
          <w:szCs w:val="24"/>
          <w:highlight w:val="none"/>
          <w:lang w:eastAsia="zh-CN"/>
        </w:rPr>
        <w:t>符合参加采购活动应当具备的一般条件的承诺函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b/>
          <w:bCs/>
          <w:color w:val="auto"/>
          <w:spacing w:val="-6"/>
          <w:szCs w:val="21"/>
          <w:highlight w:val="none"/>
        </w:rPr>
        <w:t>致：</w:t>
      </w:r>
      <w:r>
        <w:rPr>
          <w:rFonts w:hint="eastAsia" w:ascii="仿宋" w:hAnsi="仿宋" w:eastAsia="仿宋" w:cs="仿宋"/>
          <w:b/>
          <w:bCs/>
          <w:color w:val="auto"/>
          <w:spacing w:val="-6"/>
          <w:szCs w:val="21"/>
          <w:highlight w:val="none"/>
          <w:lang w:eastAsia="zh-CN"/>
        </w:rPr>
        <w:t>之江实验室</w:t>
      </w:r>
      <w:r>
        <w:rPr>
          <w:rFonts w:hint="eastAsia" w:ascii="仿宋" w:hAnsi="仿宋" w:eastAsia="仿宋" w:cs="仿宋"/>
          <w:b/>
          <w:bCs/>
          <w:color w:val="auto"/>
          <w:spacing w:val="-6"/>
          <w:szCs w:val="21"/>
          <w:highlight w:val="none"/>
        </w:rPr>
        <w:t>、浙江求是招标代理有限公司</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u w:val="none"/>
        </w:rPr>
      </w:pPr>
      <w:r>
        <w:rPr>
          <w:rFonts w:hint="eastAsia" w:ascii="仿宋" w:hAnsi="仿宋" w:eastAsia="仿宋" w:cs="仿宋"/>
          <w:color w:val="auto"/>
          <w:spacing w:val="-6"/>
          <w:szCs w:val="21"/>
          <w:highlight w:val="none"/>
          <w:u w:val="none"/>
        </w:rPr>
        <w:t>我方</w:t>
      </w:r>
      <w:r>
        <w:rPr>
          <w:rFonts w:hint="eastAsia" w:ascii="仿宋" w:hAnsi="仿宋" w:eastAsia="仿宋" w:cs="仿宋"/>
          <w:color w:val="auto"/>
          <w:spacing w:val="-6"/>
          <w:sz w:val="21"/>
          <w:szCs w:val="21"/>
          <w:highlight w:val="none"/>
          <w:u w:val="single"/>
        </w:rPr>
        <w:t xml:space="preserve"> </w:t>
      </w:r>
      <w:r>
        <w:rPr>
          <w:rFonts w:hint="eastAsia" w:ascii="仿宋" w:hAnsi="仿宋" w:eastAsia="仿宋" w:cs="仿宋"/>
          <w:color w:val="auto"/>
          <w:spacing w:val="-6"/>
          <w:sz w:val="21"/>
          <w:szCs w:val="21"/>
          <w:highlight w:val="none"/>
          <w:u w:val="single"/>
          <w:lang w:val="en-US" w:eastAsia="zh-CN"/>
        </w:rPr>
        <w:t xml:space="preserve">                  </w:t>
      </w:r>
      <w:r>
        <w:rPr>
          <w:rFonts w:hint="eastAsia" w:ascii="仿宋" w:hAnsi="仿宋" w:eastAsia="仿宋" w:cs="仿宋"/>
          <w:color w:val="auto"/>
          <w:spacing w:val="-6"/>
          <w:sz w:val="21"/>
          <w:szCs w:val="21"/>
          <w:highlight w:val="none"/>
          <w:u w:val="single"/>
        </w:rPr>
        <w:t xml:space="preserve"> </w:t>
      </w:r>
      <w:r>
        <w:rPr>
          <w:rFonts w:hint="eastAsia" w:ascii="仿宋" w:hAnsi="仿宋" w:eastAsia="仿宋" w:cs="仿宋"/>
          <w:color w:val="auto"/>
          <w:spacing w:val="-6"/>
          <w:sz w:val="21"/>
          <w:szCs w:val="21"/>
          <w:highlight w:val="none"/>
          <w:u w:val="none"/>
        </w:rPr>
        <w:t>（</w:t>
      </w:r>
      <w:r>
        <w:rPr>
          <w:rFonts w:hint="eastAsia" w:ascii="仿宋" w:hAnsi="仿宋" w:eastAsia="仿宋" w:cs="仿宋"/>
          <w:color w:val="auto"/>
          <w:spacing w:val="-6"/>
          <w:sz w:val="21"/>
          <w:szCs w:val="21"/>
          <w:highlight w:val="none"/>
          <w:u w:val="none"/>
          <w:lang w:val="en-US" w:eastAsia="zh-CN"/>
        </w:rPr>
        <w:t>投标人</w:t>
      </w:r>
      <w:r>
        <w:rPr>
          <w:rFonts w:hint="eastAsia" w:ascii="仿宋" w:hAnsi="仿宋" w:eastAsia="仿宋" w:cs="仿宋"/>
          <w:color w:val="auto"/>
          <w:spacing w:val="-6"/>
          <w:sz w:val="21"/>
          <w:szCs w:val="21"/>
          <w:highlight w:val="none"/>
          <w:u w:val="none"/>
        </w:rPr>
        <w:t>名称）</w:t>
      </w:r>
      <w:r>
        <w:rPr>
          <w:rFonts w:hint="eastAsia" w:ascii="仿宋" w:hAnsi="仿宋" w:eastAsia="仿宋" w:cs="仿宋"/>
          <w:color w:val="auto"/>
          <w:spacing w:val="-6"/>
          <w:szCs w:val="21"/>
          <w:highlight w:val="none"/>
          <w:u w:val="none"/>
        </w:rPr>
        <w:t>参加</w:t>
      </w:r>
      <w:r>
        <w:rPr>
          <w:rFonts w:hint="eastAsia" w:ascii="仿宋" w:hAnsi="仿宋" w:eastAsia="仿宋" w:cs="仿宋"/>
          <w:color w:val="auto"/>
          <w:spacing w:val="-6"/>
          <w:szCs w:val="21"/>
          <w:highlight w:val="none"/>
          <w:u w:val="none"/>
          <w:lang w:eastAsia="zh-CN"/>
        </w:rPr>
        <w:t>之江实验室智能计算育种数字反应堆平台专业实验室家具项目</w:t>
      </w:r>
      <w:r>
        <w:rPr>
          <w:rFonts w:hint="eastAsia" w:ascii="仿宋" w:hAnsi="仿宋" w:eastAsia="仿宋" w:cs="仿宋"/>
          <w:color w:val="auto"/>
          <w:spacing w:val="-6"/>
          <w:szCs w:val="21"/>
          <w:highlight w:val="none"/>
          <w:u w:val="none"/>
        </w:rPr>
        <w:t>的采购活动并承诺如下：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一、我方满足《中华人民共和国政府采购法》第二十二条规定：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（一）具有独立承担民事责任的能力；</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（二）具有良好的商业信誉和健全的财务会计制度；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（三）具有履行合同所必需的设备和专业技术能力；</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（四）有依法缴纳税收和社会保障资金的良好记录；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（五）参加本项目采购活动前三年内，</w:t>
      </w:r>
      <w:r>
        <w:rPr>
          <w:rFonts w:hint="eastAsia" w:ascii="仿宋" w:hAnsi="仿宋" w:eastAsia="仿宋" w:cs="仿宋"/>
          <w:color w:val="auto"/>
          <w:spacing w:val="-6"/>
          <w:sz w:val="21"/>
          <w:szCs w:val="21"/>
          <w:highlight w:val="none"/>
        </w:rPr>
        <w:t>在经营活动中</w:t>
      </w:r>
      <w:r>
        <w:rPr>
          <w:rFonts w:hint="eastAsia" w:ascii="仿宋" w:hAnsi="仿宋" w:eastAsia="仿宋" w:cs="仿宋"/>
          <w:b/>
          <w:color w:val="auto"/>
          <w:spacing w:val="-6"/>
          <w:sz w:val="21"/>
          <w:szCs w:val="21"/>
          <w:highlight w:val="none"/>
          <w:u w:val="single"/>
        </w:rPr>
        <w:t xml:space="preserve">  </w:t>
      </w:r>
      <w:r>
        <w:rPr>
          <w:rFonts w:hint="eastAsia" w:ascii="仿宋" w:hAnsi="仿宋" w:eastAsia="仿宋" w:cs="仿宋"/>
          <w:b/>
          <w:color w:val="auto"/>
          <w:spacing w:val="-6"/>
          <w:sz w:val="21"/>
          <w:szCs w:val="21"/>
          <w:highlight w:val="none"/>
          <w:u w:val="single"/>
          <w:lang w:val="en-US" w:eastAsia="zh-CN"/>
        </w:rPr>
        <w:t xml:space="preserve"> </w:t>
      </w:r>
      <w:r>
        <w:rPr>
          <w:rFonts w:hint="eastAsia" w:ascii="仿宋" w:hAnsi="仿宋" w:eastAsia="仿宋" w:cs="仿宋"/>
          <w:b/>
          <w:color w:val="auto"/>
          <w:spacing w:val="-6"/>
          <w:sz w:val="21"/>
          <w:szCs w:val="21"/>
          <w:highlight w:val="none"/>
          <w:u w:val="single"/>
        </w:rPr>
        <w:t xml:space="preserve">  </w:t>
      </w:r>
      <w:r>
        <w:rPr>
          <w:rFonts w:hint="eastAsia" w:ascii="仿宋" w:hAnsi="仿宋" w:eastAsia="仿宋" w:cs="仿宋"/>
          <w:b/>
          <w:color w:val="auto"/>
          <w:spacing w:val="-6"/>
          <w:sz w:val="21"/>
          <w:szCs w:val="21"/>
          <w:highlight w:val="none"/>
          <w:u w:val="none"/>
          <w:lang w:eastAsia="zh-CN"/>
        </w:rPr>
        <w:t>（</w:t>
      </w:r>
      <w:r>
        <w:rPr>
          <w:rFonts w:hint="eastAsia" w:ascii="仿宋" w:hAnsi="仿宋" w:eastAsia="仿宋" w:cs="仿宋"/>
          <w:b/>
          <w:color w:val="auto"/>
          <w:spacing w:val="-6"/>
          <w:sz w:val="21"/>
          <w:szCs w:val="21"/>
          <w:highlight w:val="none"/>
          <w:u w:val="none"/>
          <w:lang w:val="en-US" w:eastAsia="zh-CN"/>
        </w:rPr>
        <w:t>填写“有”或“没有”</w:t>
      </w:r>
      <w:r>
        <w:rPr>
          <w:rFonts w:hint="eastAsia" w:ascii="仿宋" w:hAnsi="仿宋" w:eastAsia="仿宋" w:cs="仿宋"/>
          <w:b/>
          <w:color w:val="auto"/>
          <w:spacing w:val="-6"/>
          <w:sz w:val="21"/>
          <w:szCs w:val="21"/>
          <w:highlight w:val="none"/>
          <w:u w:val="none"/>
          <w:lang w:eastAsia="zh-CN"/>
        </w:rPr>
        <w:t>）</w:t>
      </w:r>
      <w:r>
        <w:rPr>
          <w:rFonts w:hint="eastAsia" w:ascii="仿宋" w:hAnsi="仿宋" w:eastAsia="仿宋" w:cs="仿宋"/>
          <w:color w:val="auto"/>
          <w:spacing w:val="-6"/>
          <w:szCs w:val="21"/>
          <w:highlight w:val="none"/>
        </w:rPr>
        <w:t>重大违法记录（重大违法记录是指投标人因违法经营受到刑事处罚或者责令停产停业、吊销许可证或者执照、较大数额罚款等行政处罚）</w:t>
      </w:r>
      <w:r>
        <w:rPr>
          <w:rFonts w:hint="eastAsia" w:ascii="仿宋" w:hAnsi="仿宋" w:eastAsia="仿宋" w:cs="仿宋"/>
          <w:color w:val="auto"/>
          <w:spacing w:val="-6"/>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（六）法律、行政法规规定的其他条件。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二、未被信用中国（www.creditchina.gov.cn)、中国政府采购网（www.ccgp.gov.cn）列入失信被执行人、重大税收违法案件当事人名单、政府采购严重违法失信行为记录名单。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三、不存在以下情况：</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1</w:t>
      </w:r>
      <w:r>
        <w:rPr>
          <w:rFonts w:hint="eastAsia" w:ascii="仿宋" w:hAnsi="仿宋" w:eastAsia="仿宋" w:cs="仿宋"/>
          <w:color w:val="auto"/>
          <w:spacing w:val="-6"/>
          <w:szCs w:val="21"/>
          <w:highlight w:val="none"/>
          <w:lang w:val="en-US" w:eastAsia="zh-CN"/>
        </w:rPr>
        <w:t>.</w:t>
      </w:r>
      <w:r>
        <w:rPr>
          <w:rFonts w:hint="eastAsia" w:ascii="仿宋" w:hAnsi="仿宋" w:eastAsia="仿宋" w:cs="仿宋"/>
          <w:color w:val="auto"/>
          <w:spacing w:val="-6"/>
          <w:szCs w:val="21"/>
          <w:highlight w:val="none"/>
        </w:rPr>
        <w:t>单位负责人为同一人或者存在直接控股、管理关系的不同供应商</w:t>
      </w:r>
      <w:r>
        <w:rPr>
          <w:rFonts w:hint="eastAsia" w:ascii="仿宋" w:hAnsi="仿宋" w:eastAsia="仿宋" w:cs="仿宋"/>
          <w:color w:val="auto"/>
          <w:spacing w:val="-6"/>
          <w:szCs w:val="21"/>
          <w:highlight w:val="none"/>
          <w:lang w:eastAsia="zh-CN"/>
        </w:rPr>
        <w:t>参加同一合同项下的采购活动的</w:t>
      </w:r>
      <w:r>
        <w:rPr>
          <w:rFonts w:hint="eastAsia" w:ascii="仿宋" w:hAnsi="仿宋" w:eastAsia="仿宋" w:cs="仿宋"/>
          <w:color w:val="auto"/>
          <w:spacing w:val="-6"/>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2</w:t>
      </w:r>
      <w:r>
        <w:rPr>
          <w:rFonts w:hint="eastAsia" w:ascii="仿宋" w:hAnsi="仿宋" w:eastAsia="仿宋" w:cs="仿宋"/>
          <w:color w:val="auto"/>
          <w:spacing w:val="-6"/>
          <w:szCs w:val="21"/>
          <w:highlight w:val="none"/>
          <w:lang w:val="en-US" w:eastAsia="zh-CN"/>
        </w:rPr>
        <w:t>.</w:t>
      </w:r>
      <w:r>
        <w:rPr>
          <w:rFonts w:hint="eastAsia" w:ascii="仿宋" w:hAnsi="仿宋" w:eastAsia="仿宋" w:cs="仿宋"/>
          <w:color w:val="auto"/>
          <w:spacing w:val="-6"/>
          <w:szCs w:val="21"/>
          <w:highlight w:val="none"/>
        </w:rPr>
        <w:t>为采购项目提供整体设计、规范编制或者项目管理、监理、检测等服务后再参加该采购项目的其他采购活动的。</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四、以上事项如有虚假或隐瞒，我方愿意承担一切后果和责任。</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eastAsia="zh-CN"/>
        </w:rPr>
        <w:t>投标人名称（公章）</w:t>
      </w:r>
      <w:r>
        <w:rPr>
          <w:rFonts w:hint="eastAsia" w:ascii="仿宋" w:hAnsi="仿宋" w:eastAsia="仿宋" w:cs="仿宋"/>
          <w:b/>
          <w:bCs/>
          <w:color w:val="auto"/>
          <w:spacing w:val="-6"/>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eastAsia="zh-CN"/>
        </w:rPr>
        <w:t>投标人</w:t>
      </w:r>
      <w:r>
        <w:rPr>
          <w:rFonts w:hint="eastAsia" w:ascii="仿宋" w:hAnsi="仿宋" w:eastAsia="仿宋" w:cs="仿宋"/>
          <w:b/>
          <w:bCs/>
          <w:color w:val="auto"/>
          <w:spacing w:val="-6"/>
          <w:szCs w:val="21"/>
          <w:highlight w:val="none"/>
          <w:lang w:val="en-US" w:eastAsia="zh-CN"/>
        </w:rPr>
        <w:t>代表</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lang w:val="en-US" w:eastAsia="zh-CN"/>
        </w:rPr>
        <w:t>签字</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color w:val="auto"/>
          <w:spacing w:val="-6"/>
          <w:szCs w:val="21"/>
          <w:highlight w:val="none"/>
        </w:rPr>
      </w:pPr>
      <w:r>
        <w:rPr>
          <w:rFonts w:hint="eastAsia" w:ascii="仿宋" w:hAnsi="仿宋" w:eastAsia="仿宋" w:cs="仿宋"/>
          <w:b/>
          <w:bCs/>
          <w:color w:val="auto"/>
          <w:spacing w:val="-6"/>
          <w:szCs w:val="21"/>
          <w:highlight w:val="none"/>
        </w:rPr>
        <w:t>日期：     年   月   日</w:t>
      </w:r>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overflowPunct w:val="0"/>
        <w:adjustRightInd w:val="0"/>
        <w:snapToGrid w:val="0"/>
        <w:spacing w:line="288" w:lineRule="auto"/>
        <w:jc w:val="center"/>
        <w:outlineLvl w:val="1"/>
        <w:rPr>
          <w:rFonts w:hint="eastAsia" w:ascii="仿宋" w:hAnsi="仿宋" w:eastAsia="仿宋" w:cs="仿宋"/>
          <w:bCs/>
          <w:color w:val="auto"/>
          <w:spacing w:val="-6"/>
          <w:sz w:val="84"/>
          <w:szCs w:val="84"/>
          <w:highlight w:val="none"/>
        </w:rPr>
      </w:pPr>
      <w:r>
        <w:rPr>
          <w:rFonts w:hint="eastAsia" w:ascii="仿宋" w:hAnsi="仿宋" w:eastAsia="仿宋" w:cs="仿宋"/>
          <w:b/>
          <w:bCs/>
          <w:color w:val="auto"/>
          <w:sz w:val="84"/>
          <w:szCs w:val="84"/>
          <w:highlight w:val="none"/>
          <w:lang w:val="en-US" w:eastAsia="zh-CN"/>
        </w:rPr>
        <w:t>商务和技术</w:t>
      </w:r>
      <w:r>
        <w:rPr>
          <w:rFonts w:hint="eastAsia" w:ascii="仿宋" w:hAnsi="仿宋" w:eastAsia="仿宋" w:cs="仿宋"/>
          <w:b/>
          <w:bCs/>
          <w:color w:val="auto"/>
          <w:sz w:val="84"/>
          <w:szCs w:val="84"/>
          <w:highlight w:val="none"/>
        </w:rPr>
        <w:t>文件</w:t>
      </w:r>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color w:val="auto"/>
          <w:spacing w:val="-6"/>
          <w:sz w:val="24"/>
          <w:szCs w:val="24"/>
          <w:highlight w:val="none"/>
        </w:rPr>
      </w:pPr>
      <w:r>
        <w:rPr>
          <w:rFonts w:hint="eastAsia" w:ascii="仿宋" w:hAnsi="仿宋" w:eastAsia="仿宋" w:cs="仿宋"/>
          <w:b/>
          <w:bCs/>
          <w:color w:val="auto"/>
          <w:sz w:val="24"/>
          <w:szCs w:val="24"/>
          <w:highlight w:val="none"/>
          <w:lang w:eastAsia="zh-CN"/>
        </w:rPr>
        <w:t>投标函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textAlignment w:val="auto"/>
        <w:rPr>
          <w:rFonts w:hint="eastAsia" w:ascii="仿宋" w:hAnsi="仿宋" w:eastAsia="仿宋" w:cs="仿宋"/>
          <w:color w:val="auto"/>
          <w:spacing w:val="-6"/>
          <w:sz w:val="21"/>
          <w:szCs w:val="21"/>
          <w:highlight w:val="none"/>
        </w:rPr>
      </w:pPr>
      <w:r>
        <w:rPr>
          <w:rFonts w:hint="eastAsia" w:ascii="仿宋" w:hAnsi="仿宋" w:eastAsia="仿宋" w:cs="仿宋"/>
          <w:b/>
          <w:bCs/>
          <w:color w:val="auto"/>
          <w:spacing w:val="-6"/>
          <w:sz w:val="21"/>
          <w:szCs w:val="21"/>
          <w:highlight w:val="none"/>
        </w:rPr>
        <w:t>致：</w:t>
      </w:r>
      <w:r>
        <w:rPr>
          <w:rFonts w:hint="eastAsia" w:ascii="仿宋" w:hAnsi="仿宋" w:eastAsia="仿宋" w:cs="仿宋"/>
          <w:b/>
          <w:bCs/>
          <w:color w:val="auto"/>
          <w:spacing w:val="-6"/>
          <w:sz w:val="21"/>
          <w:szCs w:val="21"/>
          <w:highlight w:val="none"/>
          <w:lang w:eastAsia="zh-CN"/>
        </w:rPr>
        <w:t>之江实验室</w:t>
      </w:r>
      <w:r>
        <w:rPr>
          <w:rFonts w:hint="eastAsia" w:ascii="仿宋" w:hAnsi="仿宋" w:eastAsia="仿宋" w:cs="仿宋"/>
          <w:b/>
          <w:bCs/>
          <w:color w:val="auto"/>
          <w:spacing w:val="-6"/>
          <w:sz w:val="21"/>
          <w:szCs w:val="21"/>
          <w:highlight w:val="none"/>
        </w:rPr>
        <w:t>、浙江求是招标代理有限公司</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 w:val="21"/>
          <w:szCs w:val="21"/>
          <w:highlight w:val="none"/>
          <w:u w:val="none"/>
        </w:rPr>
      </w:pPr>
      <w:r>
        <w:rPr>
          <w:rFonts w:hint="eastAsia" w:ascii="仿宋" w:hAnsi="仿宋" w:eastAsia="仿宋" w:cs="仿宋"/>
          <w:color w:val="auto"/>
          <w:spacing w:val="-6"/>
          <w:sz w:val="21"/>
          <w:szCs w:val="21"/>
          <w:highlight w:val="none"/>
          <w:u w:val="none"/>
        </w:rPr>
        <w:t>我方参加</w:t>
      </w:r>
      <w:r>
        <w:rPr>
          <w:rFonts w:hint="eastAsia" w:ascii="仿宋" w:hAnsi="仿宋" w:eastAsia="仿宋" w:cs="仿宋"/>
          <w:bCs/>
          <w:color w:val="auto"/>
          <w:spacing w:val="-6"/>
          <w:sz w:val="21"/>
          <w:szCs w:val="21"/>
          <w:highlight w:val="none"/>
          <w:u w:val="none"/>
          <w:lang w:eastAsia="zh-CN"/>
        </w:rPr>
        <w:t>之江实验室之江实验室智能计算育种数字反应堆平台专业实验室家具项目（项目编号：ZJLAB-JZ-GK2023032）</w:t>
      </w:r>
      <w:r>
        <w:rPr>
          <w:rFonts w:hint="eastAsia" w:ascii="仿宋" w:hAnsi="仿宋" w:eastAsia="仿宋" w:cs="仿宋"/>
          <w:color w:val="auto"/>
          <w:spacing w:val="-6"/>
          <w:sz w:val="21"/>
          <w:szCs w:val="21"/>
          <w:highlight w:val="none"/>
          <w:u w:val="none"/>
        </w:rPr>
        <w:t>，为此，我方提交投标文件（报价文件、资格文件、商务和技术文件）正本一份、副本___份。宣布同意如下：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pacing w:val="-6"/>
          <w:sz w:val="21"/>
          <w:szCs w:val="21"/>
          <w:highlight w:val="none"/>
        </w:rPr>
        <w:t>1.我方已详细审查全部“招标文件”，包括修改文件（如有）以及全部参考资料和有关附件，已经了解我方对于招标文件、招标过程、中标结果有依法进行询问、质疑</w:t>
      </w:r>
      <w:r>
        <w:rPr>
          <w:rFonts w:hint="eastAsia" w:ascii="仿宋" w:hAnsi="仿宋" w:eastAsia="仿宋" w:cs="仿宋"/>
          <w:color w:val="auto"/>
          <w:spacing w:val="-6"/>
          <w:sz w:val="21"/>
          <w:szCs w:val="21"/>
          <w:highlight w:val="none"/>
          <w:lang w:eastAsia="zh-CN"/>
        </w:rPr>
        <w:t>、</w:t>
      </w:r>
      <w:r>
        <w:rPr>
          <w:rFonts w:hint="eastAsia" w:ascii="仿宋" w:hAnsi="仿宋" w:eastAsia="仿宋" w:cs="仿宋"/>
          <w:color w:val="auto"/>
          <w:spacing w:val="-6"/>
          <w:sz w:val="21"/>
          <w:szCs w:val="21"/>
          <w:highlight w:val="none"/>
          <w:lang w:val="en-US" w:eastAsia="zh-CN"/>
        </w:rPr>
        <w:t>投诉</w:t>
      </w:r>
      <w:r>
        <w:rPr>
          <w:rFonts w:hint="eastAsia" w:ascii="仿宋" w:hAnsi="仿宋" w:eastAsia="仿宋" w:cs="仿宋"/>
          <w:color w:val="auto"/>
          <w:spacing w:val="-6"/>
          <w:sz w:val="21"/>
          <w:szCs w:val="21"/>
          <w:highlight w:val="none"/>
        </w:rPr>
        <w:t>的权利及相关渠道和要求。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pacing w:val="-6"/>
          <w:sz w:val="21"/>
          <w:szCs w:val="21"/>
          <w:highlight w:val="none"/>
        </w:rPr>
        <w:t>2.我方在投标之前已经与贵方进行了充分的沟通，完全理解并接受招标文件的各项规定和要求，对招标文件的合理性、合法性不再有异议。</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pacing w:val="-6"/>
          <w:sz w:val="21"/>
          <w:szCs w:val="21"/>
          <w:highlight w:val="none"/>
        </w:rPr>
        <w:t>3.投标有效期自提交投标文件的截止之日起</w:t>
      </w:r>
      <w:r>
        <w:rPr>
          <w:rFonts w:hint="eastAsia" w:ascii="仿宋" w:hAnsi="仿宋" w:eastAsia="仿宋" w:cs="仿宋"/>
          <w:b/>
          <w:bCs w:val="0"/>
          <w:color w:val="auto"/>
          <w:spacing w:val="-6"/>
          <w:sz w:val="21"/>
          <w:szCs w:val="21"/>
          <w:highlight w:val="none"/>
          <w:u w:val="single"/>
        </w:rPr>
        <w:t xml:space="preserve"> 90 </w:t>
      </w:r>
      <w:r>
        <w:rPr>
          <w:rFonts w:hint="eastAsia" w:ascii="仿宋" w:hAnsi="仿宋" w:eastAsia="仿宋" w:cs="仿宋"/>
          <w:color w:val="auto"/>
          <w:spacing w:val="-6"/>
          <w:sz w:val="21"/>
          <w:szCs w:val="21"/>
          <w:highlight w:val="none"/>
        </w:rPr>
        <w:t>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pacing w:val="-6"/>
          <w:sz w:val="21"/>
          <w:szCs w:val="21"/>
          <w:highlight w:val="none"/>
        </w:rPr>
        <w:t>4.如中标，本投标文件至本项目合同履行完毕止均保持有效，我方将按“招标文件”及</w:t>
      </w:r>
      <w:r>
        <w:rPr>
          <w:rFonts w:hint="eastAsia" w:ascii="仿宋" w:hAnsi="仿宋" w:eastAsia="仿宋" w:cs="仿宋"/>
          <w:color w:val="auto"/>
          <w:spacing w:val="-6"/>
          <w:sz w:val="21"/>
          <w:szCs w:val="21"/>
          <w:highlight w:val="none"/>
          <w:lang w:val="en-US" w:eastAsia="zh-CN"/>
        </w:rPr>
        <w:t>相关</w:t>
      </w:r>
      <w:r>
        <w:rPr>
          <w:rFonts w:hint="eastAsia" w:ascii="仿宋" w:hAnsi="仿宋" w:eastAsia="仿宋" w:cs="仿宋"/>
          <w:color w:val="auto"/>
          <w:spacing w:val="-6"/>
          <w:sz w:val="21"/>
          <w:szCs w:val="21"/>
          <w:highlight w:val="none"/>
        </w:rPr>
        <w:t>采购法律、法规的规定履行合同责任和义务。关于代理服务费，我方承诺按照招标文件的规定履行并承担相应的责任。</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pacing w:val="-6"/>
          <w:sz w:val="21"/>
          <w:szCs w:val="21"/>
          <w:highlight w:val="none"/>
        </w:rPr>
        <w:t>5.我方同意按照贵方要求提供与投标有关的一切数据或资料。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96" w:firstLineChars="200"/>
        <w:jc w:val="both"/>
        <w:textAlignment w:val="auto"/>
        <w:outlineLvl w:val="9"/>
        <w:rPr>
          <w:rFonts w:hint="eastAsia" w:ascii="仿宋" w:hAnsi="仿宋" w:eastAsia="仿宋" w:cs="仿宋"/>
          <w:color w:val="auto"/>
          <w:spacing w:val="-6"/>
          <w:sz w:val="21"/>
          <w:szCs w:val="21"/>
          <w:highlight w:val="none"/>
        </w:rPr>
      </w:pPr>
      <w:r>
        <w:rPr>
          <w:rFonts w:hint="eastAsia" w:ascii="仿宋" w:hAnsi="仿宋" w:eastAsia="仿宋" w:cs="仿宋"/>
          <w:color w:val="auto"/>
          <w:spacing w:val="-6"/>
          <w:sz w:val="21"/>
          <w:szCs w:val="21"/>
          <w:highlight w:val="none"/>
        </w:rPr>
        <w:t>6.与本投标有关的一切正式往来信函联系：</w:t>
      </w:r>
    </w:p>
    <w:tbl>
      <w:tblPr>
        <w:tblStyle w:val="37"/>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8"/>
        <w:gridCol w:w="7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88"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联系人</w:t>
            </w:r>
          </w:p>
        </w:tc>
        <w:tc>
          <w:tcPr>
            <w:tcW w:w="7340" w:type="dxa"/>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88"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职务</w:t>
            </w:r>
          </w:p>
        </w:tc>
        <w:tc>
          <w:tcPr>
            <w:tcW w:w="7340" w:type="dxa"/>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88"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手机</w:t>
            </w:r>
          </w:p>
        </w:tc>
        <w:tc>
          <w:tcPr>
            <w:tcW w:w="7340" w:type="dxa"/>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88"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电子邮箱</w:t>
            </w:r>
          </w:p>
        </w:tc>
        <w:tc>
          <w:tcPr>
            <w:tcW w:w="7340" w:type="dxa"/>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88"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地址</w:t>
            </w:r>
          </w:p>
        </w:tc>
        <w:tc>
          <w:tcPr>
            <w:tcW w:w="7340" w:type="dxa"/>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88"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开户银行</w:t>
            </w:r>
          </w:p>
        </w:tc>
        <w:tc>
          <w:tcPr>
            <w:tcW w:w="7340" w:type="dxa"/>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2288"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银行账号</w:t>
            </w:r>
          </w:p>
        </w:tc>
        <w:tc>
          <w:tcPr>
            <w:tcW w:w="7340" w:type="dxa"/>
            <w:vAlign w:val="center"/>
          </w:tcPr>
          <w:p>
            <w:pPr>
              <w:jc w:val="center"/>
              <w:rPr>
                <w:rFonts w:hint="eastAsia" w:ascii="仿宋" w:hAnsi="仿宋" w:eastAsia="仿宋" w:cs="仿宋"/>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pacing w:val="-6"/>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pacing w:val="-6"/>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eastAsia="zh-CN"/>
        </w:rPr>
        <w:t>投标人名称（公章）</w:t>
      </w:r>
      <w:r>
        <w:rPr>
          <w:rFonts w:hint="eastAsia" w:ascii="仿宋" w:hAnsi="仿宋" w:eastAsia="仿宋" w:cs="仿宋"/>
          <w:b/>
          <w:bCs/>
          <w:color w:val="auto"/>
          <w:spacing w:val="-6"/>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lang w:eastAsia="zh-CN"/>
        </w:rPr>
        <w:t>投标人</w:t>
      </w:r>
      <w:r>
        <w:rPr>
          <w:rFonts w:hint="eastAsia" w:ascii="仿宋" w:hAnsi="仿宋" w:eastAsia="仿宋" w:cs="仿宋"/>
          <w:b/>
          <w:bCs/>
          <w:color w:val="auto"/>
          <w:spacing w:val="-6"/>
          <w:szCs w:val="21"/>
          <w:highlight w:val="none"/>
          <w:lang w:val="en-US" w:eastAsia="zh-CN"/>
        </w:rPr>
        <w:t>代表</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lang w:val="en-US" w:eastAsia="zh-CN"/>
        </w:rPr>
        <w:t>签字</w:t>
      </w:r>
      <w:r>
        <w:rPr>
          <w:rFonts w:hint="eastAsia" w:ascii="仿宋" w:hAnsi="仿宋" w:eastAsia="仿宋" w:cs="仿宋"/>
          <w:b/>
          <w:bCs/>
          <w:color w:val="auto"/>
          <w:spacing w:val="-6"/>
          <w:szCs w:val="21"/>
          <w:highlight w:val="none"/>
          <w:lang w:eastAsia="zh-CN"/>
        </w:rPr>
        <w:t>）</w:t>
      </w:r>
      <w:r>
        <w:rPr>
          <w:rFonts w:hint="eastAsia" w:ascii="仿宋" w:hAnsi="仿宋" w:eastAsia="仿宋" w:cs="仿宋"/>
          <w:b/>
          <w:bCs/>
          <w:color w:val="auto"/>
          <w:spacing w:val="-6"/>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日期：     年   月   日</w:t>
      </w:r>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法定代表人（单位负责人、自然人本人）身份证明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rPr>
          <w:rFonts w:hint="eastAsia" w:ascii="仿宋" w:hAnsi="仿宋" w:eastAsia="仿宋" w:cs="仿宋"/>
          <w:b/>
          <w:bCs/>
          <w:color w:val="auto"/>
          <w:sz w:val="18"/>
          <w:szCs w:val="18"/>
          <w:highlight w:val="none"/>
          <w:lang w:eastAsia="zh-CN"/>
        </w:rPr>
      </w:pPr>
      <w:r>
        <w:rPr>
          <w:rFonts w:hint="eastAsia" w:ascii="仿宋" w:hAnsi="仿宋" w:eastAsia="仿宋" w:cs="仿宋"/>
          <w:b/>
          <w:bCs/>
          <w:color w:val="auto"/>
          <w:sz w:val="18"/>
          <w:szCs w:val="18"/>
          <w:highlight w:val="none"/>
          <w:lang w:eastAsia="zh-CN"/>
        </w:rPr>
        <w:t>【</w:t>
      </w:r>
      <w:r>
        <w:rPr>
          <w:rFonts w:hint="eastAsia" w:ascii="仿宋" w:hAnsi="仿宋" w:eastAsia="仿宋" w:cs="仿宋"/>
          <w:b/>
          <w:bCs/>
          <w:color w:val="auto"/>
          <w:sz w:val="18"/>
          <w:szCs w:val="18"/>
          <w:highlight w:val="none"/>
        </w:rPr>
        <w:t>适用于法定代表人（单位负责人、自然人本人）</w:t>
      </w:r>
      <w:r>
        <w:rPr>
          <w:rFonts w:hint="eastAsia" w:ascii="仿宋" w:hAnsi="仿宋" w:eastAsia="仿宋" w:cs="仿宋"/>
          <w:b/>
          <w:bCs/>
          <w:color w:val="auto"/>
          <w:spacing w:val="-6"/>
          <w:sz w:val="18"/>
          <w:szCs w:val="18"/>
          <w:highlight w:val="none"/>
        </w:rPr>
        <w:t>代表投标人参加投标</w:t>
      </w:r>
      <w:r>
        <w:rPr>
          <w:rFonts w:hint="eastAsia" w:ascii="仿宋" w:hAnsi="仿宋" w:eastAsia="仿宋" w:cs="仿宋"/>
          <w:b/>
          <w:bCs/>
          <w:color w:val="auto"/>
          <w:spacing w:val="-6"/>
          <w:sz w:val="18"/>
          <w:szCs w:val="1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eastAsia" w:ascii="仿宋" w:hAnsi="仿宋" w:eastAsia="仿宋" w:cs="仿宋"/>
          <w:color w:val="auto"/>
          <w:szCs w:val="21"/>
          <w:highlight w:val="none"/>
        </w:rPr>
      </w:pPr>
      <w:r>
        <w:rPr>
          <w:rFonts w:hint="eastAsia" w:ascii="仿宋" w:hAnsi="仿宋" w:eastAsia="仿宋" w:cs="仿宋"/>
          <w:bCs/>
          <w:color w:val="auto"/>
          <w:szCs w:val="21"/>
          <w:highlight w:val="none"/>
        </w:rPr>
        <w:t>身份证件复印件</w:t>
      </w:r>
    </w:p>
    <w:tbl>
      <w:tblPr>
        <w:tblStyle w:val="113"/>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4"/>
        <w:gridCol w:w="4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9" w:hRule="atLeast"/>
        </w:trPr>
        <w:tc>
          <w:tcPr>
            <w:tcW w:w="4814" w:type="dxa"/>
          </w:tcPr>
          <w:p>
            <w:pPr>
              <w:adjustRightInd w:val="0"/>
              <w:snapToGrid w:val="0"/>
              <w:spacing w:line="288" w:lineRule="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正面：</w:t>
            </w:r>
          </w:p>
        </w:tc>
        <w:tc>
          <w:tcPr>
            <w:tcW w:w="4814" w:type="dxa"/>
          </w:tcPr>
          <w:p>
            <w:pPr>
              <w:adjustRightInd w:val="0"/>
              <w:snapToGrid w:val="0"/>
              <w:spacing w:line="288" w:lineRule="auto"/>
              <w:rPr>
                <w:rFonts w:hint="eastAsia" w:ascii="仿宋" w:hAnsi="仿宋" w:eastAsia="仿宋" w:cs="仿宋"/>
                <w:bCs/>
                <w:color w:val="auto"/>
                <w:szCs w:val="21"/>
                <w:highlight w:val="none"/>
              </w:rPr>
            </w:pPr>
            <w:r>
              <w:rPr>
                <w:rFonts w:hint="eastAsia" w:ascii="仿宋" w:hAnsi="仿宋" w:eastAsia="仿宋" w:cs="仿宋"/>
                <w:bCs/>
                <w:color w:val="auto"/>
                <w:szCs w:val="21"/>
                <w:highlight w:val="none"/>
              </w:rPr>
              <w:t>反面：</w:t>
            </w:r>
          </w:p>
        </w:tc>
      </w:tr>
    </w:tbl>
    <w:p>
      <w:pPr>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eastAsia="zh-CN"/>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eastAsia="zh-CN"/>
        </w:rPr>
        <w:t>授权委托书</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rPr>
          <w:rFonts w:hint="eastAsia" w:ascii="仿宋" w:hAnsi="仿宋" w:eastAsia="仿宋" w:cs="仿宋"/>
          <w:b/>
          <w:bCs/>
          <w:color w:val="auto"/>
          <w:spacing w:val="-6"/>
          <w:sz w:val="18"/>
          <w:szCs w:val="18"/>
          <w:highlight w:val="none"/>
          <w:lang w:eastAsia="zh-CN"/>
        </w:rPr>
      </w:pPr>
      <w:r>
        <w:rPr>
          <w:rFonts w:hint="eastAsia" w:ascii="仿宋" w:hAnsi="仿宋" w:eastAsia="仿宋" w:cs="仿宋"/>
          <w:b/>
          <w:bCs/>
          <w:color w:val="auto"/>
          <w:sz w:val="18"/>
          <w:szCs w:val="18"/>
          <w:highlight w:val="none"/>
          <w:lang w:eastAsia="zh-CN"/>
        </w:rPr>
        <w:t>【</w:t>
      </w:r>
      <w:r>
        <w:rPr>
          <w:rFonts w:hint="eastAsia" w:ascii="仿宋" w:hAnsi="仿宋" w:eastAsia="仿宋" w:cs="仿宋"/>
          <w:b/>
          <w:bCs/>
          <w:color w:val="auto"/>
          <w:sz w:val="18"/>
          <w:szCs w:val="18"/>
          <w:highlight w:val="none"/>
        </w:rPr>
        <w:t>适用于投标人代表不是法定代表人（单位负责人、自然人本人）</w:t>
      </w:r>
      <w:r>
        <w:rPr>
          <w:rFonts w:hint="eastAsia" w:ascii="仿宋" w:hAnsi="仿宋" w:eastAsia="仿宋" w:cs="仿宋"/>
          <w:b/>
          <w:bCs/>
          <w:color w:val="auto"/>
          <w:spacing w:val="-6"/>
          <w:sz w:val="18"/>
          <w:szCs w:val="18"/>
          <w:highlight w:val="none"/>
        </w:rPr>
        <w:t>代表投标人参加投标</w:t>
      </w:r>
      <w:r>
        <w:rPr>
          <w:rFonts w:hint="eastAsia" w:ascii="仿宋" w:hAnsi="仿宋" w:eastAsia="仿宋" w:cs="仿宋"/>
          <w:b/>
          <w:bCs/>
          <w:color w:val="auto"/>
          <w:spacing w:val="-6"/>
          <w:sz w:val="18"/>
          <w:szCs w:val="1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t>致：</w:t>
      </w:r>
      <w:r>
        <w:rPr>
          <w:rFonts w:hint="eastAsia" w:ascii="仿宋" w:hAnsi="仿宋" w:eastAsia="仿宋" w:cs="仿宋"/>
          <w:b/>
          <w:color w:val="auto"/>
          <w:spacing w:val="-6"/>
          <w:szCs w:val="21"/>
          <w:highlight w:val="none"/>
          <w:lang w:eastAsia="zh-CN"/>
        </w:rPr>
        <w:t>之江实验室</w:t>
      </w:r>
      <w:r>
        <w:rPr>
          <w:rFonts w:hint="eastAsia" w:ascii="仿宋" w:hAnsi="仿宋" w:eastAsia="仿宋" w:cs="仿宋"/>
          <w:b/>
          <w:color w:val="auto"/>
          <w:spacing w:val="-6"/>
          <w:szCs w:val="21"/>
          <w:highlight w:val="none"/>
        </w:rPr>
        <w:t>、浙江求是招标代理有限公司</w:t>
      </w:r>
    </w:p>
    <w:p>
      <w:pPr>
        <w:keepNext w:val="0"/>
        <w:keepLines w:val="0"/>
        <w:pageBreakBefore w:val="0"/>
        <w:widowControl w:val="0"/>
        <w:kinsoku/>
        <w:wordWrap/>
        <w:overflowPunct/>
        <w:topLinePunct w:val="0"/>
        <w:autoSpaceDE/>
        <w:autoSpaceDN/>
        <w:bidi w:val="0"/>
        <w:adjustRightInd w:val="0"/>
        <w:snapToGrid w:val="0"/>
        <w:spacing w:line="360" w:lineRule="auto"/>
        <w:ind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现授权委托：</w:t>
      </w:r>
      <w:r>
        <w:rPr>
          <w:rFonts w:hint="eastAsia" w:ascii="仿宋" w:hAnsi="仿宋" w:eastAsia="仿宋" w:cs="仿宋"/>
          <w:color w:val="auto"/>
          <w:spacing w:val="-6"/>
          <w:szCs w:val="21"/>
          <w:highlight w:val="none"/>
          <w:u w:val="single"/>
        </w:rPr>
        <w:t xml:space="preserve">            </w:t>
      </w:r>
      <w:r>
        <w:rPr>
          <w:rFonts w:hint="eastAsia" w:ascii="仿宋" w:hAnsi="仿宋" w:eastAsia="仿宋" w:cs="仿宋"/>
          <w:color w:val="auto"/>
          <w:spacing w:val="-6"/>
          <w:szCs w:val="21"/>
          <w:highlight w:val="none"/>
        </w:rPr>
        <w:t>（授权代表姓名）（身份证号码：</w:t>
      </w:r>
      <w:r>
        <w:rPr>
          <w:rFonts w:hint="eastAsia" w:ascii="仿宋" w:hAnsi="仿宋" w:eastAsia="仿宋" w:cs="仿宋"/>
          <w:color w:val="auto"/>
          <w:spacing w:val="-6"/>
          <w:szCs w:val="21"/>
          <w:highlight w:val="none"/>
          <w:u w:val="single"/>
        </w:rPr>
        <w:t xml:space="preserve">            </w:t>
      </w:r>
      <w:r>
        <w:rPr>
          <w:rFonts w:hint="eastAsia" w:ascii="仿宋" w:hAnsi="仿宋" w:eastAsia="仿宋" w:cs="仿宋"/>
          <w:color w:val="auto"/>
          <w:spacing w:val="-6"/>
          <w:szCs w:val="21"/>
          <w:highlight w:val="none"/>
        </w:rPr>
        <w:t>，手机：</w:t>
      </w:r>
      <w:r>
        <w:rPr>
          <w:rFonts w:hint="eastAsia" w:ascii="仿宋" w:hAnsi="仿宋" w:eastAsia="仿宋" w:cs="仿宋"/>
          <w:color w:val="auto"/>
          <w:spacing w:val="-6"/>
          <w:szCs w:val="21"/>
          <w:highlight w:val="none"/>
          <w:u w:val="single"/>
        </w:rPr>
        <w:t xml:space="preserve">            </w:t>
      </w:r>
      <w:r>
        <w:rPr>
          <w:rFonts w:hint="eastAsia" w:ascii="仿宋" w:hAnsi="仿宋" w:eastAsia="仿宋" w:cs="仿宋"/>
          <w:color w:val="auto"/>
          <w:spacing w:val="-6"/>
          <w:szCs w:val="21"/>
          <w:highlight w:val="none"/>
        </w:rPr>
        <w:t>）以我方的名义参加</w:t>
      </w:r>
      <w:r>
        <w:rPr>
          <w:rFonts w:hint="eastAsia" w:ascii="仿宋" w:hAnsi="仿宋" w:eastAsia="仿宋" w:cs="仿宋"/>
          <w:bCs/>
          <w:color w:val="auto"/>
          <w:spacing w:val="-6"/>
          <w:szCs w:val="21"/>
          <w:highlight w:val="none"/>
          <w:lang w:eastAsia="zh-CN"/>
        </w:rPr>
        <w:t>之江实验室之江实验室智能计算育种数字反应堆平台专业实验室家具项目</w:t>
      </w:r>
      <w:r>
        <w:rPr>
          <w:rFonts w:hint="eastAsia" w:ascii="仿宋" w:hAnsi="仿宋" w:eastAsia="仿宋" w:cs="仿宋"/>
          <w:bCs/>
          <w:color w:val="auto"/>
          <w:spacing w:val="-6"/>
          <w:szCs w:val="21"/>
          <w:highlight w:val="none"/>
        </w:rPr>
        <w:t>【</w:t>
      </w:r>
      <w:r>
        <w:rPr>
          <w:rFonts w:hint="eastAsia" w:ascii="仿宋" w:hAnsi="仿宋" w:eastAsia="仿宋" w:cs="仿宋"/>
          <w:color w:val="auto"/>
          <w:spacing w:val="-6"/>
          <w:szCs w:val="21"/>
          <w:highlight w:val="none"/>
        </w:rPr>
        <w:t>项目编号</w:t>
      </w:r>
      <w:r>
        <w:rPr>
          <w:rFonts w:hint="eastAsia" w:ascii="仿宋" w:hAnsi="仿宋" w:eastAsia="仿宋" w:cs="仿宋"/>
          <w:bCs/>
          <w:color w:val="auto"/>
          <w:spacing w:val="-6"/>
          <w:szCs w:val="21"/>
          <w:highlight w:val="none"/>
        </w:rPr>
        <w:t>：</w:t>
      </w:r>
      <w:bookmarkStart w:id="62" w:name="_GoBack"/>
      <w:bookmarkEnd w:id="62"/>
      <w:r>
        <w:rPr>
          <w:rFonts w:hint="eastAsia" w:ascii="仿宋" w:hAnsi="仿宋" w:eastAsia="仿宋" w:cs="仿宋"/>
          <w:bCs/>
          <w:color w:val="auto"/>
          <w:spacing w:val="-6"/>
          <w:szCs w:val="21"/>
          <w:highlight w:val="none"/>
          <w:lang w:eastAsia="zh-CN"/>
        </w:rPr>
        <w:t>ZJLAB-JZ-GK2023032</w:t>
      </w:r>
      <w:r>
        <w:rPr>
          <w:rFonts w:hint="eastAsia" w:ascii="仿宋" w:hAnsi="仿宋" w:eastAsia="仿宋" w:cs="仿宋"/>
          <w:bCs/>
          <w:color w:val="auto"/>
          <w:spacing w:val="-6"/>
          <w:szCs w:val="21"/>
          <w:highlight w:val="none"/>
        </w:rPr>
        <w:t>】</w:t>
      </w:r>
      <w:r>
        <w:rPr>
          <w:rFonts w:hint="eastAsia" w:ascii="仿宋" w:hAnsi="仿宋" w:eastAsia="仿宋" w:cs="仿宋"/>
          <w:bCs/>
          <w:color w:val="auto"/>
          <w:spacing w:val="-6"/>
          <w:szCs w:val="21"/>
          <w:highlight w:val="none"/>
          <w:lang w:val="en-US" w:eastAsia="zh-CN"/>
        </w:rPr>
        <w:t>的</w:t>
      </w:r>
      <w:r>
        <w:rPr>
          <w:rFonts w:hint="eastAsia" w:ascii="仿宋" w:hAnsi="仿宋" w:eastAsia="仿宋" w:cs="仿宋"/>
          <w:color w:val="auto"/>
          <w:spacing w:val="-6"/>
          <w:szCs w:val="21"/>
          <w:highlight w:val="none"/>
        </w:rPr>
        <w:t>投标活动，并代表我方全权办理针对上述项目的投标、开标、评标、签约等具体事务和签署相关文件。</w:t>
      </w:r>
    </w:p>
    <w:p>
      <w:pPr>
        <w:keepNext w:val="0"/>
        <w:keepLines w:val="0"/>
        <w:pageBreakBefore w:val="0"/>
        <w:widowControl w:val="0"/>
        <w:kinsoku/>
        <w:wordWrap/>
        <w:overflowPunct/>
        <w:topLinePunct w:val="0"/>
        <w:autoSpaceDE/>
        <w:autoSpaceDN/>
        <w:bidi w:val="0"/>
        <w:adjustRightInd w:val="0"/>
        <w:snapToGrid w:val="0"/>
        <w:spacing w:line="360" w:lineRule="auto"/>
        <w:ind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我方对被授权人的签名负全部责任。</w:t>
      </w:r>
    </w:p>
    <w:p>
      <w:pPr>
        <w:keepNext w:val="0"/>
        <w:keepLines w:val="0"/>
        <w:pageBreakBefore w:val="0"/>
        <w:widowControl w:val="0"/>
        <w:kinsoku/>
        <w:wordWrap/>
        <w:overflowPunct/>
        <w:topLinePunct w:val="0"/>
        <w:autoSpaceDE/>
        <w:autoSpaceDN/>
        <w:bidi w:val="0"/>
        <w:adjustRightInd w:val="0"/>
        <w:snapToGrid w:val="0"/>
        <w:spacing w:line="360" w:lineRule="auto"/>
        <w:ind w:firstLine="396"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在撤销授权的书面通知以前，本授权书一直有效。被授权人在授权书有效期内签署的所有文件不因授权的撤销而失效。</w:t>
      </w:r>
    </w:p>
    <w:p>
      <w:pPr>
        <w:adjustRightInd w:val="0"/>
        <w:snapToGrid w:val="0"/>
        <w:spacing w:line="360" w:lineRule="auto"/>
        <w:ind w:firstLine="368" w:firstLineChars="186"/>
        <w:rPr>
          <w:rFonts w:ascii="仿宋" w:hAnsi="仿宋" w:eastAsia="仿宋" w:cs="仿宋"/>
          <w:b/>
          <w:bCs/>
          <w:color w:val="auto"/>
          <w:spacing w:val="-6"/>
          <w:szCs w:val="21"/>
          <w:highlight w:val="none"/>
          <w:u w:val="single"/>
        </w:rPr>
      </w:pPr>
      <w:r>
        <w:rPr>
          <w:rFonts w:hint="eastAsia" w:ascii="仿宋" w:hAnsi="仿宋" w:eastAsia="仿宋" w:cs="仿宋"/>
          <w:color w:val="auto"/>
          <w:spacing w:val="-6"/>
          <w:szCs w:val="21"/>
          <w:highlight w:val="none"/>
        </w:rPr>
        <w:t>被授权人无转委托权，特此告知。</w:t>
      </w:r>
    </w:p>
    <w:p>
      <w:pPr>
        <w:adjustRightInd w:val="0"/>
        <w:snapToGrid w:val="0"/>
        <w:spacing w:line="360" w:lineRule="auto"/>
        <w:rPr>
          <w:rFonts w:ascii="仿宋" w:hAnsi="仿宋" w:eastAsia="仿宋" w:cs="仿宋"/>
          <w:color w:val="auto"/>
          <w:szCs w:val="21"/>
          <w:highlight w:val="none"/>
        </w:rPr>
      </w:pPr>
    </w:p>
    <w:p>
      <w:pPr>
        <w:adjustRightInd w:val="0"/>
        <w:snapToGrid w:val="0"/>
        <w:spacing w:line="360" w:lineRule="auto"/>
        <w:rPr>
          <w:rFonts w:ascii="仿宋" w:hAnsi="仿宋" w:eastAsia="仿宋" w:cs="仿宋"/>
          <w:b/>
          <w:bCs/>
          <w:color w:val="auto"/>
          <w:spacing w:val="-6"/>
          <w:szCs w:val="21"/>
          <w:highlight w:val="none"/>
        </w:rPr>
      </w:pPr>
    </w:p>
    <w:p>
      <w:pPr>
        <w:adjustRightInd w:val="0"/>
        <w:snapToGrid w:val="0"/>
        <w:spacing w:line="360" w:lineRule="auto"/>
        <w:rPr>
          <w:rFonts w:ascii="仿宋" w:hAnsi="仿宋" w:eastAsia="仿宋" w:cs="仿宋"/>
          <w:b/>
          <w:bCs/>
          <w:color w:val="auto"/>
          <w:spacing w:val="-6"/>
          <w:szCs w:val="21"/>
          <w:highlight w:val="none"/>
        </w:rPr>
      </w:pPr>
    </w:p>
    <w:p>
      <w:pPr>
        <w:adjustRightInd w:val="0"/>
        <w:snapToGrid w:val="0"/>
        <w:spacing w:line="360" w:lineRule="auto"/>
        <w:rPr>
          <w:rFonts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投标人名称（公章）：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Cs w:val="21"/>
          <w:highlight w:val="none"/>
        </w:rPr>
        <w:t>日期：     年   月   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3"/>
        <w:rPr>
          <w:rFonts w:hint="eastAsia" w:ascii="仿宋" w:hAnsi="仿宋" w:eastAsia="仿宋" w:cs="仿宋"/>
          <w:bCs/>
          <w:color w:val="auto"/>
          <w:spacing w:val="-6"/>
          <w:szCs w:val="21"/>
          <w:highlight w:val="none"/>
          <w:u w:val="none"/>
        </w:rPr>
      </w:pPr>
      <w:r>
        <w:rPr>
          <w:rFonts w:hint="eastAsia" w:ascii="仿宋" w:hAnsi="仿宋" w:eastAsia="仿宋" w:cs="仿宋"/>
          <w:b/>
          <w:color w:val="auto"/>
          <w:spacing w:val="-6"/>
          <w:szCs w:val="21"/>
          <w:highlight w:val="none"/>
        </w:rPr>
        <w:br w:type="page"/>
      </w:r>
      <w:r>
        <w:rPr>
          <w:rFonts w:hint="eastAsia" w:ascii="仿宋" w:hAnsi="仿宋" w:eastAsia="仿宋" w:cs="仿宋"/>
          <w:b/>
          <w:bCs/>
          <w:color w:val="auto"/>
          <w:sz w:val="24"/>
          <w:szCs w:val="24"/>
          <w:highlight w:val="none"/>
          <w:lang w:eastAsia="zh-CN"/>
        </w:rPr>
        <w:t>近三个月投标授权代表社保缴纳证明</w:t>
      </w: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仿宋" w:hAnsi="仿宋" w:eastAsia="仿宋" w:cs="仿宋"/>
          <w:b/>
          <w:color w:val="auto"/>
          <w:spacing w:val="-6"/>
          <w:sz w:val="18"/>
          <w:szCs w:val="18"/>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ascii="仿宋" w:hAnsi="仿宋" w:eastAsia="仿宋" w:cs="仿宋"/>
          <w:b/>
          <w:color w:val="auto"/>
          <w:spacing w:val="-6"/>
          <w:szCs w:val="21"/>
          <w:highlight w:val="none"/>
        </w:rPr>
      </w:pPr>
      <w:r>
        <w:rPr>
          <w:rFonts w:hint="eastAsia" w:ascii="仿宋" w:hAnsi="仿宋" w:eastAsia="仿宋" w:cs="仿宋"/>
          <w:b/>
          <w:color w:val="auto"/>
          <w:spacing w:val="-6"/>
          <w:sz w:val="18"/>
          <w:szCs w:val="18"/>
          <w:highlight w:val="none"/>
          <w:lang w:val="en-US" w:eastAsia="zh-CN"/>
        </w:rPr>
        <w:t>说明：投标人委派不在本单位缴纳社保的人员作为授权代表的，在投标文件中说明具体原因、授权代表缴纳社保单位并附列该授权代表缴纳社保清单（近三个月）。</w:t>
      </w:r>
    </w:p>
    <w:p>
      <w:pPr>
        <w:adjustRightInd w:val="0"/>
        <w:snapToGrid w:val="0"/>
        <w:spacing w:line="288" w:lineRule="auto"/>
        <w:jc w:val="center"/>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eastAsia="zh-CN"/>
        </w:rPr>
        <w:t>采购需求偏离表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Cs/>
          <w:color w:val="auto"/>
          <w:spacing w:val="-6"/>
          <w:szCs w:val="21"/>
          <w:highlight w:val="none"/>
        </w:rPr>
      </w:pPr>
      <w:r>
        <w:rPr>
          <w:rFonts w:hint="eastAsia" w:ascii="仿宋" w:hAnsi="仿宋" w:eastAsia="仿宋" w:cs="仿宋"/>
          <w:bCs/>
          <w:color w:val="auto"/>
          <w:spacing w:val="-6"/>
          <w:szCs w:val="21"/>
          <w:highlight w:val="none"/>
        </w:rPr>
        <w:t>采 购 人：</w:t>
      </w:r>
      <w:r>
        <w:rPr>
          <w:rFonts w:hint="eastAsia" w:ascii="仿宋" w:hAnsi="仿宋" w:eastAsia="仿宋" w:cs="仿宋"/>
          <w:bCs/>
          <w:color w:val="auto"/>
          <w:spacing w:val="-6"/>
          <w:szCs w:val="21"/>
          <w:highlight w:val="none"/>
          <w:lang w:eastAsia="zh-CN"/>
        </w:rPr>
        <w:t>之江实验室</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Cs/>
          <w:color w:val="auto"/>
          <w:spacing w:val="-6"/>
          <w:szCs w:val="21"/>
          <w:highlight w:val="none"/>
        </w:rPr>
      </w:pPr>
      <w:r>
        <w:rPr>
          <w:rFonts w:hint="eastAsia" w:ascii="仿宋" w:hAnsi="仿宋" w:eastAsia="仿宋" w:cs="仿宋"/>
          <w:bCs/>
          <w:color w:val="auto"/>
          <w:spacing w:val="-6"/>
          <w:szCs w:val="21"/>
          <w:highlight w:val="none"/>
        </w:rPr>
        <w:t>项目名称：</w:t>
      </w:r>
      <w:r>
        <w:rPr>
          <w:rFonts w:hint="eastAsia" w:ascii="仿宋" w:hAnsi="仿宋" w:eastAsia="仿宋" w:cs="仿宋"/>
          <w:bCs/>
          <w:color w:val="auto"/>
          <w:spacing w:val="-6"/>
          <w:szCs w:val="21"/>
          <w:highlight w:val="none"/>
          <w:lang w:eastAsia="zh-CN"/>
        </w:rPr>
        <w:t>之江实验室智能计算育种数字反应堆平台专业实验室家具项目</w:t>
      </w:r>
    </w:p>
    <w:tbl>
      <w:tblPr>
        <w:tblStyle w:val="37"/>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3480"/>
        <w:gridCol w:w="2911"/>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3480"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lang w:val="en-US" w:eastAsia="zh-CN"/>
              </w:rPr>
              <w:t>招标</w:t>
            </w:r>
            <w:r>
              <w:rPr>
                <w:rFonts w:hint="eastAsia" w:ascii="仿宋" w:hAnsi="仿宋" w:eastAsia="仿宋" w:cs="仿宋"/>
                <w:b/>
                <w:bCs/>
                <w:color w:val="auto"/>
                <w:sz w:val="21"/>
                <w:szCs w:val="21"/>
                <w:highlight w:val="none"/>
              </w:rPr>
              <w:t>文件要求</w:t>
            </w:r>
          </w:p>
        </w:tc>
        <w:tc>
          <w:tcPr>
            <w:tcW w:w="2911"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响应规格</w:t>
            </w:r>
          </w:p>
        </w:tc>
        <w:tc>
          <w:tcPr>
            <w:tcW w:w="2407" w:type="dxa"/>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是否偏离（提供说明）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8" w:type="dxa"/>
            <w:gridSpan w:val="4"/>
            <w:vAlign w:val="center"/>
          </w:tcPr>
          <w:p>
            <w:pPr>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采购资金的支付方式、时间、条件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8" w:type="dxa"/>
            <w:gridSpan w:val="4"/>
            <w:vAlign w:val="center"/>
          </w:tcPr>
          <w:p>
            <w:pPr>
              <w:rPr>
                <w:rFonts w:hint="eastAsia" w:ascii="仿宋" w:hAnsi="仿宋" w:eastAsia="仿宋" w:cs="仿宋"/>
                <w:color w:val="auto"/>
                <w:sz w:val="21"/>
                <w:szCs w:val="21"/>
                <w:highlight w:val="none"/>
              </w:rPr>
            </w:pPr>
            <w:r>
              <w:rPr>
                <w:rFonts w:hint="eastAsia" w:ascii="仿宋" w:hAnsi="仿宋" w:eastAsia="仿宋" w:cs="仿宋"/>
                <w:b/>
                <w:bCs/>
                <w:color w:val="auto"/>
                <w:sz w:val="21"/>
                <w:szCs w:val="21"/>
                <w:highlight w:val="none"/>
              </w:rPr>
              <w:t>服务要求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8" w:type="dxa"/>
            <w:gridSpan w:val="4"/>
            <w:vAlign w:val="center"/>
          </w:tcPr>
          <w:p>
            <w:pPr>
              <w:rPr>
                <w:rFonts w:hint="eastAsia" w:ascii="仿宋" w:hAnsi="仿宋" w:eastAsia="仿宋" w:cs="仿宋"/>
                <w:color w:val="auto"/>
                <w:sz w:val="21"/>
                <w:szCs w:val="21"/>
                <w:highlight w:val="none"/>
                <w:lang w:val="en-US" w:eastAsia="zh-CN"/>
              </w:rPr>
            </w:pPr>
            <w:r>
              <w:rPr>
                <w:rFonts w:hint="eastAsia" w:ascii="仿宋" w:hAnsi="仿宋" w:eastAsia="仿宋" w:cs="仿宋"/>
                <w:b/>
                <w:bCs/>
                <w:color w:val="auto"/>
                <w:sz w:val="21"/>
                <w:szCs w:val="21"/>
                <w:highlight w:val="none"/>
                <w:lang w:val="en-US" w:eastAsia="zh-CN"/>
              </w:rPr>
              <w:t>合同条款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1</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830" w:type="dxa"/>
            <w:vAlign w:val="center"/>
          </w:tcPr>
          <w:p>
            <w:pPr>
              <w:jc w:val="center"/>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p>
        </w:tc>
        <w:tc>
          <w:tcPr>
            <w:tcW w:w="3480" w:type="dxa"/>
            <w:vAlign w:val="center"/>
          </w:tcPr>
          <w:p>
            <w:pPr>
              <w:rPr>
                <w:rFonts w:hint="eastAsia" w:ascii="仿宋" w:hAnsi="仿宋" w:eastAsia="仿宋" w:cs="仿宋"/>
                <w:color w:val="auto"/>
                <w:sz w:val="21"/>
                <w:szCs w:val="21"/>
                <w:highlight w:val="none"/>
              </w:rPr>
            </w:pPr>
          </w:p>
        </w:tc>
        <w:tc>
          <w:tcPr>
            <w:tcW w:w="2911" w:type="dxa"/>
            <w:vAlign w:val="center"/>
          </w:tcPr>
          <w:p>
            <w:pPr>
              <w:rPr>
                <w:rFonts w:hint="eastAsia" w:ascii="仿宋" w:hAnsi="仿宋" w:eastAsia="仿宋" w:cs="仿宋"/>
                <w:color w:val="auto"/>
                <w:sz w:val="21"/>
                <w:szCs w:val="21"/>
                <w:highlight w:val="none"/>
              </w:rPr>
            </w:pPr>
          </w:p>
        </w:tc>
        <w:tc>
          <w:tcPr>
            <w:tcW w:w="2407" w:type="dxa"/>
            <w:vAlign w:val="center"/>
          </w:tcPr>
          <w:p>
            <w:pPr>
              <w:rPr>
                <w:rFonts w:hint="eastAsia" w:ascii="仿宋" w:hAnsi="仿宋" w:eastAsia="仿宋" w:cs="仿宋"/>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说明：</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1.逐项按照</w:t>
      </w:r>
      <w:r>
        <w:rPr>
          <w:rFonts w:hint="eastAsia" w:ascii="仿宋" w:hAnsi="仿宋" w:eastAsia="仿宋" w:cs="仿宋"/>
          <w:b/>
          <w:bCs/>
          <w:color w:val="auto"/>
          <w:sz w:val="18"/>
          <w:szCs w:val="18"/>
          <w:highlight w:val="none"/>
          <w:lang w:eastAsia="zh-CN"/>
        </w:rPr>
        <w:t>招标文件</w:t>
      </w:r>
      <w:r>
        <w:rPr>
          <w:rFonts w:hint="eastAsia" w:ascii="仿宋" w:hAnsi="仿宋" w:eastAsia="仿宋" w:cs="仿宋"/>
          <w:b/>
          <w:bCs/>
          <w:color w:val="auto"/>
          <w:sz w:val="18"/>
          <w:szCs w:val="18"/>
          <w:highlight w:val="none"/>
        </w:rPr>
        <w:t>要求填写响应规格；</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2.偏离说明是指对</w:t>
      </w:r>
      <w:r>
        <w:rPr>
          <w:rFonts w:hint="eastAsia" w:ascii="仿宋" w:hAnsi="仿宋" w:eastAsia="仿宋" w:cs="仿宋"/>
          <w:b/>
          <w:bCs/>
          <w:color w:val="auto"/>
          <w:sz w:val="18"/>
          <w:szCs w:val="18"/>
          <w:highlight w:val="none"/>
          <w:lang w:eastAsia="zh-CN"/>
        </w:rPr>
        <w:t>招标文件</w:t>
      </w:r>
      <w:r>
        <w:rPr>
          <w:rFonts w:hint="eastAsia" w:ascii="仿宋" w:hAnsi="仿宋" w:eastAsia="仿宋" w:cs="仿宋"/>
          <w:b/>
          <w:bCs/>
          <w:color w:val="auto"/>
          <w:sz w:val="18"/>
          <w:szCs w:val="18"/>
          <w:highlight w:val="none"/>
        </w:rPr>
        <w:t>要求存在不同之处的解释说明</w:t>
      </w:r>
      <w:r>
        <w:rPr>
          <w:rFonts w:hint="eastAsia" w:ascii="仿宋" w:hAnsi="仿宋" w:eastAsia="仿宋" w:cs="仿宋"/>
          <w:b/>
          <w:bCs/>
          <w:color w:val="auto"/>
          <w:sz w:val="18"/>
          <w:szCs w:val="18"/>
          <w:highlight w:val="none"/>
          <w:lang w:eastAsia="zh-CN"/>
        </w:rPr>
        <w:t>，</w:t>
      </w:r>
      <w:r>
        <w:rPr>
          <w:rFonts w:hint="eastAsia" w:ascii="仿宋" w:hAnsi="仿宋" w:eastAsia="仿宋" w:cs="仿宋"/>
          <w:b/>
          <w:bCs/>
          <w:color w:val="auto"/>
          <w:sz w:val="18"/>
          <w:szCs w:val="18"/>
          <w:highlight w:val="none"/>
        </w:rPr>
        <w:t>偏离系指正偏离（高于采购需求）、负偏离（低于采购需求）、无偏离（满足采购需求）；</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3.如不填写或未如实填写，自行承担</w:t>
      </w:r>
      <w:r>
        <w:rPr>
          <w:rFonts w:hint="eastAsia" w:ascii="仿宋" w:hAnsi="仿宋" w:eastAsia="仿宋" w:cs="仿宋"/>
          <w:b/>
          <w:bCs/>
          <w:color w:val="auto"/>
          <w:sz w:val="18"/>
          <w:szCs w:val="18"/>
          <w:highlight w:val="none"/>
          <w:lang w:val="en-US" w:eastAsia="zh-CN"/>
        </w:rPr>
        <w:t>投标</w:t>
      </w:r>
      <w:r>
        <w:rPr>
          <w:rFonts w:hint="eastAsia" w:ascii="仿宋" w:hAnsi="仿宋" w:eastAsia="仿宋" w:cs="仿宋"/>
          <w:b/>
          <w:bCs/>
          <w:color w:val="auto"/>
          <w:sz w:val="18"/>
          <w:szCs w:val="18"/>
          <w:highlight w:val="none"/>
        </w:rPr>
        <w:t>风险。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投标人名称（公章）：</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投标人代表（签字）：</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r>
        <w:rPr>
          <w:rFonts w:hint="eastAsia" w:ascii="仿宋" w:hAnsi="仿宋" w:eastAsia="仿宋" w:cs="仿宋"/>
          <w:b/>
          <w:bCs/>
          <w:color w:val="auto"/>
          <w:spacing w:val="-6"/>
          <w:sz w:val="21"/>
          <w:szCs w:val="21"/>
          <w:highlight w:val="none"/>
        </w:rPr>
        <w:t>日期：     年   月   日</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b/>
          <w:bCs/>
          <w:color w:val="auto"/>
          <w:sz w:val="24"/>
          <w:szCs w:val="24"/>
          <w:highlight w:val="none"/>
          <w:lang w:eastAsia="zh-CN"/>
        </w:rPr>
      </w:pPr>
      <w:r>
        <w:rPr>
          <w:rFonts w:hint="eastAsia" w:ascii="仿宋" w:hAnsi="仿宋" w:eastAsia="仿宋" w:cs="仿宋"/>
          <w:color w:val="auto"/>
          <w:spacing w:val="-6"/>
          <w:szCs w:val="21"/>
          <w:highlight w:val="none"/>
        </w:rPr>
        <w:br w:type="page"/>
      </w:r>
      <w:r>
        <w:rPr>
          <w:rFonts w:hint="eastAsia" w:ascii="仿宋" w:hAnsi="仿宋" w:eastAsia="仿宋" w:cs="仿宋"/>
          <w:b/>
          <w:bCs/>
          <w:color w:val="auto"/>
          <w:sz w:val="24"/>
          <w:szCs w:val="24"/>
          <w:highlight w:val="none"/>
          <w:lang w:eastAsia="zh-CN"/>
        </w:rPr>
        <w:t>类似合同实施情况一览表</w:t>
      </w:r>
    </w:p>
    <w:tbl>
      <w:tblPr>
        <w:tblStyle w:val="36"/>
        <w:tblW w:w="96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1133"/>
        <w:gridCol w:w="1441"/>
        <w:gridCol w:w="683"/>
        <w:gridCol w:w="1153"/>
        <w:gridCol w:w="829"/>
        <w:gridCol w:w="1556"/>
        <w:gridCol w:w="198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采购单位</w:t>
            </w: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项目名称</w:t>
            </w:r>
          </w:p>
        </w:tc>
        <w:tc>
          <w:tcPr>
            <w:tcW w:w="6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数量</w:t>
            </w:r>
          </w:p>
        </w:tc>
        <w:tc>
          <w:tcPr>
            <w:tcW w:w="11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合同金额</w:t>
            </w:r>
          </w:p>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（万元）</w:t>
            </w: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附件页码</w:t>
            </w:r>
          </w:p>
        </w:tc>
        <w:tc>
          <w:tcPr>
            <w:tcW w:w="155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合同签订时间</w:t>
            </w: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采购单位联系人</w:t>
            </w:r>
          </w:p>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6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6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6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6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9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3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68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1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55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p>
        </w:tc>
        <w:tc>
          <w:tcPr>
            <w:tcW w:w="1983" w:type="dxa"/>
            <w:tcBorders>
              <w:top w:val="single" w:color="auto" w:sz="4" w:space="0"/>
              <w:left w:val="single" w:color="auto" w:sz="4" w:space="0"/>
              <w:bottom w:val="single" w:color="auto" w:sz="4" w:space="0"/>
              <w:right w:val="single" w:color="auto" w:sz="4" w:space="0"/>
            </w:tcBorders>
            <w:vAlign w:val="top"/>
          </w:tcPr>
          <w:p>
            <w:pPr>
              <w:jc w:val="center"/>
              <w:rPr>
                <w:rFonts w:hint="eastAsia" w:ascii="仿宋" w:hAnsi="仿宋" w:eastAsia="仿宋" w:cs="仿宋"/>
                <w:b/>
                <w:bCs/>
                <w:color w:val="auto"/>
                <w:sz w:val="21"/>
                <w:szCs w:val="21"/>
                <w:highlight w:val="none"/>
              </w:rPr>
            </w:pPr>
          </w:p>
        </w:tc>
      </w:tr>
    </w:tbl>
    <w:p>
      <w:pPr>
        <w:pStyle w:val="22"/>
        <w:keepNext w:val="0"/>
        <w:keepLines w:val="0"/>
        <w:pageBreakBefore w:val="0"/>
        <w:widowControl w:val="0"/>
        <w:kinsoku/>
        <w:wordWrap/>
        <w:overflowPunct/>
        <w:topLinePunct w:val="0"/>
        <w:autoSpaceDE/>
        <w:autoSpaceDN/>
        <w:bidi w:val="0"/>
        <w:snapToGrid/>
        <w:spacing w:line="360" w:lineRule="auto"/>
        <w:ind w:left="420" w:leftChars="0" w:right="0" w:rightChars="0" w:hanging="480"/>
        <w:jc w:val="both"/>
        <w:textAlignment w:val="auto"/>
        <w:outlineLvl w:val="9"/>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snapToGrid/>
        <w:spacing w:line="360" w:lineRule="auto"/>
        <w:ind w:left="0" w:leftChars="0" w:right="0" w:rightChars="0"/>
        <w:jc w:val="both"/>
        <w:textAlignment w:val="auto"/>
        <w:outlineLvl w:val="9"/>
        <w:rPr>
          <w:rFonts w:hint="eastAsia"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t>说明：</w:t>
      </w:r>
    </w:p>
    <w:p>
      <w:pPr>
        <w:keepNext w:val="0"/>
        <w:keepLines w:val="0"/>
        <w:pageBreakBefore w:val="0"/>
        <w:widowControl w:val="0"/>
        <w:kinsoku/>
        <w:wordWrap/>
        <w:overflowPunct/>
        <w:topLinePunct w:val="0"/>
        <w:autoSpaceDE/>
        <w:autoSpaceDN/>
        <w:bidi w:val="0"/>
        <w:snapToGrid/>
        <w:spacing w:line="360" w:lineRule="auto"/>
        <w:ind w:left="0" w:leftChars="0" w:right="0" w:rightChars="0"/>
        <w:jc w:val="both"/>
        <w:textAlignment w:val="auto"/>
        <w:outlineLvl w:val="9"/>
        <w:rPr>
          <w:rFonts w:hint="eastAsia"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lang w:val="en-US" w:eastAsia="zh-CN"/>
        </w:rPr>
        <w:t>1.投标人</w:t>
      </w:r>
      <w:r>
        <w:rPr>
          <w:rFonts w:hint="eastAsia" w:ascii="仿宋" w:hAnsi="仿宋" w:eastAsia="仿宋" w:cs="仿宋"/>
          <w:b/>
          <w:color w:val="auto"/>
          <w:spacing w:val="-6"/>
          <w:sz w:val="18"/>
          <w:szCs w:val="18"/>
          <w:highlight w:val="none"/>
        </w:rPr>
        <w:t>须提供上述业绩合同对应验收报告、发票</w:t>
      </w:r>
      <w:r>
        <w:rPr>
          <w:rFonts w:hint="eastAsia" w:ascii="仿宋" w:hAnsi="仿宋" w:eastAsia="仿宋" w:cs="仿宋"/>
          <w:b/>
          <w:color w:val="auto"/>
          <w:spacing w:val="-6"/>
          <w:sz w:val="18"/>
          <w:szCs w:val="18"/>
          <w:highlight w:val="none"/>
          <w:lang w:eastAsia="zh-CN"/>
        </w:rPr>
        <w:t>复印件；</w:t>
      </w:r>
    </w:p>
    <w:p>
      <w:pPr>
        <w:keepNext w:val="0"/>
        <w:keepLines w:val="0"/>
        <w:pageBreakBefore w:val="0"/>
        <w:widowControl w:val="0"/>
        <w:kinsoku/>
        <w:wordWrap/>
        <w:overflowPunct/>
        <w:topLinePunct w:val="0"/>
        <w:autoSpaceDE/>
        <w:autoSpaceDN/>
        <w:bidi w:val="0"/>
        <w:snapToGrid/>
        <w:spacing w:line="360" w:lineRule="auto"/>
        <w:ind w:left="0" w:leftChars="0" w:right="0" w:rightChars="0"/>
        <w:jc w:val="both"/>
        <w:textAlignment w:val="auto"/>
        <w:outlineLvl w:val="9"/>
        <w:rPr>
          <w:rFonts w:hint="eastAsia"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lang w:val="en-US" w:eastAsia="zh-CN"/>
        </w:rPr>
        <w:t>2.</w:t>
      </w:r>
      <w:r>
        <w:rPr>
          <w:rFonts w:hint="eastAsia" w:ascii="仿宋" w:hAnsi="仿宋" w:eastAsia="仿宋" w:cs="仿宋"/>
          <w:b/>
          <w:color w:val="auto"/>
          <w:spacing w:val="-6"/>
          <w:sz w:val="18"/>
          <w:szCs w:val="18"/>
          <w:highlight w:val="none"/>
        </w:rPr>
        <w:t>所有合同</w:t>
      </w:r>
      <w:r>
        <w:rPr>
          <w:rFonts w:hint="eastAsia" w:ascii="仿宋" w:hAnsi="仿宋" w:eastAsia="仿宋" w:cs="仿宋"/>
          <w:b/>
          <w:color w:val="auto"/>
          <w:spacing w:val="-6"/>
          <w:sz w:val="18"/>
          <w:szCs w:val="18"/>
          <w:highlight w:val="none"/>
          <w:lang w:eastAsia="zh-CN"/>
        </w:rPr>
        <w:t>复印件</w:t>
      </w:r>
      <w:r>
        <w:rPr>
          <w:rFonts w:hint="eastAsia" w:ascii="仿宋" w:hAnsi="仿宋" w:eastAsia="仿宋" w:cs="仿宋"/>
          <w:b/>
          <w:color w:val="auto"/>
          <w:spacing w:val="-6"/>
          <w:sz w:val="18"/>
          <w:szCs w:val="18"/>
          <w:highlight w:val="none"/>
        </w:rPr>
        <w:t>应清晰，应能体现合同签订时间、双方签字盖章等内容</w:t>
      </w:r>
      <w:r>
        <w:rPr>
          <w:rFonts w:hint="eastAsia" w:ascii="仿宋" w:hAnsi="仿宋" w:eastAsia="仿宋" w:cs="仿宋"/>
          <w:b/>
          <w:color w:val="auto"/>
          <w:spacing w:val="-6"/>
          <w:sz w:val="18"/>
          <w:szCs w:val="1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18"/>
          <w:szCs w:val="18"/>
          <w:highlight w:val="none"/>
        </w:rPr>
      </w:pPr>
      <w:r>
        <w:rPr>
          <w:rFonts w:hint="eastAsia" w:ascii="仿宋" w:hAnsi="仿宋" w:eastAsia="仿宋" w:cs="仿宋"/>
          <w:b/>
          <w:color w:val="auto"/>
          <w:spacing w:val="-6"/>
          <w:sz w:val="18"/>
          <w:szCs w:val="18"/>
          <w:highlight w:val="none"/>
        </w:rPr>
        <w:t>3</w:t>
      </w:r>
      <w:r>
        <w:rPr>
          <w:rFonts w:hint="eastAsia" w:ascii="仿宋" w:hAnsi="仿宋" w:eastAsia="仿宋" w:cs="仿宋"/>
          <w:b/>
          <w:color w:val="auto"/>
          <w:spacing w:val="-6"/>
          <w:sz w:val="18"/>
          <w:szCs w:val="18"/>
          <w:highlight w:val="none"/>
          <w:lang w:eastAsia="zh-CN"/>
        </w:rPr>
        <w:t>.</w:t>
      </w:r>
      <w:r>
        <w:rPr>
          <w:rFonts w:hint="eastAsia" w:ascii="仿宋" w:hAnsi="仿宋" w:eastAsia="仿宋" w:cs="仿宋"/>
          <w:b/>
          <w:color w:val="auto"/>
          <w:spacing w:val="-6"/>
          <w:sz w:val="18"/>
          <w:szCs w:val="18"/>
          <w:highlight w:val="none"/>
          <w:lang w:val="en-US" w:eastAsia="zh-CN"/>
        </w:rPr>
        <w:t>投标人</w:t>
      </w:r>
      <w:r>
        <w:rPr>
          <w:rFonts w:hint="eastAsia" w:ascii="仿宋" w:hAnsi="仿宋" w:eastAsia="仿宋" w:cs="仿宋"/>
          <w:b/>
          <w:color w:val="auto"/>
          <w:spacing w:val="-6"/>
          <w:sz w:val="18"/>
          <w:szCs w:val="18"/>
          <w:highlight w:val="none"/>
        </w:rPr>
        <w:t>应在不涉及商业秘密的前提下尽可能提供详细的合同</w:t>
      </w:r>
      <w:r>
        <w:rPr>
          <w:rFonts w:hint="eastAsia" w:ascii="仿宋" w:hAnsi="仿宋" w:eastAsia="仿宋" w:cs="仿宋"/>
          <w:b/>
          <w:color w:val="auto"/>
          <w:spacing w:val="-6"/>
          <w:sz w:val="18"/>
          <w:szCs w:val="18"/>
          <w:highlight w:val="none"/>
          <w:lang w:eastAsia="zh-CN"/>
        </w:rPr>
        <w:t>复印件</w:t>
      </w:r>
      <w:r>
        <w:rPr>
          <w:rFonts w:hint="eastAsia" w:ascii="仿宋" w:hAnsi="仿宋" w:eastAsia="仿宋" w:cs="仿宋"/>
          <w:b/>
          <w:color w:val="auto"/>
          <w:spacing w:val="-6"/>
          <w:sz w:val="18"/>
          <w:szCs w:val="18"/>
          <w:highlight w:val="none"/>
        </w:rPr>
        <w:t>内容</w:t>
      </w:r>
      <w:r>
        <w:rPr>
          <w:rFonts w:hint="eastAsia" w:ascii="仿宋" w:hAnsi="仿宋" w:eastAsia="仿宋" w:cs="仿宋"/>
          <w:b/>
          <w:color w:val="auto"/>
          <w:spacing w:val="-6"/>
          <w:sz w:val="18"/>
          <w:szCs w:val="18"/>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 w:val="21"/>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投标人名称（公章）：</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投标人代表（签字）：</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日期：     年   月   日</w:t>
      </w:r>
    </w:p>
    <w:p>
      <w:pPr>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val="en-US" w:eastAsia="zh-CN"/>
        </w:rPr>
        <w:t>节能</w:t>
      </w:r>
      <w:r>
        <w:rPr>
          <w:rFonts w:hint="eastAsia" w:ascii="仿宋" w:hAnsi="仿宋" w:eastAsia="仿宋" w:cs="仿宋"/>
          <w:b/>
          <w:bCs/>
          <w:color w:val="auto"/>
          <w:sz w:val="24"/>
          <w:szCs w:val="24"/>
          <w:highlight w:val="none"/>
          <w:lang w:eastAsia="zh-CN"/>
        </w:rPr>
        <w:t>环保产品证明材料</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18"/>
          <w:szCs w:val="18"/>
          <w:highlight w:val="none"/>
          <w:lang w:val="en-US" w:eastAsia="zh-CN"/>
        </w:rPr>
      </w:pPr>
      <w:r>
        <w:rPr>
          <w:rFonts w:hint="eastAsia" w:ascii="仿宋" w:hAnsi="仿宋" w:eastAsia="仿宋" w:cs="仿宋"/>
          <w:b/>
          <w:bCs/>
          <w:color w:val="auto"/>
          <w:spacing w:val="-6"/>
          <w:sz w:val="18"/>
          <w:szCs w:val="18"/>
          <w:highlight w:val="none"/>
          <w:lang w:val="en-US" w:eastAsia="zh-CN"/>
        </w:rPr>
        <w:t>说明：投标产品属于财政部、发展改革委公布的“节能产品政府采购品目清单”范围且由国家确定的认证机构出具的处于有效期之内的节能产品认证证书复印件；投标产品属于财政部、生态环境部公布的“环境标志产品政府采购品目清单”范围且由国家确定的认证机构出具的处于有效期之内的环境标志产品认证证书复印件。</w:t>
      </w:r>
    </w:p>
    <w:p>
      <w:pPr>
        <w:rPr>
          <w:rFonts w:hint="eastAsia" w:ascii="仿宋" w:hAnsi="仿宋" w:eastAsia="仿宋" w:cs="仿宋"/>
          <w:b/>
          <w:bCs/>
          <w:color w:val="auto"/>
          <w:spacing w:val="-6"/>
          <w:sz w:val="18"/>
          <w:szCs w:val="18"/>
          <w:highlight w:val="none"/>
          <w:lang w:val="en-US" w:eastAsia="zh-CN"/>
        </w:rPr>
      </w:pPr>
      <w:r>
        <w:rPr>
          <w:rFonts w:hint="eastAsia" w:ascii="仿宋" w:hAnsi="仿宋" w:eastAsia="仿宋" w:cs="仿宋"/>
          <w:b/>
          <w:bCs/>
          <w:color w:val="auto"/>
          <w:spacing w:val="-6"/>
          <w:sz w:val="18"/>
          <w:szCs w:val="18"/>
          <w:highlight w:val="none"/>
          <w:lang w:val="en-US" w:eastAsia="zh-CN"/>
        </w:rPr>
        <w:br w:type="page"/>
      </w:r>
    </w:p>
    <w:p>
      <w:pPr>
        <w:adjustRightInd w:val="0"/>
        <w:snapToGrid w:val="0"/>
        <w:spacing w:line="360" w:lineRule="auto"/>
        <w:jc w:val="center"/>
        <w:outlineLvl w:val="2"/>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商务分评审相关证明材料</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仿宋" w:hAnsi="仿宋" w:eastAsia="仿宋" w:cs="仿宋"/>
          <w:b/>
          <w:bCs/>
          <w:color w:val="auto"/>
          <w:spacing w:val="-6"/>
          <w:sz w:val="18"/>
          <w:szCs w:val="18"/>
          <w:highlight w:val="none"/>
          <w:lang w:val="en-US" w:eastAsia="zh-CN"/>
        </w:rPr>
      </w:pPr>
      <w:r>
        <w:rPr>
          <w:rFonts w:hint="eastAsia" w:ascii="仿宋" w:hAnsi="仿宋" w:eastAsia="仿宋" w:cs="仿宋"/>
          <w:b/>
          <w:bCs/>
          <w:color w:val="auto"/>
          <w:spacing w:val="-6"/>
          <w:sz w:val="18"/>
          <w:szCs w:val="18"/>
          <w:highlight w:val="none"/>
          <w:lang w:val="en-US" w:eastAsia="zh-CN"/>
        </w:rPr>
        <w:t>说明：投标人可根据自身情况提供，包括但不仅限于有效的质量、环境、职业健康安全管理体系认证证书复印件及www.cnca.gov.cn“认证结果”查询截图。</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color w:val="auto"/>
          <w:szCs w:val="21"/>
          <w:highlight w:val="none"/>
        </w:rPr>
      </w:pPr>
      <w:r>
        <w:rPr>
          <w:rFonts w:hint="eastAsia" w:ascii="仿宋" w:hAnsi="仿宋" w:eastAsia="仿宋" w:cs="仿宋"/>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color w:val="auto"/>
          <w:spacing w:val="-6"/>
          <w:szCs w:val="21"/>
          <w:highlight w:val="none"/>
        </w:rPr>
      </w:pPr>
      <w:r>
        <w:rPr>
          <w:rFonts w:hint="eastAsia" w:ascii="仿宋" w:hAnsi="仿宋" w:eastAsia="仿宋" w:cs="仿宋"/>
          <w:b/>
          <w:bCs/>
          <w:color w:val="auto"/>
          <w:sz w:val="24"/>
          <w:szCs w:val="24"/>
          <w:highlight w:val="none"/>
          <w:lang w:eastAsia="zh-CN"/>
        </w:rPr>
        <w:t>货物配置清单、产品或原材料选用品牌一览表</w:t>
      </w:r>
    </w:p>
    <w:tbl>
      <w:tblPr>
        <w:tblStyle w:val="36"/>
        <w:tblW w:w="96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21"/>
        <w:gridCol w:w="1874"/>
        <w:gridCol w:w="1029"/>
        <w:gridCol w:w="2143"/>
        <w:gridCol w:w="770"/>
        <w:gridCol w:w="1029"/>
        <w:gridCol w:w="206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名称</w:t>
            </w: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品牌</w:t>
            </w: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规格型号</w:t>
            </w: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产地</w:t>
            </w: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数量</w:t>
            </w: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配置（可另附页）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2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87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14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770"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102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sz w:val="21"/>
                <w:szCs w:val="21"/>
                <w:highlight w:val="none"/>
              </w:rPr>
            </w:pPr>
          </w:p>
        </w:tc>
        <w:tc>
          <w:tcPr>
            <w:tcW w:w="206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color w:val="auto"/>
          <w:spacing w:val="-6"/>
          <w:szCs w:val="21"/>
          <w:highlight w:val="none"/>
        </w:rPr>
      </w:pPr>
    </w:p>
    <w:tbl>
      <w:tblPr>
        <w:tblStyle w:val="36"/>
        <w:tblW w:w="9628" w:type="dxa"/>
        <w:jc w:val="center"/>
        <w:tblInd w:w="0" w:type="dxa"/>
        <w:tblLayout w:type="fixed"/>
        <w:tblCellMar>
          <w:top w:w="0" w:type="dxa"/>
          <w:left w:w="108" w:type="dxa"/>
          <w:bottom w:w="0" w:type="dxa"/>
          <w:right w:w="108" w:type="dxa"/>
        </w:tblCellMar>
      </w:tblPr>
      <w:tblGrid>
        <w:gridCol w:w="714"/>
        <w:gridCol w:w="4009"/>
        <w:gridCol w:w="4905"/>
      </w:tblGrid>
      <w:tr>
        <w:tblPrEx>
          <w:tblLayout w:type="fixed"/>
          <w:tblCellMar>
            <w:top w:w="0" w:type="dxa"/>
            <w:left w:w="108" w:type="dxa"/>
            <w:bottom w:w="0" w:type="dxa"/>
            <w:right w:w="108" w:type="dxa"/>
          </w:tblCellMar>
        </w:tblPrEx>
        <w:trPr>
          <w:trHeight w:val="340" w:hRule="atLeast"/>
          <w:jc w:val="center"/>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b/>
                <w:bCs/>
                <w:color w:val="auto"/>
                <w:sz w:val="21"/>
                <w:szCs w:val="21"/>
                <w:highlight w:val="none"/>
              </w:rPr>
            </w:pPr>
            <w:r>
              <w:rPr>
                <w:rFonts w:hint="eastAsia" w:ascii="仿宋" w:hAnsi="仿宋" w:eastAsia="仿宋" w:cs="仿宋"/>
                <w:b/>
                <w:bCs/>
                <w:color w:val="auto"/>
                <w:kern w:val="0"/>
                <w:sz w:val="21"/>
                <w:szCs w:val="21"/>
                <w:highlight w:val="none"/>
                <w:lang w:bidi="ar"/>
              </w:rPr>
              <w:t>序号</w:t>
            </w:r>
          </w:p>
        </w:tc>
        <w:tc>
          <w:tcPr>
            <w:tcW w:w="40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b/>
                <w:bCs/>
                <w:color w:val="auto"/>
                <w:sz w:val="21"/>
                <w:szCs w:val="21"/>
                <w:highlight w:val="none"/>
              </w:rPr>
            </w:pPr>
            <w:r>
              <w:rPr>
                <w:rFonts w:hint="eastAsia" w:ascii="仿宋" w:hAnsi="仿宋" w:eastAsia="仿宋" w:cs="仿宋"/>
                <w:b/>
                <w:bCs/>
                <w:color w:val="auto"/>
                <w:kern w:val="0"/>
                <w:sz w:val="21"/>
                <w:szCs w:val="21"/>
                <w:highlight w:val="none"/>
                <w:lang w:val="en-US" w:eastAsia="zh-CN" w:bidi="ar"/>
              </w:rPr>
              <w:t>产品或原材料</w:t>
            </w:r>
            <w:r>
              <w:rPr>
                <w:rFonts w:hint="eastAsia" w:ascii="仿宋" w:hAnsi="仿宋" w:eastAsia="仿宋" w:cs="仿宋"/>
                <w:b/>
                <w:bCs/>
                <w:color w:val="auto"/>
                <w:kern w:val="0"/>
                <w:sz w:val="21"/>
                <w:szCs w:val="21"/>
                <w:highlight w:val="none"/>
                <w:lang w:bidi="ar"/>
              </w:rPr>
              <w:t>名称</w:t>
            </w:r>
          </w:p>
        </w:tc>
        <w:tc>
          <w:tcPr>
            <w:tcW w:w="49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b/>
                <w:bCs/>
                <w:color w:val="auto"/>
                <w:sz w:val="21"/>
                <w:szCs w:val="21"/>
                <w:highlight w:val="none"/>
              </w:rPr>
            </w:pPr>
            <w:r>
              <w:rPr>
                <w:rFonts w:hint="eastAsia" w:ascii="仿宋" w:hAnsi="仿宋" w:eastAsia="仿宋" w:cs="仿宋"/>
                <w:b/>
                <w:bCs/>
                <w:color w:val="auto"/>
                <w:kern w:val="0"/>
                <w:sz w:val="21"/>
                <w:szCs w:val="21"/>
                <w:highlight w:val="none"/>
                <w:lang w:val="en-US" w:eastAsia="zh-CN" w:bidi="ar"/>
              </w:rPr>
              <w:t>选用</w:t>
            </w:r>
            <w:r>
              <w:rPr>
                <w:rFonts w:hint="eastAsia" w:ascii="仿宋" w:hAnsi="仿宋" w:eastAsia="仿宋" w:cs="仿宋"/>
                <w:b/>
                <w:bCs/>
                <w:color w:val="auto"/>
                <w:kern w:val="0"/>
                <w:sz w:val="21"/>
                <w:szCs w:val="21"/>
                <w:highlight w:val="none"/>
                <w:lang w:bidi="ar"/>
              </w:rPr>
              <w:t>品牌</w:t>
            </w:r>
          </w:p>
        </w:tc>
      </w:tr>
      <w:tr>
        <w:tblPrEx>
          <w:tblLayout w:type="fixed"/>
          <w:tblCellMar>
            <w:top w:w="0" w:type="dxa"/>
            <w:left w:w="108" w:type="dxa"/>
            <w:bottom w:w="0" w:type="dxa"/>
            <w:right w:w="108" w:type="dxa"/>
          </w:tblCellMar>
        </w:tblPrEx>
        <w:trPr>
          <w:trHeight w:val="340" w:hRule="atLeast"/>
          <w:jc w:val="center"/>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1</w:t>
            </w:r>
          </w:p>
        </w:tc>
        <w:tc>
          <w:tcPr>
            <w:tcW w:w="40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VAV文丘里阀控制系统</w:t>
            </w:r>
          </w:p>
        </w:tc>
        <w:tc>
          <w:tcPr>
            <w:tcW w:w="49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default" w:ascii="仿宋" w:hAnsi="仿宋" w:eastAsia="仿宋" w:cs="仿宋"/>
                <w:color w:val="auto"/>
                <w:sz w:val="21"/>
                <w:szCs w:val="21"/>
                <w:highlight w:val="none"/>
                <w:lang w:val="en-US" w:eastAsia="zh-CN"/>
              </w:rPr>
            </w:pPr>
          </w:p>
        </w:tc>
      </w:tr>
      <w:tr>
        <w:tblPrEx>
          <w:tblLayout w:type="fixed"/>
          <w:tblCellMar>
            <w:top w:w="0" w:type="dxa"/>
            <w:left w:w="108" w:type="dxa"/>
            <w:bottom w:w="0" w:type="dxa"/>
            <w:right w:w="108" w:type="dxa"/>
          </w:tblCellMar>
        </w:tblPrEx>
        <w:trPr>
          <w:trHeight w:val="340" w:hRule="atLeast"/>
          <w:jc w:val="center"/>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2</w:t>
            </w:r>
          </w:p>
        </w:tc>
        <w:tc>
          <w:tcPr>
            <w:tcW w:w="40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陶瓷台面</w:t>
            </w:r>
            <w:r>
              <w:rPr>
                <w:rFonts w:hint="eastAsia" w:ascii="仿宋" w:hAnsi="仿宋" w:eastAsia="仿宋" w:cs="仿宋"/>
                <w:color w:val="auto"/>
                <w:kern w:val="0"/>
                <w:sz w:val="21"/>
                <w:szCs w:val="21"/>
                <w:highlight w:val="none"/>
                <w:lang w:eastAsia="zh-CN" w:bidi="ar"/>
              </w:rPr>
              <w:t>、</w:t>
            </w:r>
            <w:r>
              <w:rPr>
                <w:rFonts w:hint="eastAsia" w:ascii="仿宋" w:hAnsi="仿宋" w:eastAsia="仿宋" w:cs="仿宋"/>
                <w:color w:val="auto"/>
                <w:kern w:val="0"/>
                <w:sz w:val="21"/>
                <w:szCs w:val="21"/>
                <w:highlight w:val="none"/>
                <w:lang w:val="en-US" w:eastAsia="zh-CN" w:bidi="ar"/>
              </w:rPr>
              <w:t>水槽</w:t>
            </w:r>
          </w:p>
        </w:tc>
        <w:tc>
          <w:tcPr>
            <w:tcW w:w="49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p>
        </w:tc>
      </w:tr>
      <w:tr>
        <w:tblPrEx>
          <w:tblLayout w:type="fixed"/>
          <w:tblCellMar>
            <w:top w:w="0" w:type="dxa"/>
            <w:left w:w="108" w:type="dxa"/>
            <w:bottom w:w="0" w:type="dxa"/>
            <w:right w:w="108" w:type="dxa"/>
          </w:tblCellMar>
        </w:tblPrEx>
        <w:trPr>
          <w:trHeight w:val="340" w:hRule="atLeast"/>
          <w:jc w:val="center"/>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3</w:t>
            </w:r>
          </w:p>
        </w:tc>
        <w:tc>
          <w:tcPr>
            <w:tcW w:w="40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三口水龙头</w:t>
            </w:r>
            <w:r>
              <w:rPr>
                <w:rFonts w:hint="eastAsia" w:ascii="仿宋" w:hAnsi="仿宋" w:eastAsia="仿宋" w:cs="仿宋"/>
                <w:color w:val="auto"/>
                <w:kern w:val="0"/>
                <w:sz w:val="21"/>
                <w:szCs w:val="21"/>
                <w:highlight w:val="none"/>
                <w:lang w:eastAsia="zh-CN" w:bidi="ar"/>
              </w:rPr>
              <w:t>、</w:t>
            </w:r>
            <w:r>
              <w:rPr>
                <w:rFonts w:hint="eastAsia" w:ascii="仿宋" w:hAnsi="仿宋" w:eastAsia="仿宋" w:cs="仿宋"/>
                <w:color w:val="auto"/>
                <w:kern w:val="0"/>
                <w:sz w:val="21"/>
                <w:szCs w:val="21"/>
                <w:highlight w:val="none"/>
                <w:lang w:bidi="ar"/>
              </w:rPr>
              <w:t>洗眼器</w:t>
            </w:r>
          </w:p>
        </w:tc>
        <w:tc>
          <w:tcPr>
            <w:tcW w:w="49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p>
        </w:tc>
      </w:tr>
      <w:tr>
        <w:tblPrEx>
          <w:tblLayout w:type="fixed"/>
          <w:tblCellMar>
            <w:top w:w="0" w:type="dxa"/>
            <w:left w:w="108" w:type="dxa"/>
            <w:bottom w:w="0" w:type="dxa"/>
            <w:right w:w="108" w:type="dxa"/>
          </w:tblCellMar>
        </w:tblPrEx>
        <w:trPr>
          <w:trHeight w:val="340" w:hRule="atLeast"/>
          <w:jc w:val="center"/>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4</w:t>
            </w:r>
          </w:p>
        </w:tc>
        <w:tc>
          <w:tcPr>
            <w:tcW w:w="40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滴水架</w:t>
            </w:r>
          </w:p>
        </w:tc>
        <w:tc>
          <w:tcPr>
            <w:tcW w:w="49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p>
        </w:tc>
      </w:tr>
      <w:tr>
        <w:tblPrEx>
          <w:tblLayout w:type="fixed"/>
          <w:tblCellMar>
            <w:top w:w="0" w:type="dxa"/>
            <w:left w:w="108" w:type="dxa"/>
            <w:bottom w:w="0" w:type="dxa"/>
            <w:right w:w="108" w:type="dxa"/>
          </w:tblCellMar>
        </w:tblPrEx>
        <w:trPr>
          <w:trHeight w:val="340" w:hRule="atLeast"/>
          <w:jc w:val="center"/>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5</w:t>
            </w:r>
          </w:p>
        </w:tc>
        <w:tc>
          <w:tcPr>
            <w:tcW w:w="40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滑轨</w:t>
            </w:r>
          </w:p>
        </w:tc>
        <w:tc>
          <w:tcPr>
            <w:tcW w:w="49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p>
        </w:tc>
      </w:tr>
      <w:tr>
        <w:tblPrEx>
          <w:tblLayout w:type="fixed"/>
          <w:tblCellMar>
            <w:top w:w="0" w:type="dxa"/>
            <w:left w:w="108" w:type="dxa"/>
            <w:bottom w:w="0" w:type="dxa"/>
            <w:right w:w="108" w:type="dxa"/>
          </w:tblCellMar>
        </w:tblPrEx>
        <w:trPr>
          <w:trHeight w:val="340" w:hRule="atLeast"/>
          <w:jc w:val="center"/>
        </w:trPr>
        <w:tc>
          <w:tcPr>
            <w:tcW w:w="7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6</w:t>
            </w:r>
          </w:p>
        </w:tc>
        <w:tc>
          <w:tcPr>
            <w:tcW w:w="40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auto"/>
                <w:sz w:val="21"/>
                <w:szCs w:val="21"/>
                <w:highlight w:val="none"/>
              </w:rPr>
            </w:pPr>
            <w:r>
              <w:rPr>
                <w:rFonts w:hint="eastAsia" w:ascii="仿宋" w:hAnsi="仿宋" w:eastAsia="仿宋" w:cs="仿宋"/>
                <w:color w:val="auto"/>
                <w:kern w:val="0"/>
                <w:sz w:val="21"/>
                <w:szCs w:val="21"/>
                <w:highlight w:val="none"/>
                <w:lang w:bidi="ar"/>
              </w:rPr>
              <w:t>钢板</w:t>
            </w:r>
          </w:p>
        </w:tc>
        <w:tc>
          <w:tcPr>
            <w:tcW w:w="49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left="0" w:leftChars="0" w:right="0" w:rightChars="0" w:firstLine="0" w:firstLineChars="0"/>
              <w:jc w:val="center"/>
              <w:textAlignment w:val="center"/>
              <w:rPr>
                <w:rFonts w:hint="eastAsia" w:ascii="仿宋" w:hAnsi="仿宋" w:eastAsia="仿宋" w:cs="仿宋"/>
                <w:color w:val="auto"/>
                <w:sz w:val="21"/>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Cs w:val="21"/>
          <w:highlight w:val="none"/>
        </w:rPr>
      </w:pP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投标人名称（公章）：</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投标人代表（签字）：</w:t>
      </w:r>
    </w:p>
    <w:p>
      <w:pPr>
        <w:pStyle w:val="111"/>
        <w:spacing w:line="360" w:lineRule="auto"/>
        <w:ind w:left="0"/>
        <w:rPr>
          <w:rFonts w:hint="eastAsia" w:ascii="仿宋" w:hAnsi="仿宋" w:eastAsia="仿宋" w:cs="仿宋"/>
          <w:color w:val="auto"/>
          <w:spacing w:val="-6"/>
          <w:sz w:val="24"/>
          <w:highlight w:val="none"/>
        </w:rPr>
      </w:pPr>
      <w:r>
        <w:rPr>
          <w:rFonts w:hint="eastAsia" w:ascii="仿宋" w:hAnsi="仿宋" w:eastAsia="仿宋" w:cs="仿宋"/>
          <w:b/>
          <w:bCs/>
          <w:color w:val="auto"/>
          <w:spacing w:val="-6"/>
          <w:sz w:val="21"/>
          <w:szCs w:val="21"/>
          <w:highlight w:val="none"/>
        </w:rPr>
        <w:t>日期：     年   月   日</w:t>
      </w:r>
    </w:p>
    <w:p>
      <w:pPr>
        <w:rPr>
          <w:rFonts w:hint="eastAsia"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br w:type="page"/>
      </w:r>
    </w:p>
    <w:p>
      <w:pPr>
        <w:spacing w:line="360" w:lineRule="auto"/>
        <w:jc w:val="center"/>
        <w:outlineLvl w:val="2"/>
        <w:rPr>
          <w:rFonts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t>合同履约</w:t>
      </w:r>
    </w:p>
    <w:p>
      <w:pPr>
        <w:spacing w:line="360" w:lineRule="auto"/>
        <w:rPr>
          <w:rFonts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t>根据评分细则提供和编写（格式自拟），包括但不仅限于：</w:t>
      </w:r>
    </w:p>
    <w:p>
      <w:pPr>
        <w:spacing w:line="360" w:lineRule="auto"/>
        <w:rPr>
          <w:rFonts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lang w:val="en-US" w:eastAsia="zh-CN"/>
        </w:rPr>
        <w:t>1.</w:t>
      </w:r>
      <w:r>
        <w:rPr>
          <w:rFonts w:hint="eastAsia" w:ascii="仿宋" w:hAnsi="仿宋" w:eastAsia="仿宋" w:cs="仿宋"/>
          <w:b/>
          <w:color w:val="auto"/>
          <w:spacing w:val="-6"/>
          <w:sz w:val="18"/>
          <w:szCs w:val="18"/>
          <w:highlight w:val="none"/>
        </w:rPr>
        <w:t>核心专业生产设备一览表</w:t>
      </w:r>
    </w:p>
    <w:tbl>
      <w:tblPr>
        <w:tblStyle w:val="36"/>
        <w:tblW w:w="96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1500"/>
        <w:gridCol w:w="886"/>
        <w:gridCol w:w="873"/>
        <w:gridCol w:w="723"/>
        <w:gridCol w:w="2090"/>
        <w:gridCol w:w="1401"/>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89"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序号</w:t>
            </w:r>
          </w:p>
        </w:tc>
        <w:tc>
          <w:tcPr>
            <w:tcW w:w="1500"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设备名称</w:t>
            </w:r>
          </w:p>
        </w:tc>
        <w:tc>
          <w:tcPr>
            <w:tcW w:w="886"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用途</w:t>
            </w:r>
          </w:p>
        </w:tc>
        <w:tc>
          <w:tcPr>
            <w:tcW w:w="873"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规格</w:t>
            </w:r>
          </w:p>
        </w:tc>
        <w:tc>
          <w:tcPr>
            <w:tcW w:w="723"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数量</w:t>
            </w:r>
          </w:p>
        </w:tc>
        <w:tc>
          <w:tcPr>
            <w:tcW w:w="2090"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品牌、型号</w:t>
            </w:r>
          </w:p>
        </w:tc>
        <w:tc>
          <w:tcPr>
            <w:tcW w:w="1401"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产地</w:t>
            </w:r>
          </w:p>
        </w:tc>
        <w:tc>
          <w:tcPr>
            <w:tcW w:w="1466" w:type="dxa"/>
            <w:vAlign w:val="center"/>
          </w:tcPr>
          <w:p>
            <w:pPr>
              <w:jc w:val="center"/>
              <w:rPr>
                <w:rFonts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89" w:type="dxa"/>
            <w:vAlign w:val="center"/>
          </w:tcPr>
          <w:p>
            <w:pPr>
              <w:jc w:val="center"/>
              <w:rPr>
                <w:rFonts w:ascii="仿宋" w:hAnsi="仿宋" w:eastAsia="仿宋" w:cs="仿宋"/>
                <w:b/>
                <w:bCs/>
                <w:color w:val="auto"/>
                <w:sz w:val="18"/>
                <w:szCs w:val="18"/>
                <w:highlight w:val="none"/>
              </w:rPr>
            </w:pPr>
          </w:p>
        </w:tc>
        <w:tc>
          <w:tcPr>
            <w:tcW w:w="1500" w:type="dxa"/>
            <w:vAlign w:val="center"/>
          </w:tcPr>
          <w:p>
            <w:pPr>
              <w:jc w:val="center"/>
              <w:rPr>
                <w:rFonts w:ascii="仿宋" w:hAnsi="仿宋" w:eastAsia="仿宋" w:cs="仿宋"/>
                <w:b/>
                <w:bCs/>
                <w:color w:val="auto"/>
                <w:sz w:val="18"/>
                <w:szCs w:val="18"/>
                <w:highlight w:val="none"/>
              </w:rPr>
            </w:pPr>
          </w:p>
        </w:tc>
        <w:tc>
          <w:tcPr>
            <w:tcW w:w="886" w:type="dxa"/>
            <w:vAlign w:val="center"/>
          </w:tcPr>
          <w:p>
            <w:pPr>
              <w:jc w:val="center"/>
              <w:rPr>
                <w:rFonts w:ascii="仿宋" w:hAnsi="仿宋" w:eastAsia="仿宋" w:cs="仿宋"/>
                <w:b/>
                <w:bCs/>
                <w:color w:val="auto"/>
                <w:sz w:val="18"/>
                <w:szCs w:val="18"/>
                <w:highlight w:val="none"/>
              </w:rPr>
            </w:pPr>
          </w:p>
        </w:tc>
        <w:tc>
          <w:tcPr>
            <w:tcW w:w="873" w:type="dxa"/>
            <w:vAlign w:val="center"/>
          </w:tcPr>
          <w:p>
            <w:pPr>
              <w:jc w:val="center"/>
              <w:rPr>
                <w:rFonts w:ascii="仿宋" w:hAnsi="仿宋" w:eastAsia="仿宋" w:cs="仿宋"/>
                <w:b/>
                <w:bCs/>
                <w:color w:val="auto"/>
                <w:sz w:val="18"/>
                <w:szCs w:val="18"/>
                <w:highlight w:val="none"/>
              </w:rPr>
            </w:pPr>
          </w:p>
        </w:tc>
        <w:tc>
          <w:tcPr>
            <w:tcW w:w="723" w:type="dxa"/>
            <w:vAlign w:val="center"/>
          </w:tcPr>
          <w:p>
            <w:pPr>
              <w:jc w:val="center"/>
              <w:rPr>
                <w:rFonts w:ascii="仿宋" w:hAnsi="仿宋" w:eastAsia="仿宋" w:cs="仿宋"/>
                <w:b/>
                <w:bCs/>
                <w:color w:val="auto"/>
                <w:sz w:val="18"/>
                <w:szCs w:val="18"/>
                <w:highlight w:val="none"/>
              </w:rPr>
            </w:pPr>
          </w:p>
        </w:tc>
        <w:tc>
          <w:tcPr>
            <w:tcW w:w="2090" w:type="dxa"/>
            <w:vAlign w:val="center"/>
          </w:tcPr>
          <w:p>
            <w:pPr>
              <w:jc w:val="center"/>
              <w:rPr>
                <w:rFonts w:ascii="仿宋" w:hAnsi="仿宋" w:eastAsia="仿宋" w:cs="仿宋"/>
                <w:b/>
                <w:bCs/>
                <w:color w:val="auto"/>
                <w:sz w:val="18"/>
                <w:szCs w:val="18"/>
                <w:highlight w:val="none"/>
              </w:rPr>
            </w:pPr>
          </w:p>
        </w:tc>
        <w:tc>
          <w:tcPr>
            <w:tcW w:w="1401" w:type="dxa"/>
            <w:vAlign w:val="center"/>
          </w:tcPr>
          <w:p>
            <w:pPr>
              <w:jc w:val="center"/>
              <w:rPr>
                <w:rFonts w:ascii="仿宋" w:hAnsi="仿宋" w:eastAsia="仿宋" w:cs="仿宋"/>
                <w:b/>
                <w:bCs/>
                <w:color w:val="auto"/>
                <w:sz w:val="18"/>
                <w:szCs w:val="18"/>
                <w:highlight w:val="none"/>
              </w:rPr>
            </w:pPr>
          </w:p>
        </w:tc>
        <w:tc>
          <w:tcPr>
            <w:tcW w:w="1466" w:type="dxa"/>
            <w:vAlign w:val="center"/>
          </w:tcPr>
          <w:p>
            <w:pPr>
              <w:jc w:val="center"/>
              <w:rPr>
                <w:rFonts w:ascii="仿宋" w:hAnsi="仿宋" w:eastAsia="仿宋" w:cs="仿宋"/>
                <w:b/>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89" w:type="dxa"/>
            <w:vAlign w:val="center"/>
          </w:tcPr>
          <w:p>
            <w:pPr>
              <w:jc w:val="center"/>
              <w:rPr>
                <w:rFonts w:ascii="仿宋" w:hAnsi="仿宋" w:eastAsia="仿宋" w:cs="仿宋"/>
                <w:b/>
                <w:bCs/>
                <w:color w:val="auto"/>
                <w:sz w:val="18"/>
                <w:szCs w:val="18"/>
                <w:highlight w:val="none"/>
              </w:rPr>
            </w:pPr>
          </w:p>
        </w:tc>
        <w:tc>
          <w:tcPr>
            <w:tcW w:w="1500" w:type="dxa"/>
            <w:vAlign w:val="center"/>
          </w:tcPr>
          <w:p>
            <w:pPr>
              <w:jc w:val="center"/>
              <w:rPr>
                <w:rFonts w:ascii="仿宋" w:hAnsi="仿宋" w:eastAsia="仿宋" w:cs="仿宋"/>
                <w:b/>
                <w:bCs/>
                <w:color w:val="auto"/>
                <w:sz w:val="18"/>
                <w:szCs w:val="18"/>
                <w:highlight w:val="none"/>
              </w:rPr>
            </w:pPr>
          </w:p>
        </w:tc>
        <w:tc>
          <w:tcPr>
            <w:tcW w:w="886" w:type="dxa"/>
            <w:vAlign w:val="center"/>
          </w:tcPr>
          <w:p>
            <w:pPr>
              <w:jc w:val="center"/>
              <w:rPr>
                <w:rFonts w:ascii="仿宋" w:hAnsi="仿宋" w:eastAsia="仿宋" w:cs="仿宋"/>
                <w:b/>
                <w:bCs/>
                <w:color w:val="auto"/>
                <w:sz w:val="18"/>
                <w:szCs w:val="18"/>
                <w:highlight w:val="none"/>
              </w:rPr>
            </w:pPr>
          </w:p>
        </w:tc>
        <w:tc>
          <w:tcPr>
            <w:tcW w:w="873" w:type="dxa"/>
            <w:vAlign w:val="center"/>
          </w:tcPr>
          <w:p>
            <w:pPr>
              <w:jc w:val="center"/>
              <w:rPr>
                <w:rFonts w:ascii="仿宋" w:hAnsi="仿宋" w:eastAsia="仿宋" w:cs="仿宋"/>
                <w:b/>
                <w:bCs/>
                <w:color w:val="auto"/>
                <w:sz w:val="18"/>
                <w:szCs w:val="18"/>
                <w:highlight w:val="none"/>
              </w:rPr>
            </w:pPr>
          </w:p>
        </w:tc>
        <w:tc>
          <w:tcPr>
            <w:tcW w:w="723" w:type="dxa"/>
            <w:vAlign w:val="center"/>
          </w:tcPr>
          <w:p>
            <w:pPr>
              <w:jc w:val="center"/>
              <w:rPr>
                <w:rFonts w:ascii="仿宋" w:hAnsi="仿宋" w:eastAsia="仿宋" w:cs="仿宋"/>
                <w:b/>
                <w:bCs/>
                <w:color w:val="auto"/>
                <w:sz w:val="18"/>
                <w:szCs w:val="18"/>
                <w:highlight w:val="none"/>
              </w:rPr>
            </w:pPr>
          </w:p>
        </w:tc>
        <w:tc>
          <w:tcPr>
            <w:tcW w:w="2090" w:type="dxa"/>
            <w:vAlign w:val="center"/>
          </w:tcPr>
          <w:p>
            <w:pPr>
              <w:jc w:val="center"/>
              <w:rPr>
                <w:rFonts w:ascii="仿宋" w:hAnsi="仿宋" w:eastAsia="仿宋" w:cs="仿宋"/>
                <w:b/>
                <w:bCs/>
                <w:color w:val="auto"/>
                <w:sz w:val="18"/>
                <w:szCs w:val="18"/>
                <w:highlight w:val="none"/>
              </w:rPr>
            </w:pPr>
          </w:p>
        </w:tc>
        <w:tc>
          <w:tcPr>
            <w:tcW w:w="1401" w:type="dxa"/>
            <w:vAlign w:val="center"/>
          </w:tcPr>
          <w:p>
            <w:pPr>
              <w:jc w:val="center"/>
              <w:rPr>
                <w:rFonts w:ascii="仿宋" w:hAnsi="仿宋" w:eastAsia="仿宋" w:cs="仿宋"/>
                <w:b/>
                <w:bCs/>
                <w:color w:val="auto"/>
                <w:sz w:val="18"/>
                <w:szCs w:val="18"/>
                <w:highlight w:val="none"/>
              </w:rPr>
            </w:pPr>
          </w:p>
        </w:tc>
        <w:tc>
          <w:tcPr>
            <w:tcW w:w="1466" w:type="dxa"/>
            <w:vAlign w:val="center"/>
          </w:tcPr>
          <w:p>
            <w:pPr>
              <w:jc w:val="center"/>
              <w:rPr>
                <w:rFonts w:ascii="仿宋" w:hAnsi="仿宋" w:eastAsia="仿宋" w:cs="仿宋"/>
                <w:b/>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89" w:type="dxa"/>
            <w:vAlign w:val="center"/>
          </w:tcPr>
          <w:p>
            <w:pPr>
              <w:jc w:val="center"/>
              <w:rPr>
                <w:rFonts w:ascii="仿宋" w:hAnsi="仿宋" w:eastAsia="仿宋" w:cs="仿宋"/>
                <w:b/>
                <w:bCs/>
                <w:color w:val="auto"/>
                <w:sz w:val="18"/>
                <w:szCs w:val="18"/>
                <w:highlight w:val="none"/>
              </w:rPr>
            </w:pPr>
          </w:p>
        </w:tc>
        <w:tc>
          <w:tcPr>
            <w:tcW w:w="1500" w:type="dxa"/>
            <w:vAlign w:val="center"/>
          </w:tcPr>
          <w:p>
            <w:pPr>
              <w:jc w:val="center"/>
              <w:rPr>
                <w:rFonts w:ascii="仿宋" w:hAnsi="仿宋" w:eastAsia="仿宋" w:cs="仿宋"/>
                <w:b/>
                <w:bCs/>
                <w:color w:val="auto"/>
                <w:sz w:val="18"/>
                <w:szCs w:val="18"/>
                <w:highlight w:val="none"/>
              </w:rPr>
            </w:pPr>
          </w:p>
        </w:tc>
        <w:tc>
          <w:tcPr>
            <w:tcW w:w="886" w:type="dxa"/>
            <w:vAlign w:val="center"/>
          </w:tcPr>
          <w:p>
            <w:pPr>
              <w:jc w:val="center"/>
              <w:rPr>
                <w:rFonts w:ascii="仿宋" w:hAnsi="仿宋" w:eastAsia="仿宋" w:cs="仿宋"/>
                <w:b/>
                <w:bCs/>
                <w:color w:val="auto"/>
                <w:sz w:val="18"/>
                <w:szCs w:val="18"/>
                <w:highlight w:val="none"/>
              </w:rPr>
            </w:pPr>
          </w:p>
        </w:tc>
        <w:tc>
          <w:tcPr>
            <w:tcW w:w="873" w:type="dxa"/>
            <w:vAlign w:val="center"/>
          </w:tcPr>
          <w:p>
            <w:pPr>
              <w:jc w:val="center"/>
              <w:rPr>
                <w:rFonts w:ascii="仿宋" w:hAnsi="仿宋" w:eastAsia="仿宋" w:cs="仿宋"/>
                <w:b/>
                <w:bCs/>
                <w:color w:val="auto"/>
                <w:sz w:val="18"/>
                <w:szCs w:val="18"/>
                <w:highlight w:val="none"/>
              </w:rPr>
            </w:pPr>
          </w:p>
        </w:tc>
        <w:tc>
          <w:tcPr>
            <w:tcW w:w="723" w:type="dxa"/>
            <w:vAlign w:val="center"/>
          </w:tcPr>
          <w:p>
            <w:pPr>
              <w:jc w:val="center"/>
              <w:rPr>
                <w:rFonts w:ascii="仿宋" w:hAnsi="仿宋" w:eastAsia="仿宋" w:cs="仿宋"/>
                <w:b/>
                <w:bCs/>
                <w:color w:val="auto"/>
                <w:sz w:val="18"/>
                <w:szCs w:val="18"/>
                <w:highlight w:val="none"/>
              </w:rPr>
            </w:pPr>
          </w:p>
        </w:tc>
        <w:tc>
          <w:tcPr>
            <w:tcW w:w="2090" w:type="dxa"/>
            <w:vAlign w:val="center"/>
          </w:tcPr>
          <w:p>
            <w:pPr>
              <w:jc w:val="center"/>
              <w:rPr>
                <w:rFonts w:ascii="仿宋" w:hAnsi="仿宋" w:eastAsia="仿宋" w:cs="仿宋"/>
                <w:b/>
                <w:bCs/>
                <w:color w:val="auto"/>
                <w:sz w:val="18"/>
                <w:szCs w:val="18"/>
                <w:highlight w:val="none"/>
              </w:rPr>
            </w:pPr>
          </w:p>
        </w:tc>
        <w:tc>
          <w:tcPr>
            <w:tcW w:w="1401" w:type="dxa"/>
            <w:vAlign w:val="center"/>
          </w:tcPr>
          <w:p>
            <w:pPr>
              <w:jc w:val="center"/>
              <w:rPr>
                <w:rFonts w:ascii="仿宋" w:hAnsi="仿宋" w:eastAsia="仿宋" w:cs="仿宋"/>
                <w:b/>
                <w:bCs/>
                <w:color w:val="auto"/>
                <w:sz w:val="18"/>
                <w:szCs w:val="18"/>
                <w:highlight w:val="none"/>
              </w:rPr>
            </w:pPr>
          </w:p>
        </w:tc>
        <w:tc>
          <w:tcPr>
            <w:tcW w:w="1466" w:type="dxa"/>
            <w:vAlign w:val="center"/>
          </w:tcPr>
          <w:p>
            <w:pPr>
              <w:jc w:val="center"/>
              <w:rPr>
                <w:rFonts w:ascii="仿宋" w:hAnsi="仿宋" w:eastAsia="仿宋" w:cs="仿宋"/>
                <w:b/>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89" w:type="dxa"/>
            <w:vAlign w:val="center"/>
          </w:tcPr>
          <w:p>
            <w:pPr>
              <w:jc w:val="center"/>
              <w:rPr>
                <w:rFonts w:ascii="仿宋" w:hAnsi="仿宋" w:eastAsia="仿宋" w:cs="仿宋"/>
                <w:b/>
                <w:bCs/>
                <w:color w:val="auto"/>
                <w:sz w:val="18"/>
                <w:szCs w:val="18"/>
                <w:highlight w:val="none"/>
              </w:rPr>
            </w:pPr>
          </w:p>
        </w:tc>
        <w:tc>
          <w:tcPr>
            <w:tcW w:w="1500" w:type="dxa"/>
            <w:vAlign w:val="center"/>
          </w:tcPr>
          <w:p>
            <w:pPr>
              <w:jc w:val="center"/>
              <w:rPr>
                <w:rFonts w:ascii="仿宋" w:hAnsi="仿宋" w:eastAsia="仿宋" w:cs="仿宋"/>
                <w:b/>
                <w:bCs/>
                <w:color w:val="auto"/>
                <w:sz w:val="18"/>
                <w:szCs w:val="18"/>
                <w:highlight w:val="none"/>
              </w:rPr>
            </w:pPr>
          </w:p>
        </w:tc>
        <w:tc>
          <w:tcPr>
            <w:tcW w:w="886" w:type="dxa"/>
            <w:vAlign w:val="center"/>
          </w:tcPr>
          <w:p>
            <w:pPr>
              <w:jc w:val="center"/>
              <w:rPr>
                <w:rFonts w:ascii="仿宋" w:hAnsi="仿宋" w:eastAsia="仿宋" w:cs="仿宋"/>
                <w:b/>
                <w:bCs/>
                <w:color w:val="auto"/>
                <w:sz w:val="18"/>
                <w:szCs w:val="18"/>
                <w:highlight w:val="none"/>
              </w:rPr>
            </w:pPr>
          </w:p>
        </w:tc>
        <w:tc>
          <w:tcPr>
            <w:tcW w:w="873" w:type="dxa"/>
            <w:vAlign w:val="center"/>
          </w:tcPr>
          <w:p>
            <w:pPr>
              <w:jc w:val="center"/>
              <w:rPr>
                <w:rFonts w:ascii="仿宋" w:hAnsi="仿宋" w:eastAsia="仿宋" w:cs="仿宋"/>
                <w:b/>
                <w:bCs/>
                <w:color w:val="auto"/>
                <w:sz w:val="18"/>
                <w:szCs w:val="18"/>
                <w:highlight w:val="none"/>
              </w:rPr>
            </w:pPr>
          </w:p>
        </w:tc>
        <w:tc>
          <w:tcPr>
            <w:tcW w:w="723" w:type="dxa"/>
            <w:vAlign w:val="center"/>
          </w:tcPr>
          <w:p>
            <w:pPr>
              <w:jc w:val="center"/>
              <w:rPr>
                <w:rFonts w:ascii="仿宋" w:hAnsi="仿宋" w:eastAsia="仿宋" w:cs="仿宋"/>
                <w:b/>
                <w:bCs/>
                <w:color w:val="auto"/>
                <w:sz w:val="18"/>
                <w:szCs w:val="18"/>
                <w:highlight w:val="none"/>
              </w:rPr>
            </w:pPr>
          </w:p>
        </w:tc>
        <w:tc>
          <w:tcPr>
            <w:tcW w:w="2090" w:type="dxa"/>
            <w:vAlign w:val="center"/>
          </w:tcPr>
          <w:p>
            <w:pPr>
              <w:jc w:val="center"/>
              <w:rPr>
                <w:rFonts w:ascii="仿宋" w:hAnsi="仿宋" w:eastAsia="仿宋" w:cs="仿宋"/>
                <w:b/>
                <w:bCs/>
                <w:color w:val="auto"/>
                <w:sz w:val="18"/>
                <w:szCs w:val="18"/>
                <w:highlight w:val="none"/>
              </w:rPr>
            </w:pPr>
          </w:p>
        </w:tc>
        <w:tc>
          <w:tcPr>
            <w:tcW w:w="1401" w:type="dxa"/>
            <w:vAlign w:val="center"/>
          </w:tcPr>
          <w:p>
            <w:pPr>
              <w:jc w:val="center"/>
              <w:rPr>
                <w:rFonts w:ascii="仿宋" w:hAnsi="仿宋" w:eastAsia="仿宋" w:cs="仿宋"/>
                <w:b/>
                <w:bCs/>
                <w:color w:val="auto"/>
                <w:sz w:val="18"/>
                <w:szCs w:val="18"/>
                <w:highlight w:val="none"/>
              </w:rPr>
            </w:pPr>
          </w:p>
        </w:tc>
        <w:tc>
          <w:tcPr>
            <w:tcW w:w="1466" w:type="dxa"/>
            <w:vAlign w:val="center"/>
          </w:tcPr>
          <w:p>
            <w:pPr>
              <w:jc w:val="center"/>
              <w:rPr>
                <w:rFonts w:ascii="仿宋" w:hAnsi="仿宋" w:eastAsia="仿宋" w:cs="仿宋"/>
                <w:b/>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89" w:type="dxa"/>
            <w:vAlign w:val="center"/>
          </w:tcPr>
          <w:p>
            <w:pPr>
              <w:jc w:val="center"/>
              <w:rPr>
                <w:rFonts w:ascii="仿宋" w:hAnsi="仿宋" w:eastAsia="仿宋" w:cs="仿宋"/>
                <w:b/>
                <w:bCs/>
                <w:color w:val="auto"/>
                <w:sz w:val="18"/>
                <w:szCs w:val="18"/>
                <w:highlight w:val="none"/>
              </w:rPr>
            </w:pPr>
          </w:p>
        </w:tc>
        <w:tc>
          <w:tcPr>
            <w:tcW w:w="1500" w:type="dxa"/>
            <w:vAlign w:val="center"/>
          </w:tcPr>
          <w:p>
            <w:pPr>
              <w:jc w:val="center"/>
              <w:rPr>
                <w:rFonts w:ascii="仿宋" w:hAnsi="仿宋" w:eastAsia="仿宋" w:cs="仿宋"/>
                <w:b/>
                <w:bCs/>
                <w:color w:val="auto"/>
                <w:sz w:val="18"/>
                <w:szCs w:val="18"/>
                <w:highlight w:val="none"/>
              </w:rPr>
            </w:pPr>
          </w:p>
        </w:tc>
        <w:tc>
          <w:tcPr>
            <w:tcW w:w="886" w:type="dxa"/>
            <w:vAlign w:val="center"/>
          </w:tcPr>
          <w:p>
            <w:pPr>
              <w:jc w:val="center"/>
              <w:rPr>
                <w:rFonts w:ascii="仿宋" w:hAnsi="仿宋" w:eastAsia="仿宋" w:cs="仿宋"/>
                <w:b/>
                <w:bCs/>
                <w:color w:val="auto"/>
                <w:sz w:val="18"/>
                <w:szCs w:val="18"/>
                <w:highlight w:val="none"/>
              </w:rPr>
            </w:pPr>
          </w:p>
        </w:tc>
        <w:tc>
          <w:tcPr>
            <w:tcW w:w="873" w:type="dxa"/>
            <w:vAlign w:val="center"/>
          </w:tcPr>
          <w:p>
            <w:pPr>
              <w:jc w:val="center"/>
              <w:rPr>
                <w:rFonts w:ascii="仿宋" w:hAnsi="仿宋" w:eastAsia="仿宋" w:cs="仿宋"/>
                <w:b/>
                <w:bCs/>
                <w:color w:val="auto"/>
                <w:sz w:val="18"/>
                <w:szCs w:val="18"/>
                <w:highlight w:val="none"/>
              </w:rPr>
            </w:pPr>
          </w:p>
        </w:tc>
        <w:tc>
          <w:tcPr>
            <w:tcW w:w="723" w:type="dxa"/>
            <w:vAlign w:val="center"/>
          </w:tcPr>
          <w:p>
            <w:pPr>
              <w:jc w:val="center"/>
              <w:rPr>
                <w:rFonts w:ascii="仿宋" w:hAnsi="仿宋" w:eastAsia="仿宋" w:cs="仿宋"/>
                <w:b/>
                <w:bCs/>
                <w:color w:val="auto"/>
                <w:sz w:val="18"/>
                <w:szCs w:val="18"/>
                <w:highlight w:val="none"/>
              </w:rPr>
            </w:pPr>
          </w:p>
        </w:tc>
        <w:tc>
          <w:tcPr>
            <w:tcW w:w="2090" w:type="dxa"/>
            <w:vAlign w:val="center"/>
          </w:tcPr>
          <w:p>
            <w:pPr>
              <w:jc w:val="center"/>
              <w:rPr>
                <w:rFonts w:ascii="仿宋" w:hAnsi="仿宋" w:eastAsia="仿宋" w:cs="仿宋"/>
                <w:b/>
                <w:bCs/>
                <w:color w:val="auto"/>
                <w:sz w:val="18"/>
                <w:szCs w:val="18"/>
                <w:highlight w:val="none"/>
              </w:rPr>
            </w:pPr>
          </w:p>
        </w:tc>
        <w:tc>
          <w:tcPr>
            <w:tcW w:w="1401" w:type="dxa"/>
            <w:vAlign w:val="center"/>
          </w:tcPr>
          <w:p>
            <w:pPr>
              <w:jc w:val="center"/>
              <w:rPr>
                <w:rFonts w:ascii="仿宋" w:hAnsi="仿宋" w:eastAsia="仿宋" w:cs="仿宋"/>
                <w:b/>
                <w:bCs/>
                <w:color w:val="auto"/>
                <w:sz w:val="18"/>
                <w:szCs w:val="18"/>
                <w:highlight w:val="none"/>
              </w:rPr>
            </w:pPr>
          </w:p>
        </w:tc>
        <w:tc>
          <w:tcPr>
            <w:tcW w:w="1466" w:type="dxa"/>
            <w:vAlign w:val="center"/>
          </w:tcPr>
          <w:p>
            <w:pPr>
              <w:jc w:val="center"/>
              <w:rPr>
                <w:rFonts w:ascii="仿宋" w:hAnsi="仿宋" w:eastAsia="仿宋" w:cs="仿宋"/>
                <w:b/>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628" w:type="dxa"/>
            <w:gridSpan w:val="8"/>
            <w:vAlign w:val="center"/>
          </w:tcPr>
          <w:p>
            <w:pPr>
              <w:rPr>
                <w:rFonts w:ascii="仿宋" w:hAnsi="仿宋" w:eastAsia="仿宋" w:cs="仿宋"/>
                <w:color w:val="auto"/>
                <w:sz w:val="18"/>
                <w:szCs w:val="18"/>
                <w:highlight w:val="none"/>
              </w:rPr>
            </w:pPr>
            <w:r>
              <w:rPr>
                <w:rFonts w:hint="eastAsia" w:ascii="仿宋" w:hAnsi="仿宋" w:eastAsia="仿宋" w:cs="仿宋"/>
                <w:b/>
                <w:bCs/>
                <w:color w:val="auto"/>
                <w:sz w:val="18"/>
                <w:szCs w:val="18"/>
                <w:highlight w:val="none"/>
              </w:rPr>
              <w:t>说明：设备购置发票或合同复印件随表格一并提供。</w:t>
            </w:r>
          </w:p>
        </w:tc>
      </w:tr>
    </w:tbl>
    <w:p>
      <w:pPr>
        <w:spacing w:line="360" w:lineRule="auto"/>
        <w:rPr>
          <w:rFonts w:ascii="仿宋" w:hAnsi="仿宋" w:eastAsia="仿宋" w:cs="仿宋"/>
          <w:b/>
          <w:color w:val="auto"/>
          <w:spacing w:val="-6"/>
          <w:sz w:val="18"/>
          <w:szCs w:val="18"/>
          <w:highlight w:val="none"/>
        </w:rPr>
      </w:pPr>
    </w:p>
    <w:p>
      <w:pPr>
        <w:spacing w:line="360" w:lineRule="auto"/>
        <w:rPr>
          <w:rFonts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lang w:val="en-US" w:eastAsia="zh-CN"/>
        </w:rPr>
        <w:t>2.</w:t>
      </w:r>
      <w:r>
        <w:rPr>
          <w:rFonts w:hint="eastAsia" w:ascii="仿宋" w:hAnsi="仿宋" w:eastAsia="仿宋" w:cs="仿宋"/>
          <w:b/>
          <w:color w:val="auto"/>
          <w:spacing w:val="-6"/>
          <w:sz w:val="18"/>
          <w:szCs w:val="18"/>
          <w:highlight w:val="none"/>
        </w:rPr>
        <w:t>生产实施方案：原材料采购、加工制作等各个环节的实施方案及在规定时间内有计划完成项目需求产品的生产装配方案</w:t>
      </w:r>
    </w:p>
    <w:p>
      <w:pPr>
        <w:spacing w:line="360" w:lineRule="auto"/>
        <w:rPr>
          <w:rFonts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lang w:val="en-US" w:eastAsia="zh-CN"/>
        </w:rPr>
        <w:t>3.</w:t>
      </w:r>
      <w:r>
        <w:rPr>
          <w:rFonts w:hint="eastAsia" w:ascii="仿宋" w:hAnsi="仿宋" w:eastAsia="仿宋" w:cs="仿宋"/>
          <w:b/>
          <w:color w:val="auto"/>
          <w:spacing w:val="-6"/>
          <w:sz w:val="18"/>
          <w:szCs w:val="18"/>
          <w:highlight w:val="none"/>
        </w:rPr>
        <w:t>品质管理管控方案：产品品质管理管控过程、专职品控人员和相应的品控标准、确保产品生产过程中质量控制完善的措施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textAlignment w:val="auto"/>
        <w:rPr>
          <w:rFonts w:hint="eastAsia"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lang w:val="en-US" w:eastAsia="zh-CN"/>
        </w:rPr>
        <w:t>4.</w:t>
      </w:r>
      <w:r>
        <w:rPr>
          <w:rFonts w:hint="eastAsia" w:ascii="仿宋" w:hAnsi="仿宋" w:eastAsia="仿宋" w:cs="仿宋"/>
          <w:b/>
          <w:color w:val="auto"/>
          <w:spacing w:val="-6"/>
          <w:sz w:val="18"/>
          <w:szCs w:val="18"/>
          <w:highlight w:val="none"/>
        </w:rPr>
        <w:t>安装服务实施方案：送货安装时间及（项目负责人、专业技术安装人员、装卸人员）清单、履历、专业技术能力证书</w:t>
      </w:r>
    </w:p>
    <w:p>
      <w:pPr>
        <w:rPr>
          <w:rFonts w:hint="eastAsia"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br w:type="page"/>
      </w:r>
    </w:p>
    <w:p>
      <w:pPr>
        <w:spacing w:line="360" w:lineRule="auto"/>
        <w:jc w:val="center"/>
        <w:outlineLvl w:val="2"/>
        <w:rPr>
          <w:rFonts w:hint="default" w:ascii="仿宋" w:hAnsi="仿宋" w:eastAsia="仿宋" w:cs="仿宋"/>
          <w:b/>
          <w:color w:val="auto"/>
          <w:spacing w:val="-6"/>
          <w:sz w:val="24"/>
          <w:highlight w:val="none"/>
          <w:lang w:val="en-US" w:eastAsia="zh-CN"/>
        </w:rPr>
      </w:pPr>
      <w:r>
        <w:rPr>
          <w:rFonts w:hint="eastAsia" w:ascii="仿宋" w:hAnsi="仿宋" w:eastAsia="仿宋" w:cs="仿宋"/>
          <w:b/>
          <w:color w:val="auto"/>
          <w:spacing w:val="-6"/>
          <w:sz w:val="24"/>
          <w:highlight w:val="none"/>
          <w:lang w:val="en-US" w:eastAsia="zh-CN"/>
        </w:rPr>
        <w:t>技术方案</w:t>
      </w:r>
    </w:p>
    <w:p>
      <w:pPr>
        <w:spacing w:line="360" w:lineRule="auto"/>
        <w:rPr>
          <w:rFonts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t>根据评分细则提供和编写（格式自拟），包括但不仅限于：</w:t>
      </w:r>
    </w:p>
    <w:p>
      <w:pPr>
        <w:spacing w:line="360" w:lineRule="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1.实验室家具设计图</w:t>
      </w:r>
    </w:p>
    <w:p>
      <w:pPr>
        <w:spacing w:line="360" w:lineRule="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2.实验台由国家权威检测机构或国家认可的第三方检测机构出具的相关检测报告、相关认证</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2.1 承重</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2.2 SEFA 8M测试</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2.3 盐雾测试</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2.4 金属表面喷涂</w:t>
      </w:r>
    </w:p>
    <w:p>
      <w:pPr>
        <w:spacing w:line="360" w:lineRule="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3.陶瓷台面由国家权威检测机构或国家认可的第三方检测机构出具的相关检测报告、相关认证</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3.1 化学性能</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3.2 产品质量溯源</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3.3 承载性能</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3.4 抗菌性能</w:t>
      </w:r>
    </w:p>
    <w:p>
      <w:pPr>
        <w:spacing w:line="360" w:lineRule="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4.水槽（化学性能）由国家权威检测机构或国家认可的第三方检测机构出具的相关检测报告、相关认证</w:t>
      </w:r>
    </w:p>
    <w:p>
      <w:pPr>
        <w:spacing w:line="360" w:lineRule="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5.通风柜由国家权威检测机构或国家认可的第三方检测机构出具的相关检测报告、相关认证</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5.1 浓度测试</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5.2 可视化测试</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5.3 示踪气体浓度测试</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5.4 拉门移动影响测试</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5.5 周边扫描测试</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5.6 有毒气体残留</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5.7 外部金属部分喷涂化学性能</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5.8 油漆反应级别</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5.9 陶瓷水杯化学性能</w:t>
      </w:r>
    </w:p>
    <w:p>
      <w:pPr>
        <w:keepNext w:val="0"/>
        <w:keepLines w:val="0"/>
        <w:pageBreakBefore w:val="0"/>
        <w:widowControl w:val="0"/>
        <w:kinsoku/>
        <w:wordWrap/>
        <w:overflowPunct/>
        <w:topLinePunct w:val="0"/>
        <w:autoSpaceDE/>
        <w:autoSpaceDN/>
        <w:bidi w:val="0"/>
        <w:adjustRightInd/>
        <w:snapToGrid/>
        <w:spacing w:line="360" w:lineRule="auto"/>
        <w:ind w:firstLine="169" w:firstLineChars="100"/>
        <w:textAlignment w:val="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5.10 内衬板、导流板化学性能、甲醛释放量</w:t>
      </w:r>
    </w:p>
    <w:p>
      <w:pPr>
        <w:spacing w:line="360" w:lineRule="auto"/>
        <w:rPr>
          <w:rFonts w:hint="eastAsia" w:ascii="仿宋" w:hAnsi="仿宋" w:eastAsia="仿宋" w:cs="仿宋"/>
          <w:b/>
          <w:color w:val="auto"/>
          <w:spacing w:val="-6"/>
          <w:sz w:val="18"/>
          <w:szCs w:val="18"/>
          <w:highlight w:val="none"/>
          <w:lang w:val="en-US" w:eastAsia="zh-CN"/>
        </w:rPr>
      </w:pPr>
      <w:r>
        <w:rPr>
          <w:rFonts w:hint="eastAsia" w:ascii="仿宋" w:hAnsi="仿宋" w:eastAsia="仿宋" w:cs="仿宋"/>
          <w:b/>
          <w:color w:val="auto"/>
          <w:spacing w:val="-6"/>
          <w:sz w:val="18"/>
          <w:szCs w:val="18"/>
          <w:highlight w:val="none"/>
          <w:lang w:val="en-US" w:eastAsia="zh-CN"/>
        </w:rPr>
        <w:t>6.通风柜变风量控制系统部件制造商公开发布的印刷资料（官网材料、彩页、Datasheet）或由国家权威检测机构或国家认可的第三方检测机构出具的相关检测报告、相关认证、应用案例、功能界面截图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仿宋" w:hAnsi="仿宋" w:eastAsia="仿宋" w:cs="仿宋"/>
          <w:b/>
          <w:color w:val="auto"/>
          <w:spacing w:val="-6"/>
          <w:sz w:val="24"/>
          <w:highlight w:val="none"/>
          <w:lang w:val="en-US" w:eastAsia="zh-CN"/>
        </w:rPr>
      </w:pPr>
      <w:r>
        <w:rPr>
          <w:rFonts w:hint="eastAsia" w:ascii="仿宋" w:hAnsi="仿宋" w:eastAsia="仿宋" w:cs="仿宋"/>
          <w:b/>
          <w:color w:val="auto"/>
          <w:spacing w:val="-6"/>
          <w:sz w:val="24"/>
          <w:highlight w:val="none"/>
          <w:lang w:val="en-US" w:eastAsia="zh-CN"/>
        </w:rPr>
        <w:br w:type="page"/>
      </w:r>
    </w:p>
    <w:p>
      <w:pPr>
        <w:spacing w:line="360" w:lineRule="auto"/>
        <w:jc w:val="center"/>
        <w:outlineLvl w:val="2"/>
        <w:rPr>
          <w:rFonts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t>售后服务方案</w:t>
      </w:r>
    </w:p>
    <w:p>
      <w:pPr>
        <w:spacing w:line="360" w:lineRule="auto"/>
        <w:rPr>
          <w:rFonts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t>根据评分细则提供和编写（格式自拟），包括但不仅限于：</w:t>
      </w:r>
    </w:p>
    <w:p>
      <w:pPr>
        <w:spacing w:line="360" w:lineRule="auto"/>
        <w:rPr>
          <w:rFonts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t>1.服务内容、服务承诺、响应时间、服务方式、人员配备、应急服务等</w:t>
      </w:r>
    </w:p>
    <w:p>
      <w:pPr>
        <w:rPr>
          <w:rFonts w:hint="eastAsia"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t>2.配件、附件、备品备件的准备和保障措施</w:t>
      </w:r>
    </w:p>
    <w:p>
      <w:pPr>
        <w:rPr>
          <w:rFonts w:hint="eastAsia" w:ascii="仿宋" w:hAnsi="仿宋" w:eastAsia="仿宋" w:cs="仿宋"/>
          <w:b/>
          <w:color w:val="auto"/>
          <w:spacing w:val="-6"/>
          <w:sz w:val="24"/>
          <w:highlight w:val="none"/>
          <w:lang w:val="en-US" w:eastAsia="zh-CN"/>
        </w:rPr>
      </w:pPr>
      <w:r>
        <w:rPr>
          <w:rFonts w:hint="eastAsia" w:ascii="仿宋" w:hAnsi="仿宋" w:eastAsia="仿宋" w:cs="仿宋"/>
          <w:b/>
          <w:color w:val="auto"/>
          <w:spacing w:val="-6"/>
          <w:sz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2"/>
        <w:rPr>
          <w:rFonts w:hint="eastAsia" w:ascii="仿宋" w:hAnsi="仿宋" w:eastAsia="仿宋" w:cs="仿宋"/>
          <w:b/>
          <w:color w:val="auto"/>
          <w:spacing w:val="-6"/>
          <w:sz w:val="24"/>
          <w:highlight w:val="none"/>
          <w:lang w:val="en-US" w:eastAsia="zh-CN"/>
        </w:rPr>
      </w:pPr>
      <w:r>
        <w:rPr>
          <w:rFonts w:hint="eastAsia" w:ascii="仿宋" w:hAnsi="仿宋" w:eastAsia="仿宋" w:cs="仿宋"/>
          <w:b/>
          <w:color w:val="auto"/>
          <w:spacing w:val="-6"/>
          <w:sz w:val="24"/>
          <w:highlight w:val="none"/>
          <w:lang w:val="en-US" w:eastAsia="zh-CN"/>
        </w:rPr>
        <w:t>配件、专用耗材和售后服务优惠表</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（价格保持三年以上）</w:t>
      </w:r>
    </w:p>
    <w:tbl>
      <w:tblPr>
        <w:tblStyle w:val="36"/>
        <w:tblW w:w="962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8"/>
        <w:gridCol w:w="3862"/>
        <w:gridCol w:w="1686"/>
        <w:gridCol w:w="1483"/>
        <w:gridCol w:w="18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序号</w:t>
            </w: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pacing w:val="-6"/>
                <w:sz w:val="21"/>
                <w:szCs w:val="21"/>
                <w:highlight w:val="none"/>
              </w:rPr>
              <w:t>配件和售后服务内容</w:t>
            </w: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适用货物</w:t>
            </w: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市场单价（元）</w:t>
            </w: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r>
              <w:rPr>
                <w:rFonts w:hint="eastAsia" w:ascii="仿宋" w:hAnsi="仿宋" w:eastAsia="仿宋" w:cs="仿宋"/>
                <w:b/>
                <w:bCs/>
                <w:color w:val="auto"/>
                <w:sz w:val="21"/>
                <w:szCs w:val="21"/>
                <w:highlight w:val="none"/>
              </w:rPr>
              <w:t>购买折扣数（%）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708"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386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sz w:val="21"/>
                <w:szCs w:val="21"/>
                <w:highlight w:val="none"/>
              </w:rPr>
            </w:pPr>
          </w:p>
        </w:tc>
        <w:tc>
          <w:tcPr>
            <w:tcW w:w="1686"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483"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trPr>
        <w:tc>
          <w:tcPr>
            <w:tcW w:w="9628"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说明：</w:t>
            </w:r>
          </w:p>
          <w:p>
            <w:pPr>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1</w:t>
            </w:r>
            <w:r>
              <w:rPr>
                <w:rFonts w:hint="eastAsia" w:ascii="仿宋" w:hAnsi="仿宋" w:eastAsia="仿宋" w:cs="仿宋"/>
                <w:b/>
                <w:bCs/>
                <w:color w:val="auto"/>
                <w:sz w:val="18"/>
                <w:szCs w:val="18"/>
                <w:highlight w:val="none"/>
                <w:lang w:val="en-US" w:eastAsia="zh-CN"/>
              </w:rPr>
              <w:t>.</w:t>
            </w:r>
            <w:r>
              <w:rPr>
                <w:rFonts w:hint="eastAsia" w:ascii="仿宋" w:hAnsi="仿宋" w:eastAsia="仿宋" w:cs="仿宋"/>
                <w:b/>
                <w:bCs/>
                <w:color w:val="auto"/>
                <w:sz w:val="18"/>
                <w:szCs w:val="18"/>
                <w:highlight w:val="none"/>
              </w:rPr>
              <w:t>折扣数90%即9折</w:t>
            </w:r>
          </w:p>
          <w:p>
            <w:pPr>
              <w:rPr>
                <w:rFonts w:hint="eastAsia" w:ascii="仿宋" w:hAnsi="仿宋" w:eastAsia="仿宋" w:cs="仿宋"/>
                <w:b/>
                <w:bCs/>
                <w:color w:val="auto"/>
                <w:sz w:val="21"/>
                <w:szCs w:val="21"/>
                <w:highlight w:val="none"/>
              </w:rPr>
            </w:pPr>
            <w:r>
              <w:rPr>
                <w:rFonts w:hint="eastAsia" w:ascii="仿宋" w:hAnsi="仿宋" w:eastAsia="仿宋" w:cs="仿宋"/>
                <w:b/>
                <w:bCs/>
                <w:color w:val="auto"/>
                <w:sz w:val="18"/>
                <w:szCs w:val="18"/>
                <w:highlight w:val="none"/>
              </w:rPr>
              <w:t>2</w:t>
            </w:r>
            <w:r>
              <w:rPr>
                <w:rFonts w:hint="eastAsia" w:ascii="仿宋" w:hAnsi="仿宋" w:eastAsia="仿宋" w:cs="仿宋"/>
                <w:b/>
                <w:bCs/>
                <w:color w:val="auto"/>
                <w:sz w:val="18"/>
                <w:szCs w:val="18"/>
                <w:highlight w:val="none"/>
                <w:lang w:val="en-US" w:eastAsia="zh-CN"/>
              </w:rPr>
              <w:t>.</w:t>
            </w:r>
            <w:r>
              <w:rPr>
                <w:rFonts w:hint="eastAsia" w:ascii="仿宋" w:hAnsi="仿宋" w:eastAsia="仿宋" w:cs="仿宋"/>
                <w:b/>
                <w:bCs/>
                <w:color w:val="auto"/>
                <w:sz w:val="18"/>
                <w:szCs w:val="18"/>
                <w:highlight w:val="none"/>
              </w:rPr>
              <w:t>列出易损件清单（包括名称、安装部位、更换周期和价格）</w:t>
            </w:r>
          </w:p>
        </w:tc>
      </w:tr>
    </w:tbl>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spacing w:line="360" w:lineRule="auto"/>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p>
    <w:p>
      <w:pPr>
        <w:spacing w:line="360" w:lineRule="auto"/>
        <w:rPr>
          <w:rFonts w:hint="eastAsia" w:ascii="仿宋" w:hAnsi="仿宋" w:eastAsia="仿宋" w:cs="仿宋"/>
          <w:color w:val="auto"/>
          <w:highlight w:val="none"/>
        </w:rPr>
      </w:pPr>
    </w:p>
    <w:p>
      <w:pPr>
        <w:spacing w:line="360" w:lineRule="auto"/>
        <w:jc w:val="center"/>
        <w:rPr>
          <w:rFonts w:hint="eastAsia" w:ascii="仿宋" w:hAnsi="仿宋" w:eastAsia="仿宋" w:cs="仿宋"/>
          <w:b/>
          <w:bCs/>
          <w:color w:val="auto"/>
          <w:spacing w:val="-6"/>
          <w:sz w:val="24"/>
          <w:highlight w:val="none"/>
        </w:rPr>
      </w:pPr>
      <w:r>
        <w:rPr>
          <w:rFonts w:hint="eastAsia" w:ascii="仿宋" w:hAnsi="仿宋" w:eastAsia="仿宋" w:cs="仿宋"/>
          <w:b/>
          <w:bCs/>
          <w:color w:val="auto"/>
          <w:spacing w:val="-6"/>
          <w:sz w:val="24"/>
          <w:highlight w:val="none"/>
        </w:rPr>
        <w:t>外层包装（封签）</w:t>
      </w:r>
    </w:p>
    <w:p>
      <w:pPr>
        <w:spacing w:line="360" w:lineRule="auto"/>
        <w:rPr>
          <w:rFonts w:hint="eastAsia" w:ascii="仿宋" w:hAnsi="仿宋" w:eastAsia="仿宋" w:cs="仿宋"/>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u w:val="single"/>
        </w:rPr>
        <w:t xml:space="preserve">                    </w:t>
      </w:r>
      <w:r>
        <w:rPr>
          <w:rFonts w:hint="eastAsia" w:ascii="仿宋" w:hAnsi="仿宋" w:eastAsia="仿宋" w:cs="仿宋"/>
          <w:bCs/>
          <w:color w:val="auto"/>
          <w:spacing w:val="-6"/>
          <w:sz w:val="24"/>
          <w:highlight w:val="none"/>
        </w:rPr>
        <w:t>（投标人名称）</w:t>
      </w:r>
    </w:p>
    <w:p>
      <w:pPr>
        <w:spacing w:line="360" w:lineRule="auto"/>
        <w:jc w:val="center"/>
        <w:rPr>
          <w:rFonts w:hint="eastAsia" w:ascii="仿宋" w:hAnsi="仿宋" w:eastAsia="仿宋" w:cs="仿宋"/>
          <w:b/>
          <w:bCs/>
          <w:color w:val="auto"/>
          <w:spacing w:val="-6"/>
          <w:sz w:val="24"/>
          <w:highlight w:val="none"/>
        </w:rPr>
      </w:pPr>
      <w:r>
        <w:rPr>
          <w:rFonts w:hint="eastAsia" w:ascii="仿宋" w:hAnsi="仿宋" w:eastAsia="仿宋" w:cs="仿宋"/>
          <w:b/>
          <w:bCs/>
          <w:color w:val="auto"/>
          <w:spacing w:val="-6"/>
          <w:sz w:val="24"/>
          <w:highlight w:val="none"/>
        </w:rPr>
        <w:t>投标文件</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lang w:eastAsia="zh-CN"/>
        </w:rPr>
      </w:pPr>
      <w:r>
        <w:rPr>
          <w:rFonts w:hint="eastAsia" w:ascii="仿宋" w:hAnsi="仿宋" w:eastAsia="仿宋" w:cs="仿宋"/>
          <w:bCs/>
          <w:color w:val="auto"/>
          <w:spacing w:val="-6"/>
          <w:sz w:val="24"/>
          <w:highlight w:val="none"/>
        </w:rPr>
        <w:t>采 购 人：</w:t>
      </w:r>
      <w:r>
        <w:rPr>
          <w:rFonts w:hint="eastAsia" w:ascii="仿宋" w:hAnsi="仿宋" w:eastAsia="仿宋" w:cs="仿宋"/>
          <w:bCs/>
          <w:color w:val="auto"/>
          <w:spacing w:val="-6"/>
          <w:sz w:val="24"/>
          <w:highlight w:val="none"/>
          <w:lang w:eastAsia="zh-CN"/>
        </w:rPr>
        <w:t>之江实验室</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项目名称：</w:t>
      </w:r>
      <w:r>
        <w:rPr>
          <w:rFonts w:hint="eastAsia" w:ascii="仿宋" w:hAnsi="仿宋" w:eastAsia="仿宋" w:cs="仿宋"/>
          <w:bCs/>
          <w:color w:val="auto"/>
          <w:spacing w:val="-6"/>
          <w:sz w:val="24"/>
          <w:highlight w:val="none"/>
          <w:lang w:eastAsia="zh-CN"/>
        </w:rPr>
        <w:t>之江实验室智能计算育种数字反应堆平台专业实验室家具项目</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项目编号：</w:t>
      </w:r>
      <w:r>
        <w:rPr>
          <w:rFonts w:hint="eastAsia" w:ascii="仿宋" w:hAnsi="仿宋" w:eastAsia="仿宋" w:cs="仿宋"/>
          <w:bCs/>
          <w:color w:val="auto"/>
          <w:spacing w:val="-6"/>
          <w:sz w:val="24"/>
          <w:highlight w:val="none"/>
          <w:lang w:eastAsia="zh-CN"/>
        </w:rPr>
        <w:t>ZJLAB-JZ-GK2023032</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投标文件名称：报价文件</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lang w:eastAsia="zh-CN"/>
        </w:rPr>
        <w:t>投标人名称（公章）</w:t>
      </w:r>
      <w:r>
        <w:rPr>
          <w:rFonts w:hint="eastAsia" w:ascii="仿宋" w:hAnsi="仿宋" w:eastAsia="仿宋" w:cs="仿宋"/>
          <w:bCs/>
          <w:color w:val="auto"/>
          <w:spacing w:val="-6"/>
          <w:sz w:val="24"/>
          <w:highlight w:val="none"/>
        </w:rPr>
        <w:t>：</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投标人地址：</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在     年   月   日   时   分之前不得启封</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投标人代表（签字）：</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日期：     年   月   日</w:t>
      </w:r>
    </w:p>
    <w:p>
      <w:pPr>
        <w:spacing w:line="360" w:lineRule="auto"/>
        <w:rPr>
          <w:rFonts w:hint="eastAsia" w:ascii="仿宋" w:hAnsi="仿宋" w:eastAsia="仿宋" w:cs="仿宋"/>
          <w:color w:val="auto"/>
          <w:spacing w:val="-6"/>
          <w:sz w:val="24"/>
          <w:highlight w:val="none"/>
        </w:rPr>
      </w:pPr>
      <w:r>
        <w:rPr>
          <w:rFonts w:hint="eastAsia" w:ascii="仿宋" w:hAnsi="仿宋" w:eastAsia="仿宋" w:cs="仿宋"/>
          <w:bCs/>
          <w:color w:val="auto"/>
          <w:spacing w:val="-6"/>
          <w:sz w:val="24"/>
          <w:highlight w:val="none"/>
        </w:rPr>
        <w:br w:type="page"/>
      </w:r>
      <w:r>
        <w:rPr>
          <w:rFonts w:hint="eastAsia" w:ascii="仿宋" w:hAnsi="仿宋" w:eastAsia="仿宋" w:cs="仿宋"/>
          <w:bCs/>
          <w:color w:val="auto"/>
          <w:spacing w:val="-6"/>
          <w:sz w:val="24"/>
          <w:highlight w:val="none"/>
        </w:rPr>
        <w:t>报价文件</w:t>
      </w:r>
      <w:r>
        <w:rPr>
          <w:rFonts w:hint="eastAsia" w:ascii="仿宋" w:hAnsi="仿宋" w:eastAsia="仿宋" w:cs="仿宋"/>
          <w:color w:val="auto"/>
          <w:spacing w:val="-6"/>
          <w:sz w:val="24"/>
          <w:highlight w:val="none"/>
        </w:rPr>
        <w:t>封面</w:t>
      </w:r>
    </w:p>
    <w:p>
      <w:pPr>
        <w:spacing w:line="360" w:lineRule="auto"/>
        <w:jc w:val="right"/>
        <w:rPr>
          <w:rFonts w:hint="eastAsia" w:ascii="仿宋" w:hAnsi="仿宋" w:eastAsia="仿宋" w:cs="仿宋"/>
          <w:color w:val="auto"/>
          <w:spacing w:val="-6"/>
          <w:sz w:val="24"/>
          <w:highlight w:val="none"/>
        </w:rPr>
      </w:pPr>
      <w:r>
        <w:rPr>
          <w:rFonts w:hint="eastAsia" w:ascii="仿宋" w:hAnsi="仿宋" w:eastAsia="仿宋" w:cs="仿宋"/>
          <w:b/>
          <w:bCs/>
          <w:color w:val="auto"/>
          <w:spacing w:val="-6"/>
          <w:sz w:val="24"/>
          <w:highlight w:val="none"/>
        </w:rPr>
        <w:t>正本或副本</w:t>
      </w:r>
    </w:p>
    <w:p>
      <w:pPr>
        <w:spacing w:line="360" w:lineRule="auto"/>
        <w:rPr>
          <w:rFonts w:hint="eastAsia" w:ascii="仿宋" w:hAnsi="仿宋" w:eastAsia="仿宋" w:cs="仿宋"/>
          <w:color w:val="auto"/>
          <w:spacing w:val="-6"/>
          <w:sz w:val="24"/>
          <w:highlight w:val="none"/>
        </w:rPr>
      </w:pPr>
    </w:p>
    <w:p>
      <w:pPr>
        <w:spacing w:line="360" w:lineRule="auto"/>
        <w:jc w:val="center"/>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u w:val="single"/>
        </w:rPr>
        <w:t xml:space="preserve">                    </w:t>
      </w:r>
      <w:r>
        <w:rPr>
          <w:rFonts w:hint="eastAsia" w:ascii="仿宋" w:hAnsi="仿宋" w:eastAsia="仿宋" w:cs="仿宋"/>
          <w:bCs/>
          <w:color w:val="auto"/>
          <w:spacing w:val="-6"/>
          <w:sz w:val="24"/>
          <w:highlight w:val="none"/>
        </w:rPr>
        <w:t>（投标人名称）</w:t>
      </w:r>
    </w:p>
    <w:p>
      <w:pPr>
        <w:spacing w:line="360" w:lineRule="auto"/>
        <w:jc w:val="center"/>
        <w:rPr>
          <w:rFonts w:hint="eastAsia" w:ascii="仿宋" w:hAnsi="仿宋" w:eastAsia="仿宋" w:cs="仿宋"/>
          <w:b/>
          <w:bCs/>
          <w:color w:val="auto"/>
          <w:spacing w:val="-6"/>
          <w:sz w:val="24"/>
          <w:highlight w:val="none"/>
        </w:rPr>
      </w:pPr>
      <w:r>
        <w:rPr>
          <w:rFonts w:hint="eastAsia" w:ascii="仿宋" w:hAnsi="仿宋" w:eastAsia="仿宋" w:cs="仿宋"/>
          <w:b/>
          <w:bCs/>
          <w:color w:val="auto"/>
          <w:spacing w:val="-6"/>
          <w:sz w:val="24"/>
          <w:highlight w:val="none"/>
        </w:rPr>
        <w:t>报价文件</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lang w:eastAsia="zh-CN"/>
        </w:rPr>
      </w:pPr>
      <w:r>
        <w:rPr>
          <w:rFonts w:hint="eastAsia" w:ascii="仿宋" w:hAnsi="仿宋" w:eastAsia="仿宋" w:cs="仿宋"/>
          <w:bCs/>
          <w:color w:val="auto"/>
          <w:spacing w:val="-6"/>
          <w:sz w:val="24"/>
          <w:highlight w:val="none"/>
        </w:rPr>
        <w:t>采 购 人：</w:t>
      </w:r>
      <w:r>
        <w:rPr>
          <w:rFonts w:hint="eastAsia" w:ascii="仿宋" w:hAnsi="仿宋" w:eastAsia="仿宋" w:cs="仿宋"/>
          <w:bCs/>
          <w:color w:val="auto"/>
          <w:spacing w:val="-6"/>
          <w:sz w:val="24"/>
          <w:highlight w:val="none"/>
          <w:lang w:eastAsia="zh-CN"/>
        </w:rPr>
        <w:t>之江实验室</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项目名称：</w:t>
      </w:r>
      <w:r>
        <w:rPr>
          <w:rFonts w:hint="eastAsia" w:ascii="仿宋" w:hAnsi="仿宋" w:eastAsia="仿宋" w:cs="仿宋"/>
          <w:bCs/>
          <w:color w:val="auto"/>
          <w:spacing w:val="-6"/>
          <w:sz w:val="24"/>
          <w:highlight w:val="none"/>
          <w:lang w:eastAsia="zh-CN"/>
        </w:rPr>
        <w:t>之江实验室智能计算育种数字反应堆平台专业实验室家具项目</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项目编号：</w:t>
      </w:r>
      <w:r>
        <w:rPr>
          <w:rFonts w:hint="eastAsia" w:ascii="仿宋" w:hAnsi="仿宋" w:eastAsia="仿宋" w:cs="仿宋"/>
          <w:bCs/>
          <w:color w:val="auto"/>
          <w:spacing w:val="-6"/>
          <w:sz w:val="24"/>
          <w:highlight w:val="none"/>
          <w:lang w:eastAsia="zh-CN"/>
        </w:rPr>
        <w:t>ZJLAB-JZ-GK2023032</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lang w:eastAsia="zh-CN"/>
        </w:rPr>
        <w:t>投标人名称（公章）</w:t>
      </w:r>
      <w:r>
        <w:rPr>
          <w:rFonts w:hint="eastAsia" w:ascii="仿宋" w:hAnsi="仿宋" w:eastAsia="仿宋" w:cs="仿宋"/>
          <w:bCs/>
          <w:color w:val="auto"/>
          <w:spacing w:val="-6"/>
          <w:sz w:val="24"/>
          <w:highlight w:val="none"/>
        </w:rPr>
        <w:t>：</w:t>
      </w: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投标人地址：</w:t>
      </w:r>
    </w:p>
    <w:p>
      <w:pPr>
        <w:spacing w:line="360" w:lineRule="auto"/>
        <w:rPr>
          <w:rFonts w:hint="eastAsia" w:ascii="仿宋" w:hAnsi="仿宋" w:eastAsia="仿宋" w:cs="仿宋"/>
          <w:bCs/>
          <w:color w:val="auto"/>
          <w:spacing w:val="-6"/>
          <w:sz w:val="24"/>
          <w:highlight w:val="none"/>
        </w:rPr>
      </w:pPr>
    </w:p>
    <w:p>
      <w:pPr>
        <w:spacing w:line="360" w:lineRule="auto"/>
        <w:rPr>
          <w:rFonts w:hint="eastAsia" w:ascii="仿宋" w:hAnsi="仿宋" w:eastAsia="仿宋" w:cs="仿宋"/>
          <w:bCs/>
          <w:color w:val="auto"/>
          <w:spacing w:val="-6"/>
          <w:sz w:val="24"/>
          <w:highlight w:val="none"/>
        </w:rPr>
      </w:pPr>
      <w:r>
        <w:rPr>
          <w:rFonts w:hint="eastAsia" w:ascii="仿宋" w:hAnsi="仿宋" w:eastAsia="仿宋" w:cs="仿宋"/>
          <w:bCs/>
          <w:color w:val="auto"/>
          <w:spacing w:val="-6"/>
          <w:sz w:val="24"/>
          <w:highlight w:val="none"/>
        </w:rPr>
        <w:t>投标人代表（签字）：</w:t>
      </w:r>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Cs/>
          <w:color w:val="auto"/>
          <w:spacing w:val="-6"/>
          <w:sz w:val="24"/>
          <w:highlight w:val="none"/>
        </w:rPr>
        <w:t>日期：     年   月   日</w:t>
      </w: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 w:val="84"/>
          <w:szCs w:val="84"/>
          <w:highlight w:val="none"/>
        </w:rPr>
      </w:pPr>
    </w:p>
    <w:p>
      <w:pPr>
        <w:overflowPunct w:val="0"/>
        <w:adjustRightInd w:val="0"/>
        <w:snapToGrid w:val="0"/>
        <w:spacing w:line="288" w:lineRule="auto"/>
        <w:jc w:val="center"/>
        <w:outlineLvl w:val="1"/>
        <w:rPr>
          <w:rFonts w:hint="eastAsia" w:ascii="仿宋" w:hAnsi="仿宋" w:eastAsia="仿宋" w:cs="仿宋"/>
          <w:b/>
          <w:color w:val="auto"/>
          <w:spacing w:val="-6"/>
          <w:sz w:val="84"/>
          <w:szCs w:val="84"/>
          <w:highlight w:val="none"/>
        </w:rPr>
      </w:pPr>
      <w:r>
        <w:rPr>
          <w:rFonts w:hint="eastAsia" w:ascii="仿宋" w:hAnsi="仿宋" w:eastAsia="仿宋" w:cs="仿宋"/>
          <w:b/>
          <w:bCs/>
          <w:color w:val="auto"/>
          <w:sz w:val="84"/>
          <w:szCs w:val="84"/>
          <w:highlight w:val="none"/>
          <w:lang w:val="en-US" w:eastAsia="zh-CN"/>
        </w:rPr>
        <w:t>报价</w:t>
      </w:r>
      <w:r>
        <w:rPr>
          <w:rFonts w:hint="eastAsia" w:ascii="仿宋" w:hAnsi="仿宋" w:eastAsia="仿宋" w:cs="仿宋"/>
          <w:b/>
          <w:bCs/>
          <w:color w:val="auto"/>
          <w:sz w:val="84"/>
          <w:szCs w:val="84"/>
          <w:highlight w:val="none"/>
        </w:rPr>
        <w:t>文件</w:t>
      </w:r>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spacing w:line="360" w:lineRule="auto"/>
        <w:ind w:left="0" w:leftChars="0" w:right="0" w:rightChars="0" w:firstLine="0" w:firstLineChars="0"/>
        <w:jc w:val="center"/>
        <w:textAlignment w:val="auto"/>
        <w:outlineLvl w:val="2"/>
        <w:rPr>
          <w:rFonts w:hint="eastAsia"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t>开标一览表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Cs/>
          <w:color w:val="auto"/>
          <w:spacing w:val="-6"/>
          <w:szCs w:val="21"/>
          <w:highlight w:val="none"/>
        </w:rPr>
      </w:pPr>
      <w:r>
        <w:rPr>
          <w:rFonts w:hint="eastAsia" w:ascii="仿宋" w:hAnsi="仿宋" w:eastAsia="仿宋" w:cs="仿宋"/>
          <w:bCs/>
          <w:color w:val="auto"/>
          <w:spacing w:val="-6"/>
          <w:szCs w:val="21"/>
          <w:highlight w:val="none"/>
        </w:rPr>
        <w:t>采 购 人：</w:t>
      </w:r>
      <w:r>
        <w:rPr>
          <w:rFonts w:hint="eastAsia" w:ascii="仿宋" w:hAnsi="仿宋" w:eastAsia="仿宋" w:cs="仿宋"/>
          <w:bCs/>
          <w:color w:val="auto"/>
          <w:spacing w:val="-6"/>
          <w:szCs w:val="21"/>
          <w:highlight w:val="none"/>
          <w:lang w:eastAsia="zh-CN"/>
        </w:rPr>
        <w:t>之江实验室</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Cs/>
          <w:color w:val="auto"/>
          <w:spacing w:val="-6"/>
          <w:szCs w:val="21"/>
          <w:highlight w:val="none"/>
        </w:rPr>
      </w:pPr>
      <w:r>
        <w:rPr>
          <w:rFonts w:hint="eastAsia" w:ascii="仿宋" w:hAnsi="仿宋" w:eastAsia="仿宋" w:cs="仿宋"/>
          <w:bCs/>
          <w:color w:val="auto"/>
          <w:spacing w:val="-6"/>
          <w:szCs w:val="21"/>
          <w:highlight w:val="none"/>
        </w:rPr>
        <w:t>项目名称：</w:t>
      </w:r>
      <w:r>
        <w:rPr>
          <w:rFonts w:hint="eastAsia" w:ascii="仿宋" w:hAnsi="仿宋" w:eastAsia="仿宋" w:cs="仿宋"/>
          <w:bCs/>
          <w:color w:val="auto"/>
          <w:spacing w:val="-6"/>
          <w:szCs w:val="21"/>
          <w:highlight w:val="none"/>
          <w:lang w:eastAsia="zh-CN"/>
        </w:rPr>
        <w:t>之江实验室智能计算育种数字反应堆平台专业实验室家具项目</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Cs/>
          <w:color w:val="auto"/>
          <w:spacing w:val="-6"/>
          <w:szCs w:val="21"/>
          <w:highlight w:val="none"/>
          <w:lang w:eastAsia="zh-CN"/>
        </w:rPr>
      </w:pPr>
      <w:r>
        <w:rPr>
          <w:rFonts w:hint="eastAsia" w:ascii="仿宋" w:hAnsi="仿宋" w:eastAsia="仿宋" w:cs="仿宋"/>
          <w:bCs/>
          <w:color w:val="auto"/>
          <w:spacing w:val="-6"/>
          <w:szCs w:val="21"/>
          <w:highlight w:val="none"/>
        </w:rPr>
        <w:t>项目编号：</w:t>
      </w:r>
      <w:r>
        <w:rPr>
          <w:rFonts w:hint="eastAsia" w:ascii="仿宋" w:hAnsi="仿宋" w:eastAsia="仿宋" w:cs="仿宋"/>
          <w:bCs/>
          <w:color w:val="auto"/>
          <w:spacing w:val="-6"/>
          <w:szCs w:val="21"/>
          <w:highlight w:val="none"/>
          <w:lang w:eastAsia="zh-CN"/>
        </w:rPr>
        <w:t>ZJLAB-JZ-GK2023032</w:t>
      </w:r>
    </w:p>
    <w:tbl>
      <w:tblPr>
        <w:tblStyle w:val="36"/>
        <w:tblW w:w="962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87"/>
        <w:gridCol w:w="1785"/>
        <w:gridCol w:w="688"/>
        <w:gridCol w:w="1652"/>
        <w:gridCol w:w="734"/>
        <w:gridCol w:w="981"/>
        <w:gridCol w:w="1285"/>
        <w:gridCol w:w="1808"/>
        <w:gridCol w:w="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8" w:type="dxa"/>
          <w:trHeight w:val="340" w:hRule="atLeast"/>
          <w:jc w:val="center"/>
        </w:trPr>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序号</w:t>
            </w: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名称</w:t>
            </w:r>
          </w:p>
        </w:tc>
        <w:tc>
          <w:tcPr>
            <w:tcW w:w="6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品牌</w:t>
            </w:r>
          </w:p>
        </w:tc>
        <w:tc>
          <w:tcPr>
            <w:tcW w:w="165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规格型号</w:t>
            </w:r>
          </w:p>
        </w:tc>
        <w:tc>
          <w:tcPr>
            <w:tcW w:w="73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产地</w:t>
            </w: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数量</w:t>
            </w: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单价（元）</w:t>
            </w: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color w:val="auto"/>
                <w:highlight w:val="none"/>
              </w:rPr>
            </w:pPr>
            <w:r>
              <w:rPr>
                <w:rFonts w:hint="eastAsia" w:ascii="仿宋" w:hAnsi="仿宋" w:eastAsia="仿宋" w:cs="仿宋"/>
                <w:b/>
                <w:bCs/>
                <w:color w:val="auto"/>
                <w:highlight w:val="none"/>
              </w:rPr>
              <w:t>金额（元）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8" w:type="dxa"/>
          <w:trHeight w:val="340" w:hRule="atLeast"/>
          <w:jc w:val="center"/>
        </w:trPr>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6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65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73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8" w:type="dxa"/>
          <w:trHeight w:val="340" w:hRule="atLeast"/>
          <w:jc w:val="center"/>
        </w:trPr>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6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65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73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8" w:type="dxa"/>
          <w:trHeight w:val="340" w:hRule="atLeast"/>
          <w:jc w:val="center"/>
        </w:trPr>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6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65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73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8" w:type="dxa"/>
          <w:trHeight w:val="340" w:hRule="atLeast"/>
          <w:jc w:val="center"/>
        </w:trPr>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6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65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73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gridAfter w:val="1"/>
          <w:wAfter w:w="8" w:type="dxa"/>
          <w:trHeight w:val="340" w:hRule="atLeast"/>
          <w:jc w:val="center"/>
        </w:trPr>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highlight w:val="none"/>
              </w:rPr>
            </w:pPr>
          </w:p>
        </w:tc>
        <w:tc>
          <w:tcPr>
            <w:tcW w:w="688"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652"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73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981"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仿宋" w:hAnsi="仿宋" w:eastAsia="仿宋" w:cs="仿宋"/>
                <w:color w:val="auto"/>
                <w:highlight w:val="none"/>
              </w:rPr>
            </w:pPr>
          </w:p>
        </w:tc>
        <w:tc>
          <w:tcPr>
            <w:tcW w:w="128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c>
          <w:tcPr>
            <w:tcW w:w="18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cs="仿宋"/>
                <w:color w:val="auto"/>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40" w:hRule="atLeast"/>
          <w:jc w:val="center"/>
        </w:trPr>
        <w:tc>
          <w:tcPr>
            <w:tcW w:w="9628" w:type="dxa"/>
            <w:gridSpan w:val="9"/>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jc w:val="center"/>
              <w:textAlignment w:val="auto"/>
              <w:outlineLvl w:val="9"/>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投标总价（人民币元）</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textAlignment w:val="auto"/>
              <w:outlineLvl w:val="9"/>
              <w:rPr>
                <w:rFonts w:hint="eastAsia" w:ascii="仿宋" w:hAnsi="仿宋" w:eastAsia="仿宋" w:cs="仿宋"/>
                <w:b/>
                <w:bCs/>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textAlignment w:val="auto"/>
              <w:outlineLvl w:val="9"/>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小写：_________________________</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textAlignment w:val="auto"/>
              <w:outlineLvl w:val="9"/>
              <w:rPr>
                <w:rFonts w:hint="eastAsia" w:ascii="仿宋" w:hAnsi="仿宋" w:eastAsia="仿宋" w:cs="仿宋"/>
                <w:b/>
                <w:bCs/>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textAlignment w:val="auto"/>
              <w:outlineLvl w:val="9"/>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大写：_________________________</w:t>
            </w:r>
          </w:p>
          <w:p>
            <w:pPr>
              <w:keepNext w:val="0"/>
              <w:keepLines w:val="0"/>
              <w:pageBreakBefore w:val="0"/>
              <w:widowControl w:val="0"/>
              <w:kinsoku/>
              <w:wordWrap/>
              <w:overflowPunct/>
              <w:topLinePunct w:val="0"/>
              <w:autoSpaceDE/>
              <w:autoSpaceDN/>
              <w:bidi w:val="0"/>
              <w:adjustRightInd w:val="0"/>
              <w:snapToGrid w:val="0"/>
              <w:spacing w:line="288" w:lineRule="auto"/>
              <w:ind w:left="0" w:leftChars="0" w:right="0" w:rightChars="0" w:firstLine="0" w:firstLineChars="0"/>
              <w:textAlignment w:val="auto"/>
              <w:outlineLvl w:val="9"/>
              <w:rPr>
                <w:rFonts w:hint="eastAsia" w:ascii="仿宋" w:hAnsi="仿宋" w:eastAsia="仿宋" w:cs="仿宋"/>
                <w:b/>
                <w:bCs/>
                <w:color w:val="auto"/>
                <w:szCs w:val="21"/>
                <w:highlight w:val="none"/>
              </w:rPr>
            </w:pPr>
          </w:p>
        </w:tc>
      </w:tr>
    </w:tbl>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outlineLvl w:val="9"/>
        <w:rPr>
          <w:rFonts w:hint="eastAsia" w:ascii="仿宋" w:hAnsi="仿宋" w:eastAsia="仿宋" w:cs="仿宋"/>
          <w:color w:val="auto"/>
          <w:spacing w:val="-6"/>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outlineLvl w:val="9"/>
        <w:rPr>
          <w:rFonts w:hint="eastAsia" w:ascii="仿宋" w:hAnsi="仿宋" w:eastAsia="仿宋" w:cs="仿宋"/>
          <w:b/>
          <w:bCs/>
          <w:color w:val="auto"/>
          <w:spacing w:val="-6"/>
          <w:sz w:val="18"/>
          <w:szCs w:val="18"/>
          <w:highlight w:val="none"/>
        </w:rPr>
      </w:pPr>
      <w:r>
        <w:rPr>
          <w:rFonts w:hint="eastAsia" w:ascii="仿宋" w:hAnsi="仿宋" w:eastAsia="仿宋" w:cs="仿宋"/>
          <w:b/>
          <w:bCs/>
          <w:color w:val="auto"/>
          <w:spacing w:val="-6"/>
          <w:sz w:val="18"/>
          <w:szCs w:val="18"/>
          <w:highlight w:val="none"/>
        </w:rPr>
        <w:t>说明：此表在不改变格式要求的情况下可自行增行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outlineLvl w:val="9"/>
        <w:rPr>
          <w:rFonts w:hint="eastAsia" w:ascii="仿宋" w:hAnsi="仿宋" w:eastAsia="仿宋" w:cs="仿宋"/>
          <w:b/>
          <w:bCs/>
          <w:color w:val="auto"/>
          <w:spacing w:val="-6"/>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outlineLvl w:val="9"/>
        <w:rPr>
          <w:rFonts w:hint="eastAsia" w:ascii="仿宋" w:hAnsi="仿宋" w:eastAsia="仿宋" w:cs="仿宋"/>
          <w:b/>
          <w:bCs/>
          <w:color w:val="auto"/>
          <w:spacing w:val="-6"/>
          <w:szCs w:val="21"/>
          <w:highlight w:val="none"/>
        </w:rPr>
      </w:pP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投标人名称（公章）：</w:t>
      </w:r>
    </w:p>
    <w:p>
      <w:pPr>
        <w:pStyle w:val="15"/>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仿宋" w:hAnsi="仿宋" w:eastAsia="仿宋" w:cs="仿宋"/>
          <w:b/>
          <w:bCs/>
          <w:color w:val="auto"/>
          <w:spacing w:val="-6"/>
          <w:sz w:val="21"/>
          <w:szCs w:val="21"/>
          <w:highlight w:val="none"/>
        </w:rPr>
      </w:pPr>
      <w:r>
        <w:rPr>
          <w:rFonts w:hint="eastAsia" w:ascii="仿宋" w:hAnsi="仿宋" w:eastAsia="仿宋" w:cs="仿宋"/>
          <w:b/>
          <w:bCs/>
          <w:color w:val="auto"/>
          <w:spacing w:val="-6"/>
          <w:sz w:val="21"/>
          <w:szCs w:val="21"/>
          <w:highlight w:val="none"/>
        </w:rPr>
        <w:t>投标人代表（签字）：</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outlineLvl w:val="9"/>
        <w:rPr>
          <w:rFonts w:hint="eastAsia" w:ascii="仿宋" w:hAnsi="仿宋" w:eastAsia="仿宋" w:cs="仿宋"/>
          <w:b/>
          <w:bCs/>
          <w:color w:val="auto"/>
          <w:spacing w:val="-6"/>
          <w:sz w:val="21"/>
          <w:szCs w:val="21"/>
          <w:highlight w:val="none"/>
        </w:rPr>
        <w:sectPr>
          <w:footerReference r:id="rId14" w:type="default"/>
          <w:pgSz w:w="11906" w:h="16838"/>
          <w:pgMar w:top="1440" w:right="1247" w:bottom="1440" w:left="1247" w:header="283" w:footer="850" w:gutter="0"/>
          <w:pgBorders>
            <w:top w:val="none" w:sz="0" w:space="0"/>
            <w:left w:val="none" w:sz="0" w:space="0"/>
            <w:bottom w:val="none" w:sz="0" w:space="0"/>
            <w:right w:val="none" w:sz="0" w:space="0"/>
          </w:pgBorders>
          <w:pgNumType w:fmt="decimal"/>
          <w:cols w:space="0" w:num="1"/>
          <w:rtlGutter w:val="0"/>
          <w:docGrid w:linePitch="381" w:charSpace="0"/>
        </w:sectPr>
      </w:pPr>
      <w:r>
        <w:rPr>
          <w:rFonts w:hint="eastAsia" w:ascii="仿宋" w:hAnsi="仿宋" w:eastAsia="仿宋" w:cs="仿宋"/>
          <w:b/>
          <w:bCs/>
          <w:color w:val="auto"/>
          <w:spacing w:val="-6"/>
          <w:sz w:val="21"/>
          <w:szCs w:val="21"/>
          <w:highlight w:val="none"/>
        </w:rPr>
        <w:t>日期：     年   月   日</w:t>
      </w:r>
    </w:p>
    <w:p>
      <w:pPr>
        <w:keepNext w:val="0"/>
        <w:keepLines w:val="0"/>
        <w:pageBreakBefore w:val="0"/>
        <w:widowControl w:val="0"/>
        <w:kinsoku/>
        <w:wordWrap/>
        <w:overflowPunct/>
        <w:topLinePunct w:val="0"/>
        <w:autoSpaceDE/>
        <w:autoSpaceDN/>
        <w:bidi w:val="0"/>
        <w:spacing w:line="360" w:lineRule="auto"/>
        <w:ind w:left="0" w:leftChars="0" w:right="0" w:rightChars="0" w:firstLine="0" w:firstLineChars="0"/>
        <w:jc w:val="center"/>
        <w:textAlignment w:val="auto"/>
        <w:outlineLvl w:val="2"/>
        <w:rPr>
          <w:rFonts w:hint="eastAsia"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t>中小企业声明函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仿宋" w:hAnsi="仿宋" w:eastAsia="仿宋" w:cs="仿宋"/>
          <w:b/>
          <w:color w:val="auto"/>
          <w:sz w:val="18"/>
          <w:szCs w:val="18"/>
          <w:highlight w:val="none"/>
        </w:rPr>
      </w:pPr>
      <w:r>
        <w:rPr>
          <w:rFonts w:hint="eastAsia" w:ascii="仿宋" w:hAnsi="仿宋" w:eastAsia="仿宋" w:cs="仿宋"/>
          <w:b/>
          <w:color w:val="auto"/>
          <w:spacing w:val="-6"/>
          <w:sz w:val="18"/>
          <w:szCs w:val="18"/>
          <w:highlight w:val="none"/>
        </w:rPr>
        <w:t>（若属于中小企业）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本公司郑重声明，根据《政府采购促进中小企业发展管理办法》（财库</w:t>
      </w:r>
      <w:r>
        <w:rPr>
          <w:rFonts w:hint="eastAsia" w:ascii="仿宋" w:hAnsi="仿宋" w:eastAsia="仿宋" w:cs="仿宋"/>
          <w:color w:val="auto"/>
          <w:szCs w:val="21"/>
          <w:highlight w:val="none"/>
          <w:lang w:eastAsia="zh-CN"/>
        </w:rPr>
        <w:t>[2020]46</w:t>
      </w:r>
      <w:r>
        <w:rPr>
          <w:rFonts w:hint="eastAsia" w:ascii="仿宋" w:hAnsi="仿宋" w:eastAsia="仿宋" w:cs="仿宋"/>
          <w:color w:val="auto"/>
          <w:szCs w:val="21"/>
          <w:highlight w:val="none"/>
        </w:rPr>
        <w:t>号）的规定，本公司参加</w:t>
      </w:r>
      <w:r>
        <w:rPr>
          <w:rFonts w:hint="eastAsia" w:ascii="仿宋" w:hAnsi="仿宋" w:eastAsia="仿宋" w:cs="仿宋"/>
          <w:bCs/>
          <w:color w:val="auto"/>
          <w:spacing w:val="-6"/>
          <w:szCs w:val="21"/>
          <w:highlight w:val="none"/>
          <w:lang w:eastAsia="zh-CN"/>
        </w:rPr>
        <w:t>之江实验室</w:t>
      </w:r>
      <w:r>
        <w:rPr>
          <w:rFonts w:hint="eastAsia" w:ascii="仿宋" w:hAnsi="仿宋" w:eastAsia="仿宋" w:cs="仿宋"/>
          <w:color w:val="auto"/>
          <w:szCs w:val="21"/>
          <w:highlight w:val="none"/>
        </w:rPr>
        <w:t>的</w:t>
      </w:r>
      <w:r>
        <w:rPr>
          <w:rFonts w:hint="eastAsia" w:ascii="仿宋" w:hAnsi="仿宋" w:eastAsia="仿宋" w:cs="仿宋"/>
          <w:bCs/>
          <w:color w:val="auto"/>
          <w:spacing w:val="-6"/>
          <w:szCs w:val="21"/>
          <w:highlight w:val="none"/>
          <w:lang w:eastAsia="zh-CN"/>
        </w:rPr>
        <w:t>之江实验室智能计算育种数字反应堆平台专业实验室家具项目</w:t>
      </w:r>
      <w:r>
        <w:rPr>
          <w:rFonts w:hint="eastAsia" w:ascii="仿宋" w:hAnsi="仿宋" w:eastAsia="仿宋" w:cs="仿宋"/>
          <w:color w:val="auto"/>
          <w:szCs w:val="21"/>
          <w:highlight w:val="none"/>
        </w:rPr>
        <w:t>采购活动，提供的货物全部由符合政策要求的中小企业制造。相关企业的具体情况如下：</w:t>
      </w:r>
    </w:p>
    <w:p>
      <w:pPr>
        <w:adjustRightInd w:val="0"/>
        <w:snapToGrid w:val="0"/>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1.</w:t>
      </w:r>
      <w:r>
        <w:rPr>
          <w:rFonts w:hint="eastAsia" w:ascii="仿宋" w:hAnsi="仿宋" w:eastAsia="仿宋" w:cs="仿宋"/>
          <w:color w:val="auto"/>
          <w:szCs w:val="21"/>
          <w:highlight w:val="none"/>
          <w:u w:val="single"/>
          <w:lang w:val="en-US" w:eastAsia="zh-CN"/>
        </w:rPr>
        <w:t xml:space="preserve">             </w:t>
      </w:r>
      <w:r>
        <w:rPr>
          <w:rFonts w:hint="eastAsia" w:ascii="仿宋" w:hAnsi="仿宋" w:eastAsia="仿宋" w:cs="仿宋"/>
          <w:color w:val="auto"/>
          <w:szCs w:val="21"/>
          <w:highlight w:val="none"/>
          <w:u w:val="none"/>
          <w:lang w:val="en-US" w:eastAsia="zh-CN"/>
        </w:rPr>
        <w:t>（标的名称）</w:t>
      </w:r>
      <w:r>
        <w:rPr>
          <w:rFonts w:hint="eastAsia" w:ascii="仿宋" w:hAnsi="仿宋" w:eastAsia="仿宋" w:cs="仿宋"/>
          <w:color w:val="auto"/>
          <w:szCs w:val="21"/>
          <w:highlight w:val="none"/>
        </w:rPr>
        <w:t>，属于工业；制造商为</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，从业人员</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人，营业收入为</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万元，资产总额为</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万元，属于</w:t>
      </w:r>
      <w:r>
        <w:rPr>
          <w:rFonts w:hint="eastAsia" w:ascii="MS Gothic" w:hAnsi="MS Gothic" w:eastAsia="仿宋" w:cs="仿宋"/>
          <w:color w:val="auto"/>
          <w:kern w:val="0"/>
          <w:szCs w:val="21"/>
          <w:highlight w:val="none"/>
        </w:rPr>
        <w:t>☐</w:t>
      </w:r>
      <w:r>
        <w:rPr>
          <w:rFonts w:hint="eastAsia" w:ascii="仿宋" w:hAnsi="仿宋" w:eastAsia="仿宋" w:cs="仿宋"/>
          <w:iCs/>
          <w:color w:val="auto"/>
          <w:szCs w:val="21"/>
          <w:highlight w:val="none"/>
        </w:rPr>
        <w:t>中型企业</w:t>
      </w:r>
      <w:r>
        <w:rPr>
          <w:rFonts w:hint="eastAsia" w:ascii="仿宋" w:hAnsi="仿宋" w:eastAsia="仿宋" w:cs="仿宋"/>
          <w:color w:val="auto"/>
          <w:kern w:val="0"/>
          <w:szCs w:val="21"/>
          <w:highlight w:val="none"/>
        </w:rPr>
        <w:t>☐</w:t>
      </w:r>
      <w:r>
        <w:rPr>
          <w:rFonts w:hint="eastAsia" w:ascii="仿宋" w:hAnsi="仿宋" w:eastAsia="仿宋" w:cs="仿宋"/>
          <w:iCs/>
          <w:color w:val="auto"/>
          <w:szCs w:val="21"/>
          <w:highlight w:val="none"/>
        </w:rPr>
        <w:t>小型企业</w:t>
      </w:r>
      <w:r>
        <w:rPr>
          <w:rFonts w:hint="eastAsia" w:ascii="仿宋" w:hAnsi="仿宋" w:eastAsia="仿宋" w:cs="仿宋"/>
          <w:color w:val="auto"/>
          <w:kern w:val="0"/>
          <w:szCs w:val="21"/>
          <w:highlight w:val="none"/>
        </w:rPr>
        <w:t>☐</w:t>
      </w:r>
      <w:r>
        <w:rPr>
          <w:rFonts w:hint="eastAsia" w:ascii="仿宋" w:hAnsi="仿宋" w:eastAsia="仿宋" w:cs="仿宋"/>
          <w:iCs/>
          <w:color w:val="auto"/>
          <w:szCs w:val="21"/>
          <w:highlight w:val="none"/>
        </w:rPr>
        <w:t>微型企业；</w:t>
      </w:r>
    </w:p>
    <w:p>
      <w:pPr>
        <w:adjustRightInd w:val="0"/>
        <w:snapToGrid w:val="0"/>
        <w:spacing w:line="360" w:lineRule="auto"/>
        <w:ind w:firstLine="420" w:firstLineChars="200"/>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rPr>
        <w:t>2.</w:t>
      </w:r>
      <w:r>
        <w:rPr>
          <w:rFonts w:hint="eastAsia" w:ascii="仿宋" w:hAnsi="仿宋" w:eastAsia="仿宋" w:cs="仿宋"/>
          <w:color w:val="auto"/>
          <w:szCs w:val="21"/>
          <w:highlight w:val="none"/>
          <w:u w:val="single"/>
          <w:lang w:val="en-US" w:eastAsia="zh-CN"/>
        </w:rPr>
        <w:t xml:space="preserve">            </w:t>
      </w:r>
      <w:r>
        <w:rPr>
          <w:rFonts w:hint="eastAsia" w:ascii="仿宋" w:hAnsi="仿宋" w:eastAsia="仿宋" w:cs="仿宋"/>
          <w:color w:val="auto"/>
          <w:szCs w:val="21"/>
          <w:highlight w:val="none"/>
          <w:u w:val="none"/>
          <w:lang w:val="en-US" w:eastAsia="zh-CN"/>
        </w:rPr>
        <w:t>（标的名称）</w:t>
      </w:r>
      <w:r>
        <w:rPr>
          <w:rFonts w:hint="eastAsia" w:ascii="仿宋" w:hAnsi="仿宋" w:eastAsia="仿宋" w:cs="仿宋"/>
          <w:color w:val="auto"/>
          <w:szCs w:val="21"/>
          <w:highlight w:val="none"/>
        </w:rPr>
        <w:t>，属于工业；制造商为</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，从业人员</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人，营业收入为</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万元，资产总额为</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万元，属于</w:t>
      </w:r>
      <w:r>
        <w:rPr>
          <w:rFonts w:hint="eastAsia" w:ascii="MS Gothic" w:hAnsi="MS Gothic" w:eastAsia="仿宋" w:cs="仿宋"/>
          <w:color w:val="auto"/>
          <w:kern w:val="0"/>
          <w:szCs w:val="21"/>
          <w:highlight w:val="none"/>
        </w:rPr>
        <w:t>☐</w:t>
      </w:r>
      <w:r>
        <w:rPr>
          <w:rFonts w:hint="eastAsia" w:ascii="仿宋" w:hAnsi="仿宋" w:eastAsia="仿宋" w:cs="仿宋"/>
          <w:iCs/>
          <w:color w:val="auto"/>
          <w:szCs w:val="21"/>
          <w:highlight w:val="none"/>
        </w:rPr>
        <w:t>中型企业</w:t>
      </w:r>
      <w:r>
        <w:rPr>
          <w:rFonts w:hint="eastAsia" w:ascii="仿宋" w:hAnsi="仿宋" w:eastAsia="仿宋" w:cs="仿宋"/>
          <w:color w:val="auto"/>
          <w:kern w:val="0"/>
          <w:szCs w:val="21"/>
          <w:highlight w:val="none"/>
        </w:rPr>
        <w:t>☐</w:t>
      </w:r>
      <w:r>
        <w:rPr>
          <w:rFonts w:hint="eastAsia" w:ascii="仿宋" w:hAnsi="仿宋" w:eastAsia="仿宋" w:cs="仿宋"/>
          <w:iCs/>
          <w:color w:val="auto"/>
          <w:szCs w:val="21"/>
          <w:highlight w:val="none"/>
        </w:rPr>
        <w:t>小型企业</w:t>
      </w:r>
      <w:r>
        <w:rPr>
          <w:rFonts w:hint="eastAsia" w:ascii="仿宋" w:hAnsi="仿宋" w:eastAsia="仿宋" w:cs="仿宋"/>
          <w:color w:val="auto"/>
          <w:kern w:val="0"/>
          <w:szCs w:val="21"/>
          <w:highlight w:val="none"/>
        </w:rPr>
        <w:t>☐</w:t>
      </w:r>
      <w:r>
        <w:rPr>
          <w:rFonts w:hint="eastAsia" w:ascii="仿宋" w:hAnsi="仿宋" w:eastAsia="仿宋" w:cs="仿宋"/>
          <w:iCs/>
          <w:color w:val="auto"/>
          <w:szCs w:val="21"/>
          <w:highlight w:val="none"/>
        </w:rPr>
        <w:t>微型企业</w:t>
      </w:r>
      <w:r>
        <w:rPr>
          <w:rFonts w:hint="eastAsia" w:ascii="仿宋" w:hAnsi="仿宋" w:eastAsia="仿宋" w:cs="仿宋"/>
          <w:iCs/>
          <w:color w:val="auto"/>
          <w:szCs w:val="21"/>
          <w:highlight w:val="none"/>
          <w:lang w:eastAsia="zh-CN"/>
        </w:rPr>
        <w:t>；</w:t>
      </w:r>
    </w:p>
    <w:p>
      <w:pPr>
        <w:adjustRightInd w:val="0"/>
        <w:snapToGrid w:val="0"/>
        <w:spacing w:line="360" w:lineRule="auto"/>
        <w:ind w:firstLine="422" w:firstLineChars="200"/>
        <w:rPr>
          <w:rFonts w:hint="eastAsia" w:ascii="仿宋" w:hAnsi="仿宋" w:eastAsia="仿宋" w:cs="仿宋"/>
          <w:color w:val="auto"/>
          <w:szCs w:val="21"/>
          <w:highlight w:val="none"/>
        </w:rPr>
      </w:pPr>
      <w:r>
        <w:rPr>
          <w:rFonts w:hint="eastAsia" w:ascii="仿宋" w:hAnsi="仿宋" w:eastAsia="仿宋" w:cs="仿宋"/>
          <w:b/>
          <w:bCs/>
          <w:color w:val="auto"/>
          <w:szCs w:val="21"/>
          <w:highlight w:val="none"/>
          <w:lang w:val="en-US" w:eastAsia="zh-CN"/>
        </w:rPr>
        <w:t>……（根据采购内容自行增行）</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以上企业，不属于大企业的分支机构，不存在控股股东为大企业的情形，也不存在与大企业的负责人为同一人的情形。</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本企业对上述声明内容的真实性负责。如有虚假，将依法承担相应责任。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企业名称（盖章）：</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日期：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jc w:val="both"/>
        <w:textAlignment w:val="auto"/>
        <w:outlineLvl w:val="9"/>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61" w:firstLineChars="20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61" w:firstLineChars="20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1.中小企业参加采购活动，应当出具财库</w:t>
      </w:r>
      <w:r>
        <w:rPr>
          <w:rFonts w:hint="eastAsia" w:ascii="仿宋" w:hAnsi="仿宋" w:eastAsia="仿宋" w:cs="仿宋"/>
          <w:b/>
          <w:bCs/>
          <w:color w:val="auto"/>
          <w:sz w:val="18"/>
          <w:szCs w:val="18"/>
          <w:highlight w:val="none"/>
          <w:lang w:eastAsia="zh-CN"/>
        </w:rPr>
        <w:t>[2020]46</w:t>
      </w:r>
      <w:r>
        <w:rPr>
          <w:rFonts w:hint="eastAsia" w:ascii="仿宋" w:hAnsi="仿宋" w:eastAsia="仿宋" w:cs="仿宋"/>
          <w:b/>
          <w:bCs/>
          <w:color w:val="auto"/>
          <w:sz w:val="18"/>
          <w:szCs w:val="18"/>
          <w:highlight w:val="none"/>
        </w:rPr>
        <w:t>号文件规定的《中小企业声明函》，否则不得享受相关中小企业扶持政策</w:t>
      </w:r>
      <w:r>
        <w:rPr>
          <w:rFonts w:hint="eastAsia" w:ascii="仿宋" w:hAnsi="仿宋" w:eastAsia="仿宋" w:cs="仿宋"/>
          <w:b/>
          <w:bCs/>
          <w:color w:val="auto"/>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61" w:firstLineChars="20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2.从业人员、营业收入、资产总额填报上一年度数据，无上一年度数据的新成立企业可不填报</w:t>
      </w:r>
      <w:r>
        <w:rPr>
          <w:rFonts w:hint="eastAsia" w:ascii="仿宋" w:hAnsi="仿宋" w:eastAsia="仿宋" w:cs="仿宋"/>
          <w:b/>
          <w:bCs/>
          <w:color w:val="auto"/>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61" w:firstLineChars="20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3.《中小企业声明函》填写不全的，视为未提供《中小企业声明函》（从业人员、营业收入、资产总额在中小企业划型标准规定中不涉及的除外），不享受价格优惠</w:t>
      </w:r>
      <w:r>
        <w:rPr>
          <w:rFonts w:hint="eastAsia" w:ascii="仿宋" w:hAnsi="仿宋" w:eastAsia="仿宋" w:cs="仿宋"/>
          <w:b/>
          <w:bCs/>
          <w:color w:val="auto"/>
          <w:sz w:val="18"/>
          <w:szCs w:val="18"/>
          <w:highlight w:val="none"/>
          <w:lang w:val="en-US" w:eastAsia="zh-CN"/>
        </w:rPr>
        <w:t>;</w:t>
      </w:r>
      <w:r>
        <w:rPr>
          <w:rFonts w:hint="eastAsia" w:ascii="仿宋" w:hAnsi="仿宋" w:eastAsia="仿宋" w:cs="仿宋"/>
          <w:b/>
          <w:bCs/>
          <w:color w:val="auto"/>
          <w:sz w:val="18"/>
          <w:szCs w:val="18"/>
          <w:highlight w:val="none"/>
        </w:rPr>
        <w:t>如项目包含“多件”标的物的需按标的物项数逐项填写；</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61" w:firstLineChars="200"/>
        <w:jc w:val="both"/>
        <w:textAlignment w:val="auto"/>
        <w:outlineLvl w:val="9"/>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4.投标人提供《中小企业声明函》内容不实的，属于提供虚假材料谋取中标，</w:t>
      </w:r>
      <w:r>
        <w:rPr>
          <w:rFonts w:hint="eastAsia" w:ascii="仿宋" w:hAnsi="仿宋" w:eastAsia="仿宋" w:cs="仿宋"/>
          <w:b/>
          <w:bCs/>
          <w:color w:val="auto"/>
          <w:sz w:val="18"/>
          <w:szCs w:val="18"/>
          <w:highlight w:val="none"/>
          <w:lang w:val="en-US" w:eastAsia="zh-CN"/>
        </w:rPr>
        <w:t>参照</w:t>
      </w:r>
      <w:r>
        <w:rPr>
          <w:rFonts w:hint="eastAsia" w:ascii="仿宋" w:hAnsi="仿宋" w:eastAsia="仿宋" w:cs="仿宋"/>
          <w:b/>
          <w:bCs/>
          <w:color w:val="auto"/>
          <w:sz w:val="18"/>
          <w:szCs w:val="18"/>
          <w:highlight w:val="none"/>
        </w:rPr>
        <w:t>《中华人民共和国政府采购法》等国家有关规定追究相应责任</w:t>
      </w:r>
      <w:r>
        <w:rPr>
          <w:rFonts w:hint="eastAsia" w:ascii="仿宋" w:hAnsi="仿宋" w:eastAsia="仿宋" w:cs="仿宋"/>
          <w:b/>
          <w:bCs/>
          <w:color w:val="auto"/>
          <w:sz w:val="18"/>
          <w:szCs w:val="18"/>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361" w:firstLineChars="200"/>
        <w:jc w:val="both"/>
        <w:textAlignment w:val="auto"/>
        <w:outlineLvl w:val="9"/>
        <w:rPr>
          <w:rFonts w:hint="eastAsia" w:ascii="仿宋" w:hAnsi="仿宋" w:eastAsia="仿宋" w:cs="仿宋"/>
          <w:color w:val="auto"/>
          <w:sz w:val="18"/>
          <w:szCs w:val="18"/>
          <w:highlight w:val="none"/>
        </w:rPr>
      </w:pPr>
      <w:r>
        <w:rPr>
          <w:rFonts w:hint="eastAsia" w:ascii="仿宋" w:hAnsi="仿宋" w:eastAsia="仿宋" w:cs="仿宋"/>
          <w:b/>
          <w:bCs/>
          <w:color w:val="auto"/>
          <w:sz w:val="18"/>
          <w:szCs w:val="18"/>
          <w:highlight w:val="none"/>
        </w:rPr>
        <w:t>5.本项目仅以《中小企业声明函》作为评判投标人是否属于中小企业的唯一依据。</w:t>
      </w:r>
    </w:p>
    <w:p>
      <w:pPr>
        <w:widowControl/>
        <w:adjustRightInd w:val="0"/>
        <w:snapToGrid w:val="0"/>
        <w:spacing w:line="288" w:lineRule="auto"/>
        <w:ind w:firstLine="495" w:firstLineChars="236"/>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br w:type="page"/>
      </w:r>
    </w:p>
    <w:p>
      <w:pPr>
        <w:keepNext w:val="0"/>
        <w:keepLines w:val="0"/>
        <w:pageBreakBefore w:val="0"/>
        <w:widowControl w:val="0"/>
        <w:kinsoku/>
        <w:wordWrap/>
        <w:overflowPunct/>
        <w:topLinePunct w:val="0"/>
        <w:autoSpaceDE/>
        <w:autoSpaceDN/>
        <w:bidi w:val="0"/>
        <w:spacing w:line="360" w:lineRule="auto"/>
        <w:ind w:left="0" w:leftChars="0" w:right="0" w:rightChars="0" w:firstLine="0" w:firstLineChars="0"/>
        <w:jc w:val="center"/>
        <w:textAlignment w:val="auto"/>
        <w:outlineLvl w:val="2"/>
        <w:rPr>
          <w:rFonts w:hint="eastAsia"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t>属于监狱企业的证明文件</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仿宋" w:hAnsi="仿宋" w:eastAsia="仿宋" w:cs="仿宋"/>
          <w:b/>
          <w:color w:val="auto"/>
          <w:spacing w:val="-6"/>
          <w:sz w:val="18"/>
          <w:szCs w:val="18"/>
          <w:highlight w:val="none"/>
        </w:rPr>
      </w:pPr>
      <w:r>
        <w:rPr>
          <w:rFonts w:hint="eastAsia" w:ascii="仿宋" w:hAnsi="仿宋" w:eastAsia="仿宋" w:cs="仿宋"/>
          <w:b/>
          <w:color w:val="auto"/>
          <w:spacing w:val="-6"/>
          <w:sz w:val="18"/>
          <w:szCs w:val="18"/>
          <w:highlight w:val="none"/>
        </w:rPr>
        <w:t>（若属于监狱企业）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textAlignment w:val="auto"/>
        <w:rPr>
          <w:rFonts w:hint="eastAsia" w:ascii="仿宋" w:hAnsi="仿宋" w:eastAsia="仿宋" w:cs="仿宋"/>
          <w:b/>
          <w:bCs/>
          <w:color w:val="auto"/>
          <w:kern w:val="0"/>
          <w:sz w:val="18"/>
          <w:szCs w:val="18"/>
          <w:highlight w:val="none"/>
        </w:rPr>
      </w:pPr>
      <w:r>
        <w:rPr>
          <w:rFonts w:hint="eastAsia" w:ascii="仿宋" w:hAnsi="仿宋" w:eastAsia="仿宋" w:cs="仿宋"/>
          <w:b/>
          <w:bCs/>
          <w:color w:val="auto"/>
          <w:sz w:val="18"/>
          <w:szCs w:val="18"/>
          <w:highlight w:val="none"/>
        </w:rPr>
        <w:t>说明：</w:t>
      </w:r>
      <w:r>
        <w:rPr>
          <w:rFonts w:hint="eastAsia" w:ascii="仿宋" w:hAnsi="仿宋" w:eastAsia="仿宋" w:cs="仿宋"/>
          <w:b/>
          <w:bCs/>
          <w:color w:val="auto"/>
          <w:kern w:val="0"/>
          <w:sz w:val="18"/>
          <w:szCs w:val="18"/>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在政府采购活动中，监狱企业视同小型、微型企业，享受预留份额、评审中价格扣除等政府采购促进中小企业发展的政府采购政策。</w:t>
      </w:r>
    </w:p>
    <w:p>
      <w:pPr>
        <w:widowControl/>
        <w:adjustRightInd w:val="0"/>
        <w:snapToGrid w:val="0"/>
        <w:spacing w:line="288" w:lineRule="auto"/>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spacing w:line="360" w:lineRule="auto"/>
        <w:ind w:left="0" w:leftChars="0" w:right="0" w:rightChars="0"/>
        <w:jc w:val="center"/>
        <w:textAlignment w:val="auto"/>
        <w:outlineLvl w:val="2"/>
        <w:rPr>
          <w:rFonts w:hint="eastAsia"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t>残疾人福利性单位声明函</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jc w:val="center"/>
        <w:textAlignment w:val="auto"/>
        <w:outlineLvl w:val="9"/>
        <w:rPr>
          <w:rFonts w:hint="eastAsia" w:ascii="仿宋" w:hAnsi="仿宋" w:eastAsia="仿宋" w:cs="仿宋"/>
          <w:b/>
          <w:color w:val="auto"/>
          <w:spacing w:val="6"/>
          <w:szCs w:val="21"/>
          <w:highlight w:val="none"/>
        </w:rPr>
      </w:pPr>
      <w:r>
        <w:rPr>
          <w:rFonts w:hint="eastAsia" w:ascii="仿宋" w:hAnsi="仿宋" w:eastAsia="仿宋" w:cs="仿宋"/>
          <w:b/>
          <w:color w:val="auto"/>
          <w:spacing w:val="-6"/>
          <w:sz w:val="18"/>
          <w:szCs w:val="18"/>
          <w:highlight w:val="none"/>
        </w:rPr>
        <w:t>（若属于残疾人福利性单位）</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44"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本单位郑重声明，根据《财政部 民政部 中国残疾人联合会关于促进残疾人就业政府采购政策的通知》（财库</w:t>
      </w:r>
      <w:r>
        <w:rPr>
          <w:rFonts w:hint="eastAsia" w:ascii="仿宋" w:hAnsi="仿宋" w:eastAsia="仿宋" w:cs="仿宋"/>
          <w:color w:val="auto"/>
          <w:spacing w:val="6"/>
          <w:szCs w:val="21"/>
          <w:highlight w:val="none"/>
          <w:lang w:val="en-US" w:eastAsia="zh-CN"/>
        </w:rPr>
        <w:t>[</w:t>
      </w:r>
      <w:r>
        <w:rPr>
          <w:rFonts w:hint="eastAsia" w:ascii="仿宋" w:hAnsi="仿宋" w:eastAsia="仿宋" w:cs="仿宋"/>
          <w:color w:val="auto"/>
          <w:szCs w:val="21"/>
          <w:highlight w:val="none"/>
        </w:rPr>
        <w:t>2017</w:t>
      </w:r>
      <w:r>
        <w:rPr>
          <w:rFonts w:hint="eastAsia" w:ascii="仿宋" w:hAnsi="仿宋" w:eastAsia="仿宋" w:cs="仿宋"/>
          <w:color w:val="auto"/>
          <w:szCs w:val="21"/>
          <w:highlight w:val="none"/>
          <w:lang w:val="en-US" w:eastAsia="zh-CN"/>
        </w:rPr>
        <w:t>]</w:t>
      </w:r>
      <w:r>
        <w:rPr>
          <w:rFonts w:hint="eastAsia" w:ascii="仿宋" w:hAnsi="仿宋" w:eastAsia="仿宋" w:cs="仿宋"/>
          <w:color w:val="auto"/>
          <w:szCs w:val="21"/>
          <w:highlight w:val="none"/>
        </w:rPr>
        <w:t>141</w:t>
      </w:r>
      <w:r>
        <w:rPr>
          <w:rFonts w:hint="eastAsia" w:ascii="仿宋" w:hAnsi="仿宋" w:eastAsia="仿宋" w:cs="仿宋"/>
          <w:color w:val="auto"/>
          <w:spacing w:val="6"/>
          <w:szCs w:val="21"/>
          <w:highlight w:val="none"/>
        </w:rPr>
        <w:t>号）的规定，</w:t>
      </w:r>
      <w:r>
        <w:rPr>
          <w:rFonts w:hint="eastAsia" w:ascii="仿宋" w:hAnsi="仿宋" w:eastAsia="仿宋" w:cs="仿宋"/>
          <w:b/>
          <w:bCs/>
          <w:color w:val="auto"/>
          <w:spacing w:val="6"/>
          <w:szCs w:val="21"/>
          <w:highlight w:val="none"/>
        </w:rPr>
        <w:t>本单位为符合条件的残疾人福利性单位</w:t>
      </w:r>
      <w:r>
        <w:rPr>
          <w:rFonts w:hint="eastAsia" w:ascii="仿宋" w:hAnsi="仿宋" w:eastAsia="仿宋" w:cs="仿宋"/>
          <w:color w:val="auto"/>
          <w:spacing w:val="6"/>
          <w:szCs w:val="21"/>
          <w:highlight w:val="none"/>
        </w:rPr>
        <w:t>，且本单位参加</w:t>
      </w:r>
      <w:r>
        <w:rPr>
          <w:rFonts w:hint="eastAsia" w:ascii="仿宋" w:hAnsi="仿宋" w:eastAsia="仿宋" w:cs="仿宋"/>
          <w:bCs/>
          <w:color w:val="auto"/>
          <w:spacing w:val="-6"/>
          <w:szCs w:val="21"/>
          <w:highlight w:val="none"/>
          <w:lang w:eastAsia="zh-CN"/>
        </w:rPr>
        <w:t>之江实验室</w:t>
      </w:r>
      <w:r>
        <w:rPr>
          <w:rFonts w:hint="eastAsia" w:ascii="仿宋" w:hAnsi="仿宋" w:eastAsia="仿宋" w:cs="仿宋"/>
          <w:color w:val="auto"/>
          <w:spacing w:val="6"/>
          <w:szCs w:val="21"/>
          <w:highlight w:val="none"/>
        </w:rPr>
        <w:t>的</w:t>
      </w:r>
      <w:r>
        <w:rPr>
          <w:rFonts w:hint="eastAsia" w:ascii="仿宋" w:hAnsi="仿宋" w:eastAsia="仿宋" w:cs="仿宋"/>
          <w:color w:val="auto"/>
          <w:spacing w:val="6"/>
          <w:szCs w:val="21"/>
          <w:highlight w:val="none"/>
          <w:lang w:eastAsia="zh-CN"/>
        </w:rPr>
        <w:t>之江实验室智能计算育种数字反应堆平台专业实验室家具项目</w:t>
      </w:r>
      <w:r>
        <w:rPr>
          <w:rFonts w:hint="eastAsia" w:ascii="仿宋" w:hAnsi="仿宋" w:eastAsia="仿宋" w:cs="仿宋"/>
          <w:color w:val="auto"/>
          <w:spacing w:val="6"/>
          <w:szCs w:val="21"/>
          <w:highlight w:val="none"/>
        </w:rPr>
        <w:t>采购活动提供本单位制造的货物，或者提供其他残疾人福利性单位制造的货物（不包括使用非残疾人福利性单位注册商标的货物）。</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44"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本单位对上述声明的真实性负责。如有虚假，将依法承担相应责任。</w:t>
      </w:r>
    </w:p>
    <w:p>
      <w:pPr>
        <w:keepNext w:val="0"/>
        <w:keepLines w:val="0"/>
        <w:pageBreakBefore w:val="0"/>
        <w:widowControl w:val="0"/>
        <w:tabs>
          <w:tab w:val="left" w:pos="4860"/>
        </w:tabs>
        <w:kinsoku/>
        <w:wordWrap/>
        <w:overflowPunct/>
        <w:topLinePunct w:val="0"/>
        <w:autoSpaceDE/>
        <w:autoSpaceDN/>
        <w:bidi w:val="0"/>
        <w:adjustRightInd w:val="0"/>
        <w:snapToGrid w:val="0"/>
        <w:spacing w:line="360" w:lineRule="auto"/>
        <w:ind w:left="0" w:leftChars="0" w:right="0" w:rightChars="0" w:firstLine="444" w:firstLineChars="200"/>
        <w:textAlignment w:val="auto"/>
        <w:rPr>
          <w:rFonts w:hint="eastAsia" w:ascii="仿宋" w:hAnsi="仿宋" w:eastAsia="仿宋" w:cs="仿宋"/>
          <w:color w:val="auto"/>
          <w:spacing w:val="6"/>
          <w:szCs w:val="21"/>
          <w:highlight w:val="none"/>
        </w:rPr>
      </w:pPr>
    </w:p>
    <w:p>
      <w:pPr>
        <w:keepNext w:val="0"/>
        <w:keepLines w:val="0"/>
        <w:pageBreakBefore w:val="0"/>
        <w:widowControl w:val="0"/>
        <w:tabs>
          <w:tab w:val="left" w:pos="4860"/>
        </w:tabs>
        <w:kinsoku/>
        <w:wordWrap/>
        <w:overflowPunct/>
        <w:topLinePunct w:val="0"/>
        <w:autoSpaceDE/>
        <w:autoSpaceDN/>
        <w:bidi w:val="0"/>
        <w:adjustRightInd w:val="0"/>
        <w:snapToGrid w:val="0"/>
        <w:spacing w:line="360" w:lineRule="auto"/>
        <w:ind w:left="0" w:leftChars="0" w:right="0" w:rightChars="0" w:firstLine="444" w:firstLineChars="200"/>
        <w:textAlignment w:val="auto"/>
        <w:rPr>
          <w:rFonts w:hint="eastAsia" w:ascii="仿宋" w:hAnsi="仿宋" w:eastAsia="仿宋" w:cs="仿宋"/>
          <w:color w:val="auto"/>
          <w:spacing w:val="6"/>
          <w:szCs w:val="21"/>
          <w:highlight w:val="none"/>
        </w:rPr>
      </w:pPr>
    </w:p>
    <w:p>
      <w:pPr>
        <w:keepNext w:val="0"/>
        <w:keepLines w:val="0"/>
        <w:pageBreakBefore w:val="0"/>
        <w:widowControl w:val="0"/>
        <w:tabs>
          <w:tab w:val="left" w:pos="4860"/>
        </w:tabs>
        <w:kinsoku/>
        <w:wordWrap/>
        <w:overflowPunct/>
        <w:topLinePunct w:val="0"/>
        <w:autoSpaceDE/>
        <w:autoSpaceDN/>
        <w:bidi w:val="0"/>
        <w:adjustRightInd w:val="0"/>
        <w:snapToGrid w:val="0"/>
        <w:spacing w:line="360" w:lineRule="auto"/>
        <w:ind w:left="0" w:leftChars="0" w:right="0" w:rightChars="0" w:firstLine="444" w:firstLineChars="200"/>
        <w:textAlignment w:val="auto"/>
        <w:rPr>
          <w:rFonts w:hint="eastAsia" w:ascii="仿宋" w:hAnsi="仿宋" w:eastAsia="仿宋" w:cs="仿宋"/>
          <w:color w:val="auto"/>
          <w:spacing w:val="6"/>
          <w:szCs w:val="21"/>
          <w:highlight w:val="none"/>
        </w:rPr>
      </w:pPr>
    </w:p>
    <w:p>
      <w:pPr>
        <w:keepNext w:val="0"/>
        <w:keepLines w:val="0"/>
        <w:pageBreakBefore w:val="0"/>
        <w:widowControl w:val="0"/>
        <w:tabs>
          <w:tab w:val="left" w:pos="4860"/>
        </w:tabs>
        <w:kinsoku/>
        <w:wordWrap/>
        <w:overflowPunct/>
        <w:topLinePunct w:val="0"/>
        <w:autoSpaceDE/>
        <w:autoSpaceDN/>
        <w:bidi w:val="0"/>
        <w:adjustRightInd w:val="0"/>
        <w:snapToGrid w:val="0"/>
        <w:spacing w:line="360" w:lineRule="auto"/>
        <w:ind w:left="0" w:leftChars="0" w:right="0" w:rightChars="0" w:firstLine="444"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单位名称（盖章）：</w:t>
      </w:r>
    </w:p>
    <w:p>
      <w:pPr>
        <w:keepNext w:val="0"/>
        <w:keepLines w:val="0"/>
        <w:pageBreakBefore w:val="0"/>
        <w:widowControl w:val="0"/>
        <w:tabs>
          <w:tab w:val="left" w:pos="4860"/>
        </w:tabs>
        <w:kinsoku/>
        <w:wordWrap/>
        <w:overflowPunct/>
        <w:topLinePunct w:val="0"/>
        <w:autoSpaceDE/>
        <w:autoSpaceDN/>
        <w:bidi w:val="0"/>
        <w:adjustRightInd w:val="0"/>
        <w:snapToGrid w:val="0"/>
        <w:spacing w:line="360" w:lineRule="auto"/>
        <w:ind w:left="0" w:leftChars="0" w:right="0" w:rightChars="0" w:firstLine="444" w:firstLineChars="200"/>
        <w:textAlignment w:val="auto"/>
        <w:rPr>
          <w:rFonts w:hint="eastAsia" w:ascii="仿宋" w:hAnsi="仿宋" w:eastAsia="仿宋" w:cs="仿宋"/>
          <w:color w:val="auto"/>
          <w:spacing w:val="6"/>
          <w:szCs w:val="21"/>
          <w:highlight w:val="none"/>
        </w:rPr>
      </w:pPr>
      <w:r>
        <w:rPr>
          <w:rFonts w:hint="eastAsia" w:ascii="仿宋" w:hAnsi="仿宋" w:eastAsia="仿宋" w:cs="仿宋"/>
          <w:color w:val="auto"/>
          <w:spacing w:val="6"/>
          <w:szCs w:val="21"/>
          <w:highlight w:val="none"/>
        </w:rPr>
        <w:t>日期：</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420" w:firstLineChars="200"/>
        <w:textAlignment w:val="auto"/>
        <w:rPr>
          <w:rFonts w:hint="eastAsia" w:ascii="仿宋" w:hAnsi="仿宋" w:eastAsia="仿宋" w:cs="仿宋"/>
          <w:color w:val="auto"/>
          <w:szCs w:val="21"/>
          <w:highlight w:val="none"/>
        </w:rPr>
      </w:pPr>
    </w:p>
    <w:p>
      <w:pPr>
        <w:keepNext w:val="0"/>
        <w:keepLines w:val="0"/>
        <w:pageBreakBefore w:val="0"/>
        <w:kinsoku/>
        <w:wordWrap/>
        <w:overflowPunct/>
        <w:topLinePunct w:val="0"/>
        <w:autoSpaceDE/>
        <w:autoSpaceDN/>
        <w:bidi w:val="0"/>
        <w:adjustRightInd w:val="0"/>
        <w:snapToGrid w:val="0"/>
        <w:spacing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说明：</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lang w:val="en-US" w:eastAsia="zh-CN"/>
        </w:rPr>
        <w:t>1.</w:t>
      </w:r>
      <w:r>
        <w:rPr>
          <w:rFonts w:hint="eastAsia" w:ascii="仿宋" w:hAnsi="仿宋" w:eastAsia="仿宋" w:cs="仿宋"/>
          <w:b/>
          <w:bCs/>
          <w:color w:val="auto"/>
          <w:sz w:val="18"/>
          <w:szCs w:val="18"/>
          <w:highlight w:val="none"/>
        </w:rPr>
        <w:t>享受政府采购支持政策的残疾人福利性单位应当同时满足以下条件：</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（一）安置的残疾人占本单位在职职工人数的比例不低于25%（含25%），并且安置的残疾人人数不少于10人（含10人）；</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（二）依法与安置的每位残疾人签订了一年以上（含一年）的劳动合同或服务协议；</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（三）为安置的每位残疾人按月足额缴纳了基本养老保险、基本医疗保险、失业保险、工伤保险和生育保险等社会保险费；</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（四）通过银行等金融机构向安置的每位残疾人，按月支付了不低于单位所在区县适用的经省级人民政府批准的月最低工资标准的工资；</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（五）提供本单位制造的货物、承担的工程或者服务（以下简称产品），或者提供其他残疾人福利性单位制造的货物（不包括使用非残疾人福利性单位注册商标的货物）。</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lang w:val="en-US" w:eastAsia="zh-CN"/>
        </w:rPr>
        <w:t>2.</w:t>
      </w:r>
      <w:r>
        <w:rPr>
          <w:rFonts w:hint="eastAsia" w:ascii="仿宋" w:hAnsi="仿宋" w:eastAsia="仿宋" w:cs="仿宋"/>
          <w:b/>
          <w:bCs/>
          <w:color w:val="auto"/>
          <w:sz w:val="18"/>
          <w:szCs w:val="18"/>
          <w:highlight w:val="none"/>
        </w:rPr>
        <w:t>符合条件的残疾人福利性单位在参加政府采购活动时，应当提供财库[2017]141号文件规定的《残疾人福利性单位声明函》，并对声明的真实性负责</w:t>
      </w:r>
      <w:r>
        <w:rPr>
          <w:rFonts w:hint="eastAsia" w:ascii="仿宋" w:hAnsi="仿宋" w:eastAsia="仿宋" w:cs="仿宋"/>
          <w:b/>
          <w:bCs/>
          <w:color w:val="auto"/>
          <w:sz w:val="18"/>
          <w:szCs w:val="18"/>
          <w:highlight w:val="none"/>
          <w:lang w:val="en-US" w:eastAsia="zh-CN"/>
        </w:rPr>
        <w:t>;</w:t>
      </w:r>
    </w:p>
    <w:p>
      <w:pPr>
        <w:pStyle w:val="24"/>
        <w:keepNext w:val="0"/>
        <w:keepLines w:val="0"/>
        <w:pageBreakBefore w:val="0"/>
        <w:shd w:val="clear" w:color="auto" w:fill="FFFFFF"/>
        <w:kinsoku/>
        <w:wordWrap/>
        <w:overflowPunct/>
        <w:topLinePunct w:val="0"/>
        <w:autoSpaceDE/>
        <w:autoSpaceDN/>
        <w:bidi w:val="0"/>
        <w:adjustRightInd w:val="0"/>
        <w:snapToGrid w:val="0"/>
        <w:spacing w:before="0" w:beforeAutospacing="0" w:after="0" w:afterAutospacing="0" w:line="360" w:lineRule="auto"/>
        <w:ind w:left="0" w:leftChars="0" w:right="0" w:rightChars="0" w:firstLine="361" w:firstLineChars="200"/>
        <w:textAlignment w:val="auto"/>
        <w:rPr>
          <w:rFonts w:hint="eastAsia" w:ascii="仿宋" w:hAnsi="仿宋" w:eastAsia="仿宋" w:cs="仿宋"/>
          <w:b/>
          <w:bCs/>
          <w:color w:val="auto"/>
          <w:sz w:val="18"/>
          <w:szCs w:val="18"/>
          <w:highlight w:val="none"/>
        </w:rPr>
      </w:pPr>
      <w:r>
        <w:rPr>
          <w:rFonts w:hint="eastAsia" w:ascii="仿宋" w:hAnsi="仿宋" w:eastAsia="仿宋" w:cs="仿宋"/>
          <w:b/>
          <w:bCs/>
          <w:color w:val="auto"/>
          <w:sz w:val="18"/>
          <w:szCs w:val="18"/>
          <w:highlight w:val="none"/>
          <w:lang w:val="en-US" w:eastAsia="zh-CN"/>
        </w:rPr>
        <w:t>3.</w:t>
      </w:r>
      <w:r>
        <w:rPr>
          <w:rFonts w:hint="eastAsia" w:ascii="仿宋" w:hAnsi="仿宋" w:eastAsia="仿宋" w:cs="仿宋"/>
          <w:b/>
          <w:bCs/>
          <w:color w:val="auto"/>
          <w:sz w:val="18"/>
          <w:szCs w:val="18"/>
          <w:highlight w:val="none"/>
        </w:rPr>
        <w:t>在政府采购活动中，残疾人福利性单位视同小型、微型企业，享受预留份额、评审中价格扣除等促进中小企业发展的政府采购政策。残疾人福利性单位属于小型、微型企业的，不重复享受政策。</w:t>
      </w:r>
    </w:p>
    <w:p>
      <w:pPr>
        <w:widowControl/>
        <w:jc w:val="left"/>
        <w:rPr>
          <w:rFonts w:hint="eastAsia" w:ascii="仿宋" w:hAnsi="仿宋" w:eastAsia="仿宋" w:cs="仿宋"/>
          <w:b/>
          <w:color w:val="auto"/>
          <w:spacing w:val="-6"/>
          <w:szCs w:val="21"/>
          <w:highlight w:val="none"/>
        </w:rPr>
      </w:pPr>
      <w:r>
        <w:rPr>
          <w:rFonts w:hint="eastAsia" w:ascii="仿宋" w:hAnsi="仿宋" w:eastAsia="仿宋" w:cs="仿宋"/>
          <w:b/>
          <w:color w:val="auto"/>
          <w:spacing w:val="-6"/>
          <w:szCs w:val="21"/>
          <w:highlight w:val="none"/>
        </w:rPr>
        <w:br w:type="page"/>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1"/>
        <w:rPr>
          <w:rFonts w:hint="eastAsia" w:ascii="仿宋" w:hAnsi="仿宋" w:eastAsia="仿宋" w:cs="仿宋"/>
          <w:b/>
          <w:color w:val="auto"/>
          <w:spacing w:val="-6"/>
          <w:sz w:val="24"/>
          <w:highlight w:val="none"/>
        </w:rPr>
      </w:pPr>
      <w:r>
        <w:rPr>
          <w:rFonts w:hint="eastAsia" w:ascii="仿宋" w:hAnsi="仿宋" w:eastAsia="仿宋" w:cs="仿宋"/>
          <w:b/>
          <w:color w:val="auto"/>
          <w:spacing w:val="-6"/>
          <w:sz w:val="24"/>
          <w:highlight w:val="none"/>
        </w:rPr>
        <w:t>附件1</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2"/>
        <w:rPr>
          <w:rFonts w:hint="eastAsia" w:ascii="仿宋" w:hAnsi="仿宋" w:eastAsia="仿宋" w:cs="仿宋"/>
          <w:color w:val="auto"/>
          <w:sz w:val="24"/>
          <w:szCs w:val="24"/>
          <w:highlight w:val="none"/>
          <w:u w:val="single"/>
        </w:rPr>
      </w:pPr>
      <w:r>
        <w:rPr>
          <w:rFonts w:hint="eastAsia" w:ascii="仿宋" w:hAnsi="仿宋" w:eastAsia="仿宋" w:cs="仿宋"/>
          <w:b/>
          <w:bCs/>
          <w:color w:val="auto"/>
          <w:sz w:val="24"/>
          <w:szCs w:val="24"/>
          <w:highlight w:val="none"/>
        </w:rPr>
        <w:t>业务专用章使用说明函</w:t>
      </w:r>
    </w:p>
    <w:p>
      <w:pPr>
        <w:keepNext w:val="0"/>
        <w:keepLines w:val="0"/>
        <w:pageBreakBefore w:val="0"/>
        <w:widowControl w:val="0"/>
        <w:kinsoku/>
        <w:wordWrap/>
        <w:overflowPunct/>
        <w:topLinePunct w:val="0"/>
        <w:autoSpaceDE/>
        <w:autoSpaceDN/>
        <w:bidi w:val="0"/>
        <w:snapToGrid w:val="0"/>
        <w:spacing w:line="360" w:lineRule="auto"/>
        <w:ind w:left="0" w:leftChars="0" w:right="0" w:rightChars="0"/>
        <w:jc w:val="both"/>
        <w:textAlignment w:val="auto"/>
        <w:rPr>
          <w:rFonts w:hint="eastAsia" w:ascii="仿宋" w:hAnsi="仿宋" w:eastAsia="仿宋" w:cs="仿宋"/>
          <w:color w:val="auto"/>
          <w:szCs w:val="21"/>
          <w:highlight w:val="none"/>
        </w:rPr>
      </w:pPr>
      <w:r>
        <w:rPr>
          <w:rFonts w:hint="eastAsia" w:ascii="仿宋" w:hAnsi="仿宋" w:eastAsia="仿宋" w:cs="仿宋"/>
          <w:b/>
          <w:bCs/>
          <w:color w:val="auto"/>
          <w:spacing w:val="-6"/>
          <w:sz w:val="21"/>
          <w:szCs w:val="21"/>
          <w:highlight w:val="none"/>
          <w:lang w:eastAsia="zh-CN"/>
        </w:rPr>
        <w:t>之江实验室</w:t>
      </w:r>
      <w:r>
        <w:rPr>
          <w:rFonts w:hint="eastAsia" w:ascii="仿宋" w:hAnsi="仿宋" w:eastAsia="仿宋" w:cs="仿宋"/>
          <w:b/>
          <w:bCs/>
          <w:color w:val="auto"/>
          <w:spacing w:val="-6"/>
          <w:sz w:val="21"/>
          <w:szCs w:val="21"/>
          <w:highlight w:val="none"/>
        </w:rPr>
        <w:t>、浙江求是招标代理有限公司</w:t>
      </w:r>
    </w:p>
    <w:p>
      <w:pPr>
        <w:keepNext w:val="0"/>
        <w:keepLines w:val="0"/>
        <w:pageBreakBefore w:val="0"/>
        <w:widowControl w:val="0"/>
        <w:kinsoku/>
        <w:wordWrap/>
        <w:overflowPunct/>
        <w:topLinePunct w:val="0"/>
        <w:autoSpaceDE/>
        <w:autoSpaceDN/>
        <w:bidi w:val="0"/>
        <w:snapToGrid w:val="0"/>
        <w:spacing w:line="360" w:lineRule="auto"/>
        <w:ind w:left="0" w:leftChars="0" w:right="0" w:rightChars="0" w:firstLine="424" w:firstLineChars="202"/>
        <w:jc w:val="both"/>
        <w:textAlignment w:val="auto"/>
        <w:rPr>
          <w:rFonts w:hint="eastAsia" w:ascii="仿宋" w:hAnsi="仿宋" w:eastAsia="仿宋" w:cs="仿宋"/>
          <w:color w:val="auto"/>
          <w:szCs w:val="21"/>
          <w:highlight w:val="none"/>
        </w:rPr>
      </w:pPr>
      <w:r>
        <w:rPr>
          <w:rFonts w:hint="eastAsia" w:ascii="仿宋" w:hAnsi="仿宋" w:eastAsia="仿宋" w:cs="仿宋"/>
          <w:color w:val="auto"/>
          <w:kern w:val="0"/>
          <w:szCs w:val="21"/>
          <w:highlight w:val="none"/>
          <w:lang w:val="zh-CN"/>
        </w:rPr>
        <w:t>我方</w:t>
      </w:r>
      <w:r>
        <w:rPr>
          <w:rFonts w:hint="eastAsia" w:ascii="仿宋" w:hAnsi="仿宋" w:eastAsia="仿宋" w:cs="仿宋"/>
          <w:color w:val="auto"/>
          <w:spacing w:val="-6"/>
          <w:sz w:val="21"/>
          <w:szCs w:val="21"/>
          <w:highlight w:val="none"/>
          <w:u w:val="single"/>
        </w:rPr>
        <w:t xml:space="preserve"> </w:t>
      </w:r>
      <w:r>
        <w:rPr>
          <w:rFonts w:hint="eastAsia" w:ascii="仿宋" w:hAnsi="仿宋" w:eastAsia="仿宋" w:cs="仿宋"/>
          <w:color w:val="auto"/>
          <w:spacing w:val="-6"/>
          <w:sz w:val="21"/>
          <w:szCs w:val="21"/>
          <w:highlight w:val="none"/>
          <w:u w:val="single"/>
          <w:lang w:val="en-US" w:eastAsia="zh-CN"/>
        </w:rPr>
        <w:t xml:space="preserve">                  </w:t>
      </w:r>
      <w:r>
        <w:rPr>
          <w:rFonts w:hint="eastAsia" w:ascii="仿宋" w:hAnsi="仿宋" w:eastAsia="仿宋" w:cs="仿宋"/>
          <w:color w:val="auto"/>
          <w:spacing w:val="-6"/>
          <w:sz w:val="21"/>
          <w:szCs w:val="21"/>
          <w:highlight w:val="none"/>
          <w:u w:val="single"/>
        </w:rPr>
        <w:t xml:space="preserve"> </w:t>
      </w:r>
      <w:r>
        <w:rPr>
          <w:rFonts w:hint="eastAsia" w:ascii="仿宋" w:hAnsi="仿宋" w:eastAsia="仿宋" w:cs="仿宋"/>
          <w:color w:val="auto"/>
          <w:spacing w:val="-6"/>
          <w:sz w:val="21"/>
          <w:szCs w:val="21"/>
          <w:highlight w:val="none"/>
          <w:u w:val="none"/>
        </w:rPr>
        <w:t>（</w:t>
      </w:r>
      <w:r>
        <w:rPr>
          <w:rFonts w:hint="eastAsia" w:ascii="仿宋" w:hAnsi="仿宋" w:eastAsia="仿宋" w:cs="仿宋"/>
          <w:color w:val="auto"/>
          <w:spacing w:val="-6"/>
          <w:sz w:val="21"/>
          <w:szCs w:val="21"/>
          <w:highlight w:val="none"/>
          <w:u w:val="none"/>
          <w:lang w:val="en-US" w:eastAsia="zh-CN"/>
        </w:rPr>
        <w:t>投标人</w:t>
      </w:r>
      <w:r>
        <w:rPr>
          <w:rFonts w:hint="eastAsia" w:ascii="仿宋" w:hAnsi="仿宋" w:eastAsia="仿宋" w:cs="仿宋"/>
          <w:color w:val="auto"/>
          <w:spacing w:val="-6"/>
          <w:sz w:val="21"/>
          <w:szCs w:val="21"/>
          <w:highlight w:val="none"/>
          <w:u w:val="none"/>
        </w:rPr>
        <w:t>名称）</w:t>
      </w:r>
      <w:r>
        <w:rPr>
          <w:rFonts w:hint="eastAsia" w:ascii="仿宋" w:hAnsi="仿宋" w:eastAsia="仿宋" w:cs="仿宋"/>
          <w:color w:val="auto"/>
          <w:szCs w:val="21"/>
          <w:highlight w:val="none"/>
        </w:rPr>
        <w:t>是中华人民共和国依法登记注册的合法企业，</w:t>
      </w:r>
      <w:r>
        <w:rPr>
          <w:rFonts w:hint="eastAsia" w:ascii="仿宋" w:hAnsi="仿宋" w:eastAsia="仿宋" w:cs="仿宋"/>
          <w:bCs/>
          <w:color w:val="auto"/>
          <w:szCs w:val="21"/>
          <w:highlight w:val="none"/>
        </w:rPr>
        <w:t>在参加</w:t>
      </w:r>
      <w:r>
        <w:rPr>
          <w:rFonts w:hint="eastAsia" w:ascii="仿宋" w:hAnsi="仿宋" w:eastAsia="仿宋" w:cs="仿宋"/>
          <w:color w:val="auto"/>
          <w:szCs w:val="21"/>
          <w:highlight w:val="none"/>
        </w:rPr>
        <w:t>你方组织的</w:t>
      </w:r>
      <w:r>
        <w:rPr>
          <w:rFonts w:hint="eastAsia" w:ascii="仿宋" w:hAnsi="仿宋" w:eastAsia="仿宋" w:cs="仿宋"/>
          <w:color w:val="auto"/>
          <w:szCs w:val="21"/>
          <w:highlight w:val="none"/>
          <w:lang w:eastAsia="zh-CN"/>
        </w:rPr>
        <w:t>之江实验室智能计算育种数字反应堆平台专业实验室家具项目（项目编号：ZJLAB-JZ-GK2023032）</w:t>
      </w:r>
      <w:r>
        <w:rPr>
          <w:rFonts w:hint="eastAsia" w:ascii="仿宋" w:hAnsi="仿宋" w:eastAsia="仿宋" w:cs="仿宋"/>
          <w:bCs/>
          <w:color w:val="auto"/>
          <w:szCs w:val="21"/>
          <w:highlight w:val="none"/>
        </w:rPr>
        <w:t>投标活动中作如下说明：</w:t>
      </w:r>
      <w:r>
        <w:rPr>
          <w:rFonts w:hint="eastAsia" w:ascii="仿宋" w:hAnsi="仿宋" w:eastAsia="仿宋" w:cs="仿宋"/>
          <w:color w:val="auto"/>
          <w:szCs w:val="21"/>
          <w:highlight w:val="none"/>
          <w:u w:val="none"/>
        </w:rPr>
        <w:t>我方所使用的“XX专用章”与法定名称章具有同等的法律效力，对使用“XX专用章”的行为予以完全承认，并愿意承担相应责任。</w:t>
      </w:r>
    </w:p>
    <w:p>
      <w:pPr>
        <w:keepNext w:val="0"/>
        <w:keepLines w:val="0"/>
        <w:pageBreakBefore w:val="0"/>
        <w:widowControl w:val="0"/>
        <w:kinsoku/>
        <w:wordWrap/>
        <w:overflowPunct/>
        <w:topLinePunct w:val="0"/>
        <w:autoSpaceDE/>
        <w:autoSpaceDN/>
        <w:bidi w:val="0"/>
        <w:snapToGrid w:val="0"/>
        <w:spacing w:line="360" w:lineRule="auto"/>
        <w:ind w:left="0" w:leftChars="0" w:right="0" w:rightChars="0" w:firstLine="424" w:firstLineChars="202"/>
        <w:jc w:val="both"/>
        <w:textAlignment w:val="auto"/>
        <w:rPr>
          <w:rFonts w:hint="eastAsia" w:ascii="仿宋" w:hAnsi="仿宋" w:eastAsia="仿宋" w:cs="仿宋"/>
          <w:color w:val="auto"/>
          <w:szCs w:val="21"/>
          <w:highlight w:val="none"/>
        </w:rPr>
      </w:pPr>
      <w:r>
        <w:rPr>
          <w:rFonts w:hint="eastAsia" w:ascii="仿宋" w:hAnsi="仿宋" w:eastAsia="仿宋" w:cs="仿宋"/>
          <w:color w:val="auto"/>
          <w:szCs w:val="21"/>
          <w:highlight w:val="none"/>
        </w:rPr>
        <w:t>特此说明。</w:t>
      </w:r>
    </w:p>
    <w:p>
      <w:pPr>
        <w:keepNext w:val="0"/>
        <w:keepLines w:val="0"/>
        <w:pageBreakBefore w:val="0"/>
        <w:widowControl w:val="0"/>
        <w:kinsoku/>
        <w:wordWrap/>
        <w:overflowPunct/>
        <w:topLinePunct w:val="0"/>
        <w:autoSpaceDE/>
        <w:autoSpaceDN/>
        <w:bidi w:val="0"/>
        <w:snapToGrid w:val="0"/>
        <w:spacing w:line="360" w:lineRule="auto"/>
        <w:ind w:left="0" w:leftChars="0" w:right="0" w:rightChars="0" w:firstLine="424" w:firstLineChars="202"/>
        <w:jc w:val="both"/>
        <w:textAlignment w:val="auto"/>
        <w:rPr>
          <w:rFonts w:hint="eastAsia" w:ascii="仿宋" w:hAnsi="仿宋" w:eastAsia="仿宋" w:cs="仿宋"/>
          <w:color w:val="auto"/>
          <w:szCs w:val="21"/>
          <w:highlight w:val="none"/>
        </w:rPr>
      </w:pPr>
    </w:p>
    <w:p>
      <w:pPr>
        <w:keepNext w:val="0"/>
        <w:keepLines w:val="0"/>
        <w:pageBreakBefore w:val="0"/>
        <w:widowControl w:val="0"/>
        <w:kinsoku/>
        <w:wordWrap/>
        <w:overflowPunct/>
        <w:topLinePunct w:val="0"/>
        <w:autoSpaceDE/>
        <w:autoSpaceDN/>
        <w:bidi w:val="0"/>
        <w:snapToGrid w:val="0"/>
        <w:spacing w:line="360" w:lineRule="auto"/>
        <w:ind w:right="0" w:rightChars="0"/>
        <w:jc w:val="both"/>
        <w:textAlignment w:val="auto"/>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供应商（法定名称章）：</w:t>
      </w:r>
    </w:p>
    <w:p>
      <w:pPr>
        <w:keepNext w:val="0"/>
        <w:keepLines w:val="0"/>
        <w:pageBreakBefore w:val="0"/>
        <w:widowControl w:val="0"/>
        <w:kinsoku/>
        <w:wordWrap/>
        <w:overflowPunct/>
        <w:topLinePunct w:val="0"/>
        <w:autoSpaceDE/>
        <w:autoSpaceDN/>
        <w:bidi w:val="0"/>
        <w:snapToGrid w:val="0"/>
        <w:spacing w:line="360" w:lineRule="auto"/>
        <w:ind w:right="0" w:rightChars="0"/>
        <w:jc w:val="both"/>
        <w:textAlignment w:val="auto"/>
        <w:rPr>
          <w:rFonts w:hint="eastAsia" w:ascii="仿宋" w:hAnsi="仿宋" w:eastAsia="仿宋" w:cs="仿宋"/>
          <w:b/>
          <w:bCs/>
          <w:color w:val="auto"/>
          <w:szCs w:val="21"/>
          <w:highlight w:val="none"/>
        </w:rPr>
      </w:pPr>
      <w:r>
        <w:rPr>
          <w:rFonts w:hint="eastAsia" w:ascii="仿宋" w:hAnsi="仿宋" w:eastAsia="仿宋" w:cs="仿宋"/>
          <w:b/>
          <w:bCs/>
          <w:color w:val="auto"/>
          <w:spacing w:val="-6"/>
          <w:szCs w:val="21"/>
          <w:highlight w:val="none"/>
        </w:rPr>
        <w:t>日期：     年   月   日</w:t>
      </w:r>
    </w:p>
    <w:p>
      <w:pPr>
        <w:keepNext w:val="0"/>
        <w:keepLines w:val="0"/>
        <w:pageBreakBefore w:val="0"/>
        <w:widowControl w:val="0"/>
        <w:kinsoku/>
        <w:wordWrap/>
        <w:overflowPunct/>
        <w:topLinePunct w:val="0"/>
        <w:autoSpaceDE/>
        <w:autoSpaceDN/>
        <w:bidi w:val="0"/>
        <w:snapToGrid w:val="0"/>
        <w:spacing w:line="360" w:lineRule="auto"/>
        <w:ind w:left="0" w:leftChars="0" w:right="0" w:rightChars="0"/>
        <w:jc w:val="both"/>
        <w:textAlignment w:val="auto"/>
        <w:rPr>
          <w:rFonts w:hint="eastAsia" w:ascii="仿宋" w:hAnsi="仿宋" w:eastAsia="仿宋" w:cs="仿宋"/>
          <w:b/>
          <w:bCs/>
          <w:color w:val="auto"/>
          <w:szCs w:val="21"/>
          <w:highlight w:val="none"/>
        </w:rPr>
      </w:pPr>
    </w:p>
    <w:p>
      <w:pPr>
        <w:keepNext w:val="0"/>
        <w:keepLines w:val="0"/>
        <w:pageBreakBefore w:val="0"/>
        <w:widowControl w:val="0"/>
        <w:kinsoku/>
        <w:wordWrap/>
        <w:overflowPunct/>
        <w:topLinePunct w:val="0"/>
        <w:autoSpaceDE/>
        <w:autoSpaceDN/>
        <w:bidi w:val="0"/>
        <w:snapToGrid w:val="0"/>
        <w:spacing w:line="360" w:lineRule="auto"/>
        <w:ind w:left="0" w:leftChars="0" w:right="0" w:rightChars="0"/>
        <w:jc w:val="both"/>
        <w:textAlignment w:val="auto"/>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附：</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rightChars="0" w:firstLine="843" w:firstLineChars="400"/>
        <w:jc w:val="both"/>
        <w:textAlignment w:val="auto"/>
        <w:outlineLvl w:val="9"/>
        <w:rPr>
          <w:rFonts w:hint="eastAsia" w:ascii="仿宋" w:hAnsi="仿宋" w:eastAsia="仿宋" w:cs="仿宋"/>
          <w:b/>
          <w:bCs/>
          <w:color w:val="auto"/>
          <w:szCs w:val="21"/>
          <w:highlight w:val="none"/>
        </w:rPr>
      </w:pPr>
      <w:r>
        <w:rPr>
          <w:rFonts w:hint="eastAsia" w:ascii="仿宋" w:hAnsi="仿宋" w:eastAsia="仿宋" w:cs="仿宋"/>
          <w:b/>
          <w:bCs/>
          <w:color w:val="auto"/>
          <w:szCs w:val="21"/>
          <w:highlight w:val="none"/>
        </w:rPr>
        <w:t xml:space="preserve">供应商法定名称章（印模）              </w:t>
      </w:r>
      <w:r>
        <w:rPr>
          <w:rFonts w:hint="eastAsia" w:ascii="仿宋" w:hAnsi="仿宋" w:eastAsia="仿宋" w:cs="仿宋"/>
          <w:b/>
          <w:bCs/>
          <w:color w:val="auto"/>
          <w:szCs w:val="21"/>
          <w:highlight w:val="none"/>
          <w:lang w:val="en-US" w:eastAsia="zh-CN"/>
        </w:rPr>
        <w:t xml:space="preserve">   </w:t>
      </w:r>
      <w:r>
        <w:rPr>
          <w:rFonts w:hint="eastAsia" w:ascii="仿宋" w:hAnsi="仿宋" w:eastAsia="仿宋" w:cs="仿宋"/>
          <w:b/>
          <w:bCs/>
          <w:color w:val="auto"/>
          <w:szCs w:val="21"/>
          <w:highlight w:val="none"/>
        </w:rPr>
        <w:t>供应商“XX专用章”（印模）</w:t>
      </w:r>
    </w:p>
    <w:p>
      <w:pPr>
        <w:snapToGrid w:val="0"/>
        <w:spacing w:line="288" w:lineRule="auto"/>
        <w:rPr>
          <w:rFonts w:hint="eastAsia" w:ascii="仿宋" w:hAnsi="仿宋" w:eastAsia="仿宋" w:cs="仿宋"/>
          <w:color w:val="auto"/>
          <w:szCs w:val="21"/>
          <w:highlight w:val="none"/>
        </w:rPr>
      </w:pPr>
      <w:r>
        <w:rPr>
          <w:rFonts w:hint="eastAsia" w:ascii="仿宋" w:hAnsi="仿宋" w:eastAsia="仿宋" w:cs="仿宋"/>
          <w:b/>
          <w:bCs/>
          <w:color w:val="auto"/>
          <w:szCs w:val="21"/>
          <w:highlight w:val="none"/>
        </w:rPr>
        <mc:AlternateContent>
          <mc:Choice Requires="wps">
            <w:drawing>
              <wp:inline distT="0" distB="0" distL="0" distR="0">
                <wp:extent cx="2647950" cy="2253615"/>
                <wp:effectExtent l="0" t="0" r="19050" b="13335"/>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inline>
            </w:drawing>
          </mc:Choice>
          <mc:Fallback>
            <w:pict>
              <v:rect id="Rectangle 16" o:spid="_x0000_s1026" o:spt="1" style="height:177.45pt;width:208.5pt;" fillcolor="#FFFFFF" filled="t" stroked="t" coordsize="21600,21600" o:gfxdata="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BVSUy1AAAAAUBAAAPAAAAAAAAAAEAIAAAACIA&#10;AABkcnMvZG93bnJldi54bWxQSwECFAAUAAAACACHTuJABYrTpg0CAAAmBAAADgAAAAAAAAABACAA&#10;AAAjAQAAZHJzL2Uyb0RvYy54bWxQSwUGAAAAAAYABgBZAQAAogUAAAAA&#10;">
                <v:fill on="t" focussize="0,0"/>
                <v:stroke color="#000000" miterlimit="2" joinstyle="miter"/>
                <v:imagedata o:title=""/>
                <o:lock v:ext="edit" aspectratio="f"/>
                <w10:wrap type="none"/>
                <w10:anchorlock/>
              </v:rect>
            </w:pict>
          </mc:Fallback>
        </mc:AlternateContent>
      </w:r>
      <w:r>
        <w:rPr>
          <w:rFonts w:hint="eastAsia" w:ascii="仿宋" w:hAnsi="仿宋" w:eastAsia="仿宋" w:cs="仿宋"/>
          <w:b/>
          <w:bCs/>
          <w:color w:val="auto"/>
          <w:szCs w:val="21"/>
          <w:highlight w:val="none"/>
          <w:lang w:val="en-US" w:eastAsia="zh-CN"/>
        </w:rPr>
        <w:t xml:space="preserve"> </w:t>
      </w:r>
      <w:r>
        <w:rPr>
          <w:rFonts w:hint="eastAsia" w:ascii="仿宋" w:hAnsi="仿宋" w:eastAsia="仿宋" w:cs="仿宋"/>
          <w:b/>
          <w:bCs/>
          <w:color w:val="auto"/>
          <w:szCs w:val="21"/>
          <w:highlight w:val="none"/>
        </w:rPr>
        <mc:AlternateContent>
          <mc:Choice Requires="wps">
            <w:drawing>
              <wp:inline distT="0" distB="0" distL="0" distR="0">
                <wp:extent cx="2647950" cy="2253615"/>
                <wp:effectExtent l="5080" t="4445" r="13970" b="15240"/>
                <wp:docPr id="3"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inline>
            </w:drawing>
          </mc:Choice>
          <mc:Fallback>
            <w:pict>
              <v:rect id="Rectangle 16" o:spid="_x0000_s1026" o:spt="1" style="height:177.45pt;width:208.5pt;" fillcolor="#FFFFFF" filled="t" stroked="t" coordsize="21600,21600" o:gfxdata="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BVSUy1AAAAAUBAAAPAAAAAAAAAAEAIAAAACIA&#10;AABkcnMvZG93bnJldi54bWxQSwECFAAUAAAACACHTuJAed3Yzw0CAAAmBAAADgAAAAAAAAABACAA&#10;AAAjAQAAZHJzL2Uyb0RvYy54bWxQSwUGAAAAAAYABgBZAQAAogUAAAAA&#10;">
                <v:fill on="t" focussize="0,0"/>
                <v:stroke color="#000000" miterlimit="2" joinstyle="miter"/>
                <v:imagedata o:title=""/>
                <o:lock v:ext="edit" aspectratio="f"/>
                <w10:wrap type="none"/>
                <w10:anchorlock/>
              </v:rect>
            </w:pict>
          </mc:Fallback>
        </mc:AlternateContent>
      </w:r>
    </w:p>
    <w:p>
      <w:pPr>
        <w:widowControl/>
        <w:jc w:val="left"/>
        <w:rPr>
          <w:rFonts w:hint="eastAsia" w:ascii="仿宋" w:hAnsi="仿宋" w:eastAsia="仿宋" w:cs="仿宋"/>
          <w:b/>
          <w:color w:val="auto"/>
          <w:spacing w:val="-6"/>
          <w:szCs w:val="21"/>
          <w:highlight w:val="none"/>
        </w:rPr>
      </w:pPr>
    </w:p>
    <w:sectPr>
      <w:pgSz w:w="11906" w:h="16838"/>
      <w:pgMar w:top="1440" w:right="1247" w:bottom="1440" w:left="1247" w:header="283" w:footer="850" w:gutter="0"/>
      <w:pgBorders>
        <w:top w:val="none" w:sz="0" w:space="0"/>
        <w:left w:val="none" w:sz="0" w:space="0"/>
        <w:bottom w:val="none" w:sz="0" w:space="0"/>
        <w:right w:val="none" w:sz="0" w:space="0"/>
      </w:pgBorders>
      <w:pgNumType w:fmt="decimal"/>
      <w:cols w:space="0" w:num="1"/>
      <w:rtlGutter w:val="0"/>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apple-system">
    <w:altName w:val="Malgun Gothic Semilight"/>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Microsoft YaHei UI">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Helvetica Neue Light">
    <w:altName w:val="Courier New"/>
    <w:panose1 w:val="00000000000000000000"/>
    <w:charset w:val="00"/>
    <w:family w:val="auto"/>
    <w:pitch w:val="default"/>
    <w:sig w:usb0="00000000" w:usb1="00000000" w:usb2="00000002" w:usb3="00000000" w:csb0="00000007" w:csb1="00000000"/>
  </w:font>
  <w:font w:name="ヒラギノ角ゴ Pro W3">
    <w:altName w:val="MS Gothic"/>
    <w:panose1 w:val="00000000000000000000"/>
    <w:charset w:val="80"/>
    <w:family w:val="auto"/>
    <w:pitch w:val="default"/>
    <w:sig w:usb0="00000000" w:usb1="00000000" w:usb2="00000012" w:usb3="00000000" w:csb0="0002000D"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8000012" w:usb3="00000000" w:csb0="4002009F" w:csb1="DFD7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both"/>
      <w:rPr>
        <w:rFonts w:ascii="宋体" w:hAnsi="宋体" w:eastAsia="宋体"/>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both"/>
      <w:rPr>
        <w:rFonts w:ascii="宋体" w:hAnsi="宋体" w:eastAsia="宋体"/>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sz w:val="21"/>
        <w:szCs w:val="22"/>
      </w:rPr>
    </w:pPr>
    <w:r>
      <w:rPr>
        <w:sz w:val="21"/>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2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sz w:val="21"/>
        <w:szCs w:val="22"/>
      </w:rPr>
    </w:pPr>
    <w:r>
      <w:rPr>
        <w:sz w:val="21"/>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n+nJ0VAgAAFQQAAA4AAABkcnMvZTJvRG9jLnhtbK1Ty47TMBTdI/EP&#10;lvc0aUcM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r2hRDOFHZ2+fzv9+HX6+ZVAB4Ba62fw21h4hu6t6bDoQe+hjHN3&#10;lVPxxkQEdkB9vMArukB4DJpOptMcJg7b8ED+7DHcOh/eCaNIFArqsL8EKzusfehdB5dYTZtVI2Xa&#10;odSkLej11e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n+nJ0VAgAAFQQAAA4AAAAAAAAA&#10;AQAgAAAAHwEAAGRycy9lMm9Eb2MueG1sUEsFBgAAAAAGAAYAWQEAAKYFAAAAAA==&#10;">
              <v:fill on="f" focussize="0,0"/>
              <v:stroke on="f" weight="0.5pt"/>
              <v:imagedata o:title=""/>
              <o:lock v:ext="edit" aspectratio="f"/>
              <v:textbox inset="0mm,0mm,0mm,0mm" style="mso-fit-shape-to-text:t;">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sz w:val="21"/>
        <w:szCs w:val="22"/>
      </w:rPr>
    </w:pPr>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NTIJUVAgAAFQQAAA4AAAAAAAAA&#10;AQAgAAAAHwEAAGRycy9lMm9Eb2MueG1sUEsFBgAAAAAGAAYAWQEAAKYFAAAAAA==&#10;">
              <v:fill on="f" focussize="0,0"/>
              <v:stroke on="f" weight="0.5pt"/>
              <v:imagedata o:title=""/>
              <o:lock v:ext="edit" aspectratio="f"/>
              <v:textbox inset="0mm,0mm,0mm,0mm" style="mso-fit-shape-to-text:t;">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1</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sz w:val="21"/>
        <w:szCs w:val="22"/>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20"/>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33</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rPr>
        <w:sz w:val="21"/>
        <w:szCs w:val="22"/>
      </w:rPr>
    </w:pPr>
    <w:r>
      <w:rPr>
        <w:sz w:val="21"/>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33</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20"/>
                      <w:rPr>
                        <w:rFonts w:hint="eastAsia" w:ascii="仿宋" w:hAnsi="仿宋" w:eastAsia="仿宋" w:cs="仿宋"/>
                        <w:b/>
                        <w:bCs/>
                        <w:lang w:eastAsia="zh-CN"/>
                      </w:rPr>
                    </w:pPr>
                    <w:r>
                      <w:rPr>
                        <w:rFonts w:hint="eastAsia" w:ascii="仿宋" w:hAnsi="仿宋" w:eastAsia="仿宋" w:cs="仿宋"/>
                        <w:b/>
                        <w:bCs/>
                        <w:lang w:eastAsia="zh-CN"/>
                      </w:rPr>
                      <w:t xml:space="preserve">第 </w:t>
                    </w:r>
                    <w:r>
                      <w:rPr>
                        <w:rFonts w:hint="eastAsia" w:ascii="仿宋" w:hAnsi="仿宋" w:eastAsia="仿宋" w:cs="仿宋"/>
                        <w:b/>
                        <w:bCs/>
                        <w:lang w:eastAsia="zh-CN"/>
                      </w:rPr>
                      <w:fldChar w:fldCharType="begin"/>
                    </w:r>
                    <w:r>
                      <w:rPr>
                        <w:rFonts w:hint="eastAsia" w:ascii="仿宋" w:hAnsi="仿宋" w:eastAsia="仿宋" w:cs="仿宋"/>
                        <w:b/>
                        <w:bCs/>
                        <w:lang w:eastAsia="zh-CN"/>
                      </w:rPr>
                      <w:instrText xml:space="preserve"> PAGE  \* MERGEFORMAT </w:instrText>
                    </w:r>
                    <w:r>
                      <w:rPr>
                        <w:rFonts w:hint="eastAsia" w:ascii="仿宋" w:hAnsi="仿宋" w:eastAsia="仿宋" w:cs="仿宋"/>
                        <w:b/>
                        <w:bCs/>
                        <w:lang w:eastAsia="zh-CN"/>
                      </w:rPr>
                      <w:fldChar w:fldCharType="separate"/>
                    </w:r>
                    <w:r>
                      <w:rPr>
                        <w:rFonts w:hint="eastAsia" w:ascii="仿宋" w:hAnsi="仿宋" w:eastAsia="仿宋" w:cs="仿宋"/>
                        <w:b/>
                        <w:bCs/>
                        <w:lang w:eastAsia="zh-CN"/>
                      </w:rPr>
                      <w:t>33</w:t>
                    </w:r>
                    <w:r>
                      <w:rPr>
                        <w:rFonts w:hint="eastAsia" w:ascii="仿宋" w:hAnsi="仿宋" w:eastAsia="仿宋" w:cs="仿宋"/>
                        <w:b/>
                        <w:bCs/>
                        <w:lang w:eastAsia="zh-CN"/>
                      </w:rPr>
                      <w:fldChar w:fldCharType="end"/>
                    </w:r>
                    <w:r>
                      <w:rPr>
                        <w:rFonts w:hint="eastAsia" w:ascii="仿宋" w:hAnsi="仿宋" w:eastAsia="仿宋" w:cs="仿宋"/>
                        <w:b/>
                        <w:bCs/>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drawing>
        <wp:inline distT="0" distB="0" distL="114300" distR="114300">
          <wp:extent cx="5872480" cy="633730"/>
          <wp:effectExtent l="0" t="0" r="7620" b="127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a:stretch>
                    <a:fillRect/>
                  </a:stretch>
                </pic:blipFill>
                <pic:spPr>
                  <a:xfrm>
                    <a:off x="0" y="0"/>
                    <a:ext cx="5872480" cy="633730"/>
                  </a:xfrm>
                  <a:prstGeom prst="rect">
                    <a:avLst/>
                  </a:prstGeom>
                  <a:noFill/>
                  <a:ln w="9525">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0" w:leftChars="0" w:right="0" w:rightChars="0" w:firstLine="0" w:firstLineChars="0"/>
      <w:jc w:val="center"/>
    </w:pPr>
    <w:r>
      <w:drawing>
        <wp:inline distT="0" distB="0" distL="114300" distR="114300">
          <wp:extent cx="5872480" cy="633730"/>
          <wp:effectExtent l="0" t="0" r="7620" b="1270"/>
          <wp:docPr id="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pic:cNvPicPr>
                    <a:picLocks noChangeAspect="1"/>
                  </pic:cNvPicPr>
                </pic:nvPicPr>
                <pic:blipFill>
                  <a:blip r:embed="rId1"/>
                  <a:stretch>
                    <a:fillRect/>
                  </a:stretch>
                </pic:blipFill>
                <pic:spPr>
                  <a:xfrm>
                    <a:off x="0" y="0"/>
                    <a:ext cx="5872480" cy="633730"/>
                  </a:xfrm>
                  <a:prstGeom prst="rect">
                    <a:avLst/>
                  </a:prstGeom>
                  <a:noFill/>
                  <a:ln w="9525">
                    <a:noFill/>
                  </a:ln>
                </pic:spPr>
              </pic:pic>
            </a:graphicData>
          </a:graphic>
        </wp:inline>
      </w:drawing>
    </w:r>
    <w:r>
      <w:pict>
        <v:shape id="_x0000_s3079" o:spid="_x0000_s3079" o:spt="136" type="#_x0000_t136" style="position:absolute;left:0pt;height:183.95pt;width:403.3pt;mso-position-horizontal:center;mso-position-horizontal-relative:margin;mso-position-vertical:center;mso-position-vertical-relative:margin;rotation:-2949120f;z-index:-251655168;mso-width-relative:page;mso-height-relative:page;" fillcolor="#C0C0C0" filled="t" stroked="f" coordsize="21600,21600" adj="10800">
          <v:path/>
          <v:fill on="t" opacity="32768f" focussize="0,0"/>
          <v:stroke on="f"/>
          <v:imagedata o:title=""/>
          <o:lock v:ext="edit" aspectratio="t"/>
          <v:textpath on="t" fitshape="t" fitpath="t" trim="t" xscale="f" string="ZJLAB" style="font-family:宋体;font-size:36pt;v-same-letter-heights:f;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0" w:leftChars="0" w:right="0" w:rightChars="0" w:firstLine="0" w:firstLineChars="0"/>
      <w:jc w:val="center"/>
    </w:pPr>
    <w:r>
      <w:drawing>
        <wp:inline distT="0" distB="0" distL="114300" distR="114300">
          <wp:extent cx="5872480" cy="633730"/>
          <wp:effectExtent l="0" t="0" r="7620" b="127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1"/>
                  <a:stretch>
                    <a:fillRect/>
                  </a:stretch>
                </pic:blipFill>
                <pic:spPr>
                  <a:xfrm>
                    <a:off x="0" y="0"/>
                    <a:ext cx="5872480" cy="633730"/>
                  </a:xfrm>
                  <a:prstGeom prst="rect">
                    <a:avLst/>
                  </a:prstGeom>
                  <a:noFill/>
                  <a:ln w="9525">
                    <a:noFill/>
                  </a:ln>
                </pic:spPr>
              </pic:pic>
            </a:graphicData>
          </a:graphic>
        </wp:inline>
      </w:drawing>
    </w:r>
    <w:r>
      <w:pict>
        <v:shape id="_x0000_s3082" o:spid="_x0000_s3082" o:spt="136" type="#_x0000_t136" style="position:absolute;left:0pt;height:183.95pt;width:403.3pt;mso-position-horizontal:center;mso-position-horizontal-relative:margin;mso-position-vertical:center;mso-position-vertical-relative:margin;rotation:-2949120f;z-index:-251652096;mso-width-relative:page;mso-height-relative:page;" fillcolor="#C0C0C0" filled="t" stroked="f" coordsize="21600,21600">
          <v:path/>
          <v:fill on="t" opacity="32768f" focussize="0,0"/>
          <v:stroke on="f"/>
          <v:imagedata o:title=""/>
          <o:lock v:ext="edit" aspectratio="t"/>
          <v:textpath on="t" fitshape="t" fitpath="t" trim="t" xscale="f" string="ZJLAB" style="font-family:宋体;font-size:36pt;v-text-align:center;"/>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0" w:leftChars="0" w:right="0" w:rightChars="0" w:firstLine="0" w:firstLineChars="0"/>
      <w:jc w:val="center"/>
    </w:pPr>
    <w:r>
      <w:drawing>
        <wp:inline distT="0" distB="0" distL="114300" distR="114300">
          <wp:extent cx="5872480" cy="633730"/>
          <wp:effectExtent l="0" t="0" r="7620" b="1270"/>
          <wp:docPr id="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pic:cNvPicPr>
                    <a:picLocks noChangeAspect="1"/>
                  </pic:cNvPicPr>
                </pic:nvPicPr>
                <pic:blipFill>
                  <a:blip r:embed="rId1"/>
                  <a:stretch>
                    <a:fillRect/>
                  </a:stretch>
                </pic:blipFill>
                <pic:spPr>
                  <a:xfrm>
                    <a:off x="0" y="0"/>
                    <a:ext cx="5872480" cy="633730"/>
                  </a:xfrm>
                  <a:prstGeom prst="rect">
                    <a:avLst/>
                  </a:prstGeom>
                  <a:noFill/>
                  <a:ln w="9525">
                    <a:noFill/>
                  </a:ln>
                </pic:spPr>
              </pic:pic>
            </a:graphicData>
          </a:graphic>
        </wp:inline>
      </w:drawing>
    </w:r>
    <w:r>
      <w:pict>
        <v:shape id="_x0000_s3083" o:spid="_x0000_s3083" o:spt="136" type="#_x0000_t136" style="position:absolute;left:0pt;height:183.95pt;width:403.3pt;mso-position-horizontal:center;mso-position-horizontal-relative:margin;mso-position-vertical:center;mso-position-vertical-relative:margin;rotation:-2949120f;z-index:-251653120;mso-width-relative:page;mso-height-relative:page;" fillcolor="#C0C0C0" filled="t" stroked="f" coordsize="21600,21600">
          <v:path/>
          <v:fill on="t" opacity="32768f" focussize="0,0"/>
          <v:stroke on="f"/>
          <v:imagedata o:title=""/>
          <o:lock v:ext="edit" aspectratio="t"/>
          <v:textpath on="t" fitshape="t" fitpath="t" trim="t" xscale="f" string="ZJLAB" style="font-family:宋体;font-size:36pt;v-text-align:center;"/>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0" w:leftChars="0" w:right="0" w:rightChars="0" w:firstLine="0" w:firstLineChars="0"/>
      <w:jc w:val="center"/>
    </w:pPr>
    <w:r>
      <w:drawing>
        <wp:inline distT="0" distB="0" distL="114300" distR="114300">
          <wp:extent cx="5872480" cy="633730"/>
          <wp:effectExtent l="0" t="0" r="7620" b="1270"/>
          <wp:docPr id="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pic:cNvPicPr>
                    <a:picLocks noChangeAspect="1"/>
                  </pic:cNvPicPr>
                </pic:nvPicPr>
                <pic:blipFill>
                  <a:blip r:embed="rId1"/>
                  <a:stretch>
                    <a:fillRect/>
                  </a:stretch>
                </pic:blipFill>
                <pic:spPr>
                  <a:xfrm>
                    <a:off x="0" y="0"/>
                    <a:ext cx="5872480" cy="633730"/>
                  </a:xfrm>
                  <a:prstGeom prst="rect">
                    <a:avLst/>
                  </a:prstGeom>
                  <a:noFill/>
                  <a:ln w="9525">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pStyle w:val="10"/>
      <w:lvlText w:val="%1、"/>
      <w:lvlJc w:val="left"/>
      <w:pPr>
        <w:tabs>
          <w:tab w:val="left" w:pos="720"/>
        </w:tabs>
        <w:ind w:left="72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VlNWE1OWNjOWY5MjM4NTUxYTAwZmEzMmMwMzRjZjgifQ=="/>
  </w:docVars>
  <w:rsids>
    <w:rsidRoot w:val="00756626"/>
    <w:rsid w:val="000009E4"/>
    <w:rsid w:val="0000114F"/>
    <w:rsid w:val="0000436F"/>
    <w:rsid w:val="00006469"/>
    <w:rsid w:val="00006CFD"/>
    <w:rsid w:val="000116E4"/>
    <w:rsid w:val="00013608"/>
    <w:rsid w:val="00013B07"/>
    <w:rsid w:val="00014530"/>
    <w:rsid w:val="00015995"/>
    <w:rsid w:val="00016D69"/>
    <w:rsid w:val="00037CC3"/>
    <w:rsid w:val="00037F12"/>
    <w:rsid w:val="000404C3"/>
    <w:rsid w:val="0004184A"/>
    <w:rsid w:val="00042FA2"/>
    <w:rsid w:val="00043D3F"/>
    <w:rsid w:val="0004610A"/>
    <w:rsid w:val="00046C0F"/>
    <w:rsid w:val="00047FBE"/>
    <w:rsid w:val="000505CC"/>
    <w:rsid w:val="000536E0"/>
    <w:rsid w:val="00057E8D"/>
    <w:rsid w:val="0006261A"/>
    <w:rsid w:val="00065AAC"/>
    <w:rsid w:val="00066C2F"/>
    <w:rsid w:val="00067CDC"/>
    <w:rsid w:val="00074377"/>
    <w:rsid w:val="000765FF"/>
    <w:rsid w:val="00080197"/>
    <w:rsid w:val="00080E86"/>
    <w:rsid w:val="000814E9"/>
    <w:rsid w:val="00082DB5"/>
    <w:rsid w:val="00082FB1"/>
    <w:rsid w:val="00085C8D"/>
    <w:rsid w:val="00085FCC"/>
    <w:rsid w:val="00091AA5"/>
    <w:rsid w:val="00091FF9"/>
    <w:rsid w:val="000922B3"/>
    <w:rsid w:val="000949E6"/>
    <w:rsid w:val="0009761D"/>
    <w:rsid w:val="000A108A"/>
    <w:rsid w:val="000A68FB"/>
    <w:rsid w:val="000A74CF"/>
    <w:rsid w:val="000A7D0F"/>
    <w:rsid w:val="000B1B92"/>
    <w:rsid w:val="000B5BC8"/>
    <w:rsid w:val="000C1DE2"/>
    <w:rsid w:val="000C1EF8"/>
    <w:rsid w:val="000C3537"/>
    <w:rsid w:val="000C587E"/>
    <w:rsid w:val="000C67A6"/>
    <w:rsid w:val="000D0B38"/>
    <w:rsid w:val="000D107B"/>
    <w:rsid w:val="000D4121"/>
    <w:rsid w:val="000D763B"/>
    <w:rsid w:val="000E0B46"/>
    <w:rsid w:val="000E12A8"/>
    <w:rsid w:val="000E6420"/>
    <w:rsid w:val="000F4562"/>
    <w:rsid w:val="00103101"/>
    <w:rsid w:val="00106A4D"/>
    <w:rsid w:val="001137C8"/>
    <w:rsid w:val="00117EF1"/>
    <w:rsid w:val="001203D7"/>
    <w:rsid w:val="00120781"/>
    <w:rsid w:val="00130294"/>
    <w:rsid w:val="001358FA"/>
    <w:rsid w:val="00137FB9"/>
    <w:rsid w:val="00145597"/>
    <w:rsid w:val="001466D3"/>
    <w:rsid w:val="001472FE"/>
    <w:rsid w:val="00147E13"/>
    <w:rsid w:val="00154E6E"/>
    <w:rsid w:val="00160F71"/>
    <w:rsid w:val="00162355"/>
    <w:rsid w:val="00162B7F"/>
    <w:rsid w:val="001639E5"/>
    <w:rsid w:val="00164553"/>
    <w:rsid w:val="00164E88"/>
    <w:rsid w:val="00166D36"/>
    <w:rsid w:val="00167EC3"/>
    <w:rsid w:val="0017064E"/>
    <w:rsid w:val="00170DD1"/>
    <w:rsid w:val="00172304"/>
    <w:rsid w:val="0018079E"/>
    <w:rsid w:val="00182FEC"/>
    <w:rsid w:val="00183AD9"/>
    <w:rsid w:val="00191976"/>
    <w:rsid w:val="00197EDA"/>
    <w:rsid w:val="001A1C51"/>
    <w:rsid w:val="001A2D63"/>
    <w:rsid w:val="001A2F81"/>
    <w:rsid w:val="001B01EC"/>
    <w:rsid w:val="001B03B6"/>
    <w:rsid w:val="001B1958"/>
    <w:rsid w:val="001B2E94"/>
    <w:rsid w:val="001B63B2"/>
    <w:rsid w:val="001B6AE4"/>
    <w:rsid w:val="001B6C0D"/>
    <w:rsid w:val="001C1474"/>
    <w:rsid w:val="001C2000"/>
    <w:rsid w:val="001C2933"/>
    <w:rsid w:val="001C4075"/>
    <w:rsid w:val="001D157A"/>
    <w:rsid w:val="001D2D58"/>
    <w:rsid w:val="001D7868"/>
    <w:rsid w:val="001E1516"/>
    <w:rsid w:val="001E3085"/>
    <w:rsid w:val="001F36AC"/>
    <w:rsid w:val="001F7274"/>
    <w:rsid w:val="002004E1"/>
    <w:rsid w:val="00200536"/>
    <w:rsid w:val="00201125"/>
    <w:rsid w:val="00201321"/>
    <w:rsid w:val="00204F17"/>
    <w:rsid w:val="00210339"/>
    <w:rsid w:val="00211660"/>
    <w:rsid w:val="00213589"/>
    <w:rsid w:val="00221BD1"/>
    <w:rsid w:val="00223595"/>
    <w:rsid w:val="00224BD6"/>
    <w:rsid w:val="002265A9"/>
    <w:rsid w:val="00230DA7"/>
    <w:rsid w:val="002336BD"/>
    <w:rsid w:val="00236327"/>
    <w:rsid w:val="00236937"/>
    <w:rsid w:val="002402D1"/>
    <w:rsid w:val="002435F2"/>
    <w:rsid w:val="00243D1E"/>
    <w:rsid w:val="0025569A"/>
    <w:rsid w:val="00255E9B"/>
    <w:rsid w:val="00255F77"/>
    <w:rsid w:val="0025659F"/>
    <w:rsid w:val="002570E8"/>
    <w:rsid w:val="00257110"/>
    <w:rsid w:val="002607CF"/>
    <w:rsid w:val="00262884"/>
    <w:rsid w:val="00263BCE"/>
    <w:rsid w:val="00264D84"/>
    <w:rsid w:val="00267917"/>
    <w:rsid w:val="00272073"/>
    <w:rsid w:val="00275FBD"/>
    <w:rsid w:val="00283AE2"/>
    <w:rsid w:val="00283EB5"/>
    <w:rsid w:val="00296AB0"/>
    <w:rsid w:val="002A7085"/>
    <w:rsid w:val="002A799A"/>
    <w:rsid w:val="002B0296"/>
    <w:rsid w:val="002B1048"/>
    <w:rsid w:val="002B4AE9"/>
    <w:rsid w:val="002C3342"/>
    <w:rsid w:val="002D2EAF"/>
    <w:rsid w:val="002D3A28"/>
    <w:rsid w:val="002E3494"/>
    <w:rsid w:val="002E3E0B"/>
    <w:rsid w:val="002E4545"/>
    <w:rsid w:val="002E46E3"/>
    <w:rsid w:val="002F13BD"/>
    <w:rsid w:val="002F14C6"/>
    <w:rsid w:val="002F55DD"/>
    <w:rsid w:val="002F75BD"/>
    <w:rsid w:val="00302870"/>
    <w:rsid w:val="00303255"/>
    <w:rsid w:val="00304616"/>
    <w:rsid w:val="00304855"/>
    <w:rsid w:val="00305DE7"/>
    <w:rsid w:val="0030628A"/>
    <w:rsid w:val="00306563"/>
    <w:rsid w:val="00306AB0"/>
    <w:rsid w:val="003117B9"/>
    <w:rsid w:val="00311A4B"/>
    <w:rsid w:val="00312BBF"/>
    <w:rsid w:val="00317A81"/>
    <w:rsid w:val="00320EE9"/>
    <w:rsid w:val="00321487"/>
    <w:rsid w:val="00327618"/>
    <w:rsid w:val="0033301D"/>
    <w:rsid w:val="00336F68"/>
    <w:rsid w:val="00336FDD"/>
    <w:rsid w:val="00341604"/>
    <w:rsid w:val="00347CBA"/>
    <w:rsid w:val="003502B4"/>
    <w:rsid w:val="00352E2F"/>
    <w:rsid w:val="003560E6"/>
    <w:rsid w:val="00357CF0"/>
    <w:rsid w:val="00363F3D"/>
    <w:rsid w:val="003665F6"/>
    <w:rsid w:val="0036728D"/>
    <w:rsid w:val="00371425"/>
    <w:rsid w:val="00371E29"/>
    <w:rsid w:val="0037508B"/>
    <w:rsid w:val="0038111B"/>
    <w:rsid w:val="00381C15"/>
    <w:rsid w:val="00382F41"/>
    <w:rsid w:val="0038494C"/>
    <w:rsid w:val="003868F7"/>
    <w:rsid w:val="00392BF4"/>
    <w:rsid w:val="003940F4"/>
    <w:rsid w:val="003959FD"/>
    <w:rsid w:val="003961ED"/>
    <w:rsid w:val="0039799B"/>
    <w:rsid w:val="003A0ADB"/>
    <w:rsid w:val="003A188A"/>
    <w:rsid w:val="003A1BED"/>
    <w:rsid w:val="003A1C79"/>
    <w:rsid w:val="003A2DAB"/>
    <w:rsid w:val="003A3152"/>
    <w:rsid w:val="003A454D"/>
    <w:rsid w:val="003A4659"/>
    <w:rsid w:val="003A7992"/>
    <w:rsid w:val="003A7D03"/>
    <w:rsid w:val="003B064C"/>
    <w:rsid w:val="003B13A5"/>
    <w:rsid w:val="003B3605"/>
    <w:rsid w:val="003B5B05"/>
    <w:rsid w:val="003B6DAB"/>
    <w:rsid w:val="003C3454"/>
    <w:rsid w:val="003C4781"/>
    <w:rsid w:val="003C5468"/>
    <w:rsid w:val="003C7A4A"/>
    <w:rsid w:val="003D1ED8"/>
    <w:rsid w:val="003D26B2"/>
    <w:rsid w:val="003D3515"/>
    <w:rsid w:val="003D6E1E"/>
    <w:rsid w:val="003E24B1"/>
    <w:rsid w:val="003E60E1"/>
    <w:rsid w:val="003F52EA"/>
    <w:rsid w:val="004011A4"/>
    <w:rsid w:val="00403B44"/>
    <w:rsid w:val="00403FBB"/>
    <w:rsid w:val="00405332"/>
    <w:rsid w:val="0041002E"/>
    <w:rsid w:val="00413B01"/>
    <w:rsid w:val="004142D4"/>
    <w:rsid w:val="004173F4"/>
    <w:rsid w:val="0043170C"/>
    <w:rsid w:val="004327AE"/>
    <w:rsid w:val="00433671"/>
    <w:rsid w:val="004430E8"/>
    <w:rsid w:val="0045480E"/>
    <w:rsid w:val="00456743"/>
    <w:rsid w:val="00456DA5"/>
    <w:rsid w:val="00457EA2"/>
    <w:rsid w:val="00461FD3"/>
    <w:rsid w:val="00462180"/>
    <w:rsid w:val="00463860"/>
    <w:rsid w:val="00463AF9"/>
    <w:rsid w:val="004644FC"/>
    <w:rsid w:val="00464B58"/>
    <w:rsid w:val="00464D58"/>
    <w:rsid w:val="004719AB"/>
    <w:rsid w:val="0047231B"/>
    <w:rsid w:val="0047725C"/>
    <w:rsid w:val="004840CF"/>
    <w:rsid w:val="0048470A"/>
    <w:rsid w:val="00484EC1"/>
    <w:rsid w:val="004866A5"/>
    <w:rsid w:val="00491047"/>
    <w:rsid w:val="004914C8"/>
    <w:rsid w:val="0049330E"/>
    <w:rsid w:val="004934D4"/>
    <w:rsid w:val="004967FF"/>
    <w:rsid w:val="00497365"/>
    <w:rsid w:val="004977E3"/>
    <w:rsid w:val="00497B33"/>
    <w:rsid w:val="004A0913"/>
    <w:rsid w:val="004A1C68"/>
    <w:rsid w:val="004A2732"/>
    <w:rsid w:val="004A2B24"/>
    <w:rsid w:val="004A4BA1"/>
    <w:rsid w:val="004A62EE"/>
    <w:rsid w:val="004A758D"/>
    <w:rsid w:val="004A7612"/>
    <w:rsid w:val="004B1139"/>
    <w:rsid w:val="004B7ECD"/>
    <w:rsid w:val="004C0ACF"/>
    <w:rsid w:val="004C38B7"/>
    <w:rsid w:val="004C4AEA"/>
    <w:rsid w:val="004C5359"/>
    <w:rsid w:val="004D0781"/>
    <w:rsid w:val="004D2BC8"/>
    <w:rsid w:val="004D3156"/>
    <w:rsid w:val="004D3FD1"/>
    <w:rsid w:val="004D6D2F"/>
    <w:rsid w:val="004D71C3"/>
    <w:rsid w:val="004E373B"/>
    <w:rsid w:val="004E40A7"/>
    <w:rsid w:val="004E764E"/>
    <w:rsid w:val="004F1F7A"/>
    <w:rsid w:val="004F749F"/>
    <w:rsid w:val="005000B3"/>
    <w:rsid w:val="005004BC"/>
    <w:rsid w:val="0050432A"/>
    <w:rsid w:val="0051415E"/>
    <w:rsid w:val="0051461C"/>
    <w:rsid w:val="00516C2B"/>
    <w:rsid w:val="00517F0F"/>
    <w:rsid w:val="00520566"/>
    <w:rsid w:val="00520844"/>
    <w:rsid w:val="00520CCA"/>
    <w:rsid w:val="0052332C"/>
    <w:rsid w:val="005238C8"/>
    <w:rsid w:val="0052419B"/>
    <w:rsid w:val="00525513"/>
    <w:rsid w:val="00530E18"/>
    <w:rsid w:val="00533573"/>
    <w:rsid w:val="0053482D"/>
    <w:rsid w:val="005349E7"/>
    <w:rsid w:val="00536EA4"/>
    <w:rsid w:val="00543979"/>
    <w:rsid w:val="0055295C"/>
    <w:rsid w:val="005541E6"/>
    <w:rsid w:val="005552F4"/>
    <w:rsid w:val="00555329"/>
    <w:rsid w:val="005579AA"/>
    <w:rsid w:val="0056031C"/>
    <w:rsid w:val="00561927"/>
    <w:rsid w:val="00563576"/>
    <w:rsid w:val="00565695"/>
    <w:rsid w:val="005666C3"/>
    <w:rsid w:val="00567903"/>
    <w:rsid w:val="005735F1"/>
    <w:rsid w:val="005762C1"/>
    <w:rsid w:val="00577861"/>
    <w:rsid w:val="00584B0A"/>
    <w:rsid w:val="00585951"/>
    <w:rsid w:val="00592BC6"/>
    <w:rsid w:val="00593624"/>
    <w:rsid w:val="005936D5"/>
    <w:rsid w:val="0059376A"/>
    <w:rsid w:val="005938EE"/>
    <w:rsid w:val="00594309"/>
    <w:rsid w:val="00595A42"/>
    <w:rsid w:val="00597EA9"/>
    <w:rsid w:val="005A2031"/>
    <w:rsid w:val="005A603C"/>
    <w:rsid w:val="005A6A8A"/>
    <w:rsid w:val="005B2265"/>
    <w:rsid w:val="005B7D64"/>
    <w:rsid w:val="005C25EA"/>
    <w:rsid w:val="005D0C62"/>
    <w:rsid w:val="005D4D28"/>
    <w:rsid w:val="005D5F6E"/>
    <w:rsid w:val="005E2D92"/>
    <w:rsid w:val="005E632D"/>
    <w:rsid w:val="005E74BA"/>
    <w:rsid w:val="005F1144"/>
    <w:rsid w:val="005F14E1"/>
    <w:rsid w:val="005F2651"/>
    <w:rsid w:val="005F531A"/>
    <w:rsid w:val="005F5528"/>
    <w:rsid w:val="005F65C8"/>
    <w:rsid w:val="005F70AB"/>
    <w:rsid w:val="005F7DB1"/>
    <w:rsid w:val="00602E5E"/>
    <w:rsid w:val="0060397B"/>
    <w:rsid w:val="006070EC"/>
    <w:rsid w:val="006072E8"/>
    <w:rsid w:val="00611AFB"/>
    <w:rsid w:val="006135DB"/>
    <w:rsid w:val="006143BF"/>
    <w:rsid w:val="006153AB"/>
    <w:rsid w:val="006175EF"/>
    <w:rsid w:val="006279EA"/>
    <w:rsid w:val="006314E7"/>
    <w:rsid w:val="00635BD5"/>
    <w:rsid w:val="00640CB4"/>
    <w:rsid w:val="00641772"/>
    <w:rsid w:val="00642A44"/>
    <w:rsid w:val="00657DC0"/>
    <w:rsid w:val="00660BB7"/>
    <w:rsid w:val="00664079"/>
    <w:rsid w:val="006642C4"/>
    <w:rsid w:val="00664DAA"/>
    <w:rsid w:val="00664F3B"/>
    <w:rsid w:val="006713B5"/>
    <w:rsid w:val="00674C38"/>
    <w:rsid w:val="006763DA"/>
    <w:rsid w:val="00681FEB"/>
    <w:rsid w:val="006823E7"/>
    <w:rsid w:val="0068459B"/>
    <w:rsid w:val="00685148"/>
    <w:rsid w:val="006900EA"/>
    <w:rsid w:val="0069103C"/>
    <w:rsid w:val="00691AD4"/>
    <w:rsid w:val="00693005"/>
    <w:rsid w:val="00693820"/>
    <w:rsid w:val="00696E42"/>
    <w:rsid w:val="00697054"/>
    <w:rsid w:val="00697CA8"/>
    <w:rsid w:val="006A43F9"/>
    <w:rsid w:val="006A4806"/>
    <w:rsid w:val="006A4E30"/>
    <w:rsid w:val="006B4735"/>
    <w:rsid w:val="006B60FC"/>
    <w:rsid w:val="006C0103"/>
    <w:rsid w:val="006C1090"/>
    <w:rsid w:val="006C3E32"/>
    <w:rsid w:val="006C5E79"/>
    <w:rsid w:val="006C7249"/>
    <w:rsid w:val="006D584E"/>
    <w:rsid w:val="006D5DA2"/>
    <w:rsid w:val="006E0F3D"/>
    <w:rsid w:val="006F1A49"/>
    <w:rsid w:val="006F4883"/>
    <w:rsid w:val="006F6B94"/>
    <w:rsid w:val="00701FAE"/>
    <w:rsid w:val="00710E91"/>
    <w:rsid w:val="00712B38"/>
    <w:rsid w:val="00716277"/>
    <w:rsid w:val="0071668C"/>
    <w:rsid w:val="0071784C"/>
    <w:rsid w:val="00722B86"/>
    <w:rsid w:val="00725627"/>
    <w:rsid w:val="007258CF"/>
    <w:rsid w:val="00726EB1"/>
    <w:rsid w:val="00732E62"/>
    <w:rsid w:val="007359D0"/>
    <w:rsid w:val="00735C25"/>
    <w:rsid w:val="0073691D"/>
    <w:rsid w:val="00737B87"/>
    <w:rsid w:val="00742745"/>
    <w:rsid w:val="007433C8"/>
    <w:rsid w:val="0074775E"/>
    <w:rsid w:val="00756626"/>
    <w:rsid w:val="007572BE"/>
    <w:rsid w:val="00763093"/>
    <w:rsid w:val="00764B19"/>
    <w:rsid w:val="00765853"/>
    <w:rsid w:val="0076760A"/>
    <w:rsid w:val="00774D1E"/>
    <w:rsid w:val="007765A6"/>
    <w:rsid w:val="00777132"/>
    <w:rsid w:val="0078494B"/>
    <w:rsid w:val="00784A57"/>
    <w:rsid w:val="007851E4"/>
    <w:rsid w:val="00785B83"/>
    <w:rsid w:val="00785D4D"/>
    <w:rsid w:val="0078688E"/>
    <w:rsid w:val="00787700"/>
    <w:rsid w:val="007910A8"/>
    <w:rsid w:val="00791D7E"/>
    <w:rsid w:val="0079274B"/>
    <w:rsid w:val="00792E7D"/>
    <w:rsid w:val="00796DBA"/>
    <w:rsid w:val="007A1535"/>
    <w:rsid w:val="007A2697"/>
    <w:rsid w:val="007A3332"/>
    <w:rsid w:val="007A4000"/>
    <w:rsid w:val="007A6DC4"/>
    <w:rsid w:val="007A7660"/>
    <w:rsid w:val="007A7E00"/>
    <w:rsid w:val="007B2A33"/>
    <w:rsid w:val="007B3510"/>
    <w:rsid w:val="007B70E0"/>
    <w:rsid w:val="007D0155"/>
    <w:rsid w:val="007D0409"/>
    <w:rsid w:val="007D0DB5"/>
    <w:rsid w:val="007D299D"/>
    <w:rsid w:val="007D3533"/>
    <w:rsid w:val="007D5A95"/>
    <w:rsid w:val="007D736C"/>
    <w:rsid w:val="007D7DBA"/>
    <w:rsid w:val="007E0063"/>
    <w:rsid w:val="007E13AE"/>
    <w:rsid w:val="007E5D59"/>
    <w:rsid w:val="007E6466"/>
    <w:rsid w:val="007E6782"/>
    <w:rsid w:val="007E74B9"/>
    <w:rsid w:val="007E7D3E"/>
    <w:rsid w:val="007F3874"/>
    <w:rsid w:val="007F46A2"/>
    <w:rsid w:val="007F5783"/>
    <w:rsid w:val="007F58B9"/>
    <w:rsid w:val="007F73C5"/>
    <w:rsid w:val="007F7402"/>
    <w:rsid w:val="008051C0"/>
    <w:rsid w:val="008062F5"/>
    <w:rsid w:val="00810B33"/>
    <w:rsid w:val="00814392"/>
    <w:rsid w:val="008143E7"/>
    <w:rsid w:val="008147B0"/>
    <w:rsid w:val="0081666D"/>
    <w:rsid w:val="00816F86"/>
    <w:rsid w:val="00826BEC"/>
    <w:rsid w:val="008309E3"/>
    <w:rsid w:val="0083275D"/>
    <w:rsid w:val="008331E4"/>
    <w:rsid w:val="0083518C"/>
    <w:rsid w:val="00835258"/>
    <w:rsid w:val="00836399"/>
    <w:rsid w:val="00836C7B"/>
    <w:rsid w:val="00837A11"/>
    <w:rsid w:val="008400F7"/>
    <w:rsid w:val="00845785"/>
    <w:rsid w:val="0084629B"/>
    <w:rsid w:val="008470A5"/>
    <w:rsid w:val="008524BA"/>
    <w:rsid w:val="00854FBA"/>
    <w:rsid w:val="00860FD0"/>
    <w:rsid w:val="008629F4"/>
    <w:rsid w:val="0087038D"/>
    <w:rsid w:val="008800E3"/>
    <w:rsid w:val="008807C0"/>
    <w:rsid w:val="00887F0C"/>
    <w:rsid w:val="00893A32"/>
    <w:rsid w:val="008A1A9C"/>
    <w:rsid w:val="008A541E"/>
    <w:rsid w:val="008B0ED1"/>
    <w:rsid w:val="008B3188"/>
    <w:rsid w:val="008B336F"/>
    <w:rsid w:val="008B56D2"/>
    <w:rsid w:val="008B7147"/>
    <w:rsid w:val="008C23E0"/>
    <w:rsid w:val="008C3D8A"/>
    <w:rsid w:val="008C3FF0"/>
    <w:rsid w:val="008C56F5"/>
    <w:rsid w:val="008C6787"/>
    <w:rsid w:val="008C7394"/>
    <w:rsid w:val="008C7810"/>
    <w:rsid w:val="008D0FB0"/>
    <w:rsid w:val="008D2DB0"/>
    <w:rsid w:val="008D3747"/>
    <w:rsid w:val="008D6BE2"/>
    <w:rsid w:val="008E0100"/>
    <w:rsid w:val="008E7989"/>
    <w:rsid w:val="008E7DD4"/>
    <w:rsid w:val="008F3F87"/>
    <w:rsid w:val="008F3FFA"/>
    <w:rsid w:val="0090229C"/>
    <w:rsid w:val="00903112"/>
    <w:rsid w:val="0090469F"/>
    <w:rsid w:val="0090555B"/>
    <w:rsid w:val="00912B21"/>
    <w:rsid w:val="00917842"/>
    <w:rsid w:val="009207E0"/>
    <w:rsid w:val="00921DF6"/>
    <w:rsid w:val="00924893"/>
    <w:rsid w:val="00926422"/>
    <w:rsid w:val="009302F3"/>
    <w:rsid w:val="00934006"/>
    <w:rsid w:val="009369AF"/>
    <w:rsid w:val="00937328"/>
    <w:rsid w:val="0093779E"/>
    <w:rsid w:val="00940228"/>
    <w:rsid w:val="00945580"/>
    <w:rsid w:val="00950D6E"/>
    <w:rsid w:val="009548AD"/>
    <w:rsid w:val="0096020D"/>
    <w:rsid w:val="009652E1"/>
    <w:rsid w:val="009700EA"/>
    <w:rsid w:val="00975C50"/>
    <w:rsid w:val="00976106"/>
    <w:rsid w:val="009816FF"/>
    <w:rsid w:val="009837EC"/>
    <w:rsid w:val="009845F3"/>
    <w:rsid w:val="00990633"/>
    <w:rsid w:val="00991551"/>
    <w:rsid w:val="00994B9D"/>
    <w:rsid w:val="009A2069"/>
    <w:rsid w:val="009A24DD"/>
    <w:rsid w:val="009A506D"/>
    <w:rsid w:val="009A55BF"/>
    <w:rsid w:val="009A73F9"/>
    <w:rsid w:val="009B0065"/>
    <w:rsid w:val="009B2CDC"/>
    <w:rsid w:val="009B4FED"/>
    <w:rsid w:val="009B6FEB"/>
    <w:rsid w:val="009C428B"/>
    <w:rsid w:val="009C5F48"/>
    <w:rsid w:val="009C62B5"/>
    <w:rsid w:val="009D4E08"/>
    <w:rsid w:val="009D5CF6"/>
    <w:rsid w:val="009D79D9"/>
    <w:rsid w:val="009E0D54"/>
    <w:rsid w:val="009E2C98"/>
    <w:rsid w:val="009E5DE6"/>
    <w:rsid w:val="009E6E7D"/>
    <w:rsid w:val="009F00CA"/>
    <w:rsid w:val="009F6E40"/>
    <w:rsid w:val="00A01CA9"/>
    <w:rsid w:val="00A02B70"/>
    <w:rsid w:val="00A02EC0"/>
    <w:rsid w:val="00A11D23"/>
    <w:rsid w:val="00A12BFB"/>
    <w:rsid w:val="00A131C6"/>
    <w:rsid w:val="00A14643"/>
    <w:rsid w:val="00A153E2"/>
    <w:rsid w:val="00A208BD"/>
    <w:rsid w:val="00A20C0F"/>
    <w:rsid w:val="00A24843"/>
    <w:rsid w:val="00A272A5"/>
    <w:rsid w:val="00A31583"/>
    <w:rsid w:val="00A31B9C"/>
    <w:rsid w:val="00A32353"/>
    <w:rsid w:val="00A32B99"/>
    <w:rsid w:val="00A33534"/>
    <w:rsid w:val="00A34503"/>
    <w:rsid w:val="00A36534"/>
    <w:rsid w:val="00A365B5"/>
    <w:rsid w:val="00A37F7F"/>
    <w:rsid w:val="00A41840"/>
    <w:rsid w:val="00A436D8"/>
    <w:rsid w:val="00A500FC"/>
    <w:rsid w:val="00A50DF7"/>
    <w:rsid w:val="00A5356D"/>
    <w:rsid w:val="00A56E2F"/>
    <w:rsid w:val="00A63F72"/>
    <w:rsid w:val="00A66EBD"/>
    <w:rsid w:val="00A739E7"/>
    <w:rsid w:val="00A75C85"/>
    <w:rsid w:val="00A8478E"/>
    <w:rsid w:val="00A85D86"/>
    <w:rsid w:val="00A91A61"/>
    <w:rsid w:val="00A91F9F"/>
    <w:rsid w:val="00A93BEF"/>
    <w:rsid w:val="00AA1EC4"/>
    <w:rsid w:val="00AA26BF"/>
    <w:rsid w:val="00AA4EEB"/>
    <w:rsid w:val="00AA6158"/>
    <w:rsid w:val="00AB197A"/>
    <w:rsid w:val="00AB538C"/>
    <w:rsid w:val="00AB6351"/>
    <w:rsid w:val="00AC0C26"/>
    <w:rsid w:val="00AC2AE1"/>
    <w:rsid w:val="00AC729C"/>
    <w:rsid w:val="00AD15D6"/>
    <w:rsid w:val="00AD4215"/>
    <w:rsid w:val="00AD454A"/>
    <w:rsid w:val="00AD7AC4"/>
    <w:rsid w:val="00AE109C"/>
    <w:rsid w:val="00AE2D51"/>
    <w:rsid w:val="00AE5218"/>
    <w:rsid w:val="00AE6143"/>
    <w:rsid w:val="00AE6479"/>
    <w:rsid w:val="00AE65DE"/>
    <w:rsid w:val="00AF0A8C"/>
    <w:rsid w:val="00AF0D11"/>
    <w:rsid w:val="00AF2EB1"/>
    <w:rsid w:val="00AF4159"/>
    <w:rsid w:val="00AF47F0"/>
    <w:rsid w:val="00AF4C17"/>
    <w:rsid w:val="00AF57C7"/>
    <w:rsid w:val="00AF7D17"/>
    <w:rsid w:val="00AF7E39"/>
    <w:rsid w:val="00B016AA"/>
    <w:rsid w:val="00B11414"/>
    <w:rsid w:val="00B2224D"/>
    <w:rsid w:val="00B26485"/>
    <w:rsid w:val="00B27103"/>
    <w:rsid w:val="00B27134"/>
    <w:rsid w:val="00B27466"/>
    <w:rsid w:val="00B31493"/>
    <w:rsid w:val="00B408F4"/>
    <w:rsid w:val="00B41A65"/>
    <w:rsid w:val="00B44146"/>
    <w:rsid w:val="00B5172B"/>
    <w:rsid w:val="00B5208F"/>
    <w:rsid w:val="00B54056"/>
    <w:rsid w:val="00B54F8A"/>
    <w:rsid w:val="00B608E3"/>
    <w:rsid w:val="00B6179A"/>
    <w:rsid w:val="00B63121"/>
    <w:rsid w:val="00B64886"/>
    <w:rsid w:val="00B6513B"/>
    <w:rsid w:val="00B66247"/>
    <w:rsid w:val="00B6671E"/>
    <w:rsid w:val="00B709E0"/>
    <w:rsid w:val="00B71159"/>
    <w:rsid w:val="00B724F3"/>
    <w:rsid w:val="00B76833"/>
    <w:rsid w:val="00B76BE5"/>
    <w:rsid w:val="00B83888"/>
    <w:rsid w:val="00B852B1"/>
    <w:rsid w:val="00B85628"/>
    <w:rsid w:val="00B90814"/>
    <w:rsid w:val="00B90B33"/>
    <w:rsid w:val="00B91B56"/>
    <w:rsid w:val="00B962D4"/>
    <w:rsid w:val="00B96B37"/>
    <w:rsid w:val="00BA396F"/>
    <w:rsid w:val="00BA4D43"/>
    <w:rsid w:val="00BA74CC"/>
    <w:rsid w:val="00BB0B3D"/>
    <w:rsid w:val="00BB5F21"/>
    <w:rsid w:val="00BB5FAE"/>
    <w:rsid w:val="00BC1A71"/>
    <w:rsid w:val="00BC48DB"/>
    <w:rsid w:val="00BC4928"/>
    <w:rsid w:val="00BC74E1"/>
    <w:rsid w:val="00BC78C9"/>
    <w:rsid w:val="00BD2CA3"/>
    <w:rsid w:val="00BD2EE6"/>
    <w:rsid w:val="00BD5352"/>
    <w:rsid w:val="00BD7446"/>
    <w:rsid w:val="00BE0F12"/>
    <w:rsid w:val="00BE21D5"/>
    <w:rsid w:val="00BE5332"/>
    <w:rsid w:val="00BF3D5C"/>
    <w:rsid w:val="00C01687"/>
    <w:rsid w:val="00C02080"/>
    <w:rsid w:val="00C02627"/>
    <w:rsid w:val="00C03DE1"/>
    <w:rsid w:val="00C049FB"/>
    <w:rsid w:val="00C07B07"/>
    <w:rsid w:val="00C10A57"/>
    <w:rsid w:val="00C111CD"/>
    <w:rsid w:val="00C11B1B"/>
    <w:rsid w:val="00C12647"/>
    <w:rsid w:val="00C12F52"/>
    <w:rsid w:val="00C2067F"/>
    <w:rsid w:val="00C21AEB"/>
    <w:rsid w:val="00C25898"/>
    <w:rsid w:val="00C266F1"/>
    <w:rsid w:val="00C270E3"/>
    <w:rsid w:val="00C31323"/>
    <w:rsid w:val="00C32230"/>
    <w:rsid w:val="00C343E2"/>
    <w:rsid w:val="00C3722B"/>
    <w:rsid w:val="00C373A3"/>
    <w:rsid w:val="00C41A90"/>
    <w:rsid w:val="00C41BEC"/>
    <w:rsid w:val="00C44455"/>
    <w:rsid w:val="00C5397C"/>
    <w:rsid w:val="00C57474"/>
    <w:rsid w:val="00C6026E"/>
    <w:rsid w:val="00C61007"/>
    <w:rsid w:val="00C61726"/>
    <w:rsid w:val="00C641CA"/>
    <w:rsid w:val="00C6577C"/>
    <w:rsid w:val="00C667C1"/>
    <w:rsid w:val="00C674A0"/>
    <w:rsid w:val="00C71F89"/>
    <w:rsid w:val="00C72C1E"/>
    <w:rsid w:val="00C72F15"/>
    <w:rsid w:val="00C74B9A"/>
    <w:rsid w:val="00C77FD8"/>
    <w:rsid w:val="00C855AA"/>
    <w:rsid w:val="00C87192"/>
    <w:rsid w:val="00C96C41"/>
    <w:rsid w:val="00C97128"/>
    <w:rsid w:val="00CA086A"/>
    <w:rsid w:val="00CA1738"/>
    <w:rsid w:val="00CA1B4D"/>
    <w:rsid w:val="00CA245C"/>
    <w:rsid w:val="00CA3FFB"/>
    <w:rsid w:val="00CA4FE5"/>
    <w:rsid w:val="00CA575F"/>
    <w:rsid w:val="00CA5D7B"/>
    <w:rsid w:val="00CA6539"/>
    <w:rsid w:val="00CB1761"/>
    <w:rsid w:val="00CB3645"/>
    <w:rsid w:val="00CB3776"/>
    <w:rsid w:val="00CB4BED"/>
    <w:rsid w:val="00CC100D"/>
    <w:rsid w:val="00CC1CB3"/>
    <w:rsid w:val="00CC370C"/>
    <w:rsid w:val="00CC37F5"/>
    <w:rsid w:val="00CC4070"/>
    <w:rsid w:val="00CC477F"/>
    <w:rsid w:val="00CC4A5C"/>
    <w:rsid w:val="00CC5DA0"/>
    <w:rsid w:val="00CD1574"/>
    <w:rsid w:val="00CD15DC"/>
    <w:rsid w:val="00CD4CE1"/>
    <w:rsid w:val="00CD674E"/>
    <w:rsid w:val="00CD6C86"/>
    <w:rsid w:val="00CD6CAD"/>
    <w:rsid w:val="00CD7100"/>
    <w:rsid w:val="00CE1BC2"/>
    <w:rsid w:val="00CE3C16"/>
    <w:rsid w:val="00CE6FB6"/>
    <w:rsid w:val="00CE7AD9"/>
    <w:rsid w:val="00CF3576"/>
    <w:rsid w:val="00CF4740"/>
    <w:rsid w:val="00CF6826"/>
    <w:rsid w:val="00CF7A2E"/>
    <w:rsid w:val="00D00847"/>
    <w:rsid w:val="00D03363"/>
    <w:rsid w:val="00D04AA5"/>
    <w:rsid w:val="00D14CB3"/>
    <w:rsid w:val="00D20C5C"/>
    <w:rsid w:val="00D23BB6"/>
    <w:rsid w:val="00D24377"/>
    <w:rsid w:val="00D25F8C"/>
    <w:rsid w:val="00D26829"/>
    <w:rsid w:val="00D279B4"/>
    <w:rsid w:val="00D304E2"/>
    <w:rsid w:val="00D33AD3"/>
    <w:rsid w:val="00D37935"/>
    <w:rsid w:val="00D421C7"/>
    <w:rsid w:val="00D42928"/>
    <w:rsid w:val="00D430E2"/>
    <w:rsid w:val="00D43116"/>
    <w:rsid w:val="00D4494B"/>
    <w:rsid w:val="00D45D1A"/>
    <w:rsid w:val="00D467F5"/>
    <w:rsid w:val="00D46A25"/>
    <w:rsid w:val="00D50AE7"/>
    <w:rsid w:val="00D52B0A"/>
    <w:rsid w:val="00D52E58"/>
    <w:rsid w:val="00D549A2"/>
    <w:rsid w:val="00D55CF5"/>
    <w:rsid w:val="00D55F9D"/>
    <w:rsid w:val="00D573C6"/>
    <w:rsid w:val="00D601FB"/>
    <w:rsid w:val="00D618F4"/>
    <w:rsid w:val="00D642C9"/>
    <w:rsid w:val="00D66FB7"/>
    <w:rsid w:val="00D72413"/>
    <w:rsid w:val="00D7265F"/>
    <w:rsid w:val="00D737DF"/>
    <w:rsid w:val="00D769DE"/>
    <w:rsid w:val="00D76D20"/>
    <w:rsid w:val="00D81C37"/>
    <w:rsid w:val="00D82CD2"/>
    <w:rsid w:val="00D938B2"/>
    <w:rsid w:val="00D944DF"/>
    <w:rsid w:val="00DA023F"/>
    <w:rsid w:val="00DA249D"/>
    <w:rsid w:val="00DA739D"/>
    <w:rsid w:val="00DB1340"/>
    <w:rsid w:val="00DB18EF"/>
    <w:rsid w:val="00DB23D8"/>
    <w:rsid w:val="00DB3FB2"/>
    <w:rsid w:val="00DB4B8D"/>
    <w:rsid w:val="00DB52B1"/>
    <w:rsid w:val="00DB696D"/>
    <w:rsid w:val="00DB7068"/>
    <w:rsid w:val="00DC4D9B"/>
    <w:rsid w:val="00DD013F"/>
    <w:rsid w:val="00DD17D3"/>
    <w:rsid w:val="00DD3FB1"/>
    <w:rsid w:val="00DD4E42"/>
    <w:rsid w:val="00DD5814"/>
    <w:rsid w:val="00DD6C53"/>
    <w:rsid w:val="00DE123F"/>
    <w:rsid w:val="00DE2C67"/>
    <w:rsid w:val="00DE45BC"/>
    <w:rsid w:val="00DE5638"/>
    <w:rsid w:val="00DE7182"/>
    <w:rsid w:val="00DF02C6"/>
    <w:rsid w:val="00DF11F5"/>
    <w:rsid w:val="00DF26D8"/>
    <w:rsid w:val="00DF3656"/>
    <w:rsid w:val="00DF3A80"/>
    <w:rsid w:val="00DF4586"/>
    <w:rsid w:val="00DF5B5D"/>
    <w:rsid w:val="00DF5D92"/>
    <w:rsid w:val="00DF65B2"/>
    <w:rsid w:val="00DF73F4"/>
    <w:rsid w:val="00E001D9"/>
    <w:rsid w:val="00E03ACF"/>
    <w:rsid w:val="00E03B2B"/>
    <w:rsid w:val="00E03DEE"/>
    <w:rsid w:val="00E04498"/>
    <w:rsid w:val="00E04709"/>
    <w:rsid w:val="00E048FB"/>
    <w:rsid w:val="00E0701D"/>
    <w:rsid w:val="00E1306D"/>
    <w:rsid w:val="00E136E8"/>
    <w:rsid w:val="00E151D8"/>
    <w:rsid w:val="00E15522"/>
    <w:rsid w:val="00E159C7"/>
    <w:rsid w:val="00E215AB"/>
    <w:rsid w:val="00E22BDB"/>
    <w:rsid w:val="00E261F0"/>
    <w:rsid w:val="00E3394F"/>
    <w:rsid w:val="00E3640D"/>
    <w:rsid w:val="00E370BD"/>
    <w:rsid w:val="00E379E2"/>
    <w:rsid w:val="00E402DD"/>
    <w:rsid w:val="00E4041E"/>
    <w:rsid w:val="00E43AF2"/>
    <w:rsid w:val="00E43B06"/>
    <w:rsid w:val="00E45A9D"/>
    <w:rsid w:val="00E46D21"/>
    <w:rsid w:val="00E507E2"/>
    <w:rsid w:val="00E51D4F"/>
    <w:rsid w:val="00E55076"/>
    <w:rsid w:val="00E5522B"/>
    <w:rsid w:val="00E554E7"/>
    <w:rsid w:val="00E62869"/>
    <w:rsid w:val="00E63216"/>
    <w:rsid w:val="00E70FDF"/>
    <w:rsid w:val="00E71E33"/>
    <w:rsid w:val="00E73AEE"/>
    <w:rsid w:val="00E74ABE"/>
    <w:rsid w:val="00E8199F"/>
    <w:rsid w:val="00E81C2D"/>
    <w:rsid w:val="00E826D9"/>
    <w:rsid w:val="00E849B4"/>
    <w:rsid w:val="00E84C89"/>
    <w:rsid w:val="00E85DFB"/>
    <w:rsid w:val="00E8633D"/>
    <w:rsid w:val="00E87852"/>
    <w:rsid w:val="00E90F4F"/>
    <w:rsid w:val="00E920B9"/>
    <w:rsid w:val="00E92C09"/>
    <w:rsid w:val="00E9413C"/>
    <w:rsid w:val="00E94676"/>
    <w:rsid w:val="00E96BF3"/>
    <w:rsid w:val="00EA0C3B"/>
    <w:rsid w:val="00EA1755"/>
    <w:rsid w:val="00EA18DE"/>
    <w:rsid w:val="00EA4F01"/>
    <w:rsid w:val="00EA6C57"/>
    <w:rsid w:val="00EB0A8D"/>
    <w:rsid w:val="00EB32D8"/>
    <w:rsid w:val="00EB7AB1"/>
    <w:rsid w:val="00EC2397"/>
    <w:rsid w:val="00EC4F83"/>
    <w:rsid w:val="00ED15BD"/>
    <w:rsid w:val="00ED1947"/>
    <w:rsid w:val="00ED1C7D"/>
    <w:rsid w:val="00ED22B7"/>
    <w:rsid w:val="00ED487B"/>
    <w:rsid w:val="00ED558D"/>
    <w:rsid w:val="00EE04AC"/>
    <w:rsid w:val="00EE20BA"/>
    <w:rsid w:val="00EE2E85"/>
    <w:rsid w:val="00EE370B"/>
    <w:rsid w:val="00EE3A4F"/>
    <w:rsid w:val="00EE6014"/>
    <w:rsid w:val="00EE69E7"/>
    <w:rsid w:val="00EF2298"/>
    <w:rsid w:val="00EF23EC"/>
    <w:rsid w:val="00EF4317"/>
    <w:rsid w:val="00EF50C5"/>
    <w:rsid w:val="00EF560F"/>
    <w:rsid w:val="00F06AEE"/>
    <w:rsid w:val="00F10C79"/>
    <w:rsid w:val="00F13AE7"/>
    <w:rsid w:val="00F14F28"/>
    <w:rsid w:val="00F15F50"/>
    <w:rsid w:val="00F20358"/>
    <w:rsid w:val="00F23FE1"/>
    <w:rsid w:val="00F244B7"/>
    <w:rsid w:val="00F24546"/>
    <w:rsid w:val="00F249B5"/>
    <w:rsid w:val="00F25AE9"/>
    <w:rsid w:val="00F25FC8"/>
    <w:rsid w:val="00F26F38"/>
    <w:rsid w:val="00F27C4E"/>
    <w:rsid w:val="00F30E12"/>
    <w:rsid w:val="00F33F8B"/>
    <w:rsid w:val="00F343CD"/>
    <w:rsid w:val="00F37864"/>
    <w:rsid w:val="00F431A3"/>
    <w:rsid w:val="00F43AE5"/>
    <w:rsid w:val="00F44EFF"/>
    <w:rsid w:val="00F45A96"/>
    <w:rsid w:val="00F45C23"/>
    <w:rsid w:val="00F5041F"/>
    <w:rsid w:val="00F529D3"/>
    <w:rsid w:val="00F5535C"/>
    <w:rsid w:val="00F55A1E"/>
    <w:rsid w:val="00F55A6D"/>
    <w:rsid w:val="00F56BE9"/>
    <w:rsid w:val="00F612B8"/>
    <w:rsid w:val="00F61515"/>
    <w:rsid w:val="00F63B33"/>
    <w:rsid w:val="00F65007"/>
    <w:rsid w:val="00F65257"/>
    <w:rsid w:val="00F66744"/>
    <w:rsid w:val="00F7137A"/>
    <w:rsid w:val="00F75F0C"/>
    <w:rsid w:val="00F76A54"/>
    <w:rsid w:val="00F827AA"/>
    <w:rsid w:val="00F85469"/>
    <w:rsid w:val="00F855E3"/>
    <w:rsid w:val="00F857AF"/>
    <w:rsid w:val="00F86F0B"/>
    <w:rsid w:val="00F87AC8"/>
    <w:rsid w:val="00F87B12"/>
    <w:rsid w:val="00F90BB7"/>
    <w:rsid w:val="00F91A27"/>
    <w:rsid w:val="00F94E51"/>
    <w:rsid w:val="00F9692B"/>
    <w:rsid w:val="00FA15C6"/>
    <w:rsid w:val="00FA3C67"/>
    <w:rsid w:val="00FA4722"/>
    <w:rsid w:val="00FA4BE6"/>
    <w:rsid w:val="00FA52DE"/>
    <w:rsid w:val="00FA5F22"/>
    <w:rsid w:val="00FB4062"/>
    <w:rsid w:val="00FC0078"/>
    <w:rsid w:val="00FC59A5"/>
    <w:rsid w:val="00FD1F23"/>
    <w:rsid w:val="00FD3E41"/>
    <w:rsid w:val="00FD4A9E"/>
    <w:rsid w:val="00FD55B1"/>
    <w:rsid w:val="00FD6717"/>
    <w:rsid w:val="00FE0D9E"/>
    <w:rsid w:val="00FE1EE7"/>
    <w:rsid w:val="00FE5A7E"/>
    <w:rsid w:val="00FF3198"/>
    <w:rsid w:val="010033FE"/>
    <w:rsid w:val="011812D9"/>
    <w:rsid w:val="01285229"/>
    <w:rsid w:val="012B30E8"/>
    <w:rsid w:val="016B12C5"/>
    <w:rsid w:val="0182418D"/>
    <w:rsid w:val="018B12AE"/>
    <w:rsid w:val="01A12072"/>
    <w:rsid w:val="01A83C91"/>
    <w:rsid w:val="01D05076"/>
    <w:rsid w:val="01F81427"/>
    <w:rsid w:val="02323358"/>
    <w:rsid w:val="02DC3972"/>
    <w:rsid w:val="0309229F"/>
    <w:rsid w:val="034A180E"/>
    <w:rsid w:val="038118E0"/>
    <w:rsid w:val="03A72A1C"/>
    <w:rsid w:val="03F93561"/>
    <w:rsid w:val="042C6B16"/>
    <w:rsid w:val="04302421"/>
    <w:rsid w:val="04443FD7"/>
    <w:rsid w:val="04A77AA3"/>
    <w:rsid w:val="04E9096C"/>
    <w:rsid w:val="054D6200"/>
    <w:rsid w:val="054F65E3"/>
    <w:rsid w:val="05901675"/>
    <w:rsid w:val="05D34727"/>
    <w:rsid w:val="05D66602"/>
    <w:rsid w:val="05E24AD6"/>
    <w:rsid w:val="06322FFD"/>
    <w:rsid w:val="06327AAC"/>
    <w:rsid w:val="06887ED4"/>
    <w:rsid w:val="06ED044B"/>
    <w:rsid w:val="072B040A"/>
    <w:rsid w:val="074D2169"/>
    <w:rsid w:val="076F76DF"/>
    <w:rsid w:val="07917B75"/>
    <w:rsid w:val="08091F41"/>
    <w:rsid w:val="082F141C"/>
    <w:rsid w:val="08340590"/>
    <w:rsid w:val="086E68F3"/>
    <w:rsid w:val="08931933"/>
    <w:rsid w:val="08C87C67"/>
    <w:rsid w:val="08DC63AE"/>
    <w:rsid w:val="091B106A"/>
    <w:rsid w:val="09482EE7"/>
    <w:rsid w:val="094E4D47"/>
    <w:rsid w:val="099950E0"/>
    <w:rsid w:val="09FF3026"/>
    <w:rsid w:val="0A0B051E"/>
    <w:rsid w:val="0A6F7309"/>
    <w:rsid w:val="0A896B0F"/>
    <w:rsid w:val="0AC329A3"/>
    <w:rsid w:val="0ACC2B15"/>
    <w:rsid w:val="0AE52B68"/>
    <w:rsid w:val="0AF128BD"/>
    <w:rsid w:val="0B135F23"/>
    <w:rsid w:val="0B4A1776"/>
    <w:rsid w:val="0B6331C9"/>
    <w:rsid w:val="0C525A8C"/>
    <w:rsid w:val="0C6D743E"/>
    <w:rsid w:val="0C786503"/>
    <w:rsid w:val="0C8C7FDF"/>
    <w:rsid w:val="0D13642B"/>
    <w:rsid w:val="0D1A04C9"/>
    <w:rsid w:val="0D275DB6"/>
    <w:rsid w:val="0D485800"/>
    <w:rsid w:val="0D5654FC"/>
    <w:rsid w:val="0D7C26E7"/>
    <w:rsid w:val="0D8743AB"/>
    <w:rsid w:val="0E1851CA"/>
    <w:rsid w:val="0E1E3F8D"/>
    <w:rsid w:val="0E214BEE"/>
    <w:rsid w:val="0E2F436A"/>
    <w:rsid w:val="0E405BC9"/>
    <w:rsid w:val="0EAC21C7"/>
    <w:rsid w:val="0EB41769"/>
    <w:rsid w:val="0F227B30"/>
    <w:rsid w:val="0F4B36E2"/>
    <w:rsid w:val="0F5B26F9"/>
    <w:rsid w:val="0F6931C5"/>
    <w:rsid w:val="0F89137E"/>
    <w:rsid w:val="0FF63750"/>
    <w:rsid w:val="0FFF7825"/>
    <w:rsid w:val="10757130"/>
    <w:rsid w:val="107618C2"/>
    <w:rsid w:val="108F1D48"/>
    <w:rsid w:val="10C66BA6"/>
    <w:rsid w:val="112B34AD"/>
    <w:rsid w:val="114C5619"/>
    <w:rsid w:val="11E62542"/>
    <w:rsid w:val="11FF5827"/>
    <w:rsid w:val="1202014E"/>
    <w:rsid w:val="12425AC4"/>
    <w:rsid w:val="12E77F39"/>
    <w:rsid w:val="1305213D"/>
    <w:rsid w:val="131D1277"/>
    <w:rsid w:val="13427D3D"/>
    <w:rsid w:val="134E5FED"/>
    <w:rsid w:val="135900C5"/>
    <w:rsid w:val="13B202AF"/>
    <w:rsid w:val="13BD1968"/>
    <w:rsid w:val="13E51463"/>
    <w:rsid w:val="14250227"/>
    <w:rsid w:val="14C9075B"/>
    <w:rsid w:val="15B14B86"/>
    <w:rsid w:val="15E35B71"/>
    <w:rsid w:val="16180B5B"/>
    <w:rsid w:val="16314FB8"/>
    <w:rsid w:val="16371542"/>
    <w:rsid w:val="16416E54"/>
    <w:rsid w:val="166F0578"/>
    <w:rsid w:val="16C521FB"/>
    <w:rsid w:val="18090C43"/>
    <w:rsid w:val="181D4CAD"/>
    <w:rsid w:val="18893F9B"/>
    <w:rsid w:val="18FB5F15"/>
    <w:rsid w:val="19477B5C"/>
    <w:rsid w:val="19E12978"/>
    <w:rsid w:val="1A1018D0"/>
    <w:rsid w:val="1AFC7E0E"/>
    <w:rsid w:val="1B321622"/>
    <w:rsid w:val="1B924AAD"/>
    <w:rsid w:val="1BB13EE1"/>
    <w:rsid w:val="1BCC4BEC"/>
    <w:rsid w:val="1C2B3C76"/>
    <w:rsid w:val="1C9A5BF9"/>
    <w:rsid w:val="1CB20A6E"/>
    <w:rsid w:val="1CDC614E"/>
    <w:rsid w:val="1D1642B3"/>
    <w:rsid w:val="1D8167B4"/>
    <w:rsid w:val="1DA10C49"/>
    <w:rsid w:val="1DB06BC5"/>
    <w:rsid w:val="1E507848"/>
    <w:rsid w:val="1E511B62"/>
    <w:rsid w:val="1E612439"/>
    <w:rsid w:val="1E936423"/>
    <w:rsid w:val="1EA9678E"/>
    <w:rsid w:val="1EED6E74"/>
    <w:rsid w:val="1EF824A4"/>
    <w:rsid w:val="1F2660DC"/>
    <w:rsid w:val="1F3570F4"/>
    <w:rsid w:val="1F8473E5"/>
    <w:rsid w:val="1F8E23D0"/>
    <w:rsid w:val="1F9C38D3"/>
    <w:rsid w:val="202713B4"/>
    <w:rsid w:val="20767551"/>
    <w:rsid w:val="209B34F8"/>
    <w:rsid w:val="213A6A29"/>
    <w:rsid w:val="213B4250"/>
    <w:rsid w:val="21CC7639"/>
    <w:rsid w:val="21DB64E2"/>
    <w:rsid w:val="21E65BED"/>
    <w:rsid w:val="221C4C30"/>
    <w:rsid w:val="22A70B6C"/>
    <w:rsid w:val="22B02360"/>
    <w:rsid w:val="22C92125"/>
    <w:rsid w:val="22D741FB"/>
    <w:rsid w:val="22F86776"/>
    <w:rsid w:val="2312365C"/>
    <w:rsid w:val="23793E62"/>
    <w:rsid w:val="23817D16"/>
    <w:rsid w:val="23C031E5"/>
    <w:rsid w:val="23C14303"/>
    <w:rsid w:val="23FF4622"/>
    <w:rsid w:val="249F73F6"/>
    <w:rsid w:val="254965CF"/>
    <w:rsid w:val="25E56E38"/>
    <w:rsid w:val="264B28A8"/>
    <w:rsid w:val="268728A1"/>
    <w:rsid w:val="269163BD"/>
    <w:rsid w:val="26AA3FBB"/>
    <w:rsid w:val="272031D9"/>
    <w:rsid w:val="27432BC1"/>
    <w:rsid w:val="27474E5A"/>
    <w:rsid w:val="2773489E"/>
    <w:rsid w:val="27E420FA"/>
    <w:rsid w:val="27F0275A"/>
    <w:rsid w:val="28580092"/>
    <w:rsid w:val="28A21255"/>
    <w:rsid w:val="28BC23D4"/>
    <w:rsid w:val="290578B9"/>
    <w:rsid w:val="2A9329C0"/>
    <w:rsid w:val="2AA10ED5"/>
    <w:rsid w:val="2AAA2C40"/>
    <w:rsid w:val="2ADA0518"/>
    <w:rsid w:val="2B577F4C"/>
    <w:rsid w:val="2BD72C7E"/>
    <w:rsid w:val="2BDE04C9"/>
    <w:rsid w:val="2C921974"/>
    <w:rsid w:val="2CC26951"/>
    <w:rsid w:val="2D315F4D"/>
    <w:rsid w:val="2D727FFE"/>
    <w:rsid w:val="2DBE14C9"/>
    <w:rsid w:val="2DF822B4"/>
    <w:rsid w:val="2E0A06ED"/>
    <w:rsid w:val="2E5150E7"/>
    <w:rsid w:val="2E711FDB"/>
    <w:rsid w:val="2E7F28B1"/>
    <w:rsid w:val="2EF45ECD"/>
    <w:rsid w:val="2EF8135D"/>
    <w:rsid w:val="2F122104"/>
    <w:rsid w:val="2F5A639E"/>
    <w:rsid w:val="2F6A64D8"/>
    <w:rsid w:val="2FA10B9C"/>
    <w:rsid w:val="2FE17678"/>
    <w:rsid w:val="30495DF8"/>
    <w:rsid w:val="3056772A"/>
    <w:rsid w:val="30616EA9"/>
    <w:rsid w:val="30E46059"/>
    <w:rsid w:val="30E85E02"/>
    <w:rsid w:val="30EE2C37"/>
    <w:rsid w:val="31A44D82"/>
    <w:rsid w:val="31F543D4"/>
    <w:rsid w:val="327335D9"/>
    <w:rsid w:val="32B70A61"/>
    <w:rsid w:val="32BE120D"/>
    <w:rsid w:val="33021CA3"/>
    <w:rsid w:val="330C0EF9"/>
    <w:rsid w:val="331E66EA"/>
    <w:rsid w:val="33506DE6"/>
    <w:rsid w:val="338A4763"/>
    <w:rsid w:val="33C95DC8"/>
    <w:rsid w:val="33FF46C3"/>
    <w:rsid w:val="341B79BD"/>
    <w:rsid w:val="34332D33"/>
    <w:rsid w:val="34412BB9"/>
    <w:rsid w:val="34B335CE"/>
    <w:rsid w:val="35196BDD"/>
    <w:rsid w:val="351F03F9"/>
    <w:rsid w:val="358610B4"/>
    <w:rsid w:val="359615AC"/>
    <w:rsid w:val="35A54CED"/>
    <w:rsid w:val="35A56356"/>
    <w:rsid w:val="35CE1ABC"/>
    <w:rsid w:val="367952E2"/>
    <w:rsid w:val="36AB313E"/>
    <w:rsid w:val="37183AD4"/>
    <w:rsid w:val="371C20FC"/>
    <w:rsid w:val="37534CA7"/>
    <w:rsid w:val="37775363"/>
    <w:rsid w:val="37D824F1"/>
    <w:rsid w:val="38091463"/>
    <w:rsid w:val="39050831"/>
    <w:rsid w:val="39601A15"/>
    <w:rsid w:val="396B0FF5"/>
    <w:rsid w:val="39D15195"/>
    <w:rsid w:val="3A8F2944"/>
    <w:rsid w:val="3B0C4DFA"/>
    <w:rsid w:val="3B2D7036"/>
    <w:rsid w:val="3B853E79"/>
    <w:rsid w:val="3B972F43"/>
    <w:rsid w:val="3C4D26C6"/>
    <w:rsid w:val="3C501868"/>
    <w:rsid w:val="3C8D41D5"/>
    <w:rsid w:val="3CA2300C"/>
    <w:rsid w:val="3CEB2918"/>
    <w:rsid w:val="3CEB5787"/>
    <w:rsid w:val="3CF552F7"/>
    <w:rsid w:val="3D044EFC"/>
    <w:rsid w:val="3D6A1528"/>
    <w:rsid w:val="3D9E235D"/>
    <w:rsid w:val="3DB70D79"/>
    <w:rsid w:val="3E062677"/>
    <w:rsid w:val="3E07353C"/>
    <w:rsid w:val="3E245638"/>
    <w:rsid w:val="3E3C3E33"/>
    <w:rsid w:val="3E6946AD"/>
    <w:rsid w:val="3E940DEC"/>
    <w:rsid w:val="3EB60CB3"/>
    <w:rsid w:val="3EBE0D9B"/>
    <w:rsid w:val="3EC436F9"/>
    <w:rsid w:val="3F6E5A15"/>
    <w:rsid w:val="3F740895"/>
    <w:rsid w:val="3FB93DC6"/>
    <w:rsid w:val="40204DEB"/>
    <w:rsid w:val="402A691C"/>
    <w:rsid w:val="403C1A9A"/>
    <w:rsid w:val="4067655B"/>
    <w:rsid w:val="4077770E"/>
    <w:rsid w:val="4218210B"/>
    <w:rsid w:val="422E66F3"/>
    <w:rsid w:val="42395211"/>
    <w:rsid w:val="425B2177"/>
    <w:rsid w:val="4275164D"/>
    <w:rsid w:val="42796963"/>
    <w:rsid w:val="4292052C"/>
    <w:rsid w:val="42D657EF"/>
    <w:rsid w:val="430A3262"/>
    <w:rsid w:val="430F5CA5"/>
    <w:rsid w:val="439A0132"/>
    <w:rsid w:val="43AE3427"/>
    <w:rsid w:val="43E65651"/>
    <w:rsid w:val="4484575B"/>
    <w:rsid w:val="44AF0CED"/>
    <w:rsid w:val="44CF2A2C"/>
    <w:rsid w:val="45224183"/>
    <w:rsid w:val="452D78EF"/>
    <w:rsid w:val="45553EB6"/>
    <w:rsid w:val="45763947"/>
    <w:rsid w:val="460C6A56"/>
    <w:rsid w:val="46101B39"/>
    <w:rsid w:val="462A6D60"/>
    <w:rsid w:val="46A824B9"/>
    <w:rsid w:val="46AD1577"/>
    <w:rsid w:val="46BB170B"/>
    <w:rsid w:val="46F27A7B"/>
    <w:rsid w:val="47510906"/>
    <w:rsid w:val="47716166"/>
    <w:rsid w:val="47BA265E"/>
    <w:rsid w:val="47EA69C6"/>
    <w:rsid w:val="48051DEB"/>
    <w:rsid w:val="48477029"/>
    <w:rsid w:val="48664A76"/>
    <w:rsid w:val="487535F6"/>
    <w:rsid w:val="487D0088"/>
    <w:rsid w:val="48A24AC1"/>
    <w:rsid w:val="48AE1CE7"/>
    <w:rsid w:val="48D06A1B"/>
    <w:rsid w:val="48F26012"/>
    <w:rsid w:val="495D70F7"/>
    <w:rsid w:val="4A1519A7"/>
    <w:rsid w:val="4A3B412E"/>
    <w:rsid w:val="4AAC0557"/>
    <w:rsid w:val="4AF01C82"/>
    <w:rsid w:val="4B2178E5"/>
    <w:rsid w:val="4B3D0FE9"/>
    <w:rsid w:val="4B7074E5"/>
    <w:rsid w:val="4B716301"/>
    <w:rsid w:val="4B7D5F80"/>
    <w:rsid w:val="4BF40741"/>
    <w:rsid w:val="4BFF0E60"/>
    <w:rsid w:val="4C441280"/>
    <w:rsid w:val="4C506F71"/>
    <w:rsid w:val="4C5E019B"/>
    <w:rsid w:val="4CA15F41"/>
    <w:rsid w:val="4D1470D6"/>
    <w:rsid w:val="4D706C6A"/>
    <w:rsid w:val="4DA40FC4"/>
    <w:rsid w:val="4DC85531"/>
    <w:rsid w:val="4E5432FA"/>
    <w:rsid w:val="4EA95EE6"/>
    <w:rsid w:val="4F64249F"/>
    <w:rsid w:val="4F6E1200"/>
    <w:rsid w:val="4F8D510A"/>
    <w:rsid w:val="4FD841B4"/>
    <w:rsid w:val="4FEE189E"/>
    <w:rsid w:val="505A2478"/>
    <w:rsid w:val="506B0E68"/>
    <w:rsid w:val="50F67D51"/>
    <w:rsid w:val="5148519A"/>
    <w:rsid w:val="516A4069"/>
    <w:rsid w:val="51AE5CB6"/>
    <w:rsid w:val="51D12BBE"/>
    <w:rsid w:val="520C5B07"/>
    <w:rsid w:val="5217442C"/>
    <w:rsid w:val="523A6652"/>
    <w:rsid w:val="525A54ED"/>
    <w:rsid w:val="52692114"/>
    <w:rsid w:val="52803557"/>
    <w:rsid w:val="52A36332"/>
    <w:rsid w:val="52F27757"/>
    <w:rsid w:val="53121571"/>
    <w:rsid w:val="53B939C9"/>
    <w:rsid w:val="53F038EA"/>
    <w:rsid w:val="541D4B55"/>
    <w:rsid w:val="54473552"/>
    <w:rsid w:val="545F5DDA"/>
    <w:rsid w:val="54EF7D9D"/>
    <w:rsid w:val="55101EA0"/>
    <w:rsid w:val="553F41A4"/>
    <w:rsid w:val="568E2374"/>
    <w:rsid w:val="56956A71"/>
    <w:rsid w:val="569679BF"/>
    <w:rsid w:val="56B56AC9"/>
    <w:rsid w:val="577F4470"/>
    <w:rsid w:val="57965F17"/>
    <w:rsid w:val="579D0BA7"/>
    <w:rsid w:val="584E7F48"/>
    <w:rsid w:val="586068D9"/>
    <w:rsid w:val="58E208A3"/>
    <w:rsid w:val="591A04C8"/>
    <w:rsid w:val="599F0EC6"/>
    <w:rsid w:val="59AC4105"/>
    <w:rsid w:val="59B055A7"/>
    <w:rsid w:val="59BA69E3"/>
    <w:rsid w:val="59FC4108"/>
    <w:rsid w:val="5A496F95"/>
    <w:rsid w:val="5A661DF4"/>
    <w:rsid w:val="5AA44641"/>
    <w:rsid w:val="5ACF0178"/>
    <w:rsid w:val="5AD96AFB"/>
    <w:rsid w:val="5B345052"/>
    <w:rsid w:val="5B361DE4"/>
    <w:rsid w:val="5B763444"/>
    <w:rsid w:val="5C3E17F9"/>
    <w:rsid w:val="5C537D21"/>
    <w:rsid w:val="5C7B7172"/>
    <w:rsid w:val="5D3A6920"/>
    <w:rsid w:val="5D8135CC"/>
    <w:rsid w:val="5D9D3884"/>
    <w:rsid w:val="5DA64C8A"/>
    <w:rsid w:val="5DCB028F"/>
    <w:rsid w:val="5DF956B0"/>
    <w:rsid w:val="5E890303"/>
    <w:rsid w:val="5F317CFD"/>
    <w:rsid w:val="5F5B4E09"/>
    <w:rsid w:val="5F9F42F5"/>
    <w:rsid w:val="5FAC6464"/>
    <w:rsid w:val="600446EC"/>
    <w:rsid w:val="600D2EE6"/>
    <w:rsid w:val="600E5D54"/>
    <w:rsid w:val="601D7D44"/>
    <w:rsid w:val="605438A7"/>
    <w:rsid w:val="60CF1959"/>
    <w:rsid w:val="612004CC"/>
    <w:rsid w:val="61685A59"/>
    <w:rsid w:val="61A4248F"/>
    <w:rsid w:val="61FA3352"/>
    <w:rsid w:val="62110A9C"/>
    <w:rsid w:val="621760F6"/>
    <w:rsid w:val="62246B60"/>
    <w:rsid w:val="62D3548B"/>
    <w:rsid w:val="63753298"/>
    <w:rsid w:val="63917E5C"/>
    <w:rsid w:val="63C30283"/>
    <w:rsid w:val="63C86C3A"/>
    <w:rsid w:val="63E86BBC"/>
    <w:rsid w:val="64464F3F"/>
    <w:rsid w:val="644F1ACD"/>
    <w:rsid w:val="64C035B4"/>
    <w:rsid w:val="65115FBC"/>
    <w:rsid w:val="6565299E"/>
    <w:rsid w:val="66182D0C"/>
    <w:rsid w:val="662212F8"/>
    <w:rsid w:val="66530AC3"/>
    <w:rsid w:val="667210F5"/>
    <w:rsid w:val="6672148C"/>
    <w:rsid w:val="667C524F"/>
    <w:rsid w:val="668776F5"/>
    <w:rsid w:val="670B6977"/>
    <w:rsid w:val="67780DB2"/>
    <w:rsid w:val="677978CE"/>
    <w:rsid w:val="67861E77"/>
    <w:rsid w:val="67F41610"/>
    <w:rsid w:val="67FF1998"/>
    <w:rsid w:val="680D1D99"/>
    <w:rsid w:val="681E2F3D"/>
    <w:rsid w:val="6876068B"/>
    <w:rsid w:val="68C97848"/>
    <w:rsid w:val="69431270"/>
    <w:rsid w:val="69615E21"/>
    <w:rsid w:val="6A363889"/>
    <w:rsid w:val="6A40084E"/>
    <w:rsid w:val="6A5D72FF"/>
    <w:rsid w:val="6A760D87"/>
    <w:rsid w:val="6A7F4F75"/>
    <w:rsid w:val="6A9A1957"/>
    <w:rsid w:val="6ACA16F9"/>
    <w:rsid w:val="6AD549DF"/>
    <w:rsid w:val="6B16774A"/>
    <w:rsid w:val="6B1C38EE"/>
    <w:rsid w:val="6C9D22B6"/>
    <w:rsid w:val="6D013489"/>
    <w:rsid w:val="6D0C0AB5"/>
    <w:rsid w:val="6D167B5F"/>
    <w:rsid w:val="6D635499"/>
    <w:rsid w:val="6DBD1731"/>
    <w:rsid w:val="6E354E7E"/>
    <w:rsid w:val="6E430450"/>
    <w:rsid w:val="6E4720B1"/>
    <w:rsid w:val="6E4A1958"/>
    <w:rsid w:val="6ECE2681"/>
    <w:rsid w:val="6F752585"/>
    <w:rsid w:val="6F96315F"/>
    <w:rsid w:val="6FB66783"/>
    <w:rsid w:val="6FF74322"/>
    <w:rsid w:val="6FFE42D1"/>
    <w:rsid w:val="70087AA4"/>
    <w:rsid w:val="70471F67"/>
    <w:rsid w:val="70675782"/>
    <w:rsid w:val="70E14ED6"/>
    <w:rsid w:val="71AF3507"/>
    <w:rsid w:val="71EA74B0"/>
    <w:rsid w:val="71FE0435"/>
    <w:rsid w:val="72340F9C"/>
    <w:rsid w:val="729965A8"/>
    <w:rsid w:val="72A1505F"/>
    <w:rsid w:val="72CC4DDE"/>
    <w:rsid w:val="72FA46CB"/>
    <w:rsid w:val="72FE0CD7"/>
    <w:rsid w:val="732E166A"/>
    <w:rsid w:val="733E0673"/>
    <w:rsid w:val="73905035"/>
    <w:rsid w:val="739F4146"/>
    <w:rsid w:val="753C338D"/>
    <w:rsid w:val="75732CF6"/>
    <w:rsid w:val="75B52892"/>
    <w:rsid w:val="75EC5FEC"/>
    <w:rsid w:val="76826BEC"/>
    <w:rsid w:val="768B1C55"/>
    <w:rsid w:val="76E12792"/>
    <w:rsid w:val="774152C9"/>
    <w:rsid w:val="77A245EA"/>
    <w:rsid w:val="77EF51E2"/>
    <w:rsid w:val="78076ABB"/>
    <w:rsid w:val="78392057"/>
    <w:rsid w:val="78D3531C"/>
    <w:rsid w:val="793070F8"/>
    <w:rsid w:val="79363E1C"/>
    <w:rsid w:val="794B7497"/>
    <w:rsid w:val="798A0D53"/>
    <w:rsid w:val="799F6411"/>
    <w:rsid w:val="79D825C1"/>
    <w:rsid w:val="7A3D31B1"/>
    <w:rsid w:val="7A61562A"/>
    <w:rsid w:val="7AAD5BFE"/>
    <w:rsid w:val="7B1C502C"/>
    <w:rsid w:val="7B3E2B72"/>
    <w:rsid w:val="7B5D131E"/>
    <w:rsid w:val="7B712569"/>
    <w:rsid w:val="7BC44ABA"/>
    <w:rsid w:val="7BD744B9"/>
    <w:rsid w:val="7BDC06D7"/>
    <w:rsid w:val="7C02290D"/>
    <w:rsid w:val="7C716246"/>
    <w:rsid w:val="7D5F77B4"/>
    <w:rsid w:val="7D696EE0"/>
    <w:rsid w:val="7DB41B16"/>
    <w:rsid w:val="7DEB79E2"/>
    <w:rsid w:val="7DED05D0"/>
    <w:rsid w:val="7DF70A75"/>
    <w:rsid w:val="7DFC5027"/>
    <w:rsid w:val="7E002D54"/>
    <w:rsid w:val="7EB519BE"/>
    <w:rsid w:val="7ED85E85"/>
    <w:rsid w:val="7FB73A40"/>
    <w:rsid w:val="7FF506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qFormat="1" w:unhideWhenUsed="0" w:uiPriority="39" w:semiHidden="0"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qFormat="1" w:unhideWhenUsed="0" w:uiPriority="0" w:semiHidden="0" w:name="List Number"/>
    <w:lsdException w:qFormat="1" w:uiPriority="99"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0"/>
    <w:qFormat/>
    <w:uiPriority w:val="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4">
    <w:name w:val="heading 2"/>
    <w:basedOn w:val="1"/>
    <w:next w:val="1"/>
    <w:link w:val="41"/>
    <w:qFormat/>
    <w:uiPriority w:val="9"/>
    <w:pPr>
      <w:keepNext/>
      <w:keepLines/>
      <w:spacing w:before="260" w:after="260" w:line="416" w:lineRule="auto"/>
      <w:outlineLvl w:val="1"/>
    </w:pPr>
    <w:rPr>
      <w:rFonts w:ascii="Cambria" w:hAnsi="Cambria" w:eastAsia="宋体" w:cs="Times New Roman"/>
      <w:b/>
      <w:bCs/>
      <w:sz w:val="32"/>
      <w:szCs w:val="32"/>
    </w:rPr>
  </w:style>
  <w:style w:type="paragraph" w:styleId="5">
    <w:name w:val="heading 3"/>
    <w:basedOn w:val="1"/>
    <w:next w:val="1"/>
    <w:link w:val="42"/>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5">
    <w:name w:val="Default Paragraph Font"/>
    <w:semiHidden/>
    <w:unhideWhenUsed/>
    <w:qFormat/>
    <w:uiPriority w:val="1"/>
  </w:style>
  <w:style w:type="table" w:default="1" w:styleId="3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86"/>
    <w:unhideWhenUsed/>
    <w:qFormat/>
    <w:uiPriority w:val="99"/>
    <w:pPr>
      <w:spacing w:after="120"/>
    </w:pPr>
    <w:rPr>
      <w:rFonts w:ascii="Times New Roman" w:hAnsi="Times New Roman" w:eastAsia="宋体" w:cs="Times New Roman"/>
      <w:sz w:val="28"/>
      <w:szCs w:val="24"/>
    </w:rPr>
  </w:style>
  <w:style w:type="paragraph" w:styleId="6">
    <w:name w:val="annotation subject"/>
    <w:basedOn w:val="7"/>
    <w:next w:val="7"/>
    <w:link w:val="59"/>
    <w:unhideWhenUsed/>
    <w:qFormat/>
    <w:uiPriority w:val="99"/>
    <w:rPr>
      <w:b/>
      <w:bCs/>
      <w:sz w:val="28"/>
      <w:szCs w:val="24"/>
    </w:rPr>
  </w:style>
  <w:style w:type="paragraph" w:styleId="7">
    <w:name w:val="annotation text"/>
    <w:basedOn w:val="1"/>
    <w:link w:val="83"/>
    <w:unhideWhenUsed/>
    <w:qFormat/>
    <w:uiPriority w:val="99"/>
    <w:pPr>
      <w:jc w:val="left"/>
    </w:pPr>
  </w:style>
  <w:style w:type="paragraph" w:styleId="8">
    <w:name w:val="Body Text First Indent"/>
    <w:basedOn w:val="2"/>
    <w:next w:val="9"/>
    <w:semiHidden/>
    <w:unhideWhenUsed/>
    <w:qFormat/>
    <w:uiPriority w:val="99"/>
    <w:pPr>
      <w:ind w:firstLine="420" w:firstLineChars="100"/>
    </w:pPr>
  </w:style>
  <w:style w:type="paragraph" w:styleId="9">
    <w:name w:val="toc 6"/>
    <w:basedOn w:val="1"/>
    <w:next w:val="1"/>
    <w:qFormat/>
    <w:uiPriority w:val="39"/>
    <w:pPr>
      <w:ind w:left="1050"/>
      <w:jc w:val="left"/>
    </w:pPr>
    <w:rPr>
      <w:szCs w:val="21"/>
    </w:rPr>
  </w:style>
  <w:style w:type="paragraph" w:styleId="10">
    <w:name w:val="List Number"/>
    <w:basedOn w:val="1"/>
    <w:qFormat/>
    <w:uiPriority w:val="0"/>
    <w:pPr>
      <w:widowControl/>
      <w:numPr>
        <w:ilvl w:val="0"/>
        <w:numId w:val="1"/>
      </w:numPr>
      <w:tabs>
        <w:tab w:val="left" w:pos="454"/>
        <w:tab w:val="clear" w:pos="720"/>
      </w:tabs>
      <w:spacing w:after="156" w:afterLines="50"/>
      <w:ind w:left="454" w:hanging="284"/>
      <w:jc w:val="left"/>
    </w:pPr>
    <w:rPr>
      <w:rFonts w:ascii="Times New Roman" w:hAnsi="Times New Roman" w:eastAsia="宋体" w:cs="Times New Roman"/>
      <w:kern w:val="0"/>
      <w:sz w:val="24"/>
      <w:szCs w:val="20"/>
    </w:rPr>
  </w:style>
  <w:style w:type="paragraph" w:styleId="11">
    <w:name w:val="Normal Indent"/>
    <w:basedOn w:val="1"/>
    <w:next w:val="12"/>
    <w:link w:val="49"/>
    <w:qFormat/>
    <w:uiPriority w:val="0"/>
    <w:pPr>
      <w:ind w:firstLine="420"/>
    </w:pPr>
    <w:rPr>
      <w:rFonts w:eastAsia="宋体"/>
    </w:rPr>
  </w:style>
  <w:style w:type="paragraph" w:styleId="12">
    <w:name w:val="Plain Text"/>
    <w:basedOn w:val="1"/>
    <w:link w:val="58"/>
    <w:qFormat/>
    <w:uiPriority w:val="99"/>
    <w:pPr>
      <w:spacing w:before="156" w:beforeLines="50" w:after="156" w:afterLines="50" w:line="400" w:lineRule="atLeast"/>
    </w:pPr>
    <w:rPr>
      <w:rFonts w:ascii="宋体" w:hAnsi="Courier New"/>
      <w:sz w:val="24"/>
      <w:szCs w:val="24"/>
    </w:rPr>
  </w:style>
  <w:style w:type="paragraph" w:styleId="13">
    <w:name w:val="caption"/>
    <w:basedOn w:val="1"/>
    <w:next w:val="1"/>
    <w:qFormat/>
    <w:uiPriority w:val="0"/>
    <w:pPr>
      <w:spacing w:before="152" w:after="160"/>
    </w:pPr>
    <w:rPr>
      <w:rFonts w:ascii="Arial" w:hAnsi="Arial" w:eastAsia="黑体" w:cs="Arial"/>
      <w:sz w:val="20"/>
      <w:szCs w:val="20"/>
    </w:rPr>
  </w:style>
  <w:style w:type="paragraph" w:styleId="14">
    <w:name w:val="Document Map"/>
    <w:basedOn w:val="1"/>
    <w:link w:val="46"/>
    <w:unhideWhenUsed/>
    <w:qFormat/>
    <w:uiPriority w:val="99"/>
    <w:rPr>
      <w:rFonts w:ascii="宋体"/>
      <w:sz w:val="18"/>
      <w:szCs w:val="18"/>
    </w:rPr>
  </w:style>
  <w:style w:type="paragraph" w:styleId="15">
    <w:name w:val="Body Text Indent"/>
    <w:basedOn w:val="1"/>
    <w:next w:val="16"/>
    <w:link w:val="73"/>
    <w:qFormat/>
    <w:uiPriority w:val="0"/>
    <w:pPr>
      <w:spacing w:line="200" w:lineRule="atLeast"/>
      <w:ind w:firstLine="301"/>
    </w:pPr>
    <w:rPr>
      <w:rFonts w:ascii="宋体" w:hAnsi="Courier New"/>
      <w:spacing w:val="-4"/>
      <w:sz w:val="18"/>
    </w:rPr>
  </w:style>
  <w:style w:type="paragraph" w:styleId="16">
    <w:name w:val="Body Text First Indent 2"/>
    <w:basedOn w:val="15"/>
    <w:link w:val="91"/>
    <w:unhideWhenUsed/>
    <w:qFormat/>
    <w:uiPriority w:val="99"/>
    <w:pPr>
      <w:ind w:firstLine="420"/>
    </w:pPr>
  </w:style>
  <w:style w:type="paragraph" w:styleId="17">
    <w:name w:val="List 2"/>
    <w:basedOn w:val="1"/>
    <w:unhideWhenUsed/>
    <w:qFormat/>
    <w:uiPriority w:val="99"/>
    <w:pPr>
      <w:ind w:left="100" w:leftChars="200" w:hanging="200" w:hangingChars="200"/>
      <w:contextualSpacing/>
    </w:pPr>
    <w:rPr>
      <w:rFonts w:ascii="Times New Roman" w:hAnsi="Times New Roman" w:eastAsia="宋体" w:cs="Times New Roman"/>
      <w:sz w:val="28"/>
      <w:szCs w:val="24"/>
    </w:rPr>
  </w:style>
  <w:style w:type="paragraph" w:styleId="18">
    <w:name w:val="Date"/>
    <w:basedOn w:val="1"/>
    <w:next w:val="1"/>
    <w:link w:val="89"/>
    <w:qFormat/>
    <w:uiPriority w:val="0"/>
    <w:pPr>
      <w:ind w:left="2500" w:leftChars="2500"/>
    </w:pPr>
    <w:rPr>
      <w:rFonts w:ascii="Times New Roman" w:hAnsi="Times New Roman" w:eastAsia="楷体_GB2312" w:cs="Times New Roman"/>
      <w:sz w:val="32"/>
      <w:szCs w:val="20"/>
    </w:rPr>
  </w:style>
  <w:style w:type="paragraph" w:styleId="19">
    <w:name w:val="Balloon Text"/>
    <w:basedOn w:val="1"/>
    <w:link w:val="87"/>
    <w:qFormat/>
    <w:uiPriority w:val="0"/>
    <w:rPr>
      <w:rFonts w:ascii="Times New Roman" w:hAnsi="Times New Roman" w:eastAsia="宋体" w:cs="Times New Roman"/>
      <w:sz w:val="18"/>
      <w:szCs w:val="18"/>
    </w:rPr>
  </w:style>
  <w:style w:type="paragraph" w:styleId="20">
    <w:name w:val="footer"/>
    <w:basedOn w:val="1"/>
    <w:link w:val="39"/>
    <w:unhideWhenUsed/>
    <w:qFormat/>
    <w:uiPriority w:val="99"/>
    <w:pPr>
      <w:tabs>
        <w:tab w:val="center" w:pos="4153"/>
        <w:tab w:val="right" w:pos="8306"/>
      </w:tabs>
      <w:snapToGrid w:val="0"/>
      <w:jc w:val="left"/>
    </w:pPr>
    <w:rPr>
      <w:sz w:val="18"/>
      <w:szCs w:val="18"/>
    </w:rPr>
  </w:style>
  <w:style w:type="paragraph" w:styleId="21">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List"/>
    <w:basedOn w:val="1"/>
    <w:qFormat/>
    <w:uiPriority w:val="0"/>
    <w:pPr>
      <w:ind w:left="200" w:hanging="200" w:hangingChars="200"/>
    </w:pPr>
    <w:rPr>
      <w:rFonts w:ascii="Times New Roman" w:hAnsi="Times New Roman" w:eastAsia="宋体" w:cs="Times New Roman"/>
      <w:sz w:val="28"/>
      <w:szCs w:val="24"/>
    </w:rPr>
  </w:style>
  <w:style w:type="paragraph" w:styleId="23">
    <w:name w:val="Body Text 2"/>
    <w:basedOn w:val="1"/>
    <w:link w:val="75"/>
    <w:qFormat/>
    <w:uiPriority w:val="0"/>
    <w:pPr>
      <w:widowControl/>
      <w:snapToGrid w:val="0"/>
      <w:spacing w:before="50" w:after="156" w:afterLines="50" w:line="400" w:lineRule="atLeast"/>
      <w:jc w:val="left"/>
    </w:pPr>
    <w:rPr>
      <w:rFonts w:hint="eastAsia" w:ascii="宋体" w:hAnsi="宋体" w:eastAsia="宋体" w:cs="Times New Roman"/>
      <w:color w:val="000000"/>
      <w:sz w:val="24"/>
      <w:szCs w:val="24"/>
    </w:rPr>
  </w:style>
  <w:style w:type="paragraph" w:styleId="24">
    <w:name w:val="Normal (Web)"/>
    <w:basedOn w:val="1"/>
    <w:qFormat/>
    <w:uiPriority w:val="99"/>
    <w:pPr>
      <w:widowControl/>
      <w:spacing w:before="100" w:beforeAutospacing="1" w:after="100" w:afterAutospacing="1"/>
      <w:ind w:firstLine="420"/>
      <w:jc w:val="left"/>
    </w:pPr>
    <w:rPr>
      <w:rFonts w:ascii="宋体" w:hAnsi="宋体" w:eastAsia="宋体" w:cs="Times New Roman"/>
      <w:kern w:val="0"/>
      <w:sz w:val="20"/>
      <w:szCs w:val="20"/>
    </w:rPr>
  </w:style>
  <w:style w:type="character" w:styleId="26">
    <w:name w:val="Strong"/>
    <w:qFormat/>
    <w:uiPriority w:val="0"/>
    <w:rPr>
      <w:b/>
      <w:bCs/>
    </w:rPr>
  </w:style>
  <w:style w:type="character" w:styleId="27">
    <w:name w:val="page number"/>
    <w:basedOn w:val="25"/>
    <w:qFormat/>
    <w:uiPriority w:val="0"/>
  </w:style>
  <w:style w:type="character" w:styleId="28">
    <w:name w:val="FollowedHyperlink"/>
    <w:unhideWhenUsed/>
    <w:qFormat/>
    <w:uiPriority w:val="99"/>
    <w:rPr>
      <w:color w:val="5579A7"/>
      <w:u w:val="none"/>
    </w:rPr>
  </w:style>
  <w:style w:type="character" w:styleId="29">
    <w:name w:val="Emphasis"/>
    <w:basedOn w:val="25"/>
    <w:qFormat/>
    <w:uiPriority w:val="20"/>
    <w:rPr>
      <w:i/>
    </w:rPr>
  </w:style>
  <w:style w:type="character" w:styleId="30">
    <w:name w:val="HTML Definition"/>
    <w:unhideWhenUsed/>
    <w:qFormat/>
    <w:uiPriority w:val="99"/>
    <w:rPr>
      <w:i/>
    </w:rPr>
  </w:style>
  <w:style w:type="character" w:styleId="31">
    <w:name w:val="Hyperlink"/>
    <w:qFormat/>
    <w:uiPriority w:val="0"/>
    <w:rPr>
      <w:color w:val="5579A7"/>
      <w:u w:val="none"/>
    </w:rPr>
  </w:style>
  <w:style w:type="character" w:styleId="32">
    <w:name w:val="HTML Code"/>
    <w:unhideWhenUsed/>
    <w:qFormat/>
    <w:uiPriority w:val="99"/>
    <w:rPr>
      <w:rFonts w:ascii="-apple-system" w:hAnsi="-apple-system" w:eastAsia="-apple-system" w:cs="-apple-system"/>
      <w:sz w:val="21"/>
      <w:szCs w:val="21"/>
    </w:rPr>
  </w:style>
  <w:style w:type="character" w:styleId="33">
    <w:name w:val="annotation reference"/>
    <w:unhideWhenUsed/>
    <w:qFormat/>
    <w:uiPriority w:val="99"/>
    <w:rPr>
      <w:sz w:val="21"/>
      <w:szCs w:val="21"/>
    </w:rPr>
  </w:style>
  <w:style w:type="character" w:styleId="34">
    <w:name w:val="HTML Keyboard"/>
    <w:unhideWhenUsed/>
    <w:qFormat/>
    <w:uiPriority w:val="99"/>
    <w:rPr>
      <w:rFonts w:hint="default" w:ascii="-apple-system" w:hAnsi="-apple-system" w:eastAsia="-apple-system" w:cs="-apple-system"/>
      <w:sz w:val="21"/>
      <w:szCs w:val="21"/>
    </w:rPr>
  </w:style>
  <w:style w:type="character" w:styleId="35">
    <w:name w:val="HTML Sample"/>
    <w:unhideWhenUsed/>
    <w:qFormat/>
    <w:uiPriority w:val="99"/>
    <w:rPr>
      <w:rFonts w:hint="default" w:ascii="-apple-system" w:hAnsi="-apple-system" w:eastAsia="-apple-system" w:cs="-apple-system"/>
      <w:sz w:val="21"/>
      <w:szCs w:val="21"/>
    </w:rPr>
  </w:style>
  <w:style w:type="table" w:styleId="37">
    <w:name w:val="Table Grid"/>
    <w:basedOn w:val="3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8">
    <w:name w:val="页眉 字符"/>
    <w:basedOn w:val="25"/>
    <w:link w:val="21"/>
    <w:qFormat/>
    <w:uiPriority w:val="99"/>
    <w:rPr>
      <w:sz w:val="18"/>
      <w:szCs w:val="18"/>
    </w:rPr>
  </w:style>
  <w:style w:type="character" w:customStyle="1" w:styleId="39">
    <w:name w:val="页脚 字符"/>
    <w:basedOn w:val="25"/>
    <w:link w:val="20"/>
    <w:qFormat/>
    <w:uiPriority w:val="99"/>
    <w:rPr>
      <w:sz w:val="18"/>
      <w:szCs w:val="18"/>
    </w:rPr>
  </w:style>
  <w:style w:type="character" w:customStyle="1" w:styleId="40">
    <w:name w:val="标题 1 字符"/>
    <w:basedOn w:val="25"/>
    <w:link w:val="3"/>
    <w:qFormat/>
    <w:uiPriority w:val="9"/>
    <w:rPr>
      <w:rFonts w:ascii="Times New Roman" w:hAnsi="Times New Roman" w:eastAsia="宋体" w:cs="Times New Roman"/>
      <w:b/>
      <w:bCs/>
      <w:kern w:val="44"/>
      <w:sz w:val="44"/>
      <w:szCs w:val="44"/>
    </w:rPr>
  </w:style>
  <w:style w:type="character" w:customStyle="1" w:styleId="41">
    <w:name w:val="标题 2 字符"/>
    <w:basedOn w:val="25"/>
    <w:link w:val="4"/>
    <w:qFormat/>
    <w:uiPriority w:val="9"/>
    <w:rPr>
      <w:rFonts w:ascii="Cambria" w:hAnsi="Cambria" w:eastAsia="宋体" w:cs="Times New Roman"/>
      <w:b/>
      <w:bCs/>
      <w:sz w:val="32"/>
      <w:szCs w:val="32"/>
    </w:rPr>
  </w:style>
  <w:style w:type="character" w:customStyle="1" w:styleId="42">
    <w:name w:val="标题 3 字符"/>
    <w:basedOn w:val="25"/>
    <w:link w:val="5"/>
    <w:qFormat/>
    <w:uiPriority w:val="9"/>
    <w:rPr>
      <w:rFonts w:ascii="Times New Roman" w:hAnsi="Times New Roman" w:eastAsia="宋体" w:cs="Times New Roman"/>
      <w:b/>
      <w:bCs/>
      <w:sz w:val="32"/>
      <w:szCs w:val="32"/>
    </w:rPr>
  </w:style>
  <w:style w:type="character" w:customStyle="1" w:styleId="43">
    <w:name w:val="jbox-icon-none"/>
    <w:qFormat/>
    <w:uiPriority w:val="0"/>
    <w:rPr>
      <w:vanish/>
    </w:rPr>
  </w:style>
  <w:style w:type="character" w:customStyle="1" w:styleId="44">
    <w:name w:val="z-窗体底端 字符"/>
    <w:link w:val="45"/>
    <w:qFormat/>
    <w:uiPriority w:val="99"/>
    <w:rPr>
      <w:rFonts w:ascii="Arial" w:hAnsi="Arial"/>
      <w:vanish/>
      <w:sz w:val="16"/>
      <w:szCs w:val="16"/>
    </w:rPr>
  </w:style>
  <w:style w:type="paragraph" w:customStyle="1" w:styleId="45">
    <w:name w:val="z-窗体底端1"/>
    <w:basedOn w:val="1"/>
    <w:next w:val="1"/>
    <w:link w:val="44"/>
    <w:unhideWhenUsed/>
    <w:qFormat/>
    <w:uiPriority w:val="99"/>
    <w:pPr>
      <w:widowControl/>
      <w:pBdr>
        <w:top w:val="single" w:color="auto" w:sz="6" w:space="1"/>
      </w:pBdr>
      <w:jc w:val="center"/>
    </w:pPr>
    <w:rPr>
      <w:rFonts w:ascii="Arial" w:hAnsi="Arial"/>
      <w:vanish/>
      <w:sz w:val="16"/>
      <w:szCs w:val="16"/>
    </w:rPr>
  </w:style>
  <w:style w:type="character" w:customStyle="1" w:styleId="46">
    <w:name w:val="文档结构图 字符"/>
    <w:link w:val="14"/>
    <w:qFormat/>
    <w:uiPriority w:val="99"/>
    <w:rPr>
      <w:rFonts w:ascii="宋体"/>
      <w:sz w:val="18"/>
      <w:szCs w:val="18"/>
    </w:rPr>
  </w:style>
  <w:style w:type="character" w:customStyle="1" w:styleId="47">
    <w:name w:val="black601"/>
    <w:qFormat/>
    <w:uiPriority w:val="0"/>
    <w:rPr>
      <w:color w:val="666666"/>
    </w:rPr>
  </w:style>
  <w:style w:type="character" w:customStyle="1" w:styleId="48">
    <w:name w:val="hour_pm"/>
    <w:basedOn w:val="25"/>
    <w:qFormat/>
    <w:uiPriority w:val="0"/>
  </w:style>
  <w:style w:type="character" w:customStyle="1" w:styleId="49">
    <w:name w:val="正文缩进 字符"/>
    <w:link w:val="11"/>
    <w:qFormat/>
    <w:uiPriority w:val="0"/>
    <w:rPr>
      <w:rFonts w:eastAsia="宋体"/>
    </w:rPr>
  </w:style>
  <w:style w:type="character" w:customStyle="1" w:styleId="50">
    <w:name w:val="标题 1 Char Char"/>
    <w:qFormat/>
    <w:uiPriority w:val="0"/>
    <w:rPr>
      <w:rFonts w:eastAsia="宋体"/>
      <w:b/>
      <w:spacing w:val="-2"/>
      <w:sz w:val="24"/>
      <w:lang w:val="en-US" w:eastAsia="zh-CN" w:bidi="ar-SA"/>
    </w:rPr>
  </w:style>
  <w:style w:type="character" w:customStyle="1" w:styleId="51">
    <w:name w:val="jbox-icon-info"/>
    <w:basedOn w:val="25"/>
    <w:qFormat/>
    <w:uiPriority w:val="0"/>
  </w:style>
  <w:style w:type="character" w:customStyle="1" w:styleId="52">
    <w:name w:val="hover9"/>
    <w:qFormat/>
    <w:uiPriority w:val="0"/>
    <w:rPr>
      <w:shd w:val="clear" w:color="auto" w:fill="EEEEEE"/>
    </w:rPr>
  </w:style>
  <w:style w:type="character" w:customStyle="1" w:styleId="53">
    <w:name w:val="maywed421"/>
    <w:qFormat/>
    <w:uiPriority w:val="0"/>
    <w:rPr>
      <w:color w:val="366FB6"/>
      <w:u w:val="none"/>
    </w:rPr>
  </w:style>
  <w:style w:type="character" w:customStyle="1" w:styleId="54">
    <w:name w:val="old"/>
    <w:qFormat/>
    <w:uiPriority w:val="0"/>
    <w:rPr>
      <w:color w:val="999999"/>
    </w:rPr>
  </w:style>
  <w:style w:type="character" w:customStyle="1" w:styleId="55">
    <w:name w:val="jbox-icon-warning"/>
    <w:basedOn w:val="25"/>
    <w:qFormat/>
    <w:uiPriority w:val="0"/>
  </w:style>
  <w:style w:type="character" w:customStyle="1" w:styleId="56">
    <w:name w:val="z-窗体顶端 字符"/>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sz w:val="16"/>
      <w:szCs w:val="16"/>
    </w:rPr>
  </w:style>
  <w:style w:type="character" w:customStyle="1" w:styleId="58">
    <w:name w:val="纯文本 字符1"/>
    <w:link w:val="12"/>
    <w:qFormat/>
    <w:uiPriority w:val="99"/>
    <w:rPr>
      <w:rFonts w:ascii="宋体" w:hAnsi="Courier New"/>
      <w:sz w:val="24"/>
      <w:szCs w:val="24"/>
    </w:rPr>
  </w:style>
  <w:style w:type="character" w:customStyle="1" w:styleId="59">
    <w:name w:val="批注主题 字符"/>
    <w:link w:val="6"/>
    <w:qFormat/>
    <w:uiPriority w:val="99"/>
    <w:rPr>
      <w:b/>
      <w:bCs/>
      <w:sz w:val="28"/>
      <w:szCs w:val="24"/>
    </w:rPr>
  </w:style>
  <w:style w:type="character" w:customStyle="1" w:styleId="60">
    <w:name w:val="jbox-icon-loading"/>
    <w:basedOn w:val="25"/>
    <w:qFormat/>
    <w:uiPriority w:val="0"/>
  </w:style>
  <w:style w:type="character" w:customStyle="1" w:styleId="61">
    <w:name w:val="正文文本缩进 字符"/>
    <w:qFormat/>
    <w:uiPriority w:val="0"/>
    <w:rPr>
      <w:rFonts w:ascii="宋体" w:hAnsi="Courier New"/>
      <w:spacing w:val="-4"/>
      <w:kern w:val="2"/>
      <w:sz w:val="18"/>
    </w:rPr>
  </w:style>
  <w:style w:type="character" w:customStyle="1" w:styleId="62">
    <w:name w:val="正文文本缩进 字符1"/>
    <w:qFormat/>
    <w:uiPriority w:val="0"/>
    <w:rPr>
      <w:rFonts w:ascii="宋体" w:hAnsi="Courier New"/>
      <w:spacing w:val="-4"/>
      <w:kern w:val="2"/>
      <w:sz w:val="18"/>
    </w:rPr>
  </w:style>
  <w:style w:type="character" w:customStyle="1" w:styleId="63">
    <w:name w:val="纯文本 字符"/>
    <w:qFormat/>
    <w:uiPriority w:val="99"/>
    <w:rPr>
      <w:rFonts w:ascii="宋体" w:hAnsi="Courier New"/>
      <w:kern w:val="2"/>
      <w:sz w:val="24"/>
      <w:szCs w:val="24"/>
    </w:rPr>
  </w:style>
  <w:style w:type="character" w:customStyle="1" w:styleId="64">
    <w:name w:val="jbox-icon-question"/>
    <w:basedOn w:val="25"/>
    <w:qFormat/>
    <w:uiPriority w:val="0"/>
  </w:style>
  <w:style w:type="character" w:customStyle="1" w:styleId="65">
    <w:name w:val="jbox-icon"/>
    <w:basedOn w:val="25"/>
    <w:qFormat/>
    <w:uiPriority w:val="0"/>
  </w:style>
  <w:style w:type="character" w:customStyle="1" w:styleId="66">
    <w:name w:val="纯文本 字符2"/>
    <w:qFormat/>
    <w:uiPriority w:val="99"/>
    <w:rPr>
      <w:rFonts w:ascii="宋体" w:hAnsi="Courier New"/>
      <w:kern w:val="2"/>
      <w:sz w:val="24"/>
      <w:szCs w:val="24"/>
    </w:rPr>
  </w:style>
  <w:style w:type="character" w:customStyle="1" w:styleId="67">
    <w:name w:val="hour_am"/>
    <w:basedOn w:val="25"/>
    <w:qFormat/>
    <w:uiPriority w:val="0"/>
  </w:style>
  <w:style w:type="character" w:customStyle="1" w:styleId="68">
    <w:name w:val="jbox-icon-success"/>
    <w:basedOn w:val="25"/>
    <w:qFormat/>
    <w:uiPriority w:val="0"/>
  </w:style>
  <w:style w:type="character" w:customStyle="1" w:styleId="69">
    <w:name w:val="批注文字 字符"/>
    <w:qFormat/>
    <w:uiPriority w:val="99"/>
    <w:rPr>
      <w:kern w:val="2"/>
      <w:sz w:val="28"/>
      <w:szCs w:val="24"/>
    </w:rPr>
  </w:style>
  <w:style w:type="character" w:customStyle="1" w:styleId="70">
    <w:name w:val="纯文本 Char1"/>
    <w:qFormat/>
    <w:uiPriority w:val="0"/>
    <w:rPr>
      <w:rFonts w:ascii="宋体" w:hAnsi="Courier New"/>
      <w:kern w:val="2"/>
      <w:sz w:val="21"/>
    </w:rPr>
  </w:style>
  <w:style w:type="character" w:customStyle="1" w:styleId="71">
    <w:name w:val="纯文本 Char"/>
    <w:qFormat/>
    <w:uiPriority w:val="99"/>
    <w:rPr>
      <w:rFonts w:ascii="宋体" w:hAnsi="Courier New"/>
      <w:kern w:val="2"/>
      <w:sz w:val="24"/>
      <w:szCs w:val="24"/>
    </w:rPr>
  </w:style>
  <w:style w:type="character" w:customStyle="1" w:styleId="72">
    <w:name w:val="sub_title s0"/>
    <w:basedOn w:val="25"/>
    <w:qFormat/>
    <w:uiPriority w:val="0"/>
  </w:style>
  <w:style w:type="character" w:customStyle="1" w:styleId="73">
    <w:name w:val="正文文本缩进 字符2"/>
    <w:link w:val="15"/>
    <w:qFormat/>
    <w:uiPriority w:val="0"/>
    <w:rPr>
      <w:rFonts w:ascii="宋体" w:hAnsi="Courier New"/>
      <w:spacing w:val="-4"/>
      <w:sz w:val="18"/>
    </w:rPr>
  </w:style>
  <w:style w:type="character" w:customStyle="1" w:styleId="74">
    <w:name w:val="jbox-icon-error"/>
    <w:basedOn w:val="25"/>
    <w:qFormat/>
    <w:uiPriority w:val="0"/>
  </w:style>
  <w:style w:type="character" w:customStyle="1" w:styleId="75">
    <w:name w:val="正文文本 2 字符"/>
    <w:basedOn w:val="25"/>
    <w:link w:val="23"/>
    <w:qFormat/>
    <w:uiPriority w:val="0"/>
    <w:rPr>
      <w:rFonts w:ascii="宋体" w:hAnsi="宋体" w:eastAsia="宋体" w:cs="Times New Roman"/>
      <w:color w:val="000000"/>
      <w:sz w:val="24"/>
      <w:szCs w:val="24"/>
    </w:rPr>
  </w:style>
  <w:style w:type="paragraph" w:customStyle="1" w:styleId="76">
    <w:name w:val="默认段落字体 Para Char Char Char Char Char Char Char Char Char1 Char Char Char Char"/>
    <w:basedOn w:val="1"/>
    <w:qFormat/>
    <w:uiPriority w:val="0"/>
    <w:rPr>
      <w:rFonts w:ascii="Tahoma" w:hAnsi="Tahoma" w:eastAsia="宋体" w:cs="Times New Roman"/>
      <w:sz w:val="24"/>
      <w:szCs w:val="20"/>
    </w:rPr>
  </w:style>
  <w:style w:type="paragraph" w:customStyle="1" w:styleId="77">
    <w:name w:val="xl25"/>
    <w:basedOn w:val="1"/>
    <w:qFormat/>
    <w:uiPriority w:val="0"/>
    <w:pPr>
      <w:widowControl/>
      <w:spacing w:before="100" w:beforeAutospacing="1" w:after="100" w:afterAutospacing="1"/>
      <w:jc w:val="center"/>
      <w:textAlignment w:val="center"/>
    </w:pPr>
    <w:rPr>
      <w:rFonts w:hint="eastAsia" w:ascii="楷体_GB2312" w:hAnsi="宋体" w:eastAsia="楷体_GB2312" w:cs="Times New Roman"/>
      <w:kern w:val="0"/>
      <w:sz w:val="24"/>
      <w:szCs w:val="24"/>
    </w:rPr>
  </w:style>
  <w:style w:type="paragraph" w:customStyle="1" w:styleId="78">
    <w:name w:val="Char Char Char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79">
    <w:name w:val="TOC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80">
    <w:name w:val="z-窗体顶端 字符1"/>
    <w:basedOn w:val="25"/>
    <w:semiHidden/>
    <w:qFormat/>
    <w:uiPriority w:val="99"/>
    <w:rPr>
      <w:rFonts w:ascii="Arial" w:hAnsi="Arial" w:cs="Arial"/>
      <w:vanish/>
      <w:sz w:val="16"/>
      <w:szCs w:val="16"/>
    </w:rPr>
  </w:style>
  <w:style w:type="paragraph" w:customStyle="1" w:styleId="81">
    <w:name w:val="正文段"/>
    <w:basedOn w:val="1"/>
    <w:qFormat/>
    <w:uiPriority w:val="0"/>
    <w:pPr>
      <w:widowControl/>
      <w:snapToGrid w:val="0"/>
      <w:spacing w:after="156" w:afterLines="50"/>
      <w:ind w:firstLine="200" w:firstLineChars="200"/>
    </w:pPr>
    <w:rPr>
      <w:rFonts w:ascii="Times New Roman" w:hAnsi="Times New Roman" w:eastAsia="宋体" w:cs="Times New Roman"/>
      <w:kern w:val="0"/>
      <w:sz w:val="24"/>
      <w:szCs w:val="20"/>
    </w:rPr>
  </w:style>
  <w:style w:type="paragraph" w:customStyle="1" w:styleId="82">
    <w:name w:val="Default"/>
    <w:next w:val="79"/>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83">
    <w:name w:val="批注文字 字符1"/>
    <w:basedOn w:val="25"/>
    <w:link w:val="7"/>
    <w:semiHidden/>
    <w:qFormat/>
    <w:uiPriority w:val="99"/>
  </w:style>
  <w:style w:type="character" w:customStyle="1" w:styleId="84">
    <w:name w:val="批注主题 字符1"/>
    <w:basedOn w:val="83"/>
    <w:semiHidden/>
    <w:qFormat/>
    <w:uiPriority w:val="99"/>
    <w:rPr>
      <w:b/>
      <w:bCs/>
    </w:rPr>
  </w:style>
  <w:style w:type="character" w:customStyle="1" w:styleId="85">
    <w:name w:val="文档结构图 字符1"/>
    <w:basedOn w:val="25"/>
    <w:semiHidden/>
    <w:qFormat/>
    <w:uiPriority w:val="99"/>
    <w:rPr>
      <w:rFonts w:ascii="Microsoft YaHei UI" w:eastAsia="Microsoft YaHei UI"/>
      <w:sz w:val="18"/>
      <w:szCs w:val="18"/>
    </w:rPr>
  </w:style>
  <w:style w:type="character" w:customStyle="1" w:styleId="86">
    <w:name w:val="正文文本 字符"/>
    <w:basedOn w:val="25"/>
    <w:link w:val="2"/>
    <w:qFormat/>
    <w:uiPriority w:val="99"/>
    <w:rPr>
      <w:rFonts w:ascii="Times New Roman" w:hAnsi="Times New Roman" w:eastAsia="宋体" w:cs="Times New Roman"/>
      <w:sz w:val="28"/>
      <w:szCs w:val="24"/>
    </w:rPr>
  </w:style>
  <w:style w:type="character" w:customStyle="1" w:styleId="87">
    <w:name w:val="批注框文本 字符"/>
    <w:basedOn w:val="25"/>
    <w:link w:val="19"/>
    <w:qFormat/>
    <w:uiPriority w:val="0"/>
    <w:rPr>
      <w:rFonts w:ascii="Times New Roman" w:hAnsi="Times New Roman" w:eastAsia="宋体" w:cs="Times New Roman"/>
      <w:sz w:val="18"/>
      <w:szCs w:val="18"/>
    </w:rPr>
  </w:style>
  <w:style w:type="character" w:customStyle="1" w:styleId="88">
    <w:name w:val="正文文本缩进 字符3"/>
    <w:basedOn w:val="25"/>
    <w:semiHidden/>
    <w:qFormat/>
    <w:uiPriority w:val="99"/>
  </w:style>
  <w:style w:type="character" w:customStyle="1" w:styleId="89">
    <w:name w:val="日期 字符"/>
    <w:basedOn w:val="25"/>
    <w:link w:val="18"/>
    <w:qFormat/>
    <w:uiPriority w:val="0"/>
    <w:rPr>
      <w:rFonts w:ascii="Times New Roman" w:hAnsi="Times New Roman" w:eastAsia="楷体_GB2312" w:cs="Times New Roman"/>
      <w:sz w:val="32"/>
      <w:szCs w:val="20"/>
    </w:rPr>
  </w:style>
  <w:style w:type="character" w:customStyle="1" w:styleId="90">
    <w:name w:val="纯文本 字符3"/>
    <w:basedOn w:val="25"/>
    <w:semiHidden/>
    <w:qFormat/>
    <w:uiPriority w:val="99"/>
    <w:rPr>
      <w:rFonts w:hAnsi="Courier New" w:cs="Courier New" w:asciiTheme="minorEastAsia"/>
    </w:rPr>
  </w:style>
  <w:style w:type="character" w:customStyle="1" w:styleId="91">
    <w:name w:val="正文文本首行缩进 2 字符"/>
    <w:basedOn w:val="88"/>
    <w:link w:val="16"/>
    <w:qFormat/>
    <w:uiPriority w:val="99"/>
    <w:rPr>
      <w:rFonts w:ascii="宋体" w:hAnsi="Courier New"/>
      <w:spacing w:val="-4"/>
      <w:sz w:val="18"/>
    </w:rPr>
  </w:style>
  <w:style w:type="character" w:customStyle="1" w:styleId="92">
    <w:name w:val="z-窗体底端 字符1"/>
    <w:basedOn w:val="25"/>
    <w:semiHidden/>
    <w:qFormat/>
    <w:uiPriority w:val="99"/>
    <w:rPr>
      <w:rFonts w:ascii="Arial" w:hAnsi="Arial" w:cs="Arial"/>
      <w:vanish/>
      <w:sz w:val="16"/>
      <w:szCs w:val="16"/>
    </w:rPr>
  </w:style>
  <w:style w:type="paragraph" w:customStyle="1" w:styleId="93">
    <w:name w:val="此正文"/>
    <w:basedOn w:val="1"/>
    <w:qFormat/>
    <w:uiPriority w:val="0"/>
    <w:pPr>
      <w:spacing w:line="360" w:lineRule="auto"/>
      <w:ind w:firstLine="200" w:firstLineChars="200"/>
    </w:pPr>
    <w:rPr>
      <w:rFonts w:ascii="Times New Roman" w:hAnsi="Times New Roman" w:eastAsia="宋体" w:cs="Times New Roman"/>
      <w:sz w:val="24"/>
      <w:szCs w:val="24"/>
    </w:rPr>
  </w:style>
  <w:style w:type="paragraph" w:customStyle="1" w:styleId="94">
    <w:name w:val="表内文字"/>
    <w:basedOn w:val="1"/>
    <w:qFormat/>
    <w:uiPriority w:val="0"/>
    <w:pPr>
      <w:tabs>
        <w:tab w:val="left" w:pos="1418"/>
      </w:tabs>
      <w:spacing w:line="360" w:lineRule="auto"/>
      <w:jc w:val="center"/>
    </w:pPr>
    <w:rPr>
      <w:rFonts w:hint="eastAsia" w:ascii="仿宋_GB2312" w:hAnsi="Times New Roman" w:eastAsia="仿宋_GB2312" w:cs="Times New Roman"/>
      <w:spacing w:val="-20"/>
      <w:kern w:val="0"/>
      <w:sz w:val="24"/>
      <w:szCs w:val="24"/>
    </w:rPr>
  </w:style>
  <w:style w:type="paragraph" w:customStyle="1" w:styleId="95">
    <w:name w:val="正文 A"/>
    <w:qFormat/>
    <w:uiPriority w:val="0"/>
    <w:pPr>
      <w:widowControl w:val="0"/>
      <w:jc w:val="both"/>
    </w:pPr>
    <w:rPr>
      <w:rFonts w:hint="eastAsia" w:ascii="Arial Unicode MS" w:hAnsi="Arial Unicode MS" w:eastAsia="Times New Roman" w:cs="Arial Unicode MS"/>
      <w:color w:val="000000"/>
      <w:kern w:val="2"/>
      <w:sz w:val="28"/>
      <w:szCs w:val="28"/>
      <w:u w:color="000000"/>
      <w:lang w:val="en-US" w:eastAsia="zh-CN" w:bidi="ar-SA"/>
    </w:rPr>
  </w:style>
  <w:style w:type="paragraph" w:customStyle="1" w:styleId="96">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paragraph" w:customStyle="1" w:styleId="97">
    <w:name w:val="正文1"/>
    <w:qFormat/>
    <w:uiPriority w:val="0"/>
    <w:pPr>
      <w:suppressAutoHyphens/>
      <w:spacing w:after="180" w:line="312" w:lineRule="auto"/>
    </w:pPr>
    <w:rPr>
      <w:rFonts w:ascii="Helvetica Neue Light" w:hAnsi="Helvetica Neue Light" w:eastAsia="ヒラギノ角ゴ Pro W3" w:cs="Times New Roman"/>
      <w:color w:val="000000"/>
      <w:sz w:val="18"/>
      <w:lang w:val="en-US" w:eastAsia="zh-CN" w:bidi="ar-SA"/>
    </w:rPr>
  </w:style>
  <w:style w:type="paragraph" w:customStyle="1" w:styleId="98">
    <w:name w:val="Char Char Char Char1"/>
    <w:basedOn w:val="1"/>
    <w:qFormat/>
    <w:uiPriority w:val="0"/>
    <w:rPr>
      <w:rFonts w:ascii="Tahoma" w:hAnsi="Tahoma" w:eastAsia="宋体" w:cs="Times New Roman"/>
      <w:sz w:val="24"/>
      <w:szCs w:val="20"/>
    </w:rPr>
  </w:style>
  <w:style w:type="paragraph" w:customStyle="1" w:styleId="99">
    <w:name w:val="彩色列表 - 强调文字颜色 11"/>
    <w:basedOn w:val="1"/>
    <w:qFormat/>
    <w:uiPriority w:val="34"/>
    <w:pPr>
      <w:ind w:firstLine="420" w:firstLineChars="200"/>
    </w:pPr>
    <w:rPr>
      <w:rFonts w:ascii="Calibri" w:hAnsi="Calibri" w:eastAsia="宋体" w:cs="Times New Roman"/>
    </w:rPr>
  </w:style>
  <w:style w:type="paragraph" w:customStyle="1" w:styleId="100">
    <w:name w:val="Proposals body"/>
    <w:basedOn w:val="1"/>
    <w:next w:val="1"/>
    <w:qFormat/>
    <w:uiPriority w:val="0"/>
    <w:pPr>
      <w:widowControl/>
      <w:spacing w:line="460" w:lineRule="exact"/>
      <w:jc w:val="left"/>
    </w:pPr>
    <w:rPr>
      <w:rFonts w:ascii="仿宋_GB2312" w:hAnsi="Times New Roman" w:eastAsia="仿宋_GB2312" w:cs="Times New Roman"/>
      <w:snapToGrid w:val="0"/>
      <w:kern w:val="0"/>
      <w:sz w:val="24"/>
      <w:szCs w:val="24"/>
    </w:rPr>
  </w:style>
  <w:style w:type="paragraph" w:customStyle="1" w:styleId="101">
    <w:name w:val="正文2"/>
    <w:basedOn w:val="1"/>
    <w:link w:val="110"/>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02">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sz w:val="21"/>
      <w:szCs w:val="22"/>
      <w:lang w:val="en-US" w:eastAsia="zh-CN" w:bidi="ar-SA"/>
    </w:rPr>
  </w:style>
  <w:style w:type="paragraph" w:customStyle="1" w:styleId="103">
    <w:name w:val="无间距"/>
    <w:qFormat/>
    <w:uiPriority w:val="0"/>
    <w:pPr>
      <w:widowControl w:val="0"/>
      <w:jc w:val="both"/>
    </w:pPr>
    <w:rPr>
      <w:rFonts w:ascii="Calibri" w:hAnsi="Calibri" w:eastAsia="宋体" w:cs="Times New Roman"/>
      <w:kern w:val="2"/>
      <w:sz w:val="21"/>
      <w:szCs w:val="22"/>
      <w:lang w:val="en-US" w:eastAsia="zh-CN" w:bidi="ar-SA"/>
    </w:rPr>
  </w:style>
  <w:style w:type="paragraph" w:styleId="104">
    <w:name w:val="List Paragraph"/>
    <w:basedOn w:val="1"/>
    <w:qFormat/>
    <w:uiPriority w:val="34"/>
    <w:pPr>
      <w:ind w:left="720"/>
      <w:contextualSpacing/>
    </w:pPr>
    <w:rPr>
      <w:rFonts w:ascii="Times New Roman" w:hAnsi="Times New Roman" w:eastAsia="宋体" w:cs="Times New Roman"/>
      <w:sz w:val="28"/>
      <w:szCs w:val="20"/>
    </w:rPr>
  </w:style>
  <w:style w:type="paragraph" w:customStyle="1" w:styleId="105">
    <w:name w:val="List Paragraph1"/>
    <w:basedOn w:val="1"/>
    <w:qFormat/>
    <w:uiPriority w:val="0"/>
    <w:pPr>
      <w:ind w:firstLine="420" w:firstLineChars="200"/>
    </w:pPr>
    <w:rPr>
      <w:rFonts w:ascii="Times New Roman" w:hAnsi="Times New Roman" w:eastAsia="宋体" w:cs="Times New Roman"/>
      <w:szCs w:val="24"/>
    </w:rPr>
  </w:style>
  <w:style w:type="paragraph" w:customStyle="1" w:styleId="106">
    <w:name w:val="标题 10"/>
    <w:basedOn w:val="4"/>
    <w:qFormat/>
    <w:uiPriority w:val="0"/>
    <w:pPr>
      <w:jc w:val="center"/>
    </w:pPr>
    <w:rPr>
      <w:kern w:val="0"/>
    </w:rPr>
  </w:style>
  <w:style w:type="character" w:customStyle="1" w:styleId="107">
    <w:name w:val="未处理的提及1"/>
    <w:semiHidden/>
    <w:unhideWhenUsed/>
    <w:qFormat/>
    <w:uiPriority w:val="99"/>
    <w:rPr>
      <w:color w:val="605E5C"/>
      <w:shd w:val="clear" w:color="auto" w:fill="E1DFDD"/>
    </w:rPr>
  </w:style>
  <w:style w:type="character" w:customStyle="1" w:styleId="108">
    <w:name w:val="未处理的提及2"/>
    <w:basedOn w:val="25"/>
    <w:semiHidden/>
    <w:unhideWhenUsed/>
    <w:qFormat/>
    <w:uiPriority w:val="99"/>
    <w:rPr>
      <w:color w:val="605E5C"/>
      <w:shd w:val="clear" w:color="auto" w:fill="E1DFDD"/>
    </w:rPr>
  </w:style>
  <w:style w:type="character" w:customStyle="1" w:styleId="109">
    <w:name w:val="Unresolved Mention"/>
    <w:basedOn w:val="25"/>
    <w:semiHidden/>
    <w:unhideWhenUsed/>
    <w:qFormat/>
    <w:uiPriority w:val="99"/>
    <w:rPr>
      <w:color w:val="605E5C"/>
      <w:shd w:val="clear" w:color="auto" w:fill="E1DFDD"/>
    </w:rPr>
  </w:style>
  <w:style w:type="character" w:customStyle="1" w:styleId="110">
    <w:name w:val="正文2 Char Char"/>
    <w:link w:val="101"/>
    <w:qFormat/>
    <w:uiPriority w:val="0"/>
    <w:rPr>
      <w:kern w:val="2"/>
      <w:sz w:val="24"/>
    </w:rPr>
  </w:style>
  <w:style w:type="paragraph" w:customStyle="1" w:styleId="111">
    <w:name w:val="toc 7"/>
    <w:next w:val="1"/>
    <w:qFormat/>
    <w:uiPriority w:val="0"/>
    <w:pPr>
      <w:wordWrap w:val="0"/>
      <w:ind w:left="2550"/>
      <w:jc w:val="both"/>
    </w:pPr>
    <w:rPr>
      <w:rFonts w:ascii="Calibri" w:hAnsi="Calibri" w:eastAsia="宋体" w:cs="Times New Roman"/>
      <w:sz w:val="21"/>
      <w:szCs w:val="22"/>
      <w:lang w:val="en-US" w:eastAsia="zh-CN" w:bidi="ar-SA"/>
    </w:rPr>
  </w:style>
  <w:style w:type="character" w:customStyle="1" w:styleId="112">
    <w:name w:val="fontstyle01"/>
    <w:basedOn w:val="25"/>
    <w:qFormat/>
    <w:uiPriority w:val="0"/>
    <w:rPr>
      <w:rFonts w:hint="eastAsia" w:ascii="楷体" w:hAnsi="楷体" w:eastAsia="楷体"/>
      <w:color w:val="000000"/>
      <w:sz w:val="24"/>
      <w:szCs w:val="24"/>
    </w:rPr>
  </w:style>
  <w:style w:type="table" w:customStyle="1" w:styleId="113">
    <w:name w:val="网格型1"/>
    <w:basedOn w:val="36"/>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3079"/>
    <customShpInfo spid="_x0000_s3082"/>
    <customShpInfo spid="_x0000_s308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8771ED-AAF5-4F08-BBE3-7B9D42BBFEA7}">
  <ds:schemaRefs/>
</ds:datastoreItem>
</file>

<file path=docProps/app.xml><?xml version="1.0" encoding="utf-8"?>
<Properties xmlns="http://schemas.openxmlformats.org/officeDocument/2006/extended-properties" xmlns:vt="http://schemas.openxmlformats.org/officeDocument/2006/docPropsVTypes">
  <Template>Normal</Template>
  <Pages>63</Pages>
  <Words>36508</Words>
  <Characters>38914</Characters>
  <Lines>207</Lines>
  <Paragraphs>58</Paragraphs>
  <TotalTime>0</TotalTime>
  <ScaleCrop>false</ScaleCrop>
  <LinksUpToDate>false</LinksUpToDate>
  <CharactersWithSpaces>39860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2021-05-13T05:24:00Z</dcterms:created>
  <dc:creator>hj j</dc:creator>
  <cp:lastModifiedBy>Young</cp:lastModifiedBy>
  <cp:lastPrinted>2022-10-25T05:34:00Z</cp:lastPrinted>
  <dcterms:modified xsi:type="dcterms:W3CDTF">2023-05-12T07:58:42Z</dcterms:modified>
  <cp:revision>770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B363B45C01FF4C5A8AB2573BD522DAF7</vt:lpwstr>
  </property>
</Properties>
</file>