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5A0719C">
      <w:pPr>
        <w:pStyle w:val="6"/>
        <w:keepNext w:val="0"/>
        <w:keepLines w:val="0"/>
        <w:pageBreakBefore w:val="0"/>
        <w:widowControl/>
        <w:shd w:val="clear" w:color="auto" w:fill="auto"/>
        <w:kinsoku/>
        <w:wordWrap/>
        <w:overflowPunct/>
        <w:topLinePunct w:val="0"/>
        <w:autoSpaceDE/>
        <w:autoSpaceDN/>
        <w:bidi w:val="0"/>
        <w:adjustRightInd/>
        <w:snapToGrid/>
        <w:spacing w:line="1000" w:lineRule="exact"/>
        <w:jc w:val="center"/>
        <w:textAlignment w:val="auto"/>
        <w:outlineLvl w:val="0"/>
        <w:rPr>
          <w:rFonts w:hint="eastAsia" w:ascii="宋体" w:hAnsi="宋体" w:eastAsia="宋体" w:cs="宋体"/>
          <w:sz w:val="72"/>
          <w:szCs w:val="72"/>
          <w:highlight w:val="none"/>
        </w:rPr>
      </w:pPr>
      <w:r>
        <w:rPr>
          <w:rFonts w:hint="eastAsia" w:ascii="宋体" w:hAnsi="宋体" w:eastAsia="宋体" w:cs="宋体"/>
          <w:sz w:val="24"/>
          <w:szCs w:val="24"/>
        </w:rPr>
        <w:t>　</w:t>
      </w:r>
      <w:r>
        <w:rPr>
          <w:rFonts w:hint="eastAsia" w:ascii="宋体" w:hAnsi="宋体" w:eastAsia="宋体" w:cs="宋体"/>
          <w:b/>
          <w:sz w:val="72"/>
          <w:szCs w:val="72"/>
          <w:highlight w:val="none"/>
        </w:rPr>
        <w:t>福建省政府采购</w:t>
      </w:r>
    </w:p>
    <w:p w14:paraId="0247C422">
      <w:pPr>
        <w:keepNext w:val="0"/>
        <w:keepLines w:val="0"/>
        <w:pageBreakBefore w:val="0"/>
        <w:widowControl/>
        <w:shd w:val="clear" w:color="auto" w:fill="auto"/>
        <w:kinsoku/>
        <w:wordWrap/>
        <w:overflowPunct/>
        <w:topLinePunct w:val="0"/>
        <w:autoSpaceDE/>
        <w:autoSpaceDN/>
        <w:bidi w:val="0"/>
        <w:adjustRightInd/>
        <w:snapToGrid/>
        <w:spacing w:line="1000" w:lineRule="exact"/>
        <w:jc w:val="center"/>
        <w:textAlignment w:val="auto"/>
        <w:outlineLvl w:val="0"/>
        <w:rPr>
          <w:rFonts w:hint="eastAsia" w:ascii="宋体" w:hAnsi="宋体" w:eastAsia="宋体" w:cs="宋体"/>
          <w:sz w:val="72"/>
          <w:szCs w:val="72"/>
          <w:highlight w:val="none"/>
          <w:lang w:val="en-US"/>
        </w:rPr>
      </w:pPr>
      <w:r>
        <w:rPr>
          <w:rFonts w:hint="eastAsia" w:ascii="宋体" w:hAnsi="宋体" w:eastAsia="宋体" w:cs="宋体"/>
          <w:b/>
          <w:sz w:val="72"/>
          <w:szCs w:val="72"/>
          <w:highlight w:val="none"/>
          <w:lang w:val="en-US"/>
        </w:rPr>
        <w:t>货物和服务项目</w:t>
      </w:r>
    </w:p>
    <w:p w14:paraId="672B1CD7">
      <w:pPr>
        <w:keepNext w:val="0"/>
        <w:keepLines w:val="0"/>
        <w:pageBreakBefore w:val="0"/>
        <w:widowControl/>
        <w:shd w:val="clear" w:color="auto" w:fill="auto"/>
        <w:kinsoku/>
        <w:wordWrap/>
        <w:overflowPunct/>
        <w:topLinePunct w:val="0"/>
        <w:autoSpaceDE/>
        <w:autoSpaceDN/>
        <w:bidi w:val="0"/>
        <w:adjustRightInd/>
        <w:snapToGrid/>
        <w:spacing w:line="1000" w:lineRule="exact"/>
        <w:jc w:val="center"/>
        <w:textAlignment w:val="auto"/>
        <w:outlineLvl w:val="0"/>
        <w:rPr>
          <w:rFonts w:hint="eastAsia" w:ascii="宋体" w:hAnsi="宋体" w:eastAsia="宋体" w:cs="宋体"/>
          <w:b/>
          <w:sz w:val="48"/>
          <w:szCs w:val="48"/>
          <w:highlight w:val="none"/>
          <w:lang w:val="en-US"/>
        </w:rPr>
      </w:pPr>
    </w:p>
    <w:p w14:paraId="0A128663">
      <w:pPr>
        <w:keepNext w:val="0"/>
        <w:keepLines w:val="0"/>
        <w:pageBreakBefore w:val="0"/>
        <w:widowControl/>
        <w:shd w:val="clear" w:color="auto" w:fill="auto"/>
        <w:kinsoku/>
        <w:wordWrap/>
        <w:overflowPunct/>
        <w:topLinePunct w:val="0"/>
        <w:autoSpaceDE/>
        <w:autoSpaceDN/>
        <w:bidi w:val="0"/>
        <w:adjustRightInd/>
        <w:snapToGrid/>
        <w:spacing w:line="1000" w:lineRule="exact"/>
        <w:jc w:val="center"/>
        <w:textAlignment w:val="auto"/>
        <w:outlineLvl w:val="0"/>
        <w:rPr>
          <w:rFonts w:hint="eastAsia" w:ascii="宋体" w:hAnsi="宋体" w:eastAsia="宋体" w:cs="宋体"/>
          <w:b/>
          <w:sz w:val="44"/>
          <w:szCs w:val="44"/>
          <w:highlight w:val="none"/>
          <w:lang w:val="en-US"/>
        </w:rPr>
      </w:pPr>
      <w:r>
        <w:rPr>
          <w:rFonts w:hint="eastAsia" w:ascii="宋体" w:hAnsi="宋体" w:eastAsia="宋体" w:cs="宋体"/>
          <w:b/>
          <w:kern w:val="2"/>
          <w:sz w:val="60"/>
          <w:szCs w:val="60"/>
          <w:highlight w:val="none"/>
          <w:lang w:val="en-US" w:eastAsia="zh-CN" w:bidi="ar-SA"/>
        </w:rPr>
        <w:t>公开招标文件</w:t>
      </w:r>
    </w:p>
    <w:p w14:paraId="3E1715A3">
      <w:pPr>
        <w:keepNext w:val="0"/>
        <w:keepLines w:val="0"/>
        <w:pageBreakBefore w:val="0"/>
        <w:widowControl/>
        <w:shd w:val="clear" w:color="auto" w:fill="auto"/>
        <w:kinsoku/>
        <w:wordWrap/>
        <w:overflowPunct/>
        <w:topLinePunct w:val="0"/>
        <w:autoSpaceDE/>
        <w:autoSpaceDN/>
        <w:bidi w:val="0"/>
        <w:adjustRightInd/>
        <w:snapToGrid/>
        <w:spacing w:line="1000" w:lineRule="exact"/>
        <w:jc w:val="center"/>
        <w:textAlignment w:val="auto"/>
        <w:outlineLvl w:val="0"/>
        <w:rPr>
          <w:rFonts w:hint="eastAsia" w:ascii="宋体" w:hAnsi="宋体" w:eastAsia="宋体" w:cs="宋体"/>
          <w:b/>
          <w:kern w:val="2"/>
          <w:sz w:val="60"/>
          <w:szCs w:val="60"/>
          <w:highlight w:val="none"/>
          <w:lang w:val="en-US" w:eastAsia="zh-CN" w:bidi="ar-SA"/>
        </w:rPr>
      </w:pPr>
      <w:r>
        <w:rPr>
          <w:rFonts w:hint="eastAsia" w:ascii="宋体" w:hAnsi="宋体" w:eastAsia="宋体" w:cs="宋体"/>
          <w:b/>
          <w:kern w:val="2"/>
          <w:sz w:val="60"/>
          <w:szCs w:val="60"/>
          <w:highlight w:val="none"/>
          <w:lang w:val="en-US" w:eastAsia="zh-CN" w:bidi="ar-SA"/>
        </w:rPr>
        <w:t>（预公告版）</w:t>
      </w:r>
    </w:p>
    <w:p w14:paraId="6EBA0EAC">
      <w:pPr>
        <w:keepNext w:val="0"/>
        <w:keepLines w:val="0"/>
        <w:pageBreakBefore w:val="0"/>
        <w:widowControl/>
        <w:shd w:val="clear" w:color="auto" w:fill="auto"/>
        <w:kinsoku/>
        <w:wordWrap/>
        <w:overflowPunct/>
        <w:topLinePunct w:val="0"/>
        <w:autoSpaceDE/>
        <w:autoSpaceDN/>
        <w:bidi w:val="0"/>
        <w:adjustRightInd/>
        <w:snapToGrid/>
        <w:spacing w:line="1000" w:lineRule="exact"/>
        <w:jc w:val="both"/>
        <w:textAlignment w:val="auto"/>
        <w:outlineLvl w:val="0"/>
        <w:rPr>
          <w:rFonts w:hint="eastAsia" w:ascii="宋体" w:hAnsi="宋体" w:eastAsia="宋体" w:cs="宋体"/>
          <w:b/>
          <w:sz w:val="28"/>
          <w:szCs w:val="28"/>
          <w:highlight w:val="none"/>
          <w:lang w:val="en-US"/>
        </w:rPr>
      </w:pPr>
    </w:p>
    <w:p w14:paraId="5CA60FC0">
      <w:pPr>
        <w:keepNext w:val="0"/>
        <w:keepLines w:val="0"/>
        <w:pageBreakBefore w:val="0"/>
        <w:widowControl/>
        <w:shd w:val="clear" w:color="auto" w:fill="auto"/>
        <w:kinsoku/>
        <w:wordWrap/>
        <w:overflowPunct/>
        <w:topLinePunct w:val="0"/>
        <w:autoSpaceDE/>
        <w:autoSpaceDN/>
        <w:bidi w:val="0"/>
        <w:adjustRightInd/>
        <w:snapToGrid/>
        <w:spacing w:line="1200" w:lineRule="exact"/>
        <w:jc w:val="both"/>
        <w:textAlignment w:val="auto"/>
        <w:outlineLvl w:val="2"/>
        <w:rPr>
          <w:rFonts w:hint="eastAsia" w:ascii="宋体" w:hAnsi="宋体" w:eastAsia="宋体" w:cs="宋体"/>
          <w:b/>
          <w:sz w:val="28"/>
          <w:szCs w:val="28"/>
          <w:highlight w:val="none"/>
          <w:lang w:val="en-US" w:eastAsia="zh-CN"/>
        </w:rPr>
      </w:pPr>
      <w:r>
        <w:rPr>
          <w:rFonts w:hint="eastAsia" w:ascii="宋体" w:hAnsi="宋体" w:eastAsia="宋体" w:cs="宋体"/>
          <w:b/>
          <w:sz w:val="28"/>
          <w:szCs w:val="28"/>
          <w:highlight w:val="none"/>
          <w:lang w:val="en-US"/>
        </w:rPr>
        <w:t>项目名称：</w:t>
      </w:r>
      <w:r>
        <w:rPr>
          <w:rFonts w:hint="eastAsia" w:ascii="宋体" w:hAnsi="宋体" w:eastAsia="宋体" w:cs="宋体"/>
          <w:b/>
          <w:sz w:val="28"/>
          <w:szCs w:val="28"/>
          <w:highlight w:val="none"/>
          <w:lang w:val="en-US" w:eastAsia="zh-CN"/>
        </w:rPr>
        <w:t>福建省精神专科服务能力建设项目信息化专项项目</w:t>
      </w:r>
    </w:p>
    <w:p w14:paraId="03A67E5D">
      <w:pPr>
        <w:keepNext w:val="0"/>
        <w:keepLines w:val="0"/>
        <w:pageBreakBefore w:val="0"/>
        <w:widowControl/>
        <w:shd w:val="clear" w:color="auto" w:fill="auto"/>
        <w:kinsoku/>
        <w:wordWrap/>
        <w:overflowPunct/>
        <w:topLinePunct w:val="0"/>
        <w:autoSpaceDE/>
        <w:autoSpaceDN/>
        <w:bidi w:val="0"/>
        <w:adjustRightInd/>
        <w:snapToGrid/>
        <w:spacing w:line="1200" w:lineRule="exact"/>
        <w:jc w:val="both"/>
        <w:textAlignment w:val="auto"/>
        <w:outlineLvl w:val="2"/>
        <w:rPr>
          <w:rFonts w:hint="eastAsia" w:ascii="宋体" w:hAnsi="宋体" w:eastAsia="宋体" w:cs="宋体"/>
          <w:b/>
          <w:sz w:val="28"/>
          <w:szCs w:val="28"/>
          <w:highlight w:val="none"/>
          <w:lang w:val="en-US" w:eastAsia="zh-CN"/>
        </w:rPr>
      </w:pPr>
      <w:r>
        <w:rPr>
          <w:rFonts w:hint="eastAsia" w:ascii="宋体" w:hAnsi="宋体" w:eastAsia="宋体" w:cs="宋体"/>
          <w:b/>
          <w:sz w:val="28"/>
          <w:szCs w:val="28"/>
          <w:highlight w:val="none"/>
          <w:lang w:val="en-US"/>
        </w:rPr>
        <w:t>备案编号：</w:t>
      </w:r>
      <w:r>
        <w:rPr>
          <w:rFonts w:hint="eastAsia" w:ascii="宋体" w:hAnsi="宋体" w:eastAsia="宋体" w:cs="宋体"/>
          <w:b/>
          <w:sz w:val="28"/>
          <w:szCs w:val="28"/>
          <w:highlight w:val="none"/>
          <w:lang w:val="en-US" w:eastAsia="zh-CN"/>
        </w:rPr>
        <w:t>CGXM-2026-350101-05426[2026]03581</w:t>
      </w:r>
    </w:p>
    <w:p w14:paraId="4D681C68">
      <w:pPr>
        <w:keepNext w:val="0"/>
        <w:keepLines w:val="0"/>
        <w:pageBreakBefore w:val="0"/>
        <w:widowControl/>
        <w:shd w:val="clear" w:color="auto" w:fill="auto"/>
        <w:kinsoku/>
        <w:wordWrap/>
        <w:overflowPunct/>
        <w:topLinePunct w:val="0"/>
        <w:autoSpaceDE/>
        <w:autoSpaceDN/>
        <w:bidi w:val="0"/>
        <w:adjustRightInd/>
        <w:snapToGrid/>
        <w:spacing w:line="1200" w:lineRule="exact"/>
        <w:jc w:val="both"/>
        <w:textAlignment w:val="auto"/>
        <w:outlineLvl w:val="2"/>
        <w:rPr>
          <w:rFonts w:hint="eastAsia" w:ascii="宋体" w:hAnsi="宋体" w:eastAsia="宋体" w:cs="宋体"/>
          <w:b/>
          <w:sz w:val="28"/>
          <w:szCs w:val="28"/>
          <w:highlight w:val="yellow"/>
          <w:lang w:val="en-US" w:eastAsia="zh-CN"/>
        </w:rPr>
      </w:pPr>
      <w:r>
        <w:rPr>
          <w:rFonts w:hint="eastAsia" w:ascii="宋体" w:hAnsi="宋体" w:eastAsia="宋体" w:cs="宋体"/>
          <w:b/>
          <w:sz w:val="28"/>
          <w:szCs w:val="28"/>
          <w:highlight w:val="none"/>
          <w:lang w:val="en-US"/>
        </w:rPr>
        <w:t>项目编号：</w:t>
      </w:r>
      <w:r>
        <w:rPr>
          <w:rFonts w:hint="eastAsia" w:ascii="宋体" w:hAnsi="宋体" w:eastAsia="宋体" w:cs="宋体"/>
          <w:b/>
          <w:sz w:val="28"/>
          <w:szCs w:val="28"/>
          <w:highlight w:val="none"/>
          <w:lang w:val="en-US" w:eastAsia="zh-CN"/>
        </w:rPr>
        <w:t>[350101]ZHZB[GK]2026002</w:t>
      </w:r>
    </w:p>
    <w:p w14:paraId="2B743394">
      <w:pPr>
        <w:keepNext w:val="0"/>
        <w:keepLines w:val="0"/>
        <w:pageBreakBefore w:val="0"/>
        <w:widowControl/>
        <w:shd w:val="clear" w:color="auto" w:fill="auto"/>
        <w:kinsoku/>
        <w:wordWrap/>
        <w:overflowPunct/>
        <w:topLinePunct w:val="0"/>
        <w:autoSpaceDE/>
        <w:autoSpaceDN/>
        <w:bidi w:val="0"/>
        <w:adjustRightInd/>
        <w:snapToGrid/>
        <w:spacing w:line="900" w:lineRule="exact"/>
        <w:jc w:val="both"/>
        <w:textAlignment w:val="auto"/>
        <w:outlineLvl w:val="2"/>
        <w:rPr>
          <w:rFonts w:hint="eastAsia" w:ascii="宋体" w:hAnsi="宋体" w:eastAsia="宋体" w:cs="宋体"/>
          <w:b/>
          <w:sz w:val="28"/>
          <w:szCs w:val="28"/>
          <w:highlight w:val="none"/>
          <w:lang w:val="en-US"/>
        </w:rPr>
      </w:pPr>
    </w:p>
    <w:p w14:paraId="536034FB">
      <w:pPr>
        <w:keepNext w:val="0"/>
        <w:keepLines w:val="0"/>
        <w:pageBreakBefore w:val="0"/>
        <w:widowControl/>
        <w:shd w:val="clear" w:color="auto" w:fill="auto"/>
        <w:kinsoku/>
        <w:wordWrap/>
        <w:overflowPunct/>
        <w:topLinePunct w:val="0"/>
        <w:autoSpaceDE/>
        <w:autoSpaceDN/>
        <w:bidi w:val="0"/>
        <w:adjustRightInd/>
        <w:snapToGrid/>
        <w:spacing w:line="800" w:lineRule="exact"/>
        <w:jc w:val="center"/>
        <w:textAlignment w:val="auto"/>
        <w:outlineLvl w:val="2"/>
        <w:rPr>
          <w:rFonts w:hint="eastAsia" w:ascii="宋体" w:hAnsi="宋体" w:eastAsia="宋体" w:cs="宋体"/>
          <w:sz w:val="28"/>
          <w:szCs w:val="28"/>
          <w:highlight w:val="none"/>
          <w:lang w:val="en-US" w:eastAsia="zh-CN"/>
        </w:rPr>
      </w:pPr>
      <w:r>
        <w:rPr>
          <w:rFonts w:hint="eastAsia" w:ascii="宋体" w:hAnsi="宋体" w:eastAsia="宋体" w:cs="宋体"/>
          <w:b/>
          <w:sz w:val="28"/>
          <w:szCs w:val="28"/>
          <w:highlight w:val="none"/>
          <w:lang w:val="en-US"/>
        </w:rPr>
        <w:t>采购人：</w:t>
      </w:r>
      <w:r>
        <w:rPr>
          <w:rFonts w:hint="eastAsia" w:ascii="宋体" w:hAnsi="宋体" w:eastAsia="宋体" w:cs="宋体"/>
          <w:b/>
          <w:sz w:val="28"/>
          <w:szCs w:val="28"/>
          <w:highlight w:val="none"/>
          <w:lang w:val="en-US" w:eastAsia="zh-CN"/>
        </w:rPr>
        <w:t>福州市第二总医院神经精神病防治院</w:t>
      </w:r>
    </w:p>
    <w:p w14:paraId="2D25E4DB">
      <w:pPr>
        <w:keepNext w:val="0"/>
        <w:keepLines w:val="0"/>
        <w:pageBreakBefore w:val="0"/>
        <w:widowControl/>
        <w:shd w:val="clear" w:color="auto" w:fill="auto"/>
        <w:kinsoku/>
        <w:wordWrap/>
        <w:overflowPunct/>
        <w:topLinePunct w:val="0"/>
        <w:autoSpaceDE/>
        <w:autoSpaceDN/>
        <w:bidi w:val="0"/>
        <w:adjustRightInd/>
        <w:snapToGrid/>
        <w:spacing w:line="800" w:lineRule="exact"/>
        <w:jc w:val="center"/>
        <w:textAlignment w:val="auto"/>
        <w:outlineLvl w:val="2"/>
        <w:rPr>
          <w:rFonts w:hint="eastAsia" w:ascii="宋体" w:hAnsi="宋体" w:eastAsia="宋体" w:cs="宋体"/>
          <w:sz w:val="28"/>
          <w:szCs w:val="28"/>
          <w:highlight w:val="none"/>
          <w:lang w:val="en-US"/>
        </w:rPr>
      </w:pPr>
      <w:r>
        <w:rPr>
          <w:rFonts w:hint="eastAsia" w:ascii="宋体" w:hAnsi="宋体" w:eastAsia="宋体" w:cs="宋体"/>
          <w:b/>
          <w:sz w:val="28"/>
          <w:szCs w:val="28"/>
          <w:highlight w:val="none"/>
          <w:lang w:val="en-US"/>
        </w:rPr>
        <w:t>代理机构：正弘（福建）项目管理有限公司</w:t>
      </w:r>
    </w:p>
    <w:p w14:paraId="4AEBC5F4">
      <w:pPr>
        <w:pStyle w:val="6"/>
        <w:keepNext w:val="0"/>
        <w:keepLines w:val="0"/>
        <w:pageBreakBefore w:val="0"/>
        <w:kinsoku/>
        <w:wordWrap/>
        <w:overflowPunct/>
        <w:topLinePunct w:val="0"/>
        <w:autoSpaceDE/>
        <w:autoSpaceDN/>
        <w:bidi w:val="0"/>
        <w:adjustRightInd/>
        <w:snapToGrid/>
        <w:spacing w:line="500" w:lineRule="exact"/>
        <w:jc w:val="center"/>
        <w:textAlignment w:val="auto"/>
        <w:outlineLvl w:val="2"/>
        <w:rPr>
          <w:rFonts w:hint="eastAsia" w:ascii="宋体" w:hAnsi="宋体" w:eastAsia="宋体" w:cs="宋体"/>
          <w:sz w:val="24"/>
          <w:szCs w:val="24"/>
        </w:rPr>
      </w:pPr>
      <w:r>
        <w:rPr>
          <w:rFonts w:hint="eastAsia" w:ascii="宋体" w:hAnsi="宋体" w:eastAsia="宋体" w:cs="宋体"/>
          <w:b/>
          <w:sz w:val="28"/>
          <w:szCs w:val="28"/>
          <w:highlight w:val="none"/>
          <w:lang w:val="en-US"/>
        </w:rPr>
        <w:t>编制时间：2026年09月</w:t>
      </w:r>
      <w:r>
        <w:rPr>
          <w:rFonts w:hint="eastAsia" w:ascii="宋体" w:hAnsi="宋体" w:eastAsia="宋体" w:cs="宋体"/>
          <w:sz w:val="24"/>
          <w:szCs w:val="24"/>
          <w:lang w:val="en-US"/>
        </w:rPr>
        <w:br w:type="textWrapping"/>
      </w:r>
    </w:p>
    <w:p w14:paraId="07F77097">
      <w:pPr>
        <w:pStyle w:val="6"/>
        <w:keepNext w:val="0"/>
        <w:keepLines w:val="0"/>
        <w:pageBreakBefore w:val="0"/>
        <w:kinsoku/>
        <w:wordWrap/>
        <w:overflowPunct/>
        <w:topLinePunct w:val="0"/>
        <w:autoSpaceDE/>
        <w:autoSpaceDN/>
        <w:bidi w:val="0"/>
        <w:adjustRightInd/>
        <w:snapToGrid/>
        <w:spacing w:line="500" w:lineRule="exact"/>
        <w:textAlignment w:val="auto"/>
        <w:rPr>
          <w:rFonts w:hint="eastAsia" w:ascii="宋体" w:hAnsi="宋体" w:eastAsia="宋体" w:cs="宋体"/>
          <w:sz w:val="24"/>
          <w:szCs w:val="24"/>
        </w:rPr>
      </w:pPr>
      <w:r>
        <w:rPr>
          <w:rFonts w:hint="eastAsia" w:ascii="宋体" w:hAnsi="宋体" w:eastAsia="宋体" w:cs="宋体"/>
          <w:sz w:val="24"/>
          <w:szCs w:val="24"/>
        </w:rPr>
        <w:t xml:space="preserve"> </w:t>
      </w:r>
      <w:r>
        <w:rPr>
          <w:rFonts w:hint="eastAsia" w:ascii="宋体" w:hAnsi="宋体" w:eastAsia="宋体" w:cs="宋体"/>
          <w:sz w:val="24"/>
          <w:szCs w:val="24"/>
        </w:rPr>
        <w:br w:type="page"/>
      </w:r>
    </w:p>
    <w:p w14:paraId="44E66394">
      <w:pPr>
        <w:pStyle w:val="6"/>
        <w:keepNext w:val="0"/>
        <w:keepLines w:val="0"/>
        <w:pageBreakBefore w:val="0"/>
        <w:kinsoku/>
        <w:wordWrap/>
        <w:overflowPunct/>
        <w:topLinePunct w:val="0"/>
        <w:autoSpaceDE/>
        <w:autoSpaceDN/>
        <w:bidi w:val="0"/>
        <w:adjustRightInd/>
        <w:snapToGrid/>
        <w:spacing w:line="500" w:lineRule="exact"/>
        <w:jc w:val="center"/>
        <w:textAlignment w:val="auto"/>
        <w:outlineLvl w:val="1"/>
        <w:rPr>
          <w:rFonts w:hint="eastAsia" w:ascii="宋体" w:hAnsi="宋体" w:eastAsia="宋体" w:cs="宋体"/>
          <w:sz w:val="24"/>
          <w:szCs w:val="24"/>
        </w:rPr>
      </w:pPr>
      <w:r>
        <w:rPr>
          <w:rFonts w:hint="eastAsia" w:ascii="宋体" w:hAnsi="宋体" w:eastAsia="宋体" w:cs="宋体"/>
          <w:b/>
          <w:sz w:val="24"/>
          <w:szCs w:val="24"/>
        </w:rPr>
        <w:t>第一章 投标邀请</w:t>
      </w:r>
    </w:p>
    <w:p w14:paraId="4D0D04B5">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正弘（福建）项目管理有限公司 采用公开招标方式组织 福建省精神专科服务能力建设项目信息化专项项目 （以下简称：“本项目”）的政府采购活动，现邀请供应商参加投标。</w:t>
      </w:r>
    </w:p>
    <w:p w14:paraId="0B8713C9">
      <w:pPr>
        <w:pStyle w:val="6"/>
        <w:keepNext w:val="0"/>
        <w:keepLines w:val="0"/>
        <w:pageBreakBefore w:val="0"/>
        <w:kinsoku/>
        <w:wordWrap/>
        <w:overflowPunct/>
        <w:topLinePunct w:val="0"/>
        <w:autoSpaceDE/>
        <w:autoSpaceDN/>
        <w:bidi w:val="0"/>
        <w:adjustRightInd/>
        <w:snapToGrid/>
        <w:spacing w:line="500" w:lineRule="exact"/>
        <w:ind w:firstLine="480"/>
        <w:jc w:val="left"/>
        <w:textAlignment w:val="auto"/>
        <w:outlineLvl w:val="2"/>
        <w:rPr>
          <w:rFonts w:hint="eastAsia" w:ascii="宋体" w:hAnsi="宋体" w:eastAsia="宋体" w:cs="宋体"/>
          <w:sz w:val="24"/>
          <w:szCs w:val="24"/>
        </w:rPr>
      </w:pPr>
      <w:r>
        <w:rPr>
          <w:rFonts w:hint="eastAsia" w:ascii="宋体" w:hAnsi="宋体" w:eastAsia="宋体" w:cs="宋体"/>
          <w:b/>
          <w:sz w:val="24"/>
          <w:szCs w:val="24"/>
        </w:rPr>
        <w:t>1、备案编号：CGXM-2026-350101-05426[2026]03581</w:t>
      </w:r>
    </w:p>
    <w:p w14:paraId="28094660">
      <w:pPr>
        <w:pStyle w:val="6"/>
        <w:keepNext w:val="0"/>
        <w:keepLines w:val="0"/>
        <w:pageBreakBefore w:val="0"/>
        <w:kinsoku/>
        <w:wordWrap/>
        <w:overflowPunct/>
        <w:topLinePunct w:val="0"/>
        <w:autoSpaceDE/>
        <w:autoSpaceDN/>
        <w:bidi w:val="0"/>
        <w:adjustRightInd/>
        <w:snapToGrid/>
        <w:spacing w:line="500" w:lineRule="exact"/>
        <w:ind w:firstLine="480"/>
        <w:jc w:val="left"/>
        <w:textAlignment w:val="auto"/>
        <w:outlineLvl w:val="2"/>
        <w:rPr>
          <w:rFonts w:hint="eastAsia" w:ascii="宋体" w:hAnsi="宋体" w:eastAsia="宋体" w:cs="宋体"/>
          <w:sz w:val="24"/>
          <w:szCs w:val="24"/>
        </w:rPr>
      </w:pPr>
      <w:r>
        <w:rPr>
          <w:rFonts w:hint="eastAsia" w:ascii="宋体" w:hAnsi="宋体" w:eastAsia="宋体" w:cs="宋体"/>
          <w:b/>
          <w:sz w:val="24"/>
          <w:szCs w:val="24"/>
        </w:rPr>
        <w:t>2、项目编号：[350101]ZHZB[GK]2026002</w:t>
      </w:r>
    </w:p>
    <w:p w14:paraId="2E2F57D9">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outlineLvl w:val="2"/>
        <w:rPr>
          <w:rFonts w:hint="eastAsia" w:ascii="宋体" w:hAnsi="宋体" w:eastAsia="宋体" w:cs="宋体"/>
          <w:sz w:val="24"/>
          <w:szCs w:val="24"/>
        </w:rPr>
      </w:pPr>
      <w:r>
        <w:rPr>
          <w:rFonts w:hint="eastAsia" w:ascii="宋体" w:hAnsi="宋体" w:eastAsia="宋体" w:cs="宋体"/>
          <w:b/>
          <w:sz w:val="24"/>
          <w:szCs w:val="24"/>
        </w:rPr>
        <w:t>3、预算金额、最高限价：详见《采购标的一览表》。</w:t>
      </w:r>
    </w:p>
    <w:p w14:paraId="3E0677BB">
      <w:pPr>
        <w:pStyle w:val="6"/>
        <w:keepNext w:val="0"/>
        <w:keepLines w:val="0"/>
        <w:pageBreakBefore w:val="0"/>
        <w:kinsoku/>
        <w:wordWrap/>
        <w:overflowPunct/>
        <w:topLinePunct w:val="0"/>
        <w:autoSpaceDE/>
        <w:autoSpaceDN/>
        <w:bidi w:val="0"/>
        <w:adjustRightInd/>
        <w:snapToGrid/>
        <w:spacing w:line="500" w:lineRule="exact"/>
        <w:ind w:firstLine="480"/>
        <w:jc w:val="left"/>
        <w:textAlignment w:val="auto"/>
        <w:outlineLvl w:val="2"/>
        <w:rPr>
          <w:rFonts w:hint="eastAsia" w:ascii="宋体" w:hAnsi="宋体" w:eastAsia="宋体" w:cs="宋体"/>
          <w:sz w:val="24"/>
          <w:szCs w:val="24"/>
        </w:rPr>
      </w:pPr>
      <w:r>
        <w:rPr>
          <w:rFonts w:hint="eastAsia" w:ascii="宋体" w:hAnsi="宋体" w:eastAsia="宋体" w:cs="宋体"/>
          <w:b/>
          <w:sz w:val="24"/>
          <w:szCs w:val="24"/>
        </w:rPr>
        <w:t>4、招标内容及要求：详见《采购标的一览表》及招标文件第五章。</w:t>
      </w:r>
    </w:p>
    <w:p w14:paraId="602F320F">
      <w:pPr>
        <w:pStyle w:val="6"/>
        <w:keepNext w:val="0"/>
        <w:keepLines w:val="0"/>
        <w:pageBreakBefore w:val="0"/>
        <w:kinsoku/>
        <w:wordWrap/>
        <w:overflowPunct/>
        <w:topLinePunct w:val="0"/>
        <w:autoSpaceDE/>
        <w:autoSpaceDN/>
        <w:bidi w:val="0"/>
        <w:adjustRightInd/>
        <w:snapToGrid/>
        <w:spacing w:line="500" w:lineRule="exact"/>
        <w:ind w:firstLine="480"/>
        <w:jc w:val="left"/>
        <w:textAlignment w:val="auto"/>
        <w:outlineLvl w:val="2"/>
        <w:rPr>
          <w:rFonts w:hint="eastAsia" w:ascii="宋体" w:hAnsi="宋体" w:eastAsia="宋体" w:cs="宋体"/>
          <w:sz w:val="24"/>
          <w:szCs w:val="24"/>
        </w:rPr>
      </w:pPr>
      <w:r>
        <w:rPr>
          <w:rFonts w:hint="eastAsia" w:ascii="宋体" w:hAnsi="宋体" w:eastAsia="宋体" w:cs="宋体"/>
          <w:b/>
          <w:sz w:val="24"/>
          <w:szCs w:val="24"/>
        </w:rPr>
        <w:t>5、需要落实的政府采购政策</w:t>
      </w:r>
    </w:p>
    <w:p w14:paraId="32745933">
      <w:pPr>
        <w:pStyle w:val="6"/>
        <w:keepNext w:val="0"/>
        <w:keepLines w:val="0"/>
        <w:pageBreakBefore w:val="0"/>
        <w:kinsoku/>
        <w:wordWrap/>
        <w:overflowPunct/>
        <w:topLinePunct w:val="0"/>
        <w:autoSpaceDE/>
        <w:autoSpaceDN/>
        <w:bidi w:val="0"/>
        <w:adjustRightInd/>
        <w:snapToGrid/>
        <w:spacing w:line="500" w:lineRule="exact"/>
        <w:ind w:firstLine="960"/>
        <w:jc w:val="left"/>
        <w:textAlignment w:val="auto"/>
        <w:rPr>
          <w:rFonts w:hint="eastAsia" w:ascii="宋体" w:hAnsi="宋体" w:eastAsia="宋体" w:cs="宋体"/>
          <w:sz w:val="24"/>
          <w:szCs w:val="24"/>
        </w:rPr>
      </w:pPr>
      <w:r>
        <w:rPr>
          <w:rFonts w:hint="eastAsia" w:ascii="宋体" w:hAnsi="宋体" w:eastAsia="宋体" w:cs="宋体"/>
          <w:sz w:val="24"/>
          <w:szCs w:val="24"/>
        </w:rPr>
        <w:t>进口产品：不适用于本项目</w:t>
      </w:r>
    </w:p>
    <w:p w14:paraId="7680DC11">
      <w:pPr>
        <w:pStyle w:val="6"/>
        <w:keepNext w:val="0"/>
        <w:keepLines w:val="0"/>
        <w:pageBreakBefore w:val="0"/>
        <w:kinsoku/>
        <w:wordWrap/>
        <w:overflowPunct/>
        <w:topLinePunct w:val="0"/>
        <w:autoSpaceDE/>
        <w:autoSpaceDN/>
        <w:bidi w:val="0"/>
        <w:adjustRightInd/>
        <w:snapToGrid/>
        <w:spacing w:line="500" w:lineRule="exact"/>
        <w:ind w:firstLine="960"/>
        <w:jc w:val="left"/>
        <w:textAlignment w:val="auto"/>
        <w:rPr>
          <w:rFonts w:hint="eastAsia" w:ascii="宋体" w:hAnsi="宋体" w:eastAsia="宋体" w:cs="宋体"/>
          <w:sz w:val="24"/>
          <w:szCs w:val="24"/>
        </w:rPr>
      </w:pPr>
      <w:r>
        <w:rPr>
          <w:rFonts w:hint="eastAsia" w:ascii="宋体" w:hAnsi="宋体" w:eastAsia="宋体" w:cs="宋体"/>
          <w:sz w:val="24"/>
          <w:szCs w:val="24"/>
        </w:rPr>
        <w:t>节能产品：不适用于本项目</w:t>
      </w:r>
    </w:p>
    <w:p w14:paraId="715AA3B8">
      <w:pPr>
        <w:pStyle w:val="6"/>
        <w:keepNext w:val="0"/>
        <w:keepLines w:val="0"/>
        <w:pageBreakBefore w:val="0"/>
        <w:kinsoku/>
        <w:wordWrap/>
        <w:overflowPunct/>
        <w:topLinePunct w:val="0"/>
        <w:autoSpaceDE/>
        <w:autoSpaceDN/>
        <w:bidi w:val="0"/>
        <w:adjustRightInd/>
        <w:snapToGrid/>
        <w:spacing w:line="500" w:lineRule="exact"/>
        <w:ind w:firstLine="960"/>
        <w:jc w:val="left"/>
        <w:textAlignment w:val="auto"/>
        <w:rPr>
          <w:rFonts w:hint="eastAsia" w:ascii="宋体" w:hAnsi="宋体" w:eastAsia="宋体" w:cs="宋体"/>
          <w:sz w:val="24"/>
          <w:szCs w:val="24"/>
        </w:rPr>
      </w:pPr>
      <w:r>
        <w:rPr>
          <w:rFonts w:hint="eastAsia" w:ascii="宋体" w:hAnsi="宋体" w:eastAsia="宋体" w:cs="宋体"/>
          <w:sz w:val="24"/>
          <w:szCs w:val="24"/>
        </w:rPr>
        <w:t>环境标志产品：不适用于本项目</w:t>
      </w:r>
    </w:p>
    <w:p w14:paraId="07B3B7EA">
      <w:pPr>
        <w:pStyle w:val="6"/>
        <w:keepNext w:val="0"/>
        <w:keepLines w:val="0"/>
        <w:pageBreakBefore w:val="0"/>
        <w:kinsoku/>
        <w:wordWrap/>
        <w:overflowPunct/>
        <w:topLinePunct w:val="0"/>
        <w:autoSpaceDE/>
        <w:autoSpaceDN/>
        <w:bidi w:val="0"/>
        <w:adjustRightInd/>
        <w:snapToGrid/>
        <w:spacing w:line="500" w:lineRule="exact"/>
        <w:ind w:firstLine="960"/>
        <w:jc w:val="left"/>
        <w:textAlignment w:val="auto"/>
        <w:rPr>
          <w:rFonts w:hint="eastAsia" w:ascii="宋体" w:hAnsi="宋体" w:eastAsia="宋体" w:cs="宋体"/>
          <w:sz w:val="24"/>
          <w:szCs w:val="24"/>
        </w:rPr>
      </w:pPr>
      <w:r>
        <w:rPr>
          <w:rFonts w:hint="eastAsia" w:ascii="宋体" w:hAnsi="宋体" w:eastAsia="宋体" w:cs="宋体"/>
          <w:sz w:val="24"/>
          <w:szCs w:val="24"/>
        </w:rPr>
        <w:t>促进中小企业发展的相关政策：</w:t>
      </w:r>
    </w:p>
    <w:p w14:paraId="6A5387BD">
      <w:pPr>
        <w:pStyle w:val="6"/>
        <w:keepNext w:val="0"/>
        <w:keepLines w:val="0"/>
        <w:pageBreakBefore w:val="0"/>
        <w:kinsoku/>
        <w:wordWrap/>
        <w:overflowPunct/>
        <w:topLinePunct w:val="0"/>
        <w:autoSpaceDE/>
        <w:autoSpaceDN/>
        <w:bidi w:val="0"/>
        <w:adjustRightInd/>
        <w:snapToGrid/>
        <w:spacing w:line="500" w:lineRule="exact"/>
        <w:ind w:firstLine="960"/>
        <w:jc w:val="left"/>
        <w:textAlignment w:val="auto"/>
        <w:rPr>
          <w:rFonts w:hint="eastAsia" w:ascii="宋体" w:hAnsi="宋体" w:eastAsia="宋体" w:cs="宋体"/>
          <w:sz w:val="24"/>
          <w:szCs w:val="24"/>
        </w:rPr>
      </w:pPr>
      <w:r>
        <w:rPr>
          <w:rFonts w:hint="eastAsia" w:ascii="宋体" w:hAnsi="宋体" w:eastAsia="宋体" w:cs="宋体"/>
          <w:sz w:val="24"/>
          <w:szCs w:val="24"/>
        </w:rPr>
        <w:t>采购包1：不专门面向中小企业采购</w:t>
      </w:r>
    </w:p>
    <w:p w14:paraId="571F1221">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outlineLvl w:val="2"/>
        <w:rPr>
          <w:rFonts w:hint="eastAsia" w:ascii="宋体" w:hAnsi="宋体" w:eastAsia="宋体" w:cs="宋体"/>
          <w:sz w:val="24"/>
          <w:szCs w:val="24"/>
        </w:rPr>
      </w:pPr>
      <w:r>
        <w:rPr>
          <w:rFonts w:hint="eastAsia" w:ascii="宋体" w:hAnsi="宋体" w:eastAsia="宋体" w:cs="宋体"/>
          <w:b/>
          <w:sz w:val="24"/>
          <w:szCs w:val="24"/>
        </w:rPr>
        <w:t>6、投标人的资格要求</w:t>
      </w:r>
    </w:p>
    <w:p w14:paraId="06B66F0C">
      <w:pPr>
        <w:pStyle w:val="6"/>
        <w:keepNext w:val="0"/>
        <w:keepLines w:val="0"/>
        <w:pageBreakBefore w:val="0"/>
        <w:kinsoku/>
        <w:wordWrap/>
        <w:overflowPunct/>
        <w:topLinePunct w:val="0"/>
        <w:autoSpaceDE/>
        <w:autoSpaceDN/>
        <w:bidi w:val="0"/>
        <w:adjustRightInd/>
        <w:snapToGrid/>
        <w:spacing w:line="500" w:lineRule="exact"/>
        <w:ind w:firstLine="960"/>
        <w:jc w:val="both"/>
        <w:textAlignment w:val="auto"/>
        <w:rPr>
          <w:rFonts w:hint="eastAsia" w:ascii="宋体" w:hAnsi="宋体" w:eastAsia="宋体" w:cs="宋体"/>
          <w:sz w:val="24"/>
          <w:szCs w:val="24"/>
        </w:rPr>
      </w:pPr>
      <w:r>
        <w:rPr>
          <w:rFonts w:hint="eastAsia" w:ascii="宋体" w:hAnsi="宋体" w:eastAsia="宋体" w:cs="宋体"/>
          <w:sz w:val="24"/>
          <w:szCs w:val="24"/>
        </w:rPr>
        <w:t>6.1法定条件：符合政府采购法第二十二条第一款规定的条件。</w:t>
      </w:r>
    </w:p>
    <w:p w14:paraId="4F8DDE4C">
      <w:pPr>
        <w:pStyle w:val="6"/>
        <w:keepNext w:val="0"/>
        <w:keepLines w:val="0"/>
        <w:pageBreakBefore w:val="0"/>
        <w:kinsoku/>
        <w:wordWrap/>
        <w:overflowPunct/>
        <w:topLinePunct w:val="0"/>
        <w:autoSpaceDE/>
        <w:autoSpaceDN/>
        <w:bidi w:val="0"/>
        <w:adjustRightInd/>
        <w:snapToGrid/>
        <w:spacing w:line="500" w:lineRule="exact"/>
        <w:ind w:firstLine="960"/>
        <w:jc w:val="both"/>
        <w:textAlignment w:val="auto"/>
        <w:rPr>
          <w:rFonts w:hint="eastAsia" w:ascii="宋体" w:hAnsi="宋体" w:eastAsia="宋体" w:cs="宋体"/>
          <w:sz w:val="24"/>
          <w:szCs w:val="24"/>
        </w:rPr>
      </w:pPr>
      <w:r>
        <w:rPr>
          <w:rFonts w:hint="eastAsia" w:ascii="宋体" w:hAnsi="宋体" w:eastAsia="宋体" w:cs="宋体"/>
          <w:sz w:val="24"/>
          <w:szCs w:val="24"/>
        </w:rPr>
        <w:t>6.2特定条件：</w:t>
      </w:r>
    </w:p>
    <w:p w14:paraId="3E3D26B6">
      <w:pPr>
        <w:pStyle w:val="6"/>
        <w:keepNext w:val="0"/>
        <w:keepLines w:val="0"/>
        <w:pageBreakBefore w:val="0"/>
        <w:kinsoku/>
        <w:wordWrap/>
        <w:overflowPunct/>
        <w:topLinePunct w:val="0"/>
        <w:autoSpaceDE/>
        <w:autoSpaceDN/>
        <w:bidi w:val="0"/>
        <w:adjustRightInd/>
        <w:snapToGrid/>
        <w:spacing w:line="500" w:lineRule="exact"/>
        <w:ind w:firstLine="960"/>
        <w:jc w:val="both"/>
        <w:textAlignment w:val="auto"/>
        <w:rPr>
          <w:rFonts w:hint="eastAsia" w:ascii="宋体" w:hAnsi="宋体" w:eastAsia="宋体" w:cs="宋体"/>
          <w:sz w:val="24"/>
          <w:szCs w:val="24"/>
        </w:rPr>
      </w:pPr>
      <w:r>
        <w:rPr>
          <w:rFonts w:hint="eastAsia" w:ascii="宋体" w:hAnsi="宋体" w:eastAsia="宋体" w:cs="宋体"/>
          <w:sz w:val="24"/>
          <w:szCs w:val="24"/>
        </w:rPr>
        <w:t>采购包1：</w:t>
      </w:r>
    </w:p>
    <w:tbl>
      <w:tblPr>
        <w:tblStyle w:val="4"/>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2350"/>
        <w:gridCol w:w="5956"/>
      </w:tblGrid>
      <w:tr w14:paraId="6E01CE0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350" w:type="dxa"/>
          </w:tcPr>
          <w:p w14:paraId="4C0AA4DA">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sz w:val="24"/>
                <w:szCs w:val="24"/>
              </w:rPr>
              <w:t xml:space="preserve"> 资格审查要求概况</w:t>
            </w:r>
          </w:p>
        </w:tc>
        <w:tc>
          <w:tcPr>
            <w:tcW w:w="5956" w:type="dxa"/>
          </w:tcPr>
          <w:p w14:paraId="7260AB7E">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sz w:val="24"/>
                <w:szCs w:val="24"/>
              </w:rPr>
              <w:t xml:space="preserve"> 评审点具体描述</w:t>
            </w:r>
          </w:p>
        </w:tc>
      </w:tr>
      <w:tr w14:paraId="63F63D0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350" w:type="dxa"/>
          </w:tcPr>
          <w:p w14:paraId="7B17FFEA">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sz w:val="24"/>
                <w:szCs w:val="24"/>
              </w:rPr>
              <w:t>资格承诺函</w:t>
            </w:r>
          </w:p>
        </w:tc>
        <w:tc>
          <w:tcPr>
            <w:tcW w:w="5956" w:type="dxa"/>
          </w:tcPr>
          <w:p w14:paraId="7EB1E1D6">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sz w:val="24"/>
                <w:szCs w:val="24"/>
              </w:rPr>
              <w:t>①本采购包允许供应商采用资格承诺制。采用资格承诺制的供应商，应当根据投标(响应)格式文件要求提供资格承诺函，无需提供《政府采购法实施条例》第十七条第一款规定的一般资格条件证明材料；资格承诺函不符合采购文件要求的，视为未按照采购文件规定提交供应商的资格及资信文件，按资格审查不合格处理。②采购项目有特殊资格要求的，供应商还应按要求提供相应的证明材料。</w:t>
            </w:r>
          </w:p>
        </w:tc>
      </w:tr>
    </w:tbl>
    <w:p w14:paraId="7E9EA454">
      <w:pPr>
        <w:pStyle w:val="6"/>
        <w:keepNext w:val="0"/>
        <w:keepLines w:val="0"/>
        <w:pageBreakBefore w:val="0"/>
        <w:kinsoku/>
        <w:wordWrap/>
        <w:overflowPunct/>
        <w:topLinePunct w:val="0"/>
        <w:autoSpaceDE/>
        <w:autoSpaceDN/>
        <w:bidi w:val="0"/>
        <w:adjustRightInd/>
        <w:snapToGrid/>
        <w:spacing w:line="500" w:lineRule="exact"/>
        <w:ind w:firstLine="960"/>
        <w:jc w:val="both"/>
        <w:textAlignment w:val="auto"/>
        <w:rPr>
          <w:rFonts w:hint="eastAsia" w:ascii="宋体" w:hAnsi="宋体" w:eastAsia="宋体" w:cs="宋体"/>
          <w:sz w:val="24"/>
          <w:szCs w:val="24"/>
        </w:rPr>
      </w:pPr>
      <w:r>
        <w:rPr>
          <w:rFonts w:hint="eastAsia" w:ascii="宋体" w:hAnsi="宋体" w:eastAsia="宋体" w:cs="宋体"/>
          <w:sz w:val="24"/>
          <w:szCs w:val="24"/>
        </w:rPr>
        <w:t>6.3是否接受联合体投标：</w:t>
      </w:r>
    </w:p>
    <w:p w14:paraId="40444553">
      <w:pPr>
        <w:pStyle w:val="6"/>
        <w:keepNext w:val="0"/>
        <w:keepLines w:val="0"/>
        <w:pageBreakBefore w:val="0"/>
        <w:kinsoku/>
        <w:wordWrap/>
        <w:overflowPunct/>
        <w:topLinePunct w:val="0"/>
        <w:autoSpaceDE/>
        <w:autoSpaceDN/>
        <w:bidi w:val="0"/>
        <w:adjustRightInd/>
        <w:snapToGrid/>
        <w:spacing w:line="500" w:lineRule="exact"/>
        <w:ind w:firstLine="960"/>
        <w:jc w:val="both"/>
        <w:textAlignment w:val="auto"/>
        <w:rPr>
          <w:rFonts w:hint="eastAsia" w:ascii="宋体" w:hAnsi="宋体" w:eastAsia="宋体" w:cs="宋体"/>
          <w:sz w:val="24"/>
          <w:szCs w:val="24"/>
        </w:rPr>
      </w:pPr>
      <w:r>
        <w:rPr>
          <w:rFonts w:hint="eastAsia" w:ascii="宋体" w:hAnsi="宋体" w:eastAsia="宋体" w:cs="宋体"/>
          <w:sz w:val="24"/>
          <w:szCs w:val="24"/>
        </w:rPr>
        <w:t>采购包1：不接受</w:t>
      </w:r>
    </w:p>
    <w:p w14:paraId="60A176AC">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b/>
          <w:sz w:val="24"/>
          <w:szCs w:val="24"/>
        </w:rPr>
        <w:t>※根据上述资格要求，电子投标文件中应提交的“投标人的资格及资信证明文件”详见招标文件第四章。</w:t>
      </w:r>
    </w:p>
    <w:p w14:paraId="12832759">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outlineLvl w:val="2"/>
        <w:rPr>
          <w:rFonts w:hint="eastAsia" w:ascii="宋体" w:hAnsi="宋体" w:eastAsia="宋体" w:cs="宋体"/>
          <w:sz w:val="24"/>
          <w:szCs w:val="24"/>
        </w:rPr>
      </w:pPr>
      <w:r>
        <w:rPr>
          <w:rFonts w:hint="eastAsia" w:ascii="宋体" w:hAnsi="宋体" w:eastAsia="宋体" w:cs="宋体"/>
          <w:b/>
          <w:sz w:val="24"/>
          <w:szCs w:val="24"/>
        </w:rPr>
        <w:t>7、招标文件的获取</w:t>
      </w:r>
    </w:p>
    <w:p w14:paraId="0738944C">
      <w:pPr>
        <w:pStyle w:val="6"/>
        <w:keepNext w:val="0"/>
        <w:keepLines w:val="0"/>
        <w:pageBreakBefore w:val="0"/>
        <w:kinsoku/>
        <w:wordWrap/>
        <w:overflowPunct/>
        <w:topLinePunct w:val="0"/>
        <w:autoSpaceDE/>
        <w:autoSpaceDN/>
        <w:bidi w:val="0"/>
        <w:adjustRightInd/>
        <w:snapToGrid/>
        <w:spacing w:line="500" w:lineRule="exact"/>
        <w:ind w:firstLine="960"/>
        <w:jc w:val="both"/>
        <w:textAlignment w:val="auto"/>
        <w:rPr>
          <w:rFonts w:hint="eastAsia" w:ascii="宋体" w:hAnsi="宋体" w:eastAsia="宋体" w:cs="宋体"/>
          <w:sz w:val="24"/>
          <w:szCs w:val="24"/>
        </w:rPr>
      </w:pPr>
      <w:r>
        <w:rPr>
          <w:rFonts w:hint="eastAsia" w:ascii="宋体" w:hAnsi="宋体" w:eastAsia="宋体" w:cs="宋体"/>
          <w:sz w:val="24"/>
          <w:szCs w:val="24"/>
        </w:rPr>
        <w:t>7.1、招标文件获取期限：详见招标公告或更正公告，若不一致，以更正公告为准。</w:t>
      </w:r>
    </w:p>
    <w:p w14:paraId="7DABD6A2">
      <w:pPr>
        <w:pStyle w:val="6"/>
        <w:keepNext w:val="0"/>
        <w:keepLines w:val="0"/>
        <w:pageBreakBefore w:val="0"/>
        <w:kinsoku/>
        <w:wordWrap/>
        <w:overflowPunct/>
        <w:topLinePunct w:val="0"/>
        <w:autoSpaceDE/>
        <w:autoSpaceDN/>
        <w:bidi w:val="0"/>
        <w:adjustRightInd/>
        <w:snapToGrid/>
        <w:spacing w:line="500" w:lineRule="exact"/>
        <w:ind w:firstLine="960"/>
        <w:jc w:val="both"/>
        <w:textAlignment w:val="auto"/>
        <w:rPr>
          <w:rFonts w:hint="eastAsia" w:ascii="宋体" w:hAnsi="宋体" w:eastAsia="宋体" w:cs="宋体"/>
          <w:sz w:val="24"/>
          <w:szCs w:val="24"/>
        </w:rPr>
      </w:pPr>
      <w:r>
        <w:rPr>
          <w:rFonts w:hint="eastAsia" w:ascii="宋体" w:hAnsi="宋体" w:eastAsia="宋体" w:cs="宋体"/>
          <w:sz w:val="24"/>
          <w:szCs w:val="24"/>
        </w:rPr>
        <w:t>7.2、在招标文件获取期限内，供应商应通过福建省政府采购网上公开信息系统的注册账号（免费注册）并获取招标文件(登录福建省政府采购网上公开信息系统进行文件获取)，否则投标将被拒绝。</w:t>
      </w:r>
    </w:p>
    <w:p w14:paraId="1B67F32F">
      <w:pPr>
        <w:pStyle w:val="6"/>
        <w:keepNext w:val="0"/>
        <w:keepLines w:val="0"/>
        <w:pageBreakBefore w:val="0"/>
        <w:kinsoku/>
        <w:wordWrap/>
        <w:overflowPunct/>
        <w:topLinePunct w:val="0"/>
        <w:autoSpaceDE/>
        <w:autoSpaceDN/>
        <w:bidi w:val="0"/>
        <w:adjustRightInd/>
        <w:snapToGrid/>
        <w:spacing w:line="500" w:lineRule="exact"/>
        <w:ind w:firstLine="960"/>
        <w:jc w:val="both"/>
        <w:textAlignment w:val="auto"/>
        <w:rPr>
          <w:rFonts w:hint="eastAsia" w:ascii="宋体" w:hAnsi="宋体" w:eastAsia="宋体" w:cs="宋体"/>
          <w:sz w:val="24"/>
          <w:szCs w:val="24"/>
        </w:rPr>
      </w:pPr>
      <w:r>
        <w:rPr>
          <w:rFonts w:hint="eastAsia" w:ascii="宋体" w:hAnsi="宋体" w:eastAsia="宋体" w:cs="宋体"/>
          <w:sz w:val="24"/>
          <w:szCs w:val="24"/>
        </w:rPr>
        <w:t>7.3、获取地点及方式：注册账号后，通过福建省政府采购网上公开信息系统以下载方式获取。</w:t>
      </w:r>
    </w:p>
    <w:p w14:paraId="32031CF9">
      <w:pPr>
        <w:pStyle w:val="6"/>
        <w:keepNext w:val="0"/>
        <w:keepLines w:val="0"/>
        <w:pageBreakBefore w:val="0"/>
        <w:kinsoku/>
        <w:wordWrap/>
        <w:overflowPunct/>
        <w:topLinePunct w:val="0"/>
        <w:autoSpaceDE/>
        <w:autoSpaceDN/>
        <w:bidi w:val="0"/>
        <w:adjustRightInd/>
        <w:snapToGrid/>
        <w:spacing w:line="500" w:lineRule="exact"/>
        <w:ind w:firstLine="960"/>
        <w:jc w:val="both"/>
        <w:textAlignment w:val="auto"/>
        <w:rPr>
          <w:rFonts w:hint="eastAsia" w:ascii="宋体" w:hAnsi="宋体" w:eastAsia="宋体" w:cs="宋体"/>
          <w:sz w:val="24"/>
          <w:szCs w:val="24"/>
        </w:rPr>
      </w:pPr>
      <w:r>
        <w:rPr>
          <w:rFonts w:hint="eastAsia" w:ascii="宋体" w:hAnsi="宋体" w:eastAsia="宋体" w:cs="宋体"/>
          <w:sz w:val="24"/>
          <w:szCs w:val="24"/>
        </w:rPr>
        <w:t>7.4、招标文件售价：0元。</w:t>
      </w:r>
    </w:p>
    <w:p w14:paraId="2279A5AC">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outlineLvl w:val="2"/>
        <w:rPr>
          <w:rFonts w:hint="eastAsia" w:ascii="宋体" w:hAnsi="宋体" w:eastAsia="宋体" w:cs="宋体"/>
          <w:sz w:val="24"/>
          <w:szCs w:val="24"/>
        </w:rPr>
      </w:pPr>
      <w:r>
        <w:rPr>
          <w:rFonts w:hint="eastAsia" w:ascii="宋体" w:hAnsi="宋体" w:eastAsia="宋体" w:cs="宋体"/>
          <w:b/>
          <w:sz w:val="24"/>
          <w:szCs w:val="24"/>
        </w:rPr>
        <w:t>8、投标截止</w:t>
      </w:r>
    </w:p>
    <w:p w14:paraId="75EAA7CE">
      <w:pPr>
        <w:pStyle w:val="6"/>
        <w:keepNext w:val="0"/>
        <w:keepLines w:val="0"/>
        <w:pageBreakBefore w:val="0"/>
        <w:kinsoku/>
        <w:wordWrap/>
        <w:overflowPunct/>
        <w:topLinePunct w:val="0"/>
        <w:autoSpaceDE/>
        <w:autoSpaceDN/>
        <w:bidi w:val="0"/>
        <w:adjustRightInd/>
        <w:snapToGrid/>
        <w:spacing w:line="500" w:lineRule="exact"/>
        <w:ind w:firstLine="960"/>
        <w:jc w:val="both"/>
        <w:textAlignment w:val="auto"/>
        <w:rPr>
          <w:rFonts w:hint="eastAsia" w:ascii="宋体" w:hAnsi="宋体" w:eastAsia="宋体" w:cs="宋体"/>
          <w:sz w:val="24"/>
          <w:szCs w:val="24"/>
        </w:rPr>
      </w:pPr>
      <w:r>
        <w:rPr>
          <w:rFonts w:hint="eastAsia" w:ascii="宋体" w:hAnsi="宋体" w:eastAsia="宋体" w:cs="宋体"/>
          <w:sz w:val="24"/>
          <w:szCs w:val="24"/>
        </w:rPr>
        <w:t>8.1、投标截止时间：详见招标公告或更正公告，若不一致，以更正公告为准。</w:t>
      </w:r>
    </w:p>
    <w:p w14:paraId="17501289">
      <w:pPr>
        <w:pStyle w:val="6"/>
        <w:keepNext w:val="0"/>
        <w:keepLines w:val="0"/>
        <w:pageBreakBefore w:val="0"/>
        <w:kinsoku/>
        <w:wordWrap/>
        <w:overflowPunct/>
        <w:topLinePunct w:val="0"/>
        <w:autoSpaceDE/>
        <w:autoSpaceDN/>
        <w:bidi w:val="0"/>
        <w:adjustRightInd/>
        <w:snapToGrid/>
        <w:spacing w:line="500" w:lineRule="exact"/>
        <w:ind w:firstLine="960"/>
        <w:jc w:val="both"/>
        <w:textAlignment w:val="auto"/>
        <w:rPr>
          <w:rFonts w:hint="eastAsia" w:ascii="宋体" w:hAnsi="宋体" w:eastAsia="宋体" w:cs="宋体"/>
          <w:sz w:val="24"/>
          <w:szCs w:val="24"/>
        </w:rPr>
      </w:pPr>
      <w:r>
        <w:rPr>
          <w:rFonts w:hint="eastAsia" w:ascii="宋体" w:hAnsi="宋体" w:eastAsia="宋体" w:cs="宋体"/>
          <w:sz w:val="24"/>
          <w:szCs w:val="24"/>
        </w:rPr>
        <w:t>8.2、投标人应在投标截止时间前按照福建省政府采购网上公开信息系统设定的操作流程将电子投标文件上传至福建省政府采购网上公开信息系统，否则投标将被拒绝。</w:t>
      </w:r>
    </w:p>
    <w:p w14:paraId="0E56E6CC">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outlineLvl w:val="2"/>
        <w:rPr>
          <w:rFonts w:hint="eastAsia" w:ascii="宋体" w:hAnsi="宋体" w:eastAsia="宋体" w:cs="宋体"/>
          <w:sz w:val="24"/>
          <w:szCs w:val="24"/>
        </w:rPr>
      </w:pPr>
      <w:r>
        <w:rPr>
          <w:rFonts w:hint="eastAsia" w:ascii="宋体" w:hAnsi="宋体" w:eastAsia="宋体" w:cs="宋体"/>
          <w:b/>
          <w:sz w:val="24"/>
          <w:szCs w:val="24"/>
        </w:rPr>
        <w:t>9、开标时间及地点</w:t>
      </w:r>
    </w:p>
    <w:p w14:paraId="5F2DAF02">
      <w:pPr>
        <w:pStyle w:val="6"/>
        <w:keepNext w:val="0"/>
        <w:keepLines w:val="0"/>
        <w:pageBreakBefore w:val="0"/>
        <w:kinsoku/>
        <w:wordWrap/>
        <w:overflowPunct/>
        <w:topLinePunct w:val="0"/>
        <w:autoSpaceDE/>
        <w:autoSpaceDN/>
        <w:bidi w:val="0"/>
        <w:adjustRightInd/>
        <w:snapToGrid/>
        <w:spacing w:line="500" w:lineRule="exact"/>
        <w:ind w:firstLine="960"/>
        <w:jc w:val="both"/>
        <w:textAlignment w:val="auto"/>
        <w:rPr>
          <w:rFonts w:hint="eastAsia" w:ascii="宋体" w:hAnsi="宋体" w:eastAsia="宋体" w:cs="宋体"/>
          <w:sz w:val="24"/>
          <w:szCs w:val="24"/>
        </w:rPr>
      </w:pPr>
      <w:r>
        <w:rPr>
          <w:rFonts w:hint="eastAsia" w:ascii="宋体" w:hAnsi="宋体" w:eastAsia="宋体" w:cs="宋体"/>
          <w:sz w:val="24"/>
          <w:szCs w:val="24"/>
        </w:rPr>
        <w:t>详见招标公告或更正公告，若不一致，以更正公告为准。</w:t>
      </w:r>
    </w:p>
    <w:p w14:paraId="294C8E45">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outlineLvl w:val="2"/>
        <w:rPr>
          <w:rFonts w:hint="eastAsia" w:ascii="宋体" w:hAnsi="宋体" w:eastAsia="宋体" w:cs="宋体"/>
          <w:sz w:val="24"/>
          <w:szCs w:val="24"/>
        </w:rPr>
      </w:pPr>
      <w:r>
        <w:rPr>
          <w:rFonts w:hint="eastAsia" w:ascii="宋体" w:hAnsi="宋体" w:eastAsia="宋体" w:cs="宋体"/>
          <w:b/>
          <w:sz w:val="24"/>
          <w:szCs w:val="24"/>
        </w:rPr>
        <w:t>10、公告期限</w:t>
      </w:r>
    </w:p>
    <w:p w14:paraId="21B19203">
      <w:pPr>
        <w:pStyle w:val="6"/>
        <w:keepNext w:val="0"/>
        <w:keepLines w:val="0"/>
        <w:pageBreakBefore w:val="0"/>
        <w:kinsoku/>
        <w:wordWrap/>
        <w:overflowPunct/>
        <w:topLinePunct w:val="0"/>
        <w:autoSpaceDE/>
        <w:autoSpaceDN/>
        <w:bidi w:val="0"/>
        <w:adjustRightInd/>
        <w:snapToGrid/>
        <w:spacing w:line="500" w:lineRule="exact"/>
        <w:ind w:firstLine="960"/>
        <w:jc w:val="both"/>
        <w:textAlignment w:val="auto"/>
        <w:rPr>
          <w:rFonts w:hint="eastAsia" w:ascii="宋体" w:hAnsi="宋体" w:eastAsia="宋体" w:cs="宋体"/>
          <w:sz w:val="24"/>
          <w:szCs w:val="24"/>
        </w:rPr>
      </w:pPr>
      <w:r>
        <w:rPr>
          <w:rFonts w:hint="eastAsia" w:ascii="宋体" w:hAnsi="宋体" w:eastAsia="宋体" w:cs="宋体"/>
          <w:sz w:val="24"/>
          <w:szCs w:val="24"/>
        </w:rPr>
        <w:t>10.1、招标公告的公告期限：自财政部和福建省财政厅指定的政府采购信息发布媒体最先发布公告之日起5个工作日。</w:t>
      </w:r>
    </w:p>
    <w:p w14:paraId="76729C72">
      <w:pPr>
        <w:pStyle w:val="6"/>
        <w:keepNext w:val="0"/>
        <w:keepLines w:val="0"/>
        <w:pageBreakBefore w:val="0"/>
        <w:kinsoku/>
        <w:wordWrap/>
        <w:overflowPunct/>
        <w:topLinePunct w:val="0"/>
        <w:autoSpaceDE/>
        <w:autoSpaceDN/>
        <w:bidi w:val="0"/>
        <w:adjustRightInd/>
        <w:snapToGrid/>
        <w:spacing w:line="500" w:lineRule="exact"/>
        <w:ind w:firstLine="960"/>
        <w:jc w:val="both"/>
        <w:textAlignment w:val="auto"/>
        <w:rPr>
          <w:rFonts w:hint="eastAsia" w:ascii="宋体" w:hAnsi="宋体" w:eastAsia="宋体" w:cs="宋体"/>
          <w:sz w:val="24"/>
          <w:szCs w:val="24"/>
        </w:rPr>
      </w:pPr>
      <w:r>
        <w:rPr>
          <w:rFonts w:hint="eastAsia" w:ascii="宋体" w:hAnsi="宋体" w:eastAsia="宋体" w:cs="宋体"/>
          <w:sz w:val="24"/>
          <w:szCs w:val="24"/>
        </w:rPr>
        <w:t>10.2、招标文件公告期限：招标文件随同招标公告一并发布，其公告期限与招标公告的公告期限保持一致。</w:t>
      </w:r>
    </w:p>
    <w:p w14:paraId="3A3BB3A7">
      <w:pPr>
        <w:pStyle w:val="6"/>
        <w:keepNext w:val="0"/>
        <w:keepLines w:val="0"/>
        <w:pageBreakBefore w:val="0"/>
        <w:kinsoku/>
        <w:wordWrap/>
        <w:overflowPunct/>
        <w:topLinePunct w:val="0"/>
        <w:autoSpaceDE/>
        <w:autoSpaceDN/>
        <w:bidi w:val="0"/>
        <w:adjustRightInd/>
        <w:snapToGrid/>
        <w:spacing w:line="500" w:lineRule="exact"/>
        <w:ind w:firstLine="480"/>
        <w:jc w:val="left"/>
        <w:textAlignment w:val="auto"/>
        <w:outlineLvl w:val="2"/>
        <w:rPr>
          <w:rFonts w:hint="eastAsia" w:ascii="宋体" w:hAnsi="宋体" w:eastAsia="宋体" w:cs="宋体"/>
          <w:sz w:val="24"/>
          <w:szCs w:val="24"/>
        </w:rPr>
      </w:pPr>
      <w:r>
        <w:rPr>
          <w:rFonts w:hint="eastAsia" w:ascii="宋体" w:hAnsi="宋体" w:eastAsia="宋体" w:cs="宋体"/>
          <w:b/>
          <w:sz w:val="24"/>
          <w:szCs w:val="24"/>
        </w:rPr>
        <w:t>11、采购人：福州市第二总医院神经精神病防治院</w:t>
      </w:r>
    </w:p>
    <w:p w14:paraId="2501D83A">
      <w:pPr>
        <w:pStyle w:val="6"/>
        <w:keepNext w:val="0"/>
        <w:keepLines w:val="0"/>
        <w:pageBreakBefore w:val="0"/>
        <w:kinsoku/>
        <w:wordWrap/>
        <w:overflowPunct/>
        <w:topLinePunct w:val="0"/>
        <w:autoSpaceDE/>
        <w:autoSpaceDN/>
        <w:bidi w:val="0"/>
        <w:adjustRightInd/>
        <w:snapToGrid/>
        <w:spacing w:line="500" w:lineRule="exact"/>
        <w:ind w:firstLine="960"/>
        <w:jc w:val="left"/>
        <w:textAlignment w:val="auto"/>
        <w:rPr>
          <w:rFonts w:hint="eastAsia" w:ascii="宋体" w:hAnsi="宋体" w:eastAsia="宋体" w:cs="宋体"/>
          <w:sz w:val="24"/>
          <w:szCs w:val="24"/>
        </w:rPr>
      </w:pPr>
      <w:r>
        <w:rPr>
          <w:rFonts w:hint="eastAsia" w:ascii="宋体" w:hAnsi="宋体" w:eastAsia="宋体" w:cs="宋体"/>
          <w:sz w:val="24"/>
          <w:szCs w:val="24"/>
        </w:rPr>
        <w:t xml:space="preserve"> 地址： 福州南二环路451号</w:t>
      </w:r>
    </w:p>
    <w:p w14:paraId="120308B6">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 xml:space="preserve"> 邮编： 350008</w:t>
      </w:r>
    </w:p>
    <w:p w14:paraId="5CEC8FC7">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 xml:space="preserve"> 联系人： 高晓汀</w:t>
      </w:r>
    </w:p>
    <w:p w14:paraId="727BA847">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 xml:space="preserve"> 联系电话： 0591-22169071</w:t>
      </w:r>
    </w:p>
    <w:p w14:paraId="015E7926">
      <w:pPr>
        <w:pStyle w:val="6"/>
        <w:keepNext w:val="0"/>
        <w:keepLines w:val="0"/>
        <w:pageBreakBefore w:val="0"/>
        <w:kinsoku/>
        <w:wordWrap/>
        <w:overflowPunct/>
        <w:topLinePunct w:val="0"/>
        <w:autoSpaceDE/>
        <w:autoSpaceDN/>
        <w:bidi w:val="0"/>
        <w:adjustRightInd/>
        <w:snapToGrid/>
        <w:spacing w:line="500" w:lineRule="exact"/>
        <w:ind w:firstLine="480"/>
        <w:jc w:val="left"/>
        <w:textAlignment w:val="auto"/>
        <w:outlineLvl w:val="2"/>
        <w:rPr>
          <w:rFonts w:hint="eastAsia" w:ascii="宋体" w:hAnsi="宋体" w:eastAsia="宋体" w:cs="宋体"/>
          <w:sz w:val="24"/>
          <w:szCs w:val="24"/>
        </w:rPr>
      </w:pPr>
      <w:r>
        <w:rPr>
          <w:rFonts w:hint="eastAsia" w:ascii="宋体" w:hAnsi="宋体" w:eastAsia="宋体" w:cs="宋体"/>
          <w:b/>
          <w:sz w:val="24"/>
          <w:szCs w:val="24"/>
        </w:rPr>
        <w:t>12、代理机构：正弘（福建）项目管理有限公司</w:t>
      </w:r>
    </w:p>
    <w:p w14:paraId="2F4E5873">
      <w:pPr>
        <w:pStyle w:val="6"/>
        <w:keepNext w:val="0"/>
        <w:keepLines w:val="0"/>
        <w:pageBreakBefore w:val="0"/>
        <w:kinsoku/>
        <w:wordWrap/>
        <w:overflowPunct/>
        <w:topLinePunct w:val="0"/>
        <w:autoSpaceDE/>
        <w:autoSpaceDN/>
        <w:bidi w:val="0"/>
        <w:adjustRightInd/>
        <w:snapToGrid/>
        <w:spacing w:line="500" w:lineRule="exact"/>
        <w:ind w:firstLine="960"/>
        <w:jc w:val="both"/>
        <w:textAlignment w:val="auto"/>
        <w:rPr>
          <w:rFonts w:hint="eastAsia" w:ascii="宋体" w:hAnsi="宋体" w:eastAsia="宋体" w:cs="宋体"/>
          <w:sz w:val="24"/>
          <w:szCs w:val="24"/>
        </w:rPr>
      </w:pPr>
      <w:r>
        <w:rPr>
          <w:rFonts w:hint="eastAsia" w:ascii="宋体" w:hAnsi="宋体" w:eastAsia="宋体" w:cs="宋体"/>
          <w:sz w:val="24"/>
          <w:szCs w:val="24"/>
        </w:rPr>
        <w:t xml:space="preserve"> 地址： 福建省福州市鼓楼区华大街道华林路138号国发广场商住楼三层113单元</w:t>
      </w:r>
    </w:p>
    <w:p w14:paraId="53FAB060">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sz w:val="24"/>
          <w:szCs w:val="24"/>
        </w:rPr>
        <w:t xml:space="preserve"> 邮编： 350005</w:t>
      </w:r>
    </w:p>
    <w:p w14:paraId="6B4C080B">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sz w:val="24"/>
          <w:szCs w:val="24"/>
        </w:rPr>
        <w:t xml:space="preserve"> 联系人： 卢俊杰、乐玉琴、杨辉、寇鑫彤、陈思琪</w:t>
      </w:r>
    </w:p>
    <w:p w14:paraId="25EB3E7F">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sz w:val="24"/>
          <w:szCs w:val="24"/>
        </w:rPr>
        <w:t xml:space="preserve"> 联系电话： 15305917991、0591-87515853</w:t>
      </w:r>
    </w:p>
    <w:p w14:paraId="6C6A1348">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outlineLvl w:val="2"/>
        <w:rPr>
          <w:rFonts w:hint="eastAsia" w:ascii="宋体" w:hAnsi="宋体" w:eastAsia="宋体" w:cs="宋体"/>
          <w:sz w:val="24"/>
          <w:szCs w:val="24"/>
        </w:rPr>
      </w:pPr>
      <w:r>
        <w:rPr>
          <w:rFonts w:hint="eastAsia" w:ascii="宋体" w:hAnsi="宋体" w:eastAsia="宋体" w:cs="宋体"/>
          <w:b/>
          <w:sz w:val="24"/>
          <w:szCs w:val="24"/>
        </w:rPr>
        <w:t>附1：账户信息</w:t>
      </w:r>
    </w:p>
    <w:tbl>
      <w:tblPr>
        <w:tblStyle w:val="4"/>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8306"/>
      </w:tblGrid>
      <w:tr w14:paraId="23D9223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06" w:type="dxa"/>
          </w:tcPr>
          <w:p w14:paraId="4AB92B9E">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投标保证金账户</w:t>
            </w:r>
          </w:p>
        </w:tc>
      </w:tr>
      <w:tr w14:paraId="6AD8CD6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06" w:type="dxa"/>
          </w:tcPr>
          <w:p w14:paraId="3A47AAB8">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开户名称： 正弘（福建）项目管理有限公司</w:t>
            </w:r>
          </w:p>
        </w:tc>
      </w:tr>
      <w:tr w14:paraId="127B134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06" w:type="dxa"/>
          </w:tcPr>
          <w:p w14:paraId="30495A54">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开户银行：供应商在福建省政府采购网上公开信息系统获取招标文件后，根据其提示自行选择要缴交的投标保证金托管银行。</w:t>
            </w:r>
          </w:p>
        </w:tc>
      </w:tr>
      <w:tr w14:paraId="6A3270F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06" w:type="dxa"/>
          </w:tcPr>
          <w:p w14:paraId="0BB75610">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银行账号：福建省政府采购网上公开信息系统根据供应商选择的投标保证金托管银行自动生成供应商所投采购包的缴交银行账号（即多个采购包将对应生成多个缴交账号）。供应商应按照所投采购包的投标保证金要求，缴交相应的投标保证金。</w:t>
            </w:r>
          </w:p>
        </w:tc>
      </w:tr>
      <w:tr w14:paraId="3D894A2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06" w:type="dxa"/>
          </w:tcPr>
          <w:p w14:paraId="71B0CA27">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特别提示</w:t>
            </w:r>
          </w:p>
        </w:tc>
      </w:tr>
      <w:tr w14:paraId="0091DE8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06" w:type="dxa"/>
          </w:tcPr>
          <w:p w14:paraId="75465620">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1、投标人应认真核对账户信息，将投标保证金汇入以上账户，并自行承担因汇错投标保证金而产生的一切后果。</w:t>
            </w:r>
          </w:p>
          <w:p w14:paraId="480AAEBA">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 xml:space="preserve"> 2、投标人在转账或电汇的凭证上应按照以下格式注明，以便核对：“（项目编号：***）的投标保证金”。</w:t>
            </w:r>
          </w:p>
        </w:tc>
      </w:tr>
    </w:tbl>
    <w:p w14:paraId="4EC068A8">
      <w:pPr>
        <w:rPr>
          <w:rFonts w:hint="eastAsia" w:ascii="宋体" w:hAnsi="宋体" w:eastAsia="宋体" w:cs="宋体"/>
          <w:b/>
          <w:sz w:val="24"/>
          <w:szCs w:val="24"/>
        </w:rPr>
      </w:pPr>
      <w:r>
        <w:rPr>
          <w:rFonts w:hint="eastAsia" w:ascii="宋体" w:hAnsi="宋体" w:eastAsia="宋体" w:cs="宋体"/>
          <w:b/>
          <w:sz w:val="24"/>
          <w:szCs w:val="24"/>
        </w:rPr>
        <w:br w:type="page"/>
      </w:r>
    </w:p>
    <w:p w14:paraId="2AC4A270">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outlineLvl w:val="2"/>
        <w:rPr>
          <w:rFonts w:hint="eastAsia" w:ascii="宋体" w:hAnsi="宋体" w:eastAsia="宋体" w:cs="宋体"/>
          <w:sz w:val="24"/>
          <w:szCs w:val="24"/>
        </w:rPr>
      </w:pPr>
      <w:r>
        <w:rPr>
          <w:rFonts w:hint="eastAsia" w:ascii="宋体" w:hAnsi="宋体" w:eastAsia="宋体" w:cs="宋体"/>
          <w:b/>
          <w:sz w:val="24"/>
          <w:szCs w:val="24"/>
        </w:rPr>
        <w:t>附2：采购标的一览表</w:t>
      </w:r>
    </w:p>
    <w:p w14:paraId="56DBB1FA">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采购包1：</w:t>
      </w:r>
    </w:p>
    <w:p w14:paraId="091AAB0A">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采购包预算金额（元）: 19,870,136.82</w:t>
      </w:r>
    </w:p>
    <w:p w14:paraId="275474F1">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采购包最高限价（元）: 19,870,136.82</w:t>
      </w:r>
    </w:p>
    <w:p w14:paraId="02BACEEE">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采购包保证金金额（元）: 397,402.00</w:t>
      </w:r>
    </w:p>
    <w:tbl>
      <w:tblPr>
        <w:tblStyle w:val="4"/>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505"/>
        <w:gridCol w:w="1950"/>
        <w:gridCol w:w="735"/>
        <w:gridCol w:w="1785"/>
        <w:gridCol w:w="780"/>
        <w:gridCol w:w="1485"/>
        <w:gridCol w:w="1282"/>
      </w:tblGrid>
      <w:tr w14:paraId="3780232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505" w:type="dxa"/>
            <w:vAlign w:val="center"/>
          </w:tcPr>
          <w:p w14:paraId="7CDF07DE">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序号</w:t>
            </w:r>
          </w:p>
        </w:tc>
        <w:tc>
          <w:tcPr>
            <w:tcW w:w="1950" w:type="dxa"/>
            <w:vAlign w:val="center"/>
          </w:tcPr>
          <w:p w14:paraId="57A34651">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标的名称</w:t>
            </w:r>
          </w:p>
        </w:tc>
        <w:tc>
          <w:tcPr>
            <w:tcW w:w="735" w:type="dxa"/>
            <w:vAlign w:val="center"/>
          </w:tcPr>
          <w:p w14:paraId="252C590C">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数量</w:t>
            </w:r>
          </w:p>
        </w:tc>
        <w:tc>
          <w:tcPr>
            <w:tcW w:w="1785" w:type="dxa"/>
            <w:vAlign w:val="center"/>
          </w:tcPr>
          <w:p w14:paraId="7361B373">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标的金额 （元）</w:t>
            </w:r>
          </w:p>
        </w:tc>
        <w:tc>
          <w:tcPr>
            <w:tcW w:w="780" w:type="dxa"/>
            <w:vAlign w:val="center"/>
          </w:tcPr>
          <w:p w14:paraId="0A1F2A4F">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计量单位</w:t>
            </w:r>
          </w:p>
        </w:tc>
        <w:tc>
          <w:tcPr>
            <w:tcW w:w="1485" w:type="dxa"/>
            <w:vAlign w:val="center"/>
          </w:tcPr>
          <w:p w14:paraId="46FCDC4C">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所属行业</w:t>
            </w:r>
          </w:p>
        </w:tc>
        <w:tc>
          <w:tcPr>
            <w:tcW w:w="1282" w:type="dxa"/>
            <w:vAlign w:val="center"/>
          </w:tcPr>
          <w:p w14:paraId="684E9445">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是否允许进口产品</w:t>
            </w:r>
          </w:p>
        </w:tc>
      </w:tr>
      <w:tr w14:paraId="5C55B50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505" w:type="dxa"/>
            <w:vAlign w:val="center"/>
          </w:tcPr>
          <w:p w14:paraId="31BE5D4A">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1</w:t>
            </w:r>
          </w:p>
        </w:tc>
        <w:tc>
          <w:tcPr>
            <w:tcW w:w="1950" w:type="dxa"/>
            <w:vAlign w:val="center"/>
          </w:tcPr>
          <w:p w14:paraId="36300B78">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福建省精神专科服务能力建设项目信息化专项</w:t>
            </w:r>
          </w:p>
        </w:tc>
        <w:tc>
          <w:tcPr>
            <w:tcW w:w="735" w:type="dxa"/>
            <w:vAlign w:val="center"/>
          </w:tcPr>
          <w:p w14:paraId="017EAAD6">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1.00</w:t>
            </w:r>
          </w:p>
        </w:tc>
        <w:tc>
          <w:tcPr>
            <w:tcW w:w="1785" w:type="dxa"/>
            <w:vAlign w:val="center"/>
          </w:tcPr>
          <w:p w14:paraId="0C7786AB">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19,870,136.82</w:t>
            </w:r>
          </w:p>
        </w:tc>
        <w:tc>
          <w:tcPr>
            <w:tcW w:w="780" w:type="dxa"/>
            <w:vAlign w:val="center"/>
          </w:tcPr>
          <w:p w14:paraId="3303B07A">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项</w:t>
            </w:r>
          </w:p>
        </w:tc>
        <w:tc>
          <w:tcPr>
            <w:tcW w:w="1485" w:type="dxa"/>
            <w:vAlign w:val="center"/>
          </w:tcPr>
          <w:p w14:paraId="14C8A3A8">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软件和信息技术服务业</w:t>
            </w:r>
          </w:p>
        </w:tc>
        <w:tc>
          <w:tcPr>
            <w:tcW w:w="1282" w:type="dxa"/>
            <w:vAlign w:val="center"/>
          </w:tcPr>
          <w:p w14:paraId="6A118C2B">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否</w:t>
            </w:r>
          </w:p>
        </w:tc>
      </w:tr>
    </w:tbl>
    <w:p w14:paraId="2C269435">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本国产品标准适用范围：</w:t>
      </w:r>
    </w:p>
    <w:p w14:paraId="250A4333">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采购包1：</w:t>
      </w:r>
    </w:p>
    <w:tbl>
      <w:tblPr>
        <w:tblStyle w:val="4"/>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038"/>
        <w:gridCol w:w="2076"/>
        <w:gridCol w:w="3115"/>
        <w:gridCol w:w="2076"/>
      </w:tblGrid>
      <w:tr w14:paraId="2E01B66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38" w:type="dxa"/>
          </w:tcPr>
          <w:p w14:paraId="513C13FC">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序号</w:t>
            </w:r>
          </w:p>
        </w:tc>
        <w:tc>
          <w:tcPr>
            <w:tcW w:w="2076" w:type="dxa"/>
          </w:tcPr>
          <w:p w14:paraId="48CF8F5C">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采购品目名称</w:t>
            </w:r>
          </w:p>
        </w:tc>
        <w:tc>
          <w:tcPr>
            <w:tcW w:w="3115" w:type="dxa"/>
          </w:tcPr>
          <w:p w14:paraId="23FE933E">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标的名称</w:t>
            </w:r>
          </w:p>
        </w:tc>
        <w:tc>
          <w:tcPr>
            <w:tcW w:w="2076" w:type="dxa"/>
          </w:tcPr>
          <w:p w14:paraId="68B4015F">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产品名称</w:t>
            </w:r>
          </w:p>
        </w:tc>
      </w:tr>
      <w:tr w14:paraId="2E180B0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05" w:type="dxa"/>
            <w:gridSpan w:val="4"/>
          </w:tcPr>
          <w:p w14:paraId="4BA8F846">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 xml:space="preserve"> 不涉及</w:t>
            </w:r>
          </w:p>
        </w:tc>
      </w:tr>
    </w:tbl>
    <w:p w14:paraId="0352D9F4">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采购包1：</w:t>
      </w:r>
    </w:p>
    <w:p w14:paraId="25AA6510">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（1）报价要求：</w:t>
      </w:r>
    </w:p>
    <w:tbl>
      <w:tblPr>
        <w:tblStyle w:val="4"/>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456"/>
        <w:gridCol w:w="3019"/>
        <w:gridCol w:w="810"/>
        <w:gridCol w:w="885"/>
        <w:gridCol w:w="1845"/>
        <w:gridCol w:w="765"/>
        <w:gridCol w:w="742"/>
      </w:tblGrid>
      <w:tr w14:paraId="6E5D243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56" w:type="dxa"/>
            <w:vAlign w:val="center"/>
          </w:tcPr>
          <w:p w14:paraId="1D019DF4">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序号</w:t>
            </w:r>
          </w:p>
        </w:tc>
        <w:tc>
          <w:tcPr>
            <w:tcW w:w="3019" w:type="dxa"/>
            <w:vAlign w:val="center"/>
          </w:tcPr>
          <w:p w14:paraId="3E3E4598">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报价内容</w:t>
            </w:r>
          </w:p>
        </w:tc>
        <w:tc>
          <w:tcPr>
            <w:tcW w:w="810" w:type="dxa"/>
            <w:vAlign w:val="center"/>
          </w:tcPr>
          <w:p w14:paraId="11596044">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计量单位</w:t>
            </w:r>
          </w:p>
        </w:tc>
        <w:tc>
          <w:tcPr>
            <w:tcW w:w="885" w:type="dxa"/>
            <w:vAlign w:val="center"/>
          </w:tcPr>
          <w:p w14:paraId="4E12546C">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报价单位</w:t>
            </w:r>
          </w:p>
        </w:tc>
        <w:tc>
          <w:tcPr>
            <w:tcW w:w="1845" w:type="dxa"/>
            <w:vAlign w:val="center"/>
          </w:tcPr>
          <w:p w14:paraId="68B12E06">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最高限价</w:t>
            </w:r>
          </w:p>
        </w:tc>
        <w:tc>
          <w:tcPr>
            <w:tcW w:w="765" w:type="dxa"/>
            <w:vAlign w:val="center"/>
          </w:tcPr>
          <w:p w14:paraId="1DA4CFB9">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价款形式</w:t>
            </w:r>
          </w:p>
        </w:tc>
        <w:tc>
          <w:tcPr>
            <w:tcW w:w="742" w:type="dxa"/>
            <w:vAlign w:val="center"/>
          </w:tcPr>
          <w:p w14:paraId="74B79C7B">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报价说明</w:t>
            </w:r>
          </w:p>
        </w:tc>
      </w:tr>
      <w:tr w14:paraId="7B09B47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56" w:type="dxa"/>
            <w:vAlign w:val="center"/>
          </w:tcPr>
          <w:p w14:paraId="6457ED18">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1</w:t>
            </w:r>
          </w:p>
        </w:tc>
        <w:tc>
          <w:tcPr>
            <w:tcW w:w="3019" w:type="dxa"/>
            <w:vAlign w:val="center"/>
          </w:tcPr>
          <w:p w14:paraId="6A354478">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福建省精神专科服务能力建设项目信息化专项</w:t>
            </w:r>
          </w:p>
        </w:tc>
        <w:tc>
          <w:tcPr>
            <w:tcW w:w="810" w:type="dxa"/>
            <w:vAlign w:val="center"/>
          </w:tcPr>
          <w:p w14:paraId="33307A7B">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项</w:t>
            </w:r>
          </w:p>
        </w:tc>
        <w:tc>
          <w:tcPr>
            <w:tcW w:w="885" w:type="dxa"/>
            <w:vAlign w:val="center"/>
          </w:tcPr>
          <w:p w14:paraId="45F80AD6">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元</w:t>
            </w:r>
          </w:p>
        </w:tc>
        <w:tc>
          <w:tcPr>
            <w:tcW w:w="1845" w:type="dxa"/>
            <w:vAlign w:val="center"/>
          </w:tcPr>
          <w:p w14:paraId="51E26151">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19,870,136.82</w:t>
            </w:r>
          </w:p>
        </w:tc>
        <w:tc>
          <w:tcPr>
            <w:tcW w:w="765" w:type="dxa"/>
            <w:vAlign w:val="center"/>
          </w:tcPr>
          <w:p w14:paraId="7242C79D">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总价</w:t>
            </w:r>
          </w:p>
        </w:tc>
        <w:tc>
          <w:tcPr>
            <w:tcW w:w="742" w:type="dxa"/>
            <w:vAlign w:val="center"/>
          </w:tcPr>
          <w:p w14:paraId="71557BD7">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无</w:t>
            </w:r>
          </w:p>
        </w:tc>
      </w:tr>
    </w:tbl>
    <w:p w14:paraId="7BDD0EB5">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（2）报价明细要求：</w:t>
      </w:r>
    </w:p>
    <w:p w14:paraId="147C397E">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福建省精神专科服务能力建设项目信息化专项</w:t>
      </w:r>
    </w:p>
    <w:tbl>
      <w:tblPr>
        <w:tblStyle w:val="4"/>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456"/>
        <w:gridCol w:w="1744"/>
        <w:gridCol w:w="1035"/>
        <w:gridCol w:w="795"/>
        <w:gridCol w:w="765"/>
        <w:gridCol w:w="1585"/>
        <w:gridCol w:w="800"/>
        <w:gridCol w:w="1342"/>
      </w:tblGrid>
      <w:tr w14:paraId="354FE15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56" w:type="dxa"/>
            <w:vAlign w:val="center"/>
          </w:tcPr>
          <w:p w14:paraId="30486401">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序号</w:t>
            </w:r>
          </w:p>
        </w:tc>
        <w:tc>
          <w:tcPr>
            <w:tcW w:w="1744" w:type="dxa"/>
            <w:vAlign w:val="center"/>
          </w:tcPr>
          <w:p w14:paraId="1829CF64">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报价明细内容</w:t>
            </w:r>
          </w:p>
        </w:tc>
        <w:tc>
          <w:tcPr>
            <w:tcW w:w="1035" w:type="dxa"/>
            <w:vAlign w:val="center"/>
          </w:tcPr>
          <w:p w14:paraId="51143E60">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报价要求</w:t>
            </w:r>
          </w:p>
        </w:tc>
        <w:tc>
          <w:tcPr>
            <w:tcW w:w="795" w:type="dxa"/>
            <w:vAlign w:val="center"/>
          </w:tcPr>
          <w:p w14:paraId="36BDEF93">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计量单位</w:t>
            </w:r>
          </w:p>
        </w:tc>
        <w:tc>
          <w:tcPr>
            <w:tcW w:w="765" w:type="dxa"/>
            <w:vAlign w:val="center"/>
          </w:tcPr>
          <w:p w14:paraId="7DB87215">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报价单位</w:t>
            </w:r>
          </w:p>
        </w:tc>
        <w:tc>
          <w:tcPr>
            <w:tcW w:w="1585" w:type="dxa"/>
            <w:vAlign w:val="center"/>
          </w:tcPr>
          <w:p w14:paraId="444F794B">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最高限价</w:t>
            </w:r>
          </w:p>
        </w:tc>
        <w:tc>
          <w:tcPr>
            <w:tcW w:w="800" w:type="dxa"/>
            <w:vAlign w:val="center"/>
          </w:tcPr>
          <w:p w14:paraId="14D7A767">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价款形式</w:t>
            </w:r>
          </w:p>
        </w:tc>
        <w:tc>
          <w:tcPr>
            <w:tcW w:w="1342" w:type="dxa"/>
            <w:vAlign w:val="center"/>
          </w:tcPr>
          <w:p w14:paraId="6A2C655F">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报价说明</w:t>
            </w:r>
          </w:p>
        </w:tc>
      </w:tr>
      <w:tr w14:paraId="3207921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56" w:type="dxa"/>
            <w:vAlign w:val="center"/>
          </w:tcPr>
          <w:p w14:paraId="74A545B1">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1</w:t>
            </w:r>
          </w:p>
        </w:tc>
        <w:tc>
          <w:tcPr>
            <w:tcW w:w="1744" w:type="dxa"/>
            <w:vAlign w:val="center"/>
          </w:tcPr>
          <w:p w14:paraId="3AE964D8">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行业应用软件开发服务部分</w:t>
            </w:r>
          </w:p>
        </w:tc>
        <w:tc>
          <w:tcPr>
            <w:tcW w:w="1035" w:type="dxa"/>
            <w:vAlign w:val="center"/>
          </w:tcPr>
          <w:p w14:paraId="2EB88E58">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不得超出最高限价</w:t>
            </w:r>
          </w:p>
        </w:tc>
        <w:tc>
          <w:tcPr>
            <w:tcW w:w="795" w:type="dxa"/>
            <w:vAlign w:val="center"/>
          </w:tcPr>
          <w:p w14:paraId="13AE91BB">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项</w:t>
            </w:r>
          </w:p>
        </w:tc>
        <w:tc>
          <w:tcPr>
            <w:tcW w:w="765" w:type="dxa"/>
            <w:vAlign w:val="center"/>
          </w:tcPr>
          <w:p w14:paraId="2941B955">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元</w:t>
            </w:r>
          </w:p>
        </w:tc>
        <w:tc>
          <w:tcPr>
            <w:tcW w:w="1585" w:type="dxa"/>
            <w:vAlign w:val="center"/>
          </w:tcPr>
          <w:p w14:paraId="1E79B3E5">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12,101,100.00</w:t>
            </w:r>
          </w:p>
        </w:tc>
        <w:tc>
          <w:tcPr>
            <w:tcW w:w="800" w:type="dxa"/>
            <w:vAlign w:val="center"/>
          </w:tcPr>
          <w:p w14:paraId="7539FDA9">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总价</w:t>
            </w:r>
          </w:p>
        </w:tc>
        <w:tc>
          <w:tcPr>
            <w:tcW w:w="1342" w:type="dxa"/>
            <w:vAlign w:val="center"/>
          </w:tcPr>
          <w:p w14:paraId="62DA0C03">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无</w:t>
            </w:r>
          </w:p>
        </w:tc>
      </w:tr>
      <w:tr w14:paraId="281D975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56" w:type="dxa"/>
            <w:vAlign w:val="center"/>
          </w:tcPr>
          <w:p w14:paraId="6A0309E1">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2</w:t>
            </w:r>
          </w:p>
        </w:tc>
        <w:tc>
          <w:tcPr>
            <w:tcW w:w="1744" w:type="dxa"/>
            <w:vAlign w:val="center"/>
          </w:tcPr>
          <w:p w14:paraId="5B1102AD">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硬件设备部分</w:t>
            </w:r>
          </w:p>
        </w:tc>
        <w:tc>
          <w:tcPr>
            <w:tcW w:w="1035" w:type="dxa"/>
            <w:vAlign w:val="center"/>
          </w:tcPr>
          <w:p w14:paraId="4175276E">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不得超出最高限价</w:t>
            </w:r>
          </w:p>
        </w:tc>
        <w:tc>
          <w:tcPr>
            <w:tcW w:w="795" w:type="dxa"/>
            <w:vAlign w:val="center"/>
          </w:tcPr>
          <w:p w14:paraId="0E039020">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批</w:t>
            </w:r>
          </w:p>
        </w:tc>
        <w:tc>
          <w:tcPr>
            <w:tcW w:w="765" w:type="dxa"/>
            <w:vAlign w:val="center"/>
          </w:tcPr>
          <w:p w14:paraId="6864A1E8">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元</w:t>
            </w:r>
          </w:p>
        </w:tc>
        <w:tc>
          <w:tcPr>
            <w:tcW w:w="1585" w:type="dxa"/>
            <w:vAlign w:val="center"/>
          </w:tcPr>
          <w:p w14:paraId="5CF6C5AD">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7,514,040.00</w:t>
            </w:r>
          </w:p>
        </w:tc>
        <w:tc>
          <w:tcPr>
            <w:tcW w:w="800" w:type="dxa"/>
            <w:vAlign w:val="center"/>
          </w:tcPr>
          <w:p w14:paraId="258F1D07">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总价</w:t>
            </w:r>
          </w:p>
        </w:tc>
        <w:tc>
          <w:tcPr>
            <w:tcW w:w="1342" w:type="dxa"/>
            <w:vAlign w:val="center"/>
          </w:tcPr>
          <w:p w14:paraId="0D4D0379">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投标人须针对“第五章 招标内容及要求”“一、项目概况”中“1.3.1.2硬件部分明细要求”提供分项报价表，并在价格扣除节能、环境标志产品节点上传该分项报价表</w:t>
            </w:r>
          </w:p>
        </w:tc>
      </w:tr>
      <w:tr w14:paraId="3F5B7F9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56" w:type="dxa"/>
            <w:vAlign w:val="center"/>
          </w:tcPr>
          <w:p w14:paraId="458FD80A">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3</w:t>
            </w:r>
          </w:p>
        </w:tc>
        <w:tc>
          <w:tcPr>
            <w:tcW w:w="1744" w:type="dxa"/>
            <w:vAlign w:val="center"/>
          </w:tcPr>
          <w:p w14:paraId="2A08492E">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系统集成与人员培训费部分</w:t>
            </w:r>
          </w:p>
        </w:tc>
        <w:tc>
          <w:tcPr>
            <w:tcW w:w="1035" w:type="dxa"/>
            <w:vAlign w:val="center"/>
          </w:tcPr>
          <w:p w14:paraId="779122BB">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不得超出最高限价</w:t>
            </w:r>
          </w:p>
        </w:tc>
        <w:tc>
          <w:tcPr>
            <w:tcW w:w="795" w:type="dxa"/>
            <w:vAlign w:val="center"/>
          </w:tcPr>
          <w:p w14:paraId="5CC8BAB2">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项</w:t>
            </w:r>
          </w:p>
        </w:tc>
        <w:tc>
          <w:tcPr>
            <w:tcW w:w="765" w:type="dxa"/>
            <w:vAlign w:val="center"/>
          </w:tcPr>
          <w:p w14:paraId="7E5213C7">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元</w:t>
            </w:r>
          </w:p>
        </w:tc>
        <w:tc>
          <w:tcPr>
            <w:tcW w:w="1585" w:type="dxa"/>
            <w:vAlign w:val="center"/>
          </w:tcPr>
          <w:p w14:paraId="78C33D64">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254,996.82</w:t>
            </w:r>
          </w:p>
        </w:tc>
        <w:tc>
          <w:tcPr>
            <w:tcW w:w="800" w:type="dxa"/>
            <w:vAlign w:val="center"/>
          </w:tcPr>
          <w:p w14:paraId="2F29A5EF">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总价</w:t>
            </w:r>
          </w:p>
        </w:tc>
        <w:tc>
          <w:tcPr>
            <w:tcW w:w="1342" w:type="dxa"/>
            <w:vAlign w:val="center"/>
          </w:tcPr>
          <w:p w14:paraId="748086BD">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无</w:t>
            </w:r>
          </w:p>
        </w:tc>
      </w:tr>
    </w:tbl>
    <w:p w14:paraId="24BC0A76">
      <w:pPr>
        <w:pStyle w:val="6"/>
        <w:keepNext w:val="0"/>
        <w:keepLines w:val="0"/>
        <w:pageBreakBefore w:val="0"/>
        <w:kinsoku/>
        <w:wordWrap/>
        <w:overflowPunct/>
        <w:topLinePunct w:val="0"/>
        <w:autoSpaceDE/>
        <w:autoSpaceDN/>
        <w:bidi w:val="0"/>
        <w:adjustRightInd/>
        <w:snapToGrid/>
        <w:spacing w:line="500" w:lineRule="exact"/>
        <w:textAlignment w:val="auto"/>
        <w:rPr>
          <w:rFonts w:hint="eastAsia" w:ascii="宋体" w:hAnsi="宋体" w:eastAsia="宋体" w:cs="宋体"/>
          <w:sz w:val="24"/>
          <w:szCs w:val="24"/>
        </w:rPr>
      </w:pPr>
      <w:r>
        <w:rPr>
          <w:rFonts w:hint="eastAsia" w:ascii="宋体" w:hAnsi="宋体" w:eastAsia="宋体" w:cs="宋体"/>
          <w:sz w:val="24"/>
          <w:szCs w:val="24"/>
        </w:rPr>
        <w:t xml:space="preserve"> </w:t>
      </w:r>
      <w:r>
        <w:rPr>
          <w:rFonts w:hint="eastAsia" w:ascii="宋体" w:hAnsi="宋体" w:eastAsia="宋体" w:cs="宋体"/>
          <w:sz w:val="24"/>
          <w:szCs w:val="24"/>
        </w:rPr>
        <w:br w:type="textWrapping"/>
      </w:r>
      <w:r>
        <w:rPr>
          <w:rFonts w:hint="eastAsia" w:ascii="宋体" w:hAnsi="宋体" w:eastAsia="宋体" w:cs="宋体"/>
          <w:sz w:val="24"/>
          <w:szCs w:val="24"/>
        </w:rPr>
        <w:br w:type="page"/>
      </w:r>
    </w:p>
    <w:p w14:paraId="55F52B91">
      <w:pPr>
        <w:pStyle w:val="6"/>
        <w:keepNext w:val="0"/>
        <w:keepLines w:val="0"/>
        <w:pageBreakBefore w:val="0"/>
        <w:kinsoku/>
        <w:wordWrap/>
        <w:overflowPunct/>
        <w:topLinePunct w:val="0"/>
        <w:autoSpaceDE/>
        <w:autoSpaceDN/>
        <w:bidi w:val="0"/>
        <w:adjustRightInd/>
        <w:snapToGrid/>
        <w:spacing w:line="500" w:lineRule="exact"/>
        <w:jc w:val="center"/>
        <w:textAlignment w:val="auto"/>
        <w:outlineLvl w:val="1"/>
        <w:rPr>
          <w:rFonts w:hint="eastAsia" w:ascii="宋体" w:hAnsi="宋体" w:eastAsia="宋体" w:cs="宋体"/>
          <w:sz w:val="24"/>
          <w:szCs w:val="24"/>
        </w:rPr>
      </w:pPr>
      <w:r>
        <w:rPr>
          <w:rFonts w:hint="eastAsia" w:ascii="宋体" w:hAnsi="宋体" w:eastAsia="宋体" w:cs="宋体"/>
          <w:b/>
          <w:sz w:val="24"/>
          <w:szCs w:val="24"/>
        </w:rPr>
        <w:t>第二章 投标人须知前附表</w:t>
      </w:r>
    </w:p>
    <w:p w14:paraId="3A2DA566">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outlineLvl w:val="2"/>
        <w:rPr>
          <w:rFonts w:hint="eastAsia" w:ascii="宋体" w:hAnsi="宋体" w:eastAsia="宋体" w:cs="宋体"/>
          <w:sz w:val="24"/>
          <w:szCs w:val="24"/>
        </w:rPr>
      </w:pPr>
      <w:r>
        <w:rPr>
          <w:rFonts w:hint="eastAsia" w:ascii="宋体" w:hAnsi="宋体" w:eastAsia="宋体" w:cs="宋体"/>
          <w:b/>
          <w:sz w:val="24"/>
          <w:szCs w:val="24"/>
        </w:rPr>
        <w:t>一、投标人须知前附表1</w:t>
      </w:r>
    </w:p>
    <w:tbl>
      <w:tblPr>
        <w:tblStyle w:val="4"/>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760"/>
        <w:gridCol w:w="1590"/>
        <w:gridCol w:w="6172"/>
      </w:tblGrid>
      <w:tr w14:paraId="118CCBE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522" w:type="dxa"/>
            <w:gridSpan w:val="3"/>
          </w:tcPr>
          <w:p w14:paraId="6BC1E8C7">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特别提示：本表与招标文件对应章节的内容若不一致，以本表为准。</w:t>
            </w:r>
          </w:p>
        </w:tc>
      </w:tr>
      <w:tr w14:paraId="346AF17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60" w:type="dxa"/>
          </w:tcPr>
          <w:p w14:paraId="00E2FCE9">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序号</w:t>
            </w:r>
          </w:p>
        </w:tc>
        <w:tc>
          <w:tcPr>
            <w:tcW w:w="1590" w:type="dxa"/>
          </w:tcPr>
          <w:p w14:paraId="0A023468">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招标文件</w:t>
            </w:r>
          </w:p>
          <w:p w14:paraId="453DC9CA">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 xml:space="preserve"> （第三章）</w:t>
            </w:r>
          </w:p>
        </w:tc>
        <w:tc>
          <w:tcPr>
            <w:tcW w:w="6172" w:type="dxa"/>
          </w:tcPr>
          <w:p w14:paraId="6CE8923A">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编列内容</w:t>
            </w:r>
          </w:p>
        </w:tc>
      </w:tr>
      <w:tr w14:paraId="0B11C93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60" w:type="dxa"/>
          </w:tcPr>
          <w:p w14:paraId="7700DF44">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1</w:t>
            </w:r>
          </w:p>
        </w:tc>
        <w:tc>
          <w:tcPr>
            <w:tcW w:w="1590" w:type="dxa"/>
          </w:tcPr>
          <w:p w14:paraId="392DB818">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6.1</w:t>
            </w:r>
          </w:p>
        </w:tc>
        <w:tc>
          <w:tcPr>
            <w:tcW w:w="6172" w:type="dxa"/>
          </w:tcPr>
          <w:p w14:paraId="03415304">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是否组织现场考察或召开开标前答疑会：</w:t>
            </w:r>
          </w:p>
          <w:p w14:paraId="3AB402C1">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采购包1：不组织</w:t>
            </w:r>
          </w:p>
        </w:tc>
      </w:tr>
      <w:tr w14:paraId="722274A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60" w:type="dxa"/>
          </w:tcPr>
          <w:p w14:paraId="0355C0E7">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2</w:t>
            </w:r>
          </w:p>
        </w:tc>
        <w:tc>
          <w:tcPr>
            <w:tcW w:w="1590" w:type="dxa"/>
          </w:tcPr>
          <w:p w14:paraId="53817D08">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10.4</w:t>
            </w:r>
          </w:p>
        </w:tc>
        <w:tc>
          <w:tcPr>
            <w:tcW w:w="6172" w:type="dxa"/>
          </w:tcPr>
          <w:p w14:paraId="1C2BE624">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投标文件的份数：</w:t>
            </w:r>
          </w:p>
          <w:p w14:paraId="031A1228">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 xml:space="preserve"> （1）可读介质（光盘或U盘） 0 份：投标人应将其上传至福建省政府采购网上公开信息系统的电子投标文件在该可读介质中另存 0 份。</w:t>
            </w:r>
          </w:p>
          <w:p w14:paraId="3B07EB8F">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 xml:space="preserve"> （2）电子投标文件：详见投标人须知前附表2《关于电子招标投标活动的专门规定》。</w:t>
            </w:r>
          </w:p>
        </w:tc>
      </w:tr>
      <w:tr w14:paraId="671EDD0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60" w:type="dxa"/>
          </w:tcPr>
          <w:p w14:paraId="0A4A1809">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3</w:t>
            </w:r>
          </w:p>
        </w:tc>
        <w:tc>
          <w:tcPr>
            <w:tcW w:w="1590" w:type="dxa"/>
          </w:tcPr>
          <w:p w14:paraId="70DF21C1">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10.7-（1）</w:t>
            </w:r>
          </w:p>
        </w:tc>
        <w:tc>
          <w:tcPr>
            <w:tcW w:w="6172" w:type="dxa"/>
          </w:tcPr>
          <w:p w14:paraId="795C352A">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是否允许中标人将本项目的非主体、非关键性工作进行分包：</w:t>
            </w:r>
          </w:p>
          <w:p w14:paraId="15376068">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采购包1：不允许合同分包；</w:t>
            </w:r>
          </w:p>
        </w:tc>
      </w:tr>
      <w:tr w14:paraId="13B6262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60" w:type="dxa"/>
          </w:tcPr>
          <w:p w14:paraId="33BE321E">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4</w:t>
            </w:r>
          </w:p>
        </w:tc>
        <w:tc>
          <w:tcPr>
            <w:tcW w:w="1590" w:type="dxa"/>
          </w:tcPr>
          <w:p w14:paraId="1EA461EF">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10.8-（1）</w:t>
            </w:r>
          </w:p>
        </w:tc>
        <w:tc>
          <w:tcPr>
            <w:tcW w:w="6172" w:type="dxa"/>
          </w:tcPr>
          <w:p w14:paraId="75679274">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投标有效期：投标截止时间起 90 个日历日。</w:t>
            </w:r>
          </w:p>
        </w:tc>
      </w:tr>
      <w:tr w14:paraId="14B86FD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60" w:type="dxa"/>
          </w:tcPr>
          <w:p w14:paraId="235DF341">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5</w:t>
            </w:r>
          </w:p>
        </w:tc>
        <w:tc>
          <w:tcPr>
            <w:tcW w:w="1590" w:type="dxa"/>
          </w:tcPr>
          <w:p w14:paraId="3B758962">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12.1</w:t>
            </w:r>
          </w:p>
        </w:tc>
        <w:tc>
          <w:tcPr>
            <w:tcW w:w="6172" w:type="dxa"/>
          </w:tcPr>
          <w:p w14:paraId="4F0F1241">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确定中标候选人名单：</w:t>
            </w:r>
          </w:p>
          <w:p w14:paraId="1197B208">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采购包1：1名</w:t>
            </w:r>
          </w:p>
        </w:tc>
      </w:tr>
      <w:tr w14:paraId="11F963D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60" w:type="dxa"/>
          </w:tcPr>
          <w:p w14:paraId="5E4A49B2">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6</w:t>
            </w:r>
          </w:p>
        </w:tc>
        <w:tc>
          <w:tcPr>
            <w:tcW w:w="1590" w:type="dxa"/>
          </w:tcPr>
          <w:p w14:paraId="68C21903">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12.2</w:t>
            </w:r>
          </w:p>
        </w:tc>
        <w:tc>
          <w:tcPr>
            <w:tcW w:w="6172" w:type="dxa"/>
          </w:tcPr>
          <w:p w14:paraId="62076D73">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本项目中标人的确定（以采购包为单位）：</w:t>
            </w:r>
          </w:p>
          <w:p w14:paraId="08EEBEF6">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（1） 采购人应在政府采购招投标管理办法规定的时限内确定中标人。</w:t>
            </w:r>
          </w:p>
          <w:p w14:paraId="3E875759">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（2）若出现中标候选人并列情形，则按照下列方式确定中标人：</w:t>
            </w:r>
          </w:p>
          <w:p w14:paraId="1A9EB6D4">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①招标文件规定的方式：</w:t>
            </w:r>
          </w:p>
          <w:p w14:paraId="1CC09FEF">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无</w:t>
            </w:r>
          </w:p>
          <w:p w14:paraId="43339262">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②若本款第①点规定方式为“无”，则按照下列方式确定：</w:t>
            </w:r>
          </w:p>
          <w:p w14:paraId="36C00603">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无</w:t>
            </w:r>
          </w:p>
          <w:p w14:paraId="574674A1">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③若本款第①、②点规定方式均为“无”，则按照下列方式确定：随机抽取。</w:t>
            </w:r>
          </w:p>
          <w:p w14:paraId="2958D3F1">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（3）本项目确定的中标人家数：</w:t>
            </w:r>
          </w:p>
          <w:p w14:paraId="1FAD1774">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采购包1：1名</w:t>
            </w:r>
          </w:p>
        </w:tc>
      </w:tr>
      <w:tr w14:paraId="6215A06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60" w:type="dxa"/>
          </w:tcPr>
          <w:p w14:paraId="55820517">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7</w:t>
            </w:r>
          </w:p>
        </w:tc>
        <w:tc>
          <w:tcPr>
            <w:tcW w:w="1590" w:type="dxa"/>
          </w:tcPr>
          <w:p w14:paraId="702FC62D">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13.2</w:t>
            </w:r>
          </w:p>
        </w:tc>
        <w:tc>
          <w:tcPr>
            <w:tcW w:w="6172" w:type="dxa"/>
          </w:tcPr>
          <w:p w14:paraId="7A473C61">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合同签订时限： 自中标通知书发出之日起30个日历日内。</w:t>
            </w:r>
          </w:p>
        </w:tc>
      </w:tr>
      <w:tr w14:paraId="2F41047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60" w:type="dxa"/>
          </w:tcPr>
          <w:p w14:paraId="325113E2">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8</w:t>
            </w:r>
          </w:p>
        </w:tc>
        <w:tc>
          <w:tcPr>
            <w:tcW w:w="1590" w:type="dxa"/>
          </w:tcPr>
          <w:p w14:paraId="3E4C8285">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15.1-（2）</w:t>
            </w:r>
          </w:p>
        </w:tc>
        <w:tc>
          <w:tcPr>
            <w:tcW w:w="6172" w:type="dxa"/>
          </w:tcPr>
          <w:p w14:paraId="113158C9">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质疑函原件应采用下列方式提交：书面形式。</w:t>
            </w:r>
          </w:p>
        </w:tc>
      </w:tr>
      <w:tr w14:paraId="04B8DC8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60" w:type="dxa"/>
          </w:tcPr>
          <w:p w14:paraId="3502AB28">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9</w:t>
            </w:r>
          </w:p>
        </w:tc>
        <w:tc>
          <w:tcPr>
            <w:tcW w:w="1590" w:type="dxa"/>
          </w:tcPr>
          <w:p w14:paraId="448CC608">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15.4</w:t>
            </w:r>
          </w:p>
        </w:tc>
        <w:tc>
          <w:tcPr>
            <w:tcW w:w="6172" w:type="dxa"/>
          </w:tcPr>
          <w:p w14:paraId="4B717B7F">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招标文件的质疑</w:t>
            </w:r>
          </w:p>
          <w:p w14:paraId="70BB9198">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（1）潜在投标人可在质疑时效期间内对招标文件以书面形式提出质疑。</w:t>
            </w:r>
          </w:p>
          <w:p w14:paraId="1D317F62">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（2）质疑时效期间：应在依法获取招标文件之日起7个工作日内向 正弘（福建）项目管理有限公司 提出，依法获取招标文件的时间以福建省政府采购网上公开信息系统记载的为准。</w:t>
            </w:r>
          </w:p>
          <w:p w14:paraId="1805E60D">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※除上述规定外，对招标文件提出的质疑还应符合招标文件第三章第15.1条的有关规定。</w:t>
            </w:r>
          </w:p>
        </w:tc>
      </w:tr>
      <w:tr w14:paraId="40224EA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60" w:type="dxa"/>
          </w:tcPr>
          <w:p w14:paraId="70B4AFD5">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10</w:t>
            </w:r>
          </w:p>
        </w:tc>
        <w:tc>
          <w:tcPr>
            <w:tcW w:w="1590" w:type="dxa"/>
          </w:tcPr>
          <w:p w14:paraId="3D4026B7">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16.1</w:t>
            </w:r>
          </w:p>
        </w:tc>
        <w:tc>
          <w:tcPr>
            <w:tcW w:w="6172" w:type="dxa"/>
          </w:tcPr>
          <w:p w14:paraId="355361AD">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监督管理部门： 福州市财政局 （仅限依法进行政府采购的货物或服务类项目）。</w:t>
            </w:r>
          </w:p>
        </w:tc>
      </w:tr>
      <w:tr w14:paraId="413763D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60" w:type="dxa"/>
          </w:tcPr>
          <w:p w14:paraId="5122FBEC">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11</w:t>
            </w:r>
          </w:p>
        </w:tc>
        <w:tc>
          <w:tcPr>
            <w:tcW w:w="1590" w:type="dxa"/>
          </w:tcPr>
          <w:p w14:paraId="796987C3">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18.1</w:t>
            </w:r>
          </w:p>
        </w:tc>
        <w:tc>
          <w:tcPr>
            <w:tcW w:w="6172" w:type="dxa"/>
          </w:tcPr>
          <w:p w14:paraId="21DF457F">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财政部和福建省财政厅指定的政府采购信息发布媒体（以下简称：“指定媒体”）：</w:t>
            </w:r>
          </w:p>
          <w:p w14:paraId="51495837">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 xml:space="preserve"> （1）中国政府采购网，网址www.ccgp.gov.cn。</w:t>
            </w:r>
          </w:p>
          <w:p w14:paraId="72C936B1">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 xml:space="preserve"> （2）中国政府采购网福建分网（福建省政府采购网），网址zfcg.czt.fujian.gov.cn。</w:t>
            </w:r>
          </w:p>
          <w:p w14:paraId="7C4E4176">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 xml:space="preserve"> ※若出现上述指定媒体信息不一致情形，应以中国政府采购网福建分网（福建省政府采购网）发布的为准。</w:t>
            </w:r>
          </w:p>
        </w:tc>
      </w:tr>
      <w:tr w14:paraId="0CFD6E8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60" w:type="dxa"/>
          </w:tcPr>
          <w:p w14:paraId="4375C593">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12</w:t>
            </w:r>
          </w:p>
        </w:tc>
        <w:tc>
          <w:tcPr>
            <w:tcW w:w="1590" w:type="dxa"/>
          </w:tcPr>
          <w:p w14:paraId="3A1DCAAD">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19</w:t>
            </w:r>
          </w:p>
        </w:tc>
        <w:tc>
          <w:tcPr>
            <w:tcW w:w="6172" w:type="dxa"/>
          </w:tcPr>
          <w:p w14:paraId="5D6A322F">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其他事项：</w:t>
            </w:r>
          </w:p>
          <w:p w14:paraId="053A26B7">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 xml:space="preserve"> (1)本项目代理服务费：</w:t>
            </w:r>
          </w:p>
          <w:p w14:paraId="42939929">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本项目收取代理服务费</w:t>
            </w:r>
          </w:p>
          <w:p w14:paraId="1B605663">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代理服务费用收取对象：中标/成交供应商</w:t>
            </w:r>
          </w:p>
          <w:p w14:paraId="0B6FFDCF">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代理服务费收费标准：本项目的代理服务费向各合同包中标人收取，中标人按差额定率累进法计算，向采购代理机构缴纳代理服务费。招标代理服务收费的标准：中标（成交）金额100万元（含）以下部分收费费率标准1.5%；中标（成交）金额100万元（不含）～500万元（含）部分收费费率标准0.64%；中标（成交）金额500万元（不含）～1000万元（含）部分收费费率标准0.36%;中标（成交）金额1000万元（不含）～5000万元（含）部分收费费率标准0.2%，中标（成交）金额5000万元（不含）～1亿元（含）部分收费费率标准0.08%。招标代理服务费收取方式：(1)中标人应在领取中标通知书的同时按规定的标准一次性向采购代理机构缴清招标代理服务费。中标人应在领取中标通知书前以转账、电汇付款方式一次性向采购代理机构缴纳招标代理服务费。招标代理服务费缴交银行账号： 开户名： 正弘（福建）项目管理有限公司 开户行：中国银行福州晋安支行 账 号：419587055569</w:t>
            </w:r>
          </w:p>
          <w:p w14:paraId="46EC9F35">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 xml:space="preserve"> (2)其他：</w:t>
            </w:r>
          </w:p>
          <w:p w14:paraId="680E6D1E">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(2)-1最高限价：投标人超过最高限价的报价为无效报价。根据《中华人民共和国价格法》第六条、第十八条规定，投标人依法有权自主制定属于市场调节的价格，有权根据企业的生产经营成本等自身情况和市场供求状况等外部因素自主定价。 (2)-2 实质性要求和条件：无效投标及废标条款：以下为可能导致无效投标或废标的条款，具体内容详见招标文件各章节，请各投标人认真查看对照。①投标报价不符合投标人须知前附表1“最高限价”条款规定的。②不符合投标人须知前附表1“实质性要求和条件”条款规定的。③出现第三章投标人须知3、9.2、9.3、9.4、9.5、9.6、9.7、10.6、10.8、10.9、10.12无效投标规定的。④出现第四章资格审查与评标1.3、1.4、6.2、6.3、6.4、6.7、6.9无效投标规定的。⑤出现第四章资格审查与评标“7、评标方法和标准”无效投标规定的。⑥出现第五章招标内容及要求中“★”标示的内容或“商务要求”为负偏离的。⑦出现第五章招标内容及要求无效投标规定的。⑧明显不符合技术和服务要求的为无效响应。 ⑨内容不全或关键字迹模糊、无法辨认的为无效响应。 (2)-3无供应商为本次采购项目提供设计、编制规范、进行管理等服务。 (2)-4远程参与开标流程及注意事项： a.通过远程参与开标流程的投标人，投标人可远程线上解密（相关操作手册可查看福建省政府采购网首页操作指南），现场参与开标流程的投标人请携带CA证书到开标现场进行解密，选择携带CA证书并由代理机构进行解密的应在投标截止时间前到达开标现场，否则不予接收。投标人选择远程线上解密的，无须将CA证书送至开标地点。b.投标人不到开标现场的，请在开标时自行登录采购系统，线上参与开标流程，并按规定在相应时段对投标文件进行远程解密、远程签章。c.投标人应确保自身设施、设备、网络环境状况良好，在操作过程中因投标人自身原因造成无法正常观看开标流程、远程解密或签章的，后果由投标人自行承担。d.在规定的时间内正确提交电子投标文件的投标人在开标时将由系统判定签到情况，投标人应在远程解密开启后在规定时间内使用CA数字证书进行投标文件的解密操作，逾期未解密的视为自行放弃投标。e.开标结束后，投标人应当对开标结果进行签章，并在远程签章开放后的规定时间内完成，逾期未签章的视为认同开标结果。f.远程解密及远程签章的开放起始时间均在开标过程中临时开启，远程解密环节的解密时限规定为30分钟，远程签章环节的签章时限规定为10分钟，请投标人务必密切关注实时开标流程，并根据流程在系统内按时操作，否则产生的后果由投标人自行承担。g.本项目设有演示环节，每家投标人的所有演示总时长不超过30分钟。投标人应自行提前查看福建省政府采购网的供应商操作手册，清楚远程演示相关操作，具体要求详见招标文件第五章“四、其他事项”。(2)-5本项目方案设计公司为福州华赛通信信息咨询有限公司。根据《中华人民共和国政府采购法实施条例》第十八条“除单一来源采购项目外，为采购项目提供整体设计、规范编制或者项目管理、监理、检测等服务的供应商，不得再参加该采购项目的其他采购活动”的规定，福州华赛通信信息咨询有限公司不得再参与本项目投标，否则视为资格性审查不通过。</w:t>
            </w:r>
          </w:p>
        </w:tc>
      </w:tr>
      <w:tr w14:paraId="5459306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350" w:type="dxa"/>
            <w:gridSpan w:val="2"/>
          </w:tcPr>
          <w:p w14:paraId="5B3F7C55">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备注</w:t>
            </w:r>
          </w:p>
        </w:tc>
        <w:tc>
          <w:tcPr>
            <w:tcW w:w="6172" w:type="dxa"/>
          </w:tcPr>
          <w:p w14:paraId="18995822">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后有投标人须知前附表2，请勿遗漏。</w:t>
            </w:r>
          </w:p>
        </w:tc>
      </w:tr>
    </w:tbl>
    <w:p w14:paraId="098FE9FB">
      <w:pPr>
        <w:rPr>
          <w:rFonts w:hint="eastAsia" w:ascii="宋体" w:hAnsi="宋体" w:eastAsia="宋体" w:cs="宋体"/>
          <w:b/>
          <w:sz w:val="24"/>
          <w:szCs w:val="24"/>
        </w:rPr>
      </w:pPr>
      <w:r>
        <w:rPr>
          <w:rFonts w:hint="eastAsia" w:ascii="宋体" w:hAnsi="宋体" w:eastAsia="宋体" w:cs="宋体"/>
          <w:b/>
          <w:sz w:val="24"/>
          <w:szCs w:val="24"/>
        </w:rPr>
        <w:br w:type="page"/>
      </w:r>
    </w:p>
    <w:p w14:paraId="30D9367A">
      <w:pPr>
        <w:pStyle w:val="6"/>
        <w:keepNext w:val="0"/>
        <w:keepLines w:val="0"/>
        <w:pageBreakBefore w:val="0"/>
        <w:kinsoku/>
        <w:wordWrap/>
        <w:overflowPunct/>
        <w:topLinePunct w:val="0"/>
        <w:autoSpaceDE/>
        <w:autoSpaceDN/>
        <w:bidi w:val="0"/>
        <w:adjustRightInd/>
        <w:snapToGrid/>
        <w:spacing w:line="500" w:lineRule="exact"/>
        <w:jc w:val="both"/>
        <w:textAlignment w:val="auto"/>
        <w:outlineLvl w:val="2"/>
        <w:rPr>
          <w:rFonts w:hint="eastAsia" w:ascii="宋体" w:hAnsi="宋体" w:eastAsia="宋体" w:cs="宋体"/>
          <w:sz w:val="24"/>
          <w:szCs w:val="24"/>
        </w:rPr>
      </w:pPr>
      <w:r>
        <w:rPr>
          <w:rFonts w:hint="eastAsia" w:ascii="宋体" w:hAnsi="宋体" w:eastAsia="宋体" w:cs="宋体"/>
          <w:b/>
          <w:sz w:val="24"/>
          <w:szCs w:val="24"/>
        </w:rPr>
        <w:t>二、投标人须知前附表2</w:t>
      </w:r>
    </w:p>
    <w:tbl>
      <w:tblPr>
        <w:tblStyle w:val="4"/>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075"/>
        <w:gridCol w:w="7231"/>
      </w:tblGrid>
      <w:tr w14:paraId="7D88B9A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06" w:type="dxa"/>
            <w:gridSpan w:val="2"/>
          </w:tcPr>
          <w:p w14:paraId="3E11ED0F">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关于电子招标投标活动的专门规定</w:t>
            </w:r>
          </w:p>
        </w:tc>
      </w:tr>
      <w:tr w14:paraId="363E441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PrEx>
        <w:tc>
          <w:tcPr>
            <w:tcW w:w="1075" w:type="dxa"/>
          </w:tcPr>
          <w:p w14:paraId="0B61BE6F">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序号</w:t>
            </w:r>
          </w:p>
        </w:tc>
        <w:tc>
          <w:tcPr>
            <w:tcW w:w="7231" w:type="dxa"/>
          </w:tcPr>
          <w:p w14:paraId="22B1AEC3">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编列内容</w:t>
            </w:r>
          </w:p>
        </w:tc>
      </w:tr>
      <w:tr w14:paraId="1047A0C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75" w:type="dxa"/>
          </w:tcPr>
          <w:p w14:paraId="441B833E">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1</w:t>
            </w:r>
          </w:p>
        </w:tc>
        <w:tc>
          <w:tcPr>
            <w:tcW w:w="7231" w:type="dxa"/>
          </w:tcPr>
          <w:p w14:paraId="3EEE5939">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（1）电子招标投标活动的专门规定适用本项目电子招标投标活动。</w:t>
            </w:r>
          </w:p>
          <w:p w14:paraId="18D25845">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（2）将招标文件</w:t>
            </w:r>
          </w:p>
          <w:p w14:paraId="4ED5747C">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无 的内容修正为下列内容：</w:t>
            </w:r>
          </w:p>
          <w:p w14:paraId="033CD1E2">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无 后适用本项目的电子招标投标活动。</w:t>
            </w:r>
          </w:p>
          <w:p w14:paraId="30E7E3F5">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（3）将下列内容增列为招标文件的组成部分（以下简称：“增列内容”）适用本项目的电子招标投标活动，若增列内容与招标文件其他章节内容有冲突，应以增列内容为准：</w:t>
            </w:r>
          </w:p>
          <w:p w14:paraId="03BCABBC">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①电子招标投标活动的具体操作流程以福建省政府采购网上公开信息系统设定的为准。</w:t>
            </w:r>
          </w:p>
          <w:p w14:paraId="021DAF33">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②关于电子投标文件：</w:t>
            </w:r>
          </w:p>
          <w:p w14:paraId="505C2C99">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a.投标人应按照福建省政府采购网上公开信息系统设定的评审节点编制电子投标文件，否则资格审查小组、评标委员会将按照不利于投标人的内容进行认定。</w:t>
            </w:r>
          </w:p>
          <w:p w14:paraId="590E6F95">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b.投标人应在投标截止时间前按照福建省政府采购网上公开信息系统设定的操作流程将电子投标文件1份上传至福建省政府采购网上公开信息系统。电子投标文件的投标（响应）报价明细表、投标客户端的投标（响应）报价明细表应保持一致，并以投标客户端的投标（响应）报价明细表为准。</w:t>
            </w:r>
          </w:p>
          <w:p w14:paraId="16534E1C">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③关于证明材料或资料：</w:t>
            </w:r>
          </w:p>
          <w:p w14:paraId="5FAB82CA">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a.招标文件要求原件的，投标人在电子投标文件中可提供复印件（含扫描件），但同时应准备好原件备查（未能在规定时间内提供原件核查的，将按不利于投标人进行评审）；招标文件要求复印件的，投标人在电子投标文件中提供原件、复印件（含扫描件）皆可；招标文件对原件、复印件未作要求的，投标人在电子投标文件中提供原件、复印件（含扫描件）皆可。</w:t>
            </w:r>
          </w:p>
          <w:p w14:paraId="669D8D56">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b.若投标人提供注明“复印件无效”或“复印无效”的证明材料或资料，应结合上文a条款进行判定，若招标文件未要求投标人提供原件，投标人提供原件，复印件（含扫描件）均视为满足招标文件要求。</w:t>
            </w:r>
          </w:p>
          <w:p w14:paraId="46266B6B">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④关于“全称”、“投标人代表签字”及“加盖单位公章”：</w:t>
            </w:r>
          </w:p>
          <w:p w14:paraId="6214015C">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a.在电子投标文件中，涉及“全称”和“投标人代表签字”的内容可使用打字录入方式完成。</w:t>
            </w:r>
          </w:p>
          <w:p w14:paraId="426EDAFD">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b.在电子投标文件中，涉及“加盖单位公章”的内容应使用投标人的CA证书完成，否则投标无效。</w:t>
            </w:r>
          </w:p>
          <w:p w14:paraId="124B97FF">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c.在电子投标文件中，若投标人按照本增列内容第④点第b项规定加盖其单位公章，则出现无全称、或投标人代表未签字等情形，不视为投标无效。</w:t>
            </w:r>
          </w:p>
          <w:p w14:paraId="111E74E6">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⑤关于投标人的CA证书：</w:t>
            </w:r>
          </w:p>
          <w:p w14:paraId="1BC7A7F6">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a.投标人的CA证书应在系统规定时间内使用CA证书进行电子投标文件的解密操作，逾期未解密的视为放弃投标。</w:t>
            </w:r>
          </w:p>
          <w:p w14:paraId="4B848436">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b.投标人的CA证书可采用信封（包括但不限于：信封、档案袋、文件袋等）作为外包装进行单独包装。外包装密封、不密封皆可。</w:t>
            </w:r>
          </w:p>
          <w:p w14:paraId="42477B3F">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c.投标人的CA证书或外包装应标记“项目名称、项目编号、投标人的全称”等内容，以方便识别、使用。</w:t>
            </w:r>
          </w:p>
          <w:p w14:paraId="0E975F9C">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d.投标人的CA证书应能正常、有效使用，否则产生不利后果由投标人承担责任。</w:t>
            </w:r>
          </w:p>
          <w:p w14:paraId="1B11B59E">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⑥关于投标截止时间过后</w:t>
            </w:r>
          </w:p>
          <w:p w14:paraId="6904B02F">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a.未按招标文件规定提交投标保证金的，其投标将按无效投标处理。</w:t>
            </w:r>
          </w:p>
          <w:p w14:paraId="64B4FF64">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b.有下列情形之一的，其投标无效,其保证金不予退还或通过投标保函进行索赔：</w:t>
            </w:r>
          </w:p>
          <w:p w14:paraId="0722B0A7">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b1不同投标人的电子投标文件具有相同内部识别码；</w:t>
            </w:r>
          </w:p>
          <w:p w14:paraId="17BB3409">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b2不同投标人的投标保证金从同一单位或个人的账户转出；</w:t>
            </w:r>
          </w:p>
          <w:p w14:paraId="538A8C7F">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b3投标人的投标保证金同一采购包下有其他投标人提交的投标保证金；</w:t>
            </w:r>
          </w:p>
          <w:p w14:paraId="42CAE30C">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b4不同投标人存在串通投标的其他情形。</w:t>
            </w:r>
          </w:p>
          <w:p w14:paraId="51DAC6C1">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⑦接受联合体投标且投标人为联合体的，投标人应由“联合体牵头方”完成福建省政府采购网上公开信息系统设定的具体操作流程（包括但不限于：招标文件获取、提交投标保证金、编制电子投标文件等）。</w:t>
            </w:r>
          </w:p>
          <w:p w14:paraId="5BAAB4F3">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⑧其他：</w:t>
            </w:r>
          </w:p>
          <w:p w14:paraId="684086EA">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a在电子响应文件中，若供应商在电子响应文件中涉及“加盖单位公章”的内容使用供应商的CA证书完成，加盖其单位公章，则出现无全称、或无单位负责人签字（或盖章）或供应商代表未签字等情形，不视为响应文件无效。b.本项目执行《关于福建省财政厅关于电子化政府采购项目中视为串标情形认定与处理的指导意见》（闽财购〔2018〕30号）规定。</w:t>
            </w:r>
          </w:p>
        </w:tc>
      </w:tr>
    </w:tbl>
    <w:p w14:paraId="36C2AF40">
      <w:pPr>
        <w:pStyle w:val="6"/>
        <w:keepNext w:val="0"/>
        <w:keepLines w:val="0"/>
        <w:pageBreakBefore w:val="0"/>
        <w:kinsoku/>
        <w:wordWrap/>
        <w:overflowPunct/>
        <w:topLinePunct w:val="0"/>
        <w:autoSpaceDE/>
        <w:autoSpaceDN/>
        <w:bidi w:val="0"/>
        <w:adjustRightInd/>
        <w:snapToGrid/>
        <w:spacing w:line="500" w:lineRule="exact"/>
        <w:textAlignment w:val="auto"/>
        <w:rPr>
          <w:rFonts w:hint="eastAsia" w:ascii="宋体" w:hAnsi="宋体" w:eastAsia="宋体" w:cs="宋体"/>
          <w:sz w:val="24"/>
          <w:szCs w:val="24"/>
        </w:rPr>
      </w:pPr>
      <w:r>
        <w:rPr>
          <w:rFonts w:hint="eastAsia" w:ascii="宋体" w:hAnsi="宋体" w:eastAsia="宋体" w:cs="宋体"/>
          <w:sz w:val="24"/>
          <w:szCs w:val="24"/>
        </w:rPr>
        <w:t xml:space="preserve"> </w:t>
      </w:r>
      <w:r>
        <w:rPr>
          <w:rFonts w:hint="eastAsia" w:ascii="宋体" w:hAnsi="宋体" w:eastAsia="宋体" w:cs="宋体"/>
          <w:sz w:val="24"/>
          <w:szCs w:val="24"/>
        </w:rPr>
        <w:br w:type="textWrapping"/>
      </w:r>
      <w:r>
        <w:rPr>
          <w:rFonts w:hint="eastAsia" w:ascii="宋体" w:hAnsi="宋体" w:eastAsia="宋体" w:cs="宋体"/>
          <w:sz w:val="24"/>
          <w:szCs w:val="24"/>
        </w:rPr>
        <w:br w:type="page"/>
      </w:r>
    </w:p>
    <w:p w14:paraId="5F067B17">
      <w:pPr>
        <w:pStyle w:val="6"/>
        <w:keepNext w:val="0"/>
        <w:keepLines w:val="0"/>
        <w:pageBreakBefore w:val="0"/>
        <w:kinsoku/>
        <w:wordWrap/>
        <w:overflowPunct/>
        <w:topLinePunct w:val="0"/>
        <w:autoSpaceDE/>
        <w:autoSpaceDN/>
        <w:bidi w:val="0"/>
        <w:adjustRightInd/>
        <w:snapToGrid/>
        <w:spacing w:line="500" w:lineRule="exact"/>
        <w:jc w:val="center"/>
        <w:textAlignment w:val="auto"/>
        <w:outlineLvl w:val="1"/>
        <w:rPr>
          <w:rFonts w:hint="eastAsia" w:ascii="宋体" w:hAnsi="宋体" w:eastAsia="宋体" w:cs="宋体"/>
          <w:sz w:val="24"/>
          <w:szCs w:val="24"/>
        </w:rPr>
      </w:pPr>
      <w:r>
        <w:rPr>
          <w:rFonts w:hint="eastAsia" w:ascii="宋体" w:hAnsi="宋体" w:eastAsia="宋体" w:cs="宋体"/>
          <w:b/>
          <w:sz w:val="24"/>
          <w:szCs w:val="24"/>
        </w:rPr>
        <w:t>第三章 投标人须知</w:t>
      </w:r>
    </w:p>
    <w:p w14:paraId="2E911D79">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outlineLvl w:val="2"/>
        <w:rPr>
          <w:rFonts w:hint="eastAsia" w:ascii="宋体" w:hAnsi="宋体" w:eastAsia="宋体" w:cs="宋体"/>
          <w:sz w:val="24"/>
          <w:szCs w:val="24"/>
        </w:rPr>
      </w:pPr>
      <w:r>
        <w:rPr>
          <w:rFonts w:hint="eastAsia" w:ascii="宋体" w:hAnsi="宋体" w:eastAsia="宋体" w:cs="宋体"/>
          <w:b/>
          <w:sz w:val="24"/>
          <w:szCs w:val="24"/>
        </w:rPr>
        <w:t>一、总则</w:t>
      </w:r>
    </w:p>
    <w:p w14:paraId="587A136B">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1、适用范围</w:t>
      </w:r>
    </w:p>
    <w:p w14:paraId="2C1E0397">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1.1适用于招标文件载明项目的政府采购活动（以下简称：“本次采购活动”）。</w:t>
      </w:r>
    </w:p>
    <w:p w14:paraId="4982C41A">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2、定义</w:t>
      </w:r>
    </w:p>
    <w:p w14:paraId="1A919BB5">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2.1“采购标的”指招标文件载明的需要采购的货物或服务。</w:t>
      </w:r>
    </w:p>
    <w:p w14:paraId="49547035">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2.2“潜在投标人”指按照招标文件第一章第7条规定获取招标文件且有意向参加本项目投标的供应商。</w:t>
      </w:r>
    </w:p>
    <w:p w14:paraId="74366069">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2.3“投标人”指按照招标文件第一章第7条规定获取招标文件并参加本项目投标的供应商。</w:t>
      </w:r>
    </w:p>
    <w:p w14:paraId="7C279160">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2.4“单位负责人”指单位法定代表人或法律、法规规定代表单位行使职权的主要负责人。</w:t>
      </w:r>
    </w:p>
    <w:p w14:paraId="68DF2718">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2.5“投标人代表”指投标人的单位负责人或“单位负责人授权书”中载明的接受授权方。</w:t>
      </w:r>
    </w:p>
    <w:p w14:paraId="4F75DED2">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outlineLvl w:val="2"/>
        <w:rPr>
          <w:rFonts w:hint="eastAsia" w:ascii="宋体" w:hAnsi="宋体" w:eastAsia="宋体" w:cs="宋体"/>
          <w:sz w:val="24"/>
          <w:szCs w:val="24"/>
        </w:rPr>
      </w:pPr>
      <w:r>
        <w:rPr>
          <w:rFonts w:hint="eastAsia" w:ascii="宋体" w:hAnsi="宋体" w:eastAsia="宋体" w:cs="宋体"/>
          <w:b/>
          <w:sz w:val="24"/>
          <w:szCs w:val="24"/>
        </w:rPr>
        <w:t>二、投标人</w:t>
      </w:r>
    </w:p>
    <w:p w14:paraId="04A33EC3">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3、合格投标人</w:t>
      </w:r>
    </w:p>
    <w:p w14:paraId="74F7366F">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3.1一般规定</w:t>
      </w:r>
    </w:p>
    <w:p w14:paraId="53057E19">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1）投标人应遵守政府采购法及实施条例、政府采购招投标管理办法、政府采购质疑和投诉办法及财政部、福建省财政厅有关政府采购文件的规定，同时还应遵守《中华人民共和国劳动合同法》有关规定和《中华人民共和国妇女权益保障法》中关于“劳动和社会保障权益”的有关要求以及其他有关法律、法规和规章的强制性规定。</w:t>
      </w:r>
    </w:p>
    <w:p w14:paraId="20346895">
      <w:pPr>
        <w:pStyle w:val="6"/>
        <w:keepNext w:val="0"/>
        <w:keepLines w:val="0"/>
        <w:pageBreakBefore w:val="0"/>
        <w:kinsoku/>
        <w:wordWrap/>
        <w:overflowPunct/>
        <w:topLinePunct w:val="0"/>
        <w:autoSpaceDE/>
        <w:autoSpaceDN/>
        <w:bidi w:val="0"/>
        <w:adjustRightInd/>
        <w:snapToGrid/>
        <w:spacing w:line="500" w:lineRule="exact"/>
        <w:ind w:firstLine="480"/>
        <w:jc w:val="left"/>
        <w:textAlignment w:val="auto"/>
        <w:rPr>
          <w:rFonts w:hint="eastAsia" w:ascii="宋体" w:hAnsi="宋体" w:eastAsia="宋体" w:cs="宋体"/>
          <w:sz w:val="24"/>
          <w:szCs w:val="24"/>
        </w:rPr>
      </w:pPr>
      <w:r>
        <w:rPr>
          <w:rFonts w:hint="eastAsia" w:ascii="宋体" w:hAnsi="宋体" w:eastAsia="宋体" w:cs="宋体"/>
          <w:sz w:val="24"/>
          <w:szCs w:val="24"/>
        </w:rPr>
        <w:t>投标人对提供福建省政府采购供应商资格承诺函及所承诺事项的真实性、合法性及有效性负责，并已知晓所提供资格承诺函内容不实的，可能涉嫌《中华人民共和国政府采购法》第七十七条第一款第(一)项规定的“提供虚假材料谋取中标成交”违法情形。经调查属实的，行政监管部门按照《中华人民共和国政府采购法》第七十七条:“处以采购金额千分之五以上千分之十以下的罚款，列入不良行为记录名单，在一至三年内禁止参加政府采购活动，有违法所得的，并处没收违法所得，情节严重的，由市场监管部门吊销营业执照，构成犯罪的，依法追究刑事责任”和政府采购法律法规有关规定处理。</w:t>
      </w:r>
    </w:p>
    <w:p w14:paraId="6D7EE4FC">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（2）投标人的资格要求：详见招标文件第一章。</w:t>
      </w:r>
    </w:p>
    <w:p w14:paraId="48E3ED86">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3.2若本项目接受联合体投标且投标人为联合体，则联合体各方应遵守本章第3.1条规定，同时还应遵守下列规定：</w:t>
      </w:r>
    </w:p>
    <w:p w14:paraId="109B0A36">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（1）联合体各方应提交联合体协议，联合体协议应符合招标文件规定。</w:t>
      </w:r>
    </w:p>
    <w:p w14:paraId="3877EB8E">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（2）联合体各方不得再单独参加或与其他供应商另外组成联合体参加同一合同项下的投标。</w:t>
      </w:r>
    </w:p>
    <w:p w14:paraId="17DCCF8B">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（3）联合体各方应共同与采购人签订政府采购合同，就政府采购合同约定的事项对采购人承担连带责任。</w:t>
      </w:r>
    </w:p>
    <w:p w14:paraId="6CBEE29A">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4）项目如涉及资质要求，该部分工作内容应由联合体中符合该资质要求的供应商承担，联合体协议及签订的采购合同应符合这一要求；联合体中有同类资质的供应商按照联合体分工承担相同工作的，应当按照资质等级较低的供应商确定资质等级。</w:t>
      </w:r>
    </w:p>
    <w:p w14:paraId="11C8C255">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（5）联合体一方放弃中标的，视为联合体整体放弃中标，联合体各方承担连带责任。</w:t>
      </w:r>
    </w:p>
    <w:p w14:paraId="5ADA7E8B">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（6）如本项目不接受联合体投标而投标人为联合体的，或者本项目接受联合体投标但投标人组成的联合体不符合本章第3.2条规定的，投标无效。</w:t>
      </w:r>
    </w:p>
    <w:p w14:paraId="079CFD96">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4、投标费用</w:t>
      </w:r>
    </w:p>
    <w:p w14:paraId="5C082D00">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4.1除招标文件另有规定外，投标人应自行承担其参加本项目投标所涉及的一切费用。</w:t>
      </w:r>
    </w:p>
    <w:p w14:paraId="4D19037A">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outlineLvl w:val="2"/>
        <w:rPr>
          <w:rFonts w:hint="eastAsia" w:ascii="宋体" w:hAnsi="宋体" w:eastAsia="宋体" w:cs="宋体"/>
          <w:sz w:val="24"/>
          <w:szCs w:val="24"/>
        </w:rPr>
      </w:pPr>
      <w:r>
        <w:rPr>
          <w:rFonts w:hint="eastAsia" w:ascii="宋体" w:hAnsi="宋体" w:eastAsia="宋体" w:cs="宋体"/>
          <w:b/>
          <w:sz w:val="24"/>
          <w:szCs w:val="24"/>
        </w:rPr>
        <w:t>三、招标</w:t>
      </w:r>
    </w:p>
    <w:p w14:paraId="4F5C7BF8">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5、招标文件</w:t>
      </w:r>
    </w:p>
    <w:p w14:paraId="75F4C29E">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5.1招标文件由下述部分组成：</w:t>
      </w:r>
    </w:p>
    <w:p w14:paraId="7B3DDD45">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（1）投标邀请</w:t>
      </w:r>
    </w:p>
    <w:p w14:paraId="02A9087B">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（2）投标人须知前附表（表1、2）</w:t>
      </w:r>
    </w:p>
    <w:p w14:paraId="6F1F132F">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（3）投标人须知</w:t>
      </w:r>
    </w:p>
    <w:p w14:paraId="20D7FF79">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（4）资格审查与评标</w:t>
      </w:r>
    </w:p>
    <w:p w14:paraId="6279A9B3">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（5）招标内容及要求</w:t>
      </w:r>
    </w:p>
    <w:p w14:paraId="767988A8">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（6）政府采购合同（参考文本）</w:t>
      </w:r>
    </w:p>
    <w:p w14:paraId="2326E0CF">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（7）电子投标文件格式</w:t>
      </w:r>
    </w:p>
    <w:p w14:paraId="5730E8A4">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（8）按照招标文件规定作为招标文件组成部分的其他内容（若有）</w:t>
      </w:r>
    </w:p>
    <w:p w14:paraId="2DA54B8C">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5.2招标文件的澄清或修改</w:t>
      </w:r>
    </w:p>
    <w:p w14:paraId="6B4F6BC3">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（1） 正弘（福建）项目管理有限公司 可对已发出的招标文件进行必要的澄清或修改，但不得对招标文件载明的采购标的和投标人的资格要求进行改变。</w:t>
      </w:r>
    </w:p>
    <w:p w14:paraId="5D7329C0">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（2）除本章第5.2条第（3）款规定情形外，澄清或修改的内容可能影响电子投标文件编制的， 正弘（福建）项目管理有限公司 将在投标截止时间至少15个日历日前，在招标文件载明的指定媒体以更正公告的形式发布澄清或修改的内容。不足15个日历日的， 正弘（福建）项目管理有限公司 将顺延投标截止时间及开标时间， 正弘（福建）项目管理有限公司 和投标人受原投标截止时间及开标时间制约的所有权利和义务均延长至新的投标截止时间及开标时间。</w:t>
      </w:r>
    </w:p>
    <w:p w14:paraId="74857809">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（3）澄清或修改的内容可能改变招标文件载明的采购标的和投标人的资格要求的，本次采购活动结束， 正弘（福建）项目管理有限公司 将依法组织后续采购活动（包括但不限于：重新招标、采用其他方式采购等）。</w:t>
      </w:r>
    </w:p>
    <w:p w14:paraId="475DA396">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6、现场考察或开标前答疑会</w:t>
      </w:r>
    </w:p>
    <w:p w14:paraId="4A21233C">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6.1是否组织现场考察或召开开标前答疑会：详见招标文件第二章。</w:t>
      </w:r>
    </w:p>
    <w:p w14:paraId="7E252534">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7、更正公告</w:t>
      </w:r>
    </w:p>
    <w:p w14:paraId="7A66A664">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7.1若 正弘（福建）项目管理有限公司 发布更正公告，则更正公告及其所发布的内容或信息（包括但不限于：招标文件的澄清或修改、现场考察或答疑会的有关事宜等）作为招标文件组成部分，对投标人具有约束力。</w:t>
      </w:r>
    </w:p>
    <w:p w14:paraId="07CF1543">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7.2更正公告作为 正弘（福建）项目管理有限公司 通知所有潜在投标人的书面形式。</w:t>
      </w:r>
    </w:p>
    <w:p w14:paraId="1398A216">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8、终止公告</w:t>
      </w:r>
    </w:p>
    <w:p w14:paraId="6F9A987E">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8.1若出现因重大变故导致采购任务取消情形， 正弘（福建）项目管理有限公司 可终止招标并发布终止公告。</w:t>
      </w:r>
    </w:p>
    <w:p w14:paraId="350DB451">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8.2终止公告作为 正弘（福建）项目管理有限公司 通知所有潜在投标人的书面形式。</w:t>
      </w:r>
    </w:p>
    <w:p w14:paraId="2364B53A">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outlineLvl w:val="2"/>
        <w:rPr>
          <w:rFonts w:hint="eastAsia" w:ascii="宋体" w:hAnsi="宋体" w:eastAsia="宋体" w:cs="宋体"/>
          <w:sz w:val="24"/>
          <w:szCs w:val="24"/>
        </w:rPr>
      </w:pPr>
      <w:r>
        <w:rPr>
          <w:rFonts w:hint="eastAsia" w:ascii="宋体" w:hAnsi="宋体" w:eastAsia="宋体" w:cs="宋体"/>
          <w:b/>
          <w:sz w:val="24"/>
          <w:szCs w:val="24"/>
        </w:rPr>
        <w:t>四、投标</w:t>
      </w:r>
    </w:p>
    <w:p w14:paraId="2B2E96AD">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9、投标</w:t>
      </w:r>
    </w:p>
    <w:p w14:paraId="47EAF6CF">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9.1投标人可对招标文件载明的全部或部分采购包进行投标。</w:t>
      </w:r>
    </w:p>
    <w:p w14:paraId="243ECEE4">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9.2投标人应对同一个采购包内的所有内容进行完整投标，否则投标无效。</w:t>
      </w:r>
    </w:p>
    <w:p w14:paraId="16AC457F">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9.3投标人代表只能接受一个投标人的授权参加投标，否则投标无效。</w:t>
      </w:r>
    </w:p>
    <w:p w14:paraId="54308106">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9.4单位负责人为同一人或存在直接控股、管理关系的不同供应商，不得同时参加同一合同项下的投标，否则投标无效。</w:t>
      </w:r>
    </w:p>
    <w:p w14:paraId="20F8D67A">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9.5为本项目提供整体设计、规范编制或项目管理、监理、检测等服务的供应商，不得参加本项目除整体设计、规范编制和项目管理、监理、检测等服务外的采购活动，否则投标无效。</w:t>
      </w:r>
    </w:p>
    <w:p w14:paraId="73147443">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9.6列入失信被执行人、重大税收违法案件当事人名单、政府采购严重违法失信行为记录名单及其他不符合政府采购法第二十二条规定条件的供应商，不得参加投标，否则投标无效。</w:t>
      </w:r>
    </w:p>
    <w:p w14:paraId="45D1286C">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9.7有下列情形之一的，视为投标人串通投标，其投标无效：</w:t>
      </w:r>
    </w:p>
    <w:p w14:paraId="70432388">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（1）不同投标人的电子投标文件由同一单位或个人编制；</w:t>
      </w:r>
    </w:p>
    <w:p w14:paraId="47E023A0">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（2）不同投标人委托同一单位或个人办理投标事宜；</w:t>
      </w:r>
    </w:p>
    <w:p w14:paraId="18ACF2AB">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（3）不同投标人的电子投标文件载明的项目管理成员或联系人员为同一人；</w:t>
      </w:r>
    </w:p>
    <w:p w14:paraId="4F33FA68">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（4）不同投标人的电子投标文件异常一致或投标报价呈规律性差异；</w:t>
      </w:r>
    </w:p>
    <w:p w14:paraId="1709FCFC">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（5）不同投标人的电子投标文件相互混装；</w:t>
      </w:r>
    </w:p>
    <w:p w14:paraId="571AB626">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（6）不同投标人的投标保证金从同一单位或个人的账户转出；</w:t>
      </w:r>
    </w:p>
    <w:p w14:paraId="02050E0B">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（7）有关法律、法规和规章及招标文件规定的其他串通投标情形。</w:t>
      </w:r>
    </w:p>
    <w:p w14:paraId="0396B177">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10、电子投标文件</w:t>
      </w:r>
    </w:p>
    <w:p w14:paraId="5ECE6C1E">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10.1电子投标文件的编制</w:t>
      </w:r>
    </w:p>
    <w:p w14:paraId="3B27529B">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（1）投标人应先仔细阅读招标文件的全部内容后，再进行电子投标文件的编制。</w:t>
      </w:r>
    </w:p>
    <w:p w14:paraId="42AF78AB">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（2）电子投标文件应按照本章第10.2条规定编制其组成部分。</w:t>
      </w:r>
    </w:p>
    <w:p w14:paraId="4F9E1141">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（3）电子投标文件应满足招标文件提出的实质性要求和条件，并保证其所提交的全部资料是不可割离且真实、有效、准确、完整和不具有任何误导性的，否则造成不利后果由投标人承担责任。</w:t>
      </w:r>
    </w:p>
    <w:p w14:paraId="5954003A">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10.2电子投标文件由下述部分组成：</w:t>
      </w:r>
    </w:p>
    <w:p w14:paraId="51756B3D">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（1）资格及资信证明部分</w:t>
      </w:r>
    </w:p>
    <w:p w14:paraId="5BB61C53">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①投标函</w:t>
      </w:r>
    </w:p>
    <w:p w14:paraId="7D87207D">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②投标人的资格及资信证明文件</w:t>
      </w:r>
    </w:p>
    <w:p w14:paraId="200F9E36">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③投标保证金</w:t>
      </w:r>
    </w:p>
    <w:p w14:paraId="68B8487A">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（2）报价部分</w:t>
      </w:r>
    </w:p>
    <w:p w14:paraId="5573D392">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①开标（报价）一览表</w:t>
      </w:r>
    </w:p>
    <w:p w14:paraId="22E6BD3F">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②投标（响应）报价明细表</w:t>
      </w:r>
    </w:p>
    <w:p w14:paraId="504A3E7D">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③招标文件规定的价格扣除证明材料（若有）</w:t>
      </w:r>
    </w:p>
    <w:p w14:paraId="480BFB21">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④招标文件规定的加分证明材料（若有）</w:t>
      </w:r>
    </w:p>
    <w:p w14:paraId="718F4696">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（3）技术商务部分</w:t>
      </w:r>
    </w:p>
    <w:p w14:paraId="1EBF5BA0">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①标的说明一览表</w:t>
      </w:r>
    </w:p>
    <w:p w14:paraId="0BD5A1FA">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②技术和服务要求响应表</w:t>
      </w:r>
    </w:p>
    <w:p w14:paraId="3A2F81A3">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③商务条件响应表</w:t>
      </w:r>
    </w:p>
    <w:p w14:paraId="45D49C4A">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④投标人提交的其他资料（若有）</w:t>
      </w:r>
    </w:p>
    <w:p w14:paraId="388D25A1">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⑤招标文件规定作为电子投标文件组成部分的其他内容（若有）</w:t>
      </w:r>
    </w:p>
    <w:p w14:paraId="135E8915">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10.3电子投标文件的语言</w:t>
      </w:r>
    </w:p>
    <w:p w14:paraId="4ADBE237">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（1）除招标文件另有规定外，电子投标文件应使用中文文本，若有不同文本，以中文文本为准。</w:t>
      </w:r>
    </w:p>
    <w:p w14:paraId="3C5F1DB8">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2）电子投标文件提供的全部资料中，若原件属于非中文描述，应提供具有翻译资质的机构翻译的中文译本。前述翻译机构应为中国翻译协会成员单位，翻译的中文译本应由翻译人员签名并加盖翻译机构公章，同时提供翻译人员翻译资格证书。中文译本、翻译机构的成员单位证书及翻译人员的资格证书可为复印件。</w:t>
      </w:r>
    </w:p>
    <w:p w14:paraId="325D185C">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10.4投标文件的份数：详见招标文件第二章。</w:t>
      </w:r>
    </w:p>
    <w:p w14:paraId="55F88CD9">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10.5电子投标文件的格式</w:t>
      </w:r>
    </w:p>
    <w:p w14:paraId="2ABA023A">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（1）除招标文件另有规定外，电子投标文件应使用招标文件第七章规定的格式。</w:t>
      </w:r>
    </w:p>
    <w:p w14:paraId="437DA7B9">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（2）除招标文件另有规定外，电子投标文件应使用不能擦去的墨料或墨水打印、书写或复印。</w:t>
      </w:r>
    </w:p>
    <w:p w14:paraId="5298EBB5">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（3）除招标文件另有规定外，电子投标文件应使用人民币作为计量货币。</w:t>
      </w:r>
    </w:p>
    <w:p w14:paraId="18744061">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（4）除招标文件另有规定外，签署、盖章应遵守下列规定：</w:t>
      </w:r>
    </w:p>
    <w:p w14:paraId="1F91E4F5">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①电子投标文件应加盖投标人的单位公章。若投标人代表为单位授权的委托代理人，应提供“单位授权书”。</w:t>
      </w:r>
    </w:p>
    <w:p w14:paraId="74374EDA">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②电子投标文件应没有涂改或行间插字，除非这些改动是根据 正弘（福建）项目管理有限公司 的指示进行的，或是为改正投标人造成的应修改的错误而进行的。若有前述改动，应按照下列规定之一对改动处进行处理：</w:t>
      </w:r>
    </w:p>
    <w:p w14:paraId="561804EB">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a.投标人代表签字确认；</w:t>
      </w:r>
    </w:p>
    <w:p w14:paraId="4A5BBAB6">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b.加盖投标人的单位公章或校正章。</w:t>
      </w:r>
    </w:p>
    <w:p w14:paraId="1E0FD703">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10.6投标报价</w:t>
      </w:r>
    </w:p>
    <w:p w14:paraId="65ECA1F5">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（1）投标报价超出最高限价将导致投标无效。</w:t>
      </w:r>
    </w:p>
    <w:p w14:paraId="67A1DD4B">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（2）最高限价由采购人根据价格测算情况，在预算金额的额度内合理设定。最高限价不得超出预算金额。</w:t>
      </w:r>
    </w:p>
    <w:p w14:paraId="501D62B3">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（3）除招标文件另有规定外，电子投标文件不能出现任何选择性的投标报价，即每一个采购包和品目号的采购标的都只能有一个投标报价。任何选择性的投标报价将导致投标无效。</w:t>
      </w:r>
    </w:p>
    <w:p w14:paraId="7C87E440">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10.7分包</w:t>
      </w:r>
    </w:p>
    <w:p w14:paraId="52E3DE42">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（1）是否允许中标人将本项目的非主体、非关键性工作进行分包：详见招标文件第二章。</w:t>
      </w:r>
    </w:p>
    <w:p w14:paraId="779A7598">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2）若允许中标人将本项目的非主体、非关键性工作进行分包且投标人拟在中标后进行分包，则应在电子投标文件中提供分包意向协议，同时投标人应在电子投标文件中载明分包承担主体，分包承担主体应具备相应资质条件（若有）且不得再次分包。</w:t>
      </w:r>
    </w:p>
    <w:p w14:paraId="5D2AD101">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（3）招标文件允许中标人将非主体、非关键性工作进行分包的项目，有下列情形之一的，中标人不得分包：</w:t>
      </w:r>
    </w:p>
    <w:p w14:paraId="659B82A4">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①电子投标文件中未载明分包承担主体；</w:t>
      </w:r>
    </w:p>
    <w:p w14:paraId="44656D45">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②电子投标文件载明的分包承担主体不具备相应资质条件；</w:t>
      </w:r>
    </w:p>
    <w:p w14:paraId="42893E31">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③电子投标文件载明的分包承担主体拟再次分包；</w:t>
      </w:r>
    </w:p>
    <w:p w14:paraId="68B89951">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④享受中小企业扶持政策获得政府采购合同的，小微企业不得将合同分包给大中型企业，中型企业不得将合同分包给大型企业。</w:t>
      </w:r>
    </w:p>
    <w:p w14:paraId="3C6D60BA">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10.8投标有效期</w:t>
      </w:r>
    </w:p>
    <w:p w14:paraId="7E23C0C9">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（1）招标文件载明的投标有效期：详见招标文件第二章。</w:t>
      </w:r>
    </w:p>
    <w:p w14:paraId="15F75769">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（2）电子投标文件承诺的投标有效期不得少于招标文件载明的投标有效期，否则投标无效。</w:t>
      </w:r>
    </w:p>
    <w:p w14:paraId="43B72714">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（3）根据本次采购活动的需要， 正弘（福建）项目管理有限公司 可于投标有效期届满之前书面要求投标人延长投标有效期，投标人应在 正弘（福建）项目管理有限公司 规定的期限内以书面形式予以答复。对于延长投标有效期的要求，投标人可以拒绝也可以接受，投标人答复不明确或逾期未答复的，均视为拒绝该要求。对于接受延长投标有效期的投标人，既不要求也不允许修改电子投标文件。</w:t>
      </w:r>
    </w:p>
    <w:p w14:paraId="3579171F">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10.9投标保证金</w:t>
      </w:r>
    </w:p>
    <w:p w14:paraId="0359A6DA">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（1）投标保证金作为投标人按照招标文件规定履行相应投标责任、义务的约束及担保。</w:t>
      </w:r>
    </w:p>
    <w:p w14:paraId="5195DA7B">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（2）投标人以电子保函形式提交投标保证金的，保函的有效期应等于或长于电子投标文件承诺的投标有效期，否则投标无效。</w:t>
      </w:r>
    </w:p>
    <w:p w14:paraId="27B91D19">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（3）提交</w:t>
      </w:r>
    </w:p>
    <w:p w14:paraId="50ADD15F">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①投标人以汇款形式缴纳投标保证金的，应从其银行账户（基本存款账户）按照下列方式：公对公转账方式向招标文件载明的投标保证金账户提交投标保证金，具体金额详见招标文件第一章。</w:t>
      </w:r>
    </w:p>
    <w:p w14:paraId="3747DDCB">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②投标人以电子保函形式提交投标保证金的，可在招标文件载明的投标截止时间前通过福建省政府采购平台“保函服务”栏目办理电子保函并在电汇或银行转账单上注明（项目编号）；在投标截止时间之前将电子保函文件放入投标文件中，否则视为未提交投标保证金。</w:t>
      </w:r>
    </w:p>
    <w:p w14:paraId="3A8B137B">
      <w:pPr>
        <w:pStyle w:val="6"/>
        <w:keepNext w:val="0"/>
        <w:keepLines w:val="0"/>
        <w:pageBreakBefore w:val="0"/>
        <w:kinsoku/>
        <w:wordWrap/>
        <w:overflowPunct/>
        <w:topLinePunct w:val="0"/>
        <w:autoSpaceDE/>
        <w:autoSpaceDN/>
        <w:bidi w:val="0"/>
        <w:adjustRightInd/>
        <w:snapToGrid/>
        <w:spacing w:line="500" w:lineRule="exact"/>
        <w:ind w:firstLine="480"/>
        <w:jc w:val="left"/>
        <w:textAlignment w:val="auto"/>
        <w:rPr>
          <w:rFonts w:hint="eastAsia" w:ascii="宋体" w:hAnsi="宋体" w:eastAsia="宋体" w:cs="宋体"/>
          <w:sz w:val="24"/>
          <w:szCs w:val="24"/>
        </w:rPr>
      </w:pPr>
      <w:r>
        <w:rPr>
          <w:rFonts w:hint="eastAsia" w:ascii="宋体" w:hAnsi="宋体" w:eastAsia="宋体" w:cs="宋体"/>
          <w:sz w:val="24"/>
          <w:szCs w:val="24"/>
        </w:rPr>
        <w:t>③其他形式：</w:t>
      </w:r>
    </w:p>
    <w:p w14:paraId="7CA388CF">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无</w:t>
      </w:r>
    </w:p>
    <w:p w14:paraId="761E1F2C">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④若本项目接受联合体投标且投标人为联合体，则联合体中的牵头方应按照本章第10.9条第（3）款第①、②、③点规定提交投标保证金。</w:t>
      </w:r>
    </w:p>
    <w:p w14:paraId="7C9F1A14">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※除招标文件另有规定外，未按照上述规定提交投标保证金将导致资格审查不合格。</w:t>
      </w:r>
    </w:p>
    <w:p w14:paraId="4EFD72AA">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（4）退还</w:t>
      </w:r>
    </w:p>
    <w:p w14:paraId="38597B94">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①在投标截止时间前撤回已提交的电子投标文件的投标人，其投标保证金将在 正弘（福建）项目管理有限公司 收到投标人书面撤回通知之日起5个工作日内退回原账户。</w:t>
      </w:r>
    </w:p>
    <w:p w14:paraId="19E3F0C4">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②未中标人的投标保证金将在中标通知书发出之日起5个工作日内退回原账户。</w:t>
      </w:r>
    </w:p>
    <w:p w14:paraId="733D901C">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③中标人的投标保证金将在政府采购合同签订之日起5个工作日内退回原账户；合同签订之日以福建省政府采购网上公开信息系统记载的为准。</w:t>
      </w:r>
    </w:p>
    <w:p w14:paraId="5FCB78B5">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④终止招标的， 正弘（福建）项目管理有限公司 将在终止公告发布之日起5个工作日内退回已收取的投标保证金及其在银行产生的孳息。</w:t>
      </w:r>
    </w:p>
    <w:p w14:paraId="5B2BA03F">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⑤除招标文件另有规定外，质疑或投诉涉及的投标人，若投标保证金尚未退还，则待质疑或投诉处理完毕后不计利息原额退还。</w:t>
      </w:r>
    </w:p>
    <w:p w14:paraId="4C852BA9">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※本章第10.9条第（4）款第①、②、③点规定的投标保证金退还时限不包括因投标人自身原因导致无法及时退还而增加的时间。</w:t>
      </w:r>
    </w:p>
    <w:p w14:paraId="733B29B3">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5）若出现本章第10.8条第（3）款规定情形，对于拒绝延长投标有效期的投标人，投标保证金仍可退还。对于接受延长投标有效期的投标人，相应延长投标保证金有效期，招标文件关于退还和不予退还投标保证金的规定继续适用。</w:t>
      </w:r>
    </w:p>
    <w:p w14:paraId="0EE7961F">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（6）有下列情形之一的，投标保证金将不予退还或通过投标保函进行索赔：</w:t>
      </w:r>
    </w:p>
    <w:p w14:paraId="6F43AC56">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①投标人串通投标；</w:t>
      </w:r>
    </w:p>
    <w:p w14:paraId="4C563EFF">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②投标人提供虚假材料；</w:t>
      </w:r>
    </w:p>
    <w:p w14:paraId="13E0087F">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③投标人采取不正当手段诋毁、排挤其他投标人；</w:t>
      </w:r>
    </w:p>
    <w:p w14:paraId="1D612CFD">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④投标截止时间后，投标人在投标有效期内撤销电子投标文件；</w:t>
      </w:r>
    </w:p>
    <w:p w14:paraId="60D451A9">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⑤招标文件规定的其他不予退还情形；</w:t>
      </w:r>
    </w:p>
    <w:p w14:paraId="641AAD61">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⑥中标人有下列情形之一的：</w:t>
      </w:r>
    </w:p>
    <w:p w14:paraId="64D5EDD6">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a.除不可抗力外，因中标人自身原因未在中标通知书要求的期限内与采购人签订政府采购合同；</w:t>
      </w:r>
    </w:p>
    <w:p w14:paraId="1E778042">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b.未按照招标文件、投标文件的约定签订政府采购合同或提交履约保证金。</w:t>
      </w:r>
    </w:p>
    <w:p w14:paraId="4A1DC754">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※若上述投标保证金不予退还情形给采购人（采购代理机构）造成损失，则投标人还要承担相应的赔偿责任。</w:t>
      </w:r>
    </w:p>
    <w:p w14:paraId="1310D092">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10.10电子投标文件的提交</w:t>
      </w:r>
    </w:p>
    <w:p w14:paraId="7066DEBD">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（1）一个投标人只能提交一个电子投标文件，并按照招标文件第一章规定在系统上完成上传、解密操作。</w:t>
      </w:r>
    </w:p>
    <w:p w14:paraId="33965CB3">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10.11电子投标文件的补充、修改或撤回</w:t>
      </w:r>
    </w:p>
    <w:p w14:paraId="6A85F44C">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（1）投标截止时间前，投标人可对所提交的电子投标文件进行补充、修改或撤回，并书面通知 正弘（福建）项目管理有限公司 。</w:t>
      </w:r>
    </w:p>
    <w:p w14:paraId="0603C1B6">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（2）补充、修改的内容应按照本章第10.5条第（4）款规定进行签署、盖章，并按照本章第10.10条规定提交，否则将被拒收。</w:t>
      </w:r>
    </w:p>
    <w:p w14:paraId="0CD216E7">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※按照上述规定提交的补充、修改内容作为电子投标文件组成部分。</w:t>
      </w:r>
    </w:p>
    <w:p w14:paraId="10351B9F">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10.12除招标文件另有规定外，有下列情形之一的，投标无效：</w:t>
      </w:r>
    </w:p>
    <w:p w14:paraId="3CF9EFB2">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（1）电子投标文件未按照招标文件要求签署、盖章；</w:t>
      </w:r>
    </w:p>
    <w:p w14:paraId="1F4FD7F4">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（2）不符合招标文件中规定的资格要求；</w:t>
      </w:r>
    </w:p>
    <w:p w14:paraId="014B0B33">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（3）投标报价超过招标文件中规定的预算金额或最高限价；</w:t>
      </w:r>
    </w:p>
    <w:p w14:paraId="0664CEE6">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（4）电子投标文件含有采购人不能接受的附加条件；</w:t>
      </w:r>
    </w:p>
    <w:p w14:paraId="4910DCD8">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（5）有关法律、法规和规章及招标文件规定的其他无效情形。</w:t>
      </w:r>
    </w:p>
    <w:p w14:paraId="50DB0023">
      <w:pPr>
        <w:pStyle w:val="6"/>
        <w:keepNext w:val="0"/>
        <w:keepLines w:val="0"/>
        <w:pageBreakBefore w:val="0"/>
        <w:kinsoku/>
        <w:wordWrap/>
        <w:overflowPunct/>
        <w:topLinePunct w:val="0"/>
        <w:autoSpaceDE/>
        <w:autoSpaceDN/>
        <w:bidi w:val="0"/>
        <w:adjustRightInd/>
        <w:snapToGrid/>
        <w:spacing w:line="500" w:lineRule="exact"/>
        <w:jc w:val="both"/>
        <w:textAlignment w:val="auto"/>
        <w:outlineLvl w:val="2"/>
        <w:rPr>
          <w:rFonts w:hint="eastAsia" w:ascii="宋体" w:hAnsi="宋体" w:eastAsia="宋体" w:cs="宋体"/>
          <w:sz w:val="24"/>
          <w:szCs w:val="24"/>
        </w:rPr>
      </w:pPr>
      <w:r>
        <w:rPr>
          <w:rFonts w:hint="eastAsia" w:ascii="宋体" w:hAnsi="宋体" w:eastAsia="宋体" w:cs="宋体"/>
          <w:b/>
          <w:sz w:val="24"/>
          <w:szCs w:val="24"/>
        </w:rPr>
        <w:t>五、开标</w:t>
      </w:r>
    </w:p>
    <w:p w14:paraId="25AB2995">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11、开标</w:t>
      </w:r>
    </w:p>
    <w:p w14:paraId="383839F2">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11.1 正弘（福建）项目管理有限公司 将在招标文件载明的开标时间及地点主持召开开标会，并邀请投标人参加。</w:t>
      </w:r>
    </w:p>
    <w:p w14:paraId="2A0BCF9F">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11.2开标会的主持人、唱标人、记录人及其他工作人员（若有）均由 正弘（福建）项目管理有限公司 派出，现场监督人员（若有）可由有关方面派出。</w:t>
      </w:r>
    </w:p>
    <w:p w14:paraId="13EF4987">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11.3本项目的开标环节，投标人可自行选择到开标现场参加开标会或者远程参加开标会。远程参与开标流程的投标人需提前在福建省政府采购网-服务专区中下载远程开标操作手册，并按照操作手册的要求参与开标会。如因投标人自身原因造成无法正常参与开标过程的，不利后果由投标人自行承担。</w:t>
      </w:r>
    </w:p>
    <w:p w14:paraId="0208209A">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11.4开标会应遵守下列规定：</w:t>
      </w:r>
    </w:p>
    <w:p w14:paraId="40E8A905">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1）首先由主持人宣布开标会须知，然后由投标人代表对电子投标文件的加密情况进行检查，经确认无误后，由工作人员对参加现场开标会投标人的电子投标文件进行解密。通过远程参与开标流程的投标人须在系统远程解密开启后，在代理机构规定时间内使用CA数字证书进行电子投标文件的解密操作，逾期未解密的视为放弃投标。</w:t>
      </w:r>
    </w:p>
    <w:p w14:paraId="29C07D57">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2）唱标时，唱标人将依次宣布“投标人名称”、“各投标人关于电子投标文件补充、修改或撤回的书面通知（若有）”、“各投标人的投标报价”和招标文件规定的需要宣布的其他内容（包括但不限于：开标（报价）一览表中的内容、唱标人认为需要宣布的内容等）。</w:t>
      </w:r>
    </w:p>
    <w:p w14:paraId="21DB6F48">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（3）唱标结束后，参加现场开标会的投标人代表应对开标记录进行签字确认，通过远程参与开标流程的投标人须在系统远程签章开启后，在系统规定时间内对开标结果进行签章确认。</w:t>
      </w:r>
    </w:p>
    <w:p w14:paraId="7BA93B34">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4）投标人代表对开标过程和开标记录有疑义，以及认为采购人（采购代理机构）相关工作人员有需要回避情形的，应当场或通过系统提出询问或回避申请。投标人代表未按规定提出疑义又拒绝对开标记录签字或通过系统远程签章确认的，视为投标人对开标过程和开标记录予以认可。</w:t>
      </w:r>
    </w:p>
    <w:p w14:paraId="2E174484">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（5）若投标人未到开标现场参加开标会，也未通过远程参加开标会的，视同认可开标结果。</w:t>
      </w:r>
    </w:p>
    <w:p w14:paraId="0DE00170">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若出现本章第11.4条第（3）、（4）、（5）款规定情形之一，则投标人不得在开标会后就开标过程和开标记录涉及或可能涉及的有关事由（包括但不限于：“投标报价”、“电子投标文件的格式”、“电子投标文件的提交”、“电子投标文件的补充、修改或撤回”等）向 正弘（福建）项目管理有限公司 提出任何疑义或要求（包括质疑）。</w:t>
      </w:r>
    </w:p>
    <w:p w14:paraId="6F6769C6">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11.5投标截止时间后，参加投标的投标人不足三家的，不进行开标。同时，本次采购活动结束， 正弘（福建）项目管理有限公司 将依法组织后续采购活动（包括但不限于：重新招标、采用其他方式采购等）。</w:t>
      </w:r>
    </w:p>
    <w:p w14:paraId="4C7C112F">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11.6投标截止时间后撤销投标的处理</w:t>
      </w:r>
    </w:p>
    <w:p w14:paraId="4036C143">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投标截止时间后，投标人在投标有效期内撤销投标的，其撤销投标的行为无效。</w:t>
      </w:r>
    </w:p>
    <w:p w14:paraId="041806C1">
      <w:pPr>
        <w:pStyle w:val="6"/>
        <w:keepNext w:val="0"/>
        <w:keepLines w:val="0"/>
        <w:pageBreakBefore w:val="0"/>
        <w:kinsoku/>
        <w:wordWrap/>
        <w:overflowPunct/>
        <w:topLinePunct w:val="0"/>
        <w:autoSpaceDE/>
        <w:autoSpaceDN/>
        <w:bidi w:val="0"/>
        <w:adjustRightInd/>
        <w:snapToGrid/>
        <w:spacing w:line="500" w:lineRule="exact"/>
        <w:jc w:val="both"/>
        <w:textAlignment w:val="auto"/>
        <w:outlineLvl w:val="2"/>
        <w:rPr>
          <w:rFonts w:hint="eastAsia" w:ascii="宋体" w:hAnsi="宋体" w:eastAsia="宋体" w:cs="宋体"/>
          <w:sz w:val="24"/>
          <w:szCs w:val="24"/>
        </w:rPr>
      </w:pPr>
      <w:r>
        <w:rPr>
          <w:rFonts w:hint="eastAsia" w:ascii="宋体" w:hAnsi="宋体" w:eastAsia="宋体" w:cs="宋体"/>
          <w:b/>
          <w:sz w:val="24"/>
          <w:szCs w:val="24"/>
        </w:rPr>
        <w:t>六、中标与政府采购合同</w:t>
      </w:r>
    </w:p>
    <w:p w14:paraId="2E1D580F">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12、中标</w:t>
      </w:r>
    </w:p>
    <w:p w14:paraId="4254BE01">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12.1本项目推荐的中标候选人家数：详见招标文件第二章。</w:t>
      </w:r>
    </w:p>
    <w:p w14:paraId="67B32761">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12.2本项目中标人的确定：详见招标文件第二章。</w:t>
      </w:r>
    </w:p>
    <w:p w14:paraId="6D7CDB93">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12.3中标公告</w:t>
      </w:r>
    </w:p>
    <w:p w14:paraId="02E1D94A">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（1）中标人确定之日起2个工作日内， 正弘（福建）项目管理有限公司 将在招标文件载明的指定媒体以中标公告的形式发布中标结果。</w:t>
      </w:r>
    </w:p>
    <w:p w14:paraId="0D17A5E7">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（2）中标公告的公告期限为1个工作日。</w:t>
      </w:r>
    </w:p>
    <w:p w14:paraId="5476254F">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12.4中标通知书</w:t>
      </w:r>
    </w:p>
    <w:p w14:paraId="0ACA8711">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（1）中标公告发布的同时， 正弘（福建）项目管理有限公司 将向中标人发出中标通知书。</w:t>
      </w:r>
    </w:p>
    <w:p w14:paraId="7D4704B2">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（2）中标通知书发出后，采购人不得违法改变中标结果，中标人无正当理由不得放弃中标。</w:t>
      </w:r>
    </w:p>
    <w:p w14:paraId="731C14E4">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13、政府采购合同</w:t>
      </w:r>
    </w:p>
    <w:p w14:paraId="6C62A5EC">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13.1签订政府采购合同应遵守政府采购法及实施条例的规定，不得对招标文件确定的事项和中标人的电子投标文件作实质性修改。采购人不得向中标人提出任何不合理的要求作为政府采购合同的签订条件。</w:t>
      </w:r>
    </w:p>
    <w:p w14:paraId="13BD6C98">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13.2签订时限：详见须知前附表1的13.2。</w:t>
      </w:r>
    </w:p>
    <w:p w14:paraId="72AA9EA1">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13.3政府采购合同的履行、违约责任和解决争议的方法等适用民法典。</w:t>
      </w:r>
    </w:p>
    <w:p w14:paraId="2F2E75D9">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13.4采购人与中标人应根据政府采购合同的约定依法履行合同义务。</w:t>
      </w:r>
    </w:p>
    <w:p w14:paraId="690BB2E0">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13.5政府采购合同履行过程中，采购人若需追加与合同标的相同的货物或服务，则追加采购金额不得超过原合同采购金额的10%。</w:t>
      </w:r>
    </w:p>
    <w:p w14:paraId="7F07667F">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13.6中标人在政府采购合同履行过程中应遵守有关法律、法规和规章的强制性规定（即使前述强制性规定有可能在招标文件中未予列明）。</w:t>
      </w:r>
    </w:p>
    <w:p w14:paraId="341DBC46">
      <w:pPr>
        <w:pStyle w:val="6"/>
        <w:keepNext w:val="0"/>
        <w:keepLines w:val="0"/>
        <w:pageBreakBefore w:val="0"/>
        <w:kinsoku/>
        <w:wordWrap/>
        <w:overflowPunct/>
        <w:topLinePunct w:val="0"/>
        <w:autoSpaceDE/>
        <w:autoSpaceDN/>
        <w:bidi w:val="0"/>
        <w:adjustRightInd/>
        <w:snapToGrid/>
        <w:spacing w:line="500" w:lineRule="exact"/>
        <w:jc w:val="both"/>
        <w:textAlignment w:val="auto"/>
        <w:outlineLvl w:val="2"/>
        <w:rPr>
          <w:rFonts w:hint="eastAsia" w:ascii="宋体" w:hAnsi="宋体" w:eastAsia="宋体" w:cs="宋体"/>
          <w:sz w:val="24"/>
          <w:szCs w:val="24"/>
        </w:rPr>
      </w:pPr>
      <w:r>
        <w:rPr>
          <w:rFonts w:hint="eastAsia" w:ascii="宋体" w:hAnsi="宋体" w:eastAsia="宋体" w:cs="宋体"/>
          <w:b/>
          <w:sz w:val="24"/>
          <w:szCs w:val="24"/>
        </w:rPr>
        <w:t>七、询问、质疑与投诉</w:t>
      </w:r>
    </w:p>
    <w:p w14:paraId="510619FB">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14、询问</w:t>
      </w:r>
    </w:p>
    <w:p w14:paraId="286EB485">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14.1潜在投标人或投标人对本次采购活动的有关事项若有疑问，可向 正弘（福建）项目管理有限公司 提出询问， 正弘（福建）项目管理有限公司 将按照政府采购法及实施条例的有关规定进行答复。</w:t>
      </w:r>
    </w:p>
    <w:p w14:paraId="16FD9F8D">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15、质疑</w:t>
      </w:r>
    </w:p>
    <w:p w14:paraId="7C0F3029">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15.1针对同一采购程序环节的质疑应在政府采购法及实施条例的时限内一次性提出，对一个项目的不同采购包提出质疑的，应当将各采购包质疑事项集中在一份质疑函中提出，并同时符合下列条件：</w:t>
      </w:r>
    </w:p>
    <w:p w14:paraId="4EEEA270">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（1）对招标文件提出质疑的，质疑人应为潜在投标人，且两者的身份、名称等均应保持一致。对采购过程、结果提出质疑的，质疑人应为投标人，且两者的身份、名称等均应保持一致。</w:t>
      </w:r>
    </w:p>
    <w:p w14:paraId="42FBC2AB">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（2）质疑人应按照招标文件第二章规定方式提交质疑函。</w:t>
      </w:r>
    </w:p>
    <w:p w14:paraId="42723443">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（3）质疑函应包括下列主要内容：</w:t>
      </w:r>
    </w:p>
    <w:p w14:paraId="74DB0C5F">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①质疑人的基本信息，至少包括：全称、地址、邮政编码等；</w:t>
      </w:r>
    </w:p>
    <w:p w14:paraId="265E426E">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②所质疑项目的基本信息，至少包括：项目编号、项目名称等；</w:t>
      </w:r>
    </w:p>
    <w:p w14:paraId="16ED9F5D">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③所质疑的具体事项（以下简称：“质疑事项”）；</w:t>
      </w:r>
    </w:p>
    <w:p w14:paraId="7D5E49D1">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④针对质疑事项提出的明确请求，前述明确请求指质疑人提出质疑的目的以及希望 正弘（福建）项目管理有限公司 对其质疑作出的处理结果，如：暂停招标投标活动、修改招标文件、停止或纠正违法违规行为、中标结果无效、废标、重新招标等；</w:t>
      </w:r>
    </w:p>
    <w:p w14:paraId="5625BD51">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⑤针对质疑事项导致质疑人自身权益受到损害的必要证明材料，至少包括：</w:t>
      </w:r>
    </w:p>
    <w:p w14:paraId="1F12F435">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a.质疑人代表的身份证明材料：</w:t>
      </w:r>
    </w:p>
    <w:p w14:paraId="55F5A859">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a1质疑人为法人或其他组织的，提供统一社会信用代码营业执照等证明文件的副本复印件、单位负责人的身份证复印件；质疑人代表为委托代理人的，还应同时提供单位负责人授权书（应载明代理人的姓名或者名称、代理事项、具体权限、期限和相关事项，授权书应由单位负责人签字或盖章，并加盖投标人的单位公章）和委托代理人的身份证复印件。</w:t>
      </w:r>
    </w:p>
    <w:p w14:paraId="2912BAFE">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a2若本项目接受自然人投标且质疑人为自然人的，提供本人的身份证复印件。</w:t>
      </w:r>
    </w:p>
    <w:p w14:paraId="1A1C8B5A">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b.其他证明材料（即事实依据和必要的法律依据）包括但不限于下列材料：</w:t>
      </w:r>
    </w:p>
    <w:p w14:paraId="64AF537F">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b1所质疑的具体事项是与自己有利害关系的证明材料；</w:t>
      </w:r>
    </w:p>
    <w:p w14:paraId="7B0E05D0">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b2质疑函所述事实存在的证明材料，如：采购文件、采购过程或中标结果违法违规或不符合采购文件要求等证明材料；</w:t>
      </w:r>
    </w:p>
    <w:p w14:paraId="34E89646">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b3依法应终止采购程序的证明材料；</w:t>
      </w:r>
    </w:p>
    <w:p w14:paraId="2AB2BA4D">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b4应重新采购的证明材料；</w:t>
      </w:r>
    </w:p>
    <w:p w14:paraId="0057F807">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b5采购文件、采购过程或中标、成交结果损害自己合法权益的证明材料等；</w:t>
      </w:r>
    </w:p>
    <w:p w14:paraId="166C9770">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b6若质疑的具体事项按照有关法律、法规和规章规定处于保密阶段，则应提供信息或证明材料为合法或公开渠道获得的有效证据（若证据无法有效表明信息或证明材料为合法或公开渠道获得，则前述信息或证明材料视为无效）。</w:t>
      </w:r>
    </w:p>
    <w:p w14:paraId="667A16F7">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⑥质疑人代表及其联系方法的信息，至少包括：姓名、手机、电子信箱、邮寄地址等。</w:t>
      </w:r>
    </w:p>
    <w:p w14:paraId="266F2F59">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⑦提出质疑的日期。</w:t>
      </w:r>
    </w:p>
    <w:p w14:paraId="6B74B701">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※质疑人为法人或其他组织的，质疑函应由单位负责人或委托代理人签字或盖章，并加盖投标人的单位公章。质疑人为自然人的，质疑函应由本人签字。</w:t>
      </w:r>
    </w:p>
    <w:p w14:paraId="12614A30">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15.2对不符合本章第15.1条规定的质疑，将按照下列规定进行处理：</w:t>
      </w:r>
    </w:p>
    <w:p w14:paraId="1049E157">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（1）不符合其中第（1）、（2）条规定的，书面告知质疑人不予受理及其理由。</w:t>
      </w:r>
    </w:p>
    <w:p w14:paraId="03FA140C">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（2）不符合其中第（3）条规定的，书面告知质疑人修改、补充后在规定时限内重新提交质疑函。</w:t>
      </w:r>
    </w:p>
    <w:p w14:paraId="767BCDDC">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15.3对符合本章第15.1条规定的质疑，将按照政府采购法及实施条例、政府采购质疑和投诉办法的有关规定进行答复。</w:t>
      </w:r>
    </w:p>
    <w:p w14:paraId="0B79C290">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15.4招标文件的质疑：详见招标文件第二章。</w:t>
      </w:r>
    </w:p>
    <w:p w14:paraId="7D29ABE3">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16、投诉</w:t>
      </w:r>
    </w:p>
    <w:p w14:paraId="2E8FFB88">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16.1若对质疑答复不满意或质疑答复未在答复期限内作出，质疑人可在答复期限届满之日起15个工作日内按照政府采购质疑和投诉办法的有关规定向招标文件第二章载明的本项目监督管理部门提起投诉。</w:t>
      </w:r>
    </w:p>
    <w:p w14:paraId="20AF2C71">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16.2投诉应有明确的请求和必要的证明材料，投诉的事项不得超出已质疑事项的范围。</w:t>
      </w:r>
    </w:p>
    <w:p w14:paraId="7CEB53D1">
      <w:pPr>
        <w:pStyle w:val="6"/>
        <w:keepNext w:val="0"/>
        <w:keepLines w:val="0"/>
        <w:pageBreakBefore w:val="0"/>
        <w:kinsoku/>
        <w:wordWrap/>
        <w:overflowPunct/>
        <w:topLinePunct w:val="0"/>
        <w:autoSpaceDE/>
        <w:autoSpaceDN/>
        <w:bidi w:val="0"/>
        <w:adjustRightInd/>
        <w:snapToGrid/>
        <w:spacing w:line="500" w:lineRule="exact"/>
        <w:jc w:val="both"/>
        <w:textAlignment w:val="auto"/>
        <w:outlineLvl w:val="2"/>
        <w:rPr>
          <w:rFonts w:hint="eastAsia" w:ascii="宋体" w:hAnsi="宋体" w:eastAsia="宋体" w:cs="宋体"/>
          <w:sz w:val="24"/>
          <w:szCs w:val="24"/>
        </w:rPr>
      </w:pPr>
      <w:r>
        <w:rPr>
          <w:rFonts w:hint="eastAsia" w:ascii="宋体" w:hAnsi="宋体" w:eastAsia="宋体" w:cs="宋体"/>
          <w:b/>
          <w:sz w:val="24"/>
          <w:szCs w:val="24"/>
        </w:rPr>
        <w:t>八、政府采购政策</w:t>
      </w:r>
    </w:p>
    <w:p w14:paraId="45C05BC7">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17、政府采购政策由财政部根据国家的经济和社会发展政策并会同国家有关部委制定，包括但不限于下列具体政策要求：</w:t>
      </w:r>
    </w:p>
    <w:p w14:paraId="1C8B7B02">
      <w:pPr>
        <w:pStyle w:val="6"/>
        <w:keepNext w:val="0"/>
        <w:keepLines w:val="0"/>
        <w:pageBreakBefore w:val="0"/>
        <w:kinsoku/>
        <w:wordWrap/>
        <w:overflowPunct/>
        <w:topLinePunct w:val="0"/>
        <w:autoSpaceDE/>
        <w:autoSpaceDN/>
        <w:bidi w:val="0"/>
        <w:adjustRightInd/>
        <w:snapToGrid/>
        <w:spacing w:line="500" w:lineRule="exact"/>
        <w:ind w:firstLine="480"/>
        <w:jc w:val="left"/>
        <w:textAlignment w:val="auto"/>
        <w:rPr>
          <w:rFonts w:hint="eastAsia" w:ascii="宋体" w:hAnsi="宋体" w:eastAsia="宋体" w:cs="宋体"/>
          <w:sz w:val="24"/>
          <w:szCs w:val="24"/>
        </w:rPr>
      </w:pPr>
      <w:r>
        <w:rPr>
          <w:rFonts w:hint="eastAsia" w:ascii="宋体" w:hAnsi="宋体" w:eastAsia="宋体" w:cs="宋体"/>
          <w:sz w:val="24"/>
          <w:szCs w:val="24"/>
        </w:rPr>
        <w:t>17.1本国产品与非本国产品相关约定</w:t>
      </w:r>
    </w:p>
    <w:p w14:paraId="668BC9A2">
      <w:pPr>
        <w:pStyle w:val="6"/>
        <w:keepNext w:val="0"/>
        <w:keepLines w:val="0"/>
        <w:pageBreakBefore w:val="0"/>
        <w:kinsoku/>
        <w:wordWrap/>
        <w:overflowPunct/>
        <w:topLinePunct w:val="0"/>
        <w:autoSpaceDE/>
        <w:autoSpaceDN/>
        <w:bidi w:val="0"/>
        <w:adjustRightInd/>
        <w:snapToGrid/>
        <w:spacing w:line="500" w:lineRule="exact"/>
        <w:ind w:firstLine="480"/>
        <w:jc w:val="left"/>
        <w:textAlignment w:val="auto"/>
        <w:rPr>
          <w:rFonts w:hint="eastAsia" w:ascii="宋体" w:hAnsi="宋体" w:eastAsia="宋体" w:cs="宋体"/>
          <w:sz w:val="24"/>
          <w:szCs w:val="24"/>
        </w:rPr>
      </w:pPr>
      <w:r>
        <w:rPr>
          <w:rFonts w:hint="eastAsia" w:ascii="宋体" w:hAnsi="宋体" w:eastAsia="宋体" w:cs="宋体"/>
          <w:sz w:val="24"/>
          <w:szCs w:val="24"/>
        </w:rPr>
        <w:t>17.1.1本国产品</w:t>
      </w:r>
    </w:p>
    <w:p w14:paraId="7315C385">
      <w:pPr>
        <w:pStyle w:val="6"/>
        <w:keepNext w:val="0"/>
        <w:keepLines w:val="0"/>
        <w:pageBreakBefore w:val="0"/>
        <w:kinsoku/>
        <w:wordWrap/>
        <w:overflowPunct/>
        <w:topLinePunct w:val="0"/>
        <w:autoSpaceDE/>
        <w:autoSpaceDN/>
        <w:bidi w:val="0"/>
        <w:adjustRightInd/>
        <w:snapToGrid/>
        <w:spacing w:line="500" w:lineRule="exact"/>
        <w:ind w:firstLine="480"/>
        <w:jc w:val="left"/>
        <w:textAlignment w:val="auto"/>
        <w:rPr>
          <w:rFonts w:hint="eastAsia" w:ascii="宋体" w:hAnsi="宋体" w:eastAsia="宋体" w:cs="宋体"/>
          <w:sz w:val="24"/>
          <w:szCs w:val="24"/>
        </w:rPr>
      </w:pPr>
      <w:r>
        <w:rPr>
          <w:rFonts w:hint="eastAsia" w:ascii="宋体" w:hAnsi="宋体" w:eastAsia="宋体" w:cs="宋体"/>
          <w:sz w:val="24"/>
          <w:szCs w:val="24"/>
        </w:rPr>
        <w:t>（1）本国产品标准 本国产品应当符合以下条件： ①在中国境内生产。 产品应当在中国境内生产，即在中华人民共和国关境内实现从原材料、组件到产品的属性改变。 属性改变是指经过制造、加工或者组装等工序，产生完全不同于原材料、组件的新产品，并具有新的名称和特征（用途）。属性改变不包括以下细微操作： a.为确保产品在运输或者储存期间保持某种状态而进行的操作； b.为产品运输或者销售进行的包装或者展示； c.在产品或者其包装上粘贴或者印刷品牌、标志、标识以及其他用于区别的标记； d.简单的上漆、磨光和分装； e.其他不属于属性改变的情形。 ②在中国境内生产的组件成本占比达到规定比例。 具体判定标准以《国务院办公厅关于在政府采购中实施本国产品标准及相关政策的通知》以及财政部相关文件为准。 ③特定产品的关键组件、关键工序符合相关要求。 具体判定标准以《国务院办公厅关于在政府采购中实施本国产品标准及相关政策的通知》以及财政部相关文件为准。</w:t>
      </w:r>
    </w:p>
    <w:p w14:paraId="6F6BA170">
      <w:pPr>
        <w:pStyle w:val="6"/>
        <w:keepNext w:val="0"/>
        <w:keepLines w:val="0"/>
        <w:pageBreakBefore w:val="0"/>
        <w:kinsoku/>
        <w:wordWrap/>
        <w:overflowPunct/>
        <w:topLinePunct w:val="0"/>
        <w:autoSpaceDE/>
        <w:autoSpaceDN/>
        <w:bidi w:val="0"/>
        <w:adjustRightInd/>
        <w:snapToGrid/>
        <w:spacing w:line="500" w:lineRule="exact"/>
        <w:ind w:firstLine="480"/>
        <w:jc w:val="left"/>
        <w:textAlignment w:val="auto"/>
        <w:rPr>
          <w:rFonts w:hint="eastAsia" w:ascii="宋体" w:hAnsi="宋体" w:eastAsia="宋体" w:cs="宋体"/>
          <w:sz w:val="24"/>
          <w:szCs w:val="24"/>
        </w:rPr>
      </w:pPr>
      <w:r>
        <w:rPr>
          <w:rFonts w:hint="eastAsia" w:ascii="宋体" w:hAnsi="宋体" w:eastAsia="宋体" w:cs="宋体"/>
          <w:sz w:val="24"/>
          <w:szCs w:val="24"/>
        </w:rPr>
        <w:t>（2）本国产品标准的适用范围 本国产品标准适用于货物，包括政府采购货物项目和服务项目中涉及的货物。适用本国产品标准的货物具体是指《政府采购品目分类目录》中的货物类产品，但不包括其中的房屋和构筑物，文物和陈列品，图书和档案，特种动植物，农林牧渔业产品，矿与矿物，电力、城市燃气、蒸汽和热水、水，食品、饮料和烟草原料，无形资产。</w:t>
      </w:r>
    </w:p>
    <w:p w14:paraId="1E21DC58">
      <w:pPr>
        <w:pStyle w:val="6"/>
        <w:keepNext w:val="0"/>
        <w:keepLines w:val="0"/>
        <w:pageBreakBefore w:val="0"/>
        <w:kinsoku/>
        <w:wordWrap/>
        <w:overflowPunct/>
        <w:topLinePunct w:val="0"/>
        <w:autoSpaceDE/>
        <w:autoSpaceDN/>
        <w:bidi w:val="0"/>
        <w:adjustRightInd/>
        <w:snapToGrid/>
        <w:spacing w:line="500" w:lineRule="exact"/>
        <w:ind w:firstLine="480"/>
        <w:jc w:val="left"/>
        <w:textAlignment w:val="auto"/>
        <w:rPr>
          <w:rFonts w:hint="eastAsia" w:ascii="宋体" w:hAnsi="宋体" w:eastAsia="宋体" w:cs="宋体"/>
          <w:sz w:val="24"/>
          <w:szCs w:val="24"/>
        </w:rPr>
      </w:pPr>
      <w:r>
        <w:rPr>
          <w:rFonts w:hint="eastAsia" w:ascii="宋体" w:hAnsi="宋体" w:eastAsia="宋体" w:cs="宋体"/>
          <w:sz w:val="24"/>
          <w:szCs w:val="24"/>
        </w:rPr>
        <w:t>（3）对本国产品的支持政策 政府采购活动中既有本国产品又有非本国产品参与竞争的，依法对本国产品给予价格评审优惠，对本国产品的报价给予20%的价格扣除，用扣除后的价格参与评审。</w:t>
      </w:r>
    </w:p>
    <w:p w14:paraId="2F5262D1">
      <w:pPr>
        <w:pStyle w:val="6"/>
        <w:keepNext w:val="0"/>
        <w:keepLines w:val="0"/>
        <w:pageBreakBefore w:val="0"/>
        <w:kinsoku/>
        <w:wordWrap/>
        <w:overflowPunct/>
        <w:topLinePunct w:val="0"/>
        <w:autoSpaceDE/>
        <w:autoSpaceDN/>
        <w:bidi w:val="0"/>
        <w:adjustRightInd/>
        <w:snapToGrid/>
        <w:spacing w:line="500" w:lineRule="exact"/>
        <w:ind w:firstLine="480"/>
        <w:jc w:val="left"/>
        <w:textAlignment w:val="auto"/>
        <w:rPr>
          <w:rFonts w:hint="eastAsia" w:ascii="宋体" w:hAnsi="宋体" w:eastAsia="宋体" w:cs="宋体"/>
          <w:sz w:val="24"/>
          <w:szCs w:val="24"/>
        </w:rPr>
      </w:pPr>
      <w:r>
        <w:rPr>
          <w:rFonts w:hint="eastAsia" w:ascii="宋体" w:hAnsi="宋体" w:eastAsia="宋体" w:cs="宋体"/>
          <w:sz w:val="24"/>
          <w:szCs w:val="24"/>
        </w:rPr>
        <w:t>当采购项目或者采购包中含有多种产品，供应商为该采购项目或者采购包提供的符合本国产品标准的产品成本之和占该供应商提供的全部产品成本之和的比例达到80%以上时，依法对该供应商提供的全部产品给予价格评审优惠，即对该供应商提供的全部产品的总报价给予20%的价格扣除，用扣除后的价格参与评审。</w:t>
      </w:r>
    </w:p>
    <w:p w14:paraId="5BDEEB3D">
      <w:pPr>
        <w:pStyle w:val="6"/>
        <w:keepNext w:val="0"/>
        <w:keepLines w:val="0"/>
        <w:pageBreakBefore w:val="0"/>
        <w:kinsoku/>
        <w:wordWrap/>
        <w:overflowPunct/>
        <w:topLinePunct w:val="0"/>
        <w:autoSpaceDE/>
        <w:autoSpaceDN/>
        <w:bidi w:val="0"/>
        <w:adjustRightInd/>
        <w:snapToGrid/>
        <w:spacing w:line="500" w:lineRule="exact"/>
        <w:ind w:firstLine="480"/>
        <w:jc w:val="left"/>
        <w:textAlignment w:val="auto"/>
        <w:rPr>
          <w:rFonts w:hint="eastAsia" w:ascii="宋体" w:hAnsi="宋体" w:eastAsia="宋体" w:cs="宋体"/>
          <w:sz w:val="24"/>
          <w:szCs w:val="24"/>
        </w:rPr>
      </w:pPr>
      <w:r>
        <w:rPr>
          <w:rFonts w:hint="eastAsia" w:ascii="宋体" w:hAnsi="宋体" w:eastAsia="宋体" w:cs="宋体"/>
          <w:sz w:val="24"/>
          <w:szCs w:val="24"/>
        </w:rPr>
        <w:t>17.1.2 非本国产品</w:t>
      </w:r>
    </w:p>
    <w:p w14:paraId="1D274A75">
      <w:pPr>
        <w:pStyle w:val="6"/>
        <w:keepNext w:val="0"/>
        <w:keepLines w:val="0"/>
        <w:pageBreakBefore w:val="0"/>
        <w:kinsoku/>
        <w:wordWrap/>
        <w:overflowPunct/>
        <w:topLinePunct w:val="0"/>
        <w:autoSpaceDE/>
        <w:autoSpaceDN/>
        <w:bidi w:val="0"/>
        <w:adjustRightInd/>
        <w:snapToGrid/>
        <w:spacing w:line="500" w:lineRule="exact"/>
        <w:ind w:firstLine="480"/>
        <w:jc w:val="left"/>
        <w:textAlignment w:val="auto"/>
        <w:rPr>
          <w:rFonts w:hint="eastAsia" w:ascii="宋体" w:hAnsi="宋体" w:eastAsia="宋体" w:cs="宋体"/>
          <w:sz w:val="24"/>
          <w:szCs w:val="24"/>
        </w:rPr>
      </w:pPr>
      <w:r>
        <w:rPr>
          <w:rFonts w:hint="eastAsia" w:ascii="宋体" w:hAnsi="宋体" w:eastAsia="宋体" w:cs="宋体"/>
          <w:sz w:val="24"/>
          <w:szCs w:val="24"/>
        </w:rPr>
        <w:t>17.1.2.1 进口产品：指通过中国海关报关验放进入中国境内且产自关境外的产品，其中：</w:t>
      </w:r>
    </w:p>
    <w:p w14:paraId="187CFB18">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1）我国现行关境指适用海关法的中华人民共和国行政管辖区域，不包括香港、澳门和台湾金马等单独关境地区；保税区、出口加工区、保税港区、珠澳跨境工业区珠海园区、中哈霍尔果斯国际边境合作中心中方配套区、综合保税区等区域，为海关特殊监管区域，仍属于中华人民共和国关境内区域，由海关按照海关法实施监管。</w:t>
      </w:r>
    </w:p>
    <w:p w14:paraId="3687423B">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（2）凡在海关特殊监管区域内企业生产或加工（包括从境外进口料件）销往境内其他地区的产品，不作为政府采购项下进口产品。</w:t>
      </w:r>
    </w:p>
    <w:p w14:paraId="056A4D18">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（3）对从境外进入海关特殊监管区域，再经办理报关手续后从海关特殊监管区进入境内其他地区的产品，认定为进口产品。</w:t>
      </w:r>
    </w:p>
    <w:p w14:paraId="1B91BB71">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（4）招标文件列明不允许或未列明允许进口产品参加投标的，均视为拒绝进口产品参加投标。</w:t>
      </w:r>
    </w:p>
    <w:p w14:paraId="2FC8F87D">
      <w:pPr>
        <w:pStyle w:val="6"/>
        <w:keepNext w:val="0"/>
        <w:keepLines w:val="0"/>
        <w:pageBreakBefore w:val="0"/>
        <w:kinsoku/>
        <w:wordWrap/>
        <w:overflowPunct/>
        <w:topLinePunct w:val="0"/>
        <w:autoSpaceDE/>
        <w:autoSpaceDN/>
        <w:bidi w:val="0"/>
        <w:adjustRightInd/>
        <w:snapToGrid/>
        <w:spacing w:line="500" w:lineRule="exact"/>
        <w:ind w:firstLine="480"/>
        <w:jc w:val="left"/>
        <w:textAlignment w:val="auto"/>
        <w:rPr>
          <w:rFonts w:hint="eastAsia" w:ascii="宋体" w:hAnsi="宋体" w:eastAsia="宋体" w:cs="宋体"/>
          <w:sz w:val="24"/>
          <w:szCs w:val="24"/>
        </w:rPr>
      </w:pPr>
      <w:r>
        <w:rPr>
          <w:rFonts w:hint="eastAsia" w:ascii="宋体" w:hAnsi="宋体" w:eastAsia="宋体" w:cs="宋体"/>
          <w:sz w:val="24"/>
          <w:szCs w:val="24"/>
        </w:rPr>
        <w:t>17.1.2.2 其它非本国产品：指非进口产品且不符合本国产品标准的产品。</w:t>
      </w:r>
    </w:p>
    <w:p w14:paraId="1F43ED20">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17.2政府采购节能产品、环境标志产品实施品目清单管理。财政部、发展改革委、生态环境部等部门根据产品节能环保性能、技术水平和市场成熟程度等因素，确定实施政府优先采购和强制采购的产品类别及所依据的相关标准规范，以品目清单的形式发布并适时调整。依据品目清单和认证证书实施政府优先采购和强制采购。采购人拟采购的产品属于品目清单范围的，采购人及其委托的采购代理机构应当依据国家确定的认证机构出具的、处于有效期之内的节能产品、环境标志产品认证证书，对获得证书的产品实施政府优先采购或强制采购。</w:t>
      </w:r>
    </w:p>
    <w:p w14:paraId="28F3FEB1">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17.3符合财政部、工信部文件（财库〔2020〕46号）规定的中小企业可享受扶持政策（如：预留采购份额、价格评审优惠、优先采购）。符合财政部、司法部文件（财库[2014]68号）规定的监狱企业（以下简称：“监狱企业”）亦可享受前述扶持政策。符合财政部、民政部、中国残联文件（财库[2017]141号）规定的残疾人福利性单位（以下简称：“残疾人福利性单位”）亦可享受前述扶持政策。其中：</w:t>
      </w:r>
    </w:p>
    <w:p w14:paraId="0137E0B3">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（1）中小企业指符合下列条件的中型、小型、微型企业：</w:t>
      </w:r>
    </w:p>
    <w:p w14:paraId="3C30548A">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①符合《工业和信息化部、国家统计局、国家发展和改革委员会、财政部关于印发中小企业划型标准规定的通知》（工信部联企业[2011]300号）规定的划分标准，但与大企业的负责人为同一人，或者与大企业存在直接控股、管理关系的除外；</w:t>
      </w:r>
    </w:p>
    <w:p w14:paraId="2AFB78AB">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②符合中小企业划分标准的个体工商户，在政府采购活动中视同中小企业。</w:t>
      </w:r>
    </w:p>
    <w:p w14:paraId="4FB1CC6B">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（2）在政府采购活动中，供应商提供的货物、工程或者服务符合下列情形的，享受本办法规定的中小企业扶持政策：</w:t>
      </w:r>
    </w:p>
    <w:p w14:paraId="6380B40E">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①在货物采购项目中，货物由中小企业制造，即货物由中小企业生产且使用该中小企业商号或者注册商标；</w:t>
      </w:r>
    </w:p>
    <w:p w14:paraId="31B4E083">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②在工程采购项目中，工程由中小企业承建，即工程施工单位为中小企业；</w:t>
      </w:r>
    </w:p>
    <w:p w14:paraId="20EC664C">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③在服务采购项目中，服务由中小企业承接，即提供服务的人员为中小企业依照《中华人民共和国劳动合同法》订立劳动合同的从业人员。</w:t>
      </w:r>
    </w:p>
    <w:p w14:paraId="667C4F3D">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在货物采购项目中，供应商提供的货物既有中小企业制造货物，也有大型企业制造货物的，不享受本办法规定的中小企业扶持政策。</w:t>
      </w:r>
    </w:p>
    <w:p w14:paraId="5A92AD04">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以联合体形式参加政府采购活动，联合体各方均为中小企业的，联合体视同中小企业。其中，联合体各方均为小微企业的，联合体视同小微企业。</w:t>
      </w:r>
    </w:p>
    <w:p w14:paraId="17A41171">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（3）投标人应当按照招标文件明确的采购标的对应行业的划分标准出具中小企业声明函。</w:t>
      </w:r>
    </w:p>
    <w:p w14:paraId="0F2DC666">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在项目属性为货物类采购项目中，货物应当由中小企业制造，不对其中涉及的服务的承接商作出要求；在项目属性为服务类采购项目中，服务的承接商应当为中小企业，不对其中涉及的货物的制造商作出要求；在项目属性为工程类采购项目中，工程应当由中小企业承建，不对其中涉及的货物的制造商和服务的承接商作出要求。</w:t>
      </w:r>
    </w:p>
    <w:p w14:paraId="6C39D817">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4）监狱企业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其中：</w:t>
      </w:r>
    </w:p>
    <w:p w14:paraId="362FD4D1">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①监狱企业参加采购活动时，应提供由省级以上监狱管理局、戒毒管理局（含新疆生产建设兵团）出具的属于监狱企业的证明文件。</w:t>
      </w:r>
    </w:p>
    <w:p w14:paraId="7B85173F">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②监狱企业视同小型、微型企业。</w:t>
      </w:r>
    </w:p>
    <w:p w14:paraId="1C8E932C">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（5）残疾人福利性单位指同时符合下列条件的单位：</w:t>
      </w:r>
    </w:p>
    <w:p w14:paraId="4699004F">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①安置的残疾人占本单位在职职工人数的比例不低于25%（含25%），并且安置的残疾人人数不少于10人（含10人）；</w:t>
      </w:r>
    </w:p>
    <w:p w14:paraId="7063B33B">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②依法与安置的每位残疾人签订了一年以上（含一年）的劳动合同或服务协议；</w:t>
      </w:r>
    </w:p>
    <w:p w14:paraId="0334A84F">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③为安置的每位残疾人按月足额缴纳了基本养老保险、基本医疗保险、失业保险、工伤保险和生育保险等社会保险费；</w:t>
      </w:r>
    </w:p>
    <w:p w14:paraId="240272A0">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④通过银行等金融机构向安置的每位残疾人，按月支付了不低于单位所在区县适用的经省级人民政府批准的月最低工资标准的工资；</w:t>
      </w:r>
    </w:p>
    <w:p w14:paraId="55F4F110">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⑤提供本单位制造的货物、承担的工程或服务，或提供其他残疾人福利性单位制造的货物（不包括使用非残疾人福利性单位注册商标的货物）。</w:t>
      </w:r>
    </w:p>
    <w:p w14:paraId="1C53253B">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前款所称残疾人指法定劳动年龄内，持有《中华人民共和国残疾人证》或《中华人民共和国残疾军人证（1至8级）》的自然人，包括具有劳动条件和劳动意愿的精神残疾人。在职职工人数是指与残疾人福利性单位建立劳动关系并依法签订劳动合同或服务协议的雇员人数。</w:t>
      </w:r>
    </w:p>
    <w:p w14:paraId="75A23767">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符合上述条件的残疾人福利性单位参加采购活动时，应提供《残疾人福利性单位声明函》，并对声明的真实性负责。残疾人福利性单位视同小型、微型企业。残疾人福利性单位属于小型、微型企业的，不重复享受政策。</w:t>
      </w:r>
    </w:p>
    <w:p w14:paraId="5867F43E">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17.4信用记录指由财政部确定的有关网站提供的相关主体信用信息。信用记录的查询及使用应符合财政部文件（财库[2016]125号）规定。</w:t>
      </w:r>
    </w:p>
    <w:p w14:paraId="09AC24E6">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17.5为落实政府采购政策需满足的要求：详见招标文件第一章。</w:t>
      </w:r>
    </w:p>
    <w:p w14:paraId="0FEED43B">
      <w:pPr>
        <w:pStyle w:val="6"/>
        <w:keepNext w:val="0"/>
        <w:keepLines w:val="0"/>
        <w:pageBreakBefore w:val="0"/>
        <w:kinsoku/>
        <w:wordWrap/>
        <w:overflowPunct/>
        <w:topLinePunct w:val="0"/>
        <w:autoSpaceDE/>
        <w:autoSpaceDN/>
        <w:bidi w:val="0"/>
        <w:adjustRightInd/>
        <w:snapToGrid/>
        <w:spacing w:line="500" w:lineRule="exact"/>
        <w:jc w:val="both"/>
        <w:textAlignment w:val="auto"/>
        <w:outlineLvl w:val="2"/>
        <w:rPr>
          <w:rFonts w:hint="eastAsia" w:ascii="宋体" w:hAnsi="宋体" w:eastAsia="宋体" w:cs="宋体"/>
          <w:sz w:val="24"/>
          <w:szCs w:val="24"/>
        </w:rPr>
      </w:pPr>
      <w:r>
        <w:rPr>
          <w:rFonts w:hint="eastAsia" w:ascii="宋体" w:hAnsi="宋体" w:eastAsia="宋体" w:cs="宋体"/>
          <w:b/>
          <w:sz w:val="24"/>
          <w:szCs w:val="24"/>
        </w:rPr>
        <w:t>九、本项目的有关信息</w:t>
      </w:r>
    </w:p>
    <w:p w14:paraId="51E6843F">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18、本项目的有关信息，包括但不限于：招标公告、更正公告（若有）、招标文件、招标文件的澄清或修改（若有）、中标公告、终止公告（若有）、废标公告（若有）等都将在招标文件载明的指定媒体发布。</w:t>
      </w:r>
    </w:p>
    <w:p w14:paraId="71BBCA69">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18.1指定媒体：详见招标文件第二章。</w:t>
      </w:r>
    </w:p>
    <w:p w14:paraId="099622C9">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18.2本项目的潜在投标人或投标人应随时关注指定媒体，否则产生不利后果由其自行承担。</w:t>
      </w:r>
    </w:p>
    <w:p w14:paraId="60DC6645">
      <w:pPr>
        <w:pStyle w:val="6"/>
        <w:keepNext w:val="0"/>
        <w:keepLines w:val="0"/>
        <w:pageBreakBefore w:val="0"/>
        <w:kinsoku/>
        <w:wordWrap/>
        <w:overflowPunct/>
        <w:topLinePunct w:val="0"/>
        <w:autoSpaceDE/>
        <w:autoSpaceDN/>
        <w:bidi w:val="0"/>
        <w:adjustRightInd/>
        <w:snapToGrid/>
        <w:spacing w:line="500" w:lineRule="exact"/>
        <w:jc w:val="both"/>
        <w:textAlignment w:val="auto"/>
        <w:outlineLvl w:val="2"/>
        <w:rPr>
          <w:rFonts w:hint="eastAsia" w:ascii="宋体" w:hAnsi="宋体" w:eastAsia="宋体" w:cs="宋体"/>
          <w:sz w:val="24"/>
          <w:szCs w:val="24"/>
        </w:rPr>
      </w:pPr>
      <w:r>
        <w:rPr>
          <w:rFonts w:hint="eastAsia" w:ascii="宋体" w:hAnsi="宋体" w:eastAsia="宋体" w:cs="宋体"/>
          <w:b/>
          <w:sz w:val="24"/>
          <w:szCs w:val="24"/>
        </w:rPr>
        <w:t>十、其他事项</w:t>
      </w:r>
    </w:p>
    <w:p w14:paraId="029ABF73">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19、其他事项：</w:t>
      </w:r>
    </w:p>
    <w:p w14:paraId="4FFA6E9E">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19.1本项目中如涉及商品包装和快递包装的，其包装需求标准应不低于《关于印发〈商品包装政府采购需求标准(试行)〉、〈快递包装政府采购需求标准(试行)〉的通知》（财办库〔2020〕 123号）规定的包装要求，其他包装需求详见招标文件具体规定。采购人、中标人双方签订合同及验收环节，应包含上述包装要求的条款。</w:t>
      </w:r>
    </w:p>
    <w:p w14:paraId="3CA8D8B5">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19.2其他：详见招标文件第二章。</w:t>
      </w:r>
    </w:p>
    <w:p w14:paraId="01AAD242">
      <w:pPr>
        <w:pStyle w:val="6"/>
        <w:keepNext w:val="0"/>
        <w:keepLines w:val="0"/>
        <w:pageBreakBefore w:val="0"/>
        <w:kinsoku/>
        <w:wordWrap/>
        <w:overflowPunct/>
        <w:topLinePunct w:val="0"/>
        <w:autoSpaceDE/>
        <w:autoSpaceDN/>
        <w:bidi w:val="0"/>
        <w:adjustRightInd/>
        <w:snapToGrid/>
        <w:spacing w:line="500" w:lineRule="exact"/>
        <w:textAlignment w:val="auto"/>
        <w:rPr>
          <w:rFonts w:hint="eastAsia" w:ascii="宋体" w:hAnsi="宋体" w:eastAsia="宋体" w:cs="宋体"/>
          <w:sz w:val="24"/>
          <w:szCs w:val="24"/>
        </w:rPr>
      </w:pPr>
      <w:r>
        <w:rPr>
          <w:rFonts w:hint="eastAsia" w:ascii="宋体" w:hAnsi="宋体" w:eastAsia="宋体" w:cs="宋体"/>
          <w:sz w:val="24"/>
          <w:szCs w:val="24"/>
        </w:rPr>
        <w:t xml:space="preserve"> </w:t>
      </w:r>
      <w:r>
        <w:rPr>
          <w:rFonts w:hint="eastAsia" w:ascii="宋体" w:hAnsi="宋体" w:eastAsia="宋体" w:cs="宋体"/>
          <w:sz w:val="24"/>
          <w:szCs w:val="24"/>
        </w:rPr>
        <w:br w:type="textWrapping"/>
      </w:r>
      <w:r>
        <w:rPr>
          <w:rFonts w:hint="eastAsia" w:ascii="宋体" w:hAnsi="宋体" w:eastAsia="宋体" w:cs="宋体"/>
          <w:sz w:val="24"/>
          <w:szCs w:val="24"/>
        </w:rPr>
        <w:br w:type="page"/>
      </w:r>
    </w:p>
    <w:p w14:paraId="037D77B7">
      <w:pPr>
        <w:pStyle w:val="6"/>
        <w:keepNext w:val="0"/>
        <w:keepLines w:val="0"/>
        <w:pageBreakBefore w:val="0"/>
        <w:kinsoku/>
        <w:wordWrap/>
        <w:overflowPunct/>
        <w:topLinePunct w:val="0"/>
        <w:autoSpaceDE/>
        <w:autoSpaceDN/>
        <w:bidi w:val="0"/>
        <w:adjustRightInd/>
        <w:snapToGrid/>
        <w:spacing w:line="500" w:lineRule="exact"/>
        <w:jc w:val="center"/>
        <w:textAlignment w:val="auto"/>
        <w:outlineLvl w:val="1"/>
        <w:rPr>
          <w:rFonts w:hint="eastAsia" w:ascii="宋体" w:hAnsi="宋体" w:eastAsia="宋体" w:cs="宋体"/>
          <w:sz w:val="24"/>
          <w:szCs w:val="24"/>
        </w:rPr>
      </w:pPr>
      <w:r>
        <w:rPr>
          <w:rFonts w:hint="eastAsia" w:ascii="宋体" w:hAnsi="宋体" w:eastAsia="宋体" w:cs="宋体"/>
          <w:b/>
          <w:sz w:val="24"/>
          <w:szCs w:val="24"/>
        </w:rPr>
        <w:t>第四章 资格审查与评标</w:t>
      </w:r>
    </w:p>
    <w:p w14:paraId="15A4EE52">
      <w:pPr>
        <w:pStyle w:val="6"/>
        <w:keepNext w:val="0"/>
        <w:keepLines w:val="0"/>
        <w:pageBreakBefore w:val="0"/>
        <w:kinsoku/>
        <w:wordWrap/>
        <w:overflowPunct/>
        <w:topLinePunct w:val="0"/>
        <w:autoSpaceDE/>
        <w:autoSpaceDN/>
        <w:bidi w:val="0"/>
        <w:adjustRightInd/>
        <w:snapToGrid/>
        <w:spacing w:line="500" w:lineRule="exact"/>
        <w:jc w:val="both"/>
        <w:textAlignment w:val="auto"/>
        <w:outlineLvl w:val="2"/>
        <w:rPr>
          <w:rFonts w:hint="eastAsia" w:ascii="宋体" w:hAnsi="宋体" w:eastAsia="宋体" w:cs="宋体"/>
          <w:sz w:val="24"/>
          <w:szCs w:val="24"/>
        </w:rPr>
      </w:pPr>
      <w:r>
        <w:rPr>
          <w:rFonts w:hint="eastAsia" w:ascii="宋体" w:hAnsi="宋体" w:eastAsia="宋体" w:cs="宋体"/>
          <w:b/>
          <w:sz w:val="24"/>
          <w:szCs w:val="24"/>
        </w:rPr>
        <w:t>一、资格审查</w:t>
      </w:r>
    </w:p>
    <w:p w14:paraId="5A11760A">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1、开标结束后，由 正弘（福建）项目管理有限公司 负责资格审查小组的组建及资格审查工作的组织。</w:t>
      </w:r>
    </w:p>
    <w:p w14:paraId="0C858169">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1.1资格审查小组</w:t>
      </w:r>
    </w:p>
    <w:p w14:paraId="3AC30267">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资格审查小组由3人组成，并负责具体审查事务，其中由采购人派出的采购人代表至少1人，由正弘（福建）项目管理有限公司派出的工作人员至少1人，其余1人可为采购人代表或正弘（福建）项目管理有限公司的工作人员。</w:t>
      </w:r>
    </w:p>
    <w:p w14:paraId="3EDB61D8">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1.2资格审查的依据是招标文件和电子投标文件。</w:t>
      </w:r>
    </w:p>
    <w:p w14:paraId="3E601B1A">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1.3资格审查的范围及内容：电子投标文件（资格及资信证明部分），具体如下：</w:t>
      </w:r>
    </w:p>
    <w:p w14:paraId="590651DB">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（1）“投标函”；</w:t>
      </w:r>
    </w:p>
    <w:p w14:paraId="385F3FCD">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（2）“投标人的资格及资信证明文件”</w:t>
      </w:r>
    </w:p>
    <w:p w14:paraId="555A2061">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①一般资格证明文件：</w:t>
      </w:r>
    </w:p>
    <w:p w14:paraId="01B3A4FB">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采购包1：</w:t>
      </w:r>
    </w:p>
    <w:tbl>
      <w:tblPr>
        <w:tblStyle w:val="4"/>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831"/>
        <w:gridCol w:w="1504"/>
        <w:gridCol w:w="5971"/>
      </w:tblGrid>
      <w:tr w14:paraId="4BA0D64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1" w:type="dxa"/>
            <w:vAlign w:val="center"/>
          </w:tcPr>
          <w:p w14:paraId="0D91C2FF">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序号</w:t>
            </w:r>
          </w:p>
        </w:tc>
        <w:tc>
          <w:tcPr>
            <w:tcW w:w="1504" w:type="dxa"/>
            <w:vAlign w:val="center"/>
          </w:tcPr>
          <w:p w14:paraId="10FF8065">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资格审查要求概况</w:t>
            </w:r>
          </w:p>
        </w:tc>
        <w:tc>
          <w:tcPr>
            <w:tcW w:w="5971" w:type="dxa"/>
            <w:vAlign w:val="center"/>
          </w:tcPr>
          <w:p w14:paraId="09F72241">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评审点具体描述</w:t>
            </w:r>
          </w:p>
        </w:tc>
      </w:tr>
      <w:tr w14:paraId="100D03B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1" w:type="dxa"/>
            <w:vAlign w:val="center"/>
          </w:tcPr>
          <w:p w14:paraId="2C451663">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1</w:t>
            </w:r>
          </w:p>
        </w:tc>
        <w:tc>
          <w:tcPr>
            <w:tcW w:w="1504" w:type="dxa"/>
            <w:vAlign w:val="center"/>
          </w:tcPr>
          <w:p w14:paraId="227F8D1E">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单位授权书</w:t>
            </w:r>
          </w:p>
        </w:tc>
        <w:tc>
          <w:tcPr>
            <w:tcW w:w="5971" w:type="dxa"/>
          </w:tcPr>
          <w:p w14:paraId="25EAA3A0">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sz w:val="24"/>
                <w:szCs w:val="24"/>
              </w:rPr>
              <w:t>①投标人（自然人除外）：若投标人代表为单位授权的委托代理人，应提供本授权书；若投标人代表为单位负责人，应在此项下提交其身份证正反面复印件，可不提供本授权书。 ②投标人为自然人的，可不填写本授权书。</w:t>
            </w:r>
          </w:p>
        </w:tc>
      </w:tr>
      <w:tr w14:paraId="11F7B44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1" w:type="dxa"/>
            <w:vAlign w:val="center"/>
          </w:tcPr>
          <w:p w14:paraId="0A6AA132">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2</w:t>
            </w:r>
          </w:p>
        </w:tc>
        <w:tc>
          <w:tcPr>
            <w:tcW w:w="1504" w:type="dxa"/>
            <w:vAlign w:val="center"/>
          </w:tcPr>
          <w:p w14:paraId="5EAACFCA">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营业执照等证明文件</w:t>
            </w:r>
          </w:p>
        </w:tc>
        <w:tc>
          <w:tcPr>
            <w:tcW w:w="5971" w:type="dxa"/>
          </w:tcPr>
          <w:p w14:paraId="45567BD5">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sz w:val="24"/>
                <w:szCs w:val="24"/>
              </w:rPr>
              <w:t>①投标人为企业的，提供有效的营业执照复印件；投标人为事业单位的，提供有效的事业单位法人证书复印件；投标人为社会团体的，提供有效的社会团体法人登记证书复印件；投标人为合伙企业、个体工商户的，提供有效的营业执照复印件；投标人为非企业专业服务机构的，提供有效的执业许可证等证明材料复印件；投标人为自然人的，提供有效的自然人身份证件复印件；其他投标人应按照有关法律、法规和规章规定，提供有效的相应具体证照复印件。</w:t>
            </w:r>
          </w:p>
        </w:tc>
      </w:tr>
      <w:tr w14:paraId="33499FD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1" w:type="dxa"/>
            <w:vAlign w:val="center"/>
          </w:tcPr>
          <w:p w14:paraId="51F6983E">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3</w:t>
            </w:r>
          </w:p>
        </w:tc>
        <w:tc>
          <w:tcPr>
            <w:tcW w:w="1504" w:type="dxa"/>
            <w:vAlign w:val="center"/>
          </w:tcPr>
          <w:p w14:paraId="32072717">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提供财务状况报告(财务报告、或资信证明）</w:t>
            </w:r>
          </w:p>
        </w:tc>
        <w:tc>
          <w:tcPr>
            <w:tcW w:w="5971" w:type="dxa"/>
          </w:tcPr>
          <w:p w14:paraId="3B99D650">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sz w:val="24"/>
                <w:szCs w:val="24"/>
              </w:rPr>
              <w:t>①投标人提供的财务报告复印件（成立年限按照投标截止时间推算）应符合下列规定： a.成立年限满1年及以上的投标人，提供经审计的上一年度的年度财务报告。 b.成立年限满半年但不足1年的投标人，提供该半年度中任一季度的季度财务报告或该半年度的半年度财务报告。 c.无法按照以上a、b项规定提供财务报告复印件的投标人（包括但不限于：成立年限满1年及以上的投标人、成立年限满半年但不足1年的投标人、成立年限不足半年的投标人），应选择提供资信证明复印件。</w:t>
            </w:r>
          </w:p>
        </w:tc>
      </w:tr>
      <w:tr w14:paraId="080A9BC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1" w:type="dxa"/>
            <w:vAlign w:val="center"/>
          </w:tcPr>
          <w:p w14:paraId="71D5D7DA">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4</w:t>
            </w:r>
          </w:p>
        </w:tc>
        <w:tc>
          <w:tcPr>
            <w:tcW w:w="1504" w:type="dxa"/>
            <w:vAlign w:val="center"/>
          </w:tcPr>
          <w:p w14:paraId="6280F0BF">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依法缴纳税收证明材料</w:t>
            </w:r>
          </w:p>
        </w:tc>
        <w:tc>
          <w:tcPr>
            <w:tcW w:w="5971" w:type="dxa"/>
          </w:tcPr>
          <w:p w14:paraId="485DACB3">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sz w:val="24"/>
                <w:szCs w:val="24"/>
              </w:rPr>
              <w:t>①投标人提供的税收缴纳凭据复印件应符合下列规定： a.投标截止时间前（不含投标截止时间的当月）已依法缴纳税收的投标人，提供投标截止时间前六个月（不含投标截止时间的当月）中任一月份的税收缴纳凭据复印件。 b.投标截止时间的当月成立的投标人，视同满足本项资格条件要求。 c.若为依法免税范围的投标人，提供依法免税证明材料的，视同满足本项资格条件要求。</w:t>
            </w:r>
          </w:p>
        </w:tc>
      </w:tr>
      <w:tr w14:paraId="3A46F9F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1" w:type="dxa"/>
            <w:vAlign w:val="center"/>
          </w:tcPr>
          <w:p w14:paraId="17B8207E">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5</w:t>
            </w:r>
          </w:p>
        </w:tc>
        <w:tc>
          <w:tcPr>
            <w:tcW w:w="1504" w:type="dxa"/>
            <w:vAlign w:val="center"/>
          </w:tcPr>
          <w:p w14:paraId="59882DB7">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依法缴纳社会保障资金证明材料</w:t>
            </w:r>
          </w:p>
        </w:tc>
        <w:tc>
          <w:tcPr>
            <w:tcW w:w="5971" w:type="dxa"/>
          </w:tcPr>
          <w:p w14:paraId="7CF3173A">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sz w:val="24"/>
                <w:szCs w:val="24"/>
              </w:rPr>
              <w:t>①投标人提供的社会保障资金缴纳凭据复印件应符合下列规定： a.投标截止时间前（不含投标截止时间的当月）已依法缴纳社会保障资金的投标人，提供投标截止时间前六个月（不含投标截止时间的当月）中任一月份的社会保障资金缴纳凭据复印件。 b.投标截止时间的当月成立的投标人，视同满足本项资格条件要求。 c.若为依法不需要缴纳或暂缓缴纳社会保障资金的投标人，提供依法不需要缴纳或暂缓缴纳社会保障资金证明材料的，视同满足本项资格条件要求。</w:t>
            </w:r>
          </w:p>
        </w:tc>
      </w:tr>
      <w:tr w14:paraId="72B80E8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1" w:type="dxa"/>
            <w:vAlign w:val="center"/>
          </w:tcPr>
          <w:p w14:paraId="1FF38A9F">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6</w:t>
            </w:r>
          </w:p>
        </w:tc>
        <w:tc>
          <w:tcPr>
            <w:tcW w:w="1504" w:type="dxa"/>
            <w:vAlign w:val="center"/>
          </w:tcPr>
          <w:p w14:paraId="4AD1FDCD">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具备履行合同所必需设备和专业技术能力的声明函(若有)</w:t>
            </w:r>
          </w:p>
        </w:tc>
        <w:tc>
          <w:tcPr>
            <w:tcW w:w="5971" w:type="dxa"/>
          </w:tcPr>
          <w:p w14:paraId="4FB0207C">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sz w:val="24"/>
                <w:szCs w:val="24"/>
              </w:rPr>
              <w:t>①招标文件未要求投标人提供“具备履行合同所必需的设备和专业技术能力专项证明材料”的，投标人应提供本声明函。 ②招标文件要求投标人提供“具备履行合同所必需的设备和专业技术能力专项证明材料”的，投标人可不提供本声明函。</w:t>
            </w:r>
          </w:p>
        </w:tc>
      </w:tr>
      <w:tr w14:paraId="2AE76CF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1" w:type="dxa"/>
            <w:vAlign w:val="center"/>
          </w:tcPr>
          <w:p w14:paraId="0BEF2DFC">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7</w:t>
            </w:r>
          </w:p>
        </w:tc>
        <w:tc>
          <w:tcPr>
            <w:tcW w:w="1504" w:type="dxa"/>
            <w:vAlign w:val="center"/>
          </w:tcPr>
          <w:p w14:paraId="7E3E0D9E">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参加采购活动前三年内在经营活动中没有重大违法记录的声明</w:t>
            </w:r>
          </w:p>
        </w:tc>
        <w:tc>
          <w:tcPr>
            <w:tcW w:w="5971" w:type="dxa"/>
          </w:tcPr>
          <w:p w14:paraId="761607A2">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sz w:val="24"/>
                <w:szCs w:val="24"/>
              </w:rPr>
              <w:t>①重大违法记录：指投标人因违法经营受到刑事处罚或责令停产停业、吊销许可证或执照、较大数额罚款等行政处罚。根据财库〔2022〕3号文件的规定，“较大数额罚款”认定为200万元以上的罚款，法律、行政法规以及国务院有关部门明确规定相关领域“较大数额罚款”标准高于200万元的，从其规定。</w:t>
            </w:r>
          </w:p>
        </w:tc>
      </w:tr>
      <w:tr w14:paraId="75F066D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1" w:type="dxa"/>
            <w:vAlign w:val="center"/>
          </w:tcPr>
          <w:p w14:paraId="7D62E8F7">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8</w:t>
            </w:r>
          </w:p>
        </w:tc>
        <w:tc>
          <w:tcPr>
            <w:tcW w:w="1504" w:type="dxa"/>
            <w:vAlign w:val="center"/>
          </w:tcPr>
          <w:p w14:paraId="6E0644CE">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信用记录查询结果</w:t>
            </w:r>
          </w:p>
        </w:tc>
        <w:tc>
          <w:tcPr>
            <w:tcW w:w="5971" w:type="dxa"/>
          </w:tcPr>
          <w:p w14:paraId="5D7B13D4">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sz w:val="24"/>
                <w:szCs w:val="24"/>
              </w:rPr>
              <w:t>①信用记录查询的截止时点：信用记录查询的截止时点为本项目投标截止当日。 ②信用记录查询渠道：信用中国（www.creditchina.gov.cn）、中国政府采购网（www.ccgp.gov.cn）。 ③信用记录的查询：由资格审查小组通过上述网站查询并打印投标人的信用记录。 ④经查询，投标人参加本项目采购活动(投标截止时间)前三年内被列入失信被执行人名单、重大税收违法案件当事人名单、政府采购严重违法失信行为记录名单及其他重大违法记录且相关信用惩戒期限未满的，其资格审查不合格。</w:t>
            </w:r>
          </w:p>
        </w:tc>
      </w:tr>
      <w:tr w14:paraId="758A9BC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1" w:type="dxa"/>
            <w:vAlign w:val="center"/>
          </w:tcPr>
          <w:p w14:paraId="46227B17">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9</w:t>
            </w:r>
          </w:p>
        </w:tc>
        <w:tc>
          <w:tcPr>
            <w:tcW w:w="1504" w:type="dxa"/>
            <w:vAlign w:val="center"/>
          </w:tcPr>
          <w:p w14:paraId="5C0051E5">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中小企业声明函（以资格条件落实中小企业扶持政策时适用 ）</w:t>
            </w:r>
          </w:p>
        </w:tc>
        <w:tc>
          <w:tcPr>
            <w:tcW w:w="5971" w:type="dxa"/>
          </w:tcPr>
          <w:p w14:paraId="13B0955E">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sz w:val="24"/>
                <w:szCs w:val="24"/>
              </w:rPr>
              <w:t>①投标人应认真对照工信部联企业[2011]300号《工业和信息化部、国家统计局、国家发展和改革委员会、财政部关于印发中小企业划型标准规定的通知》规定的划分标准，并按照国统字[2017]213号《关于印发&lt;统计上大中小微型企业划分办法(2017)&gt;的通知》规定准确划分企业类型。本项目采购标的对应的中小企业划分标准所属行业详见特定资格条件。 ②投标人为监狱企业的，可不填写本声明函，根据其提供的由省级以上监狱管理局、戒毒管理局（含新疆生产建设兵团）出具的属于监狱企业的证明文件进行认定，监狱企业视同小型、微型企业。 ③投标人为残疾人福利性单位的，可不填写本声明函，根据其提供的《残疾人福利性单位声明函》进行认定，残疾人福利性单位视同小型、微型企业。 ④以联合体形式落实中小企业预留份额时，还需提供《联合体协议》。 ⑤以合同分包形式落实中小企业预留份额时，还需提供《分包意向协议》。</w:t>
            </w:r>
          </w:p>
        </w:tc>
      </w:tr>
      <w:tr w14:paraId="57CD47F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1" w:type="dxa"/>
            <w:vAlign w:val="center"/>
          </w:tcPr>
          <w:p w14:paraId="4DC70C21">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10</w:t>
            </w:r>
          </w:p>
        </w:tc>
        <w:tc>
          <w:tcPr>
            <w:tcW w:w="1504" w:type="dxa"/>
            <w:vAlign w:val="center"/>
          </w:tcPr>
          <w:p w14:paraId="77226E38">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联合体协议（若有）</w:t>
            </w:r>
          </w:p>
        </w:tc>
        <w:tc>
          <w:tcPr>
            <w:tcW w:w="5971" w:type="dxa"/>
          </w:tcPr>
          <w:p w14:paraId="098E26E4">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sz w:val="24"/>
                <w:szCs w:val="24"/>
              </w:rPr>
              <w:t>①招标文件接受联合体投标且投标人为联合体的，投标人应提供本协议；否则无须提供。 ②本协议由委托代理人签字或盖章的，应按照招标文件第七章载明的格式提供“单位授权书”。</w:t>
            </w:r>
          </w:p>
        </w:tc>
      </w:tr>
    </w:tbl>
    <w:p w14:paraId="573A72AA">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※备注说明</w:t>
      </w:r>
    </w:p>
    <w:p w14:paraId="54F77A11">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①投标人应根据自身实际情况提供上述资格要求的证明材料，格式可参考招标文件第七章提供。</w:t>
      </w:r>
    </w:p>
    <w:p w14:paraId="5CAA877E">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②投标人提供的相应证明材料复印件均应符合：内容完整、清晰、整洁，并由投标人加盖其单位公章。</w:t>
      </w:r>
    </w:p>
    <w:p w14:paraId="4940FCA9">
      <w:pPr>
        <w:pStyle w:val="6"/>
        <w:keepNext w:val="0"/>
        <w:keepLines w:val="0"/>
        <w:pageBreakBefore w:val="0"/>
        <w:kinsoku/>
        <w:wordWrap/>
        <w:overflowPunct/>
        <w:topLinePunct w:val="0"/>
        <w:autoSpaceDE/>
        <w:autoSpaceDN/>
        <w:bidi w:val="0"/>
        <w:adjustRightInd/>
        <w:snapToGrid/>
        <w:spacing w:line="500" w:lineRule="exact"/>
        <w:ind w:firstLine="480"/>
        <w:jc w:val="left"/>
        <w:textAlignment w:val="auto"/>
        <w:rPr>
          <w:rFonts w:hint="eastAsia" w:ascii="宋体" w:hAnsi="宋体" w:eastAsia="宋体" w:cs="宋体"/>
          <w:sz w:val="24"/>
          <w:szCs w:val="24"/>
        </w:rPr>
      </w:pPr>
      <w:r>
        <w:rPr>
          <w:rFonts w:hint="eastAsia" w:ascii="宋体" w:hAnsi="宋体" w:eastAsia="宋体" w:cs="宋体"/>
          <w:sz w:val="24"/>
          <w:szCs w:val="24"/>
        </w:rPr>
        <w:t>③根据招标文件第四章第一点资格审查的1.3“④其他资格证明文件”要求，允许供应商采用资格承诺制的并提供符合要求的资格承诺函，视为满足招标文件的资格要求。</w:t>
      </w:r>
    </w:p>
    <w:p w14:paraId="42100F9F">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④.其他资格证明文件：</w:t>
      </w:r>
    </w:p>
    <w:p w14:paraId="1601B67B">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采购包1：</w:t>
      </w:r>
    </w:p>
    <w:tbl>
      <w:tblPr>
        <w:tblStyle w:val="4"/>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810"/>
        <w:gridCol w:w="6496"/>
      </w:tblGrid>
      <w:tr w14:paraId="1820B9E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810" w:type="dxa"/>
            <w:vAlign w:val="center"/>
          </w:tcPr>
          <w:p w14:paraId="6D948192">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资格审查要求概况</w:t>
            </w:r>
          </w:p>
        </w:tc>
        <w:tc>
          <w:tcPr>
            <w:tcW w:w="6496" w:type="dxa"/>
            <w:vAlign w:val="center"/>
          </w:tcPr>
          <w:p w14:paraId="62B01591">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评审点具体描述</w:t>
            </w:r>
          </w:p>
        </w:tc>
      </w:tr>
      <w:tr w14:paraId="123DDD0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810" w:type="dxa"/>
            <w:vAlign w:val="center"/>
          </w:tcPr>
          <w:p w14:paraId="6296B42D">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资格承诺函</w:t>
            </w:r>
          </w:p>
        </w:tc>
        <w:tc>
          <w:tcPr>
            <w:tcW w:w="6496" w:type="dxa"/>
          </w:tcPr>
          <w:p w14:paraId="022CC947">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①本采购包允许供应商采用资格承诺制。采用资格承诺制的供应商，应当根据投标(响应)格式文件要求提供资格承诺函，无需提供《政府采购法实施条例》第十七条第一款规定的一般资格条件证明材料；资格承诺函不符合采购文件要求的，视为未按照采购文件规定提交供应商的资格及资信文件，按资格审查不合格处理。②采购项目有特殊资格要求的，供应商还应按要求提供相应的证明材料。</w:t>
            </w:r>
          </w:p>
        </w:tc>
      </w:tr>
    </w:tbl>
    <w:p w14:paraId="72DFE5B3">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（3）投标保证金。</w:t>
      </w:r>
    </w:p>
    <w:p w14:paraId="3E252F98">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1.4有下列情形之一的，资格审查不合格：</w:t>
      </w:r>
    </w:p>
    <w:tbl>
      <w:tblPr>
        <w:tblStyle w:val="4"/>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8306"/>
      </w:tblGrid>
      <w:tr w14:paraId="71E7486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06" w:type="dxa"/>
          </w:tcPr>
          <w:p w14:paraId="60908E77">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 xml:space="preserve"> 明细</w:t>
            </w:r>
          </w:p>
        </w:tc>
      </w:tr>
      <w:tr w14:paraId="5808FB1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06" w:type="dxa"/>
          </w:tcPr>
          <w:p w14:paraId="79C8095A">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未按照招标文件规定提交投标函</w:t>
            </w:r>
          </w:p>
        </w:tc>
      </w:tr>
      <w:tr w14:paraId="104ED34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06" w:type="dxa"/>
          </w:tcPr>
          <w:p w14:paraId="680B9C05">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未按照招标文件规定提交投标人的资格及资信文件</w:t>
            </w:r>
          </w:p>
        </w:tc>
      </w:tr>
      <w:tr w14:paraId="688F545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06" w:type="dxa"/>
          </w:tcPr>
          <w:p w14:paraId="2093D33B">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未按照招标文件规定提交投标保证金</w:t>
            </w:r>
          </w:p>
        </w:tc>
      </w:tr>
    </w:tbl>
    <w:p w14:paraId="78B94A9C">
      <w:pPr>
        <w:pStyle w:val="6"/>
        <w:keepNext w:val="0"/>
        <w:keepLines w:val="0"/>
        <w:pageBreakBefore w:val="0"/>
        <w:kinsoku/>
        <w:wordWrap/>
        <w:overflowPunct/>
        <w:topLinePunct w:val="0"/>
        <w:autoSpaceDE/>
        <w:autoSpaceDN/>
        <w:bidi w:val="0"/>
        <w:adjustRightInd/>
        <w:snapToGrid/>
        <w:spacing w:line="500" w:lineRule="exact"/>
        <w:ind w:firstLine="480"/>
        <w:jc w:val="left"/>
        <w:textAlignment w:val="auto"/>
        <w:rPr>
          <w:rFonts w:hint="eastAsia" w:ascii="宋体" w:hAnsi="宋体" w:eastAsia="宋体" w:cs="宋体"/>
          <w:sz w:val="24"/>
          <w:szCs w:val="24"/>
        </w:rPr>
      </w:pPr>
      <w:r>
        <w:rPr>
          <w:rFonts w:hint="eastAsia" w:ascii="宋体" w:hAnsi="宋体" w:eastAsia="宋体" w:cs="宋体"/>
          <w:sz w:val="24"/>
          <w:szCs w:val="24"/>
        </w:rPr>
        <w:t>采购包1：</w:t>
      </w:r>
    </w:p>
    <w:p w14:paraId="19C278BE">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资格审查不合格项：</w:t>
      </w:r>
    </w:p>
    <w:tbl>
      <w:tblPr>
        <w:tblStyle w:val="4"/>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375"/>
        <w:gridCol w:w="6931"/>
      </w:tblGrid>
      <w:tr w14:paraId="0EC461A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375" w:type="dxa"/>
          </w:tcPr>
          <w:p w14:paraId="7E7F297C">
            <w:pPr>
              <w:keepNext w:val="0"/>
              <w:keepLines w:val="0"/>
              <w:pageBreakBefore w:val="0"/>
              <w:kinsoku/>
              <w:wordWrap/>
              <w:overflowPunct/>
              <w:topLinePunct w:val="0"/>
              <w:autoSpaceDE/>
              <w:autoSpaceDN/>
              <w:bidi w:val="0"/>
              <w:adjustRightInd/>
              <w:snapToGrid/>
              <w:spacing w:line="500" w:lineRule="exact"/>
              <w:ind w:right="0"/>
              <w:jc w:val="left"/>
              <w:textAlignment w:val="auto"/>
              <w:rPr>
                <w:rFonts w:hint="eastAsia" w:ascii="宋体" w:hAnsi="宋体" w:eastAsia="宋体" w:cs="宋体"/>
                <w:sz w:val="24"/>
                <w:szCs w:val="24"/>
                <w:lang w:val="en-US"/>
              </w:rPr>
            </w:pPr>
            <w:r>
              <w:rPr>
                <w:rFonts w:hint="eastAsia" w:ascii="宋体" w:hAnsi="宋体" w:eastAsia="宋体" w:cs="宋体"/>
                <w:sz w:val="24"/>
                <w:szCs w:val="24"/>
                <w:lang w:val="en-US"/>
              </w:rPr>
              <w:t xml:space="preserve"> 情形</w:t>
            </w:r>
          </w:p>
        </w:tc>
        <w:tc>
          <w:tcPr>
            <w:tcW w:w="6931" w:type="dxa"/>
          </w:tcPr>
          <w:p w14:paraId="06F9E5C3">
            <w:pPr>
              <w:keepNext w:val="0"/>
              <w:keepLines w:val="0"/>
              <w:pageBreakBefore w:val="0"/>
              <w:kinsoku/>
              <w:wordWrap/>
              <w:overflowPunct/>
              <w:topLinePunct w:val="0"/>
              <w:autoSpaceDE/>
              <w:autoSpaceDN/>
              <w:bidi w:val="0"/>
              <w:adjustRightInd/>
              <w:snapToGrid/>
              <w:spacing w:line="500" w:lineRule="exact"/>
              <w:ind w:right="0"/>
              <w:jc w:val="left"/>
              <w:textAlignment w:val="auto"/>
              <w:rPr>
                <w:rFonts w:hint="eastAsia" w:ascii="宋体" w:hAnsi="宋体" w:eastAsia="宋体" w:cs="宋体"/>
                <w:sz w:val="24"/>
                <w:szCs w:val="24"/>
                <w:lang w:val="en-US"/>
              </w:rPr>
            </w:pPr>
            <w:r>
              <w:rPr>
                <w:rFonts w:hint="eastAsia" w:ascii="宋体" w:hAnsi="宋体" w:eastAsia="宋体" w:cs="宋体"/>
                <w:sz w:val="24"/>
                <w:szCs w:val="24"/>
                <w:lang w:val="en-US"/>
              </w:rPr>
              <w:t xml:space="preserve"> 明细</w:t>
            </w:r>
          </w:p>
        </w:tc>
      </w:tr>
      <w:tr w14:paraId="23D116E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375" w:type="dxa"/>
          </w:tcPr>
          <w:p w14:paraId="0EE35A96">
            <w:pPr>
              <w:keepNext w:val="0"/>
              <w:keepLines w:val="0"/>
              <w:pageBreakBefore w:val="0"/>
              <w:kinsoku/>
              <w:wordWrap/>
              <w:overflowPunct/>
              <w:topLinePunct w:val="0"/>
              <w:autoSpaceDE/>
              <w:autoSpaceDN/>
              <w:bidi w:val="0"/>
              <w:adjustRightInd/>
              <w:snapToGrid/>
              <w:spacing w:line="500" w:lineRule="exact"/>
              <w:ind w:right="0"/>
              <w:jc w:val="left"/>
              <w:textAlignment w:val="auto"/>
              <w:rPr>
                <w:rFonts w:hint="eastAsia" w:ascii="宋体" w:hAnsi="宋体" w:eastAsia="宋体" w:cs="宋体"/>
                <w:sz w:val="24"/>
                <w:szCs w:val="24"/>
                <w:lang w:val="en-US"/>
              </w:rPr>
            </w:pPr>
            <w:r>
              <w:rPr>
                <w:rFonts w:hint="eastAsia" w:ascii="宋体" w:hAnsi="宋体" w:eastAsia="宋体" w:cs="宋体"/>
                <w:sz w:val="24"/>
                <w:szCs w:val="24"/>
                <w:lang w:val="en-US"/>
              </w:rPr>
              <w:t>其他情形</w:t>
            </w:r>
          </w:p>
        </w:tc>
        <w:tc>
          <w:tcPr>
            <w:tcW w:w="6931" w:type="dxa"/>
          </w:tcPr>
          <w:p w14:paraId="78282134">
            <w:pPr>
              <w:keepNext w:val="0"/>
              <w:keepLines w:val="0"/>
              <w:pageBreakBefore w:val="0"/>
              <w:kinsoku/>
              <w:wordWrap/>
              <w:overflowPunct/>
              <w:topLinePunct w:val="0"/>
              <w:autoSpaceDE/>
              <w:autoSpaceDN/>
              <w:bidi w:val="0"/>
              <w:adjustRightInd/>
              <w:snapToGrid/>
              <w:spacing w:line="500" w:lineRule="exact"/>
              <w:ind w:right="0"/>
              <w:jc w:val="left"/>
              <w:textAlignment w:val="auto"/>
              <w:rPr>
                <w:rFonts w:hint="eastAsia" w:ascii="宋体" w:hAnsi="宋体" w:eastAsia="宋体" w:cs="宋体"/>
                <w:sz w:val="24"/>
                <w:szCs w:val="24"/>
                <w:lang w:val="en-US"/>
              </w:rPr>
            </w:pPr>
            <w:r>
              <w:rPr>
                <w:rFonts w:hint="eastAsia" w:ascii="宋体" w:hAnsi="宋体" w:eastAsia="宋体" w:cs="宋体"/>
                <w:sz w:val="24"/>
                <w:szCs w:val="24"/>
                <w:lang w:val="en-US"/>
              </w:rPr>
              <w:t>资格及资信证明部分中不得出现报价部分的全部或部分的投标报价信息（或组成资料），否则资格审查不合格。</w:t>
            </w:r>
          </w:p>
        </w:tc>
      </w:tr>
    </w:tbl>
    <w:p w14:paraId="4AE0FA25">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1.5若本项目接受联合体投标且投标人为联合体，联合体中有同类资质的供应商按照联合体分工承担相同工作的，应先按照资质等级较低的供应商确定资质等级，再按照本章第1.2、1.3、1.4条规定进行资格审查。</w:t>
      </w:r>
    </w:p>
    <w:p w14:paraId="46435976">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2、资格审查情况不得私自外泄，有关信息由 正弘（福建）项目管理有限公司 统一对外发布。</w:t>
      </w:r>
    </w:p>
    <w:p w14:paraId="2964BA02">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3、资格审查合格的投标人不足三家的，不进行评标。同时，本次采购活动结束， 正弘（福建）项目管理有限公司 将依法组织后续采购活动（包括但不限于：重新招标、采用其他方式采购等）。</w:t>
      </w:r>
    </w:p>
    <w:p w14:paraId="633EA32B">
      <w:pPr>
        <w:pStyle w:val="6"/>
        <w:keepNext w:val="0"/>
        <w:keepLines w:val="0"/>
        <w:pageBreakBefore w:val="0"/>
        <w:kinsoku/>
        <w:wordWrap/>
        <w:overflowPunct/>
        <w:topLinePunct w:val="0"/>
        <w:autoSpaceDE/>
        <w:autoSpaceDN/>
        <w:bidi w:val="0"/>
        <w:adjustRightInd/>
        <w:snapToGrid/>
        <w:spacing w:line="500" w:lineRule="exact"/>
        <w:jc w:val="both"/>
        <w:textAlignment w:val="auto"/>
        <w:outlineLvl w:val="2"/>
        <w:rPr>
          <w:rFonts w:hint="eastAsia" w:ascii="宋体" w:hAnsi="宋体" w:eastAsia="宋体" w:cs="宋体"/>
          <w:sz w:val="24"/>
          <w:szCs w:val="24"/>
        </w:rPr>
      </w:pPr>
      <w:r>
        <w:rPr>
          <w:rFonts w:hint="eastAsia" w:ascii="宋体" w:hAnsi="宋体" w:eastAsia="宋体" w:cs="宋体"/>
          <w:b/>
          <w:sz w:val="24"/>
          <w:szCs w:val="24"/>
        </w:rPr>
        <w:t>二、评标</w:t>
      </w:r>
    </w:p>
    <w:p w14:paraId="60B7CDF1">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4、资格审查结束后，由 正弘（福建）项目管理有限公司 负责评标委员会的组建及评标工作的组织。</w:t>
      </w:r>
    </w:p>
    <w:p w14:paraId="2401DF29">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5、评标委员会</w:t>
      </w:r>
    </w:p>
    <w:p w14:paraId="6F94527A">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由采购人代表和评审专家两部分共7人组成，其中由福建省政府采购评审专家库产生的评审专家5人，由采购人派出的采购人代表2人。</w:t>
      </w:r>
    </w:p>
    <w:p w14:paraId="51D1DF0F">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5.2评标委员会负责具体评标事务，并按照下列原则依法独立履行有关职责：</w:t>
      </w:r>
    </w:p>
    <w:p w14:paraId="3259559C">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（1）评标应保护国家利益、社会公共利益和各方当事人合法权益，提高采购效益，保证项目质量。</w:t>
      </w:r>
    </w:p>
    <w:p w14:paraId="0B4A88C4">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（2）评标应遵循公平、公正、科学、严谨和择优原则。</w:t>
      </w:r>
    </w:p>
    <w:p w14:paraId="0CCCC4D2">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（3）评标的依据是招标文件和电子投标文件。</w:t>
      </w:r>
    </w:p>
    <w:p w14:paraId="54564F5F">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（4）应按照招标文件规定推荐中标候选人或确定中标人。</w:t>
      </w:r>
    </w:p>
    <w:p w14:paraId="5723801C">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（5）评标应遵守下列评标纪律：</w:t>
      </w:r>
    </w:p>
    <w:p w14:paraId="59974075">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①评标情况不得私自外泄，有关信息由 正弘（福建）项目管理有限公司 统一对外发布。</w:t>
      </w:r>
    </w:p>
    <w:p w14:paraId="51659C56">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②对 正弘（福建）项目管理有限公司 或投标人提供的要求保密的资料，不得摘记翻印和外传。</w:t>
      </w:r>
    </w:p>
    <w:p w14:paraId="5A4E73AF">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③不得收受投标人或有关人员的任何礼物，不得串联鼓动其他人袒护某投标人。若与投标人存在利害关系，则应主动声明并回避。</w:t>
      </w:r>
    </w:p>
    <w:p w14:paraId="1A5654F1">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④全体评委应按照招标文件规定进行评标，一切认定事项应查有实据且不得弄虚作假。</w:t>
      </w:r>
    </w:p>
    <w:p w14:paraId="2B01F8F7">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⑤评标中应充分发扬民主，推荐中标候选人或确定中标人后要服从评标报告。</w:t>
      </w:r>
    </w:p>
    <w:p w14:paraId="47212239">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※对违反评标纪律的评委，将取消其评委资格，对评标工作造成严重损失者将予以通报批评乃至追究法律责任。</w:t>
      </w:r>
    </w:p>
    <w:p w14:paraId="1F45F571">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6、评标程序</w:t>
      </w:r>
    </w:p>
    <w:p w14:paraId="1C98A453">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6.1评标前的准备工作</w:t>
      </w:r>
    </w:p>
    <w:p w14:paraId="5E83EA90">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（1）全体评委应认真审阅招标文件，了解评委应履行或遵守的职责、义务和评标纪律。</w:t>
      </w:r>
    </w:p>
    <w:p w14:paraId="4780CA41">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（2）参加评标委员会的采购人代表可对本项目的背景和采购需求进行介绍，介绍材料应以书面形式提交（随采购文件一并存档），介绍内容不得含有歧视性、倾向性意见，不得超出招标文件所述范围。</w:t>
      </w:r>
    </w:p>
    <w:p w14:paraId="2A2261DD">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6.2符合性审查</w:t>
      </w:r>
    </w:p>
    <w:p w14:paraId="7D8547E9">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（1）评标委员会依据招标文件的实质性要求，对通过资格审查的电子投标文件进行符合性审查，以确定其是否满足招标文件的实质性要求。</w:t>
      </w:r>
    </w:p>
    <w:p w14:paraId="6BCF124D">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（2）满足招标文件的实质性要求指电子投标文件对招标文件实质性要求的响应不存在重大偏差或保留。</w:t>
      </w:r>
    </w:p>
    <w:p w14:paraId="6DC239FA">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3）重大偏差或保留指影响到招标文件规定的合同范围、合同履行及影响关键质量和性能，或限制了采购人的权利，或反对、减少投标人的义务，而纠正这些重大偏差或保留将影响到其他提交实质性响应投标的投标人的公平竞争地位。</w:t>
      </w:r>
    </w:p>
    <w:p w14:paraId="3C4778D4">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4）评标委员会审查判断电子投标文件是否满足招标文件的实质性要求仅基于电子投标文件本身而不寻求其他的外部证据。未满足招标文件实质性要求的电子投标文件将被评标委员会否决（即符合性审查不合格），被否决的电子投标文件不能通过补充、修改（澄清、说明或补正）等方式重新成为满足招标文件实质性要求的电子投标文件。</w:t>
      </w:r>
    </w:p>
    <w:p w14:paraId="4E188A3D">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（5）评标委员会对所有投标人都执行相同的程序和标准。</w:t>
      </w:r>
    </w:p>
    <w:p w14:paraId="2A385EE1">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（6）有下列情形之一的，符合性审查不合格：</w:t>
      </w:r>
    </w:p>
    <w:p w14:paraId="64BC8353">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①项目一般情形：</w:t>
      </w:r>
    </w:p>
    <w:p w14:paraId="7715C15C">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采购包1：</w:t>
      </w:r>
    </w:p>
    <w:tbl>
      <w:tblPr>
        <w:tblStyle w:val="4"/>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038"/>
        <w:gridCol w:w="2542"/>
        <w:gridCol w:w="4726"/>
      </w:tblGrid>
      <w:tr w14:paraId="78F94CA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38" w:type="dxa"/>
          </w:tcPr>
          <w:p w14:paraId="79B6C105">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 xml:space="preserve"> 序号</w:t>
            </w:r>
          </w:p>
        </w:tc>
        <w:tc>
          <w:tcPr>
            <w:tcW w:w="2542" w:type="dxa"/>
          </w:tcPr>
          <w:p w14:paraId="5E8F0631">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 xml:space="preserve"> 符合审查要求概况</w:t>
            </w:r>
          </w:p>
        </w:tc>
        <w:tc>
          <w:tcPr>
            <w:tcW w:w="4726" w:type="dxa"/>
          </w:tcPr>
          <w:p w14:paraId="67D1B820">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 xml:space="preserve"> 评审点具体描述</w:t>
            </w:r>
          </w:p>
        </w:tc>
      </w:tr>
      <w:tr w14:paraId="7B1E157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38" w:type="dxa"/>
          </w:tcPr>
          <w:p w14:paraId="3F2A5BE3">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1</w:t>
            </w:r>
          </w:p>
        </w:tc>
        <w:tc>
          <w:tcPr>
            <w:tcW w:w="2542" w:type="dxa"/>
          </w:tcPr>
          <w:p w14:paraId="042F58DE">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情形1</w:t>
            </w:r>
          </w:p>
        </w:tc>
        <w:tc>
          <w:tcPr>
            <w:tcW w:w="4726" w:type="dxa"/>
          </w:tcPr>
          <w:p w14:paraId="7AD5BD98">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违反招标文件中载明“投标无效”条款的规定；</w:t>
            </w:r>
          </w:p>
        </w:tc>
      </w:tr>
      <w:tr w14:paraId="4E01309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38" w:type="dxa"/>
          </w:tcPr>
          <w:p w14:paraId="330E4E73">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2</w:t>
            </w:r>
          </w:p>
        </w:tc>
        <w:tc>
          <w:tcPr>
            <w:tcW w:w="2542" w:type="dxa"/>
          </w:tcPr>
          <w:p w14:paraId="4FDBC399">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情形2</w:t>
            </w:r>
          </w:p>
        </w:tc>
        <w:tc>
          <w:tcPr>
            <w:tcW w:w="4726" w:type="dxa"/>
          </w:tcPr>
          <w:p w14:paraId="2B557498">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属于招标文件第三章第10.12条规定的投标无效情形；</w:t>
            </w:r>
          </w:p>
        </w:tc>
      </w:tr>
      <w:tr w14:paraId="46B6647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38" w:type="dxa"/>
          </w:tcPr>
          <w:p w14:paraId="207E26D8">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3</w:t>
            </w:r>
          </w:p>
        </w:tc>
        <w:tc>
          <w:tcPr>
            <w:tcW w:w="2542" w:type="dxa"/>
          </w:tcPr>
          <w:p w14:paraId="611B5B67">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情形3</w:t>
            </w:r>
          </w:p>
        </w:tc>
        <w:tc>
          <w:tcPr>
            <w:tcW w:w="4726" w:type="dxa"/>
          </w:tcPr>
          <w:p w14:paraId="0F95A030">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投标文件对招标文件实质性要求的响应存在重大偏离或保留。</w:t>
            </w:r>
          </w:p>
        </w:tc>
      </w:tr>
    </w:tbl>
    <w:p w14:paraId="30B6604F">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②本项目规定的其他情形：</w:t>
      </w:r>
    </w:p>
    <w:p w14:paraId="54808869">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采购包1：</w:t>
      </w:r>
    </w:p>
    <w:p w14:paraId="5C00EF1F">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技术符合性</w:t>
      </w:r>
    </w:p>
    <w:tbl>
      <w:tblPr>
        <w:tblStyle w:val="4"/>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540"/>
        <w:gridCol w:w="6766"/>
      </w:tblGrid>
      <w:tr w14:paraId="01B5BA4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540" w:type="dxa"/>
          </w:tcPr>
          <w:p w14:paraId="0780A777">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 xml:space="preserve"> 情形</w:t>
            </w:r>
          </w:p>
        </w:tc>
        <w:tc>
          <w:tcPr>
            <w:tcW w:w="6766" w:type="dxa"/>
          </w:tcPr>
          <w:p w14:paraId="670489CF">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 xml:space="preserve"> 明细</w:t>
            </w:r>
          </w:p>
        </w:tc>
      </w:tr>
      <w:tr w14:paraId="0B33483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540" w:type="dxa"/>
          </w:tcPr>
          <w:p w14:paraId="39A3C579">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其他情形</w:t>
            </w:r>
          </w:p>
        </w:tc>
        <w:tc>
          <w:tcPr>
            <w:tcW w:w="6766" w:type="dxa"/>
          </w:tcPr>
          <w:p w14:paraId="7A4DA70C">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①技术部分中不得出现报价部分的全部或部分的投标报价信息（或组成资料），否则符合性审查不合格，其投标无效。②招标文件第五章“二、技术和服务要求”中以“★”标示的内容为不允许负偏离的实质性要求，否则其投标无效。</w:t>
            </w:r>
          </w:p>
        </w:tc>
      </w:tr>
    </w:tbl>
    <w:p w14:paraId="653438CF">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商务符合性</w:t>
      </w:r>
    </w:p>
    <w:tbl>
      <w:tblPr>
        <w:tblStyle w:val="4"/>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480"/>
        <w:gridCol w:w="6826"/>
      </w:tblGrid>
      <w:tr w14:paraId="6BED2CF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480" w:type="dxa"/>
          </w:tcPr>
          <w:p w14:paraId="256F790F">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 xml:space="preserve"> 情形</w:t>
            </w:r>
          </w:p>
        </w:tc>
        <w:tc>
          <w:tcPr>
            <w:tcW w:w="6826" w:type="dxa"/>
          </w:tcPr>
          <w:p w14:paraId="5E4CBB2E">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 xml:space="preserve"> 明细</w:t>
            </w:r>
          </w:p>
        </w:tc>
      </w:tr>
      <w:tr w14:paraId="7FB1878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480" w:type="dxa"/>
          </w:tcPr>
          <w:p w14:paraId="724696A1">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其他情形</w:t>
            </w:r>
          </w:p>
        </w:tc>
        <w:tc>
          <w:tcPr>
            <w:tcW w:w="6826" w:type="dxa"/>
          </w:tcPr>
          <w:p w14:paraId="19E9F358">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①商务部分中不得出现报价部分的全部或部分的投标报价信息（或组成资料），否则符合性审查不合格，其投标无效。②招标文件第五章“三、商务条件”的内容均为不允许负偏离的实质性要求，否则其投标无效。</w:t>
            </w:r>
          </w:p>
        </w:tc>
      </w:tr>
    </w:tbl>
    <w:p w14:paraId="6CA7C077">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价格符合性：无</w:t>
      </w:r>
    </w:p>
    <w:p w14:paraId="0C3AC2A7">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6.3澄清有关问题</w:t>
      </w:r>
    </w:p>
    <w:p w14:paraId="280C7697">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（1）对通过符合性审查的电子投标文件中含义不明确、同类问题表述不一致或有明显文字和计算错误的内容，评标委员会将以书面形式要求投标人作出必要的澄清、说明或补正。</w:t>
      </w:r>
    </w:p>
    <w:p w14:paraId="3430E4F7">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2）投标人的澄清、说明或补正应由投标人代表在评标委员会规定的时间内（一般在半个小时左右，具体要求将根据实际情况在澄清通知中约定）以书面形式向评标委员会提交，前述澄清、说明或补正不得超出电子投标文件的范围或改变电子投标文件的实质性内容。若投标人未按照前述规定向评标委员会提交书面澄清、说明或补正，则评标委员会将按照不利于投标人的内容进行认定。</w:t>
      </w:r>
    </w:p>
    <w:p w14:paraId="196D306F">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（3）电子投标文件报价出现前后不一致的，除招标文件另有规定外，按照下列规定修正：</w:t>
      </w:r>
    </w:p>
    <w:p w14:paraId="44FB9CD7">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①开标（报价）一览表内容与电子投标文件中相应内容不一致的，以开标（报价）一览表为准；</w:t>
      </w:r>
    </w:p>
    <w:p w14:paraId="17BD0497">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②大写金额和小写金额不一致的，以大写金额为准；</w:t>
      </w:r>
    </w:p>
    <w:p w14:paraId="19677609">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③单价金额小数点或百分比有明显错位的，以开标（报价）一览表的总价为准，并修改单价；</w:t>
      </w:r>
    </w:p>
    <w:p w14:paraId="0B83B911">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④总价金额与按照单价汇总金额不一致的，以单价金额计算结果为准。</w:t>
      </w:r>
    </w:p>
    <w:p w14:paraId="34A3F4E6">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※同时出现两种以上不一致的，按照前款规定的顺序修正。修正后的报价应按照本章第6.3条第（1）、（2）款规定经投标人确认后产生约束力，投标人不确认的，其投标无效。</w:t>
      </w:r>
    </w:p>
    <w:p w14:paraId="0E27FBED">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（4）关于细微偏差</w:t>
      </w:r>
    </w:p>
    <w:p w14:paraId="029D2B9F">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①细微偏差指电子投标文件实质性响应招标文件要求，但在个别地方存在漏项或提供了不完整的技术信息和数据等情况，并且补正这些遗漏或不完整不会对其他投标人造成不公平的结果。细微偏差不影响电子投标文件的有效性。</w:t>
      </w:r>
    </w:p>
    <w:p w14:paraId="5221B5F4">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②评标委员会将以书面形式要求存在细微偏差的投标人在评标委员会规定的时间内予以补正。若无法补正，则评标委员会将按照不利于投标人的内容进行认定。</w:t>
      </w:r>
    </w:p>
    <w:p w14:paraId="1D877781">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（5）关于投标描述（即电子投标文件中描述的内容）</w:t>
      </w:r>
    </w:p>
    <w:p w14:paraId="14839042">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①投标描述前后不一致且不涉及证明材料的：按照本章第6.3条第（1）、（2）款规定执行。</w:t>
      </w:r>
    </w:p>
    <w:p w14:paraId="33F0A601">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②投标描述与证明材料不一致或多份证明材料之间不一致的：</w:t>
      </w:r>
    </w:p>
    <w:p w14:paraId="1AE6EEFB">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a.评标委员会将要求投标人进行书面澄清，并按照不利于投标人的内容进行评标。</w:t>
      </w:r>
    </w:p>
    <w:p w14:paraId="5C7548D0">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b.投标人按照要求进行澄清的，采购人以澄清内容为准进行验收；投标人未按照要求进行澄清的，采购人以投标描述或证明材料中有利于采购人的内容进行验收。投标人应对证明材料的真实性、有效性承担责任。</w:t>
      </w:r>
    </w:p>
    <w:p w14:paraId="0703B616">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③若中标人的投标描述存在前后不一致、与证明材料不一致或多份证明材料之间不一致情形之一但在评标中未能发现，则采购人将以投标描述或证明材料中有利于采购人的内容进行验收，中标人应自行承担由此产生的风险及费用。</w:t>
      </w:r>
    </w:p>
    <w:p w14:paraId="6E6DF24F">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6.4比较与评价</w:t>
      </w:r>
    </w:p>
    <w:p w14:paraId="214B11F5">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（1）按照本章第7条载明的评标方法和标准，对符合性审查合格的电子投标文件进行比较与评价。</w:t>
      </w:r>
    </w:p>
    <w:p w14:paraId="61955CCA">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（2）关于相同品牌产品（政府采购服务类项目不适用本条款规定）</w:t>
      </w:r>
    </w:p>
    <w:p w14:paraId="2EAD0A90">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①采用最低评标价法的，提供相同品牌产品的不同投标人参加同一合同项下投标的，以其中通过资格审查、符合性审查且报价最低的参加评标；报价相同的，由评标委员会按照下列方式确定一个参加评标的投标人：</w:t>
      </w:r>
    </w:p>
    <w:p w14:paraId="271C203F">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a.招标文件规定的方式：</w:t>
      </w:r>
    </w:p>
    <w:p w14:paraId="55CBCEAD">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无</w:t>
      </w:r>
    </w:p>
    <w:p w14:paraId="09EF2A7C">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b.招标文件未规定的，采取随机抽取方式确定，其他投标无效。</w:t>
      </w:r>
    </w:p>
    <w:p w14:paraId="6DF2D1D1">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②采用综合评分法的，提供相同品牌产品且通过资格审查、符合性审查的不同投标人参加同一合同项下投标的，按一家投标人计算，评审后得分最高的同品牌投标人作为中标候选人推荐；评审得分相同的，由评标委员会按照下列方式确定一个投标人作为中标候选人推荐：</w:t>
      </w:r>
    </w:p>
    <w:p w14:paraId="08299516">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a.招标文件规定的方式：</w:t>
      </w:r>
    </w:p>
    <w:p w14:paraId="1FF448D4">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无</w:t>
      </w:r>
    </w:p>
    <w:p w14:paraId="6D4B566A">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b.招标文件未规定的，采取随机抽取方式确定，其他同品牌投标人不作为中标候选人。</w:t>
      </w:r>
    </w:p>
    <w:p w14:paraId="75BEBB87">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③非单一产品采购项目，多家投标人提供的核心产品品牌相同的，按照本章第6.4条第（2）款第①、②规定处理。</w:t>
      </w:r>
    </w:p>
    <w:p w14:paraId="121F814A">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（3）漏（缺）项</w:t>
      </w:r>
    </w:p>
    <w:p w14:paraId="60E0E80B">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①招标文件中要求列入报价的费用（含配置、功能），漏（缺）项的报价视为已经包括在投标总价中。</w:t>
      </w:r>
    </w:p>
    <w:p w14:paraId="16F2BE96">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②对多报项及赠送项的价格评标时不予核减，全部进入评标价评议。</w:t>
      </w:r>
    </w:p>
    <w:p w14:paraId="14D38585">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6.5推荐中标候选人：详见本章第7.2条规定。</w:t>
      </w:r>
    </w:p>
    <w:p w14:paraId="6B300429">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6.6编写评标报告</w:t>
      </w:r>
    </w:p>
    <w:p w14:paraId="5803F56A">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（1）评标报告由评标委员会负责编写。</w:t>
      </w:r>
    </w:p>
    <w:p w14:paraId="62DAB1EA">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（2）评标报告应包括下列内容：</w:t>
      </w:r>
    </w:p>
    <w:p w14:paraId="6A61499A">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①招标公告刊登的媒体名称、开标日期和地点；</w:t>
      </w:r>
    </w:p>
    <w:p w14:paraId="11F27178">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②投标人名单和评标委员会成员名单；</w:t>
      </w:r>
    </w:p>
    <w:p w14:paraId="4D151DEF">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③评标方法和标准；</w:t>
      </w:r>
    </w:p>
    <w:p w14:paraId="2AC39577">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④开标记录和评标情况及说明，包括无效投标人名单及原因；</w:t>
      </w:r>
    </w:p>
    <w:p w14:paraId="7787ABC1">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⑤评标结果，包括中标候选人名单或确定的中标人；</w:t>
      </w:r>
    </w:p>
    <w:p w14:paraId="0AF6F13B">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⑥其他需要说明的情况，包括但不限于：评标过程中投标人的澄清、说明或补正，评委更换等。</w:t>
      </w:r>
    </w:p>
    <w:p w14:paraId="620FF940">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6.7评标委员会认为投标人的报价明显低于其他通过符合性审查投标人的报价，有可能影响产品质量或不能诚信履约的，应要求其在评标现场合理的时间内提供书面说明，必要时还应要求其一并提交有关证明材料；投标人不能证明其报价合理性的，评标委员会应将其作为投标无效处理。</w:t>
      </w:r>
    </w:p>
    <w:p w14:paraId="7A348F72">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6.8评委对需要共同认定的事项存在争议的，应按照少数服从多数的原则进行认定。持不同意见的评委应在评标报告上签署不同意见及理由，否则视为同意评标报告。</w:t>
      </w:r>
    </w:p>
    <w:p w14:paraId="7D4206D3">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6.9在评标过程中发现投标人有下列情形之一的，评标委员会应认定其投标无效，并书面报告本项目监督管理部门：</w:t>
      </w:r>
    </w:p>
    <w:p w14:paraId="2819833C">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（1）恶意串通（包括但不限于招标文件第三章第9.7条规定情形）；</w:t>
      </w:r>
    </w:p>
    <w:p w14:paraId="49D0348C">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（2）妨碍其他投标人的竞争行为；</w:t>
      </w:r>
    </w:p>
    <w:p w14:paraId="7B677549">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（3）损害采购人或其他投标人的合法权益。</w:t>
      </w:r>
    </w:p>
    <w:p w14:paraId="1DB781CA">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6.10评标过程中，有下列情形之一的，应予废标：</w:t>
      </w:r>
    </w:p>
    <w:p w14:paraId="33A1E36A">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（1）符合性审查合格的投标人不足三家的；</w:t>
      </w:r>
    </w:p>
    <w:p w14:paraId="4F7E8CB4">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（2）有关法律、法规和规章规定废标的情形。</w:t>
      </w:r>
    </w:p>
    <w:p w14:paraId="30A018A1">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※若废标，则本次采购活动结束， 正弘（福建）项目管理有限公司 将依法组织后续采购活动（包括但不限于：重新招标、采用其他方式采购等）。</w:t>
      </w:r>
    </w:p>
    <w:p w14:paraId="33AAF255">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7、评标方法和标准</w:t>
      </w:r>
    </w:p>
    <w:p w14:paraId="102979B5">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7.1评标方法：</w:t>
      </w:r>
    </w:p>
    <w:p w14:paraId="45B1480B">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采购包1：综合评分法</w:t>
      </w:r>
    </w:p>
    <w:p w14:paraId="77151A84">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7.2评标标准</w:t>
      </w:r>
    </w:p>
    <w:p w14:paraId="5FF705FD">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采购包1：综合评分法</w:t>
      </w:r>
    </w:p>
    <w:p w14:paraId="6049E889">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sz w:val="24"/>
          <w:szCs w:val="24"/>
        </w:rPr>
        <w:t>（1）投标文件满足招标文件全部实质性要求，且按照评审因素的量化指标评审得分（即评标总得分）最高的投标人为中标候选人。</w:t>
      </w:r>
    </w:p>
    <w:p w14:paraId="1CF7E43F">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sz w:val="24"/>
          <w:szCs w:val="24"/>
        </w:rPr>
        <w:t>（2）每个投标人的评标总得分FA＝F1×A1＋F2×A2＋F3×A3 ，其中：F1指价格项评审因素得分、F2指技术项评审因素得分、F3指商务项评审因素得分，A1指价格项评审因素所占的权重、A2指技术项评审因素所占的权重、A3指商务项评审因素所占的权重，A1+A2+A3=1、F1×A1＋F2×A2＋F3×A3=100分（满分时） 。</w:t>
      </w:r>
    </w:p>
    <w:p w14:paraId="3D7CBA3B">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sz w:val="24"/>
          <w:szCs w:val="24"/>
        </w:rPr>
        <w:t>各项评审因素的设置如下：</w:t>
      </w:r>
    </w:p>
    <w:p w14:paraId="009D3E8C">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sz w:val="24"/>
          <w:szCs w:val="24"/>
        </w:rPr>
        <w:t>价格项（F1×A1）满分为10.0000分</w:t>
      </w:r>
    </w:p>
    <w:p w14:paraId="6073B66B">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sz w:val="24"/>
          <w:szCs w:val="24"/>
        </w:rPr>
        <w:t>报价得分=(评审基准价／评审报价)×100×价格权重。满足采购文件要求且评审报价最低的为基准价，因落实政府采购政策进行价格调整的，以调整后的价格计算基准价和评审报价。注：若报价形式为总价、单价、折扣、上浮率时，评审报价=投标报价，扣除价=评审报价×扣除比例=投标报价×扣除比例，扣除后评审报价=评审报价-扣除价=投标报价×（1-扣除比例）。</w:t>
      </w:r>
    </w:p>
    <w:p w14:paraId="39E5BDD9">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sz w:val="24"/>
          <w:szCs w:val="24"/>
        </w:rPr>
        <w:t>价格扣除的规则如下：</w:t>
      </w:r>
    </w:p>
    <w:tbl>
      <w:tblPr>
        <w:tblStyle w:val="4"/>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661"/>
        <w:gridCol w:w="1661"/>
        <w:gridCol w:w="936"/>
        <w:gridCol w:w="4153"/>
      </w:tblGrid>
      <w:tr w14:paraId="00A4281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1" w:type="dxa"/>
          </w:tcPr>
          <w:p w14:paraId="14DE45D8">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sz w:val="24"/>
                <w:szCs w:val="24"/>
              </w:rPr>
              <w:t>项目</w:t>
            </w:r>
          </w:p>
        </w:tc>
        <w:tc>
          <w:tcPr>
            <w:tcW w:w="1661" w:type="dxa"/>
          </w:tcPr>
          <w:p w14:paraId="0FE8C469">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sz w:val="24"/>
                <w:szCs w:val="24"/>
              </w:rPr>
              <w:t>适用对象</w:t>
            </w:r>
          </w:p>
        </w:tc>
        <w:tc>
          <w:tcPr>
            <w:tcW w:w="831" w:type="dxa"/>
          </w:tcPr>
          <w:p w14:paraId="7142D745">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sz w:val="24"/>
                <w:szCs w:val="24"/>
              </w:rPr>
              <w:t>比例</w:t>
            </w:r>
          </w:p>
        </w:tc>
        <w:tc>
          <w:tcPr>
            <w:tcW w:w="4153" w:type="dxa"/>
          </w:tcPr>
          <w:p w14:paraId="0BF94344">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sz w:val="24"/>
                <w:szCs w:val="24"/>
              </w:rPr>
              <w:t>描述</w:t>
            </w:r>
          </w:p>
        </w:tc>
      </w:tr>
      <w:tr w14:paraId="1888E24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1" w:type="dxa"/>
          </w:tcPr>
          <w:p w14:paraId="108C00B9">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小型、微型企业，监狱企业，残疾人福利性单位</w:t>
            </w:r>
          </w:p>
        </w:tc>
        <w:tc>
          <w:tcPr>
            <w:tcW w:w="1661" w:type="dxa"/>
          </w:tcPr>
          <w:p w14:paraId="2EF4F800">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投标人或者联合体均为小型、微型企业</w:t>
            </w:r>
          </w:p>
        </w:tc>
        <w:tc>
          <w:tcPr>
            <w:tcW w:w="831" w:type="dxa"/>
          </w:tcPr>
          <w:p w14:paraId="27D2CE85">
            <w:pPr>
              <w:pStyle w:val="6"/>
              <w:keepNext w:val="0"/>
              <w:keepLines w:val="0"/>
              <w:pageBreakBefore w:val="0"/>
              <w:kinsoku/>
              <w:wordWrap/>
              <w:overflowPunct/>
              <w:topLinePunct w:val="0"/>
              <w:autoSpaceDE/>
              <w:autoSpaceDN/>
              <w:bidi w:val="0"/>
              <w:adjustRightInd/>
              <w:snapToGrid/>
              <w:spacing w:line="500" w:lineRule="exact"/>
              <w:jc w:val="right"/>
              <w:textAlignment w:val="auto"/>
              <w:rPr>
                <w:rFonts w:hint="eastAsia" w:ascii="宋体" w:hAnsi="宋体" w:eastAsia="宋体" w:cs="宋体"/>
                <w:sz w:val="24"/>
                <w:szCs w:val="24"/>
              </w:rPr>
            </w:pPr>
            <w:r>
              <w:rPr>
                <w:rFonts w:hint="eastAsia" w:ascii="宋体" w:hAnsi="宋体" w:eastAsia="宋体" w:cs="宋体"/>
                <w:sz w:val="24"/>
                <w:szCs w:val="24"/>
              </w:rPr>
              <w:t>15.00%</w:t>
            </w:r>
          </w:p>
        </w:tc>
        <w:tc>
          <w:tcPr>
            <w:tcW w:w="4153" w:type="dxa"/>
          </w:tcPr>
          <w:p w14:paraId="340A7D35">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1、对小、微企业报价给予 15%—20%的扣除。2、监狱企业视同小型、微型企业，评审中价格扣除按照小、微企业的扣除比例执行。3、残疾人福利性单位提供本单位制造的货物、承担的工程或服务，或提供其他残疾人福利性单位制造的货物（不包括使用非残疾人福利性单位注册商标的货物），视同小型、微型企业，按小微企业的扣除比例执行。</w:t>
            </w:r>
          </w:p>
        </w:tc>
      </w:tr>
    </w:tbl>
    <w:p w14:paraId="203FAF54">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sz w:val="24"/>
          <w:szCs w:val="24"/>
        </w:rPr>
        <w:t>其他：无</w:t>
      </w:r>
    </w:p>
    <w:p w14:paraId="761B8C87">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sz w:val="24"/>
          <w:szCs w:val="24"/>
        </w:rPr>
        <w:t>技术项（F2×A2）满分为72.0000分</w:t>
      </w:r>
    </w:p>
    <w:tbl>
      <w:tblPr>
        <w:tblStyle w:val="4"/>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1135"/>
        <w:gridCol w:w="735"/>
        <w:gridCol w:w="990"/>
        <w:gridCol w:w="5487"/>
      </w:tblGrid>
      <w:tr w14:paraId="4F5027D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35" w:type="dxa"/>
            <w:vAlign w:val="center"/>
          </w:tcPr>
          <w:p w14:paraId="372A08E2">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项目</w:t>
            </w:r>
          </w:p>
        </w:tc>
        <w:tc>
          <w:tcPr>
            <w:tcW w:w="735" w:type="dxa"/>
            <w:vAlign w:val="center"/>
          </w:tcPr>
          <w:p w14:paraId="3BA4E467">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分值</w:t>
            </w:r>
          </w:p>
        </w:tc>
        <w:tc>
          <w:tcPr>
            <w:tcW w:w="990" w:type="dxa"/>
            <w:vAlign w:val="center"/>
          </w:tcPr>
          <w:p w14:paraId="01134335">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是否客观项</w:t>
            </w:r>
          </w:p>
        </w:tc>
        <w:tc>
          <w:tcPr>
            <w:tcW w:w="5487" w:type="dxa"/>
            <w:vAlign w:val="center"/>
          </w:tcPr>
          <w:p w14:paraId="4E93AEE0">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描述</w:t>
            </w:r>
          </w:p>
        </w:tc>
      </w:tr>
      <w:tr w14:paraId="54D27AC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35" w:type="dxa"/>
            <w:vAlign w:val="center"/>
          </w:tcPr>
          <w:p w14:paraId="0CF7A429">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1.技术和服务要求响应情况1</w:t>
            </w:r>
          </w:p>
        </w:tc>
        <w:tc>
          <w:tcPr>
            <w:tcW w:w="735" w:type="dxa"/>
            <w:vAlign w:val="center"/>
          </w:tcPr>
          <w:p w14:paraId="506BA3E7">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27.00</w:t>
            </w:r>
          </w:p>
        </w:tc>
        <w:tc>
          <w:tcPr>
            <w:tcW w:w="990" w:type="dxa"/>
            <w:vAlign w:val="center"/>
          </w:tcPr>
          <w:p w14:paraId="251B0092">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是</w:t>
            </w:r>
          </w:p>
        </w:tc>
        <w:tc>
          <w:tcPr>
            <w:tcW w:w="5487" w:type="dxa"/>
          </w:tcPr>
          <w:p w14:paraId="755F41E6">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sz w:val="24"/>
                <w:szCs w:val="24"/>
              </w:rPr>
              <w:t>根据各投标人所投标的对《第五章 招标内容及要求》“二、技术和服务要求”中的各项要求的响应情况由评委进行评分：完全满足招标文件技术和服务要求中标注“▲”号的技术参数（共计20项）得27分，每负偏离或者未响应一项扣1.35分，正偏离不加分；技术和服务要求中标注有“★”符号的要求均为不允许负偏离的实质性要求（共计4项），有出现负偏离或者未响应的，按无效投标处理。【注：①招标文件技术和服务要求中若有要求提供佐证材料的，投标人在响应表中须注明该佐证材料的具体页码，并在佐证材料中作出明显标识以便评审，投标人未提供或提供的不符合要求的，评标委员会将按照不利于投标人的判定进行评审（即认定为对应指标项负偏离）；②投标技术和服务要求响应情况须完整填列在《技术和服务要求响应表》中，未填列或漏项的，评标委员会将按照不利于投标人的判定进行评审（即认定为负偏离）】</w:t>
            </w:r>
          </w:p>
        </w:tc>
      </w:tr>
      <w:tr w14:paraId="3DAEAB0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35" w:type="dxa"/>
            <w:vAlign w:val="center"/>
          </w:tcPr>
          <w:p w14:paraId="22F739C4">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2.技术和服务要求响应情况2</w:t>
            </w:r>
          </w:p>
        </w:tc>
        <w:tc>
          <w:tcPr>
            <w:tcW w:w="735" w:type="dxa"/>
            <w:vAlign w:val="center"/>
          </w:tcPr>
          <w:p w14:paraId="11709EE4">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33.00</w:t>
            </w:r>
          </w:p>
        </w:tc>
        <w:tc>
          <w:tcPr>
            <w:tcW w:w="990" w:type="dxa"/>
            <w:vAlign w:val="center"/>
          </w:tcPr>
          <w:p w14:paraId="15C001C7">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是</w:t>
            </w:r>
          </w:p>
        </w:tc>
        <w:tc>
          <w:tcPr>
            <w:tcW w:w="5487" w:type="dxa"/>
          </w:tcPr>
          <w:p w14:paraId="7E720B27">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sz w:val="24"/>
                <w:szCs w:val="24"/>
              </w:rPr>
              <w:t>根据各投标人所投标的对《第五章 招标内容及要求》“二、技术和服务要求”中的各项要求的响应情况由评委进行评分：完全满足招标文件技术和服务要求中未标注“★”、“▲”符号的技术参数（共计220项，即评审项1...220）得33分，每负偏离或者未响应一项扣0.15分，正偏离不加分。技术和服务要求中标注有“★”符号的要求为不允许负偏离的实质性要求，有出现负偏离或者未响应的，按无效投标处理。【注：①招标文件技术和服务要求中若有要求提供佐证材料的，投标人在响应表中须注明该佐证材料的具体页码，并在佐证材料中作出明显标识以便评审，投标人未提供或提供的不符合要求的视为对应指标项负偏离；②投标技术和服务要求响应情况须完整填列在《技术和服务要求响应表》中，未填列或漏项的，评标委员会将按照不利于投标人的判定进行评审（即认定为负偏离）】</w:t>
            </w:r>
          </w:p>
        </w:tc>
      </w:tr>
      <w:tr w14:paraId="4DE3837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35" w:type="dxa"/>
            <w:vAlign w:val="center"/>
          </w:tcPr>
          <w:p w14:paraId="6B8677CD">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3.省级精神卫生综合服务平台软件成熟度</w:t>
            </w:r>
          </w:p>
        </w:tc>
        <w:tc>
          <w:tcPr>
            <w:tcW w:w="735" w:type="dxa"/>
            <w:vAlign w:val="center"/>
          </w:tcPr>
          <w:p w14:paraId="1127CA56">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3.00</w:t>
            </w:r>
          </w:p>
        </w:tc>
        <w:tc>
          <w:tcPr>
            <w:tcW w:w="990" w:type="dxa"/>
            <w:vAlign w:val="center"/>
          </w:tcPr>
          <w:p w14:paraId="181BE101">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是</w:t>
            </w:r>
          </w:p>
        </w:tc>
        <w:tc>
          <w:tcPr>
            <w:tcW w:w="5487" w:type="dxa"/>
          </w:tcPr>
          <w:p w14:paraId="0D7B0301">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sz w:val="24"/>
                <w:szCs w:val="24"/>
              </w:rPr>
              <w:t>投标人具有且承诺投入使用的省级精神卫生综合服务平台软件具有以下计算机软件著作权（著作权不需要名称完全一致，但需包含关键字）情况：①严重精神障碍管理系统（关键字：严重精神障碍）、②教学管理系统（关键字：教学管理）③心理健康体检系统(关键字：心理健康体检）、④科研协作管理系统（关键字：科研管理或科研协作）、⑤心理援助热线系统（关键字：援助热线或心理援助热线或心理危机援助热线）、⑥社会心理服务系统（关键字：社会心理），每提供1项的得0.5分，本项满分3分。注：完整材料包括：①软件著作权为投标人自有的，须提供软件著作权登记证书（登记人为投标人）。②软件为外购的，须提供购买合同（出售方须为原始软件著作权登记人）、正式发票（开票单位须为原始软件著作权登记人）、原始软件著作权登记证书（登记人须与上述合同中出售方及出售发票开票人一致）③中标履行合同后一个月内用于本项目且软件更新换代不再额外收取费用的承诺函。（注：软件名称可不完全相同，但经评标委员会认定属于同功能软件的视同符合本评分项要求。）。投标人未提供或提供的内容不符的本项目不得分。</w:t>
            </w:r>
          </w:p>
        </w:tc>
      </w:tr>
      <w:tr w14:paraId="138450A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35" w:type="dxa"/>
            <w:vAlign w:val="center"/>
          </w:tcPr>
          <w:p w14:paraId="53584B47">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4.AI病历生成与质控系统软件成熟度</w:t>
            </w:r>
          </w:p>
        </w:tc>
        <w:tc>
          <w:tcPr>
            <w:tcW w:w="735" w:type="dxa"/>
            <w:vAlign w:val="center"/>
          </w:tcPr>
          <w:p w14:paraId="69E776DA">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2.00</w:t>
            </w:r>
          </w:p>
        </w:tc>
        <w:tc>
          <w:tcPr>
            <w:tcW w:w="990" w:type="dxa"/>
            <w:vAlign w:val="center"/>
          </w:tcPr>
          <w:p w14:paraId="7F84A727">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是</w:t>
            </w:r>
          </w:p>
        </w:tc>
        <w:tc>
          <w:tcPr>
            <w:tcW w:w="5487" w:type="dxa"/>
          </w:tcPr>
          <w:p w14:paraId="2BCC11D2">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sz w:val="24"/>
                <w:szCs w:val="24"/>
              </w:rPr>
              <w:t>投标人具有且承诺投入使用的AI病历生成与质控系统软件产品具备包含以下关键字的计算机软件著作权（著作权不需要名称完全一致，但需包含关键字）情况：①AI应用分析、②AI智能病历辅助生成、③AI智能助手、④AI智能医疗文书质控，每提供1项的得0.5分，本项满分2分。注：完整材料包括：①软件著作权为投标人自有的，须提供软件著作权登记证书（登记人为投标人）。②软件为外购的，须提供购买合同（出售方须为原始软件著作权登记人）、正式发票（开票单位须为原始软件著作权登记人）、原始软件著作权登记证书（登记人须与上述合同中出售方及出售发票开票人一致）③中标履行合同后一个月内用于本项目且软件更新换代不再额外收取费用的承诺函。（注：软件名称可不完全相同，但经评标委员会认定属于同功能软件的视同符合本评分项要求。）投标人未提供或提供的内容不符的本项目不得分。</w:t>
            </w:r>
          </w:p>
        </w:tc>
      </w:tr>
      <w:tr w14:paraId="66D2B98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35" w:type="dxa"/>
            <w:vAlign w:val="center"/>
          </w:tcPr>
          <w:p w14:paraId="2BBEBDDE">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5.院内导航系统软件成熟度</w:t>
            </w:r>
          </w:p>
        </w:tc>
        <w:tc>
          <w:tcPr>
            <w:tcW w:w="735" w:type="dxa"/>
            <w:vAlign w:val="center"/>
          </w:tcPr>
          <w:p w14:paraId="2687B7D4">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1.00</w:t>
            </w:r>
          </w:p>
        </w:tc>
        <w:tc>
          <w:tcPr>
            <w:tcW w:w="990" w:type="dxa"/>
            <w:vAlign w:val="center"/>
          </w:tcPr>
          <w:p w14:paraId="59885BC2">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是</w:t>
            </w:r>
          </w:p>
        </w:tc>
        <w:tc>
          <w:tcPr>
            <w:tcW w:w="5487" w:type="dxa"/>
          </w:tcPr>
          <w:p w14:paraId="4E8827B4">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sz w:val="24"/>
                <w:szCs w:val="24"/>
              </w:rPr>
              <w:t>投标人具有且承诺投入使用的院内导航系统软件产品具备包含以下关键字的计算机软件著作权（著作权不需要名称完全一致，但需包含关键字）情况：①定位引擎、②地图引擎，每提供1项的得0.5分，本项满分1分。注：完整材料包括：①软件著作权为投标人自有的，须提供软件著作权登记证书（登记人为投标人）。②软件为外购的，须提供购买合同（出售方须为原始软件著作权登记人）、正式发票（开票单位须为原始软件著作权登记人）、原始软件著作权登记证书（登记人须与上述合同中出售方及出售发票开票人一致）③中标履行合同后一个月内用于本项目且软件更新换代不再额外收取费用的承诺函。（注：软件名称可不完全相同，但经评标委员会认定属于同功能软件的视同符合本评分项要求。）投标人未提供或提供的内容不符的本项目不得分。</w:t>
            </w:r>
          </w:p>
        </w:tc>
      </w:tr>
      <w:tr w14:paraId="3439C3F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35" w:type="dxa"/>
            <w:vAlign w:val="center"/>
          </w:tcPr>
          <w:p w14:paraId="69E7F376">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6.AI相关产品测试功能报告</w:t>
            </w:r>
          </w:p>
        </w:tc>
        <w:tc>
          <w:tcPr>
            <w:tcW w:w="735" w:type="dxa"/>
            <w:vAlign w:val="center"/>
          </w:tcPr>
          <w:p w14:paraId="62DB0105">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1.00</w:t>
            </w:r>
          </w:p>
        </w:tc>
        <w:tc>
          <w:tcPr>
            <w:tcW w:w="990" w:type="dxa"/>
            <w:vAlign w:val="center"/>
          </w:tcPr>
          <w:p w14:paraId="2AFF14BB">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是</w:t>
            </w:r>
          </w:p>
        </w:tc>
        <w:tc>
          <w:tcPr>
            <w:tcW w:w="5487" w:type="dxa"/>
          </w:tcPr>
          <w:p w14:paraId="31ED1449">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sz w:val="24"/>
                <w:szCs w:val="24"/>
              </w:rPr>
              <w:t>投标⼈或所投产品生产商具有AI相关产品测试报告的得1分，测试功能需含核心功能模块（至少包括智能病历辅助生成、智能医疗文书质控辅助、AI应用管理平台、智能助手等），须提供具备检测资质的检测机构出具的测试报告，报告中的系统名称可以略有不同，但需具有“AI”或“人工智能”关键字，未提供或提供的内容不符的本项目不得分。</w:t>
            </w:r>
          </w:p>
        </w:tc>
      </w:tr>
      <w:tr w14:paraId="4BE5593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35" w:type="dxa"/>
            <w:vAlign w:val="center"/>
          </w:tcPr>
          <w:p w14:paraId="05472733">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7.AI相关产品测试性能报告</w:t>
            </w:r>
          </w:p>
        </w:tc>
        <w:tc>
          <w:tcPr>
            <w:tcW w:w="735" w:type="dxa"/>
            <w:vAlign w:val="center"/>
          </w:tcPr>
          <w:p w14:paraId="285444CD">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1.00</w:t>
            </w:r>
          </w:p>
        </w:tc>
        <w:tc>
          <w:tcPr>
            <w:tcW w:w="990" w:type="dxa"/>
            <w:vAlign w:val="center"/>
          </w:tcPr>
          <w:p w14:paraId="2B128084">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是</w:t>
            </w:r>
          </w:p>
        </w:tc>
        <w:tc>
          <w:tcPr>
            <w:tcW w:w="5487" w:type="dxa"/>
          </w:tcPr>
          <w:p w14:paraId="69009BAA">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sz w:val="24"/>
                <w:szCs w:val="24"/>
              </w:rPr>
              <w:t>投标人或所投产品生产商提供的人工智能AI应用平台满足以下性能要求：在国产环境下，系统≥1000用户数并发执行病历辅助生成等业务，响应时间≤1秒，且事务通过率≥99%的，得1分。须提供具备检测资质的检测机构出具的符合要求的性能测试报告，报告中的系统名称可以略有不同，但需具有“AI”或“人工智能”关键字，未提供或提供的内容不符的本项目不得分。</w:t>
            </w:r>
          </w:p>
        </w:tc>
      </w:tr>
      <w:tr w14:paraId="285AD46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35" w:type="dxa"/>
            <w:vAlign w:val="center"/>
          </w:tcPr>
          <w:p w14:paraId="6DDEBDFC">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8.系统操作演示1</w:t>
            </w:r>
          </w:p>
        </w:tc>
        <w:tc>
          <w:tcPr>
            <w:tcW w:w="735" w:type="dxa"/>
            <w:vAlign w:val="center"/>
          </w:tcPr>
          <w:p w14:paraId="6DA97590">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2.00</w:t>
            </w:r>
          </w:p>
        </w:tc>
        <w:tc>
          <w:tcPr>
            <w:tcW w:w="990" w:type="dxa"/>
            <w:vAlign w:val="center"/>
          </w:tcPr>
          <w:p w14:paraId="6F2C9C86">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是</w:t>
            </w:r>
          </w:p>
        </w:tc>
        <w:tc>
          <w:tcPr>
            <w:tcW w:w="5487" w:type="dxa"/>
          </w:tcPr>
          <w:p w14:paraId="5AFE2688">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sz w:val="24"/>
                <w:szCs w:val="24"/>
              </w:rPr>
              <w:t>投标人所投备份一体机中备份安全模式包含普通模式、自动模式、定时模式。在触发安全模式时，备份系统自动断网离线，成为离线设备，规避网络攻击、加密或删除风险；进行线上远程演示，详细步骤如下：(1)“自动模式”新建备份任务，任务运行成功后，系统自动执行隔离策略(效果为设备离线不可被访问)。(2)“定时模式”系统按照设定时间(演示时效内)执行隔离策略(效果为设备离线不可被访问)。投标人演示内容每满足一项得1分，满分2分，不能满足或未进行软件功能演示的不得分。 【投标人须使用真实系统平台进行实时屏幕共享演示，演示时须体现系统页面跳转及响应，否则不得分。演示不接受使用PPT、图片等非真实系统录播的演示方式，否则视为未提供演示。演示注意事项详见招标第五章招标内容及要求“四、其他事项”，投标人须遵照执行】</w:t>
            </w:r>
          </w:p>
        </w:tc>
      </w:tr>
      <w:tr w14:paraId="2AC7A4A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35" w:type="dxa"/>
            <w:vAlign w:val="center"/>
          </w:tcPr>
          <w:p w14:paraId="6D92FF70">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9.系统操作演示2</w:t>
            </w:r>
          </w:p>
        </w:tc>
        <w:tc>
          <w:tcPr>
            <w:tcW w:w="735" w:type="dxa"/>
            <w:vAlign w:val="center"/>
          </w:tcPr>
          <w:p w14:paraId="3CF26B39">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2.00</w:t>
            </w:r>
          </w:p>
        </w:tc>
        <w:tc>
          <w:tcPr>
            <w:tcW w:w="990" w:type="dxa"/>
            <w:vAlign w:val="center"/>
          </w:tcPr>
          <w:p w14:paraId="43A25D3E">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是</w:t>
            </w:r>
          </w:p>
        </w:tc>
        <w:tc>
          <w:tcPr>
            <w:tcW w:w="5487" w:type="dxa"/>
          </w:tcPr>
          <w:p w14:paraId="7645AA88">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sz w:val="24"/>
                <w:szCs w:val="24"/>
              </w:rPr>
              <w:t>投标人所投物联网控制器具备①支持与视频监控对接，实现视频弹窗告警，联动抓拍；支持内置视频中心；支持实时录制告警发生的全过程，并内置视频中心随时查看，实现告警回溯；②支持通过动环监测管理平台基于数字孪生技术的大屏展示，向管理人员展示整体机房整体运行状态，包括温湿度情况、告警情况等信息；投标人演示内容每满足一项得1分，满分2分，不能满足或未进行软件功能演示的不得分。 【投标人须使用真实系统平台进行实时线上远程屏幕共享演示，演示时须体现系统页面跳转及响应，否则不得分。演示不接受使用PPT、图片等非真实系统录播的演示方式，否则视为未提供演示。演示注意事项详见招标第五章招标内容及要求“四、其他事项”，投标人须遵照执行】</w:t>
            </w:r>
          </w:p>
        </w:tc>
      </w:tr>
    </w:tbl>
    <w:p w14:paraId="45247126">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sz w:val="24"/>
          <w:szCs w:val="24"/>
        </w:rPr>
        <w:t>商务项（F3×A3）满分为18.0000分</w:t>
      </w:r>
    </w:p>
    <w:tbl>
      <w:tblPr>
        <w:tblStyle w:val="4"/>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135"/>
        <w:gridCol w:w="735"/>
        <w:gridCol w:w="990"/>
        <w:gridCol w:w="5487"/>
      </w:tblGrid>
      <w:tr w14:paraId="58163A7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35" w:type="dxa"/>
            <w:vAlign w:val="center"/>
          </w:tcPr>
          <w:p w14:paraId="62E396B3">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项目</w:t>
            </w:r>
          </w:p>
        </w:tc>
        <w:tc>
          <w:tcPr>
            <w:tcW w:w="735" w:type="dxa"/>
            <w:vAlign w:val="center"/>
          </w:tcPr>
          <w:p w14:paraId="6A164A02">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分值</w:t>
            </w:r>
          </w:p>
        </w:tc>
        <w:tc>
          <w:tcPr>
            <w:tcW w:w="990" w:type="dxa"/>
            <w:vAlign w:val="center"/>
          </w:tcPr>
          <w:p w14:paraId="0C68D00B">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是否客观项</w:t>
            </w:r>
          </w:p>
        </w:tc>
        <w:tc>
          <w:tcPr>
            <w:tcW w:w="5487" w:type="dxa"/>
            <w:vAlign w:val="center"/>
          </w:tcPr>
          <w:p w14:paraId="271085ED">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描述</w:t>
            </w:r>
          </w:p>
        </w:tc>
      </w:tr>
      <w:tr w14:paraId="4408A81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35" w:type="dxa"/>
            <w:vAlign w:val="center"/>
          </w:tcPr>
          <w:p w14:paraId="0FFB066E">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1.运维经理</w:t>
            </w:r>
          </w:p>
        </w:tc>
        <w:tc>
          <w:tcPr>
            <w:tcW w:w="735" w:type="dxa"/>
            <w:vAlign w:val="center"/>
          </w:tcPr>
          <w:p w14:paraId="0791240E">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3.00</w:t>
            </w:r>
          </w:p>
        </w:tc>
        <w:tc>
          <w:tcPr>
            <w:tcW w:w="990" w:type="dxa"/>
            <w:vAlign w:val="center"/>
          </w:tcPr>
          <w:p w14:paraId="0FB5F1C0">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是</w:t>
            </w:r>
          </w:p>
        </w:tc>
        <w:tc>
          <w:tcPr>
            <w:tcW w:w="5487" w:type="dxa"/>
          </w:tcPr>
          <w:p w14:paraId="6089AD2D">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投标人拟派本项目的运维经理（1人）：①具备信息系统项目管理师（高级）证书；②具备系统规划与管理师（高级）证书；③具备网络工程师证书（中级）；每满足一项得1分，满分3分。 投标人须提供①计算机技术与软件专业技术资格（水平）考试相关证书复印件；②投标截止时间前六个月中任意一个月（不含投标截止时间的当月）投标人为其缴纳社保的证明材料复印件，否则不得分。（本项人员与其它评分项的人员不重复得分，若重复提供则本项不得分。）</w:t>
            </w:r>
          </w:p>
        </w:tc>
      </w:tr>
      <w:tr w14:paraId="3933C99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35" w:type="dxa"/>
            <w:vAlign w:val="center"/>
          </w:tcPr>
          <w:p w14:paraId="20911D90">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2.技术支撑经理</w:t>
            </w:r>
          </w:p>
        </w:tc>
        <w:tc>
          <w:tcPr>
            <w:tcW w:w="735" w:type="dxa"/>
            <w:vAlign w:val="center"/>
          </w:tcPr>
          <w:p w14:paraId="7DA20A39">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2.00</w:t>
            </w:r>
          </w:p>
        </w:tc>
        <w:tc>
          <w:tcPr>
            <w:tcW w:w="990" w:type="dxa"/>
            <w:vAlign w:val="center"/>
          </w:tcPr>
          <w:p w14:paraId="3804D794">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是</w:t>
            </w:r>
          </w:p>
        </w:tc>
        <w:tc>
          <w:tcPr>
            <w:tcW w:w="5487" w:type="dxa"/>
          </w:tcPr>
          <w:p w14:paraId="03DC5CDE">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投标人拟派本项目的技术支撑经理（1人）：①具备系统分析师（高级）证书；②具备数据库系统工程师（中级）；每满足一项得1分，满分2分。 投标人须提供①计算机技术与软件专业技术资格（水平）考试相关证书复印件；②投标截止时间前六个月中任意一个月（不含投标截止时间的当月）投标人为其缴纳社保的证明材料复印件，否则不得分。（本项人员与其它评分项的人员不重复得分，若重复提供则本项不得分。）</w:t>
            </w:r>
          </w:p>
        </w:tc>
      </w:tr>
      <w:tr w14:paraId="7A9C7D4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35" w:type="dxa"/>
            <w:vAlign w:val="center"/>
          </w:tcPr>
          <w:p w14:paraId="4D147C8D">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3.运维人员</w:t>
            </w:r>
          </w:p>
        </w:tc>
        <w:tc>
          <w:tcPr>
            <w:tcW w:w="735" w:type="dxa"/>
            <w:vAlign w:val="center"/>
          </w:tcPr>
          <w:p w14:paraId="50D536CE">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2.00</w:t>
            </w:r>
          </w:p>
        </w:tc>
        <w:tc>
          <w:tcPr>
            <w:tcW w:w="990" w:type="dxa"/>
            <w:vAlign w:val="center"/>
          </w:tcPr>
          <w:p w14:paraId="28145A2B">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是</w:t>
            </w:r>
          </w:p>
        </w:tc>
        <w:tc>
          <w:tcPr>
            <w:tcW w:w="5487" w:type="dxa"/>
          </w:tcPr>
          <w:p w14:paraId="60FAE09F">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投标人拟投入本项目的运维人员具有大数据或人工智能专业中级及以上工程师职称证书，每提供一本证书得1分，同一人同时具备上述证书不可重复得分，满分2分。投标人须提供①相关证书复印件；②投标截止时间前六个月中任意一个月（不含投标截止时间的当月）投标人为其缴纳社保的证明材料复印件，否则不得分。（本项人员与其它评分项的人员不重复得分，若重复提供则本项不得分。）</w:t>
            </w:r>
          </w:p>
        </w:tc>
      </w:tr>
      <w:tr w14:paraId="5AB0369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35" w:type="dxa"/>
            <w:vAlign w:val="center"/>
          </w:tcPr>
          <w:p w14:paraId="01556144">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4.技术支撑人员1</w:t>
            </w:r>
          </w:p>
        </w:tc>
        <w:tc>
          <w:tcPr>
            <w:tcW w:w="735" w:type="dxa"/>
            <w:vAlign w:val="center"/>
          </w:tcPr>
          <w:p w14:paraId="6AD2E8E2">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3.00</w:t>
            </w:r>
          </w:p>
        </w:tc>
        <w:tc>
          <w:tcPr>
            <w:tcW w:w="990" w:type="dxa"/>
            <w:vAlign w:val="center"/>
          </w:tcPr>
          <w:p w14:paraId="12EE0509">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是</w:t>
            </w:r>
          </w:p>
        </w:tc>
        <w:tc>
          <w:tcPr>
            <w:tcW w:w="5487" w:type="dxa"/>
          </w:tcPr>
          <w:p w14:paraId="7DEDAF96">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投标人拟投入本项目的技术支撑人员1具有软件设计师、软件评测师、数据库系统工程师证书的，每提供一本证书得1分，同一人同时具备上述证书不可重复得分，满分3分。 投标人须提供①计算机技术与软件专业技术资格（水平）考试相关证书复印件；②投标截止时间前六个月中任意一个月（不含投标截止时间的当月）投标人为其缴纳社保的证明材料复印件，否则不得分。（本项人员与其它评分项的人员不重复得分，若重复提供则本项不得分。）</w:t>
            </w:r>
          </w:p>
        </w:tc>
      </w:tr>
      <w:tr w14:paraId="018A8CD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35" w:type="dxa"/>
            <w:vAlign w:val="center"/>
          </w:tcPr>
          <w:p w14:paraId="32FE931B">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5.技术支撑人员2</w:t>
            </w:r>
          </w:p>
        </w:tc>
        <w:tc>
          <w:tcPr>
            <w:tcW w:w="735" w:type="dxa"/>
            <w:vAlign w:val="center"/>
          </w:tcPr>
          <w:p w14:paraId="15A76587">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3.00</w:t>
            </w:r>
          </w:p>
        </w:tc>
        <w:tc>
          <w:tcPr>
            <w:tcW w:w="990" w:type="dxa"/>
            <w:vAlign w:val="center"/>
          </w:tcPr>
          <w:p w14:paraId="16535836">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是</w:t>
            </w:r>
          </w:p>
        </w:tc>
        <w:tc>
          <w:tcPr>
            <w:tcW w:w="5487" w:type="dxa"/>
          </w:tcPr>
          <w:p w14:paraId="71D48E21">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投标人拟投入本项目的技术支撑人员2具有信息系统项目管理师证书、系统架构设计师（高级）、网络工程师证书的，每提供一个证书得1分，同一人同时具备上述证书不可重复得分，最高得3分。 投标人须提供①计算机技术与软件专业技术资格（水平）考试相关证书复印件；②投标截止时间前六个月中任意一个月（不含投标截止时间的当月）投标人为其缴纳社保的证明材料复印件，否则不得分。（本项人员与其它评分项的人员不重复得分，若重复提供则本项不得分。）</w:t>
            </w:r>
          </w:p>
        </w:tc>
      </w:tr>
      <w:tr w14:paraId="5775910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35" w:type="dxa"/>
            <w:vAlign w:val="center"/>
          </w:tcPr>
          <w:p w14:paraId="317BADB4">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6.业绩情况</w:t>
            </w:r>
          </w:p>
        </w:tc>
        <w:tc>
          <w:tcPr>
            <w:tcW w:w="735" w:type="dxa"/>
            <w:vAlign w:val="center"/>
          </w:tcPr>
          <w:p w14:paraId="585A4A4A">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3.00</w:t>
            </w:r>
          </w:p>
        </w:tc>
        <w:tc>
          <w:tcPr>
            <w:tcW w:w="990" w:type="dxa"/>
            <w:vAlign w:val="center"/>
          </w:tcPr>
          <w:p w14:paraId="1C7CAEE6">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是</w:t>
            </w:r>
          </w:p>
        </w:tc>
        <w:tc>
          <w:tcPr>
            <w:tcW w:w="5487" w:type="dxa"/>
          </w:tcPr>
          <w:p w14:paraId="2FE656F1">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根据投标人提供的2022年1月1日起至投标截止时间止（以合同签订时间为准）由投标人完成的同类信息化项目业绩情况进行评分，每提供一份得1分，满分3分。业绩项目中须含中标（成交）公告（提供相关网站中标（成交）公告的下载网页的打印件或扫描件并标注网址）、中标（成交）通知书复印件、采购合同文本复印件、以及能够证明该业绩项目已经采购人验收合格的相关证明文件复印件，未同时提供以上各项证明材料或未提供证明材料的不得分。</w:t>
            </w:r>
          </w:p>
        </w:tc>
      </w:tr>
      <w:tr w14:paraId="613FFAE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35" w:type="dxa"/>
            <w:vAlign w:val="center"/>
          </w:tcPr>
          <w:p w14:paraId="50884496">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7.售后运维服务方案</w:t>
            </w:r>
          </w:p>
        </w:tc>
        <w:tc>
          <w:tcPr>
            <w:tcW w:w="735" w:type="dxa"/>
            <w:vAlign w:val="center"/>
          </w:tcPr>
          <w:p w14:paraId="70850233">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2.00</w:t>
            </w:r>
          </w:p>
        </w:tc>
        <w:tc>
          <w:tcPr>
            <w:tcW w:w="990" w:type="dxa"/>
            <w:vAlign w:val="center"/>
          </w:tcPr>
          <w:p w14:paraId="4C227425">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否</w:t>
            </w:r>
          </w:p>
        </w:tc>
        <w:tc>
          <w:tcPr>
            <w:tcW w:w="5487" w:type="dxa"/>
          </w:tcPr>
          <w:p w14:paraId="7A8E481F">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根据各投标人针对本项目提供的售后运维服务方案（包括但不限于：①运维服务体系流程；②运维服务计划；③故障应急保障等方面）由评委进行评分：方案包含的要点齐全无缺漏项、内容与要点相符、每个要点均有展开详细的阐述、整体思路结构清晰，内容描述合理可行，细节考虑周全且能够适用于本项目的得2分；方案所包含的要点齐全、内容与要点相符、每个要点均有展开阐述（没有特别具体）、整体思路结构较清晰，内容描述较合理可行，细节考虑较周全且基本能够适用于本项目的得1.7分；方案所包含的要点有缺漏或内容与要点相符但仅有纲要、内容简略，未展开详细阐述但基本能够适用于本项目的得1.4分；未提供或内容存在明显错误、内容明显不适用于本项目需求的不得分。</w:t>
            </w:r>
          </w:p>
        </w:tc>
      </w:tr>
    </w:tbl>
    <w:p w14:paraId="7637B0DD">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sz w:val="24"/>
          <w:szCs w:val="24"/>
        </w:rPr>
        <w:t>异常低价审查</w:t>
      </w:r>
    </w:p>
    <w:tbl>
      <w:tblPr>
        <w:tblStyle w:val="4"/>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105"/>
        <w:gridCol w:w="7201"/>
      </w:tblGrid>
      <w:tr w14:paraId="2767787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05" w:type="dxa"/>
          </w:tcPr>
          <w:p w14:paraId="7587A113">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sz w:val="24"/>
                <w:szCs w:val="24"/>
              </w:rPr>
              <w:t>项目</w:t>
            </w:r>
          </w:p>
        </w:tc>
        <w:tc>
          <w:tcPr>
            <w:tcW w:w="7201" w:type="dxa"/>
          </w:tcPr>
          <w:p w14:paraId="24E0CEAC">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sz w:val="24"/>
                <w:szCs w:val="24"/>
              </w:rPr>
              <w:t>描述</w:t>
            </w:r>
          </w:p>
        </w:tc>
      </w:tr>
      <w:tr w14:paraId="5898A90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05" w:type="dxa"/>
          </w:tcPr>
          <w:p w14:paraId="7FE9491D">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异常低价审查</w:t>
            </w:r>
          </w:p>
        </w:tc>
        <w:tc>
          <w:tcPr>
            <w:tcW w:w="7201" w:type="dxa"/>
          </w:tcPr>
          <w:p w14:paraId="6839AEB3">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根据《关于推动解决政府采购异常低价问题的通知》（财库〔2026〕2号）等相关规定，政府采购评审中出现下列情形之一的，评审委员会应当启动异常低价投标（响应）审查程序： （1）福建省精神专科服务能力建设项目信息化专项响应报价低于全部通过符合性审查供应商响应报价平均值50%的，即福建省精神专科服务能力建设项目信息化专项响应报价&lt;全部通过符合性审查供应商响应报价平均值×50%。 （2）福建省精神专科服务能力建设项目信息化专项响应报价低于通过符合性审查且报价次低供应商响应报价50%的，即福建省精神专科服务能力建设项目信息化专项响应报价&lt;通过符合性审查且报价次低供应商响应报价×50%。 （3）福建省精神专科服务能力建设项目信息化专项响应报价低于最高限价45%的，即福建省精神专科服务能力建设项目信息化专项响应报价&lt;最高限价×45%。 （4）其他评审委员会认为供应商报价过低，有可能影响产品质量或者不能诚信履约的情形。 评审委员会启动异常低价投标（响应）审查后，应当要求相关供应商在评审现场合理的时间内提供书面说明及必要的证明材料，对投标（响应）价格作出解释。</w:t>
            </w:r>
          </w:p>
        </w:tc>
      </w:tr>
    </w:tbl>
    <w:p w14:paraId="72784EB8">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sz w:val="24"/>
          <w:szCs w:val="24"/>
        </w:rPr>
        <w:t>评审委员会启动异常低价投标（响应）审查后，属于前述第1项至第4项情形的，应当要求相关供应商在评审现场合理的时间内对投标（响应）价格作出解释，提供项目具体成本测算等与报价合理性相关的书面说明及必要的证明材料，包括但不限于原材料成本、人工成本、制造费用等，给予相关供应商的合理时间一般不少于30分钟。其中，属于第3项情形，供应商已随投标（响应）文件一并提交相关书面说明及必要的证明材料的，在评审现场可不再重复提交。</w:t>
      </w:r>
    </w:p>
    <w:p w14:paraId="1710AB51">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sz w:val="24"/>
          <w:szCs w:val="24"/>
        </w:rPr>
        <w:t>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无效投标（响应）处理。</w:t>
      </w:r>
    </w:p>
    <w:p w14:paraId="3FFECA1B">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sz w:val="24"/>
          <w:szCs w:val="24"/>
        </w:rPr>
        <w:t>采购人、采购代理机构应当为评审委员会在评审现场及时获取同类项目中标（成交）价格、类似产品市场价格水平、行业人工费用标准、国家有关部门指导行业协会发布的行业平均成本等相关信息资料提供便利。评审委员会借助互联网等渠道查询相关信息的，应当严格遵守评审工作纪律，不得实施影响评审公正的行为。</w:t>
      </w:r>
    </w:p>
    <w:p w14:paraId="17184E1D">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sz w:val="24"/>
          <w:szCs w:val="24"/>
        </w:rPr>
        <w:t>异常低价投标（响应）审查的启动原因、审查意见和审查结果应当在评审报告中记录，并随供应商提供的相关书面说明及证明材料，以及评审委员会有关互联网浏览、查询历史一并归档。</w:t>
      </w:r>
    </w:p>
    <w:p w14:paraId="6ED97AC3">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sz w:val="24"/>
          <w:szCs w:val="24"/>
        </w:rPr>
        <w:t>※除本章第6.3条第（3）款规定情形和落实政府采购政策需进行的价格扣除情形外，不能对投标人的投标报价进行任何调整。</w:t>
      </w:r>
    </w:p>
    <w:p w14:paraId="675FDFD1">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sz w:val="24"/>
          <w:szCs w:val="24"/>
        </w:rPr>
        <w:t>（3）中标候选人排列规则顺序如下：</w:t>
      </w:r>
    </w:p>
    <w:p w14:paraId="2072AB44">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sz w:val="24"/>
          <w:szCs w:val="24"/>
        </w:rPr>
        <w:t>a.按照评标总得分（FA）由高到低顺序排列。</w:t>
      </w:r>
    </w:p>
    <w:p w14:paraId="07D267BD">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sz w:val="24"/>
          <w:szCs w:val="24"/>
        </w:rPr>
        <w:t>b.评标总得分（FA）相同的，按照评标价（即价格扣除后的投标报价）由低到高顺序排列。</w:t>
      </w:r>
    </w:p>
    <w:p w14:paraId="2CBB5583">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sz w:val="24"/>
          <w:szCs w:val="24"/>
        </w:rPr>
        <w:t>c.评标总得分（FA）且评标价（即价格扣除后的投标报价）相同的并列。</w:t>
      </w:r>
    </w:p>
    <w:p w14:paraId="39E57B1F">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8、其他规定</w:t>
      </w:r>
    </w:p>
    <w:p w14:paraId="04C6AFFA">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8.1评标应全程保密且不得透露给任一投标人或与评标工作无关的人员。</w:t>
      </w:r>
    </w:p>
    <w:p w14:paraId="18CBB675">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8.2评标将进行全程实时录音录像，录音录像资料随采购文件一并存档。</w:t>
      </w:r>
    </w:p>
    <w:p w14:paraId="21D1EDDC">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8.3若投标人有任何试图干扰具体评标事务，影响评标委员会独立履行职责的行为，其投标无效且不予退还投标保证金或通过投标保函进行索赔。情节严重的，由财政部门列入不良行为记录。</w:t>
      </w:r>
    </w:p>
    <w:p w14:paraId="028BDF2A">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8.4其他：</w:t>
      </w:r>
    </w:p>
    <w:p w14:paraId="093812E1">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无</w:t>
      </w:r>
    </w:p>
    <w:p w14:paraId="1D1CDBA5">
      <w:pPr>
        <w:pStyle w:val="6"/>
        <w:keepNext w:val="0"/>
        <w:keepLines w:val="0"/>
        <w:pageBreakBefore w:val="0"/>
        <w:kinsoku/>
        <w:wordWrap/>
        <w:overflowPunct/>
        <w:topLinePunct w:val="0"/>
        <w:autoSpaceDE/>
        <w:autoSpaceDN/>
        <w:bidi w:val="0"/>
        <w:adjustRightInd/>
        <w:snapToGrid/>
        <w:spacing w:line="500" w:lineRule="exact"/>
        <w:textAlignment w:val="auto"/>
        <w:rPr>
          <w:rFonts w:hint="eastAsia" w:ascii="宋体" w:hAnsi="宋体" w:eastAsia="宋体" w:cs="宋体"/>
          <w:sz w:val="24"/>
          <w:szCs w:val="24"/>
        </w:rPr>
      </w:pPr>
      <w:r>
        <w:rPr>
          <w:rFonts w:hint="eastAsia" w:ascii="宋体" w:hAnsi="宋体" w:eastAsia="宋体" w:cs="宋体"/>
          <w:sz w:val="24"/>
          <w:szCs w:val="24"/>
        </w:rPr>
        <w:br w:type="page"/>
      </w:r>
    </w:p>
    <w:p w14:paraId="05EC68D1">
      <w:pPr>
        <w:pStyle w:val="6"/>
        <w:keepNext w:val="0"/>
        <w:keepLines w:val="0"/>
        <w:pageBreakBefore w:val="0"/>
        <w:kinsoku/>
        <w:wordWrap/>
        <w:overflowPunct/>
        <w:topLinePunct w:val="0"/>
        <w:autoSpaceDE/>
        <w:autoSpaceDN/>
        <w:bidi w:val="0"/>
        <w:adjustRightInd/>
        <w:snapToGrid/>
        <w:spacing w:line="500" w:lineRule="exact"/>
        <w:jc w:val="center"/>
        <w:textAlignment w:val="auto"/>
        <w:outlineLvl w:val="1"/>
        <w:rPr>
          <w:rFonts w:hint="eastAsia" w:ascii="宋体" w:hAnsi="宋体" w:eastAsia="宋体" w:cs="宋体"/>
          <w:sz w:val="24"/>
          <w:szCs w:val="24"/>
        </w:rPr>
      </w:pPr>
      <w:r>
        <w:rPr>
          <w:rFonts w:hint="eastAsia" w:ascii="宋体" w:hAnsi="宋体" w:eastAsia="宋体" w:cs="宋体"/>
          <w:b/>
          <w:sz w:val="24"/>
          <w:szCs w:val="24"/>
        </w:rPr>
        <w:t>第五章 招标内容及要求</w:t>
      </w:r>
    </w:p>
    <w:p w14:paraId="23059754">
      <w:pPr>
        <w:pStyle w:val="6"/>
        <w:keepNext w:val="0"/>
        <w:keepLines w:val="0"/>
        <w:pageBreakBefore w:val="0"/>
        <w:kinsoku/>
        <w:wordWrap/>
        <w:overflowPunct/>
        <w:topLinePunct w:val="0"/>
        <w:autoSpaceDE/>
        <w:autoSpaceDN/>
        <w:bidi w:val="0"/>
        <w:adjustRightInd/>
        <w:snapToGrid/>
        <w:spacing w:line="500" w:lineRule="exact"/>
        <w:jc w:val="both"/>
        <w:textAlignment w:val="auto"/>
        <w:outlineLvl w:val="2"/>
        <w:rPr>
          <w:rFonts w:hint="eastAsia" w:ascii="宋体" w:hAnsi="宋体" w:eastAsia="宋体" w:cs="宋体"/>
          <w:sz w:val="24"/>
          <w:szCs w:val="24"/>
        </w:rPr>
      </w:pPr>
      <w:r>
        <w:rPr>
          <w:rFonts w:hint="eastAsia" w:ascii="宋体" w:hAnsi="宋体" w:eastAsia="宋体" w:cs="宋体"/>
          <w:b/>
          <w:sz w:val="24"/>
          <w:szCs w:val="24"/>
        </w:rPr>
        <w:t>一、项目概况（采购标的）</w:t>
      </w:r>
    </w:p>
    <w:p w14:paraId="5B9E3F4E">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b/>
          <w:color w:val="000000"/>
          <w:sz w:val="24"/>
          <w:szCs w:val="24"/>
        </w:rPr>
        <w:t>1.1.总则</w:t>
      </w:r>
    </w:p>
    <w:p w14:paraId="02CED817">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color w:val="000000"/>
          <w:sz w:val="24"/>
          <w:szCs w:val="24"/>
        </w:rPr>
        <w:t>1.1.1.概述</w:t>
      </w:r>
    </w:p>
    <w:p w14:paraId="7120D517">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color w:val="000000"/>
          <w:sz w:val="24"/>
          <w:szCs w:val="24"/>
        </w:rPr>
        <w:t>1.本项目是福州市第二总医院神经精神病防治院（以下简称采购人)的福建省精神专科服务能力建设项目信息化专项(以下简称本项目）。</w:t>
      </w:r>
    </w:p>
    <w:p w14:paraId="1D88E606">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color w:val="000000"/>
          <w:sz w:val="24"/>
          <w:szCs w:val="24"/>
        </w:rPr>
        <w:t>2.投标人负责本项目投入正常运行的自始至终全过程，包括对本招标文件要求的所有系统及其相关系统进行需求调研、系统设计、软件编码调试、软件测试、软件运行、维护，以及应用集成、系统集成、技术培训、运维保障提供标准化服务和其他工作。</w:t>
      </w:r>
    </w:p>
    <w:p w14:paraId="6CB2F4CE">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color w:val="000000"/>
          <w:sz w:val="24"/>
          <w:szCs w:val="24"/>
        </w:rPr>
        <w:t>3.投标人需对该项目进行充分了解，完善需求分析，制定工作计划、工程进度安排表、培训方案、验收测试方案。</w:t>
      </w:r>
    </w:p>
    <w:p w14:paraId="18CF4EB2">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color w:val="000000"/>
          <w:sz w:val="24"/>
          <w:szCs w:val="24"/>
        </w:rPr>
        <w:t>1.1.2.项目范围与服务内容</w:t>
      </w:r>
    </w:p>
    <w:p w14:paraId="663FFF62">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color w:val="000000"/>
          <w:sz w:val="24"/>
          <w:szCs w:val="24"/>
        </w:rPr>
        <w:t>本项目的服务内容与范围包括福建省精神专科服务能力建设项目信息化专项的软件开发、软硬件设备采购、系统集成建设和运行维护，具体包括软件开发、测试、部署、投入试运行、验收、运行维护等。</w:t>
      </w:r>
    </w:p>
    <w:p w14:paraId="773504CD">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color w:val="000000"/>
          <w:sz w:val="24"/>
          <w:szCs w:val="24"/>
        </w:rPr>
        <w:t>1.1.3.遵循的技术标准</w:t>
      </w:r>
    </w:p>
    <w:p w14:paraId="58D42C17">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color w:val="000000"/>
          <w:sz w:val="24"/>
          <w:szCs w:val="24"/>
        </w:rPr>
        <w:t>1.本项目主要依据国家、行业及地方的相关政策、技术标准与规范进行编制,主要依据的技术标准与规范具体如下：</w:t>
      </w:r>
    </w:p>
    <w:p w14:paraId="73F9EFAF">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color w:val="000000"/>
          <w:sz w:val="24"/>
          <w:szCs w:val="24"/>
        </w:rPr>
        <w:t>（1）医疗行业标准</w:t>
      </w:r>
    </w:p>
    <w:p w14:paraId="7D56BA4E">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color w:val="000000"/>
          <w:sz w:val="24"/>
          <w:szCs w:val="24"/>
        </w:rPr>
        <w:t>为保证项目建设质量，本项目设计将遵循国家和省、市信息化主管部门的有关业务、技术、数据等标准和规范。</w:t>
      </w:r>
    </w:p>
    <w:p w14:paraId="64B0251F">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color w:val="000000"/>
          <w:sz w:val="24"/>
          <w:szCs w:val="24"/>
        </w:rPr>
        <w:t>1）《城乡居民健康档案基本数据集》（WS 365-2011）；</w:t>
      </w:r>
    </w:p>
    <w:p w14:paraId="2E8F9F57">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color w:val="000000"/>
          <w:sz w:val="24"/>
          <w:szCs w:val="24"/>
        </w:rPr>
        <w:t>2）《基本信息基本数据集 个人信息》（WS 371-2012）；</w:t>
      </w:r>
    </w:p>
    <w:p w14:paraId="33CD20FB">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color w:val="000000"/>
          <w:sz w:val="24"/>
          <w:szCs w:val="24"/>
        </w:rPr>
        <w:t>3）《医疗服务基本数据集（系列）》（WS 373-2012）；</w:t>
      </w:r>
    </w:p>
    <w:p w14:paraId="218D6D03">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color w:val="000000"/>
          <w:sz w:val="24"/>
          <w:szCs w:val="24"/>
        </w:rPr>
        <w:t>4）《卫生管理基本数据集（系列）》（WS 374-2012）；</w:t>
      </w:r>
    </w:p>
    <w:p w14:paraId="676FBCCA">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color w:val="000000"/>
          <w:sz w:val="24"/>
          <w:szCs w:val="24"/>
        </w:rPr>
        <w:t>5）《疾病控制基本数据集（系列）》（WS 375-2012）；</w:t>
      </w:r>
    </w:p>
    <w:p w14:paraId="6AE73066">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color w:val="000000"/>
          <w:sz w:val="24"/>
          <w:szCs w:val="24"/>
        </w:rPr>
        <w:t>6）《儿童保健基本数据集（系列）》（WS 376-2013）；</w:t>
      </w:r>
    </w:p>
    <w:p w14:paraId="7833A406">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color w:val="000000"/>
          <w:sz w:val="24"/>
          <w:szCs w:val="24"/>
        </w:rPr>
        <w:t>7）《妇女保健基本数据集（系列）》（WS 377-2013）；</w:t>
      </w:r>
    </w:p>
    <w:p w14:paraId="5C05D116">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color w:val="000000"/>
          <w:sz w:val="24"/>
          <w:szCs w:val="24"/>
        </w:rPr>
        <w:t>8）《电子病历基本数据集（系列）》（WS 445-2014）；</w:t>
      </w:r>
    </w:p>
    <w:p w14:paraId="0F8C3E2A">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color w:val="000000"/>
          <w:sz w:val="24"/>
          <w:szCs w:val="24"/>
        </w:rPr>
        <w:t>9）《基于居民健康档案的区域卫生信息平台技术规范》（WS/T 448-2014）；</w:t>
      </w:r>
    </w:p>
    <w:p w14:paraId="61C32821">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color w:val="000000"/>
          <w:sz w:val="24"/>
          <w:szCs w:val="24"/>
        </w:rPr>
        <w:t>10）《居民健康档案医学检验项目常用代码》（WS 446-2014）；</w:t>
      </w:r>
    </w:p>
    <w:p w14:paraId="5A74B0BD">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color w:val="000000"/>
          <w:sz w:val="24"/>
          <w:szCs w:val="24"/>
        </w:rPr>
        <w:t>11）《卫生监督业务信息系统基本功能规范》（WS/T 452-2014）；</w:t>
      </w:r>
    </w:p>
    <w:p w14:paraId="029D5649">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color w:val="000000"/>
          <w:sz w:val="24"/>
          <w:szCs w:val="24"/>
        </w:rPr>
        <w:t>12）《电子病历共享文档规范（系列）》（WS/T 200-2016）；</w:t>
      </w:r>
    </w:p>
    <w:p w14:paraId="28060B3E">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color w:val="000000"/>
          <w:sz w:val="24"/>
          <w:szCs w:val="24"/>
        </w:rPr>
        <w:t>13）《健康档案共享文档规范（系列）》（WS/T 483-2016）；</w:t>
      </w:r>
    </w:p>
    <w:p w14:paraId="22FE1B21">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color w:val="000000"/>
          <w:sz w:val="24"/>
          <w:szCs w:val="24"/>
        </w:rPr>
        <w:t>14）《卫生信息共享文档编制规范》（WS/T 482-2016）；</w:t>
      </w:r>
    </w:p>
    <w:p w14:paraId="663ED030">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color w:val="000000"/>
          <w:sz w:val="24"/>
          <w:szCs w:val="24"/>
        </w:rPr>
        <w:t>15）《疾病控制基本数据集 第14部分：学校缺勤缺课监测报告》（WS 375.14-2016）；</w:t>
      </w:r>
    </w:p>
    <w:p w14:paraId="4ACA0D17">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color w:val="000000"/>
          <w:sz w:val="24"/>
          <w:szCs w:val="24"/>
        </w:rPr>
        <w:t>16）《疾病控制基本数据集 第15部分：托幼机构缺勤监测报告》（WS 375.15-2016）；</w:t>
      </w:r>
    </w:p>
    <w:p w14:paraId="31E925B2">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color w:val="000000"/>
          <w:sz w:val="24"/>
          <w:szCs w:val="24"/>
        </w:rPr>
        <w:t>17）《疾病控制基本数据集 第 13 部分：职业病危害因素监测》（WS 375.13-2017）；</w:t>
      </w:r>
    </w:p>
    <w:p w14:paraId="3F4C376E">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color w:val="000000"/>
          <w:sz w:val="24"/>
          <w:szCs w:val="24"/>
        </w:rPr>
        <w:t>18）《居民健康卡技术规范（系列）》（WS/T 543-2017）；</w:t>
      </w:r>
    </w:p>
    <w:p w14:paraId="0D881946">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color w:val="000000"/>
          <w:sz w:val="24"/>
          <w:szCs w:val="24"/>
        </w:rPr>
        <w:t>19）《居民健康卡数据集》（WS 537-2017）；</w:t>
      </w:r>
    </w:p>
    <w:p w14:paraId="55593684">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color w:val="000000"/>
          <w:sz w:val="24"/>
          <w:szCs w:val="24"/>
        </w:rPr>
        <w:t>20）《卫生统计指标（系列）》（WS/T 598-2018）；</w:t>
      </w:r>
    </w:p>
    <w:p w14:paraId="0F598DD7">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color w:val="000000"/>
          <w:sz w:val="24"/>
          <w:szCs w:val="24"/>
        </w:rPr>
        <w:t>21）《国家卫生与人口信息数据字典》（WS/T 671-2020）；</w:t>
      </w:r>
    </w:p>
    <w:p w14:paraId="0E34FD64">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color w:val="000000"/>
          <w:sz w:val="24"/>
          <w:szCs w:val="24"/>
        </w:rPr>
        <w:t>22）《国家卫生与人口信息概念数据模型》（WS/T 672-2020）；</w:t>
      </w:r>
    </w:p>
    <w:p w14:paraId="76C56531">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color w:val="000000"/>
          <w:sz w:val="24"/>
          <w:szCs w:val="24"/>
        </w:rPr>
        <w:t>23）《卫生信息标识体系对象标识符注册管理规程》（WS/T 681-2020）；</w:t>
      </w:r>
    </w:p>
    <w:p w14:paraId="01417DD0">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color w:val="000000"/>
          <w:sz w:val="24"/>
          <w:szCs w:val="24"/>
        </w:rPr>
        <w:t>24）《卫生信息标识体系对象标识符编号结构与基本规则》（WS/T 682-2020）；</w:t>
      </w:r>
    </w:p>
    <w:p w14:paraId="20EA2861">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color w:val="000000"/>
          <w:sz w:val="24"/>
          <w:szCs w:val="24"/>
        </w:rPr>
        <w:t>25）《药品采购使用管理分类代码与标识码》（WS/T 778-2021）；</w:t>
      </w:r>
    </w:p>
    <w:p w14:paraId="7149281D">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color w:val="000000"/>
          <w:sz w:val="24"/>
          <w:szCs w:val="24"/>
        </w:rPr>
        <w:t>26）《国家卫生信息资源分类与编码管理规范》（WS/T 787-2021）；</w:t>
      </w:r>
    </w:p>
    <w:p w14:paraId="42300E2C">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color w:val="000000"/>
          <w:sz w:val="24"/>
          <w:szCs w:val="24"/>
        </w:rPr>
        <w:t>27）《国家卫生信息资源使用管理规范》（WS/T 788-2021）；</w:t>
      </w:r>
    </w:p>
    <w:p w14:paraId="61D905B7">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color w:val="000000"/>
          <w:sz w:val="24"/>
          <w:szCs w:val="24"/>
        </w:rPr>
        <w:t>28）《区域卫生信息平台交互标准（系列）》（WS/T 790-2021）；</w:t>
      </w:r>
    </w:p>
    <w:p w14:paraId="25860BD2">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color w:val="000000"/>
          <w:sz w:val="24"/>
          <w:szCs w:val="24"/>
        </w:rPr>
        <w:t>29）《疾病分类与代码》（GB/T 14396-2021）；</w:t>
      </w:r>
    </w:p>
    <w:p w14:paraId="375E551E">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color w:val="000000"/>
          <w:sz w:val="24"/>
          <w:szCs w:val="24"/>
        </w:rPr>
        <w:t>23）《手术、操作分类与代码》（T/CHIA 001-2021）；</w:t>
      </w:r>
    </w:p>
    <w:p w14:paraId="56A02AC3">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color w:val="000000"/>
          <w:sz w:val="24"/>
          <w:szCs w:val="24"/>
        </w:rPr>
        <w:t>30）《卫生机构（组织）分类与代码》（WS/T 218-2022）；</w:t>
      </w:r>
    </w:p>
    <w:p w14:paraId="27BD811C">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color w:val="000000"/>
          <w:sz w:val="24"/>
          <w:szCs w:val="24"/>
        </w:rPr>
        <w:t>31）《卫生健康信息基本数据集编制标准》（WS/T 370-2022）；</w:t>
      </w:r>
    </w:p>
    <w:p w14:paraId="6B44D0FA">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color w:val="000000"/>
          <w:sz w:val="24"/>
          <w:szCs w:val="24"/>
        </w:rPr>
        <w:t>32）《卫生健康信息数据元目录（系列）》（WS/T 363-2023）；</w:t>
      </w:r>
    </w:p>
    <w:p w14:paraId="1DBEC96F">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color w:val="000000"/>
          <w:sz w:val="24"/>
          <w:szCs w:val="24"/>
        </w:rPr>
        <w:t>33）《卫生健康信息数据元值域代码（系列）》（WS/T 364-2023）。</w:t>
      </w:r>
    </w:p>
    <w:p w14:paraId="725FABA8">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color w:val="000000"/>
          <w:sz w:val="24"/>
          <w:szCs w:val="24"/>
        </w:rPr>
        <w:t>（2）医疗行业其他规范</w:t>
      </w:r>
    </w:p>
    <w:p w14:paraId="0E0A654D">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color w:val="000000"/>
          <w:sz w:val="24"/>
          <w:szCs w:val="24"/>
        </w:rPr>
        <w:t>1）《电子病历基本架构与数据标准（试行）》（卫办发〔2009〕130号）；</w:t>
      </w:r>
    </w:p>
    <w:p w14:paraId="074E330F">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color w:val="000000"/>
          <w:sz w:val="24"/>
          <w:szCs w:val="24"/>
        </w:rPr>
        <w:t>2）《健康档案基本架构与数据标准（试行）》（卫办发〔2009〕46号）；</w:t>
      </w:r>
    </w:p>
    <w:p w14:paraId="0A91DE4D">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color w:val="000000"/>
          <w:sz w:val="24"/>
          <w:szCs w:val="24"/>
        </w:rPr>
        <w:t>3）《医院信息平台应用功能指引（2016）》；</w:t>
      </w:r>
    </w:p>
    <w:p w14:paraId="339DF6EF">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color w:val="000000"/>
          <w:sz w:val="24"/>
          <w:szCs w:val="24"/>
        </w:rPr>
        <w:t>4）《医院信息化建设应用技术指引》（国卫办规划函〔2017〕1232号）；</w:t>
      </w:r>
    </w:p>
    <w:p w14:paraId="4DC88E57">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color w:val="000000"/>
          <w:sz w:val="24"/>
          <w:szCs w:val="24"/>
        </w:rPr>
        <w:t>5）《全国医院信息化建设标准与规范（试行）》（国卫办规划发〔2018〕4号）；</w:t>
      </w:r>
    </w:p>
    <w:p w14:paraId="609C80FD">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color w:val="000000"/>
          <w:sz w:val="24"/>
          <w:szCs w:val="24"/>
        </w:rPr>
        <w:t>6）《全国基层医疗卫生机构信息化建设标准与规范（试行）》（国卫规划函〔2019〕87号）；</w:t>
      </w:r>
    </w:p>
    <w:p w14:paraId="3C49E922">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color w:val="000000"/>
          <w:sz w:val="24"/>
          <w:szCs w:val="24"/>
        </w:rPr>
        <w:t>7）《中国公共卫生信息分类与基本数据集 第一版》；</w:t>
      </w:r>
    </w:p>
    <w:p w14:paraId="04EC43EE">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color w:val="000000"/>
          <w:sz w:val="24"/>
          <w:szCs w:val="24"/>
        </w:rPr>
        <w:t>8）《公立医院高质量发展评价指标（试行）》（国卫办医发〔2022〕9号）；</w:t>
      </w:r>
    </w:p>
    <w:p w14:paraId="26D6565D">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color w:val="000000"/>
          <w:sz w:val="24"/>
          <w:szCs w:val="24"/>
        </w:rPr>
        <w:t>9）《医疗卫生机构患者主索引标准统一技术指南（2023版）》。</w:t>
      </w:r>
    </w:p>
    <w:p w14:paraId="1992E167">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color w:val="000000"/>
          <w:sz w:val="24"/>
          <w:szCs w:val="24"/>
        </w:rPr>
        <w:t>（3）网络安全标准</w:t>
      </w:r>
    </w:p>
    <w:p w14:paraId="7E93B313">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color w:val="000000"/>
          <w:sz w:val="24"/>
          <w:szCs w:val="24"/>
        </w:rPr>
        <w:t>1）《信息安全技术 信息系统通用安全技术要求》（GB/T 20271-2006）；</w:t>
      </w:r>
    </w:p>
    <w:p w14:paraId="66904CFB">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color w:val="000000"/>
          <w:sz w:val="24"/>
          <w:szCs w:val="24"/>
        </w:rPr>
        <w:t>2）《信息技术 安全技术 信息安全控制实践指南》（GB/T 22081-2016）；</w:t>
      </w:r>
    </w:p>
    <w:p w14:paraId="3346936F">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color w:val="000000"/>
          <w:sz w:val="24"/>
          <w:szCs w:val="24"/>
        </w:rPr>
        <w:t>3）《信息安全技术 办公信息系统安全管理要求》（GB/T 37094-2018）；</w:t>
      </w:r>
    </w:p>
    <w:p w14:paraId="1F4A2924">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color w:val="000000"/>
          <w:sz w:val="24"/>
          <w:szCs w:val="24"/>
        </w:rPr>
        <w:t>4）《信息安全技术 操作系统安全技术要求》（GB/T 20272-2019）；</w:t>
      </w:r>
    </w:p>
    <w:p w14:paraId="48431D04">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color w:val="000000"/>
          <w:sz w:val="24"/>
          <w:szCs w:val="24"/>
        </w:rPr>
        <w:t>5）《信息安全技术 网络安全等级保护测评要求》（GB/T 28448-2019）；</w:t>
      </w:r>
    </w:p>
    <w:p w14:paraId="2C4F9767">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color w:val="000000"/>
          <w:sz w:val="24"/>
          <w:szCs w:val="24"/>
        </w:rPr>
        <w:t>6）《信息安全技术 网络安全等级保护安全设计技术要求》（GB/T 25070-2019）；</w:t>
      </w:r>
    </w:p>
    <w:p w14:paraId="4A441AAA">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color w:val="000000"/>
          <w:sz w:val="24"/>
          <w:szCs w:val="24"/>
        </w:rPr>
        <w:t>7）《信息安全技术 网络安全等级保护实施指南》（GB/T 25058-2019）</w:t>
      </w:r>
    </w:p>
    <w:p w14:paraId="3A0DB487">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color w:val="000000"/>
          <w:sz w:val="24"/>
          <w:szCs w:val="24"/>
        </w:rPr>
        <w:t>8）《信息安全技术 网络安全等级保护基本要求》（GB/T 22239-2019）；</w:t>
      </w:r>
    </w:p>
    <w:p w14:paraId="43D83B0D">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color w:val="000000"/>
          <w:sz w:val="24"/>
          <w:szCs w:val="24"/>
        </w:rPr>
        <w:t>9）《信息安全技术 网络安全等级保护定级指南》（GB/T 22240-2020）；</w:t>
      </w:r>
    </w:p>
    <w:p w14:paraId="0C22D174">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color w:val="000000"/>
          <w:sz w:val="24"/>
          <w:szCs w:val="24"/>
        </w:rPr>
        <w:t>10）《信息安全技术 关键信息基础设施安全保护要求》（GB/T 39204-2022）。</w:t>
      </w:r>
    </w:p>
    <w:p w14:paraId="14BF7895">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color w:val="000000"/>
          <w:sz w:val="24"/>
          <w:szCs w:val="24"/>
        </w:rPr>
        <w:t>（4）应用软件开发标准</w:t>
      </w:r>
    </w:p>
    <w:p w14:paraId="0D6F210C">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color w:val="000000"/>
          <w:sz w:val="24"/>
          <w:szCs w:val="24"/>
        </w:rPr>
        <w:t>1）《计算机软件文档编制规范》（GB/T 8567-2006）；</w:t>
      </w:r>
    </w:p>
    <w:p w14:paraId="38D165FE">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color w:val="000000"/>
          <w:sz w:val="24"/>
          <w:szCs w:val="24"/>
        </w:rPr>
        <w:t>2）《计算机软件需求规格说明规范》（GB/T9385-2008）；</w:t>
      </w:r>
    </w:p>
    <w:p w14:paraId="71DF9E5B">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color w:val="000000"/>
          <w:sz w:val="24"/>
          <w:szCs w:val="24"/>
        </w:rPr>
        <w:t>3）《计算机软件测试文档编制规范》（GB/T9386-2008）；</w:t>
      </w:r>
    </w:p>
    <w:p w14:paraId="69B3BFF5">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color w:val="000000"/>
          <w:sz w:val="24"/>
          <w:szCs w:val="24"/>
        </w:rPr>
        <w:t>4）《计算机软件可靠性和可维护性管理》（GB/T 14394-2008）。</w:t>
      </w:r>
    </w:p>
    <w:p w14:paraId="5F9175B9">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color w:val="000000"/>
          <w:sz w:val="24"/>
          <w:szCs w:val="24"/>
        </w:rPr>
        <w:t>（4）密码应用标准</w:t>
      </w:r>
    </w:p>
    <w:p w14:paraId="08E21301">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color w:val="000000"/>
          <w:sz w:val="24"/>
          <w:szCs w:val="24"/>
        </w:rPr>
        <w:t>1）《信息安全技术 信息系统密码应用基本要求》（GB/T 39786-2021）；</w:t>
      </w:r>
    </w:p>
    <w:p w14:paraId="35D3D530">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color w:val="000000"/>
          <w:sz w:val="24"/>
          <w:szCs w:val="24"/>
        </w:rPr>
        <w:t>2）《信息安全技术 信息系统密码应用测评要求》（GB/T 43206—2023）；</w:t>
      </w:r>
    </w:p>
    <w:p w14:paraId="44E1898A">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color w:val="000000"/>
          <w:sz w:val="24"/>
          <w:szCs w:val="24"/>
        </w:rPr>
        <w:t>3）《信息安全技术 信息系统密码应用设计指南》（GB/T 43207-2023）。</w:t>
      </w:r>
    </w:p>
    <w:p w14:paraId="61F8E30B">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color w:val="000000"/>
          <w:sz w:val="24"/>
          <w:szCs w:val="24"/>
        </w:rPr>
        <w:t>注：以上标准仅供参考，如有最新、规范标准，以国家或行业最新标准、规范为准，同时还应符合国家和省市、行业相关的标准及有关规定。如上述标准及规定有矛盾的，则以较严格的现行标准、规定为准。</w:t>
      </w:r>
    </w:p>
    <w:p w14:paraId="18F7D5CC">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color w:val="000000"/>
          <w:sz w:val="24"/>
          <w:szCs w:val="24"/>
        </w:rPr>
        <w:t>1.1.4 人员配置要求</w:t>
      </w:r>
    </w:p>
    <w:tbl>
      <w:tblPr>
        <w:tblStyle w:val="4"/>
        <w:tblW w:w="0" w:type="auto"/>
        <w:tblInd w:w="0" w:type="dxa"/>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autofit"/>
        <w:tblCellMar>
          <w:top w:w="0" w:type="dxa"/>
          <w:left w:w="108" w:type="dxa"/>
          <w:bottom w:w="0" w:type="dxa"/>
          <w:right w:w="108" w:type="dxa"/>
        </w:tblCellMar>
      </w:tblPr>
      <w:tblGrid>
        <w:gridCol w:w="984"/>
        <w:gridCol w:w="2392"/>
        <w:gridCol w:w="2677"/>
        <w:gridCol w:w="2253"/>
      </w:tblGrid>
      <w:tr w14:paraId="2A29CE3A">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984" w:type="dxa"/>
            <w:tcBorders>
              <w:top w:val="double" w:color="000000" w:sz="4" w:space="0"/>
              <w:left w:val="double" w:color="000000" w:sz="4" w:space="0"/>
              <w:bottom w:val="single" w:color="000000" w:sz="4" w:space="0"/>
              <w:right w:val="single" w:color="000000" w:sz="4" w:space="0"/>
            </w:tcBorders>
            <w:shd w:val="clear" w:color="auto" w:fill="C0C0C0"/>
            <w:tcMar>
              <w:top w:w="0" w:type="dxa"/>
              <w:left w:w="105" w:type="dxa"/>
              <w:bottom w:w="0" w:type="dxa"/>
              <w:right w:w="105" w:type="dxa"/>
            </w:tcMar>
            <w:vAlign w:val="center"/>
          </w:tcPr>
          <w:p w14:paraId="07D6478C">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b/>
                <w:sz w:val="24"/>
                <w:szCs w:val="24"/>
              </w:rPr>
              <w:t>序号</w:t>
            </w:r>
          </w:p>
        </w:tc>
        <w:tc>
          <w:tcPr>
            <w:tcW w:w="2392" w:type="dxa"/>
            <w:tcBorders>
              <w:top w:val="double" w:color="000000" w:sz="4" w:space="0"/>
              <w:left w:val="nil"/>
              <w:bottom w:val="single" w:color="000000" w:sz="4" w:space="0"/>
              <w:right w:val="single" w:color="000000" w:sz="4" w:space="0"/>
            </w:tcBorders>
            <w:shd w:val="clear" w:color="auto" w:fill="C0C0C0"/>
            <w:tcMar>
              <w:top w:w="0" w:type="dxa"/>
              <w:left w:w="105" w:type="dxa"/>
              <w:bottom w:w="0" w:type="dxa"/>
              <w:right w:w="105" w:type="dxa"/>
            </w:tcMar>
            <w:vAlign w:val="center"/>
          </w:tcPr>
          <w:p w14:paraId="5BE6D63C">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b/>
                <w:sz w:val="24"/>
                <w:szCs w:val="24"/>
              </w:rPr>
              <w:t>团队名称</w:t>
            </w:r>
          </w:p>
        </w:tc>
        <w:tc>
          <w:tcPr>
            <w:tcW w:w="2677" w:type="dxa"/>
            <w:tcBorders>
              <w:top w:val="double" w:color="000000" w:sz="4" w:space="0"/>
              <w:left w:val="nil"/>
              <w:bottom w:val="single" w:color="000000" w:sz="4" w:space="0"/>
              <w:right w:val="single" w:color="000000" w:sz="4" w:space="0"/>
            </w:tcBorders>
            <w:shd w:val="clear" w:color="auto" w:fill="C0C0C0"/>
            <w:tcMar>
              <w:top w:w="0" w:type="dxa"/>
              <w:left w:w="105" w:type="dxa"/>
              <w:bottom w:w="0" w:type="dxa"/>
              <w:right w:w="105" w:type="dxa"/>
            </w:tcMar>
            <w:vAlign w:val="center"/>
          </w:tcPr>
          <w:p w14:paraId="09B0A919">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b/>
                <w:sz w:val="24"/>
                <w:szCs w:val="24"/>
              </w:rPr>
              <w:t>工作岗位</w:t>
            </w:r>
          </w:p>
        </w:tc>
        <w:tc>
          <w:tcPr>
            <w:tcW w:w="2253" w:type="dxa"/>
            <w:tcBorders>
              <w:top w:val="double" w:color="000000" w:sz="4" w:space="0"/>
              <w:left w:val="nil"/>
              <w:bottom w:val="single" w:color="000000" w:sz="4" w:space="0"/>
              <w:right w:val="double" w:color="000000" w:sz="4" w:space="0"/>
            </w:tcBorders>
            <w:shd w:val="clear" w:color="auto" w:fill="C0C0C0"/>
            <w:tcMar>
              <w:top w:w="0" w:type="dxa"/>
              <w:left w:w="105" w:type="dxa"/>
              <w:bottom w:w="0" w:type="dxa"/>
              <w:right w:w="105" w:type="dxa"/>
            </w:tcMar>
            <w:vAlign w:val="center"/>
          </w:tcPr>
          <w:p w14:paraId="6A20C49A">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b/>
                <w:sz w:val="24"/>
                <w:szCs w:val="24"/>
              </w:rPr>
              <w:t>人员数量</w:t>
            </w:r>
          </w:p>
        </w:tc>
      </w:tr>
      <w:tr w14:paraId="3AA33836">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984" w:type="dxa"/>
            <w:tcBorders>
              <w:top w:val="nil"/>
              <w:left w:val="doub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7F6E683D">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1</w:t>
            </w:r>
          </w:p>
        </w:tc>
        <w:tc>
          <w:tcPr>
            <w:tcW w:w="2392" w:type="dxa"/>
            <w:vMerge w:val="restart"/>
            <w:tcBorders>
              <w:top w:val="nil"/>
              <w:left w:val="nil"/>
              <w:bottom w:val="single" w:color="000000" w:sz="4" w:space="0"/>
              <w:right w:val="single" w:color="000000" w:sz="4" w:space="0"/>
            </w:tcBorders>
            <w:shd w:val="clear" w:color="auto" w:fill="FFFFFF"/>
            <w:tcMar>
              <w:top w:w="0" w:type="dxa"/>
              <w:left w:w="105" w:type="dxa"/>
              <w:bottom w:w="0" w:type="dxa"/>
              <w:right w:w="105" w:type="dxa"/>
            </w:tcMar>
            <w:vAlign w:val="center"/>
          </w:tcPr>
          <w:p w14:paraId="242C02FF">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现场组团队</w:t>
            </w:r>
          </w:p>
        </w:tc>
        <w:tc>
          <w:tcPr>
            <w:tcW w:w="2677" w:type="dxa"/>
            <w:tcBorders>
              <w:top w:val="nil"/>
              <w:left w:val="nil"/>
              <w:bottom w:val="single" w:color="000000" w:sz="4" w:space="0"/>
              <w:right w:val="single" w:color="000000" w:sz="4" w:space="0"/>
            </w:tcBorders>
            <w:shd w:val="clear" w:color="auto" w:fill="FFFFFF"/>
            <w:tcMar>
              <w:top w:w="0" w:type="dxa"/>
              <w:left w:w="105" w:type="dxa"/>
              <w:bottom w:w="0" w:type="dxa"/>
              <w:right w:w="105" w:type="dxa"/>
            </w:tcMar>
            <w:vAlign w:val="center"/>
          </w:tcPr>
          <w:p w14:paraId="4A8E2916">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运维经理</w:t>
            </w:r>
          </w:p>
        </w:tc>
        <w:tc>
          <w:tcPr>
            <w:tcW w:w="2253" w:type="dxa"/>
            <w:tcBorders>
              <w:top w:val="nil"/>
              <w:left w:val="nil"/>
              <w:bottom w:val="single" w:color="000000" w:sz="4" w:space="0"/>
              <w:right w:val="double" w:color="000000" w:sz="4" w:space="0"/>
            </w:tcBorders>
            <w:shd w:val="clear" w:color="auto" w:fill="FFFFFF"/>
            <w:tcMar>
              <w:top w:w="0" w:type="dxa"/>
              <w:left w:w="105" w:type="dxa"/>
              <w:bottom w:w="0" w:type="dxa"/>
              <w:right w:w="105" w:type="dxa"/>
            </w:tcMar>
            <w:vAlign w:val="center"/>
          </w:tcPr>
          <w:p w14:paraId="4875CDC3">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1人</w:t>
            </w:r>
          </w:p>
        </w:tc>
      </w:tr>
      <w:tr w14:paraId="78FB8426">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984" w:type="dxa"/>
            <w:tcBorders>
              <w:top w:val="nil"/>
              <w:left w:val="doub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0DB34BEE">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2</w:t>
            </w:r>
          </w:p>
        </w:tc>
        <w:tc>
          <w:tcPr>
            <w:tcW w:w="2392" w:type="dxa"/>
            <w:vMerge w:val="continue"/>
            <w:tcBorders>
              <w:top w:val="nil"/>
              <w:left w:val="nil"/>
              <w:bottom w:val="single" w:color="000000" w:sz="4" w:space="0"/>
              <w:right w:val="single" w:color="000000" w:sz="4" w:space="0"/>
            </w:tcBorders>
            <w:vAlign w:val="center"/>
          </w:tcPr>
          <w:p w14:paraId="2A936886">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p>
        </w:tc>
        <w:tc>
          <w:tcPr>
            <w:tcW w:w="2677" w:type="dxa"/>
            <w:tcBorders>
              <w:top w:val="nil"/>
              <w:left w:val="nil"/>
              <w:bottom w:val="single" w:color="000000" w:sz="4" w:space="0"/>
              <w:right w:val="single" w:color="000000" w:sz="4" w:space="0"/>
            </w:tcBorders>
            <w:shd w:val="clear" w:color="auto" w:fill="FFFFFF"/>
            <w:tcMar>
              <w:top w:w="0" w:type="dxa"/>
              <w:left w:w="105" w:type="dxa"/>
              <w:bottom w:w="0" w:type="dxa"/>
              <w:right w:w="105" w:type="dxa"/>
            </w:tcMar>
            <w:vAlign w:val="center"/>
          </w:tcPr>
          <w:p w14:paraId="3166C47F">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运维人员</w:t>
            </w:r>
          </w:p>
        </w:tc>
        <w:tc>
          <w:tcPr>
            <w:tcW w:w="2253" w:type="dxa"/>
            <w:tcBorders>
              <w:top w:val="nil"/>
              <w:left w:val="nil"/>
              <w:bottom w:val="single" w:color="000000" w:sz="4" w:space="0"/>
              <w:right w:val="double" w:color="000000" w:sz="4" w:space="0"/>
            </w:tcBorders>
            <w:shd w:val="clear" w:color="auto" w:fill="FFFFFF"/>
            <w:tcMar>
              <w:top w:w="0" w:type="dxa"/>
              <w:left w:w="105" w:type="dxa"/>
              <w:bottom w:w="0" w:type="dxa"/>
              <w:right w:w="105" w:type="dxa"/>
            </w:tcMar>
            <w:vAlign w:val="center"/>
          </w:tcPr>
          <w:p w14:paraId="59B1AE83">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2人</w:t>
            </w:r>
          </w:p>
        </w:tc>
      </w:tr>
      <w:tr w14:paraId="0A3004D7">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984" w:type="dxa"/>
            <w:tcBorders>
              <w:top w:val="nil"/>
              <w:left w:val="doub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05C88564">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3</w:t>
            </w:r>
          </w:p>
        </w:tc>
        <w:tc>
          <w:tcPr>
            <w:tcW w:w="2392" w:type="dxa"/>
            <w:vMerge w:val="restart"/>
            <w:tcBorders>
              <w:top w:val="nil"/>
              <w:left w:val="nil"/>
              <w:bottom w:val="double" w:color="000000" w:sz="4" w:space="0"/>
              <w:right w:val="single" w:color="000000" w:sz="4" w:space="0"/>
            </w:tcBorders>
            <w:shd w:val="clear" w:color="auto" w:fill="FFFFFF"/>
            <w:tcMar>
              <w:top w:w="0" w:type="dxa"/>
              <w:left w:w="105" w:type="dxa"/>
              <w:bottom w:w="0" w:type="dxa"/>
              <w:right w:w="105" w:type="dxa"/>
            </w:tcMar>
            <w:vAlign w:val="center"/>
          </w:tcPr>
          <w:p w14:paraId="7E87B67F">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技术组团队</w:t>
            </w:r>
          </w:p>
        </w:tc>
        <w:tc>
          <w:tcPr>
            <w:tcW w:w="2677" w:type="dxa"/>
            <w:tcBorders>
              <w:top w:val="nil"/>
              <w:left w:val="nil"/>
              <w:bottom w:val="single" w:color="000000" w:sz="4" w:space="0"/>
              <w:right w:val="single" w:color="000000" w:sz="4" w:space="0"/>
            </w:tcBorders>
            <w:shd w:val="clear" w:color="auto" w:fill="FFFFFF"/>
            <w:tcMar>
              <w:top w:w="0" w:type="dxa"/>
              <w:left w:w="105" w:type="dxa"/>
              <w:bottom w:w="0" w:type="dxa"/>
              <w:right w:w="105" w:type="dxa"/>
            </w:tcMar>
            <w:vAlign w:val="center"/>
          </w:tcPr>
          <w:p w14:paraId="6CB7B660">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技术支撑经理</w:t>
            </w:r>
          </w:p>
        </w:tc>
        <w:tc>
          <w:tcPr>
            <w:tcW w:w="2253" w:type="dxa"/>
            <w:tcBorders>
              <w:top w:val="nil"/>
              <w:left w:val="nil"/>
              <w:bottom w:val="single" w:color="000000" w:sz="4" w:space="0"/>
              <w:right w:val="double" w:color="000000" w:sz="4" w:space="0"/>
            </w:tcBorders>
            <w:shd w:val="clear" w:color="auto" w:fill="FFFFFF"/>
            <w:tcMar>
              <w:top w:w="0" w:type="dxa"/>
              <w:left w:w="105" w:type="dxa"/>
              <w:bottom w:w="0" w:type="dxa"/>
              <w:right w:w="105" w:type="dxa"/>
            </w:tcMar>
            <w:vAlign w:val="center"/>
          </w:tcPr>
          <w:p w14:paraId="3AB7D2B2">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1人</w:t>
            </w:r>
          </w:p>
        </w:tc>
      </w:tr>
      <w:tr w14:paraId="6860766A">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984" w:type="dxa"/>
            <w:tcBorders>
              <w:top w:val="nil"/>
              <w:left w:val="doub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71581A5C">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4</w:t>
            </w:r>
          </w:p>
        </w:tc>
        <w:tc>
          <w:tcPr>
            <w:tcW w:w="2392" w:type="dxa"/>
            <w:vMerge w:val="continue"/>
            <w:tcBorders>
              <w:top w:val="nil"/>
              <w:left w:val="nil"/>
              <w:bottom w:val="double" w:color="000000" w:sz="4" w:space="0"/>
              <w:right w:val="single" w:color="000000" w:sz="4" w:space="0"/>
            </w:tcBorders>
            <w:vAlign w:val="center"/>
          </w:tcPr>
          <w:p w14:paraId="5C9718D1">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p>
        </w:tc>
        <w:tc>
          <w:tcPr>
            <w:tcW w:w="2677" w:type="dxa"/>
            <w:tcBorders>
              <w:top w:val="nil"/>
              <w:left w:val="nil"/>
              <w:bottom w:val="single" w:color="000000" w:sz="4" w:space="0"/>
              <w:right w:val="single" w:color="000000" w:sz="4" w:space="0"/>
            </w:tcBorders>
            <w:shd w:val="clear" w:color="auto" w:fill="FFFFFF"/>
            <w:tcMar>
              <w:top w:w="0" w:type="dxa"/>
              <w:left w:w="105" w:type="dxa"/>
              <w:bottom w:w="0" w:type="dxa"/>
              <w:right w:w="105" w:type="dxa"/>
            </w:tcMar>
            <w:vAlign w:val="center"/>
          </w:tcPr>
          <w:p w14:paraId="2299DC93">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技术支撑人员</w:t>
            </w:r>
          </w:p>
        </w:tc>
        <w:tc>
          <w:tcPr>
            <w:tcW w:w="2253" w:type="dxa"/>
            <w:tcBorders>
              <w:top w:val="nil"/>
              <w:left w:val="nil"/>
              <w:bottom w:val="single" w:color="000000" w:sz="4" w:space="0"/>
              <w:right w:val="double" w:color="000000" w:sz="4" w:space="0"/>
            </w:tcBorders>
            <w:shd w:val="clear" w:color="auto" w:fill="FFFFFF"/>
            <w:tcMar>
              <w:top w:w="0" w:type="dxa"/>
              <w:left w:w="105" w:type="dxa"/>
              <w:bottom w:w="0" w:type="dxa"/>
              <w:right w:w="105" w:type="dxa"/>
            </w:tcMar>
            <w:vAlign w:val="center"/>
          </w:tcPr>
          <w:p w14:paraId="2CDC1C8A">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6人</w:t>
            </w:r>
          </w:p>
        </w:tc>
      </w:tr>
      <w:tr w14:paraId="5F922E7E">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984" w:type="dxa"/>
            <w:tcBorders>
              <w:top w:val="nil"/>
              <w:left w:val="double" w:color="000000" w:sz="4" w:space="0"/>
              <w:bottom w:val="double" w:color="000000" w:sz="4" w:space="0"/>
              <w:right w:val="single" w:color="000000" w:sz="4" w:space="0"/>
            </w:tcBorders>
            <w:shd w:val="clear" w:color="auto" w:fill="FFFFFF"/>
            <w:tcMar>
              <w:top w:w="0" w:type="dxa"/>
              <w:left w:w="105" w:type="dxa"/>
              <w:bottom w:w="0" w:type="dxa"/>
              <w:right w:w="105" w:type="dxa"/>
            </w:tcMar>
            <w:vAlign w:val="center"/>
          </w:tcPr>
          <w:p w14:paraId="487CDF08">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5</w:t>
            </w:r>
          </w:p>
        </w:tc>
        <w:tc>
          <w:tcPr>
            <w:tcW w:w="2392" w:type="dxa"/>
            <w:vMerge w:val="continue"/>
            <w:tcBorders>
              <w:top w:val="nil"/>
              <w:left w:val="nil"/>
              <w:bottom w:val="double" w:color="000000" w:sz="4" w:space="0"/>
              <w:right w:val="single" w:color="000000" w:sz="4" w:space="0"/>
            </w:tcBorders>
            <w:vAlign w:val="center"/>
          </w:tcPr>
          <w:p w14:paraId="2E0E168B">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p>
        </w:tc>
        <w:tc>
          <w:tcPr>
            <w:tcW w:w="2677" w:type="dxa"/>
            <w:tcBorders>
              <w:top w:val="nil"/>
              <w:left w:val="nil"/>
              <w:bottom w:val="double" w:color="000000" w:sz="4" w:space="0"/>
              <w:right w:val="single" w:color="000000" w:sz="4" w:space="0"/>
            </w:tcBorders>
            <w:shd w:val="clear" w:color="auto" w:fill="FFFFFF"/>
            <w:tcMar>
              <w:top w:w="0" w:type="dxa"/>
              <w:left w:w="105" w:type="dxa"/>
              <w:bottom w:w="0" w:type="dxa"/>
              <w:right w:w="105" w:type="dxa"/>
            </w:tcMar>
            <w:vAlign w:val="center"/>
          </w:tcPr>
          <w:p w14:paraId="23ED9466">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客服人员</w:t>
            </w:r>
          </w:p>
        </w:tc>
        <w:tc>
          <w:tcPr>
            <w:tcW w:w="2253" w:type="dxa"/>
            <w:tcBorders>
              <w:top w:val="nil"/>
              <w:left w:val="nil"/>
              <w:bottom w:val="double" w:color="000000" w:sz="4" w:space="0"/>
              <w:right w:val="double" w:color="000000" w:sz="4" w:space="0"/>
            </w:tcBorders>
            <w:shd w:val="clear" w:color="auto" w:fill="FFFFFF"/>
            <w:tcMar>
              <w:top w:w="0" w:type="dxa"/>
              <w:left w:w="105" w:type="dxa"/>
              <w:bottom w:w="0" w:type="dxa"/>
              <w:right w:w="105" w:type="dxa"/>
            </w:tcMar>
            <w:vAlign w:val="center"/>
          </w:tcPr>
          <w:p w14:paraId="54275E72">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2人</w:t>
            </w:r>
          </w:p>
        </w:tc>
      </w:tr>
    </w:tbl>
    <w:p w14:paraId="14ED063A">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color w:val="000000"/>
          <w:sz w:val="24"/>
          <w:szCs w:val="24"/>
        </w:rPr>
        <w:t>2、投标人若使用自己的专用标准和协议，应向采购人主动提出并附上相应的详细技术资料；在取得采购人认可同意后方可使用。</w:t>
      </w:r>
    </w:p>
    <w:p w14:paraId="65A5CA78">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color w:val="000000"/>
          <w:sz w:val="24"/>
          <w:szCs w:val="24"/>
        </w:rPr>
        <w:t>3、若有新的标准(如中华人民共和国通信信息行业标准、“数字福建”有关技术要求、“数字福州”有关技术要求等)发布，投标人免费修改其系统以满足要求。</w:t>
      </w:r>
    </w:p>
    <w:p w14:paraId="5A0F8853">
      <w:pPr>
        <w:pStyle w:val="6"/>
        <w:keepNext w:val="0"/>
        <w:keepLines w:val="0"/>
        <w:pageBreakBefore w:val="0"/>
        <w:kinsoku/>
        <w:wordWrap/>
        <w:overflowPunct/>
        <w:topLinePunct w:val="0"/>
        <w:autoSpaceDE/>
        <w:autoSpaceDN/>
        <w:bidi w:val="0"/>
        <w:adjustRightInd/>
        <w:snapToGrid/>
        <w:spacing w:line="500" w:lineRule="exact"/>
        <w:ind w:left="570"/>
        <w:jc w:val="both"/>
        <w:textAlignment w:val="auto"/>
        <w:rPr>
          <w:rFonts w:hint="eastAsia" w:ascii="宋体" w:hAnsi="宋体" w:eastAsia="宋体" w:cs="宋体"/>
          <w:sz w:val="24"/>
          <w:szCs w:val="24"/>
        </w:rPr>
      </w:pPr>
      <w:r>
        <w:rPr>
          <w:rFonts w:hint="eastAsia" w:ascii="宋体" w:hAnsi="宋体" w:eastAsia="宋体" w:cs="宋体"/>
          <w:b/>
          <w:color w:val="000000"/>
          <w:sz w:val="24"/>
          <w:szCs w:val="24"/>
        </w:rPr>
        <w:t>1.2.项目概况</w:t>
      </w:r>
    </w:p>
    <w:p w14:paraId="42C497F1">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color w:val="000000"/>
          <w:sz w:val="24"/>
          <w:szCs w:val="24"/>
        </w:rPr>
        <w:t>1.2.1.项目背景</w:t>
      </w:r>
    </w:p>
    <w:p w14:paraId="2ED3D922">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color w:val="000000"/>
          <w:sz w:val="24"/>
          <w:szCs w:val="24"/>
        </w:rPr>
        <w:t>近年来，福建省委、省政府高度重视精神卫生工作，将其列为社会事业发展中亟须补齐的关键短板。《“健康福建2030”行动规划》中明确提到要完善医疗卫生服务体系，适当增加精神卫生等薄弱专科资源，推动城市专科医院发展，完善市级精神卫生等专科医院建设，到2030年，精神障碍社区康复覆盖全部县（市、区）。《健康福建行动实施方案》对精神卫生工作作出了具体要求，包括健全社会心理服务网络、建立精神卫生综合管理机制、完善精神障碍社区康复服务等；还设置到2022年和2030年，居民心理健康素养水平分别提升到20%和30%的具体目标。《福建省“十四五”卫生健康发展专项规划》在“全方位干预健康影响因素”部分，明确提出加强心理健康和精神卫生服务，规划设置了严重精神障碍患者管理率指标，要求继续提高严重精神障碍患者的管理水平。然而福建省目前尚无省级精神专科医院，精神卫生服务能力存在明显缺口。</w:t>
      </w:r>
    </w:p>
    <w:p w14:paraId="02DBA071">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color w:val="000000"/>
          <w:sz w:val="24"/>
          <w:szCs w:val="24"/>
        </w:rPr>
        <w:t>为此，福州市第二总医院神经精神病防治院作为全省唯一申报单位，承担了省级精神专科服务能力建设项目，并于2025年上半年完成国家卫健委的立项对接、申报材料提交及相关前期协调工作。国家卫健委专家评审一致认为，该院基础条件良好，符合国家精神疾病区域医疗中心建设标准，具备项目实施条件，建议尽快完成立项程序，争取纳入中央预算内投资支持范围。</w:t>
      </w:r>
    </w:p>
    <w:p w14:paraId="30110EB4">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color w:val="000000"/>
          <w:sz w:val="24"/>
          <w:szCs w:val="24"/>
        </w:rPr>
        <w:t>1.2.2.建设目标</w:t>
      </w:r>
    </w:p>
    <w:p w14:paraId="15728341">
      <w:pPr>
        <w:pStyle w:val="6"/>
        <w:keepNext w:val="0"/>
        <w:keepLines w:val="0"/>
        <w:pageBreakBefore w:val="0"/>
        <w:kinsoku/>
        <w:wordWrap/>
        <w:overflowPunct/>
        <w:topLinePunct w:val="0"/>
        <w:autoSpaceDE/>
        <w:autoSpaceDN/>
        <w:bidi w:val="0"/>
        <w:adjustRightInd/>
        <w:snapToGrid/>
        <w:spacing w:line="500" w:lineRule="exact"/>
        <w:ind w:firstLine="482"/>
        <w:jc w:val="both"/>
        <w:textAlignment w:val="auto"/>
        <w:rPr>
          <w:rFonts w:hint="eastAsia" w:ascii="宋体" w:hAnsi="宋体" w:eastAsia="宋体" w:cs="宋体"/>
          <w:sz w:val="24"/>
          <w:szCs w:val="24"/>
        </w:rPr>
      </w:pPr>
      <w:r>
        <w:rPr>
          <w:rFonts w:hint="eastAsia" w:ascii="宋体" w:hAnsi="宋体" w:eastAsia="宋体" w:cs="宋体"/>
          <w:b/>
          <w:color w:val="000000"/>
          <w:sz w:val="24"/>
          <w:szCs w:val="24"/>
        </w:rPr>
        <w:t>1.总体目标</w:t>
      </w:r>
    </w:p>
    <w:p w14:paraId="2E6CB03D">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color w:val="000000"/>
          <w:sz w:val="24"/>
          <w:szCs w:val="24"/>
        </w:rPr>
        <w:t>根据国家、省级政策文件和工作规范要求，为提升福建省精神专科服务能力，满足福建省精神卫生服务的实际需求，本项目以严重精神障碍患者管理为核心，通过整合现有信息资源，强化数据共享与业务融合，构建覆盖全流程、支撑多层级协同的精神卫生信息化平台。同时，提升院内AI应用与医教研能力，提高医院临床诊疗效率和专科服务水平。项目总体目标包括以下方面：</w:t>
      </w:r>
    </w:p>
    <w:p w14:paraId="240F11E5">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color w:val="000000"/>
          <w:sz w:val="24"/>
          <w:szCs w:val="24"/>
        </w:rPr>
        <w:t>（1）健全防治管理机制，实现一体化运作</w:t>
      </w:r>
    </w:p>
    <w:p w14:paraId="679F604C">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color w:val="000000"/>
          <w:sz w:val="24"/>
          <w:szCs w:val="24"/>
        </w:rPr>
        <w:t>依托信息化手段，健全从筛查发现、诊断登记、随访干预到康复管理的患者全流程闭环管理机制，确保信息实时更新与动态追踪；并且打通精神专科医疗机构、社区卫生服务中心等机构之间的信息通道，促进跨机构之间的业务协同联动，进一步实现患者全流程管理、服务质量控制、多机构业务协作与资源统筹调配等功能的一体化运作。</w:t>
      </w:r>
    </w:p>
    <w:p w14:paraId="44C3A555">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color w:val="000000"/>
          <w:sz w:val="24"/>
          <w:szCs w:val="24"/>
        </w:rPr>
        <w:t>（2）构建全省统一心理援助热线平台</w:t>
      </w:r>
    </w:p>
    <w:p w14:paraId="64B1E108">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color w:val="000000"/>
          <w:sz w:val="24"/>
          <w:szCs w:val="24"/>
        </w:rPr>
        <w:t>建设集话务调度、工单流转、应急处置、知识库管理与绩效评估于一体的心理援助热线，支撑省、市两级服务联动。实现对不同群体心理服务需求的高效响应，尤其加强对高危来电的快速干预，降低心理危机风险，并为特殊群体提供个性化、专业化支持。</w:t>
      </w:r>
    </w:p>
    <w:p w14:paraId="693B7B6E">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color w:val="000000"/>
          <w:sz w:val="24"/>
          <w:szCs w:val="24"/>
        </w:rPr>
        <w:t>（3）延伸服务覆盖，推动分级诊疗与早期干预</w:t>
      </w:r>
    </w:p>
    <w:p w14:paraId="5947CB3F">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color w:val="000000"/>
          <w:sz w:val="24"/>
          <w:szCs w:val="24"/>
        </w:rPr>
        <w:t>依托核心医疗资源，赋能基层心理服务网格，运用移动互联网与远程技术，开展面向常见精神障碍及心理问题患者的在线问诊、心理咨询、智能筛查与随访等服务。通过服务模式创新与流程优化，拓展服务可及性，实现院前院后服务向基层延伸，推动心理疾病的早发现、早干预，从而提升治疗效果、改善患者生活质量，并降低相关社会风险。</w:t>
      </w:r>
    </w:p>
    <w:p w14:paraId="7B132BE0">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color w:val="000000"/>
          <w:sz w:val="24"/>
          <w:szCs w:val="24"/>
        </w:rPr>
        <w:t>（4）深化院内系统扩展，提升AI应用与医教研能力</w:t>
      </w:r>
    </w:p>
    <w:p w14:paraId="607E7C77">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color w:val="000000"/>
          <w:sz w:val="24"/>
          <w:szCs w:val="24"/>
        </w:rPr>
        <w:t>本项目在充分发挥福州市第二总医院信息化建设的基础上，围绕业务系统扩展，推进AI能力应用、科研、教学方面业务系统建设，进一步提升医院临床诊疗效率、数据互通能力和专科服务水平，夯实多院区业务协同能力，为医院核心业务提供全面信息化支撑，推进医疗服务提升和卫生事业高质量发展。</w:t>
      </w:r>
    </w:p>
    <w:p w14:paraId="64ACB8CE">
      <w:pPr>
        <w:pStyle w:val="6"/>
        <w:keepNext w:val="0"/>
        <w:keepLines w:val="0"/>
        <w:pageBreakBefore w:val="0"/>
        <w:kinsoku/>
        <w:wordWrap/>
        <w:overflowPunct/>
        <w:topLinePunct w:val="0"/>
        <w:autoSpaceDE/>
        <w:autoSpaceDN/>
        <w:bidi w:val="0"/>
        <w:adjustRightInd/>
        <w:snapToGrid/>
        <w:spacing w:line="500" w:lineRule="exact"/>
        <w:ind w:firstLine="482"/>
        <w:jc w:val="both"/>
        <w:textAlignment w:val="auto"/>
        <w:rPr>
          <w:rFonts w:hint="eastAsia" w:ascii="宋体" w:hAnsi="宋体" w:eastAsia="宋体" w:cs="宋体"/>
          <w:sz w:val="24"/>
          <w:szCs w:val="24"/>
        </w:rPr>
      </w:pPr>
      <w:r>
        <w:rPr>
          <w:rFonts w:hint="eastAsia" w:ascii="宋体" w:hAnsi="宋体" w:eastAsia="宋体" w:cs="宋体"/>
          <w:b/>
          <w:color w:val="000000"/>
          <w:sz w:val="24"/>
          <w:szCs w:val="24"/>
        </w:rPr>
        <w:t>2.具体目标</w:t>
      </w:r>
    </w:p>
    <w:p w14:paraId="78F4D621">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color w:val="000000"/>
          <w:sz w:val="24"/>
          <w:szCs w:val="24"/>
        </w:rPr>
        <w:t>（1）以互联互通标准化建设，提升精神专科信息化整体水平</w:t>
      </w:r>
    </w:p>
    <w:p w14:paraId="05BA94D0">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color w:val="000000"/>
          <w:sz w:val="24"/>
          <w:szCs w:val="24"/>
        </w:rPr>
        <w:t>构建统一数据中台，实现多源异构数据的标准化采集、质量管控与汇聚整合，为全省精神卫生信息化提供规范、可靠的数据基础。建设省级精神卫生综合服务平台，打通精神专科医院、社区卫生机构、心理援助热线等系统接口，形成服务互联、数据互通的一体化网络。</w:t>
      </w:r>
    </w:p>
    <w:p w14:paraId="61319958">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color w:val="000000"/>
          <w:sz w:val="24"/>
          <w:szCs w:val="24"/>
        </w:rPr>
        <w:t>（2）提升跨地域、跨机构的精神卫生与心理健康服务协同能力</w:t>
      </w:r>
    </w:p>
    <w:p w14:paraId="23EB7402">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color w:val="000000"/>
          <w:sz w:val="24"/>
          <w:szCs w:val="24"/>
        </w:rPr>
        <w:t>为促进区域各级专科医疗机构的信息共享和业务协同，探索构建横向整合，纵向贯穿的区域医疗信息共享和医疗服务协同机制，搭建统一身份认证与权限管理体系，支持跨系统全网通办，实现公众、患者、医务人员、管理人员等多角色的协同访问。建设覆盖省、市、县、乡镇、村、机构管理体系，支撑跨地域的常见精神障碍筛查等工作开展。建设省级心理援助热线，满足各地市人员统一排班、来电调度需求，提升跨地域服务协同效率。</w:t>
      </w:r>
    </w:p>
    <w:p w14:paraId="36BCE5B0">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color w:val="000000"/>
          <w:sz w:val="24"/>
          <w:szCs w:val="24"/>
        </w:rPr>
        <w:t>（3）实现精神专科信息化的集约化、标准化建设</w:t>
      </w:r>
    </w:p>
    <w:p w14:paraId="508E88CC">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color w:val="000000"/>
          <w:sz w:val="24"/>
          <w:szCs w:val="24"/>
        </w:rPr>
        <w:t>通过集约化建设应用支撑平台，整合统一门户、问卷引擎、内容管理、API网关等公共能力，为各类业务应用提供统一技术底座。建立全生命周期数据质量管理体系，通过规则标准化、监测实时化与整改闭环化，保障数据资产质量与规范性。各类业务系统严格遵循政策规范进行标准化开发，实现业务流程统一管控。同时，依托统一的平台架构，集中部署AI病历生成、心理健康档案、综合数据分析等功能模块，避免重复建设，提升资源利用效率。</w:t>
      </w:r>
    </w:p>
    <w:p w14:paraId="740EC072">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color w:val="000000"/>
          <w:sz w:val="24"/>
          <w:szCs w:val="24"/>
        </w:rPr>
        <w:t>（4）提升精神专科服务能力，优化群众服务体验</w:t>
      </w:r>
    </w:p>
    <w:p w14:paraId="4F3F963F">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color w:val="000000"/>
          <w:sz w:val="24"/>
          <w:szCs w:val="24"/>
        </w:rPr>
        <w:t>通过微信小程序、手机APP等移动化服务入口，面向公众提供在线咨询、预约诊疗、心理测评及危机干预等多元化、一站式心理健康服务，全面覆盖筛查、诊断、治疗、康复等全病程管理环节。同时，依托人工智能技术，系统可为患者提供智能预问诊引导，并且辅助医生完成病历结构化生成与高风险对象自动识别筛查，在显著减轻医务人员事务性负担的同时，有效提升服务响应效率与干预精准度。</w:t>
      </w:r>
    </w:p>
    <w:p w14:paraId="2E86F91B">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color w:val="000000"/>
          <w:sz w:val="24"/>
          <w:szCs w:val="24"/>
        </w:rPr>
        <w:t>（5）打造全流程安全防护体系，保障数据合规与隐私安全</w:t>
      </w:r>
    </w:p>
    <w:p w14:paraId="6D4A0C56">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color w:val="000000"/>
          <w:sz w:val="24"/>
          <w:szCs w:val="24"/>
        </w:rPr>
        <w:t>积极响应国家信创政策与等保三级、国密相关安全标准，本项目建设的省级精神卫生综合服务平台及相关硬件设备将全面遵循“应替尽替、真替真用”原则进行自主可控设计，并通过部署防火墙、数据库审计、密码应用等技术手段，构建“边界防护—行为管控—数据审计—日志溯源”的全流程安全机制，实现对数据存储、传输、使用全过程的有效加密与合规管控，防范数据泄露与非法访问风险，全面提升系统自主可控性、安全防护能力及运行稳定性，为全省精神卫生服务提供坚实可靠的技术支撑与安全保障。</w:t>
      </w:r>
    </w:p>
    <w:p w14:paraId="13685073">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1.2.3.建设范围</w:t>
      </w:r>
    </w:p>
    <w:p w14:paraId="50CE87F4">
      <w:pPr>
        <w:pStyle w:val="6"/>
        <w:keepNext w:val="0"/>
        <w:keepLines w:val="0"/>
        <w:pageBreakBefore w:val="0"/>
        <w:kinsoku/>
        <w:wordWrap/>
        <w:overflowPunct/>
        <w:topLinePunct w:val="0"/>
        <w:autoSpaceDE/>
        <w:autoSpaceDN/>
        <w:bidi w:val="0"/>
        <w:adjustRightInd/>
        <w:snapToGrid/>
        <w:spacing w:line="500" w:lineRule="exact"/>
        <w:ind w:firstLine="480"/>
        <w:jc w:val="left"/>
        <w:textAlignment w:val="auto"/>
        <w:rPr>
          <w:rFonts w:hint="eastAsia" w:ascii="宋体" w:hAnsi="宋体" w:eastAsia="宋体" w:cs="宋体"/>
          <w:sz w:val="24"/>
          <w:szCs w:val="24"/>
        </w:rPr>
      </w:pPr>
      <w:r>
        <w:rPr>
          <w:rFonts w:hint="eastAsia" w:ascii="宋体" w:hAnsi="宋体" w:eastAsia="宋体" w:cs="宋体"/>
          <w:sz w:val="24"/>
          <w:szCs w:val="24"/>
        </w:rPr>
        <w:t>本项目建设内容及使用范围如下：</w:t>
      </w:r>
    </w:p>
    <w:tbl>
      <w:tblPr>
        <w:tblStyle w:val="4"/>
        <w:tblW w:w="0" w:type="auto"/>
        <w:tblInd w:w="0" w:type="dxa"/>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autofit"/>
        <w:tblCellMar>
          <w:top w:w="0" w:type="dxa"/>
          <w:left w:w="108" w:type="dxa"/>
          <w:bottom w:w="0" w:type="dxa"/>
          <w:right w:w="108" w:type="dxa"/>
        </w:tblCellMar>
      </w:tblPr>
      <w:tblGrid>
        <w:gridCol w:w="620"/>
        <w:gridCol w:w="3363"/>
        <w:gridCol w:w="4333"/>
      </w:tblGrid>
      <w:tr w14:paraId="24DBF82D">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58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top"/>
          </w:tcPr>
          <w:p w14:paraId="404FEEA2">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b/>
                <w:color w:val="000000"/>
                <w:sz w:val="24"/>
                <w:szCs w:val="24"/>
              </w:rPr>
              <w:t>序号</w:t>
            </w:r>
          </w:p>
        </w:tc>
        <w:tc>
          <w:tcPr>
            <w:tcW w:w="3373" w:type="dxa"/>
            <w:tcBorders>
              <w:top w:val="single" w:color="000000" w:sz="4" w:space="0"/>
              <w:left w:val="nil"/>
              <w:bottom w:val="single" w:color="000000" w:sz="4" w:space="0"/>
              <w:right w:val="single" w:color="000000" w:sz="4" w:space="0"/>
            </w:tcBorders>
            <w:shd w:val="clear" w:color="auto" w:fill="FFFFFF"/>
            <w:tcMar>
              <w:top w:w="0" w:type="dxa"/>
              <w:left w:w="0" w:type="dxa"/>
              <w:bottom w:w="0" w:type="dxa"/>
              <w:right w:w="0" w:type="dxa"/>
            </w:tcMar>
            <w:vAlign w:val="top"/>
          </w:tcPr>
          <w:p w14:paraId="7DA5DE98">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b/>
                <w:color w:val="000000"/>
                <w:sz w:val="24"/>
                <w:szCs w:val="24"/>
              </w:rPr>
              <w:t>建设内容</w:t>
            </w:r>
          </w:p>
        </w:tc>
        <w:tc>
          <w:tcPr>
            <w:tcW w:w="4345" w:type="dxa"/>
            <w:tcBorders>
              <w:top w:val="single" w:color="000000" w:sz="4" w:space="0"/>
              <w:left w:val="nil"/>
              <w:bottom w:val="single" w:color="000000" w:sz="4" w:space="0"/>
              <w:right w:val="single" w:color="000000" w:sz="4" w:space="0"/>
            </w:tcBorders>
            <w:shd w:val="clear" w:color="auto" w:fill="FFFFFF"/>
            <w:tcMar>
              <w:top w:w="0" w:type="dxa"/>
              <w:left w:w="0" w:type="dxa"/>
              <w:bottom w:w="0" w:type="dxa"/>
              <w:right w:w="0" w:type="dxa"/>
            </w:tcMar>
            <w:vAlign w:val="top"/>
          </w:tcPr>
          <w:p w14:paraId="52084381">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b/>
                <w:color w:val="000000"/>
                <w:sz w:val="24"/>
                <w:szCs w:val="24"/>
              </w:rPr>
              <w:t>使用范围</w:t>
            </w:r>
          </w:p>
        </w:tc>
      </w:tr>
      <w:tr w14:paraId="01B8313E">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588" w:type="dxa"/>
            <w:tcBorders>
              <w:top w:val="nil"/>
              <w:left w:val="double" w:color="000000" w:sz="4" w:space="0"/>
              <w:bottom w:val="single" w:color="000000" w:sz="4" w:space="0"/>
              <w:right w:val="single" w:color="000000" w:sz="4" w:space="0"/>
            </w:tcBorders>
            <w:tcMar>
              <w:top w:w="0" w:type="dxa"/>
              <w:left w:w="0" w:type="dxa"/>
              <w:bottom w:w="0" w:type="dxa"/>
              <w:right w:w="0" w:type="dxa"/>
            </w:tcMar>
            <w:vAlign w:val="top"/>
          </w:tcPr>
          <w:p w14:paraId="531CC9BC">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b/>
                <w:sz w:val="24"/>
                <w:szCs w:val="24"/>
              </w:rPr>
              <w:t>1</w:t>
            </w:r>
          </w:p>
        </w:tc>
        <w:tc>
          <w:tcPr>
            <w:tcW w:w="3373" w:type="dxa"/>
            <w:tcBorders>
              <w:top w:val="nil"/>
              <w:left w:val="single" w:color="000000" w:sz="4" w:space="0"/>
              <w:bottom w:val="single" w:color="000000" w:sz="4" w:space="0"/>
              <w:right w:val="single" w:color="000000" w:sz="4" w:space="0"/>
            </w:tcBorders>
            <w:tcMar>
              <w:top w:w="0" w:type="dxa"/>
              <w:left w:w="0" w:type="dxa"/>
              <w:bottom w:w="0" w:type="dxa"/>
              <w:right w:w="0" w:type="dxa"/>
            </w:tcMar>
            <w:vAlign w:val="top"/>
          </w:tcPr>
          <w:p w14:paraId="7C6E5B10">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数据中台</w:t>
            </w:r>
          </w:p>
        </w:tc>
        <w:tc>
          <w:tcPr>
            <w:tcW w:w="4345" w:type="dxa"/>
            <w:tcBorders>
              <w:top w:val="nil"/>
              <w:left w:val="single" w:color="000000" w:sz="4" w:space="0"/>
              <w:bottom w:val="single" w:color="000000" w:sz="4" w:space="0"/>
              <w:right w:val="double" w:color="000000" w:sz="4" w:space="0"/>
            </w:tcBorders>
            <w:tcMar>
              <w:top w:w="0" w:type="dxa"/>
              <w:left w:w="0" w:type="dxa"/>
              <w:bottom w:w="0" w:type="dxa"/>
              <w:right w:w="0" w:type="dxa"/>
            </w:tcMar>
            <w:vAlign w:val="top"/>
          </w:tcPr>
          <w:p w14:paraId="36D91DAD">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sz w:val="24"/>
                <w:szCs w:val="24"/>
              </w:rPr>
              <w:t>仅省级管理员可使用</w:t>
            </w:r>
          </w:p>
        </w:tc>
      </w:tr>
      <w:tr w14:paraId="2ED9144C">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588" w:type="dxa"/>
            <w:tcBorders>
              <w:top w:val="single" w:color="000000" w:sz="4" w:space="0"/>
              <w:left w:val="double" w:color="000000" w:sz="4" w:space="0"/>
              <w:bottom w:val="single" w:color="000000" w:sz="4" w:space="0"/>
              <w:right w:val="single" w:color="000000" w:sz="4" w:space="0"/>
            </w:tcBorders>
            <w:tcMar>
              <w:top w:w="0" w:type="dxa"/>
              <w:left w:w="0" w:type="dxa"/>
              <w:bottom w:w="0" w:type="dxa"/>
              <w:right w:w="0" w:type="dxa"/>
            </w:tcMar>
            <w:vAlign w:val="top"/>
          </w:tcPr>
          <w:p w14:paraId="51D3F97A">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b/>
                <w:sz w:val="24"/>
                <w:szCs w:val="24"/>
              </w:rPr>
              <w:t>2</w:t>
            </w:r>
          </w:p>
        </w:tc>
        <w:tc>
          <w:tcPr>
            <w:tcW w:w="3373" w:type="dxa"/>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top"/>
          </w:tcPr>
          <w:p w14:paraId="50B294D0">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数据迁移</w:t>
            </w:r>
          </w:p>
        </w:tc>
        <w:tc>
          <w:tcPr>
            <w:tcW w:w="4345" w:type="dxa"/>
            <w:tcBorders>
              <w:top w:val="single" w:color="000000" w:sz="4" w:space="0"/>
              <w:left w:val="single" w:color="000000" w:sz="4" w:space="0"/>
              <w:bottom w:val="single" w:color="000000" w:sz="4" w:space="0"/>
              <w:right w:val="double" w:color="000000" w:sz="4" w:space="0"/>
            </w:tcBorders>
            <w:tcMar>
              <w:top w:w="0" w:type="dxa"/>
              <w:left w:w="0" w:type="dxa"/>
              <w:bottom w:w="0" w:type="dxa"/>
              <w:right w:w="0" w:type="dxa"/>
            </w:tcMar>
            <w:vAlign w:val="top"/>
          </w:tcPr>
          <w:p w14:paraId="137D096C">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sz w:val="24"/>
                <w:szCs w:val="24"/>
              </w:rPr>
              <w:t>福州市第二总医院神经精神病防治院（精神卫生质控中心管理平台）</w:t>
            </w:r>
          </w:p>
        </w:tc>
      </w:tr>
      <w:tr w14:paraId="5B24188C">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588" w:type="dxa"/>
            <w:tcBorders>
              <w:top w:val="single" w:color="000000" w:sz="4" w:space="0"/>
              <w:left w:val="double" w:color="000000" w:sz="4" w:space="0"/>
              <w:bottom w:val="single" w:color="000000" w:sz="4" w:space="0"/>
              <w:right w:val="single" w:color="000000" w:sz="4" w:space="0"/>
            </w:tcBorders>
            <w:tcMar>
              <w:top w:w="0" w:type="dxa"/>
              <w:left w:w="0" w:type="dxa"/>
              <w:bottom w:w="0" w:type="dxa"/>
              <w:right w:w="0" w:type="dxa"/>
            </w:tcMar>
            <w:vAlign w:val="top"/>
          </w:tcPr>
          <w:p w14:paraId="7B1C0F13">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b/>
                <w:sz w:val="24"/>
                <w:szCs w:val="24"/>
              </w:rPr>
              <w:t>3</w:t>
            </w:r>
          </w:p>
        </w:tc>
        <w:tc>
          <w:tcPr>
            <w:tcW w:w="3373" w:type="dxa"/>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top"/>
          </w:tcPr>
          <w:p w14:paraId="7DAEC82E">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省级精神卫生综合服务平台</w:t>
            </w:r>
          </w:p>
        </w:tc>
        <w:tc>
          <w:tcPr>
            <w:tcW w:w="4345" w:type="dxa"/>
            <w:tcBorders>
              <w:top w:val="single" w:color="000000" w:sz="4" w:space="0"/>
              <w:left w:val="single" w:color="000000" w:sz="4" w:space="0"/>
              <w:bottom w:val="single" w:color="000000" w:sz="4" w:space="0"/>
              <w:right w:val="double" w:color="000000" w:sz="4" w:space="0"/>
            </w:tcBorders>
            <w:tcMar>
              <w:top w:w="0" w:type="dxa"/>
              <w:left w:w="0" w:type="dxa"/>
              <w:bottom w:w="0" w:type="dxa"/>
              <w:right w:w="0" w:type="dxa"/>
            </w:tcMar>
            <w:vAlign w:val="top"/>
          </w:tcPr>
          <w:p w14:paraId="2257A4BF">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p>
        </w:tc>
      </w:tr>
      <w:tr w14:paraId="38AEF872">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588" w:type="dxa"/>
            <w:tcBorders>
              <w:top w:val="single" w:color="000000" w:sz="4" w:space="0"/>
              <w:left w:val="double" w:color="000000" w:sz="4" w:space="0"/>
              <w:bottom w:val="single" w:color="000000" w:sz="4" w:space="0"/>
              <w:right w:val="single" w:color="000000" w:sz="4" w:space="0"/>
            </w:tcBorders>
            <w:tcMar>
              <w:top w:w="0" w:type="dxa"/>
              <w:left w:w="0" w:type="dxa"/>
              <w:bottom w:w="0" w:type="dxa"/>
              <w:right w:w="0" w:type="dxa"/>
            </w:tcMar>
            <w:vAlign w:val="top"/>
          </w:tcPr>
          <w:p w14:paraId="52373ED7">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3.1</w:t>
            </w:r>
          </w:p>
        </w:tc>
        <w:tc>
          <w:tcPr>
            <w:tcW w:w="3373" w:type="dxa"/>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top"/>
          </w:tcPr>
          <w:p w14:paraId="24BB7F2B">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sz w:val="24"/>
                <w:szCs w:val="24"/>
              </w:rPr>
              <w:t>严重精神障碍管理系统</w:t>
            </w:r>
          </w:p>
        </w:tc>
        <w:tc>
          <w:tcPr>
            <w:tcW w:w="4345" w:type="dxa"/>
            <w:tcBorders>
              <w:top w:val="single" w:color="000000" w:sz="4" w:space="0"/>
              <w:left w:val="single" w:color="000000" w:sz="4" w:space="0"/>
              <w:bottom w:val="single" w:color="000000" w:sz="4" w:space="0"/>
              <w:right w:val="double" w:color="000000" w:sz="4" w:space="0"/>
            </w:tcBorders>
            <w:tcMar>
              <w:top w:w="0" w:type="dxa"/>
              <w:left w:w="0" w:type="dxa"/>
              <w:bottom w:w="0" w:type="dxa"/>
              <w:right w:w="0" w:type="dxa"/>
            </w:tcMar>
            <w:vAlign w:val="top"/>
          </w:tcPr>
          <w:p w14:paraId="54F10D6B">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sz w:val="24"/>
                <w:szCs w:val="24"/>
              </w:rPr>
              <w:t>全省（各级精卫中心、有精神科的综合医疗机构、精神专科医疗机构、社区卫生服务中心的管理员、质控员、随访医师）</w:t>
            </w:r>
          </w:p>
        </w:tc>
      </w:tr>
      <w:tr w14:paraId="2B4194C2">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588" w:type="dxa"/>
            <w:tcBorders>
              <w:top w:val="single" w:color="000000" w:sz="4" w:space="0"/>
              <w:left w:val="double" w:color="000000" w:sz="4" w:space="0"/>
              <w:bottom w:val="single" w:color="000000" w:sz="4" w:space="0"/>
              <w:right w:val="single" w:color="000000" w:sz="4" w:space="0"/>
            </w:tcBorders>
            <w:tcMar>
              <w:top w:w="0" w:type="dxa"/>
              <w:left w:w="0" w:type="dxa"/>
              <w:bottom w:w="0" w:type="dxa"/>
              <w:right w:w="0" w:type="dxa"/>
            </w:tcMar>
            <w:vAlign w:val="top"/>
          </w:tcPr>
          <w:p w14:paraId="5C585464">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3.2</w:t>
            </w:r>
          </w:p>
        </w:tc>
        <w:tc>
          <w:tcPr>
            <w:tcW w:w="3373" w:type="dxa"/>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top"/>
          </w:tcPr>
          <w:p w14:paraId="00A27181">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sz w:val="24"/>
                <w:szCs w:val="24"/>
              </w:rPr>
              <w:t>转岗培训管理系统</w:t>
            </w:r>
          </w:p>
        </w:tc>
        <w:tc>
          <w:tcPr>
            <w:tcW w:w="4345" w:type="dxa"/>
            <w:tcBorders>
              <w:top w:val="single" w:color="000000" w:sz="4" w:space="0"/>
              <w:left w:val="single" w:color="000000" w:sz="4" w:space="0"/>
              <w:bottom w:val="single" w:color="000000" w:sz="4" w:space="0"/>
              <w:right w:val="double" w:color="000000" w:sz="4" w:space="0"/>
            </w:tcBorders>
            <w:tcMar>
              <w:top w:w="0" w:type="dxa"/>
              <w:left w:w="0" w:type="dxa"/>
              <w:bottom w:w="0" w:type="dxa"/>
              <w:right w:w="0" w:type="dxa"/>
            </w:tcMar>
            <w:vAlign w:val="top"/>
          </w:tcPr>
          <w:p w14:paraId="648E15D7">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sz w:val="24"/>
                <w:szCs w:val="24"/>
              </w:rPr>
              <w:t>全省（转岗医师培训机构管理员和教员，转岗培训申请机构管理员和学员）</w:t>
            </w:r>
          </w:p>
        </w:tc>
      </w:tr>
      <w:tr w14:paraId="12CD4DF1">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588" w:type="dxa"/>
            <w:tcBorders>
              <w:top w:val="single" w:color="000000" w:sz="4" w:space="0"/>
              <w:left w:val="double" w:color="000000" w:sz="4" w:space="0"/>
              <w:bottom w:val="single" w:color="000000" w:sz="4" w:space="0"/>
              <w:right w:val="single" w:color="000000" w:sz="4" w:space="0"/>
            </w:tcBorders>
            <w:tcMar>
              <w:top w:w="0" w:type="dxa"/>
              <w:left w:w="0" w:type="dxa"/>
              <w:bottom w:w="0" w:type="dxa"/>
              <w:right w:w="0" w:type="dxa"/>
            </w:tcMar>
            <w:vAlign w:val="top"/>
          </w:tcPr>
          <w:p w14:paraId="276FA5C7">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3.3</w:t>
            </w:r>
          </w:p>
        </w:tc>
        <w:tc>
          <w:tcPr>
            <w:tcW w:w="3373" w:type="dxa"/>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top"/>
          </w:tcPr>
          <w:p w14:paraId="39EABBB9">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sz w:val="24"/>
                <w:szCs w:val="24"/>
              </w:rPr>
              <w:t>心理援助热线系统</w:t>
            </w:r>
          </w:p>
        </w:tc>
        <w:tc>
          <w:tcPr>
            <w:tcW w:w="4345" w:type="dxa"/>
            <w:tcBorders>
              <w:top w:val="single" w:color="000000" w:sz="4" w:space="0"/>
              <w:left w:val="single" w:color="000000" w:sz="4" w:space="0"/>
              <w:bottom w:val="single" w:color="000000" w:sz="4" w:space="0"/>
              <w:right w:val="double" w:color="000000" w:sz="4" w:space="0"/>
            </w:tcBorders>
            <w:tcMar>
              <w:top w:w="0" w:type="dxa"/>
              <w:left w:w="0" w:type="dxa"/>
              <w:bottom w:w="0" w:type="dxa"/>
              <w:right w:w="0" w:type="dxa"/>
            </w:tcMar>
            <w:vAlign w:val="top"/>
          </w:tcPr>
          <w:p w14:paraId="64CEDD5B">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sz w:val="24"/>
                <w:szCs w:val="24"/>
              </w:rPr>
              <w:t>全省（承担心理援助热线接线任务的医疗机构管理员、质控员、咨询员）</w:t>
            </w:r>
          </w:p>
        </w:tc>
      </w:tr>
      <w:tr w14:paraId="2A131698">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588" w:type="dxa"/>
            <w:tcBorders>
              <w:top w:val="single" w:color="000000" w:sz="4" w:space="0"/>
              <w:left w:val="double" w:color="000000" w:sz="4" w:space="0"/>
              <w:bottom w:val="single" w:color="000000" w:sz="4" w:space="0"/>
              <w:right w:val="single" w:color="000000" w:sz="4" w:space="0"/>
            </w:tcBorders>
            <w:tcMar>
              <w:top w:w="0" w:type="dxa"/>
              <w:left w:w="0" w:type="dxa"/>
              <w:bottom w:w="0" w:type="dxa"/>
              <w:right w:w="0" w:type="dxa"/>
            </w:tcMar>
            <w:vAlign w:val="top"/>
          </w:tcPr>
          <w:p w14:paraId="568F7F87">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3.4</w:t>
            </w:r>
          </w:p>
        </w:tc>
        <w:tc>
          <w:tcPr>
            <w:tcW w:w="3373" w:type="dxa"/>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top"/>
          </w:tcPr>
          <w:p w14:paraId="4828F354">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sz w:val="24"/>
                <w:szCs w:val="24"/>
              </w:rPr>
              <w:t>常见精神障碍筛查系统</w:t>
            </w:r>
          </w:p>
        </w:tc>
        <w:tc>
          <w:tcPr>
            <w:tcW w:w="4345" w:type="dxa"/>
            <w:tcBorders>
              <w:top w:val="single" w:color="000000" w:sz="4" w:space="0"/>
              <w:left w:val="single" w:color="000000" w:sz="4" w:space="0"/>
              <w:bottom w:val="single" w:color="000000" w:sz="4" w:space="0"/>
              <w:right w:val="double" w:color="000000" w:sz="4" w:space="0"/>
            </w:tcBorders>
            <w:tcMar>
              <w:top w:w="0" w:type="dxa"/>
              <w:left w:w="0" w:type="dxa"/>
              <w:bottom w:w="0" w:type="dxa"/>
              <w:right w:w="0" w:type="dxa"/>
            </w:tcMar>
            <w:vAlign w:val="top"/>
          </w:tcPr>
          <w:p w14:paraId="77AEC3AD">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sz w:val="24"/>
                <w:szCs w:val="24"/>
              </w:rPr>
              <w:t>全省（管理端：各级精卫中心、有心理科的综合医疗机构、心理专科医疗机构；</w:t>
            </w:r>
          </w:p>
          <w:p w14:paraId="17BCC8DC">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sz w:val="24"/>
                <w:szCs w:val="24"/>
              </w:rPr>
              <w:t>移动端：承担心理筛查任务的基层卫生服务机构）</w:t>
            </w:r>
          </w:p>
        </w:tc>
      </w:tr>
      <w:tr w14:paraId="73B7ECE5">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588" w:type="dxa"/>
            <w:tcBorders>
              <w:top w:val="single" w:color="000000" w:sz="4" w:space="0"/>
              <w:left w:val="double" w:color="000000" w:sz="4" w:space="0"/>
              <w:bottom w:val="single" w:color="000000" w:sz="4" w:space="0"/>
              <w:right w:val="single" w:color="000000" w:sz="4" w:space="0"/>
            </w:tcBorders>
            <w:tcMar>
              <w:top w:w="0" w:type="dxa"/>
              <w:left w:w="0" w:type="dxa"/>
              <w:bottom w:w="0" w:type="dxa"/>
              <w:right w:w="0" w:type="dxa"/>
            </w:tcMar>
            <w:vAlign w:val="top"/>
          </w:tcPr>
          <w:p w14:paraId="7DFBBFE7">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3.5</w:t>
            </w:r>
          </w:p>
        </w:tc>
        <w:tc>
          <w:tcPr>
            <w:tcW w:w="3373" w:type="dxa"/>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top"/>
          </w:tcPr>
          <w:p w14:paraId="0BA8569D">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sz w:val="24"/>
                <w:szCs w:val="24"/>
              </w:rPr>
              <w:t>心理健康体检系统</w:t>
            </w:r>
          </w:p>
        </w:tc>
        <w:tc>
          <w:tcPr>
            <w:tcW w:w="4345" w:type="dxa"/>
            <w:tcBorders>
              <w:top w:val="single" w:color="000000" w:sz="4" w:space="0"/>
              <w:left w:val="single" w:color="000000" w:sz="4" w:space="0"/>
              <w:bottom w:val="single" w:color="000000" w:sz="4" w:space="0"/>
              <w:right w:val="double" w:color="000000" w:sz="4" w:space="0"/>
            </w:tcBorders>
            <w:tcMar>
              <w:top w:w="0" w:type="dxa"/>
              <w:left w:w="0" w:type="dxa"/>
              <w:bottom w:w="0" w:type="dxa"/>
              <w:right w:w="0" w:type="dxa"/>
            </w:tcMar>
            <w:vAlign w:val="top"/>
          </w:tcPr>
          <w:p w14:paraId="421B56DF">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sz w:val="24"/>
                <w:szCs w:val="24"/>
              </w:rPr>
              <w:t>全省（有心理科的综合医疗机构、心理专科医疗机构医生）</w:t>
            </w:r>
          </w:p>
        </w:tc>
      </w:tr>
      <w:tr w14:paraId="654120D6">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588" w:type="dxa"/>
            <w:tcBorders>
              <w:top w:val="single" w:color="000000" w:sz="4" w:space="0"/>
              <w:left w:val="double" w:color="000000" w:sz="4" w:space="0"/>
              <w:bottom w:val="single" w:color="000000" w:sz="4" w:space="0"/>
              <w:right w:val="single" w:color="000000" w:sz="4" w:space="0"/>
            </w:tcBorders>
            <w:tcMar>
              <w:top w:w="0" w:type="dxa"/>
              <w:left w:w="0" w:type="dxa"/>
              <w:bottom w:w="0" w:type="dxa"/>
              <w:right w:w="0" w:type="dxa"/>
            </w:tcMar>
            <w:vAlign w:val="top"/>
          </w:tcPr>
          <w:p w14:paraId="0659D9F6">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3.6</w:t>
            </w:r>
          </w:p>
        </w:tc>
        <w:tc>
          <w:tcPr>
            <w:tcW w:w="3373" w:type="dxa"/>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top"/>
          </w:tcPr>
          <w:p w14:paraId="47C1E9CA">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sz w:val="24"/>
                <w:szCs w:val="24"/>
              </w:rPr>
              <w:t>高危人群干预系统</w:t>
            </w:r>
          </w:p>
        </w:tc>
        <w:tc>
          <w:tcPr>
            <w:tcW w:w="4345" w:type="dxa"/>
            <w:tcBorders>
              <w:top w:val="single" w:color="000000" w:sz="4" w:space="0"/>
              <w:left w:val="single" w:color="000000" w:sz="4" w:space="0"/>
              <w:bottom w:val="single" w:color="000000" w:sz="4" w:space="0"/>
              <w:right w:val="double" w:color="000000" w:sz="4" w:space="0"/>
            </w:tcBorders>
            <w:tcMar>
              <w:top w:w="0" w:type="dxa"/>
              <w:left w:w="0" w:type="dxa"/>
              <w:bottom w:w="0" w:type="dxa"/>
              <w:right w:w="0" w:type="dxa"/>
            </w:tcMar>
            <w:vAlign w:val="top"/>
          </w:tcPr>
          <w:p w14:paraId="27F357F8">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sz w:val="24"/>
                <w:szCs w:val="24"/>
              </w:rPr>
              <w:t>全省（有心理科的综合医疗机构、心理专科医疗机构医生）</w:t>
            </w:r>
          </w:p>
        </w:tc>
      </w:tr>
      <w:tr w14:paraId="7B92C1F6">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588" w:type="dxa"/>
            <w:tcBorders>
              <w:top w:val="single" w:color="000000" w:sz="4" w:space="0"/>
              <w:left w:val="double" w:color="000000" w:sz="4" w:space="0"/>
              <w:bottom w:val="single" w:color="000000" w:sz="4" w:space="0"/>
              <w:right w:val="single" w:color="000000" w:sz="4" w:space="0"/>
            </w:tcBorders>
            <w:tcMar>
              <w:top w:w="0" w:type="dxa"/>
              <w:left w:w="0" w:type="dxa"/>
              <w:bottom w:w="0" w:type="dxa"/>
              <w:right w:w="0" w:type="dxa"/>
            </w:tcMar>
            <w:vAlign w:val="top"/>
          </w:tcPr>
          <w:p w14:paraId="06C1E292">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3.7</w:t>
            </w:r>
          </w:p>
        </w:tc>
        <w:tc>
          <w:tcPr>
            <w:tcW w:w="3373" w:type="dxa"/>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top"/>
          </w:tcPr>
          <w:p w14:paraId="41A235DB">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sz w:val="24"/>
                <w:szCs w:val="24"/>
              </w:rPr>
              <w:t>患者全病程管理系统</w:t>
            </w:r>
          </w:p>
        </w:tc>
        <w:tc>
          <w:tcPr>
            <w:tcW w:w="4345" w:type="dxa"/>
            <w:tcBorders>
              <w:top w:val="single" w:color="000000" w:sz="4" w:space="0"/>
              <w:left w:val="single" w:color="000000" w:sz="4" w:space="0"/>
              <w:bottom w:val="single" w:color="000000" w:sz="4" w:space="0"/>
              <w:right w:val="double" w:color="000000" w:sz="4" w:space="0"/>
            </w:tcBorders>
            <w:tcMar>
              <w:top w:w="0" w:type="dxa"/>
              <w:left w:w="0" w:type="dxa"/>
              <w:bottom w:w="0" w:type="dxa"/>
              <w:right w:w="0" w:type="dxa"/>
            </w:tcMar>
            <w:vAlign w:val="top"/>
          </w:tcPr>
          <w:p w14:paraId="5976B15C">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sz w:val="24"/>
                <w:szCs w:val="24"/>
              </w:rPr>
              <w:t>福州市第二总医院神经精神病防治院管理员及医生</w:t>
            </w:r>
          </w:p>
        </w:tc>
      </w:tr>
      <w:tr w14:paraId="7148E966">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588" w:type="dxa"/>
            <w:tcBorders>
              <w:top w:val="single" w:color="000000" w:sz="4" w:space="0"/>
              <w:left w:val="double" w:color="000000" w:sz="4" w:space="0"/>
              <w:bottom w:val="single" w:color="000000" w:sz="4" w:space="0"/>
              <w:right w:val="single" w:color="000000" w:sz="4" w:space="0"/>
            </w:tcBorders>
            <w:tcMar>
              <w:top w:w="0" w:type="dxa"/>
              <w:left w:w="0" w:type="dxa"/>
              <w:bottom w:w="0" w:type="dxa"/>
              <w:right w:w="0" w:type="dxa"/>
            </w:tcMar>
            <w:vAlign w:val="top"/>
          </w:tcPr>
          <w:p w14:paraId="6FD1E44C">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3.8</w:t>
            </w:r>
          </w:p>
        </w:tc>
        <w:tc>
          <w:tcPr>
            <w:tcW w:w="3373" w:type="dxa"/>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top"/>
          </w:tcPr>
          <w:p w14:paraId="23370130">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sz w:val="24"/>
                <w:szCs w:val="24"/>
              </w:rPr>
              <w:t>心理应急管理系统</w:t>
            </w:r>
          </w:p>
        </w:tc>
        <w:tc>
          <w:tcPr>
            <w:tcW w:w="4345" w:type="dxa"/>
            <w:tcBorders>
              <w:top w:val="single" w:color="000000" w:sz="4" w:space="0"/>
              <w:left w:val="single" w:color="000000" w:sz="4" w:space="0"/>
              <w:bottom w:val="single" w:color="000000" w:sz="4" w:space="0"/>
              <w:right w:val="double" w:color="000000" w:sz="4" w:space="0"/>
            </w:tcBorders>
            <w:tcMar>
              <w:top w:w="0" w:type="dxa"/>
              <w:left w:w="0" w:type="dxa"/>
              <w:bottom w:w="0" w:type="dxa"/>
              <w:right w:w="0" w:type="dxa"/>
            </w:tcMar>
            <w:vAlign w:val="top"/>
          </w:tcPr>
          <w:p w14:paraId="0B20A64C">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sz w:val="24"/>
                <w:szCs w:val="24"/>
              </w:rPr>
              <w:t>全省（各级精卫中心、有心理科的综合医疗机构、心理专科医疗机构管理员）</w:t>
            </w:r>
          </w:p>
        </w:tc>
      </w:tr>
      <w:tr w14:paraId="4C459B7E">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588" w:type="dxa"/>
            <w:tcBorders>
              <w:top w:val="single" w:color="000000" w:sz="4" w:space="0"/>
              <w:left w:val="double" w:color="000000" w:sz="4" w:space="0"/>
              <w:bottom w:val="single" w:color="000000" w:sz="4" w:space="0"/>
              <w:right w:val="single" w:color="000000" w:sz="4" w:space="0"/>
            </w:tcBorders>
            <w:tcMar>
              <w:top w:w="0" w:type="dxa"/>
              <w:left w:w="0" w:type="dxa"/>
              <w:bottom w:w="0" w:type="dxa"/>
              <w:right w:w="0" w:type="dxa"/>
            </w:tcMar>
            <w:vAlign w:val="top"/>
          </w:tcPr>
          <w:p w14:paraId="49911B84">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3.9</w:t>
            </w:r>
          </w:p>
        </w:tc>
        <w:tc>
          <w:tcPr>
            <w:tcW w:w="3373" w:type="dxa"/>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top"/>
          </w:tcPr>
          <w:p w14:paraId="3801D922">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sz w:val="24"/>
                <w:szCs w:val="24"/>
              </w:rPr>
              <w:t>精神卫生资源管理系统</w:t>
            </w:r>
          </w:p>
        </w:tc>
        <w:tc>
          <w:tcPr>
            <w:tcW w:w="4345" w:type="dxa"/>
            <w:tcBorders>
              <w:top w:val="single" w:color="000000" w:sz="4" w:space="0"/>
              <w:left w:val="single" w:color="000000" w:sz="4" w:space="0"/>
              <w:bottom w:val="single" w:color="000000" w:sz="4" w:space="0"/>
              <w:right w:val="double" w:color="000000" w:sz="4" w:space="0"/>
            </w:tcBorders>
            <w:tcMar>
              <w:top w:w="0" w:type="dxa"/>
              <w:left w:w="0" w:type="dxa"/>
              <w:bottom w:w="0" w:type="dxa"/>
              <w:right w:w="0" w:type="dxa"/>
            </w:tcMar>
            <w:vAlign w:val="top"/>
          </w:tcPr>
          <w:p w14:paraId="0659529B">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sz w:val="24"/>
                <w:szCs w:val="24"/>
              </w:rPr>
              <w:t>全省（各级精卫中心管理员）</w:t>
            </w:r>
          </w:p>
        </w:tc>
      </w:tr>
      <w:tr w14:paraId="2B28C672">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588" w:type="dxa"/>
            <w:tcBorders>
              <w:top w:val="single" w:color="000000" w:sz="4" w:space="0"/>
              <w:left w:val="double" w:color="000000" w:sz="4" w:space="0"/>
              <w:bottom w:val="single" w:color="000000" w:sz="4" w:space="0"/>
              <w:right w:val="single" w:color="000000" w:sz="4" w:space="0"/>
            </w:tcBorders>
            <w:tcMar>
              <w:top w:w="0" w:type="dxa"/>
              <w:left w:w="0" w:type="dxa"/>
              <w:bottom w:w="0" w:type="dxa"/>
              <w:right w:w="0" w:type="dxa"/>
            </w:tcMar>
            <w:vAlign w:val="top"/>
          </w:tcPr>
          <w:p w14:paraId="1A042E83">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3.10</w:t>
            </w:r>
          </w:p>
        </w:tc>
        <w:tc>
          <w:tcPr>
            <w:tcW w:w="3373" w:type="dxa"/>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top"/>
          </w:tcPr>
          <w:p w14:paraId="34767B28">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sz w:val="24"/>
                <w:szCs w:val="24"/>
              </w:rPr>
              <w:t>综合数据分析系统</w:t>
            </w:r>
          </w:p>
        </w:tc>
        <w:tc>
          <w:tcPr>
            <w:tcW w:w="4345" w:type="dxa"/>
            <w:tcBorders>
              <w:top w:val="single" w:color="000000" w:sz="4" w:space="0"/>
              <w:left w:val="single" w:color="000000" w:sz="4" w:space="0"/>
              <w:bottom w:val="single" w:color="000000" w:sz="4" w:space="0"/>
              <w:right w:val="double" w:color="000000" w:sz="4" w:space="0"/>
            </w:tcBorders>
            <w:tcMar>
              <w:top w:w="0" w:type="dxa"/>
              <w:left w:w="0" w:type="dxa"/>
              <w:bottom w:w="0" w:type="dxa"/>
              <w:right w:w="0" w:type="dxa"/>
            </w:tcMar>
            <w:vAlign w:val="top"/>
          </w:tcPr>
          <w:p w14:paraId="63AD6306">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sz w:val="24"/>
                <w:szCs w:val="24"/>
              </w:rPr>
              <w:t>全省（各级精卫中心管理员）</w:t>
            </w:r>
          </w:p>
        </w:tc>
      </w:tr>
      <w:tr w14:paraId="7A39D98D">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588" w:type="dxa"/>
            <w:tcBorders>
              <w:top w:val="single" w:color="000000" w:sz="4" w:space="0"/>
              <w:left w:val="double" w:color="000000" w:sz="4" w:space="0"/>
              <w:bottom w:val="single" w:color="000000" w:sz="4" w:space="0"/>
              <w:right w:val="single" w:color="000000" w:sz="4" w:space="0"/>
            </w:tcBorders>
            <w:tcMar>
              <w:top w:w="0" w:type="dxa"/>
              <w:left w:w="0" w:type="dxa"/>
              <w:bottom w:w="0" w:type="dxa"/>
              <w:right w:w="0" w:type="dxa"/>
            </w:tcMar>
            <w:vAlign w:val="top"/>
          </w:tcPr>
          <w:p w14:paraId="326E2E13">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3.11</w:t>
            </w:r>
          </w:p>
        </w:tc>
        <w:tc>
          <w:tcPr>
            <w:tcW w:w="3373" w:type="dxa"/>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top"/>
          </w:tcPr>
          <w:p w14:paraId="4EA28D73">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sz w:val="24"/>
                <w:szCs w:val="24"/>
              </w:rPr>
              <w:t>社会心理服务系统</w:t>
            </w:r>
          </w:p>
        </w:tc>
        <w:tc>
          <w:tcPr>
            <w:tcW w:w="4345" w:type="dxa"/>
            <w:tcBorders>
              <w:top w:val="single" w:color="000000" w:sz="4" w:space="0"/>
              <w:left w:val="single" w:color="000000" w:sz="4" w:space="0"/>
              <w:bottom w:val="single" w:color="000000" w:sz="4" w:space="0"/>
              <w:right w:val="double" w:color="000000" w:sz="4" w:space="0"/>
            </w:tcBorders>
            <w:tcMar>
              <w:top w:w="0" w:type="dxa"/>
              <w:left w:w="0" w:type="dxa"/>
              <w:bottom w:w="0" w:type="dxa"/>
              <w:right w:w="0" w:type="dxa"/>
            </w:tcMar>
            <w:vAlign w:val="top"/>
          </w:tcPr>
          <w:p w14:paraId="5B321786">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sz w:val="24"/>
                <w:szCs w:val="24"/>
              </w:rPr>
              <w:t>全省（管理端：福州市第二总医院神经精神病防治院管理员</w:t>
            </w:r>
          </w:p>
          <w:p w14:paraId="5E2623E4">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sz w:val="24"/>
                <w:szCs w:val="24"/>
              </w:rPr>
              <w:t>公众端：全省居民）</w:t>
            </w:r>
          </w:p>
        </w:tc>
      </w:tr>
      <w:tr w14:paraId="44EF7959">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588" w:type="dxa"/>
            <w:tcBorders>
              <w:top w:val="single" w:color="000000" w:sz="4" w:space="0"/>
              <w:left w:val="double" w:color="000000" w:sz="4" w:space="0"/>
              <w:bottom w:val="single" w:color="000000" w:sz="4" w:space="0"/>
              <w:right w:val="single" w:color="000000" w:sz="4" w:space="0"/>
            </w:tcBorders>
            <w:tcMar>
              <w:top w:w="0" w:type="dxa"/>
              <w:left w:w="0" w:type="dxa"/>
              <w:bottom w:w="0" w:type="dxa"/>
              <w:right w:w="0" w:type="dxa"/>
            </w:tcMar>
            <w:vAlign w:val="top"/>
          </w:tcPr>
          <w:p w14:paraId="53CAC6E0">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b/>
                <w:sz w:val="24"/>
                <w:szCs w:val="24"/>
              </w:rPr>
              <w:t>4</w:t>
            </w:r>
          </w:p>
        </w:tc>
        <w:tc>
          <w:tcPr>
            <w:tcW w:w="3373" w:type="dxa"/>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top"/>
          </w:tcPr>
          <w:p w14:paraId="322492DD">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应用支撑平台</w:t>
            </w:r>
          </w:p>
        </w:tc>
        <w:tc>
          <w:tcPr>
            <w:tcW w:w="4345" w:type="dxa"/>
            <w:tcBorders>
              <w:top w:val="single" w:color="000000" w:sz="4" w:space="0"/>
              <w:left w:val="single" w:color="000000" w:sz="4" w:space="0"/>
              <w:bottom w:val="single" w:color="000000" w:sz="4" w:space="0"/>
              <w:right w:val="double" w:color="000000" w:sz="4" w:space="0"/>
            </w:tcBorders>
            <w:tcMar>
              <w:top w:w="0" w:type="dxa"/>
              <w:left w:w="0" w:type="dxa"/>
              <w:bottom w:w="0" w:type="dxa"/>
              <w:right w:w="0" w:type="dxa"/>
            </w:tcMar>
            <w:vAlign w:val="top"/>
          </w:tcPr>
          <w:p w14:paraId="1C70F6D2">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p>
        </w:tc>
      </w:tr>
      <w:tr w14:paraId="61351A3B">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588" w:type="dxa"/>
            <w:tcBorders>
              <w:top w:val="single" w:color="000000" w:sz="4" w:space="0"/>
              <w:left w:val="double" w:color="000000" w:sz="4" w:space="0"/>
              <w:bottom w:val="single" w:color="000000" w:sz="4" w:space="0"/>
              <w:right w:val="single" w:color="000000" w:sz="4" w:space="0"/>
            </w:tcBorders>
            <w:tcMar>
              <w:top w:w="0" w:type="dxa"/>
              <w:left w:w="0" w:type="dxa"/>
              <w:bottom w:w="0" w:type="dxa"/>
              <w:right w:w="0" w:type="dxa"/>
            </w:tcMar>
            <w:vAlign w:val="top"/>
          </w:tcPr>
          <w:p w14:paraId="1F909A10">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4.1</w:t>
            </w:r>
          </w:p>
        </w:tc>
        <w:tc>
          <w:tcPr>
            <w:tcW w:w="3373" w:type="dxa"/>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top"/>
          </w:tcPr>
          <w:p w14:paraId="3F54B545">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sz w:val="24"/>
                <w:szCs w:val="24"/>
              </w:rPr>
              <w:t>统一门户及权限认证管理</w:t>
            </w:r>
          </w:p>
        </w:tc>
        <w:tc>
          <w:tcPr>
            <w:tcW w:w="4345" w:type="dxa"/>
            <w:tcBorders>
              <w:top w:val="single" w:color="000000" w:sz="4" w:space="0"/>
              <w:left w:val="single" w:color="000000" w:sz="4" w:space="0"/>
              <w:bottom w:val="single" w:color="000000" w:sz="4" w:space="0"/>
              <w:right w:val="double" w:color="000000" w:sz="4" w:space="0"/>
            </w:tcBorders>
            <w:tcMar>
              <w:top w:w="0" w:type="dxa"/>
              <w:left w:w="0" w:type="dxa"/>
              <w:bottom w:w="0" w:type="dxa"/>
              <w:right w:w="0" w:type="dxa"/>
            </w:tcMar>
            <w:vAlign w:val="top"/>
          </w:tcPr>
          <w:p w14:paraId="278D8034">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sz w:val="24"/>
                <w:szCs w:val="24"/>
              </w:rPr>
              <w:t>全省（省、市、区县管理员）</w:t>
            </w:r>
          </w:p>
        </w:tc>
      </w:tr>
      <w:tr w14:paraId="4C948E06">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588" w:type="dxa"/>
            <w:tcBorders>
              <w:top w:val="single" w:color="000000" w:sz="4" w:space="0"/>
              <w:left w:val="double" w:color="000000" w:sz="4" w:space="0"/>
              <w:bottom w:val="single" w:color="000000" w:sz="4" w:space="0"/>
              <w:right w:val="single" w:color="000000" w:sz="4" w:space="0"/>
            </w:tcBorders>
            <w:tcMar>
              <w:top w:w="0" w:type="dxa"/>
              <w:left w:w="0" w:type="dxa"/>
              <w:bottom w:w="0" w:type="dxa"/>
              <w:right w:w="0" w:type="dxa"/>
            </w:tcMar>
            <w:vAlign w:val="top"/>
          </w:tcPr>
          <w:p w14:paraId="5ADB4927">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4.2</w:t>
            </w:r>
          </w:p>
        </w:tc>
        <w:tc>
          <w:tcPr>
            <w:tcW w:w="3373" w:type="dxa"/>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top"/>
          </w:tcPr>
          <w:p w14:paraId="3E467A16">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sz w:val="24"/>
                <w:szCs w:val="24"/>
              </w:rPr>
              <w:t>问卷引擎</w:t>
            </w:r>
          </w:p>
        </w:tc>
        <w:tc>
          <w:tcPr>
            <w:tcW w:w="4345" w:type="dxa"/>
            <w:tcBorders>
              <w:top w:val="single" w:color="000000" w:sz="4" w:space="0"/>
              <w:left w:val="single" w:color="000000" w:sz="4" w:space="0"/>
              <w:bottom w:val="single" w:color="000000" w:sz="4" w:space="0"/>
              <w:right w:val="double" w:color="000000" w:sz="4" w:space="0"/>
            </w:tcBorders>
            <w:tcMar>
              <w:top w:w="0" w:type="dxa"/>
              <w:left w:w="0" w:type="dxa"/>
              <w:bottom w:w="0" w:type="dxa"/>
              <w:right w:w="0" w:type="dxa"/>
            </w:tcMar>
            <w:vAlign w:val="top"/>
          </w:tcPr>
          <w:p w14:paraId="372E9A72">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sz w:val="24"/>
                <w:szCs w:val="24"/>
              </w:rPr>
              <w:t>全省（省管理员）</w:t>
            </w:r>
          </w:p>
        </w:tc>
      </w:tr>
      <w:tr w14:paraId="20CB6F64">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588" w:type="dxa"/>
            <w:tcBorders>
              <w:top w:val="single" w:color="000000" w:sz="4" w:space="0"/>
              <w:left w:val="double" w:color="000000" w:sz="4" w:space="0"/>
              <w:bottom w:val="single" w:color="000000" w:sz="4" w:space="0"/>
              <w:right w:val="single" w:color="000000" w:sz="4" w:space="0"/>
            </w:tcBorders>
            <w:tcMar>
              <w:top w:w="0" w:type="dxa"/>
              <w:left w:w="0" w:type="dxa"/>
              <w:bottom w:w="0" w:type="dxa"/>
              <w:right w:w="0" w:type="dxa"/>
            </w:tcMar>
            <w:vAlign w:val="top"/>
          </w:tcPr>
          <w:p w14:paraId="6B506914">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4.3</w:t>
            </w:r>
          </w:p>
        </w:tc>
        <w:tc>
          <w:tcPr>
            <w:tcW w:w="3373" w:type="dxa"/>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top"/>
          </w:tcPr>
          <w:p w14:paraId="1575506C">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sz w:val="24"/>
                <w:szCs w:val="24"/>
              </w:rPr>
              <w:t>内容管理</w:t>
            </w:r>
          </w:p>
        </w:tc>
        <w:tc>
          <w:tcPr>
            <w:tcW w:w="4345" w:type="dxa"/>
            <w:tcBorders>
              <w:top w:val="single" w:color="000000" w:sz="4" w:space="0"/>
              <w:left w:val="single" w:color="000000" w:sz="4" w:space="0"/>
              <w:bottom w:val="single" w:color="000000" w:sz="4" w:space="0"/>
              <w:right w:val="double" w:color="000000" w:sz="4" w:space="0"/>
            </w:tcBorders>
            <w:tcMar>
              <w:top w:w="0" w:type="dxa"/>
              <w:left w:w="0" w:type="dxa"/>
              <w:bottom w:w="0" w:type="dxa"/>
              <w:right w:w="0" w:type="dxa"/>
            </w:tcMar>
            <w:vAlign w:val="top"/>
          </w:tcPr>
          <w:p w14:paraId="7E671C65">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sz w:val="24"/>
                <w:szCs w:val="24"/>
              </w:rPr>
              <w:t>全省（省管理员）</w:t>
            </w:r>
          </w:p>
        </w:tc>
      </w:tr>
      <w:tr w14:paraId="19335D93">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588" w:type="dxa"/>
            <w:tcBorders>
              <w:top w:val="single" w:color="000000" w:sz="4" w:space="0"/>
              <w:left w:val="double" w:color="000000" w:sz="4" w:space="0"/>
              <w:bottom w:val="single" w:color="000000" w:sz="4" w:space="0"/>
              <w:right w:val="single" w:color="000000" w:sz="4" w:space="0"/>
            </w:tcBorders>
            <w:tcMar>
              <w:top w:w="0" w:type="dxa"/>
              <w:left w:w="0" w:type="dxa"/>
              <w:bottom w:w="0" w:type="dxa"/>
              <w:right w:w="0" w:type="dxa"/>
            </w:tcMar>
            <w:vAlign w:val="top"/>
          </w:tcPr>
          <w:p w14:paraId="5158EDE3">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4.4</w:t>
            </w:r>
          </w:p>
        </w:tc>
        <w:tc>
          <w:tcPr>
            <w:tcW w:w="3373" w:type="dxa"/>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top"/>
          </w:tcPr>
          <w:p w14:paraId="6CA4E47A">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sz w:val="24"/>
                <w:szCs w:val="24"/>
              </w:rPr>
              <w:t>API网关</w:t>
            </w:r>
          </w:p>
        </w:tc>
        <w:tc>
          <w:tcPr>
            <w:tcW w:w="4345" w:type="dxa"/>
            <w:tcBorders>
              <w:top w:val="single" w:color="000000" w:sz="4" w:space="0"/>
              <w:left w:val="single" w:color="000000" w:sz="4" w:space="0"/>
              <w:bottom w:val="single" w:color="000000" w:sz="4" w:space="0"/>
              <w:right w:val="double" w:color="000000" w:sz="4" w:space="0"/>
            </w:tcBorders>
            <w:tcMar>
              <w:top w:w="0" w:type="dxa"/>
              <w:left w:w="0" w:type="dxa"/>
              <w:bottom w:w="0" w:type="dxa"/>
              <w:right w:w="0" w:type="dxa"/>
            </w:tcMar>
            <w:vAlign w:val="top"/>
          </w:tcPr>
          <w:p w14:paraId="582499F5">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sz w:val="24"/>
                <w:szCs w:val="24"/>
              </w:rPr>
              <w:t>福州市第二总医院神经精神病防治院管理员</w:t>
            </w:r>
          </w:p>
        </w:tc>
      </w:tr>
      <w:tr w14:paraId="7212C879">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588" w:type="dxa"/>
            <w:tcBorders>
              <w:top w:val="single" w:color="000000" w:sz="4" w:space="0"/>
              <w:left w:val="double" w:color="000000" w:sz="4" w:space="0"/>
              <w:bottom w:val="single" w:color="000000" w:sz="4" w:space="0"/>
              <w:right w:val="single" w:color="000000" w:sz="4" w:space="0"/>
            </w:tcBorders>
            <w:tcMar>
              <w:top w:w="0" w:type="dxa"/>
              <w:left w:w="0" w:type="dxa"/>
              <w:bottom w:w="0" w:type="dxa"/>
              <w:right w:w="0" w:type="dxa"/>
            </w:tcMar>
            <w:vAlign w:val="top"/>
          </w:tcPr>
          <w:p w14:paraId="2E3F9B7C">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b/>
                <w:sz w:val="24"/>
                <w:szCs w:val="24"/>
              </w:rPr>
              <w:t>5</w:t>
            </w:r>
          </w:p>
        </w:tc>
        <w:tc>
          <w:tcPr>
            <w:tcW w:w="3373" w:type="dxa"/>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top"/>
          </w:tcPr>
          <w:p w14:paraId="05FD7B60">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院内业务系统扩展</w:t>
            </w:r>
          </w:p>
        </w:tc>
        <w:tc>
          <w:tcPr>
            <w:tcW w:w="4345" w:type="dxa"/>
            <w:tcBorders>
              <w:top w:val="single" w:color="000000" w:sz="4" w:space="0"/>
              <w:left w:val="single" w:color="000000" w:sz="4" w:space="0"/>
              <w:bottom w:val="single" w:color="000000" w:sz="4" w:space="0"/>
              <w:right w:val="double" w:color="000000" w:sz="4" w:space="0"/>
            </w:tcBorders>
            <w:tcMar>
              <w:top w:w="0" w:type="dxa"/>
              <w:left w:w="0" w:type="dxa"/>
              <w:bottom w:w="0" w:type="dxa"/>
              <w:right w:w="0" w:type="dxa"/>
            </w:tcMar>
            <w:vAlign w:val="top"/>
          </w:tcPr>
          <w:p w14:paraId="0C265FC3">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p>
        </w:tc>
      </w:tr>
      <w:tr w14:paraId="7923DCCF">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588" w:type="dxa"/>
            <w:tcBorders>
              <w:top w:val="single" w:color="000000" w:sz="4" w:space="0"/>
              <w:left w:val="double" w:color="000000" w:sz="4" w:space="0"/>
              <w:bottom w:val="single" w:color="000000" w:sz="4" w:space="0"/>
              <w:right w:val="single" w:color="000000" w:sz="4" w:space="0"/>
            </w:tcBorders>
            <w:tcMar>
              <w:top w:w="0" w:type="dxa"/>
              <w:left w:w="0" w:type="dxa"/>
              <w:bottom w:w="0" w:type="dxa"/>
              <w:right w:w="0" w:type="dxa"/>
            </w:tcMar>
            <w:vAlign w:val="top"/>
          </w:tcPr>
          <w:p w14:paraId="1A9DF3CE">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5.1</w:t>
            </w:r>
          </w:p>
        </w:tc>
        <w:tc>
          <w:tcPr>
            <w:tcW w:w="3373" w:type="dxa"/>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top"/>
          </w:tcPr>
          <w:p w14:paraId="76E98D46">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sz w:val="24"/>
                <w:szCs w:val="24"/>
              </w:rPr>
              <w:t>AI病历生成与质控系统</w:t>
            </w:r>
          </w:p>
        </w:tc>
        <w:tc>
          <w:tcPr>
            <w:tcW w:w="4345" w:type="dxa"/>
            <w:tcBorders>
              <w:top w:val="single" w:color="000000" w:sz="4" w:space="0"/>
              <w:left w:val="single" w:color="000000" w:sz="4" w:space="0"/>
              <w:bottom w:val="single" w:color="000000" w:sz="4" w:space="0"/>
              <w:right w:val="double" w:color="000000" w:sz="4" w:space="0"/>
            </w:tcBorders>
            <w:tcMar>
              <w:top w:w="0" w:type="dxa"/>
              <w:left w:w="0" w:type="dxa"/>
              <w:bottom w:w="0" w:type="dxa"/>
              <w:right w:w="0" w:type="dxa"/>
            </w:tcMar>
            <w:vAlign w:val="top"/>
          </w:tcPr>
          <w:p w14:paraId="297EE54A">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sz w:val="24"/>
                <w:szCs w:val="24"/>
              </w:rPr>
              <w:t>福州市第二总医院所有院区</w:t>
            </w:r>
          </w:p>
        </w:tc>
      </w:tr>
      <w:tr w14:paraId="6896D8CC">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588" w:type="dxa"/>
            <w:tcBorders>
              <w:top w:val="single" w:color="000000" w:sz="4" w:space="0"/>
              <w:left w:val="double" w:color="000000" w:sz="4" w:space="0"/>
              <w:bottom w:val="single" w:color="000000" w:sz="4" w:space="0"/>
              <w:right w:val="single" w:color="000000" w:sz="4" w:space="0"/>
            </w:tcBorders>
            <w:tcMar>
              <w:top w:w="0" w:type="dxa"/>
              <w:left w:w="0" w:type="dxa"/>
              <w:bottom w:w="0" w:type="dxa"/>
              <w:right w:w="0" w:type="dxa"/>
            </w:tcMar>
            <w:vAlign w:val="top"/>
          </w:tcPr>
          <w:p w14:paraId="499F00D1">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5.2</w:t>
            </w:r>
          </w:p>
        </w:tc>
        <w:tc>
          <w:tcPr>
            <w:tcW w:w="3373" w:type="dxa"/>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top"/>
          </w:tcPr>
          <w:p w14:paraId="30E7CF29">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sz w:val="24"/>
                <w:szCs w:val="24"/>
              </w:rPr>
              <w:t>教学管理系统</w:t>
            </w:r>
          </w:p>
        </w:tc>
        <w:tc>
          <w:tcPr>
            <w:tcW w:w="4345" w:type="dxa"/>
            <w:tcBorders>
              <w:top w:val="single" w:color="000000" w:sz="4" w:space="0"/>
              <w:left w:val="single" w:color="000000" w:sz="4" w:space="0"/>
              <w:bottom w:val="single" w:color="000000" w:sz="4" w:space="0"/>
              <w:right w:val="double" w:color="000000" w:sz="4" w:space="0"/>
            </w:tcBorders>
            <w:tcMar>
              <w:top w:w="0" w:type="dxa"/>
              <w:left w:w="0" w:type="dxa"/>
              <w:bottom w:w="0" w:type="dxa"/>
              <w:right w:w="0" w:type="dxa"/>
            </w:tcMar>
            <w:vAlign w:val="top"/>
          </w:tcPr>
          <w:p w14:paraId="6D47C695">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sz w:val="24"/>
                <w:szCs w:val="24"/>
              </w:rPr>
              <w:t>福州市第二总医院所有院区</w:t>
            </w:r>
          </w:p>
        </w:tc>
      </w:tr>
      <w:tr w14:paraId="040EBFBE">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588" w:type="dxa"/>
            <w:tcBorders>
              <w:top w:val="single" w:color="000000" w:sz="4" w:space="0"/>
              <w:left w:val="double" w:color="000000" w:sz="4" w:space="0"/>
              <w:bottom w:val="single" w:color="000000" w:sz="4" w:space="0"/>
              <w:right w:val="single" w:color="000000" w:sz="4" w:space="0"/>
            </w:tcBorders>
            <w:tcMar>
              <w:top w:w="0" w:type="dxa"/>
              <w:left w:w="0" w:type="dxa"/>
              <w:bottom w:w="0" w:type="dxa"/>
              <w:right w:w="0" w:type="dxa"/>
            </w:tcMar>
            <w:vAlign w:val="top"/>
          </w:tcPr>
          <w:p w14:paraId="16092CE9">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5.3</w:t>
            </w:r>
          </w:p>
        </w:tc>
        <w:tc>
          <w:tcPr>
            <w:tcW w:w="3373" w:type="dxa"/>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top"/>
          </w:tcPr>
          <w:p w14:paraId="26A21E7A">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sz w:val="24"/>
                <w:szCs w:val="24"/>
              </w:rPr>
              <w:t>科研协作管理系统</w:t>
            </w:r>
          </w:p>
        </w:tc>
        <w:tc>
          <w:tcPr>
            <w:tcW w:w="4345" w:type="dxa"/>
            <w:tcBorders>
              <w:top w:val="single" w:color="000000" w:sz="4" w:space="0"/>
              <w:left w:val="single" w:color="000000" w:sz="4" w:space="0"/>
              <w:bottom w:val="single" w:color="000000" w:sz="4" w:space="0"/>
              <w:right w:val="double" w:color="000000" w:sz="4" w:space="0"/>
            </w:tcBorders>
            <w:tcMar>
              <w:top w:w="0" w:type="dxa"/>
              <w:left w:w="0" w:type="dxa"/>
              <w:bottom w:w="0" w:type="dxa"/>
              <w:right w:w="0" w:type="dxa"/>
            </w:tcMar>
            <w:vAlign w:val="top"/>
          </w:tcPr>
          <w:p w14:paraId="2BE1ADAA">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sz w:val="24"/>
                <w:szCs w:val="24"/>
              </w:rPr>
              <w:t>福州市第二总医院所有院区</w:t>
            </w:r>
          </w:p>
        </w:tc>
      </w:tr>
      <w:tr w14:paraId="112CE4BE">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588" w:type="dxa"/>
            <w:tcBorders>
              <w:top w:val="single" w:color="000000" w:sz="4" w:space="0"/>
              <w:left w:val="double" w:color="000000" w:sz="4" w:space="0"/>
              <w:bottom w:val="single" w:color="000000" w:sz="4" w:space="0"/>
              <w:right w:val="single" w:color="000000" w:sz="4" w:space="0"/>
            </w:tcBorders>
            <w:tcMar>
              <w:top w:w="0" w:type="dxa"/>
              <w:left w:w="0" w:type="dxa"/>
              <w:bottom w:w="0" w:type="dxa"/>
              <w:right w:w="0" w:type="dxa"/>
            </w:tcMar>
            <w:vAlign w:val="top"/>
          </w:tcPr>
          <w:p w14:paraId="12C1BE18">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b/>
                <w:sz w:val="24"/>
                <w:szCs w:val="24"/>
              </w:rPr>
              <w:t>6</w:t>
            </w:r>
          </w:p>
        </w:tc>
        <w:tc>
          <w:tcPr>
            <w:tcW w:w="3373" w:type="dxa"/>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top"/>
          </w:tcPr>
          <w:p w14:paraId="17035D9D">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应用系统接口</w:t>
            </w:r>
          </w:p>
        </w:tc>
        <w:tc>
          <w:tcPr>
            <w:tcW w:w="4345" w:type="dxa"/>
            <w:tcBorders>
              <w:top w:val="single" w:color="000000" w:sz="4" w:space="0"/>
              <w:left w:val="single" w:color="000000" w:sz="4" w:space="0"/>
              <w:bottom w:val="single" w:color="000000" w:sz="4" w:space="0"/>
              <w:right w:val="double" w:color="000000" w:sz="4" w:space="0"/>
            </w:tcBorders>
            <w:tcMar>
              <w:top w:w="0" w:type="dxa"/>
              <w:left w:w="0" w:type="dxa"/>
              <w:bottom w:w="0" w:type="dxa"/>
              <w:right w:w="0" w:type="dxa"/>
            </w:tcMar>
            <w:vAlign w:val="top"/>
          </w:tcPr>
          <w:p w14:paraId="0B4176F0">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sz w:val="24"/>
                <w:szCs w:val="24"/>
              </w:rPr>
              <w:t>院内外相关平台/系统对接</w:t>
            </w:r>
          </w:p>
        </w:tc>
      </w:tr>
      <w:tr w14:paraId="387BEF3F">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588" w:type="dxa"/>
            <w:tcBorders>
              <w:top w:val="single" w:color="000000" w:sz="4" w:space="0"/>
              <w:left w:val="double" w:color="000000" w:sz="4" w:space="0"/>
              <w:bottom w:val="single" w:color="000000" w:sz="4" w:space="0"/>
              <w:right w:val="single" w:color="000000" w:sz="4" w:space="0"/>
            </w:tcBorders>
            <w:tcMar>
              <w:top w:w="0" w:type="dxa"/>
              <w:left w:w="0" w:type="dxa"/>
              <w:bottom w:w="0" w:type="dxa"/>
              <w:right w:w="0" w:type="dxa"/>
            </w:tcMar>
            <w:vAlign w:val="top"/>
          </w:tcPr>
          <w:p w14:paraId="08C1A62F">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b/>
                <w:sz w:val="24"/>
                <w:szCs w:val="24"/>
              </w:rPr>
              <w:t>7</w:t>
            </w:r>
          </w:p>
        </w:tc>
        <w:tc>
          <w:tcPr>
            <w:tcW w:w="3373" w:type="dxa"/>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top"/>
          </w:tcPr>
          <w:p w14:paraId="31755F37">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基础设施</w:t>
            </w:r>
          </w:p>
        </w:tc>
        <w:tc>
          <w:tcPr>
            <w:tcW w:w="4345" w:type="dxa"/>
            <w:tcBorders>
              <w:top w:val="single" w:color="000000" w:sz="4" w:space="0"/>
              <w:left w:val="single" w:color="000000" w:sz="4" w:space="0"/>
              <w:bottom w:val="single" w:color="000000" w:sz="4" w:space="0"/>
              <w:right w:val="double" w:color="000000" w:sz="4" w:space="0"/>
            </w:tcBorders>
            <w:tcMar>
              <w:top w:w="0" w:type="dxa"/>
              <w:left w:w="0" w:type="dxa"/>
              <w:bottom w:w="0" w:type="dxa"/>
              <w:right w:w="0" w:type="dxa"/>
            </w:tcMar>
            <w:vAlign w:val="top"/>
          </w:tcPr>
          <w:p w14:paraId="4D9052B6">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p>
        </w:tc>
      </w:tr>
      <w:tr w14:paraId="38771262">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588" w:type="dxa"/>
            <w:tcBorders>
              <w:top w:val="single" w:color="000000" w:sz="4" w:space="0"/>
              <w:left w:val="double" w:color="000000" w:sz="4" w:space="0"/>
              <w:bottom w:val="single" w:color="000000" w:sz="4" w:space="0"/>
              <w:right w:val="single" w:color="000000" w:sz="4" w:space="0"/>
            </w:tcBorders>
            <w:tcMar>
              <w:top w:w="0" w:type="dxa"/>
              <w:left w:w="0" w:type="dxa"/>
              <w:bottom w:w="0" w:type="dxa"/>
              <w:right w:w="0" w:type="dxa"/>
            </w:tcMar>
            <w:vAlign w:val="top"/>
          </w:tcPr>
          <w:p w14:paraId="76B6FD36">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7.1</w:t>
            </w:r>
          </w:p>
        </w:tc>
        <w:tc>
          <w:tcPr>
            <w:tcW w:w="3373" w:type="dxa"/>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top"/>
          </w:tcPr>
          <w:p w14:paraId="09689CD8">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sz w:val="24"/>
                <w:szCs w:val="24"/>
              </w:rPr>
              <w:t>网络系统</w:t>
            </w:r>
          </w:p>
        </w:tc>
        <w:tc>
          <w:tcPr>
            <w:tcW w:w="4345" w:type="dxa"/>
            <w:tcBorders>
              <w:top w:val="single" w:color="000000" w:sz="4" w:space="0"/>
              <w:left w:val="single" w:color="000000" w:sz="4" w:space="0"/>
              <w:bottom w:val="single" w:color="000000" w:sz="4" w:space="0"/>
              <w:right w:val="double" w:color="000000" w:sz="4" w:space="0"/>
            </w:tcBorders>
            <w:tcMar>
              <w:top w:w="0" w:type="dxa"/>
              <w:left w:w="0" w:type="dxa"/>
              <w:bottom w:w="0" w:type="dxa"/>
              <w:right w:w="0" w:type="dxa"/>
            </w:tcMar>
            <w:vAlign w:val="top"/>
          </w:tcPr>
          <w:p w14:paraId="12F827D0">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sz w:val="24"/>
                <w:szCs w:val="24"/>
              </w:rPr>
              <w:t>福州市第二总医院（互联网区）与福州市第二总医院神经精神病防治院（内网区）</w:t>
            </w:r>
          </w:p>
        </w:tc>
      </w:tr>
      <w:tr w14:paraId="51DF2CD5">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588" w:type="dxa"/>
            <w:tcBorders>
              <w:top w:val="single" w:color="000000" w:sz="4" w:space="0"/>
              <w:left w:val="double" w:color="000000" w:sz="4" w:space="0"/>
              <w:bottom w:val="single" w:color="000000" w:sz="4" w:space="0"/>
              <w:right w:val="single" w:color="000000" w:sz="4" w:space="0"/>
            </w:tcBorders>
            <w:tcMar>
              <w:top w:w="0" w:type="dxa"/>
              <w:left w:w="0" w:type="dxa"/>
              <w:bottom w:w="0" w:type="dxa"/>
              <w:right w:w="0" w:type="dxa"/>
            </w:tcMar>
            <w:vAlign w:val="top"/>
          </w:tcPr>
          <w:p w14:paraId="41334884">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7.2</w:t>
            </w:r>
          </w:p>
        </w:tc>
        <w:tc>
          <w:tcPr>
            <w:tcW w:w="3373" w:type="dxa"/>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top"/>
          </w:tcPr>
          <w:p w14:paraId="4B8E4308">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sz w:val="24"/>
                <w:szCs w:val="24"/>
              </w:rPr>
              <w:t>服务器及存储系统</w:t>
            </w:r>
          </w:p>
        </w:tc>
        <w:tc>
          <w:tcPr>
            <w:tcW w:w="4345" w:type="dxa"/>
            <w:tcBorders>
              <w:top w:val="single" w:color="000000" w:sz="4" w:space="0"/>
              <w:left w:val="single" w:color="000000" w:sz="4" w:space="0"/>
              <w:bottom w:val="single" w:color="000000" w:sz="4" w:space="0"/>
              <w:right w:val="double" w:color="000000" w:sz="4" w:space="0"/>
            </w:tcBorders>
            <w:tcMar>
              <w:top w:w="0" w:type="dxa"/>
              <w:left w:w="0" w:type="dxa"/>
              <w:bottom w:w="0" w:type="dxa"/>
              <w:right w:w="0" w:type="dxa"/>
            </w:tcMar>
            <w:vAlign w:val="top"/>
          </w:tcPr>
          <w:p w14:paraId="161D97DF">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sz w:val="24"/>
                <w:szCs w:val="24"/>
              </w:rPr>
              <w:t>福州市第二总医院（互联网区）与福州市第二总医院神经精神病防治院（内网区）</w:t>
            </w:r>
          </w:p>
        </w:tc>
      </w:tr>
      <w:tr w14:paraId="61046AF7">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588" w:type="dxa"/>
            <w:tcBorders>
              <w:top w:val="single" w:color="000000" w:sz="4" w:space="0"/>
              <w:left w:val="double" w:color="000000" w:sz="4" w:space="0"/>
              <w:bottom w:val="single" w:color="000000" w:sz="4" w:space="0"/>
              <w:right w:val="single" w:color="000000" w:sz="4" w:space="0"/>
            </w:tcBorders>
            <w:tcMar>
              <w:top w:w="0" w:type="dxa"/>
              <w:left w:w="0" w:type="dxa"/>
              <w:bottom w:w="0" w:type="dxa"/>
              <w:right w:w="0" w:type="dxa"/>
            </w:tcMar>
            <w:vAlign w:val="top"/>
          </w:tcPr>
          <w:p w14:paraId="134E4AF8">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7.3</w:t>
            </w:r>
          </w:p>
        </w:tc>
        <w:tc>
          <w:tcPr>
            <w:tcW w:w="3373" w:type="dxa"/>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top"/>
          </w:tcPr>
          <w:p w14:paraId="06DF11C5">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sz w:val="24"/>
                <w:szCs w:val="24"/>
              </w:rPr>
              <w:t>备份系统</w:t>
            </w:r>
          </w:p>
        </w:tc>
        <w:tc>
          <w:tcPr>
            <w:tcW w:w="4345" w:type="dxa"/>
            <w:tcBorders>
              <w:top w:val="single" w:color="000000" w:sz="4" w:space="0"/>
              <w:left w:val="single" w:color="000000" w:sz="4" w:space="0"/>
              <w:bottom w:val="single" w:color="000000" w:sz="4" w:space="0"/>
              <w:right w:val="double" w:color="000000" w:sz="4" w:space="0"/>
            </w:tcBorders>
            <w:tcMar>
              <w:top w:w="0" w:type="dxa"/>
              <w:left w:w="0" w:type="dxa"/>
              <w:bottom w:w="0" w:type="dxa"/>
              <w:right w:w="0" w:type="dxa"/>
            </w:tcMar>
            <w:vAlign w:val="top"/>
          </w:tcPr>
          <w:p w14:paraId="03D5A05F">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sz w:val="24"/>
                <w:szCs w:val="24"/>
              </w:rPr>
              <w:t>福州市第二总医院神经精神病防治院</w:t>
            </w:r>
          </w:p>
        </w:tc>
      </w:tr>
      <w:tr w14:paraId="2A43A3F9">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588" w:type="dxa"/>
            <w:tcBorders>
              <w:top w:val="single" w:color="000000" w:sz="4" w:space="0"/>
              <w:left w:val="double" w:color="000000" w:sz="4" w:space="0"/>
              <w:bottom w:val="single" w:color="000000" w:sz="4" w:space="0"/>
              <w:right w:val="single" w:color="000000" w:sz="4" w:space="0"/>
            </w:tcBorders>
            <w:tcMar>
              <w:top w:w="0" w:type="dxa"/>
              <w:left w:w="0" w:type="dxa"/>
              <w:bottom w:w="0" w:type="dxa"/>
              <w:right w:w="0" w:type="dxa"/>
            </w:tcMar>
            <w:vAlign w:val="top"/>
          </w:tcPr>
          <w:p w14:paraId="71032D18">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7.4</w:t>
            </w:r>
          </w:p>
        </w:tc>
        <w:tc>
          <w:tcPr>
            <w:tcW w:w="3373" w:type="dxa"/>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top"/>
          </w:tcPr>
          <w:p w14:paraId="7B7B0EF9">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sz w:val="24"/>
                <w:szCs w:val="24"/>
              </w:rPr>
              <w:t>基础软硬件</w:t>
            </w:r>
          </w:p>
        </w:tc>
        <w:tc>
          <w:tcPr>
            <w:tcW w:w="4345" w:type="dxa"/>
            <w:tcBorders>
              <w:top w:val="single" w:color="000000" w:sz="4" w:space="0"/>
              <w:left w:val="single" w:color="000000" w:sz="4" w:space="0"/>
              <w:bottom w:val="single" w:color="000000" w:sz="4" w:space="0"/>
              <w:right w:val="double" w:color="000000" w:sz="4" w:space="0"/>
            </w:tcBorders>
            <w:tcMar>
              <w:top w:w="0" w:type="dxa"/>
              <w:left w:w="0" w:type="dxa"/>
              <w:bottom w:w="0" w:type="dxa"/>
              <w:right w:w="0" w:type="dxa"/>
            </w:tcMar>
            <w:vAlign w:val="top"/>
          </w:tcPr>
          <w:p w14:paraId="10C07086">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sz w:val="24"/>
                <w:szCs w:val="24"/>
              </w:rPr>
              <w:t>福州市第二总医院（互联网区）与福州市第二总医院神经精神病防治院（内网区）</w:t>
            </w:r>
          </w:p>
        </w:tc>
      </w:tr>
      <w:tr w14:paraId="34E51DD9">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588" w:type="dxa"/>
            <w:tcBorders>
              <w:top w:val="single" w:color="000000" w:sz="4" w:space="0"/>
              <w:left w:val="double" w:color="000000" w:sz="4" w:space="0"/>
              <w:bottom w:val="single" w:color="000000" w:sz="4" w:space="0"/>
              <w:right w:val="single" w:color="000000" w:sz="4" w:space="0"/>
            </w:tcBorders>
            <w:tcMar>
              <w:top w:w="0" w:type="dxa"/>
              <w:left w:w="0" w:type="dxa"/>
              <w:bottom w:w="0" w:type="dxa"/>
              <w:right w:w="0" w:type="dxa"/>
            </w:tcMar>
            <w:vAlign w:val="top"/>
          </w:tcPr>
          <w:p w14:paraId="6B78C055">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7.5</w:t>
            </w:r>
          </w:p>
        </w:tc>
        <w:tc>
          <w:tcPr>
            <w:tcW w:w="3373" w:type="dxa"/>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top"/>
          </w:tcPr>
          <w:p w14:paraId="556E6AAA">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sz w:val="24"/>
                <w:szCs w:val="24"/>
              </w:rPr>
              <w:t>其他系统</w:t>
            </w:r>
          </w:p>
        </w:tc>
        <w:tc>
          <w:tcPr>
            <w:tcW w:w="4345" w:type="dxa"/>
            <w:tcBorders>
              <w:top w:val="single" w:color="000000" w:sz="4" w:space="0"/>
              <w:left w:val="single" w:color="000000" w:sz="4" w:space="0"/>
              <w:bottom w:val="single" w:color="000000" w:sz="4" w:space="0"/>
              <w:right w:val="double" w:color="000000" w:sz="4" w:space="0"/>
            </w:tcBorders>
            <w:tcMar>
              <w:top w:w="0" w:type="dxa"/>
              <w:left w:w="0" w:type="dxa"/>
              <w:bottom w:w="0" w:type="dxa"/>
              <w:right w:w="0" w:type="dxa"/>
            </w:tcMar>
            <w:vAlign w:val="top"/>
          </w:tcPr>
          <w:p w14:paraId="35DCA302">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p>
        </w:tc>
      </w:tr>
      <w:tr w14:paraId="3BE69B28">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588" w:type="dxa"/>
            <w:tcBorders>
              <w:top w:val="single" w:color="000000" w:sz="4" w:space="0"/>
              <w:left w:val="double" w:color="000000" w:sz="4" w:space="0"/>
              <w:bottom w:val="single" w:color="000000" w:sz="4" w:space="0"/>
              <w:right w:val="single" w:color="000000" w:sz="4" w:space="0"/>
            </w:tcBorders>
            <w:tcMar>
              <w:top w:w="0" w:type="dxa"/>
              <w:left w:w="0" w:type="dxa"/>
              <w:bottom w:w="0" w:type="dxa"/>
              <w:right w:w="0" w:type="dxa"/>
            </w:tcMar>
            <w:vAlign w:val="top"/>
          </w:tcPr>
          <w:p w14:paraId="7399A031">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7.5.1</w:t>
            </w:r>
          </w:p>
        </w:tc>
        <w:tc>
          <w:tcPr>
            <w:tcW w:w="3373" w:type="dxa"/>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top"/>
          </w:tcPr>
          <w:p w14:paraId="384F3B66">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sz w:val="24"/>
                <w:szCs w:val="24"/>
              </w:rPr>
              <w:t>AI智能监控系统</w:t>
            </w:r>
          </w:p>
        </w:tc>
        <w:tc>
          <w:tcPr>
            <w:tcW w:w="4345" w:type="dxa"/>
            <w:tcBorders>
              <w:top w:val="single" w:color="000000" w:sz="4" w:space="0"/>
              <w:left w:val="single" w:color="000000" w:sz="4" w:space="0"/>
              <w:bottom w:val="single" w:color="000000" w:sz="4" w:space="0"/>
              <w:right w:val="double" w:color="000000" w:sz="4" w:space="0"/>
            </w:tcBorders>
            <w:tcMar>
              <w:top w:w="0" w:type="dxa"/>
              <w:left w:w="0" w:type="dxa"/>
              <w:bottom w:w="0" w:type="dxa"/>
              <w:right w:w="0" w:type="dxa"/>
            </w:tcMar>
            <w:vAlign w:val="top"/>
          </w:tcPr>
          <w:p w14:paraId="5B700F5E">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sz w:val="24"/>
                <w:szCs w:val="24"/>
              </w:rPr>
              <w:t>福州市第二总医院神经精神病防治院</w:t>
            </w:r>
          </w:p>
        </w:tc>
      </w:tr>
      <w:tr w14:paraId="2FC6C1D5">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588" w:type="dxa"/>
            <w:tcBorders>
              <w:top w:val="single" w:color="000000" w:sz="4" w:space="0"/>
              <w:left w:val="double" w:color="000000" w:sz="4" w:space="0"/>
              <w:bottom w:val="single" w:color="000000" w:sz="4" w:space="0"/>
              <w:right w:val="single" w:color="000000" w:sz="4" w:space="0"/>
            </w:tcBorders>
            <w:tcMar>
              <w:top w:w="0" w:type="dxa"/>
              <w:left w:w="0" w:type="dxa"/>
              <w:bottom w:w="0" w:type="dxa"/>
              <w:right w:w="0" w:type="dxa"/>
            </w:tcMar>
            <w:vAlign w:val="top"/>
          </w:tcPr>
          <w:p w14:paraId="2435CA61">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7.5.2</w:t>
            </w:r>
          </w:p>
        </w:tc>
        <w:tc>
          <w:tcPr>
            <w:tcW w:w="3373" w:type="dxa"/>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top"/>
          </w:tcPr>
          <w:p w14:paraId="7A5F3A82">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sz w:val="24"/>
                <w:szCs w:val="24"/>
              </w:rPr>
              <w:t>视频监控系统升级改造（闽清院区）</w:t>
            </w:r>
          </w:p>
        </w:tc>
        <w:tc>
          <w:tcPr>
            <w:tcW w:w="4345" w:type="dxa"/>
            <w:tcBorders>
              <w:top w:val="single" w:color="000000" w:sz="4" w:space="0"/>
              <w:left w:val="single" w:color="000000" w:sz="4" w:space="0"/>
              <w:bottom w:val="single" w:color="000000" w:sz="4" w:space="0"/>
              <w:right w:val="double" w:color="000000" w:sz="4" w:space="0"/>
            </w:tcBorders>
            <w:tcMar>
              <w:top w:w="0" w:type="dxa"/>
              <w:left w:w="0" w:type="dxa"/>
              <w:bottom w:w="0" w:type="dxa"/>
              <w:right w:w="0" w:type="dxa"/>
            </w:tcMar>
            <w:vAlign w:val="top"/>
          </w:tcPr>
          <w:p w14:paraId="7D386D8F">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sz w:val="24"/>
                <w:szCs w:val="24"/>
              </w:rPr>
              <w:t>福州市第二总医院神经精神病防治院闽清院区</w:t>
            </w:r>
          </w:p>
        </w:tc>
      </w:tr>
      <w:tr w14:paraId="27FF3B92">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588" w:type="dxa"/>
            <w:tcBorders>
              <w:top w:val="single" w:color="000000" w:sz="4" w:space="0"/>
              <w:left w:val="double" w:color="000000" w:sz="4" w:space="0"/>
              <w:bottom w:val="single" w:color="000000" w:sz="4" w:space="0"/>
              <w:right w:val="single" w:color="000000" w:sz="4" w:space="0"/>
            </w:tcBorders>
            <w:tcMar>
              <w:top w:w="0" w:type="dxa"/>
              <w:left w:w="0" w:type="dxa"/>
              <w:bottom w:w="0" w:type="dxa"/>
              <w:right w:w="0" w:type="dxa"/>
            </w:tcMar>
            <w:vAlign w:val="top"/>
          </w:tcPr>
          <w:p w14:paraId="637121CD">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7.5.3</w:t>
            </w:r>
          </w:p>
        </w:tc>
        <w:tc>
          <w:tcPr>
            <w:tcW w:w="3373" w:type="dxa"/>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top"/>
          </w:tcPr>
          <w:p w14:paraId="63C684CB">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sz w:val="24"/>
                <w:szCs w:val="24"/>
              </w:rPr>
              <w:t>院内导航系统</w:t>
            </w:r>
          </w:p>
        </w:tc>
        <w:tc>
          <w:tcPr>
            <w:tcW w:w="4345" w:type="dxa"/>
            <w:tcBorders>
              <w:top w:val="single" w:color="000000" w:sz="4" w:space="0"/>
              <w:left w:val="single" w:color="000000" w:sz="4" w:space="0"/>
              <w:bottom w:val="single" w:color="000000" w:sz="4" w:space="0"/>
              <w:right w:val="double" w:color="000000" w:sz="4" w:space="0"/>
            </w:tcBorders>
            <w:tcMar>
              <w:top w:w="0" w:type="dxa"/>
              <w:left w:w="0" w:type="dxa"/>
              <w:bottom w:w="0" w:type="dxa"/>
              <w:right w:w="0" w:type="dxa"/>
            </w:tcMar>
            <w:vAlign w:val="top"/>
          </w:tcPr>
          <w:p w14:paraId="4065099A">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sz w:val="24"/>
                <w:szCs w:val="24"/>
              </w:rPr>
              <w:t>福州市第二总医院神经精神病防治院</w:t>
            </w:r>
          </w:p>
        </w:tc>
      </w:tr>
      <w:tr w14:paraId="0B547623">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588" w:type="dxa"/>
            <w:tcBorders>
              <w:top w:val="single" w:color="000000" w:sz="4" w:space="0"/>
              <w:left w:val="double" w:color="000000" w:sz="4" w:space="0"/>
              <w:bottom w:val="single" w:color="000000" w:sz="4" w:space="0"/>
              <w:right w:val="single" w:color="000000" w:sz="4" w:space="0"/>
            </w:tcBorders>
            <w:tcMar>
              <w:top w:w="0" w:type="dxa"/>
              <w:left w:w="0" w:type="dxa"/>
              <w:bottom w:w="0" w:type="dxa"/>
              <w:right w:w="0" w:type="dxa"/>
            </w:tcMar>
            <w:vAlign w:val="top"/>
          </w:tcPr>
          <w:p w14:paraId="60EFBC8B">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7.5.4</w:t>
            </w:r>
          </w:p>
        </w:tc>
        <w:tc>
          <w:tcPr>
            <w:tcW w:w="3373" w:type="dxa"/>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top"/>
          </w:tcPr>
          <w:p w14:paraId="4081A110">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sz w:val="24"/>
                <w:szCs w:val="24"/>
              </w:rPr>
              <w:t>患者定位管理系统</w:t>
            </w:r>
          </w:p>
        </w:tc>
        <w:tc>
          <w:tcPr>
            <w:tcW w:w="4345" w:type="dxa"/>
            <w:tcBorders>
              <w:top w:val="single" w:color="000000" w:sz="4" w:space="0"/>
              <w:left w:val="single" w:color="000000" w:sz="4" w:space="0"/>
              <w:bottom w:val="single" w:color="000000" w:sz="4" w:space="0"/>
              <w:right w:val="double" w:color="000000" w:sz="4" w:space="0"/>
            </w:tcBorders>
            <w:tcMar>
              <w:top w:w="0" w:type="dxa"/>
              <w:left w:w="0" w:type="dxa"/>
              <w:bottom w:w="0" w:type="dxa"/>
              <w:right w:w="0" w:type="dxa"/>
            </w:tcMar>
            <w:vAlign w:val="top"/>
          </w:tcPr>
          <w:p w14:paraId="12E62A83">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sz w:val="24"/>
                <w:szCs w:val="24"/>
              </w:rPr>
              <w:t>福州市第二总医院神经精神病防治院</w:t>
            </w:r>
          </w:p>
        </w:tc>
      </w:tr>
      <w:tr w14:paraId="0A29614C">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588" w:type="dxa"/>
            <w:tcBorders>
              <w:top w:val="single" w:color="000000" w:sz="4" w:space="0"/>
              <w:left w:val="double" w:color="000000" w:sz="4" w:space="0"/>
              <w:bottom w:val="single" w:color="000000" w:sz="4" w:space="0"/>
              <w:right w:val="single" w:color="000000" w:sz="4" w:space="0"/>
            </w:tcBorders>
            <w:tcMar>
              <w:top w:w="0" w:type="dxa"/>
              <w:left w:w="0" w:type="dxa"/>
              <w:bottom w:w="0" w:type="dxa"/>
              <w:right w:w="0" w:type="dxa"/>
            </w:tcMar>
            <w:vAlign w:val="top"/>
          </w:tcPr>
          <w:p w14:paraId="30934A9D">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b/>
                <w:sz w:val="24"/>
                <w:szCs w:val="24"/>
              </w:rPr>
              <w:t>8</w:t>
            </w:r>
          </w:p>
        </w:tc>
        <w:tc>
          <w:tcPr>
            <w:tcW w:w="3373" w:type="dxa"/>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top"/>
          </w:tcPr>
          <w:p w14:paraId="67636E2D">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安全系统</w:t>
            </w:r>
          </w:p>
        </w:tc>
        <w:tc>
          <w:tcPr>
            <w:tcW w:w="4345" w:type="dxa"/>
            <w:tcBorders>
              <w:top w:val="single" w:color="000000" w:sz="4" w:space="0"/>
              <w:left w:val="single" w:color="000000" w:sz="4" w:space="0"/>
              <w:bottom w:val="single" w:color="000000" w:sz="4" w:space="0"/>
              <w:right w:val="double" w:color="000000" w:sz="4" w:space="0"/>
            </w:tcBorders>
            <w:tcMar>
              <w:top w:w="0" w:type="dxa"/>
              <w:left w:w="0" w:type="dxa"/>
              <w:bottom w:w="0" w:type="dxa"/>
              <w:right w:w="0" w:type="dxa"/>
            </w:tcMar>
            <w:vAlign w:val="top"/>
          </w:tcPr>
          <w:p w14:paraId="7AB7A0BB">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p>
        </w:tc>
      </w:tr>
      <w:tr w14:paraId="411CEACB">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588" w:type="dxa"/>
            <w:tcBorders>
              <w:top w:val="single" w:color="000000" w:sz="4" w:space="0"/>
              <w:left w:val="double" w:color="000000" w:sz="4" w:space="0"/>
              <w:bottom w:val="single" w:color="000000" w:sz="4" w:space="0"/>
              <w:right w:val="single" w:color="000000" w:sz="4" w:space="0"/>
            </w:tcBorders>
            <w:tcMar>
              <w:top w:w="0" w:type="dxa"/>
              <w:left w:w="0" w:type="dxa"/>
              <w:bottom w:w="0" w:type="dxa"/>
              <w:right w:w="0" w:type="dxa"/>
            </w:tcMar>
            <w:vAlign w:val="top"/>
          </w:tcPr>
          <w:p w14:paraId="7E083DD7">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8.1</w:t>
            </w:r>
          </w:p>
        </w:tc>
        <w:tc>
          <w:tcPr>
            <w:tcW w:w="3373" w:type="dxa"/>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top"/>
          </w:tcPr>
          <w:p w14:paraId="5916FD79">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sz w:val="24"/>
                <w:szCs w:val="24"/>
              </w:rPr>
              <w:t xml:space="preserve">网络安全 </w:t>
            </w:r>
          </w:p>
        </w:tc>
        <w:tc>
          <w:tcPr>
            <w:tcW w:w="4345" w:type="dxa"/>
            <w:tcBorders>
              <w:top w:val="single" w:color="000000" w:sz="4" w:space="0"/>
              <w:left w:val="single" w:color="000000" w:sz="4" w:space="0"/>
              <w:bottom w:val="single" w:color="000000" w:sz="4" w:space="0"/>
              <w:right w:val="double" w:color="000000" w:sz="4" w:space="0"/>
            </w:tcBorders>
            <w:tcMar>
              <w:top w:w="0" w:type="dxa"/>
              <w:left w:w="0" w:type="dxa"/>
              <w:bottom w:w="0" w:type="dxa"/>
              <w:right w:w="0" w:type="dxa"/>
            </w:tcMar>
            <w:vAlign w:val="top"/>
          </w:tcPr>
          <w:p w14:paraId="1184F67A">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sz w:val="24"/>
                <w:szCs w:val="24"/>
              </w:rPr>
              <w:t>福州市第二总医院（互联网区）与福州市第二总医院神经精神病防治院（内网区）</w:t>
            </w:r>
          </w:p>
        </w:tc>
      </w:tr>
      <w:tr w14:paraId="6A32D7F2">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588" w:type="dxa"/>
            <w:tcBorders>
              <w:top w:val="single" w:color="000000" w:sz="4" w:space="0"/>
              <w:left w:val="double" w:color="000000" w:sz="4" w:space="0"/>
              <w:bottom w:val="double" w:color="000000" w:sz="4" w:space="0"/>
              <w:right w:val="single" w:color="000000" w:sz="4" w:space="0"/>
            </w:tcBorders>
            <w:tcMar>
              <w:top w:w="0" w:type="dxa"/>
              <w:left w:w="0" w:type="dxa"/>
              <w:bottom w:w="0" w:type="dxa"/>
              <w:right w:w="0" w:type="dxa"/>
            </w:tcMar>
            <w:vAlign w:val="top"/>
          </w:tcPr>
          <w:p w14:paraId="05DE81F3">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8.2</w:t>
            </w:r>
          </w:p>
        </w:tc>
        <w:tc>
          <w:tcPr>
            <w:tcW w:w="3373" w:type="dxa"/>
            <w:tcBorders>
              <w:top w:val="single" w:color="000000" w:sz="4" w:space="0"/>
              <w:left w:val="single" w:color="000000" w:sz="4" w:space="0"/>
              <w:bottom w:val="double" w:color="000000" w:sz="4" w:space="0"/>
              <w:right w:val="single" w:color="000000" w:sz="4" w:space="0"/>
            </w:tcBorders>
            <w:tcMar>
              <w:top w:w="0" w:type="dxa"/>
              <w:left w:w="0" w:type="dxa"/>
              <w:bottom w:w="0" w:type="dxa"/>
              <w:right w:w="0" w:type="dxa"/>
            </w:tcMar>
            <w:vAlign w:val="top"/>
          </w:tcPr>
          <w:p w14:paraId="54B75013">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sz w:val="24"/>
                <w:szCs w:val="24"/>
              </w:rPr>
              <w:t>密码安全</w:t>
            </w:r>
          </w:p>
        </w:tc>
        <w:tc>
          <w:tcPr>
            <w:tcW w:w="4345" w:type="dxa"/>
            <w:tcBorders>
              <w:top w:val="single" w:color="000000" w:sz="4" w:space="0"/>
              <w:left w:val="single" w:color="000000" w:sz="4" w:space="0"/>
              <w:bottom w:val="double" w:color="000000" w:sz="4" w:space="0"/>
              <w:right w:val="double" w:color="000000" w:sz="4" w:space="0"/>
            </w:tcBorders>
            <w:tcMar>
              <w:top w:w="0" w:type="dxa"/>
              <w:left w:w="0" w:type="dxa"/>
              <w:bottom w:w="0" w:type="dxa"/>
              <w:right w:w="0" w:type="dxa"/>
            </w:tcMar>
            <w:vAlign w:val="top"/>
          </w:tcPr>
          <w:p w14:paraId="49A1418E">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sz w:val="24"/>
                <w:szCs w:val="24"/>
              </w:rPr>
              <w:t>福州市第二总医院神经精神病防治院</w:t>
            </w:r>
          </w:p>
        </w:tc>
      </w:tr>
    </w:tbl>
    <w:p w14:paraId="1D986751">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color w:val="000000"/>
          <w:sz w:val="24"/>
          <w:szCs w:val="24"/>
        </w:rPr>
        <w:t>1.2.4.总体架构</w:t>
      </w:r>
    </w:p>
    <w:p w14:paraId="3D903776">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color w:val="000000"/>
          <w:sz w:val="24"/>
          <w:szCs w:val="24"/>
        </w:rPr>
        <w:t>1.基础环境层</w:t>
      </w:r>
    </w:p>
    <w:p w14:paraId="4A1A4A5F">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color w:val="000000"/>
          <w:sz w:val="24"/>
          <w:szCs w:val="24"/>
        </w:rPr>
        <w:t>本项目依托福州市第二总医院神经精神病防治院以及福州市第二总医院现有机房配套资源、通信网络，以及福州市第二总医院现有的安全与密码资源进行部署。在基础设施方面，本项目采用国产化网络设备、服务器存储设备、备份设备、安全设备及密码设备等，构建安全、可靠、自主可控的系统运行环境。</w:t>
      </w:r>
    </w:p>
    <w:p w14:paraId="3DED61C2">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color w:val="000000"/>
          <w:sz w:val="24"/>
          <w:szCs w:val="24"/>
        </w:rPr>
        <w:t>2.数据层</w:t>
      </w:r>
    </w:p>
    <w:p w14:paraId="67A856B5">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color w:val="000000"/>
          <w:sz w:val="24"/>
          <w:szCs w:val="24"/>
        </w:rPr>
        <w:t>通过建设统一的数据中台，整合来自核心业务库、基础资源库及大数据技术框架的多源数据，构建多层级、多维度的数据资源池，并建立统一的数据采集、质量管理和服务机制。</w:t>
      </w:r>
    </w:p>
    <w:p w14:paraId="752AD8BF">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color w:val="000000"/>
          <w:sz w:val="24"/>
          <w:szCs w:val="24"/>
        </w:rPr>
        <w:t>3.支撑层</w:t>
      </w:r>
    </w:p>
    <w:p w14:paraId="2F7207C1">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color w:val="000000"/>
          <w:sz w:val="24"/>
          <w:szCs w:val="24"/>
        </w:rPr>
        <w:t>应用支撑平台提供统一门户与权限认证、问卷引擎、内容管理、API网关等基础服务，为上层各类业务应用提供公共、稳定、可复用的技术支持能力。</w:t>
      </w:r>
    </w:p>
    <w:p w14:paraId="1B291F96">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color w:val="000000"/>
          <w:sz w:val="24"/>
          <w:szCs w:val="24"/>
        </w:rPr>
        <w:t>4.应用层</w:t>
      </w:r>
    </w:p>
    <w:p w14:paraId="4F305739">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color w:val="000000"/>
          <w:sz w:val="24"/>
          <w:szCs w:val="24"/>
        </w:rPr>
        <w:t>本项目建设的省级精神卫生综合服务平台，涵盖严重精神障碍管理系统、转岗培训系统、常见精神障碍筛查系统、心理援助热线系统、高危人群干预系统、患者全病程管理系统等核心业务系统。各系统基于统一业务流程与管理规范实现信息互通与业务协同，推动精神卫生服务全流程闭环管理。</w:t>
      </w:r>
    </w:p>
    <w:p w14:paraId="510E79E2">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color w:val="000000"/>
          <w:sz w:val="24"/>
          <w:szCs w:val="24"/>
        </w:rPr>
        <w:t>同时，对院内业务系统扩展建设，通过建设AI病历生成与质控系统、教学管理系统和科研协作管理系统，进一步提升医院临床诊疗效率、数据互通能力和专科服务水平，夯实多院区业务协同能力，为医院核心业务提供全面信息化支撑。</w:t>
      </w:r>
    </w:p>
    <w:p w14:paraId="29DCB799">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color w:val="000000"/>
          <w:sz w:val="24"/>
          <w:szCs w:val="24"/>
        </w:rPr>
        <w:t>5.渠道层</w:t>
      </w:r>
    </w:p>
    <w:p w14:paraId="3AB9FF3E">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color w:val="000000"/>
          <w:sz w:val="24"/>
          <w:szCs w:val="24"/>
        </w:rPr>
        <w:t>通过门户网站、公众号/小程序、专业机构入口、基层服务网点等多种渠道，为不同用户提供统一的信息采集与服务访问入口，支持线上线下服务一体化融合。</w:t>
      </w:r>
    </w:p>
    <w:p w14:paraId="58D3973C">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color w:val="000000"/>
          <w:sz w:val="24"/>
          <w:szCs w:val="24"/>
        </w:rPr>
        <w:t>6.用户层</w:t>
      </w:r>
    </w:p>
    <w:p w14:paraId="1C756BBD">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color w:val="000000"/>
          <w:sz w:val="24"/>
          <w:szCs w:val="24"/>
        </w:rPr>
        <w:t>平台服务于公众、各级管理者、热线接线员、心理服务人员、应急值班人员、运维管理人员等多类用户角色，满足其差异化使用需求。</w:t>
      </w:r>
    </w:p>
    <w:p w14:paraId="29225CF7">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color w:val="000000"/>
          <w:sz w:val="24"/>
          <w:szCs w:val="24"/>
        </w:rPr>
        <w:t>7.标准规范与安全保障体系</w:t>
      </w:r>
    </w:p>
    <w:p w14:paraId="240E1DC6">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color w:val="000000"/>
          <w:sz w:val="24"/>
          <w:szCs w:val="24"/>
        </w:rPr>
        <w:t>项目严格遵循国家及地方相关信息化标准与精神卫生管理规范，构建涵盖标准规范体系、信息安全保障体系与运维管理体系的“标准—安全—运维”一体化闭环治理框架，为系统可持续运行与业务合规开展提供支撑。</w:t>
      </w:r>
    </w:p>
    <w:p w14:paraId="45262F63">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color w:val="000000"/>
          <w:sz w:val="24"/>
          <w:szCs w:val="24"/>
        </w:rPr>
        <w:t>8.业务协作</w:t>
      </w:r>
    </w:p>
    <w:p w14:paraId="4AF2EF7E">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color w:val="000000"/>
          <w:sz w:val="24"/>
          <w:szCs w:val="24"/>
        </w:rPr>
        <w:t>平台支持与民政、公安、残联、医保等政府部门，以及基层医疗机构、学校、体检机构等多类外部单位开展数据共享与业务协同，推动形成跨部门、跨层级的综合治理与服务联动机制。</w:t>
      </w:r>
    </w:p>
    <w:p w14:paraId="0CAB85B0">
      <w:pPr>
        <w:pStyle w:val="6"/>
        <w:keepNext w:val="0"/>
        <w:keepLines w:val="0"/>
        <w:pageBreakBefore w:val="0"/>
        <w:kinsoku/>
        <w:wordWrap/>
        <w:overflowPunct/>
        <w:topLinePunct w:val="0"/>
        <w:autoSpaceDE/>
        <w:autoSpaceDN/>
        <w:bidi w:val="0"/>
        <w:adjustRightInd/>
        <w:snapToGrid/>
        <w:spacing w:line="500" w:lineRule="exact"/>
        <w:ind w:left="570"/>
        <w:jc w:val="both"/>
        <w:textAlignment w:val="auto"/>
        <w:rPr>
          <w:rFonts w:hint="eastAsia" w:ascii="宋体" w:hAnsi="宋体" w:eastAsia="宋体" w:cs="宋体"/>
          <w:sz w:val="24"/>
          <w:szCs w:val="24"/>
        </w:rPr>
      </w:pPr>
      <w:r>
        <w:rPr>
          <w:rFonts w:hint="eastAsia" w:ascii="宋体" w:hAnsi="宋体" w:eastAsia="宋体" w:cs="宋体"/>
          <w:b/>
          <w:color w:val="000000"/>
          <w:sz w:val="24"/>
          <w:szCs w:val="24"/>
        </w:rPr>
        <w:t>1.3.招标品目与服务清单</w:t>
      </w:r>
    </w:p>
    <w:p w14:paraId="21743A64">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color w:val="000000"/>
          <w:sz w:val="24"/>
          <w:szCs w:val="24"/>
        </w:rPr>
        <w:t>1.3.1.本项目建设品目</w:t>
      </w:r>
    </w:p>
    <w:p w14:paraId="32B62A6F">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color w:val="000000"/>
          <w:sz w:val="24"/>
          <w:szCs w:val="24"/>
        </w:rPr>
        <w:t>福建省精神专科服务能力建设项目信息化专项本项目建设项目品目如下表所示：</w:t>
      </w:r>
    </w:p>
    <w:tbl>
      <w:tblPr>
        <w:tblStyle w:val="4"/>
        <w:tblW w:w="0" w:type="auto"/>
        <w:tblInd w:w="0" w:type="dxa"/>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autofit"/>
        <w:tblCellMar>
          <w:top w:w="0" w:type="dxa"/>
          <w:left w:w="108" w:type="dxa"/>
          <w:bottom w:w="0" w:type="dxa"/>
          <w:right w:w="108" w:type="dxa"/>
        </w:tblCellMar>
      </w:tblPr>
      <w:tblGrid>
        <w:gridCol w:w="646"/>
        <w:gridCol w:w="3343"/>
        <w:gridCol w:w="669"/>
        <w:gridCol w:w="669"/>
        <w:gridCol w:w="2980"/>
      </w:tblGrid>
      <w:tr w14:paraId="7E9DA6EC">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46" w:type="dxa"/>
            <w:tcBorders>
              <w:top w:val="double" w:color="000000" w:sz="4" w:space="0"/>
              <w:left w:val="double" w:color="000000" w:sz="4" w:space="0"/>
              <w:bottom w:val="single" w:color="000000" w:sz="4" w:space="0"/>
              <w:right w:val="single" w:color="000000" w:sz="4" w:space="0"/>
            </w:tcBorders>
            <w:shd w:val="clear" w:color="auto" w:fill="BFBFBF"/>
            <w:tcMar>
              <w:top w:w="0" w:type="dxa"/>
              <w:left w:w="0" w:type="dxa"/>
              <w:bottom w:w="0" w:type="dxa"/>
              <w:right w:w="0" w:type="dxa"/>
            </w:tcMar>
            <w:vAlign w:val="top"/>
          </w:tcPr>
          <w:p w14:paraId="6E1EFF74">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b/>
                <w:sz w:val="24"/>
                <w:szCs w:val="24"/>
              </w:rPr>
              <w:t>品目号</w:t>
            </w:r>
          </w:p>
        </w:tc>
        <w:tc>
          <w:tcPr>
            <w:tcW w:w="3343" w:type="dxa"/>
            <w:tcBorders>
              <w:top w:val="double" w:color="000000" w:sz="4" w:space="0"/>
              <w:left w:val="nil"/>
              <w:bottom w:val="single" w:color="000000" w:sz="4" w:space="0"/>
              <w:right w:val="single" w:color="000000" w:sz="4" w:space="0"/>
            </w:tcBorders>
            <w:shd w:val="clear" w:color="auto" w:fill="BFBFBF"/>
            <w:tcMar>
              <w:top w:w="0" w:type="dxa"/>
              <w:left w:w="0" w:type="dxa"/>
              <w:bottom w:w="0" w:type="dxa"/>
              <w:right w:w="0" w:type="dxa"/>
            </w:tcMar>
            <w:vAlign w:val="top"/>
          </w:tcPr>
          <w:p w14:paraId="5BE0E7BB">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b/>
                <w:sz w:val="24"/>
                <w:szCs w:val="24"/>
              </w:rPr>
              <w:t>品名</w:t>
            </w:r>
          </w:p>
        </w:tc>
        <w:tc>
          <w:tcPr>
            <w:tcW w:w="669" w:type="dxa"/>
            <w:tcBorders>
              <w:top w:val="double" w:color="000000" w:sz="4" w:space="0"/>
              <w:left w:val="nil"/>
              <w:bottom w:val="single" w:color="000000" w:sz="4" w:space="0"/>
              <w:right w:val="single" w:color="000000" w:sz="4" w:space="0"/>
            </w:tcBorders>
            <w:shd w:val="clear" w:color="auto" w:fill="BFBFBF"/>
            <w:tcMar>
              <w:top w:w="0" w:type="dxa"/>
              <w:left w:w="0" w:type="dxa"/>
              <w:bottom w:w="0" w:type="dxa"/>
              <w:right w:w="0" w:type="dxa"/>
            </w:tcMar>
            <w:vAlign w:val="top"/>
          </w:tcPr>
          <w:p w14:paraId="14D08594">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b/>
                <w:sz w:val="24"/>
                <w:szCs w:val="24"/>
              </w:rPr>
              <w:t>单位</w:t>
            </w:r>
          </w:p>
        </w:tc>
        <w:tc>
          <w:tcPr>
            <w:tcW w:w="669" w:type="dxa"/>
            <w:tcBorders>
              <w:top w:val="double" w:color="000000" w:sz="4" w:space="0"/>
              <w:left w:val="nil"/>
              <w:bottom w:val="single" w:color="000000" w:sz="4" w:space="0"/>
              <w:right w:val="single" w:color="000000" w:sz="4" w:space="0"/>
            </w:tcBorders>
            <w:shd w:val="clear" w:color="auto" w:fill="BFBFBF"/>
            <w:tcMar>
              <w:top w:w="0" w:type="dxa"/>
              <w:left w:w="0" w:type="dxa"/>
              <w:bottom w:w="0" w:type="dxa"/>
              <w:right w:w="0" w:type="dxa"/>
            </w:tcMar>
            <w:vAlign w:val="top"/>
          </w:tcPr>
          <w:p w14:paraId="0DE193F5">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b/>
                <w:sz w:val="24"/>
                <w:szCs w:val="24"/>
              </w:rPr>
              <w:t>数量</w:t>
            </w:r>
          </w:p>
        </w:tc>
        <w:tc>
          <w:tcPr>
            <w:tcW w:w="2980" w:type="dxa"/>
            <w:tcBorders>
              <w:top w:val="double" w:color="000000" w:sz="4" w:space="0"/>
              <w:left w:val="nil"/>
              <w:bottom w:val="single" w:color="000000" w:sz="4" w:space="0"/>
              <w:right w:val="double" w:color="000000" w:sz="4" w:space="0"/>
            </w:tcBorders>
            <w:shd w:val="clear" w:color="auto" w:fill="BFBFBF"/>
            <w:tcMar>
              <w:top w:w="0" w:type="dxa"/>
              <w:left w:w="0" w:type="dxa"/>
              <w:bottom w:w="0" w:type="dxa"/>
              <w:right w:w="0" w:type="dxa"/>
            </w:tcMar>
            <w:vAlign w:val="top"/>
          </w:tcPr>
          <w:p w14:paraId="59A4F9AF">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b/>
                <w:sz w:val="24"/>
                <w:szCs w:val="24"/>
              </w:rPr>
              <w:t>备注</w:t>
            </w:r>
          </w:p>
        </w:tc>
      </w:tr>
      <w:tr w14:paraId="3E4AB36A">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46" w:type="dxa"/>
            <w:tcBorders>
              <w:top w:val="nil"/>
              <w:left w:val="double" w:color="000000" w:sz="4" w:space="0"/>
              <w:bottom w:val="single" w:color="000000" w:sz="4" w:space="0"/>
              <w:right w:val="single" w:color="000000" w:sz="4" w:space="0"/>
            </w:tcBorders>
            <w:tcMar>
              <w:top w:w="0" w:type="dxa"/>
              <w:left w:w="0" w:type="dxa"/>
              <w:bottom w:w="0" w:type="dxa"/>
              <w:right w:w="0" w:type="dxa"/>
            </w:tcMar>
            <w:vAlign w:val="top"/>
          </w:tcPr>
          <w:p w14:paraId="552639AE">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b/>
                <w:sz w:val="24"/>
                <w:szCs w:val="24"/>
              </w:rPr>
              <w:t>一</w:t>
            </w:r>
          </w:p>
        </w:tc>
        <w:tc>
          <w:tcPr>
            <w:tcW w:w="3343" w:type="dxa"/>
            <w:tcBorders>
              <w:top w:val="nil"/>
              <w:left w:val="single" w:color="000000" w:sz="4" w:space="0"/>
              <w:bottom w:val="single" w:color="000000" w:sz="4" w:space="0"/>
              <w:right w:val="single" w:color="000000" w:sz="4" w:space="0"/>
            </w:tcBorders>
            <w:tcMar>
              <w:top w:w="0" w:type="dxa"/>
              <w:left w:w="0" w:type="dxa"/>
              <w:bottom w:w="0" w:type="dxa"/>
              <w:right w:w="0" w:type="dxa"/>
            </w:tcMar>
            <w:vAlign w:val="top"/>
          </w:tcPr>
          <w:p w14:paraId="48FB16B9">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b/>
                <w:sz w:val="24"/>
                <w:szCs w:val="24"/>
              </w:rPr>
              <w:t>省级精神卫生综合服务软件平台</w:t>
            </w:r>
          </w:p>
        </w:tc>
        <w:tc>
          <w:tcPr>
            <w:tcW w:w="669" w:type="dxa"/>
            <w:tcBorders>
              <w:top w:val="nil"/>
              <w:left w:val="single" w:color="000000" w:sz="4" w:space="0"/>
              <w:bottom w:val="single" w:color="000000" w:sz="4" w:space="0"/>
              <w:right w:val="single" w:color="000000" w:sz="4" w:space="0"/>
            </w:tcBorders>
            <w:tcMar>
              <w:top w:w="0" w:type="dxa"/>
              <w:left w:w="0" w:type="dxa"/>
              <w:bottom w:w="0" w:type="dxa"/>
              <w:right w:w="0" w:type="dxa"/>
            </w:tcMar>
            <w:vAlign w:val="top"/>
          </w:tcPr>
          <w:p w14:paraId="1530F03E">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p>
        </w:tc>
        <w:tc>
          <w:tcPr>
            <w:tcW w:w="669" w:type="dxa"/>
            <w:tcBorders>
              <w:top w:val="nil"/>
              <w:left w:val="single" w:color="000000" w:sz="4" w:space="0"/>
              <w:bottom w:val="single" w:color="000000" w:sz="4" w:space="0"/>
              <w:right w:val="single" w:color="000000" w:sz="4" w:space="0"/>
            </w:tcBorders>
            <w:tcMar>
              <w:top w:w="0" w:type="dxa"/>
              <w:left w:w="0" w:type="dxa"/>
              <w:bottom w:w="0" w:type="dxa"/>
              <w:right w:w="0" w:type="dxa"/>
            </w:tcMar>
            <w:vAlign w:val="top"/>
          </w:tcPr>
          <w:p w14:paraId="0E0AD155">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hAnsi="宋体" w:eastAsia="宋体" w:cs="宋体"/>
                <w:sz w:val="24"/>
                <w:szCs w:val="24"/>
              </w:rPr>
            </w:pPr>
          </w:p>
        </w:tc>
        <w:tc>
          <w:tcPr>
            <w:tcW w:w="2980" w:type="dxa"/>
            <w:tcBorders>
              <w:top w:val="nil"/>
              <w:left w:val="single" w:color="000000" w:sz="4" w:space="0"/>
              <w:bottom w:val="single" w:color="000000" w:sz="4" w:space="0"/>
              <w:right w:val="double" w:color="000000" w:sz="4" w:space="0"/>
            </w:tcBorders>
            <w:tcMar>
              <w:top w:w="0" w:type="dxa"/>
              <w:left w:w="0" w:type="dxa"/>
              <w:bottom w:w="0" w:type="dxa"/>
              <w:right w:w="0" w:type="dxa"/>
            </w:tcMar>
            <w:vAlign w:val="top"/>
          </w:tcPr>
          <w:p w14:paraId="369E3B0F">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hAnsi="宋体" w:eastAsia="宋体" w:cs="宋体"/>
                <w:sz w:val="24"/>
                <w:szCs w:val="24"/>
              </w:rPr>
            </w:pPr>
          </w:p>
        </w:tc>
      </w:tr>
      <w:tr w14:paraId="7B11756A">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46" w:type="dxa"/>
            <w:tcBorders>
              <w:top w:val="single" w:color="000000" w:sz="4" w:space="0"/>
              <w:left w:val="double" w:color="000000" w:sz="4" w:space="0"/>
              <w:bottom w:val="single" w:color="000000" w:sz="4" w:space="0"/>
              <w:right w:val="single" w:color="000000" w:sz="4" w:space="0"/>
            </w:tcBorders>
            <w:tcMar>
              <w:top w:w="0" w:type="dxa"/>
              <w:left w:w="0" w:type="dxa"/>
              <w:bottom w:w="0" w:type="dxa"/>
              <w:right w:w="0" w:type="dxa"/>
            </w:tcMar>
            <w:vAlign w:val="top"/>
          </w:tcPr>
          <w:p w14:paraId="14F44D64">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1-1</w:t>
            </w:r>
          </w:p>
        </w:tc>
        <w:tc>
          <w:tcPr>
            <w:tcW w:w="3343" w:type="dxa"/>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top"/>
          </w:tcPr>
          <w:p w14:paraId="4BCEE6BD">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数据中台</w:t>
            </w:r>
          </w:p>
        </w:tc>
        <w:tc>
          <w:tcPr>
            <w:tcW w:w="669" w:type="dxa"/>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top"/>
          </w:tcPr>
          <w:p w14:paraId="3C7A28A9">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项</w:t>
            </w:r>
          </w:p>
        </w:tc>
        <w:tc>
          <w:tcPr>
            <w:tcW w:w="669" w:type="dxa"/>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top"/>
          </w:tcPr>
          <w:p w14:paraId="07B2C6BF">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1</w:t>
            </w:r>
          </w:p>
        </w:tc>
        <w:tc>
          <w:tcPr>
            <w:tcW w:w="2980" w:type="dxa"/>
            <w:tcBorders>
              <w:top w:val="single" w:color="000000" w:sz="4" w:space="0"/>
              <w:left w:val="single" w:color="000000" w:sz="4" w:space="0"/>
              <w:bottom w:val="single" w:color="000000" w:sz="4" w:space="0"/>
              <w:right w:val="double" w:color="000000" w:sz="4" w:space="0"/>
            </w:tcBorders>
            <w:tcMar>
              <w:top w:w="0" w:type="dxa"/>
              <w:left w:w="0" w:type="dxa"/>
              <w:bottom w:w="0" w:type="dxa"/>
              <w:right w:w="0" w:type="dxa"/>
            </w:tcMar>
            <w:vAlign w:val="top"/>
          </w:tcPr>
          <w:p w14:paraId="597CCC81">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软件</w:t>
            </w:r>
          </w:p>
        </w:tc>
      </w:tr>
      <w:tr w14:paraId="30E7195A">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46" w:type="dxa"/>
            <w:tcBorders>
              <w:top w:val="single" w:color="000000" w:sz="4" w:space="0"/>
              <w:left w:val="double" w:color="000000" w:sz="4" w:space="0"/>
              <w:bottom w:val="single" w:color="000000" w:sz="4" w:space="0"/>
              <w:right w:val="single" w:color="000000" w:sz="4" w:space="0"/>
            </w:tcBorders>
            <w:tcMar>
              <w:top w:w="0" w:type="dxa"/>
              <w:left w:w="0" w:type="dxa"/>
              <w:bottom w:w="0" w:type="dxa"/>
              <w:right w:w="0" w:type="dxa"/>
            </w:tcMar>
            <w:vAlign w:val="top"/>
          </w:tcPr>
          <w:p w14:paraId="487FB927">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1-2</w:t>
            </w:r>
          </w:p>
        </w:tc>
        <w:tc>
          <w:tcPr>
            <w:tcW w:w="3343" w:type="dxa"/>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top"/>
          </w:tcPr>
          <w:p w14:paraId="25F65D3B">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数据迁移</w:t>
            </w:r>
          </w:p>
        </w:tc>
        <w:tc>
          <w:tcPr>
            <w:tcW w:w="669" w:type="dxa"/>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top"/>
          </w:tcPr>
          <w:p w14:paraId="7F40F259">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项</w:t>
            </w:r>
          </w:p>
        </w:tc>
        <w:tc>
          <w:tcPr>
            <w:tcW w:w="669" w:type="dxa"/>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top"/>
          </w:tcPr>
          <w:p w14:paraId="5EFD1CF1">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1</w:t>
            </w:r>
          </w:p>
        </w:tc>
        <w:tc>
          <w:tcPr>
            <w:tcW w:w="2980" w:type="dxa"/>
            <w:tcBorders>
              <w:top w:val="single" w:color="000000" w:sz="4" w:space="0"/>
              <w:left w:val="single" w:color="000000" w:sz="4" w:space="0"/>
              <w:bottom w:val="single" w:color="000000" w:sz="4" w:space="0"/>
              <w:right w:val="double" w:color="000000" w:sz="4" w:space="0"/>
            </w:tcBorders>
            <w:tcMar>
              <w:top w:w="0" w:type="dxa"/>
              <w:left w:w="0" w:type="dxa"/>
              <w:bottom w:w="0" w:type="dxa"/>
              <w:right w:w="0" w:type="dxa"/>
            </w:tcMar>
            <w:vAlign w:val="top"/>
          </w:tcPr>
          <w:p w14:paraId="1BDCB965">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软件</w:t>
            </w:r>
          </w:p>
        </w:tc>
      </w:tr>
      <w:tr w14:paraId="0D1FFCDD">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46" w:type="dxa"/>
            <w:tcBorders>
              <w:top w:val="single" w:color="000000" w:sz="4" w:space="0"/>
              <w:left w:val="double" w:color="000000" w:sz="4" w:space="0"/>
              <w:bottom w:val="single" w:color="000000" w:sz="4" w:space="0"/>
              <w:right w:val="single" w:color="000000" w:sz="4" w:space="0"/>
            </w:tcBorders>
            <w:tcMar>
              <w:top w:w="0" w:type="dxa"/>
              <w:left w:w="0" w:type="dxa"/>
              <w:bottom w:w="0" w:type="dxa"/>
              <w:right w:w="0" w:type="dxa"/>
            </w:tcMar>
            <w:vAlign w:val="top"/>
          </w:tcPr>
          <w:p w14:paraId="40FD7203">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1-3</w:t>
            </w:r>
          </w:p>
        </w:tc>
        <w:tc>
          <w:tcPr>
            <w:tcW w:w="3343" w:type="dxa"/>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top"/>
          </w:tcPr>
          <w:p w14:paraId="332E3E12">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省级精神卫生综合服务平台</w:t>
            </w:r>
          </w:p>
        </w:tc>
        <w:tc>
          <w:tcPr>
            <w:tcW w:w="669" w:type="dxa"/>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top"/>
          </w:tcPr>
          <w:p w14:paraId="6C9541AD">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项</w:t>
            </w:r>
          </w:p>
        </w:tc>
        <w:tc>
          <w:tcPr>
            <w:tcW w:w="669" w:type="dxa"/>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top"/>
          </w:tcPr>
          <w:p w14:paraId="6A6EBE9F">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1</w:t>
            </w:r>
          </w:p>
        </w:tc>
        <w:tc>
          <w:tcPr>
            <w:tcW w:w="2980" w:type="dxa"/>
            <w:tcBorders>
              <w:top w:val="single" w:color="000000" w:sz="4" w:space="0"/>
              <w:left w:val="single" w:color="000000" w:sz="4" w:space="0"/>
              <w:bottom w:val="single" w:color="000000" w:sz="4" w:space="0"/>
              <w:right w:val="double" w:color="000000" w:sz="4" w:space="0"/>
            </w:tcBorders>
            <w:tcMar>
              <w:top w:w="0" w:type="dxa"/>
              <w:left w:w="0" w:type="dxa"/>
              <w:bottom w:w="0" w:type="dxa"/>
              <w:right w:w="0" w:type="dxa"/>
            </w:tcMar>
            <w:vAlign w:val="top"/>
          </w:tcPr>
          <w:p w14:paraId="0A18BB1C">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软件（其中，心理援助热线系统中的会话边界控制器属于硬件）</w:t>
            </w:r>
          </w:p>
        </w:tc>
      </w:tr>
      <w:tr w14:paraId="78086F68">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46" w:type="dxa"/>
            <w:tcBorders>
              <w:top w:val="single" w:color="000000" w:sz="4" w:space="0"/>
              <w:left w:val="double" w:color="000000" w:sz="4" w:space="0"/>
              <w:bottom w:val="single" w:color="000000" w:sz="4" w:space="0"/>
              <w:right w:val="single" w:color="000000" w:sz="4" w:space="0"/>
            </w:tcBorders>
            <w:tcMar>
              <w:top w:w="0" w:type="dxa"/>
              <w:left w:w="0" w:type="dxa"/>
              <w:bottom w:w="0" w:type="dxa"/>
              <w:right w:w="0" w:type="dxa"/>
            </w:tcMar>
            <w:vAlign w:val="top"/>
          </w:tcPr>
          <w:p w14:paraId="591C9A11">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1-4</w:t>
            </w:r>
          </w:p>
        </w:tc>
        <w:tc>
          <w:tcPr>
            <w:tcW w:w="3343" w:type="dxa"/>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top"/>
          </w:tcPr>
          <w:p w14:paraId="2B08E16E">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应用支撑平台</w:t>
            </w:r>
          </w:p>
        </w:tc>
        <w:tc>
          <w:tcPr>
            <w:tcW w:w="669" w:type="dxa"/>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top"/>
          </w:tcPr>
          <w:p w14:paraId="590CE5EC">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项</w:t>
            </w:r>
          </w:p>
        </w:tc>
        <w:tc>
          <w:tcPr>
            <w:tcW w:w="669" w:type="dxa"/>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top"/>
          </w:tcPr>
          <w:p w14:paraId="2D28178F">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1</w:t>
            </w:r>
          </w:p>
        </w:tc>
        <w:tc>
          <w:tcPr>
            <w:tcW w:w="2980" w:type="dxa"/>
            <w:tcBorders>
              <w:top w:val="single" w:color="000000" w:sz="4" w:space="0"/>
              <w:left w:val="single" w:color="000000" w:sz="4" w:space="0"/>
              <w:bottom w:val="single" w:color="000000" w:sz="4" w:space="0"/>
              <w:right w:val="double" w:color="000000" w:sz="4" w:space="0"/>
            </w:tcBorders>
            <w:tcMar>
              <w:top w:w="0" w:type="dxa"/>
              <w:left w:w="0" w:type="dxa"/>
              <w:bottom w:w="0" w:type="dxa"/>
              <w:right w:w="0" w:type="dxa"/>
            </w:tcMar>
            <w:vAlign w:val="top"/>
          </w:tcPr>
          <w:p w14:paraId="683CF878">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软件</w:t>
            </w:r>
          </w:p>
        </w:tc>
      </w:tr>
      <w:tr w14:paraId="0F3027CB">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46" w:type="dxa"/>
            <w:tcBorders>
              <w:top w:val="single" w:color="000000" w:sz="4" w:space="0"/>
              <w:left w:val="double" w:color="000000" w:sz="4" w:space="0"/>
              <w:bottom w:val="single" w:color="000000" w:sz="4" w:space="0"/>
              <w:right w:val="single" w:color="000000" w:sz="4" w:space="0"/>
            </w:tcBorders>
            <w:tcMar>
              <w:top w:w="0" w:type="dxa"/>
              <w:left w:w="0" w:type="dxa"/>
              <w:bottom w:w="0" w:type="dxa"/>
              <w:right w:w="0" w:type="dxa"/>
            </w:tcMar>
            <w:vAlign w:val="top"/>
          </w:tcPr>
          <w:p w14:paraId="6431E4C5">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1-5</w:t>
            </w:r>
          </w:p>
        </w:tc>
        <w:tc>
          <w:tcPr>
            <w:tcW w:w="3343" w:type="dxa"/>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top"/>
          </w:tcPr>
          <w:p w14:paraId="4F95D990">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院内业务系统扩展</w:t>
            </w:r>
          </w:p>
        </w:tc>
        <w:tc>
          <w:tcPr>
            <w:tcW w:w="669" w:type="dxa"/>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top"/>
          </w:tcPr>
          <w:p w14:paraId="1E89F4B0">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项</w:t>
            </w:r>
          </w:p>
        </w:tc>
        <w:tc>
          <w:tcPr>
            <w:tcW w:w="669" w:type="dxa"/>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top"/>
          </w:tcPr>
          <w:p w14:paraId="3932ADDC">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1</w:t>
            </w:r>
          </w:p>
        </w:tc>
        <w:tc>
          <w:tcPr>
            <w:tcW w:w="2980" w:type="dxa"/>
            <w:tcBorders>
              <w:top w:val="single" w:color="000000" w:sz="4" w:space="0"/>
              <w:left w:val="single" w:color="000000" w:sz="4" w:space="0"/>
              <w:bottom w:val="single" w:color="000000" w:sz="4" w:space="0"/>
              <w:right w:val="double" w:color="000000" w:sz="4" w:space="0"/>
            </w:tcBorders>
            <w:tcMar>
              <w:top w:w="0" w:type="dxa"/>
              <w:left w:w="0" w:type="dxa"/>
              <w:bottom w:w="0" w:type="dxa"/>
              <w:right w:w="0" w:type="dxa"/>
            </w:tcMar>
            <w:vAlign w:val="top"/>
          </w:tcPr>
          <w:p w14:paraId="45348C61">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软件</w:t>
            </w:r>
          </w:p>
        </w:tc>
      </w:tr>
      <w:tr w14:paraId="165118AB">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46" w:type="dxa"/>
            <w:tcBorders>
              <w:top w:val="single" w:color="000000" w:sz="4" w:space="0"/>
              <w:left w:val="double" w:color="000000" w:sz="4" w:space="0"/>
              <w:bottom w:val="single" w:color="000000" w:sz="4" w:space="0"/>
              <w:right w:val="single" w:color="000000" w:sz="4" w:space="0"/>
            </w:tcBorders>
            <w:tcMar>
              <w:top w:w="0" w:type="dxa"/>
              <w:left w:w="0" w:type="dxa"/>
              <w:bottom w:w="0" w:type="dxa"/>
              <w:right w:w="0" w:type="dxa"/>
            </w:tcMar>
            <w:vAlign w:val="top"/>
          </w:tcPr>
          <w:p w14:paraId="4F32AA4F">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1-6</w:t>
            </w:r>
          </w:p>
        </w:tc>
        <w:tc>
          <w:tcPr>
            <w:tcW w:w="3343" w:type="dxa"/>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top"/>
          </w:tcPr>
          <w:p w14:paraId="46ECCC1C">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应用系统接口</w:t>
            </w:r>
          </w:p>
        </w:tc>
        <w:tc>
          <w:tcPr>
            <w:tcW w:w="669" w:type="dxa"/>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top"/>
          </w:tcPr>
          <w:p w14:paraId="75AC04E0">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项</w:t>
            </w:r>
          </w:p>
        </w:tc>
        <w:tc>
          <w:tcPr>
            <w:tcW w:w="669" w:type="dxa"/>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top"/>
          </w:tcPr>
          <w:p w14:paraId="11CA7194">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1</w:t>
            </w:r>
          </w:p>
        </w:tc>
        <w:tc>
          <w:tcPr>
            <w:tcW w:w="2980" w:type="dxa"/>
            <w:tcBorders>
              <w:top w:val="single" w:color="000000" w:sz="4" w:space="0"/>
              <w:left w:val="single" w:color="000000" w:sz="4" w:space="0"/>
              <w:bottom w:val="single" w:color="000000" w:sz="4" w:space="0"/>
              <w:right w:val="double" w:color="000000" w:sz="4" w:space="0"/>
            </w:tcBorders>
            <w:tcMar>
              <w:top w:w="0" w:type="dxa"/>
              <w:left w:w="0" w:type="dxa"/>
              <w:bottom w:w="0" w:type="dxa"/>
              <w:right w:w="0" w:type="dxa"/>
            </w:tcMar>
            <w:vAlign w:val="top"/>
          </w:tcPr>
          <w:p w14:paraId="2852D350">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软件</w:t>
            </w:r>
          </w:p>
        </w:tc>
      </w:tr>
      <w:tr w14:paraId="7DF61E39">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46" w:type="dxa"/>
            <w:tcBorders>
              <w:top w:val="single" w:color="000000" w:sz="4" w:space="0"/>
              <w:left w:val="double" w:color="000000" w:sz="4" w:space="0"/>
              <w:bottom w:val="single" w:color="000000" w:sz="4" w:space="0"/>
              <w:right w:val="single" w:color="000000" w:sz="4" w:space="0"/>
            </w:tcBorders>
            <w:tcMar>
              <w:top w:w="0" w:type="dxa"/>
              <w:left w:w="0" w:type="dxa"/>
              <w:bottom w:w="0" w:type="dxa"/>
              <w:right w:w="0" w:type="dxa"/>
            </w:tcMar>
            <w:vAlign w:val="top"/>
          </w:tcPr>
          <w:p w14:paraId="145801A9">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b/>
                <w:sz w:val="24"/>
                <w:szCs w:val="24"/>
              </w:rPr>
              <w:t>二</w:t>
            </w:r>
          </w:p>
        </w:tc>
        <w:tc>
          <w:tcPr>
            <w:tcW w:w="3343" w:type="dxa"/>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top"/>
          </w:tcPr>
          <w:p w14:paraId="2279A349">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b/>
                <w:sz w:val="24"/>
                <w:szCs w:val="24"/>
              </w:rPr>
              <w:t>存储、交换机、数据备份、智慧医院建设配套硬件等</w:t>
            </w:r>
          </w:p>
        </w:tc>
        <w:tc>
          <w:tcPr>
            <w:tcW w:w="669" w:type="dxa"/>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top"/>
          </w:tcPr>
          <w:p w14:paraId="52847E17">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p>
        </w:tc>
        <w:tc>
          <w:tcPr>
            <w:tcW w:w="669" w:type="dxa"/>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top"/>
          </w:tcPr>
          <w:p w14:paraId="367A98ED">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hAnsi="宋体" w:eastAsia="宋体" w:cs="宋体"/>
                <w:sz w:val="24"/>
                <w:szCs w:val="24"/>
              </w:rPr>
            </w:pPr>
          </w:p>
        </w:tc>
        <w:tc>
          <w:tcPr>
            <w:tcW w:w="2980" w:type="dxa"/>
            <w:tcBorders>
              <w:top w:val="single" w:color="000000" w:sz="4" w:space="0"/>
              <w:left w:val="single" w:color="000000" w:sz="4" w:space="0"/>
              <w:bottom w:val="single" w:color="000000" w:sz="4" w:space="0"/>
              <w:right w:val="double" w:color="000000" w:sz="4" w:space="0"/>
            </w:tcBorders>
            <w:tcMar>
              <w:top w:w="0" w:type="dxa"/>
              <w:left w:w="0" w:type="dxa"/>
              <w:bottom w:w="0" w:type="dxa"/>
              <w:right w:w="0" w:type="dxa"/>
            </w:tcMar>
            <w:vAlign w:val="top"/>
          </w:tcPr>
          <w:p w14:paraId="7D530141">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hAnsi="宋体" w:eastAsia="宋体" w:cs="宋体"/>
                <w:sz w:val="24"/>
                <w:szCs w:val="24"/>
              </w:rPr>
            </w:pPr>
          </w:p>
        </w:tc>
      </w:tr>
      <w:tr w14:paraId="0D7FC8D6">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46" w:type="dxa"/>
            <w:tcBorders>
              <w:top w:val="single" w:color="000000" w:sz="4" w:space="0"/>
              <w:left w:val="double" w:color="000000" w:sz="4" w:space="0"/>
              <w:bottom w:val="single" w:color="000000" w:sz="4" w:space="0"/>
              <w:right w:val="single" w:color="000000" w:sz="4" w:space="0"/>
            </w:tcBorders>
            <w:tcMar>
              <w:top w:w="0" w:type="dxa"/>
              <w:left w:w="0" w:type="dxa"/>
              <w:bottom w:w="0" w:type="dxa"/>
              <w:right w:w="0" w:type="dxa"/>
            </w:tcMar>
            <w:vAlign w:val="top"/>
          </w:tcPr>
          <w:p w14:paraId="1E76044E">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2-1</w:t>
            </w:r>
          </w:p>
        </w:tc>
        <w:tc>
          <w:tcPr>
            <w:tcW w:w="3343" w:type="dxa"/>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top"/>
          </w:tcPr>
          <w:p w14:paraId="2ACA98E5">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网络系统</w:t>
            </w:r>
          </w:p>
        </w:tc>
        <w:tc>
          <w:tcPr>
            <w:tcW w:w="669" w:type="dxa"/>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top"/>
          </w:tcPr>
          <w:p w14:paraId="7C145AE2">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项</w:t>
            </w:r>
          </w:p>
        </w:tc>
        <w:tc>
          <w:tcPr>
            <w:tcW w:w="669" w:type="dxa"/>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top"/>
          </w:tcPr>
          <w:p w14:paraId="5E12BE02">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1</w:t>
            </w:r>
          </w:p>
        </w:tc>
        <w:tc>
          <w:tcPr>
            <w:tcW w:w="2980" w:type="dxa"/>
            <w:tcBorders>
              <w:top w:val="single" w:color="000000" w:sz="4" w:space="0"/>
              <w:left w:val="single" w:color="000000" w:sz="4" w:space="0"/>
              <w:bottom w:val="single" w:color="000000" w:sz="4" w:space="0"/>
              <w:right w:val="double" w:color="000000" w:sz="4" w:space="0"/>
            </w:tcBorders>
            <w:tcMar>
              <w:top w:w="0" w:type="dxa"/>
              <w:left w:w="0" w:type="dxa"/>
              <w:bottom w:w="0" w:type="dxa"/>
              <w:right w:w="0" w:type="dxa"/>
            </w:tcMar>
            <w:vAlign w:val="top"/>
          </w:tcPr>
          <w:p w14:paraId="06B6E18B">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硬件</w:t>
            </w:r>
          </w:p>
        </w:tc>
      </w:tr>
      <w:tr w14:paraId="3845A626">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46" w:type="dxa"/>
            <w:tcBorders>
              <w:top w:val="single" w:color="000000" w:sz="4" w:space="0"/>
              <w:left w:val="double" w:color="000000" w:sz="4" w:space="0"/>
              <w:bottom w:val="single" w:color="000000" w:sz="4" w:space="0"/>
              <w:right w:val="single" w:color="000000" w:sz="4" w:space="0"/>
            </w:tcBorders>
            <w:tcMar>
              <w:top w:w="0" w:type="dxa"/>
              <w:left w:w="0" w:type="dxa"/>
              <w:bottom w:w="0" w:type="dxa"/>
              <w:right w:w="0" w:type="dxa"/>
            </w:tcMar>
            <w:vAlign w:val="top"/>
          </w:tcPr>
          <w:p w14:paraId="0243FB51">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2-2</w:t>
            </w:r>
          </w:p>
        </w:tc>
        <w:tc>
          <w:tcPr>
            <w:tcW w:w="3343" w:type="dxa"/>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top"/>
          </w:tcPr>
          <w:p w14:paraId="3A1C74C8">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存储系统</w:t>
            </w:r>
          </w:p>
        </w:tc>
        <w:tc>
          <w:tcPr>
            <w:tcW w:w="669" w:type="dxa"/>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top"/>
          </w:tcPr>
          <w:p w14:paraId="34974731">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项</w:t>
            </w:r>
          </w:p>
        </w:tc>
        <w:tc>
          <w:tcPr>
            <w:tcW w:w="669" w:type="dxa"/>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top"/>
          </w:tcPr>
          <w:p w14:paraId="6C7663C4">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1</w:t>
            </w:r>
          </w:p>
        </w:tc>
        <w:tc>
          <w:tcPr>
            <w:tcW w:w="2980" w:type="dxa"/>
            <w:tcBorders>
              <w:top w:val="single" w:color="000000" w:sz="4" w:space="0"/>
              <w:left w:val="single" w:color="000000" w:sz="4" w:space="0"/>
              <w:bottom w:val="single" w:color="000000" w:sz="4" w:space="0"/>
              <w:right w:val="double" w:color="000000" w:sz="4" w:space="0"/>
            </w:tcBorders>
            <w:tcMar>
              <w:top w:w="0" w:type="dxa"/>
              <w:left w:w="0" w:type="dxa"/>
              <w:bottom w:w="0" w:type="dxa"/>
              <w:right w:w="0" w:type="dxa"/>
            </w:tcMar>
            <w:vAlign w:val="top"/>
          </w:tcPr>
          <w:p w14:paraId="659178B9">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硬件</w:t>
            </w:r>
          </w:p>
        </w:tc>
      </w:tr>
      <w:tr w14:paraId="2A6F12A4">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46" w:type="dxa"/>
            <w:tcBorders>
              <w:top w:val="single" w:color="000000" w:sz="4" w:space="0"/>
              <w:left w:val="double" w:color="000000" w:sz="4" w:space="0"/>
              <w:bottom w:val="single" w:color="000000" w:sz="4" w:space="0"/>
              <w:right w:val="single" w:color="000000" w:sz="4" w:space="0"/>
            </w:tcBorders>
            <w:tcMar>
              <w:top w:w="0" w:type="dxa"/>
              <w:left w:w="0" w:type="dxa"/>
              <w:bottom w:w="0" w:type="dxa"/>
              <w:right w:w="0" w:type="dxa"/>
            </w:tcMar>
            <w:vAlign w:val="top"/>
          </w:tcPr>
          <w:p w14:paraId="15340490">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2-3</w:t>
            </w:r>
          </w:p>
        </w:tc>
        <w:tc>
          <w:tcPr>
            <w:tcW w:w="3343" w:type="dxa"/>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top"/>
          </w:tcPr>
          <w:p w14:paraId="33B9E03F">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备份系统</w:t>
            </w:r>
          </w:p>
        </w:tc>
        <w:tc>
          <w:tcPr>
            <w:tcW w:w="669" w:type="dxa"/>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top"/>
          </w:tcPr>
          <w:p w14:paraId="32601A4F">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项</w:t>
            </w:r>
          </w:p>
        </w:tc>
        <w:tc>
          <w:tcPr>
            <w:tcW w:w="669" w:type="dxa"/>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top"/>
          </w:tcPr>
          <w:p w14:paraId="7463278F">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1</w:t>
            </w:r>
          </w:p>
        </w:tc>
        <w:tc>
          <w:tcPr>
            <w:tcW w:w="2980" w:type="dxa"/>
            <w:tcBorders>
              <w:top w:val="single" w:color="000000" w:sz="4" w:space="0"/>
              <w:left w:val="single" w:color="000000" w:sz="4" w:space="0"/>
              <w:bottom w:val="single" w:color="000000" w:sz="4" w:space="0"/>
              <w:right w:val="double" w:color="000000" w:sz="4" w:space="0"/>
            </w:tcBorders>
            <w:tcMar>
              <w:top w:w="0" w:type="dxa"/>
              <w:left w:w="0" w:type="dxa"/>
              <w:bottom w:w="0" w:type="dxa"/>
              <w:right w:w="0" w:type="dxa"/>
            </w:tcMar>
            <w:vAlign w:val="top"/>
          </w:tcPr>
          <w:p w14:paraId="0E16F5D8">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硬件</w:t>
            </w:r>
          </w:p>
        </w:tc>
      </w:tr>
      <w:tr w14:paraId="38663433">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46" w:type="dxa"/>
            <w:tcBorders>
              <w:top w:val="single" w:color="000000" w:sz="4" w:space="0"/>
              <w:left w:val="double" w:color="000000" w:sz="4" w:space="0"/>
              <w:bottom w:val="single" w:color="000000" w:sz="4" w:space="0"/>
              <w:right w:val="single" w:color="000000" w:sz="4" w:space="0"/>
            </w:tcBorders>
            <w:tcMar>
              <w:top w:w="0" w:type="dxa"/>
              <w:left w:w="0" w:type="dxa"/>
              <w:bottom w:w="0" w:type="dxa"/>
              <w:right w:w="0" w:type="dxa"/>
            </w:tcMar>
            <w:vAlign w:val="top"/>
          </w:tcPr>
          <w:p w14:paraId="475ED31B">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2-4</w:t>
            </w:r>
          </w:p>
        </w:tc>
        <w:tc>
          <w:tcPr>
            <w:tcW w:w="3343" w:type="dxa"/>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top"/>
          </w:tcPr>
          <w:p w14:paraId="550120FE">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基础硬件</w:t>
            </w:r>
          </w:p>
        </w:tc>
        <w:tc>
          <w:tcPr>
            <w:tcW w:w="669" w:type="dxa"/>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top"/>
          </w:tcPr>
          <w:p w14:paraId="4FCCBCC2">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项</w:t>
            </w:r>
          </w:p>
        </w:tc>
        <w:tc>
          <w:tcPr>
            <w:tcW w:w="669" w:type="dxa"/>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top"/>
          </w:tcPr>
          <w:p w14:paraId="10194F52">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1</w:t>
            </w:r>
          </w:p>
        </w:tc>
        <w:tc>
          <w:tcPr>
            <w:tcW w:w="2980" w:type="dxa"/>
            <w:tcBorders>
              <w:top w:val="single" w:color="000000" w:sz="4" w:space="0"/>
              <w:left w:val="single" w:color="000000" w:sz="4" w:space="0"/>
              <w:bottom w:val="single" w:color="000000" w:sz="4" w:space="0"/>
              <w:right w:val="double" w:color="000000" w:sz="4" w:space="0"/>
            </w:tcBorders>
            <w:tcMar>
              <w:top w:w="0" w:type="dxa"/>
              <w:left w:w="0" w:type="dxa"/>
              <w:bottom w:w="0" w:type="dxa"/>
              <w:right w:w="0" w:type="dxa"/>
            </w:tcMar>
            <w:vAlign w:val="top"/>
          </w:tcPr>
          <w:p w14:paraId="49C3C460">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硬件</w:t>
            </w:r>
          </w:p>
        </w:tc>
      </w:tr>
      <w:tr w14:paraId="1C780BB6">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46" w:type="dxa"/>
            <w:tcBorders>
              <w:top w:val="single" w:color="000000" w:sz="4" w:space="0"/>
              <w:left w:val="double" w:color="000000" w:sz="4" w:space="0"/>
              <w:bottom w:val="single" w:color="000000" w:sz="4" w:space="0"/>
              <w:right w:val="single" w:color="000000" w:sz="4" w:space="0"/>
            </w:tcBorders>
            <w:tcMar>
              <w:top w:w="0" w:type="dxa"/>
              <w:left w:w="0" w:type="dxa"/>
              <w:bottom w:w="0" w:type="dxa"/>
              <w:right w:w="0" w:type="dxa"/>
            </w:tcMar>
            <w:vAlign w:val="top"/>
          </w:tcPr>
          <w:p w14:paraId="08191DC5">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2-5</w:t>
            </w:r>
          </w:p>
        </w:tc>
        <w:tc>
          <w:tcPr>
            <w:tcW w:w="3343" w:type="dxa"/>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top"/>
          </w:tcPr>
          <w:p w14:paraId="01545546">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院内导航系统</w:t>
            </w:r>
          </w:p>
        </w:tc>
        <w:tc>
          <w:tcPr>
            <w:tcW w:w="669" w:type="dxa"/>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top"/>
          </w:tcPr>
          <w:p w14:paraId="6864603E">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项</w:t>
            </w:r>
          </w:p>
        </w:tc>
        <w:tc>
          <w:tcPr>
            <w:tcW w:w="669" w:type="dxa"/>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top"/>
          </w:tcPr>
          <w:p w14:paraId="7F3DD077">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1</w:t>
            </w:r>
          </w:p>
        </w:tc>
        <w:tc>
          <w:tcPr>
            <w:tcW w:w="2980" w:type="dxa"/>
            <w:tcBorders>
              <w:top w:val="single" w:color="000000" w:sz="4" w:space="0"/>
              <w:left w:val="single" w:color="000000" w:sz="4" w:space="0"/>
              <w:bottom w:val="single" w:color="000000" w:sz="4" w:space="0"/>
              <w:right w:val="double" w:color="000000" w:sz="4" w:space="0"/>
            </w:tcBorders>
            <w:tcMar>
              <w:top w:w="0" w:type="dxa"/>
              <w:left w:w="0" w:type="dxa"/>
              <w:bottom w:w="0" w:type="dxa"/>
              <w:right w:w="0" w:type="dxa"/>
            </w:tcMar>
            <w:vAlign w:val="top"/>
          </w:tcPr>
          <w:p w14:paraId="7567767D">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color w:val="7030A0"/>
                <w:sz w:val="24"/>
                <w:szCs w:val="24"/>
              </w:rPr>
              <w:t>软件</w:t>
            </w:r>
          </w:p>
        </w:tc>
      </w:tr>
      <w:tr w14:paraId="5E124CF5">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46" w:type="dxa"/>
            <w:tcBorders>
              <w:top w:val="single" w:color="000000" w:sz="4" w:space="0"/>
              <w:left w:val="double" w:color="000000" w:sz="4" w:space="0"/>
              <w:bottom w:val="single" w:color="000000" w:sz="4" w:space="0"/>
              <w:right w:val="single" w:color="000000" w:sz="4" w:space="0"/>
            </w:tcBorders>
            <w:tcMar>
              <w:top w:w="0" w:type="dxa"/>
              <w:left w:w="0" w:type="dxa"/>
              <w:bottom w:w="0" w:type="dxa"/>
              <w:right w:w="0" w:type="dxa"/>
            </w:tcMar>
            <w:vAlign w:val="top"/>
          </w:tcPr>
          <w:p w14:paraId="23D1DEC8">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2-6</w:t>
            </w:r>
          </w:p>
        </w:tc>
        <w:tc>
          <w:tcPr>
            <w:tcW w:w="3343" w:type="dxa"/>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top"/>
          </w:tcPr>
          <w:p w14:paraId="0D5BA2F7">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患者定位管理系统</w:t>
            </w:r>
          </w:p>
        </w:tc>
        <w:tc>
          <w:tcPr>
            <w:tcW w:w="669" w:type="dxa"/>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top"/>
          </w:tcPr>
          <w:p w14:paraId="14217E2B">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项</w:t>
            </w:r>
          </w:p>
        </w:tc>
        <w:tc>
          <w:tcPr>
            <w:tcW w:w="669" w:type="dxa"/>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top"/>
          </w:tcPr>
          <w:p w14:paraId="30E0AA7A">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1</w:t>
            </w:r>
          </w:p>
        </w:tc>
        <w:tc>
          <w:tcPr>
            <w:tcW w:w="2980" w:type="dxa"/>
            <w:tcBorders>
              <w:top w:val="single" w:color="000000" w:sz="4" w:space="0"/>
              <w:left w:val="single" w:color="000000" w:sz="4" w:space="0"/>
              <w:bottom w:val="single" w:color="000000" w:sz="4" w:space="0"/>
              <w:right w:val="double" w:color="000000" w:sz="4" w:space="0"/>
            </w:tcBorders>
            <w:tcMar>
              <w:top w:w="0" w:type="dxa"/>
              <w:left w:w="0" w:type="dxa"/>
              <w:bottom w:w="0" w:type="dxa"/>
              <w:right w:w="0" w:type="dxa"/>
            </w:tcMar>
            <w:vAlign w:val="top"/>
          </w:tcPr>
          <w:p w14:paraId="0D242EC3">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color w:val="7030A0"/>
                <w:sz w:val="24"/>
                <w:szCs w:val="24"/>
              </w:rPr>
              <w:t>软件</w:t>
            </w:r>
          </w:p>
        </w:tc>
      </w:tr>
      <w:tr w14:paraId="2FD12571">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46" w:type="dxa"/>
            <w:tcBorders>
              <w:top w:val="single" w:color="000000" w:sz="4" w:space="0"/>
              <w:left w:val="double" w:color="000000" w:sz="4" w:space="0"/>
              <w:bottom w:val="single" w:color="000000" w:sz="4" w:space="0"/>
              <w:right w:val="single" w:color="000000" w:sz="4" w:space="0"/>
            </w:tcBorders>
            <w:tcMar>
              <w:top w:w="0" w:type="dxa"/>
              <w:left w:w="0" w:type="dxa"/>
              <w:bottom w:w="0" w:type="dxa"/>
              <w:right w:w="0" w:type="dxa"/>
            </w:tcMar>
            <w:vAlign w:val="top"/>
          </w:tcPr>
          <w:p w14:paraId="65E4C351">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b/>
                <w:sz w:val="24"/>
                <w:szCs w:val="24"/>
              </w:rPr>
              <w:t>三</w:t>
            </w:r>
          </w:p>
        </w:tc>
        <w:tc>
          <w:tcPr>
            <w:tcW w:w="3343" w:type="dxa"/>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top"/>
          </w:tcPr>
          <w:p w14:paraId="1DED94DD">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b/>
                <w:sz w:val="24"/>
                <w:szCs w:val="24"/>
              </w:rPr>
              <w:t>患者视频行为分析</w:t>
            </w:r>
          </w:p>
        </w:tc>
        <w:tc>
          <w:tcPr>
            <w:tcW w:w="669" w:type="dxa"/>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top"/>
          </w:tcPr>
          <w:p w14:paraId="636688EE">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p>
        </w:tc>
        <w:tc>
          <w:tcPr>
            <w:tcW w:w="669" w:type="dxa"/>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top"/>
          </w:tcPr>
          <w:p w14:paraId="0913D62A">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hAnsi="宋体" w:eastAsia="宋体" w:cs="宋体"/>
                <w:sz w:val="24"/>
                <w:szCs w:val="24"/>
              </w:rPr>
            </w:pPr>
          </w:p>
        </w:tc>
        <w:tc>
          <w:tcPr>
            <w:tcW w:w="2980" w:type="dxa"/>
            <w:tcBorders>
              <w:top w:val="single" w:color="000000" w:sz="4" w:space="0"/>
              <w:left w:val="single" w:color="000000" w:sz="4" w:space="0"/>
              <w:bottom w:val="single" w:color="000000" w:sz="4" w:space="0"/>
              <w:right w:val="double" w:color="000000" w:sz="4" w:space="0"/>
            </w:tcBorders>
            <w:tcMar>
              <w:top w:w="0" w:type="dxa"/>
              <w:left w:w="0" w:type="dxa"/>
              <w:bottom w:w="0" w:type="dxa"/>
              <w:right w:w="0" w:type="dxa"/>
            </w:tcMar>
            <w:vAlign w:val="top"/>
          </w:tcPr>
          <w:p w14:paraId="4D80AC7C">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hAnsi="宋体" w:eastAsia="宋体" w:cs="宋体"/>
                <w:sz w:val="24"/>
                <w:szCs w:val="24"/>
              </w:rPr>
            </w:pPr>
          </w:p>
        </w:tc>
      </w:tr>
      <w:tr w14:paraId="4F15C9F8">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46" w:type="dxa"/>
            <w:tcBorders>
              <w:top w:val="single" w:color="000000" w:sz="4" w:space="0"/>
              <w:left w:val="double" w:color="000000" w:sz="4" w:space="0"/>
              <w:bottom w:val="single" w:color="000000" w:sz="4" w:space="0"/>
              <w:right w:val="single" w:color="000000" w:sz="4" w:space="0"/>
            </w:tcBorders>
            <w:tcMar>
              <w:top w:w="0" w:type="dxa"/>
              <w:left w:w="0" w:type="dxa"/>
              <w:bottom w:w="0" w:type="dxa"/>
              <w:right w:w="0" w:type="dxa"/>
            </w:tcMar>
            <w:vAlign w:val="top"/>
          </w:tcPr>
          <w:p w14:paraId="5BA1A196">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3-1</w:t>
            </w:r>
          </w:p>
        </w:tc>
        <w:tc>
          <w:tcPr>
            <w:tcW w:w="3343" w:type="dxa"/>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top"/>
          </w:tcPr>
          <w:p w14:paraId="04E1DC39">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AI智能监控系统</w:t>
            </w:r>
          </w:p>
        </w:tc>
        <w:tc>
          <w:tcPr>
            <w:tcW w:w="669" w:type="dxa"/>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top"/>
          </w:tcPr>
          <w:p w14:paraId="2B2B038E">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项</w:t>
            </w:r>
          </w:p>
        </w:tc>
        <w:tc>
          <w:tcPr>
            <w:tcW w:w="669" w:type="dxa"/>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top"/>
          </w:tcPr>
          <w:p w14:paraId="2921CE13">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1</w:t>
            </w:r>
          </w:p>
        </w:tc>
        <w:tc>
          <w:tcPr>
            <w:tcW w:w="2980" w:type="dxa"/>
            <w:tcBorders>
              <w:top w:val="single" w:color="000000" w:sz="4" w:space="0"/>
              <w:left w:val="single" w:color="000000" w:sz="4" w:space="0"/>
              <w:bottom w:val="single" w:color="000000" w:sz="4" w:space="0"/>
              <w:right w:val="double" w:color="000000" w:sz="4" w:space="0"/>
            </w:tcBorders>
            <w:tcMar>
              <w:top w:w="0" w:type="dxa"/>
              <w:left w:w="0" w:type="dxa"/>
              <w:bottom w:w="0" w:type="dxa"/>
              <w:right w:w="0" w:type="dxa"/>
            </w:tcMar>
            <w:vAlign w:val="top"/>
          </w:tcPr>
          <w:p w14:paraId="130DE50E">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硬件</w:t>
            </w:r>
          </w:p>
        </w:tc>
      </w:tr>
      <w:tr w14:paraId="3272BDBB">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46" w:type="dxa"/>
            <w:tcBorders>
              <w:top w:val="single" w:color="000000" w:sz="4" w:space="0"/>
              <w:left w:val="double" w:color="000000" w:sz="4" w:space="0"/>
              <w:bottom w:val="single" w:color="000000" w:sz="4" w:space="0"/>
              <w:right w:val="single" w:color="000000" w:sz="4" w:space="0"/>
            </w:tcBorders>
            <w:tcMar>
              <w:top w:w="0" w:type="dxa"/>
              <w:left w:w="0" w:type="dxa"/>
              <w:bottom w:w="0" w:type="dxa"/>
              <w:right w:w="0" w:type="dxa"/>
            </w:tcMar>
            <w:vAlign w:val="top"/>
          </w:tcPr>
          <w:p w14:paraId="6F68E1AA">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3-2</w:t>
            </w:r>
          </w:p>
        </w:tc>
        <w:tc>
          <w:tcPr>
            <w:tcW w:w="3343" w:type="dxa"/>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top"/>
          </w:tcPr>
          <w:p w14:paraId="7BF31E22">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视频监控系统升级改造（闽清院区）</w:t>
            </w:r>
          </w:p>
        </w:tc>
        <w:tc>
          <w:tcPr>
            <w:tcW w:w="669" w:type="dxa"/>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top"/>
          </w:tcPr>
          <w:p w14:paraId="6AB1B18F">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项</w:t>
            </w:r>
          </w:p>
        </w:tc>
        <w:tc>
          <w:tcPr>
            <w:tcW w:w="669" w:type="dxa"/>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top"/>
          </w:tcPr>
          <w:p w14:paraId="0D02E116">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1</w:t>
            </w:r>
          </w:p>
        </w:tc>
        <w:tc>
          <w:tcPr>
            <w:tcW w:w="2980" w:type="dxa"/>
            <w:tcBorders>
              <w:top w:val="single" w:color="000000" w:sz="4" w:space="0"/>
              <w:left w:val="single" w:color="000000" w:sz="4" w:space="0"/>
              <w:bottom w:val="single" w:color="000000" w:sz="4" w:space="0"/>
              <w:right w:val="double" w:color="000000" w:sz="4" w:space="0"/>
            </w:tcBorders>
            <w:tcMar>
              <w:top w:w="0" w:type="dxa"/>
              <w:left w:w="0" w:type="dxa"/>
              <w:bottom w:w="0" w:type="dxa"/>
              <w:right w:w="0" w:type="dxa"/>
            </w:tcMar>
            <w:vAlign w:val="top"/>
          </w:tcPr>
          <w:p w14:paraId="50428677">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硬件</w:t>
            </w:r>
          </w:p>
        </w:tc>
      </w:tr>
      <w:tr w14:paraId="02485403">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46" w:type="dxa"/>
            <w:tcBorders>
              <w:top w:val="single" w:color="000000" w:sz="4" w:space="0"/>
              <w:left w:val="double" w:color="000000" w:sz="4" w:space="0"/>
              <w:bottom w:val="single" w:color="000000" w:sz="4" w:space="0"/>
              <w:right w:val="single" w:color="000000" w:sz="4" w:space="0"/>
            </w:tcBorders>
            <w:tcMar>
              <w:top w:w="0" w:type="dxa"/>
              <w:left w:w="0" w:type="dxa"/>
              <w:bottom w:w="0" w:type="dxa"/>
              <w:right w:w="0" w:type="dxa"/>
            </w:tcMar>
            <w:vAlign w:val="top"/>
          </w:tcPr>
          <w:p w14:paraId="5FF0828B">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b/>
                <w:sz w:val="24"/>
                <w:szCs w:val="24"/>
              </w:rPr>
              <w:t>四</w:t>
            </w:r>
          </w:p>
        </w:tc>
        <w:tc>
          <w:tcPr>
            <w:tcW w:w="3343" w:type="dxa"/>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top"/>
          </w:tcPr>
          <w:p w14:paraId="31A3FB88">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b/>
                <w:sz w:val="24"/>
                <w:szCs w:val="24"/>
              </w:rPr>
              <w:t>网络安全设备</w:t>
            </w:r>
          </w:p>
        </w:tc>
        <w:tc>
          <w:tcPr>
            <w:tcW w:w="669" w:type="dxa"/>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top"/>
          </w:tcPr>
          <w:p w14:paraId="39A9E426">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p>
        </w:tc>
        <w:tc>
          <w:tcPr>
            <w:tcW w:w="669" w:type="dxa"/>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top"/>
          </w:tcPr>
          <w:p w14:paraId="67514E31">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hAnsi="宋体" w:eastAsia="宋体" w:cs="宋体"/>
                <w:sz w:val="24"/>
                <w:szCs w:val="24"/>
              </w:rPr>
            </w:pPr>
          </w:p>
        </w:tc>
        <w:tc>
          <w:tcPr>
            <w:tcW w:w="2980" w:type="dxa"/>
            <w:tcBorders>
              <w:top w:val="single" w:color="000000" w:sz="4" w:space="0"/>
              <w:left w:val="single" w:color="000000" w:sz="4" w:space="0"/>
              <w:bottom w:val="single" w:color="000000" w:sz="4" w:space="0"/>
              <w:right w:val="double" w:color="000000" w:sz="4" w:space="0"/>
            </w:tcBorders>
            <w:tcMar>
              <w:top w:w="0" w:type="dxa"/>
              <w:left w:w="0" w:type="dxa"/>
              <w:bottom w:w="0" w:type="dxa"/>
              <w:right w:w="0" w:type="dxa"/>
            </w:tcMar>
            <w:vAlign w:val="top"/>
          </w:tcPr>
          <w:p w14:paraId="4F4049A9">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hAnsi="宋体" w:eastAsia="宋体" w:cs="宋体"/>
                <w:sz w:val="24"/>
                <w:szCs w:val="24"/>
              </w:rPr>
            </w:pPr>
          </w:p>
        </w:tc>
      </w:tr>
      <w:tr w14:paraId="17A081BA">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46" w:type="dxa"/>
            <w:tcBorders>
              <w:top w:val="single" w:color="000000" w:sz="4" w:space="0"/>
              <w:left w:val="double" w:color="000000" w:sz="4" w:space="0"/>
              <w:bottom w:val="single" w:color="000000" w:sz="4" w:space="0"/>
              <w:right w:val="single" w:color="000000" w:sz="4" w:space="0"/>
            </w:tcBorders>
            <w:tcMar>
              <w:top w:w="0" w:type="dxa"/>
              <w:left w:w="0" w:type="dxa"/>
              <w:bottom w:w="0" w:type="dxa"/>
              <w:right w:w="0" w:type="dxa"/>
            </w:tcMar>
            <w:vAlign w:val="top"/>
          </w:tcPr>
          <w:p w14:paraId="451F6D22">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4-1</w:t>
            </w:r>
          </w:p>
        </w:tc>
        <w:tc>
          <w:tcPr>
            <w:tcW w:w="3343" w:type="dxa"/>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top"/>
          </w:tcPr>
          <w:p w14:paraId="093BB91B">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网络安全</w:t>
            </w:r>
          </w:p>
        </w:tc>
        <w:tc>
          <w:tcPr>
            <w:tcW w:w="669" w:type="dxa"/>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top"/>
          </w:tcPr>
          <w:p w14:paraId="29F50975">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项</w:t>
            </w:r>
          </w:p>
        </w:tc>
        <w:tc>
          <w:tcPr>
            <w:tcW w:w="669" w:type="dxa"/>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top"/>
          </w:tcPr>
          <w:p w14:paraId="5809F700">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1</w:t>
            </w:r>
          </w:p>
        </w:tc>
        <w:tc>
          <w:tcPr>
            <w:tcW w:w="2980" w:type="dxa"/>
            <w:tcBorders>
              <w:top w:val="single" w:color="000000" w:sz="4" w:space="0"/>
              <w:left w:val="single" w:color="000000" w:sz="4" w:space="0"/>
              <w:bottom w:val="single" w:color="000000" w:sz="4" w:space="0"/>
              <w:right w:val="double" w:color="000000" w:sz="4" w:space="0"/>
            </w:tcBorders>
            <w:tcMar>
              <w:top w:w="0" w:type="dxa"/>
              <w:left w:w="0" w:type="dxa"/>
              <w:bottom w:w="0" w:type="dxa"/>
              <w:right w:w="0" w:type="dxa"/>
            </w:tcMar>
            <w:vAlign w:val="top"/>
          </w:tcPr>
          <w:p w14:paraId="10A64309">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硬件</w:t>
            </w:r>
          </w:p>
        </w:tc>
      </w:tr>
      <w:tr w14:paraId="32492F39">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46" w:type="dxa"/>
            <w:tcBorders>
              <w:top w:val="single" w:color="000000" w:sz="4" w:space="0"/>
              <w:left w:val="double" w:color="000000" w:sz="4" w:space="0"/>
              <w:bottom w:val="double" w:color="000000" w:sz="4" w:space="0"/>
              <w:right w:val="single" w:color="000000" w:sz="4" w:space="0"/>
            </w:tcBorders>
            <w:tcMar>
              <w:top w:w="0" w:type="dxa"/>
              <w:left w:w="0" w:type="dxa"/>
              <w:bottom w:w="0" w:type="dxa"/>
              <w:right w:w="0" w:type="dxa"/>
            </w:tcMar>
            <w:vAlign w:val="top"/>
          </w:tcPr>
          <w:p w14:paraId="409BCB09">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4-2</w:t>
            </w:r>
          </w:p>
        </w:tc>
        <w:tc>
          <w:tcPr>
            <w:tcW w:w="3343" w:type="dxa"/>
            <w:tcBorders>
              <w:top w:val="single" w:color="000000" w:sz="4" w:space="0"/>
              <w:left w:val="single" w:color="000000" w:sz="4" w:space="0"/>
              <w:bottom w:val="double" w:color="000000" w:sz="4" w:space="0"/>
              <w:right w:val="single" w:color="000000" w:sz="4" w:space="0"/>
            </w:tcBorders>
            <w:tcMar>
              <w:top w:w="0" w:type="dxa"/>
              <w:left w:w="0" w:type="dxa"/>
              <w:bottom w:w="0" w:type="dxa"/>
              <w:right w:w="0" w:type="dxa"/>
            </w:tcMar>
            <w:vAlign w:val="top"/>
          </w:tcPr>
          <w:p w14:paraId="6A3907E9">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密码安全</w:t>
            </w:r>
          </w:p>
        </w:tc>
        <w:tc>
          <w:tcPr>
            <w:tcW w:w="669" w:type="dxa"/>
            <w:tcBorders>
              <w:top w:val="single" w:color="000000" w:sz="4" w:space="0"/>
              <w:left w:val="single" w:color="000000" w:sz="4" w:space="0"/>
              <w:bottom w:val="double" w:color="000000" w:sz="4" w:space="0"/>
              <w:right w:val="single" w:color="000000" w:sz="4" w:space="0"/>
            </w:tcBorders>
            <w:tcMar>
              <w:top w:w="0" w:type="dxa"/>
              <w:left w:w="0" w:type="dxa"/>
              <w:bottom w:w="0" w:type="dxa"/>
              <w:right w:w="0" w:type="dxa"/>
            </w:tcMar>
            <w:vAlign w:val="top"/>
          </w:tcPr>
          <w:p w14:paraId="0DCBF143">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项</w:t>
            </w:r>
          </w:p>
        </w:tc>
        <w:tc>
          <w:tcPr>
            <w:tcW w:w="669" w:type="dxa"/>
            <w:tcBorders>
              <w:top w:val="single" w:color="000000" w:sz="4" w:space="0"/>
              <w:left w:val="single" w:color="000000" w:sz="4" w:space="0"/>
              <w:bottom w:val="double" w:color="000000" w:sz="4" w:space="0"/>
              <w:right w:val="single" w:color="000000" w:sz="4" w:space="0"/>
            </w:tcBorders>
            <w:tcMar>
              <w:top w:w="0" w:type="dxa"/>
              <w:left w:w="0" w:type="dxa"/>
              <w:bottom w:w="0" w:type="dxa"/>
              <w:right w:w="0" w:type="dxa"/>
            </w:tcMar>
            <w:vAlign w:val="top"/>
          </w:tcPr>
          <w:p w14:paraId="5C2AE1A2">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1</w:t>
            </w:r>
          </w:p>
        </w:tc>
        <w:tc>
          <w:tcPr>
            <w:tcW w:w="2980" w:type="dxa"/>
            <w:tcBorders>
              <w:top w:val="single" w:color="000000" w:sz="4" w:space="0"/>
              <w:left w:val="single" w:color="000000" w:sz="4" w:space="0"/>
              <w:bottom w:val="double" w:color="000000" w:sz="4" w:space="0"/>
              <w:right w:val="double" w:color="000000" w:sz="4" w:space="0"/>
            </w:tcBorders>
            <w:tcMar>
              <w:top w:w="0" w:type="dxa"/>
              <w:left w:w="0" w:type="dxa"/>
              <w:bottom w:w="0" w:type="dxa"/>
              <w:right w:w="0" w:type="dxa"/>
            </w:tcMar>
            <w:vAlign w:val="top"/>
          </w:tcPr>
          <w:p w14:paraId="2D75FDE8">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硬件</w:t>
            </w:r>
          </w:p>
        </w:tc>
      </w:tr>
    </w:tbl>
    <w:p w14:paraId="108C01B0">
      <w:pPr>
        <w:pStyle w:val="6"/>
        <w:keepNext w:val="0"/>
        <w:keepLines w:val="0"/>
        <w:pageBreakBefore w:val="0"/>
        <w:kinsoku/>
        <w:wordWrap/>
        <w:overflowPunct/>
        <w:topLinePunct w:val="0"/>
        <w:autoSpaceDE/>
        <w:autoSpaceDN/>
        <w:bidi w:val="0"/>
        <w:adjustRightInd/>
        <w:snapToGrid/>
        <w:spacing w:line="500" w:lineRule="exact"/>
        <w:ind w:left="570"/>
        <w:jc w:val="both"/>
        <w:textAlignment w:val="auto"/>
        <w:rPr>
          <w:rFonts w:hint="eastAsia" w:ascii="宋体" w:hAnsi="宋体" w:eastAsia="宋体" w:cs="宋体"/>
          <w:sz w:val="24"/>
          <w:szCs w:val="24"/>
        </w:rPr>
      </w:pPr>
      <w:r>
        <w:rPr>
          <w:rFonts w:hint="eastAsia" w:ascii="宋体" w:hAnsi="宋体" w:eastAsia="宋体" w:cs="宋体"/>
          <w:b/>
          <w:color w:val="000000"/>
          <w:sz w:val="24"/>
          <w:szCs w:val="24"/>
        </w:rPr>
        <w:t>1.3.1.1软件部分明细要求</w:t>
      </w:r>
    </w:p>
    <w:tbl>
      <w:tblPr>
        <w:tblStyle w:val="4"/>
        <w:tblW w:w="0" w:type="auto"/>
        <w:tblInd w:w="90" w:type="dxa"/>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autofit"/>
        <w:tblCellMar>
          <w:top w:w="0" w:type="dxa"/>
          <w:left w:w="108" w:type="dxa"/>
          <w:bottom w:w="0" w:type="dxa"/>
          <w:right w:w="108" w:type="dxa"/>
        </w:tblCellMar>
      </w:tblPr>
      <w:tblGrid>
        <w:gridCol w:w="994"/>
        <w:gridCol w:w="3618"/>
        <w:gridCol w:w="1455"/>
        <w:gridCol w:w="2359"/>
      </w:tblGrid>
      <w:tr w14:paraId="000EABD0">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994" w:type="dxa"/>
            <w:tcBorders>
              <w:top w:val="single" w:color="000000" w:sz="4" w:space="0"/>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5386107D">
            <w:pPr>
              <w:pStyle w:val="6"/>
              <w:keepNext w:val="0"/>
              <w:keepLines w:val="0"/>
              <w:pageBreakBefore w:val="0"/>
              <w:widowControl/>
              <w:kinsoku/>
              <w:wordWrap/>
              <w:overflowPunct/>
              <w:topLinePunct w:val="0"/>
              <w:autoSpaceDE/>
              <w:autoSpaceDN/>
              <w:bidi w:val="0"/>
              <w:adjustRightInd/>
              <w:snapToGrid/>
              <w:spacing w:line="500" w:lineRule="exact"/>
              <w:ind w:firstLine="0"/>
              <w:jc w:val="center"/>
              <w:textAlignment w:val="auto"/>
              <w:rPr>
                <w:rFonts w:hint="eastAsia" w:ascii="宋体" w:hAnsi="宋体" w:eastAsia="宋体" w:cs="宋体"/>
                <w:sz w:val="24"/>
                <w:szCs w:val="24"/>
              </w:rPr>
            </w:pPr>
            <w:r>
              <w:rPr>
                <w:rFonts w:hint="eastAsia" w:ascii="宋体" w:hAnsi="宋体" w:eastAsia="宋体" w:cs="宋体"/>
                <w:b/>
                <w:color w:val="000000"/>
                <w:sz w:val="24"/>
                <w:szCs w:val="24"/>
              </w:rPr>
              <w:t>序号</w:t>
            </w:r>
          </w:p>
        </w:tc>
        <w:tc>
          <w:tcPr>
            <w:tcW w:w="3618" w:type="dxa"/>
            <w:tcBorders>
              <w:top w:val="single" w:color="000000" w:sz="4" w:space="0"/>
              <w:left w:val="nil"/>
              <w:bottom w:val="single" w:color="000000" w:sz="4" w:space="0"/>
              <w:right w:val="single" w:color="000000" w:sz="4" w:space="0"/>
            </w:tcBorders>
            <w:shd w:val="clear" w:color="auto" w:fill="FFFFFF"/>
            <w:tcMar>
              <w:top w:w="0" w:type="dxa"/>
              <w:left w:w="105" w:type="dxa"/>
              <w:bottom w:w="0" w:type="dxa"/>
              <w:right w:w="105" w:type="dxa"/>
            </w:tcMar>
            <w:vAlign w:val="top"/>
          </w:tcPr>
          <w:p w14:paraId="7D9140A1">
            <w:pPr>
              <w:pStyle w:val="6"/>
              <w:keepNext w:val="0"/>
              <w:keepLines w:val="0"/>
              <w:pageBreakBefore w:val="0"/>
              <w:widowControl/>
              <w:kinsoku/>
              <w:wordWrap/>
              <w:overflowPunct/>
              <w:topLinePunct w:val="0"/>
              <w:autoSpaceDE/>
              <w:autoSpaceDN/>
              <w:bidi w:val="0"/>
              <w:adjustRightInd/>
              <w:snapToGrid/>
              <w:spacing w:line="500" w:lineRule="exact"/>
              <w:ind w:firstLine="0"/>
              <w:jc w:val="center"/>
              <w:textAlignment w:val="auto"/>
              <w:rPr>
                <w:rFonts w:hint="eastAsia" w:ascii="宋体" w:hAnsi="宋体" w:eastAsia="宋体" w:cs="宋体"/>
                <w:sz w:val="24"/>
                <w:szCs w:val="24"/>
              </w:rPr>
            </w:pPr>
            <w:r>
              <w:rPr>
                <w:rFonts w:hint="eastAsia" w:ascii="宋体" w:hAnsi="宋体" w:eastAsia="宋体" w:cs="宋体"/>
                <w:b/>
                <w:color w:val="000000"/>
                <w:sz w:val="24"/>
                <w:szCs w:val="24"/>
              </w:rPr>
              <w:t>分项项目（软件）</w:t>
            </w:r>
          </w:p>
        </w:tc>
        <w:tc>
          <w:tcPr>
            <w:tcW w:w="1455" w:type="dxa"/>
            <w:tcBorders>
              <w:top w:val="single" w:color="000000" w:sz="4" w:space="0"/>
              <w:left w:val="nil"/>
              <w:bottom w:val="single" w:color="000000" w:sz="4" w:space="0"/>
              <w:right w:val="single" w:color="000000" w:sz="4" w:space="0"/>
            </w:tcBorders>
            <w:shd w:val="clear" w:color="auto" w:fill="FFFFFF"/>
            <w:tcMar>
              <w:top w:w="0" w:type="dxa"/>
              <w:left w:w="105" w:type="dxa"/>
              <w:bottom w:w="0" w:type="dxa"/>
              <w:right w:w="105" w:type="dxa"/>
            </w:tcMar>
            <w:vAlign w:val="top"/>
          </w:tcPr>
          <w:p w14:paraId="17110855">
            <w:pPr>
              <w:pStyle w:val="6"/>
              <w:keepNext w:val="0"/>
              <w:keepLines w:val="0"/>
              <w:pageBreakBefore w:val="0"/>
              <w:widowControl/>
              <w:kinsoku/>
              <w:wordWrap/>
              <w:overflowPunct/>
              <w:topLinePunct w:val="0"/>
              <w:autoSpaceDE/>
              <w:autoSpaceDN/>
              <w:bidi w:val="0"/>
              <w:adjustRightInd/>
              <w:snapToGrid/>
              <w:spacing w:line="500" w:lineRule="exact"/>
              <w:ind w:firstLine="0"/>
              <w:jc w:val="center"/>
              <w:textAlignment w:val="auto"/>
              <w:rPr>
                <w:rFonts w:hint="eastAsia" w:ascii="宋体" w:hAnsi="宋体" w:eastAsia="宋体" w:cs="宋体"/>
                <w:sz w:val="24"/>
                <w:szCs w:val="24"/>
              </w:rPr>
            </w:pPr>
            <w:r>
              <w:rPr>
                <w:rFonts w:hint="eastAsia" w:ascii="宋体" w:hAnsi="宋体" w:eastAsia="宋体" w:cs="宋体"/>
                <w:b/>
                <w:color w:val="000000"/>
                <w:sz w:val="24"/>
                <w:szCs w:val="24"/>
              </w:rPr>
              <w:t>数量（单位）</w:t>
            </w:r>
          </w:p>
        </w:tc>
        <w:tc>
          <w:tcPr>
            <w:tcW w:w="2359" w:type="dxa"/>
            <w:tcBorders>
              <w:top w:val="single" w:color="000000" w:sz="4" w:space="0"/>
              <w:left w:val="nil"/>
              <w:bottom w:val="single" w:color="000000" w:sz="4" w:space="0"/>
              <w:right w:val="single" w:color="000000" w:sz="4" w:space="0"/>
            </w:tcBorders>
            <w:shd w:val="clear" w:color="auto" w:fill="FFFFFF"/>
            <w:tcMar>
              <w:top w:w="0" w:type="dxa"/>
              <w:left w:w="105" w:type="dxa"/>
              <w:bottom w:w="0" w:type="dxa"/>
              <w:right w:w="105" w:type="dxa"/>
            </w:tcMar>
            <w:vAlign w:val="top"/>
          </w:tcPr>
          <w:p w14:paraId="5ACF82E5">
            <w:pPr>
              <w:pStyle w:val="6"/>
              <w:keepNext w:val="0"/>
              <w:keepLines w:val="0"/>
              <w:pageBreakBefore w:val="0"/>
              <w:widowControl/>
              <w:kinsoku/>
              <w:wordWrap/>
              <w:overflowPunct/>
              <w:topLinePunct w:val="0"/>
              <w:autoSpaceDE/>
              <w:autoSpaceDN/>
              <w:bidi w:val="0"/>
              <w:adjustRightInd/>
              <w:snapToGrid/>
              <w:spacing w:line="500" w:lineRule="exact"/>
              <w:ind w:firstLine="0"/>
              <w:jc w:val="center"/>
              <w:textAlignment w:val="auto"/>
              <w:rPr>
                <w:rFonts w:hint="eastAsia" w:ascii="宋体" w:hAnsi="宋体" w:eastAsia="宋体" w:cs="宋体"/>
                <w:sz w:val="24"/>
                <w:szCs w:val="24"/>
              </w:rPr>
            </w:pPr>
            <w:r>
              <w:rPr>
                <w:rFonts w:hint="eastAsia" w:ascii="宋体" w:hAnsi="宋体" w:eastAsia="宋体" w:cs="宋体"/>
                <w:b/>
                <w:color w:val="000000"/>
                <w:sz w:val="24"/>
                <w:szCs w:val="24"/>
              </w:rPr>
              <w:t>预算价（万元）</w:t>
            </w:r>
          </w:p>
        </w:tc>
      </w:tr>
      <w:tr w14:paraId="04B86D78">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99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25029229">
            <w:pPr>
              <w:pStyle w:val="6"/>
              <w:keepNext w:val="0"/>
              <w:keepLines w:val="0"/>
              <w:pageBreakBefore w:val="0"/>
              <w:widowControl/>
              <w:kinsoku/>
              <w:wordWrap/>
              <w:overflowPunct/>
              <w:topLinePunct w:val="0"/>
              <w:autoSpaceDE/>
              <w:autoSpaceDN/>
              <w:bidi w:val="0"/>
              <w:adjustRightInd/>
              <w:snapToGrid/>
              <w:spacing w:line="500" w:lineRule="exact"/>
              <w:ind w:firstLine="0"/>
              <w:jc w:val="center"/>
              <w:textAlignment w:val="auto"/>
              <w:rPr>
                <w:rFonts w:hint="eastAsia" w:ascii="宋体" w:hAnsi="宋体" w:eastAsia="宋体" w:cs="宋体"/>
                <w:sz w:val="24"/>
                <w:szCs w:val="24"/>
              </w:rPr>
            </w:pPr>
            <w:r>
              <w:rPr>
                <w:rFonts w:hint="eastAsia" w:ascii="宋体" w:hAnsi="宋体" w:eastAsia="宋体" w:cs="宋体"/>
                <w:b/>
                <w:color w:val="000000"/>
                <w:sz w:val="24"/>
                <w:szCs w:val="24"/>
              </w:rPr>
              <w:t>一</w:t>
            </w:r>
          </w:p>
        </w:tc>
        <w:tc>
          <w:tcPr>
            <w:tcW w:w="3618" w:type="dxa"/>
            <w:tcBorders>
              <w:top w:val="nil"/>
              <w:left w:val="nil"/>
              <w:bottom w:val="single" w:color="000000" w:sz="4" w:space="0"/>
              <w:right w:val="single" w:color="000000" w:sz="4" w:space="0"/>
            </w:tcBorders>
            <w:tcMar>
              <w:top w:w="0" w:type="dxa"/>
              <w:left w:w="105" w:type="dxa"/>
              <w:bottom w:w="0" w:type="dxa"/>
              <w:right w:w="105" w:type="dxa"/>
            </w:tcMar>
            <w:vAlign w:val="top"/>
          </w:tcPr>
          <w:p w14:paraId="187FA7E9">
            <w:pPr>
              <w:pStyle w:val="6"/>
              <w:keepNext w:val="0"/>
              <w:keepLines w:val="0"/>
              <w:pageBreakBefore w:val="0"/>
              <w:widowControl/>
              <w:kinsoku/>
              <w:wordWrap/>
              <w:overflowPunct/>
              <w:topLinePunct w:val="0"/>
              <w:autoSpaceDE/>
              <w:autoSpaceDN/>
              <w:bidi w:val="0"/>
              <w:adjustRightInd/>
              <w:snapToGrid/>
              <w:spacing w:line="500" w:lineRule="exact"/>
              <w:ind w:firstLine="0"/>
              <w:jc w:val="left"/>
              <w:textAlignment w:val="auto"/>
              <w:rPr>
                <w:rFonts w:hint="eastAsia" w:ascii="宋体" w:hAnsi="宋体" w:eastAsia="宋体" w:cs="宋体"/>
                <w:sz w:val="24"/>
                <w:szCs w:val="24"/>
              </w:rPr>
            </w:pPr>
            <w:r>
              <w:rPr>
                <w:rFonts w:hint="eastAsia" w:ascii="宋体" w:hAnsi="宋体" w:eastAsia="宋体" w:cs="宋体"/>
                <w:b/>
                <w:color w:val="000000"/>
                <w:sz w:val="24"/>
                <w:szCs w:val="24"/>
              </w:rPr>
              <w:t>省级精神卫生综合服务软件平台</w:t>
            </w:r>
          </w:p>
        </w:tc>
        <w:tc>
          <w:tcPr>
            <w:tcW w:w="1455" w:type="dxa"/>
            <w:tcBorders>
              <w:top w:val="nil"/>
              <w:left w:val="nil"/>
              <w:bottom w:val="single" w:color="000000" w:sz="4" w:space="0"/>
              <w:right w:val="single" w:color="000000" w:sz="4" w:space="0"/>
            </w:tcBorders>
            <w:tcMar>
              <w:top w:w="0" w:type="dxa"/>
              <w:left w:w="105" w:type="dxa"/>
              <w:bottom w:w="0" w:type="dxa"/>
              <w:right w:w="105" w:type="dxa"/>
            </w:tcMar>
            <w:vAlign w:val="top"/>
          </w:tcPr>
          <w:p w14:paraId="5E165999">
            <w:pPr>
              <w:pStyle w:val="6"/>
              <w:keepNext w:val="0"/>
              <w:keepLines w:val="0"/>
              <w:pageBreakBefore w:val="0"/>
              <w:widowControl/>
              <w:kinsoku/>
              <w:wordWrap/>
              <w:overflowPunct/>
              <w:topLinePunct w:val="0"/>
              <w:autoSpaceDE/>
              <w:autoSpaceDN/>
              <w:bidi w:val="0"/>
              <w:adjustRightInd/>
              <w:snapToGrid/>
              <w:spacing w:line="500" w:lineRule="exact"/>
              <w:ind w:firstLine="0"/>
              <w:jc w:val="center"/>
              <w:textAlignment w:val="auto"/>
              <w:rPr>
                <w:rFonts w:hint="eastAsia" w:ascii="宋体" w:hAnsi="宋体" w:eastAsia="宋体" w:cs="宋体"/>
                <w:sz w:val="24"/>
                <w:szCs w:val="24"/>
              </w:rPr>
            </w:pPr>
          </w:p>
        </w:tc>
        <w:tc>
          <w:tcPr>
            <w:tcW w:w="2359" w:type="dxa"/>
            <w:tcBorders>
              <w:top w:val="nil"/>
              <w:left w:val="nil"/>
              <w:bottom w:val="single" w:color="000000" w:sz="4" w:space="0"/>
              <w:right w:val="single" w:color="000000" w:sz="4" w:space="0"/>
            </w:tcBorders>
            <w:tcMar>
              <w:top w:w="0" w:type="dxa"/>
              <w:left w:w="105" w:type="dxa"/>
              <w:bottom w:w="0" w:type="dxa"/>
              <w:right w:w="105" w:type="dxa"/>
            </w:tcMar>
            <w:vAlign w:val="top"/>
          </w:tcPr>
          <w:p w14:paraId="79162D72">
            <w:pPr>
              <w:pStyle w:val="6"/>
              <w:keepNext w:val="0"/>
              <w:keepLines w:val="0"/>
              <w:pageBreakBefore w:val="0"/>
              <w:widowControl/>
              <w:kinsoku/>
              <w:wordWrap/>
              <w:overflowPunct/>
              <w:topLinePunct w:val="0"/>
              <w:autoSpaceDE/>
              <w:autoSpaceDN/>
              <w:bidi w:val="0"/>
              <w:adjustRightInd/>
              <w:snapToGrid/>
              <w:spacing w:line="500" w:lineRule="exact"/>
              <w:ind w:firstLine="0"/>
              <w:jc w:val="center"/>
              <w:textAlignment w:val="auto"/>
              <w:rPr>
                <w:rFonts w:hint="eastAsia" w:ascii="宋体" w:hAnsi="宋体" w:eastAsia="宋体" w:cs="宋体"/>
                <w:sz w:val="24"/>
                <w:szCs w:val="24"/>
              </w:rPr>
            </w:pPr>
            <w:r>
              <w:rPr>
                <w:rFonts w:hint="eastAsia" w:ascii="宋体" w:hAnsi="宋体" w:eastAsia="宋体" w:cs="宋体"/>
                <w:b/>
                <w:color w:val="000000"/>
                <w:sz w:val="24"/>
                <w:szCs w:val="24"/>
              </w:rPr>
              <w:t>1056.790000</w:t>
            </w:r>
          </w:p>
        </w:tc>
      </w:tr>
      <w:tr w14:paraId="35C2AAD7">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99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495024C">
            <w:pPr>
              <w:pStyle w:val="6"/>
              <w:keepNext w:val="0"/>
              <w:keepLines w:val="0"/>
              <w:pageBreakBefore w:val="0"/>
              <w:widowControl/>
              <w:kinsoku/>
              <w:wordWrap/>
              <w:overflowPunct/>
              <w:topLinePunct w:val="0"/>
              <w:autoSpaceDE/>
              <w:autoSpaceDN/>
              <w:bidi w:val="0"/>
              <w:adjustRightInd/>
              <w:snapToGrid/>
              <w:spacing w:line="500" w:lineRule="exact"/>
              <w:ind w:firstLine="0"/>
              <w:jc w:val="center"/>
              <w:textAlignment w:val="auto"/>
              <w:rPr>
                <w:rFonts w:hint="eastAsia" w:ascii="宋体" w:hAnsi="宋体" w:eastAsia="宋体" w:cs="宋体"/>
                <w:sz w:val="24"/>
                <w:szCs w:val="24"/>
              </w:rPr>
            </w:pPr>
            <w:r>
              <w:rPr>
                <w:rFonts w:hint="eastAsia" w:ascii="宋体" w:hAnsi="宋体" w:eastAsia="宋体" w:cs="宋体"/>
                <w:b/>
                <w:color w:val="000000"/>
                <w:sz w:val="24"/>
                <w:szCs w:val="24"/>
              </w:rPr>
              <w:t>1</w:t>
            </w:r>
          </w:p>
        </w:tc>
        <w:tc>
          <w:tcPr>
            <w:tcW w:w="3618" w:type="dxa"/>
            <w:tcBorders>
              <w:top w:val="nil"/>
              <w:left w:val="nil"/>
              <w:bottom w:val="single" w:color="000000" w:sz="4" w:space="0"/>
              <w:right w:val="single" w:color="000000" w:sz="4" w:space="0"/>
            </w:tcBorders>
            <w:tcMar>
              <w:top w:w="0" w:type="dxa"/>
              <w:left w:w="105" w:type="dxa"/>
              <w:bottom w:w="0" w:type="dxa"/>
              <w:right w:w="105" w:type="dxa"/>
            </w:tcMar>
            <w:vAlign w:val="top"/>
          </w:tcPr>
          <w:p w14:paraId="637C79AA">
            <w:pPr>
              <w:pStyle w:val="6"/>
              <w:keepNext w:val="0"/>
              <w:keepLines w:val="0"/>
              <w:pageBreakBefore w:val="0"/>
              <w:widowControl/>
              <w:kinsoku/>
              <w:wordWrap/>
              <w:overflowPunct/>
              <w:topLinePunct w:val="0"/>
              <w:autoSpaceDE/>
              <w:autoSpaceDN/>
              <w:bidi w:val="0"/>
              <w:adjustRightInd/>
              <w:snapToGrid/>
              <w:spacing w:line="500" w:lineRule="exact"/>
              <w:ind w:firstLine="0"/>
              <w:jc w:val="both"/>
              <w:textAlignment w:val="auto"/>
              <w:rPr>
                <w:rFonts w:hint="eastAsia" w:ascii="宋体" w:hAnsi="宋体" w:eastAsia="宋体" w:cs="宋体"/>
                <w:sz w:val="24"/>
                <w:szCs w:val="24"/>
              </w:rPr>
            </w:pPr>
            <w:r>
              <w:rPr>
                <w:rFonts w:hint="eastAsia" w:ascii="宋体" w:hAnsi="宋体" w:eastAsia="宋体" w:cs="宋体"/>
                <w:b/>
                <w:color w:val="000000"/>
                <w:sz w:val="24"/>
                <w:szCs w:val="24"/>
              </w:rPr>
              <w:t>数据中台建设</w:t>
            </w:r>
          </w:p>
        </w:tc>
        <w:tc>
          <w:tcPr>
            <w:tcW w:w="1455" w:type="dxa"/>
            <w:tcBorders>
              <w:top w:val="nil"/>
              <w:left w:val="nil"/>
              <w:bottom w:val="single" w:color="000000" w:sz="4" w:space="0"/>
              <w:right w:val="single" w:color="000000" w:sz="4" w:space="0"/>
            </w:tcBorders>
            <w:tcMar>
              <w:top w:w="0" w:type="dxa"/>
              <w:left w:w="105" w:type="dxa"/>
              <w:bottom w:w="0" w:type="dxa"/>
              <w:right w:w="105" w:type="dxa"/>
            </w:tcMar>
            <w:vAlign w:val="top"/>
          </w:tcPr>
          <w:p w14:paraId="208D6E47">
            <w:pPr>
              <w:pStyle w:val="6"/>
              <w:keepNext w:val="0"/>
              <w:keepLines w:val="0"/>
              <w:pageBreakBefore w:val="0"/>
              <w:widowControl/>
              <w:kinsoku/>
              <w:wordWrap/>
              <w:overflowPunct/>
              <w:topLinePunct w:val="0"/>
              <w:autoSpaceDE/>
              <w:autoSpaceDN/>
              <w:bidi w:val="0"/>
              <w:adjustRightInd/>
              <w:snapToGrid/>
              <w:spacing w:line="500" w:lineRule="exact"/>
              <w:ind w:firstLine="0"/>
              <w:jc w:val="center"/>
              <w:textAlignment w:val="auto"/>
              <w:rPr>
                <w:rFonts w:hint="eastAsia" w:ascii="宋体" w:hAnsi="宋体" w:eastAsia="宋体" w:cs="宋体"/>
                <w:sz w:val="24"/>
                <w:szCs w:val="24"/>
              </w:rPr>
            </w:pPr>
            <w:r>
              <w:rPr>
                <w:rFonts w:hint="eastAsia" w:ascii="宋体" w:hAnsi="宋体" w:eastAsia="宋体" w:cs="宋体"/>
                <w:b/>
                <w:color w:val="000000"/>
                <w:sz w:val="24"/>
                <w:szCs w:val="24"/>
              </w:rPr>
              <w:t>1套</w:t>
            </w:r>
          </w:p>
        </w:tc>
        <w:tc>
          <w:tcPr>
            <w:tcW w:w="2359" w:type="dxa"/>
            <w:tcBorders>
              <w:top w:val="nil"/>
              <w:left w:val="nil"/>
              <w:bottom w:val="single" w:color="000000" w:sz="4" w:space="0"/>
              <w:right w:val="single" w:color="000000" w:sz="4" w:space="0"/>
            </w:tcBorders>
            <w:tcMar>
              <w:top w:w="0" w:type="dxa"/>
              <w:left w:w="105" w:type="dxa"/>
              <w:bottom w:w="0" w:type="dxa"/>
              <w:right w:w="105" w:type="dxa"/>
            </w:tcMar>
            <w:vAlign w:val="top"/>
          </w:tcPr>
          <w:p w14:paraId="0E190434">
            <w:pPr>
              <w:pStyle w:val="6"/>
              <w:keepNext w:val="0"/>
              <w:keepLines w:val="0"/>
              <w:pageBreakBefore w:val="0"/>
              <w:widowControl/>
              <w:kinsoku/>
              <w:wordWrap/>
              <w:overflowPunct/>
              <w:topLinePunct w:val="0"/>
              <w:autoSpaceDE/>
              <w:autoSpaceDN/>
              <w:bidi w:val="0"/>
              <w:adjustRightInd/>
              <w:snapToGrid/>
              <w:spacing w:line="500" w:lineRule="exact"/>
              <w:ind w:firstLine="0"/>
              <w:jc w:val="center"/>
              <w:textAlignment w:val="auto"/>
              <w:rPr>
                <w:rFonts w:hint="eastAsia" w:ascii="宋体" w:hAnsi="宋体" w:eastAsia="宋体" w:cs="宋体"/>
                <w:sz w:val="24"/>
                <w:szCs w:val="24"/>
              </w:rPr>
            </w:pPr>
            <w:r>
              <w:rPr>
                <w:rFonts w:hint="eastAsia" w:ascii="宋体" w:hAnsi="宋体" w:eastAsia="宋体" w:cs="宋体"/>
                <w:b/>
                <w:color w:val="000000"/>
                <w:sz w:val="24"/>
                <w:szCs w:val="24"/>
              </w:rPr>
              <w:t>89.600000</w:t>
            </w:r>
          </w:p>
        </w:tc>
      </w:tr>
      <w:tr w14:paraId="3D611D44">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99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58A39CF3">
            <w:pPr>
              <w:pStyle w:val="6"/>
              <w:keepNext w:val="0"/>
              <w:keepLines w:val="0"/>
              <w:pageBreakBefore w:val="0"/>
              <w:widowControl/>
              <w:kinsoku/>
              <w:wordWrap/>
              <w:overflowPunct/>
              <w:topLinePunct w:val="0"/>
              <w:autoSpaceDE/>
              <w:autoSpaceDN/>
              <w:bidi w:val="0"/>
              <w:adjustRightInd/>
              <w:snapToGrid/>
              <w:spacing w:line="500" w:lineRule="exact"/>
              <w:ind w:firstLine="0"/>
              <w:jc w:val="center"/>
              <w:textAlignment w:val="auto"/>
              <w:rPr>
                <w:rFonts w:hint="eastAsia" w:ascii="宋体" w:hAnsi="宋体" w:eastAsia="宋体" w:cs="宋体"/>
                <w:sz w:val="24"/>
                <w:szCs w:val="24"/>
              </w:rPr>
            </w:pPr>
            <w:r>
              <w:rPr>
                <w:rFonts w:hint="eastAsia" w:ascii="宋体" w:hAnsi="宋体" w:eastAsia="宋体" w:cs="宋体"/>
                <w:b/>
                <w:color w:val="000000"/>
                <w:sz w:val="24"/>
                <w:szCs w:val="24"/>
              </w:rPr>
              <w:t>2</w:t>
            </w:r>
          </w:p>
        </w:tc>
        <w:tc>
          <w:tcPr>
            <w:tcW w:w="3618" w:type="dxa"/>
            <w:tcBorders>
              <w:top w:val="nil"/>
              <w:left w:val="nil"/>
              <w:bottom w:val="single" w:color="000000" w:sz="4" w:space="0"/>
              <w:right w:val="single" w:color="000000" w:sz="4" w:space="0"/>
            </w:tcBorders>
            <w:tcMar>
              <w:top w:w="0" w:type="dxa"/>
              <w:left w:w="105" w:type="dxa"/>
              <w:bottom w:w="0" w:type="dxa"/>
              <w:right w:w="105" w:type="dxa"/>
            </w:tcMar>
            <w:vAlign w:val="top"/>
          </w:tcPr>
          <w:p w14:paraId="29E9148E">
            <w:pPr>
              <w:pStyle w:val="6"/>
              <w:keepNext w:val="0"/>
              <w:keepLines w:val="0"/>
              <w:pageBreakBefore w:val="0"/>
              <w:widowControl/>
              <w:kinsoku/>
              <w:wordWrap/>
              <w:overflowPunct/>
              <w:topLinePunct w:val="0"/>
              <w:autoSpaceDE/>
              <w:autoSpaceDN/>
              <w:bidi w:val="0"/>
              <w:adjustRightInd/>
              <w:snapToGrid/>
              <w:spacing w:line="500" w:lineRule="exact"/>
              <w:ind w:firstLine="0"/>
              <w:jc w:val="both"/>
              <w:textAlignment w:val="auto"/>
              <w:rPr>
                <w:rFonts w:hint="eastAsia" w:ascii="宋体" w:hAnsi="宋体" w:eastAsia="宋体" w:cs="宋体"/>
                <w:sz w:val="24"/>
                <w:szCs w:val="24"/>
              </w:rPr>
            </w:pPr>
            <w:r>
              <w:rPr>
                <w:rFonts w:hint="eastAsia" w:ascii="宋体" w:hAnsi="宋体" w:eastAsia="宋体" w:cs="宋体"/>
                <w:b/>
                <w:color w:val="000000"/>
                <w:sz w:val="24"/>
                <w:szCs w:val="24"/>
              </w:rPr>
              <w:t>数据迁移</w:t>
            </w:r>
          </w:p>
        </w:tc>
        <w:tc>
          <w:tcPr>
            <w:tcW w:w="1455" w:type="dxa"/>
            <w:tcBorders>
              <w:top w:val="nil"/>
              <w:left w:val="nil"/>
              <w:bottom w:val="single" w:color="000000" w:sz="4" w:space="0"/>
              <w:right w:val="single" w:color="000000" w:sz="4" w:space="0"/>
            </w:tcBorders>
            <w:tcMar>
              <w:top w:w="0" w:type="dxa"/>
              <w:left w:w="105" w:type="dxa"/>
              <w:bottom w:w="0" w:type="dxa"/>
              <w:right w:w="105" w:type="dxa"/>
            </w:tcMar>
            <w:vAlign w:val="top"/>
          </w:tcPr>
          <w:p w14:paraId="4A0736FE">
            <w:pPr>
              <w:pStyle w:val="6"/>
              <w:keepNext w:val="0"/>
              <w:keepLines w:val="0"/>
              <w:pageBreakBefore w:val="0"/>
              <w:widowControl/>
              <w:kinsoku/>
              <w:wordWrap/>
              <w:overflowPunct/>
              <w:topLinePunct w:val="0"/>
              <w:autoSpaceDE/>
              <w:autoSpaceDN/>
              <w:bidi w:val="0"/>
              <w:adjustRightInd/>
              <w:snapToGrid/>
              <w:spacing w:line="500" w:lineRule="exact"/>
              <w:ind w:firstLine="0"/>
              <w:jc w:val="center"/>
              <w:textAlignment w:val="auto"/>
              <w:rPr>
                <w:rFonts w:hint="eastAsia" w:ascii="宋体" w:hAnsi="宋体" w:eastAsia="宋体" w:cs="宋体"/>
                <w:sz w:val="24"/>
                <w:szCs w:val="24"/>
              </w:rPr>
            </w:pPr>
            <w:r>
              <w:rPr>
                <w:rFonts w:hint="eastAsia" w:ascii="宋体" w:hAnsi="宋体" w:eastAsia="宋体" w:cs="宋体"/>
                <w:b/>
                <w:color w:val="000000"/>
                <w:sz w:val="24"/>
                <w:szCs w:val="24"/>
              </w:rPr>
              <w:t>1套</w:t>
            </w:r>
          </w:p>
        </w:tc>
        <w:tc>
          <w:tcPr>
            <w:tcW w:w="2359" w:type="dxa"/>
            <w:tcBorders>
              <w:top w:val="nil"/>
              <w:left w:val="nil"/>
              <w:bottom w:val="single" w:color="000000" w:sz="4" w:space="0"/>
              <w:right w:val="single" w:color="000000" w:sz="4" w:space="0"/>
            </w:tcBorders>
            <w:tcMar>
              <w:top w:w="0" w:type="dxa"/>
              <w:left w:w="105" w:type="dxa"/>
              <w:bottom w:w="0" w:type="dxa"/>
              <w:right w:w="105" w:type="dxa"/>
            </w:tcMar>
            <w:vAlign w:val="top"/>
          </w:tcPr>
          <w:p w14:paraId="31930015">
            <w:pPr>
              <w:pStyle w:val="6"/>
              <w:keepNext w:val="0"/>
              <w:keepLines w:val="0"/>
              <w:pageBreakBefore w:val="0"/>
              <w:widowControl/>
              <w:kinsoku/>
              <w:wordWrap/>
              <w:overflowPunct/>
              <w:topLinePunct w:val="0"/>
              <w:autoSpaceDE/>
              <w:autoSpaceDN/>
              <w:bidi w:val="0"/>
              <w:adjustRightInd/>
              <w:snapToGrid/>
              <w:spacing w:line="500" w:lineRule="exact"/>
              <w:ind w:firstLine="0"/>
              <w:jc w:val="center"/>
              <w:textAlignment w:val="auto"/>
              <w:rPr>
                <w:rFonts w:hint="eastAsia" w:ascii="宋体" w:hAnsi="宋体" w:eastAsia="宋体" w:cs="宋体"/>
                <w:sz w:val="24"/>
                <w:szCs w:val="24"/>
              </w:rPr>
            </w:pPr>
            <w:r>
              <w:rPr>
                <w:rFonts w:hint="eastAsia" w:ascii="宋体" w:hAnsi="宋体" w:eastAsia="宋体" w:cs="宋体"/>
                <w:b/>
                <w:color w:val="000000"/>
                <w:sz w:val="24"/>
                <w:szCs w:val="24"/>
              </w:rPr>
              <w:t>2.400000</w:t>
            </w:r>
          </w:p>
        </w:tc>
      </w:tr>
      <w:tr w14:paraId="18C0CBB4">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99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C902122">
            <w:pPr>
              <w:pStyle w:val="6"/>
              <w:keepNext w:val="0"/>
              <w:keepLines w:val="0"/>
              <w:pageBreakBefore w:val="0"/>
              <w:widowControl/>
              <w:kinsoku/>
              <w:wordWrap/>
              <w:overflowPunct/>
              <w:topLinePunct w:val="0"/>
              <w:autoSpaceDE/>
              <w:autoSpaceDN/>
              <w:bidi w:val="0"/>
              <w:adjustRightInd/>
              <w:snapToGrid/>
              <w:spacing w:line="500" w:lineRule="exact"/>
              <w:ind w:firstLine="0"/>
              <w:jc w:val="center"/>
              <w:textAlignment w:val="auto"/>
              <w:rPr>
                <w:rFonts w:hint="eastAsia" w:ascii="宋体" w:hAnsi="宋体" w:eastAsia="宋体" w:cs="宋体"/>
                <w:sz w:val="24"/>
                <w:szCs w:val="24"/>
              </w:rPr>
            </w:pPr>
            <w:r>
              <w:rPr>
                <w:rFonts w:hint="eastAsia" w:ascii="宋体" w:hAnsi="宋体" w:eastAsia="宋体" w:cs="宋体"/>
                <w:b/>
                <w:color w:val="000000"/>
                <w:sz w:val="24"/>
                <w:szCs w:val="24"/>
              </w:rPr>
              <w:t>3</w:t>
            </w:r>
          </w:p>
        </w:tc>
        <w:tc>
          <w:tcPr>
            <w:tcW w:w="3618" w:type="dxa"/>
            <w:tcBorders>
              <w:top w:val="nil"/>
              <w:left w:val="nil"/>
              <w:bottom w:val="single" w:color="000000" w:sz="4" w:space="0"/>
              <w:right w:val="single" w:color="000000" w:sz="4" w:space="0"/>
            </w:tcBorders>
            <w:tcMar>
              <w:top w:w="0" w:type="dxa"/>
              <w:left w:w="105" w:type="dxa"/>
              <w:bottom w:w="0" w:type="dxa"/>
              <w:right w:w="105" w:type="dxa"/>
            </w:tcMar>
            <w:vAlign w:val="top"/>
          </w:tcPr>
          <w:p w14:paraId="643B8060">
            <w:pPr>
              <w:pStyle w:val="6"/>
              <w:keepNext w:val="0"/>
              <w:keepLines w:val="0"/>
              <w:pageBreakBefore w:val="0"/>
              <w:widowControl/>
              <w:kinsoku/>
              <w:wordWrap/>
              <w:overflowPunct/>
              <w:topLinePunct w:val="0"/>
              <w:autoSpaceDE/>
              <w:autoSpaceDN/>
              <w:bidi w:val="0"/>
              <w:adjustRightInd/>
              <w:snapToGrid/>
              <w:spacing w:line="500" w:lineRule="exact"/>
              <w:ind w:firstLine="0"/>
              <w:jc w:val="both"/>
              <w:textAlignment w:val="auto"/>
              <w:rPr>
                <w:rFonts w:hint="eastAsia" w:ascii="宋体" w:hAnsi="宋体" w:eastAsia="宋体" w:cs="宋体"/>
                <w:sz w:val="24"/>
                <w:szCs w:val="24"/>
              </w:rPr>
            </w:pPr>
            <w:r>
              <w:rPr>
                <w:rFonts w:hint="eastAsia" w:ascii="宋体" w:hAnsi="宋体" w:eastAsia="宋体" w:cs="宋体"/>
                <w:b/>
                <w:color w:val="000000"/>
                <w:sz w:val="24"/>
                <w:szCs w:val="24"/>
              </w:rPr>
              <w:t>省级精神卫生综合服务平台</w:t>
            </w:r>
          </w:p>
        </w:tc>
        <w:tc>
          <w:tcPr>
            <w:tcW w:w="1455" w:type="dxa"/>
            <w:tcBorders>
              <w:top w:val="nil"/>
              <w:left w:val="nil"/>
              <w:bottom w:val="single" w:color="000000" w:sz="4" w:space="0"/>
              <w:right w:val="single" w:color="000000" w:sz="4" w:space="0"/>
            </w:tcBorders>
            <w:tcMar>
              <w:top w:w="0" w:type="dxa"/>
              <w:left w:w="105" w:type="dxa"/>
              <w:bottom w:w="0" w:type="dxa"/>
              <w:right w:w="105" w:type="dxa"/>
            </w:tcMar>
            <w:vAlign w:val="top"/>
          </w:tcPr>
          <w:p w14:paraId="5DC7B9B5">
            <w:pPr>
              <w:pStyle w:val="6"/>
              <w:keepNext w:val="0"/>
              <w:keepLines w:val="0"/>
              <w:pageBreakBefore w:val="0"/>
              <w:widowControl/>
              <w:kinsoku/>
              <w:wordWrap/>
              <w:overflowPunct/>
              <w:topLinePunct w:val="0"/>
              <w:autoSpaceDE/>
              <w:autoSpaceDN/>
              <w:bidi w:val="0"/>
              <w:adjustRightInd/>
              <w:snapToGrid/>
              <w:spacing w:line="500" w:lineRule="exact"/>
              <w:ind w:firstLine="0"/>
              <w:jc w:val="center"/>
              <w:textAlignment w:val="auto"/>
              <w:rPr>
                <w:rFonts w:hint="eastAsia" w:ascii="宋体" w:hAnsi="宋体" w:eastAsia="宋体" w:cs="宋体"/>
                <w:sz w:val="24"/>
                <w:szCs w:val="24"/>
              </w:rPr>
            </w:pPr>
          </w:p>
        </w:tc>
        <w:tc>
          <w:tcPr>
            <w:tcW w:w="2359" w:type="dxa"/>
            <w:tcBorders>
              <w:top w:val="nil"/>
              <w:left w:val="nil"/>
              <w:bottom w:val="single" w:color="000000" w:sz="4" w:space="0"/>
              <w:right w:val="single" w:color="000000" w:sz="4" w:space="0"/>
            </w:tcBorders>
            <w:tcMar>
              <w:top w:w="0" w:type="dxa"/>
              <w:left w:w="105" w:type="dxa"/>
              <w:bottom w:w="0" w:type="dxa"/>
              <w:right w:w="105" w:type="dxa"/>
            </w:tcMar>
            <w:vAlign w:val="top"/>
          </w:tcPr>
          <w:p w14:paraId="6428FD49">
            <w:pPr>
              <w:pStyle w:val="6"/>
              <w:keepNext w:val="0"/>
              <w:keepLines w:val="0"/>
              <w:pageBreakBefore w:val="0"/>
              <w:widowControl/>
              <w:kinsoku/>
              <w:wordWrap/>
              <w:overflowPunct/>
              <w:topLinePunct w:val="0"/>
              <w:autoSpaceDE/>
              <w:autoSpaceDN/>
              <w:bidi w:val="0"/>
              <w:adjustRightInd/>
              <w:snapToGrid/>
              <w:spacing w:line="500" w:lineRule="exact"/>
              <w:ind w:firstLine="0"/>
              <w:jc w:val="center"/>
              <w:textAlignment w:val="auto"/>
              <w:rPr>
                <w:rFonts w:hint="eastAsia" w:ascii="宋体" w:hAnsi="宋体" w:eastAsia="宋体" w:cs="宋体"/>
                <w:sz w:val="24"/>
                <w:szCs w:val="24"/>
              </w:rPr>
            </w:pPr>
            <w:r>
              <w:rPr>
                <w:rFonts w:hint="eastAsia" w:ascii="宋体" w:hAnsi="宋体" w:eastAsia="宋体" w:cs="宋体"/>
                <w:b/>
                <w:color w:val="000000"/>
                <w:sz w:val="24"/>
                <w:szCs w:val="24"/>
              </w:rPr>
              <w:t>456.300000</w:t>
            </w:r>
          </w:p>
        </w:tc>
      </w:tr>
      <w:tr w14:paraId="1FF84911">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99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5D5BBA48">
            <w:pPr>
              <w:pStyle w:val="6"/>
              <w:keepNext w:val="0"/>
              <w:keepLines w:val="0"/>
              <w:pageBreakBefore w:val="0"/>
              <w:widowControl/>
              <w:kinsoku/>
              <w:wordWrap/>
              <w:overflowPunct/>
              <w:topLinePunct w:val="0"/>
              <w:autoSpaceDE/>
              <w:autoSpaceDN/>
              <w:bidi w:val="0"/>
              <w:adjustRightInd/>
              <w:snapToGrid/>
              <w:spacing w:line="500" w:lineRule="exact"/>
              <w:ind w:firstLine="0"/>
              <w:jc w:val="center"/>
              <w:textAlignment w:val="auto"/>
              <w:rPr>
                <w:rFonts w:hint="eastAsia" w:ascii="宋体" w:hAnsi="宋体" w:eastAsia="宋体" w:cs="宋体"/>
                <w:sz w:val="24"/>
                <w:szCs w:val="24"/>
              </w:rPr>
            </w:pPr>
            <w:r>
              <w:rPr>
                <w:rFonts w:hint="eastAsia" w:ascii="宋体" w:hAnsi="宋体" w:eastAsia="宋体" w:cs="宋体"/>
                <w:color w:val="000000"/>
                <w:sz w:val="24"/>
                <w:szCs w:val="24"/>
              </w:rPr>
              <w:t>3.1</w:t>
            </w:r>
          </w:p>
        </w:tc>
        <w:tc>
          <w:tcPr>
            <w:tcW w:w="3618" w:type="dxa"/>
            <w:tcBorders>
              <w:top w:val="nil"/>
              <w:left w:val="nil"/>
              <w:bottom w:val="single" w:color="000000" w:sz="4" w:space="0"/>
              <w:right w:val="single" w:color="000000" w:sz="4" w:space="0"/>
            </w:tcBorders>
            <w:tcMar>
              <w:top w:w="0" w:type="dxa"/>
              <w:left w:w="105" w:type="dxa"/>
              <w:bottom w:w="0" w:type="dxa"/>
              <w:right w:w="105" w:type="dxa"/>
            </w:tcMar>
            <w:vAlign w:val="top"/>
          </w:tcPr>
          <w:p w14:paraId="66D61E2C">
            <w:pPr>
              <w:pStyle w:val="6"/>
              <w:keepNext w:val="0"/>
              <w:keepLines w:val="0"/>
              <w:pageBreakBefore w:val="0"/>
              <w:widowControl/>
              <w:kinsoku/>
              <w:wordWrap/>
              <w:overflowPunct/>
              <w:topLinePunct w:val="0"/>
              <w:autoSpaceDE/>
              <w:autoSpaceDN/>
              <w:bidi w:val="0"/>
              <w:adjustRightInd/>
              <w:snapToGrid/>
              <w:spacing w:line="500" w:lineRule="exact"/>
              <w:ind w:firstLine="0"/>
              <w:jc w:val="both"/>
              <w:textAlignment w:val="auto"/>
              <w:rPr>
                <w:rFonts w:hint="eastAsia" w:ascii="宋体" w:hAnsi="宋体" w:eastAsia="宋体" w:cs="宋体"/>
                <w:sz w:val="24"/>
                <w:szCs w:val="24"/>
              </w:rPr>
            </w:pPr>
            <w:r>
              <w:rPr>
                <w:rFonts w:hint="eastAsia" w:ascii="宋体" w:hAnsi="宋体" w:eastAsia="宋体" w:cs="宋体"/>
                <w:color w:val="000000"/>
                <w:sz w:val="24"/>
                <w:szCs w:val="24"/>
              </w:rPr>
              <w:t>严重精神障碍管理系统</w:t>
            </w:r>
          </w:p>
        </w:tc>
        <w:tc>
          <w:tcPr>
            <w:tcW w:w="1455" w:type="dxa"/>
            <w:tcBorders>
              <w:top w:val="nil"/>
              <w:left w:val="nil"/>
              <w:bottom w:val="single" w:color="000000" w:sz="4" w:space="0"/>
              <w:right w:val="single" w:color="000000" w:sz="4" w:space="0"/>
            </w:tcBorders>
            <w:tcMar>
              <w:top w:w="0" w:type="dxa"/>
              <w:left w:w="105" w:type="dxa"/>
              <w:bottom w:w="0" w:type="dxa"/>
              <w:right w:w="105" w:type="dxa"/>
            </w:tcMar>
            <w:vAlign w:val="top"/>
          </w:tcPr>
          <w:p w14:paraId="0FCFDBF7">
            <w:pPr>
              <w:pStyle w:val="6"/>
              <w:keepNext w:val="0"/>
              <w:keepLines w:val="0"/>
              <w:pageBreakBefore w:val="0"/>
              <w:widowControl/>
              <w:kinsoku/>
              <w:wordWrap/>
              <w:overflowPunct/>
              <w:topLinePunct w:val="0"/>
              <w:autoSpaceDE/>
              <w:autoSpaceDN/>
              <w:bidi w:val="0"/>
              <w:adjustRightInd/>
              <w:snapToGrid/>
              <w:spacing w:line="500" w:lineRule="exact"/>
              <w:ind w:firstLine="0"/>
              <w:jc w:val="center"/>
              <w:textAlignment w:val="auto"/>
              <w:rPr>
                <w:rFonts w:hint="eastAsia" w:ascii="宋体" w:hAnsi="宋体" w:eastAsia="宋体" w:cs="宋体"/>
                <w:sz w:val="24"/>
                <w:szCs w:val="24"/>
              </w:rPr>
            </w:pPr>
            <w:r>
              <w:rPr>
                <w:rFonts w:hint="eastAsia" w:ascii="宋体" w:hAnsi="宋体" w:eastAsia="宋体" w:cs="宋体"/>
                <w:color w:val="000000"/>
                <w:sz w:val="24"/>
                <w:szCs w:val="24"/>
              </w:rPr>
              <w:t>1套</w:t>
            </w:r>
          </w:p>
        </w:tc>
        <w:tc>
          <w:tcPr>
            <w:tcW w:w="2359" w:type="dxa"/>
            <w:tcBorders>
              <w:top w:val="nil"/>
              <w:left w:val="nil"/>
              <w:bottom w:val="single" w:color="000000" w:sz="4" w:space="0"/>
              <w:right w:val="single" w:color="000000" w:sz="4" w:space="0"/>
            </w:tcBorders>
            <w:tcMar>
              <w:top w:w="0" w:type="dxa"/>
              <w:left w:w="105" w:type="dxa"/>
              <w:bottom w:w="0" w:type="dxa"/>
              <w:right w:w="105" w:type="dxa"/>
            </w:tcMar>
            <w:vAlign w:val="top"/>
          </w:tcPr>
          <w:p w14:paraId="507107C7">
            <w:pPr>
              <w:pStyle w:val="6"/>
              <w:keepNext w:val="0"/>
              <w:keepLines w:val="0"/>
              <w:pageBreakBefore w:val="0"/>
              <w:widowControl/>
              <w:kinsoku/>
              <w:wordWrap/>
              <w:overflowPunct/>
              <w:topLinePunct w:val="0"/>
              <w:autoSpaceDE/>
              <w:autoSpaceDN/>
              <w:bidi w:val="0"/>
              <w:adjustRightInd/>
              <w:snapToGrid/>
              <w:spacing w:line="500" w:lineRule="exact"/>
              <w:ind w:firstLine="0"/>
              <w:jc w:val="center"/>
              <w:textAlignment w:val="auto"/>
              <w:rPr>
                <w:rFonts w:hint="eastAsia" w:ascii="宋体" w:hAnsi="宋体" w:eastAsia="宋体" w:cs="宋体"/>
                <w:sz w:val="24"/>
                <w:szCs w:val="24"/>
              </w:rPr>
            </w:pPr>
            <w:r>
              <w:rPr>
                <w:rFonts w:hint="eastAsia" w:ascii="宋体" w:hAnsi="宋体" w:eastAsia="宋体" w:cs="宋体"/>
                <w:color w:val="000000"/>
                <w:sz w:val="24"/>
                <w:szCs w:val="24"/>
              </w:rPr>
              <w:t>128.400000</w:t>
            </w:r>
          </w:p>
        </w:tc>
      </w:tr>
      <w:tr w14:paraId="517B51A0">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99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09DAF050">
            <w:pPr>
              <w:pStyle w:val="6"/>
              <w:keepNext w:val="0"/>
              <w:keepLines w:val="0"/>
              <w:pageBreakBefore w:val="0"/>
              <w:widowControl/>
              <w:kinsoku/>
              <w:wordWrap/>
              <w:overflowPunct/>
              <w:topLinePunct w:val="0"/>
              <w:autoSpaceDE/>
              <w:autoSpaceDN/>
              <w:bidi w:val="0"/>
              <w:adjustRightInd/>
              <w:snapToGrid/>
              <w:spacing w:line="500" w:lineRule="exact"/>
              <w:ind w:firstLine="0"/>
              <w:jc w:val="center"/>
              <w:textAlignment w:val="auto"/>
              <w:rPr>
                <w:rFonts w:hint="eastAsia" w:ascii="宋体" w:hAnsi="宋体" w:eastAsia="宋体" w:cs="宋体"/>
                <w:sz w:val="24"/>
                <w:szCs w:val="24"/>
              </w:rPr>
            </w:pPr>
            <w:r>
              <w:rPr>
                <w:rFonts w:hint="eastAsia" w:ascii="宋体" w:hAnsi="宋体" w:eastAsia="宋体" w:cs="宋体"/>
                <w:color w:val="000000"/>
                <w:sz w:val="24"/>
                <w:szCs w:val="24"/>
              </w:rPr>
              <w:t>3.2</w:t>
            </w:r>
          </w:p>
        </w:tc>
        <w:tc>
          <w:tcPr>
            <w:tcW w:w="3618" w:type="dxa"/>
            <w:tcBorders>
              <w:top w:val="nil"/>
              <w:left w:val="nil"/>
              <w:bottom w:val="single" w:color="000000" w:sz="4" w:space="0"/>
              <w:right w:val="single" w:color="000000" w:sz="4" w:space="0"/>
            </w:tcBorders>
            <w:tcMar>
              <w:top w:w="0" w:type="dxa"/>
              <w:left w:w="105" w:type="dxa"/>
              <w:bottom w:w="0" w:type="dxa"/>
              <w:right w:w="105" w:type="dxa"/>
            </w:tcMar>
            <w:vAlign w:val="top"/>
          </w:tcPr>
          <w:p w14:paraId="5517C686">
            <w:pPr>
              <w:pStyle w:val="6"/>
              <w:keepNext w:val="0"/>
              <w:keepLines w:val="0"/>
              <w:pageBreakBefore w:val="0"/>
              <w:widowControl/>
              <w:kinsoku/>
              <w:wordWrap/>
              <w:overflowPunct/>
              <w:topLinePunct w:val="0"/>
              <w:autoSpaceDE/>
              <w:autoSpaceDN/>
              <w:bidi w:val="0"/>
              <w:adjustRightInd/>
              <w:snapToGrid/>
              <w:spacing w:line="500" w:lineRule="exact"/>
              <w:ind w:firstLine="0"/>
              <w:jc w:val="both"/>
              <w:textAlignment w:val="auto"/>
              <w:rPr>
                <w:rFonts w:hint="eastAsia" w:ascii="宋体" w:hAnsi="宋体" w:eastAsia="宋体" w:cs="宋体"/>
                <w:sz w:val="24"/>
                <w:szCs w:val="24"/>
              </w:rPr>
            </w:pPr>
            <w:r>
              <w:rPr>
                <w:rFonts w:hint="eastAsia" w:ascii="宋体" w:hAnsi="宋体" w:eastAsia="宋体" w:cs="宋体"/>
                <w:color w:val="000000"/>
                <w:sz w:val="24"/>
                <w:szCs w:val="24"/>
              </w:rPr>
              <w:t>转岗培训管理系统</w:t>
            </w:r>
          </w:p>
        </w:tc>
        <w:tc>
          <w:tcPr>
            <w:tcW w:w="1455" w:type="dxa"/>
            <w:tcBorders>
              <w:top w:val="nil"/>
              <w:left w:val="nil"/>
              <w:bottom w:val="single" w:color="000000" w:sz="4" w:space="0"/>
              <w:right w:val="single" w:color="000000" w:sz="4" w:space="0"/>
            </w:tcBorders>
            <w:tcMar>
              <w:top w:w="0" w:type="dxa"/>
              <w:left w:w="105" w:type="dxa"/>
              <w:bottom w:w="0" w:type="dxa"/>
              <w:right w:w="105" w:type="dxa"/>
            </w:tcMar>
            <w:vAlign w:val="top"/>
          </w:tcPr>
          <w:p w14:paraId="04FADC29">
            <w:pPr>
              <w:pStyle w:val="6"/>
              <w:keepNext w:val="0"/>
              <w:keepLines w:val="0"/>
              <w:pageBreakBefore w:val="0"/>
              <w:widowControl/>
              <w:kinsoku/>
              <w:wordWrap/>
              <w:overflowPunct/>
              <w:topLinePunct w:val="0"/>
              <w:autoSpaceDE/>
              <w:autoSpaceDN/>
              <w:bidi w:val="0"/>
              <w:adjustRightInd/>
              <w:snapToGrid/>
              <w:spacing w:line="500" w:lineRule="exact"/>
              <w:ind w:firstLine="0"/>
              <w:jc w:val="center"/>
              <w:textAlignment w:val="auto"/>
              <w:rPr>
                <w:rFonts w:hint="eastAsia" w:ascii="宋体" w:hAnsi="宋体" w:eastAsia="宋体" w:cs="宋体"/>
                <w:sz w:val="24"/>
                <w:szCs w:val="24"/>
              </w:rPr>
            </w:pPr>
            <w:r>
              <w:rPr>
                <w:rFonts w:hint="eastAsia" w:ascii="宋体" w:hAnsi="宋体" w:eastAsia="宋体" w:cs="宋体"/>
                <w:color w:val="000000"/>
                <w:sz w:val="24"/>
                <w:szCs w:val="24"/>
              </w:rPr>
              <w:t>1套</w:t>
            </w:r>
          </w:p>
        </w:tc>
        <w:tc>
          <w:tcPr>
            <w:tcW w:w="2359" w:type="dxa"/>
            <w:tcBorders>
              <w:top w:val="nil"/>
              <w:left w:val="nil"/>
              <w:bottom w:val="single" w:color="000000" w:sz="4" w:space="0"/>
              <w:right w:val="single" w:color="000000" w:sz="4" w:space="0"/>
            </w:tcBorders>
            <w:tcMar>
              <w:top w:w="0" w:type="dxa"/>
              <w:left w:w="105" w:type="dxa"/>
              <w:bottom w:w="0" w:type="dxa"/>
              <w:right w:w="105" w:type="dxa"/>
            </w:tcMar>
            <w:vAlign w:val="top"/>
          </w:tcPr>
          <w:p w14:paraId="5E501569">
            <w:pPr>
              <w:pStyle w:val="6"/>
              <w:keepNext w:val="0"/>
              <w:keepLines w:val="0"/>
              <w:pageBreakBefore w:val="0"/>
              <w:widowControl/>
              <w:kinsoku/>
              <w:wordWrap/>
              <w:overflowPunct/>
              <w:topLinePunct w:val="0"/>
              <w:autoSpaceDE/>
              <w:autoSpaceDN/>
              <w:bidi w:val="0"/>
              <w:adjustRightInd/>
              <w:snapToGrid/>
              <w:spacing w:line="500" w:lineRule="exact"/>
              <w:ind w:firstLine="0"/>
              <w:jc w:val="center"/>
              <w:textAlignment w:val="auto"/>
              <w:rPr>
                <w:rFonts w:hint="eastAsia" w:ascii="宋体" w:hAnsi="宋体" w:eastAsia="宋体" w:cs="宋体"/>
                <w:sz w:val="24"/>
                <w:szCs w:val="24"/>
              </w:rPr>
            </w:pPr>
            <w:r>
              <w:rPr>
                <w:rFonts w:hint="eastAsia" w:ascii="宋体" w:hAnsi="宋体" w:eastAsia="宋体" w:cs="宋体"/>
                <w:color w:val="000000"/>
                <w:sz w:val="24"/>
                <w:szCs w:val="24"/>
              </w:rPr>
              <w:t>24.800000</w:t>
            </w:r>
          </w:p>
        </w:tc>
      </w:tr>
      <w:tr w14:paraId="1CC0DA56">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99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1C08A72C">
            <w:pPr>
              <w:pStyle w:val="6"/>
              <w:keepNext w:val="0"/>
              <w:keepLines w:val="0"/>
              <w:pageBreakBefore w:val="0"/>
              <w:widowControl/>
              <w:kinsoku/>
              <w:wordWrap/>
              <w:overflowPunct/>
              <w:topLinePunct w:val="0"/>
              <w:autoSpaceDE/>
              <w:autoSpaceDN/>
              <w:bidi w:val="0"/>
              <w:adjustRightInd/>
              <w:snapToGrid/>
              <w:spacing w:line="500" w:lineRule="exact"/>
              <w:ind w:firstLine="0"/>
              <w:jc w:val="center"/>
              <w:textAlignment w:val="auto"/>
              <w:rPr>
                <w:rFonts w:hint="eastAsia" w:ascii="宋体" w:hAnsi="宋体" w:eastAsia="宋体" w:cs="宋体"/>
                <w:sz w:val="24"/>
                <w:szCs w:val="24"/>
              </w:rPr>
            </w:pPr>
            <w:r>
              <w:rPr>
                <w:rFonts w:hint="eastAsia" w:ascii="宋体" w:hAnsi="宋体" w:eastAsia="宋体" w:cs="宋体"/>
                <w:color w:val="000000"/>
                <w:sz w:val="24"/>
                <w:szCs w:val="24"/>
              </w:rPr>
              <w:t>3.3</w:t>
            </w:r>
          </w:p>
        </w:tc>
        <w:tc>
          <w:tcPr>
            <w:tcW w:w="3618" w:type="dxa"/>
            <w:tcBorders>
              <w:top w:val="nil"/>
              <w:left w:val="nil"/>
              <w:bottom w:val="single" w:color="000000" w:sz="4" w:space="0"/>
              <w:right w:val="single" w:color="000000" w:sz="4" w:space="0"/>
            </w:tcBorders>
            <w:tcMar>
              <w:top w:w="0" w:type="dxa"/>
              <w:left w:w="105" w:type="dxa"/>
              <w:bottom w:w="0" w:type="dxa"/>
              <w:right w:w="105" w:type="dxa"/>
            </w:tcMar>
            <w:vAlign w:val="top"/>
          </w:tcPr>
          <w:p w14:paraId="30DAAA70">
            <w:pPr>
              <w:pStyle w:val="6"/>
              <w:keepNext w:val="0"/>
              <w:keepLines w:val="0"/>
              <w:pageBreakBefore w:val="0"/>
              <w:widowControl/>
              <w:kinsoku/>
              <w:wordWrap/>
              <w:overflowPunct/>
              <w:topLinePunct w:val="0"/>
              <w:autoSpaceDE/>
              <w:autoSpaceDN/>
              <w:bidi w:val="0"/>
              <w:adjustRightInd/>
              <w:snapToGrid/>
              <w:spacing w:line="500" w:lineRule="exact"/>
              <w:ind w:firstLine="0"/>
              <w:jc w:val="both"/>
              <w:textAlignment w:val="auto"/>
              <w:rPr>
                <w:rFonts w:hint="eastAsia" w:ascii="宋体" w:hAnsi="宋体" w:eastAsia="宋体" w:cs="宋体"/>
                <w:sz w:val="24"/>
                <w:szCs w:val="24"/>
              </w:rPr>
            </w:pPr>
            <w:r>
              <w:rPr>
                <w:rFonts w:hint="eastAsia" w:ascii="宋体" w:hAnsi="宋体" w:eastAsia="宋体" w:cs="宋体"/>
                <w:color w:val="000000"/>
                <w:sz w:val="24"/>
                <w:szCs w:val="24"/>
              </w:rPr>
              <w:t>心理援助热线系统</w:t>
            </w:r>
          </w:p>
        </w:tc>
        <w:tc>
          <w:tcPr>
            <w:tcW w:w="1455" w:type="dxa"/>
            <w:tcBorders>
              <w:top w:val="nil"/>
              <w:left w:val="nil"/>
              <w:bottom w:val="single" w:color="000000" w:sz="4" w:space="0"/>
              <w:right w:val="single" w:color="000000" w:sz="4" w:space="0"/>
            </w:tcBorders>
            <w:tcMar>
              <w:top w:w="0" w:type="dxa"/>
              <w:left w:w="105" w:type="dxa"/>
              <w:bottom w:w="0" w:type="dxa"/>
              <w:right w:w="105" w:type="dxa"/>
            </w:tcMar>
            <w:vAlign w:val="top"/>
          </w:tcPr>
          <w:p w14:paraId="6A59995F">
            <w:pPr>
              <w:pStyle w:val="6"/>
              <w:keepNext w:val="0"/>
              <w:keepLines w:val="0"/>
              <w:pageBreakBefore w:val="0"/>
              <w:widowControl/>
              <w:kinsoku/>
              <w:wordWrap/>
              <w:overflowPunct/>
              <w:topLinePunct w:val="0"/>
              <w:autoSpaceDE/>
              <w:autoSpaceDN/>
              <w:bidi w:val="0"/>
              <w:adjustRightInd/>
              <w:snapToGrid/>
              <w:spacing w:line="500" w:lineRule="exact"/>
              <w:ind w:firstLine="0"/>
              <w:jc w:val="center"/>
              <w:textAlignment w:val="auto"/>
              <w:rPr>
                <w:rFonts w:hint="eastAsia" w:ascii="宋体" w:hAnsi="宋体" w:eastAsia="宋体" w:cs="宋体"/>
                <w:sz w:val="24"/>
                <w:szCs w:val="24"/>
              </w:rPr>
            </w:pPr>
          </w:p>
        </w:tc>
        <w:tc>
          <w:tcPr>
            <w:tcW w:w="2359" w:type="dxa"/>
            <w:tcBorders>
              <w:top w:val="nil"/>
              <w:left w:val="nil"/>
              <w:bottom w:val="single" w:color="000000" w:sz="4" w:space="0"/>
              <w:right w:val="single" w:color="000000" w:sz="4" w:space="0"/>
            </w:tcBorders>
            <w:tcMar>
              <w:top w:w="0" w:type="dxa"/>
              <w:left w:w="105" w:type="dxa"/>
              <w:bottom w:w="0" w:type="dxa"/>
              <w:right w:w="105" w:type="dxa"/>
            </w:tcMar>
            <w:vAlign w:val="top"/>
          </w:tcPr>
          <w:p w14:paraId="72FA3E1E">
            <w:pPr>
              <w:pStyle w:val="6"/>
              <w:keepNext w:val="0"/>
              <w:keepLines w:val="0"/>
              <w:pageBreakBefore w:val="0"/>
              <w:widowControl/>
              <w:kinsoku/>
              <w:wordWrap/>
              <w:overflowPunct/>
              <w:topLinePunct w:val="0"/>
              <w:autoSpaceDE/>
              <w:autoSpaceDN/>
              <w:bidi w:val="0"/>
              <w:adjustRightInd/>
              <w:snapToGrid/>
              <w:spacing w:line="500" w:lineRule="exact"/>
              <w:ind w:firstLine="0"/>
              <w:jc w:val="center"/>
              <w:textAlignment w:val="auto"/>
              <w:rPr>
                <w:rFonts w:hint="eastAsia" w:ascii="宋体" w:hAnsi="宋体" w:eastAsia="宋体" w:cs="宋体"/>
                <w:sz w:val="24"/>
                <w:szCs w:val="24"/>
              </w:rPr>
            </w:pPr>
            <w:r>
              <w:rPr>
                <w:rFonts w:hint="eastAsia" w:ascii="宋体" w:hAnsi="宋体" w:eastAsia="宋体" w:cs="宋体"/>
                <w:color w:val="000000"/>
                <w:sz w:val="24"/>
                <w:szCs w:val="24"/>
              </w:rPr>
              <w:t>83.500000</w:t>
            </w:r>
          </w:p>
        </w:tc>
      </w:tr>
      <w:tr w14:paraId="40488E30">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99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7FA2D6F7">
            <w:pPr>
              <w:pStyle w:val="6"/>
              <w:keepNext w:val="0"/>
              <w:keepLines w:val="0"/>
              <w:pageBreakBefore w:val="0"/>
              <w:widowControl/>
              <w:kinsoku/>
              <w:wordWrap/>
              <w:overflowPunct/>
              <w:topLinePunct w:val="0"/>
              <w:autoSpaceDE/>
              <w:autoSpaceDN/>
              <w:bidi w:val="0"/>
              <w:adjustRightInd/>
              <w:snapToGrid/>
              <w:spacing w:line="500" w:lineRule="exact"/>
              <w:ind w:firstLine="0"/>
              <w:jc w:val="center"/>
              <w:textAlignment w:val="auto"/>
              <w:rPr>
                <w:rFonts w:hint="eastAsia" w:ascii="宋体" w:hAnsi="宋体" w:eastAsia="宋体" w:cs="宋体"/>
                <w:sz w:val="24"/>
                <w:szCs w:val="24"/>
              </w:rPr>
            </w:pPr>
            <w:r>
              <w:rPr>
                <w:rFonts w:hint="eastAsia" w:ascii="宋体" w:hAnsi="宋体" w:eastAsia="宋体" w:cs="宋体"/>
                <w:color w:val="000000"/>
                <w:sz w:val="24"/>
                <w:szCs w:val="24"/>
              </w:rPr>
              <w:t>3.3.1</w:t>
            </w:r>
          </w:p>
        </w:tc>
        <w:tc>
          <w:tcPr>
            <w:tcW w:w="3618" w:type="dxa"/>
            <w:tcBorders>
              <w:top w:val="nil"/>
              <w:left w:val="nil"/>
              <w:bottom w:val="single" w:color="000000" w:sz="4" w:space="0"/>
              <w:right w:val="single" w:color="000000" w:sz="4" w:space="0"/>
            </w:tcBorders>
            <w:tcMar>
              <w:top w:w="0" w:type="dxa"/>
              <w:left w:w="105" w:type="dxa"/>
              <w:bottom w:w="0" w:type="dxa"/>
              <w:right w:w="105" w:type="dxa"/>
            </w:tcMar>
            <w:vAlign w:val="top"/>
          </w:tcPr>
          <w:p w14:paraId="799FBB0F">
            <w:pPr>
              <w:pStyle w:val="6"/>
              <w:keepNext w:val="0"/>
              <w:keepLines w:val="0"/>
              <w:pageBreakBefore w:val="0"/>
              <w:widowControl/>
              <w:kinsoku/>
              <w:wordWrap/>
              <w:overflowPunct/>
              <w:topLinePunct w:val="0"/>
              <w:autoSpaceDE/>
              <w:autoSpaceDN/>
              <w:bidi w:val="0"/>
              <w:adjustRightInd/>
              <w:snapToGrid/>
              <w:spacing w:line="500" w:lineRule="exact"/>
              <w:ind w:firstLine="0"/>
              <w:jc w:val="both"/>
              <w:textAlignment w:val="auto"/>
              <w:rPr>
                <w:rFonts w:hint="eastAsia" w:ascii="宋体" w:hAnsi="宋体" w:eastAsia="宋体" w:cs="宋体"/>
                <w:sz w:val="24"/>
                <w:szCs w:val="24"/>
              </w:rPr>
            </w:pPr>
            <w:r>
              <w:rPr>
                <w:rFonts w:hint="eastAsia" w:ascii="宋体" w:hAnsi="宋体" w:eastAsia="宋体" w:cs="宋体"/>
                <w:color w:val="000000"/>
                <w:sz w:val="24"/>
                <w:szCs w:val="24"/>
              </w:rPr>
              <w:t>系统功能</w:t>
            </w:r>
          </w:p>
        </w:tc>
        <w:tc>
          <w:tcPr>
            <w:tcW w:w="1455" w:type="dxa"/>
            <w:tcBorders>
              <w:top w:val="nil"/>
              <w:left w:val="nil"/>
              <w:bottom w:val="single" w:color="000000" w:sz="4" w:space="0"/>
              <w:right w:val="single" w:color="000000" w:sz="4" w:space="0"/>
            </w:tcBorders>
            <w:tcMar>
              <w:top w:w="0" w:type="dxa"/>
              <w:left w:w="105" w:type="dxa"/>
              <w:bottom w:w="0" w:type="dxa"/>
              <w:right w:w="105" w:type="dxa"/>
            </w:tcMar>
            <w:vAlign w:val="top"/>
          </w:tcPr>
          <w:p w14:paraId="0BBDCDB9">
            <w:pPr>
              <w:pStyle w:val="6"/>
              <w:keepNext w:val="0"/>
              <w:keepLines w:val="0"/>
              <w:pageBreakBefore w:val="0"/>
              <w:widowControl/>
              <w:kinsoku/>
              <w:wordWrap/>
              <w:overflowPunct/>
              <w:topLinePunct w:val="0"/>
              <w:autoSpaceDE/>
              <w:autoSpaceDN/>
              <w:bidi w:val="0"/>
              <w:adjustRightInd/>
              <w:snapToGrid/>
              <w:spacing w:line="500" w:lineRule="exact"/>
              <w:ind w:firstLine="0"/>
              <w:jc w:val="center"/>
              <w:textAlignment w:val="auto"/>
              <w:rPr>
                <w:rFonts w:hint="eastAsia" w:ascii="宋体" w:hAnsi="宋体" w:eastAsia="宋体" w:cs="宋体"/>
                <w:sz w:val="24"/>
                <w:szCs w:val="24"/>
              </w:rPr>
            </w:pPr>
            <w:r>
              <w:rPr>
                <w:rFonts w:hint="eastAsia" w:ascii="宋体" w:hAnsi="宋体" w:eastAsia="宋体" w:cs="宋体"/>
                <w:color w:val="000000"/>
                <w:sz w:val="24"/>
                <w:szCs w:val="24"/>
              </w:rPr>
              <w:t>1套</w:t>
            </w:r>
          </w:p>
        </w:tc>
        <w:tc>
          <w:tcPr>
            <w:tcW w:w="2359" w:type="dxa"/>
            <w:tcBorders>
              <w:top w:val="nil"/>
              <w:left w:val="nil"/>
              <w:bottom w:val="single" w:color="000000" w:sz="4" w:space="0"/>
              <w:right w:val="single" w:color="000000" w:sz="4" w:space="0"/>
            </w:tcBorders>
            <w:tcMar>
              <w:top w:w="0" w:type="dxa"/>
              <w:left w:w="105" w:type="dxa"/>
              <w:bottom w:w="0" w:type="dxa"/>
              <w:right w:w="105" w:type="dxa"/>
            </w:tcMar>
            <w:vAlign w:val="top"/>
          </w:tcPr>
          <w:p w14:paraId="28AC6C14">
            <w:pPr>
              <w:pStyle w:val="6"/>
              <w:keepNext w:val="0"/>
              <w:keepLines w:val="0"/>
              <w:pageBreakBefore w:val="0"/>
              <w:widowControl/>
              <w:kinsoku/>
              <w:wordWrap/>
              <w:overflowPunct/>
              <w:topLinePunct w:val="0"/>
              <w:autoSpaceDE/>
              <w:autoSpaceDN/>
              <w:bidi w:val="0"/>
              <w:adjustRightInd/>
              <w:snapToGrid/>
              <w:spacing w:line="500" w:lineRule="exact"/>
              <w:ind w:firstLine="0"/>
              <w:jc w:val="center"/>
              <w:textAlignment w:val="auto"/>
              <w:rPr>
                <w:rFonts w:hint="eastAsia" w:ascii="宋体" w:hAnsi="宋体" w:eastAsia="宋体" w:cs="宋体"/>
                <w:sz w:val="24"/>
                <w:szCs w:val="24"/>
              </w:rPr>
            </w:pPr>
            <w:r>
              <w:rPr>
                <w:rFonts w:hint="eastAsia" w:ascii="宋体" w:hAnsi="宋体" w:eastAsia="宋体" w:cs="宋体"/>
                <w:color w:val="000000"/>
                <w:sz w:val="24"/>
                <w:szCs w:val="24"/>
              </w:rPr>
              <w:t>44.800000</w:t>
            </w:r>
          </w:p>
        </w:tc>
      </w:tr>
      <w:tr w14:paraId="10B3409A">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99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66E15F06">
            <w:pPr>
              <w:pStyle w:val="6"/>
              <w:keepNext w:val="0"/>
              <w:keepLines w:val="0"/>
              <w:pageBreakBefore w:val="0"/>
              <w:widowControl/>
              <w:kinsoku/>
              <w:wordWrap/>
              <w:overflowPunct/>
              <w:topLinePunct w:val="0"/>
              <w:autoSpaceDE/>
              <w:autoSpaceDN/>
              <w:bidi w:val="0"/>
              <w:adjustRightInd/>
              <w:snapToGrid/>
              <w:spacing w:line="500" w:lineRule="exact"/>
              <w:ind w:firstLine="0"/>
              <w:jc w:val="center"/>
              <w:textAlignment w:val="auto"/>
              <w:rPr>
                <w:rFonts w:hint="eastAsia" w:ascii="宋体" w:hAnsi="宋体" w:eastAsia="宋体" w:cs="宋体"/>
                <w:sz w:val="24"/>
                <w:szCs w:val="24"/>
              </w:rPr>
            </w:pPr>
            <w:r>
              <w:rPr>
                <w:rFonts w:hint="eastAsia" w:ascii="宋体" w:hAnsi="宋体" w:eastAsia="宋体" w:cs="宋体"/>
                <w:color w:val="000000"/>
                <w:sz w:val="24"/>
                <w:szCs w:val="24"/>
              </w:rPr>
              <w:t>3.3.2</w:t>
            </w:r>
          </w:p>
        </w:tc>
        <w:tc>
          <w:tcPr>
            <w:tcW w:w="3618" w:type="dxa"/>
            <w:tcBorders>
              <w:top w:val="nil"/>
              <w:left w:val="nil"/>
              <w:bottom w:val="single" w:color="000000" w:sz="4" w:space="0"/>
              <w:right w:val="single" w:color="000000" w:sz="4" w:space="0"/>
            </w:tcBorders>
            <w:tcMar>
              <w:top w:w="0" w:type="dxa"/>
              <w:left w:w="105" w:type="dxa"/>
              <w:bottom w:w="0" w:type="dxa"/>
              <w:right w:w="105" w:type="dxa"/>
            </w:tcMar>
            <w:vAlign w:val="top"/>
          </w:tcPr>
          <w:p w14:paraId="5335D02D">
            <w:pPr>
              <w:pStyle w:val="6"/>
              <w:keepNext w:val="0"/>
              <w:keepLines w:val="0"/>
              <w:pageBreakBefore w:val="0"/>
              <w:widowControl/>
              <w:kinsoku/>
              <w:wordWrap/>
              <w:overflowPunct/>
              <w:topLinePunct w:val="0"/>
              <w:autoSpaceDE/>
              <w:autoSpaceDN/>
              <w:bidi w:val="0"/>
              <w:adjustRightInd/>
              <w:snapToGrid/>
              <w:spacing w:line="500" w:lineRule="exact"/>
              <w:ind w:firstLine="0"/>
              <w:jc w:val="both"/>
              <w:textAlignment w:val="auto"/>
              <w:rPr>
                <w:rFonts w:hint="eastAsia" w:ascii="宋体" w:hAnsi="宋体" w:eastAsia="宋体" w:cs="宋体"/>
                <w:sz w:val="24"/>
                <w:szCs w:val="24"/>
              </w:rPr>
            </w:pPr>
            <w:r>
              <w:rPr>
                <w:rFonts w:hint="eastAsia" w:ascii="宋体" w:hAnsi="宋体" w:eastAsia="宋体" w:cs="宋体"/>
                <w:color w:val="000000"/>
                <w:sz w:val="24"/>
                <w:szCs w:val="24"/>
              </w:rPr>
              <w:t>热线服务</w:t>
            </w:r>
          </w:p>
        </w:tc>
        <w:tc>
          <w:tcPr>
            <w:tcW w:w="1455" w:type="dxa"/>
            <w:tcBorders>
              <w:top w:val="nil"/>
              <w:left w:val="nil"/>
              <w:bottom w:val="single" w:color="000000" w:sz="4" w:space="0"/>
              <w:right w:val="single" w:color="000000" w:sz="4" w:space="0"/>
            </w:tcBorders>
            <w:tcMar>
              <w:top w:w="0" w:type="dxa"/>
              <w:left w:w="105" w:type="dxa"/>
              <w:bottom w:w="0" w:type="dxa"/>
              <w:right w:w="105" w:type="dxa"/>
            </w:tcMar>
            <w:vAlign w:val="top"/>
          </w:tcPr>
          <w:p w14:paraId="612DCC0C">
            <w:pPr>
              <w:pStyle w:val="6"/>
              <w:keepNext w:val="0"/>
              <w:keepLines w:val="0"/>
              <w:pageBreakBefore w:val="0"/>
              <w:widowControl/>
              <w:kinsoku/>
              <w:wordWrap/>
              <w:overflowPunct/>
              <w:topLinePunct w:val="0"/>
              <w:autoSpaceDE/>
              <w:autoSpaceDN/>
              <w:bidi w:val="0"/>
              <w:adjustRightInd/>
              <w:snapToGrid/>
              <w:spacing w:line="500" w:lineRule="exact"/>
              <w:ind w:firstLine="0"/>
              <w:jc w:val="center"/>
              <w:textAlignment w:val="auto"/>
              <w:rPr>
                <w:rFonts w:hint="eastAsia" w:ascii="宋体" w:hAnsi="宋体" w:eastAsia="宋体" w:cs="宋体"/>
                <w:sz w:val="24"/>
                <w:szCs w:val="24"/>
              </w:rPr>
            </w:pPr>
            <w:r>
              <w:rPr>
                <w:rFonts w:hint="eastAsia" w:ascii="宋体" w:hAnsi="宋体" w:eastAsia="宋体" w:cs="宋体"/>
                <w:color w:val="000000"/>
                <w:sz w:val="24"/>
                <w:szCs w:val="24"/>
              </w:rPr>
              <w:t>43个/5年</w:t>
            </w:r>
          </w:p>
        </w:tc>
        <w:tc>
          <w:tcPr>
            <w:tcW w:w="2359" w:type="dxa"/>
            <w:tcBorders>
              <w:top w:val="nil"/>
              <w:left w:val="nil"/>
              <w:bottom w:val="single" w:color="000000" w:sz="4" w:space="0"/>
              <w:right w:val="single" w:color="000000" w:sz="4" w:space="0"/>
            </w:tcBorders>
            <w:tcMar>
              <w:top w:w="0" w:type="dxa"/>
              <w:left w:w="105" w:type="dxa"/>
              <w:bottom w:w="0" w:type="dxa"/>
              <w:right w:w="105" w:type="dxa"/>
            </w:tcMar>
            <w:vAlign w:val="top"/>
          </w:tcPr>
          <w:p w14:paraId="756F603B">
            <w:pPr>
              <w:pStyle w:val="6"/>
              <w:keepNext w:val="0"/>
              <w:keepLines w:val="0"/>
              <w:pageBreakBefore w:val="0"/>
              <w:widowControl/>
              <w:kinsoku/>
              <w:wordWrap/>
              <w:overflowPunct/>
              <w:topLinePunct w:val="0"/>
              <w:autoSpaceDE/>
              <w:autoSpaceDN/>
              <w:bidi w:val="0"/>
              <w:adjustRightInd/>
              <w:snapToGrid/>
              <w:spacing w:line="500" w:lineRule="exact"/>
              <w:ind w:firstLine="0"/>
              <w:jc w:val="center"/>
              <w:textAlignment w:val="auto"/>
              <w:rPr>
                <w:rFonts w:hint="eastAsia" w:ascii="宋体" w:hAnsi="宋体" w:eastAsia="宋体" w:cs="宋体"/>
                <w:sz w:val="24"/>
                <w:szCs w:val="24"/>
              </w:rPr>
            </w:pPr>
            <w:r>
              <w:rPr>
                <w:rFonts w:hint="eastAsia" w:ascii="宋体" w:hAnsi="宋体" w:eastAsia="宋体" w:cs="宋体"/>
                <w:color w:val="000000"/>
                <w:sz w:val="24"/>
                <w:szCs w:val="24"/>
              </w:rPr>
              <w:t>38.700000</w:t>
            </w:r>
          </w:p>
        </w:tc>
      </w:tr>
      <w:tr w14:paraId="4B630536">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99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B5B4949">
            <w:pPr>
              <w:pStyle w:val="6"/>
              <w:keepNext w:val="0"/>
              <w:keepLines w:val="0"/>
              <w:pageBreakBefore w:val="0"/>
              <w:widowControl/>
              <w:kinsoku/>
              <w:wordWrap/>
              <w:overflowPunct/>
              <w:topLinePunct w:val="0"/>
              <w:autoSpaceDE/>
              <w:autoSpaceDN/>
              <w:bidi w:val="0"/>
              <w:adjustRightInd/>
              <w:snapToGrid/>
              <w:spacing w:line="500" w:lineRule="exact"/>
              <w:ind w:firstLine="0"/>
              <w:jc w:val="center"/>
              <w:textAlignment w:val="auto"/>
              <w:rPr>
                <w:rFonts w:hint="eastAsia" w:ascii="宋体" w:hAnsi="宋体" w:eastAsia="宋体" w:cs="宋体"/>
                <w:sz w:val="24"/>
                <w:szCs w:val="24"/>
              </w:rPr>
            </w:pPr>
            <w:r>
              <w:rPr>
                <w:rFonts w:hint="eastAsia" w:ascii="宋体" w:hAnsi="宋体" w:eastAsia="宋体" w:cs="宋体"/>
                <w:color w:val="000000"/>
                <w:sz w:val="24"/>
                <w:szCs w:val="24"/>
              </w:rPr>
              <w:t>3.4</w:t>
            </w:r>
          </w:p>
        </w:tc>
        <w:tc>
          <w:tcPr>
            <w:tcW w:w="3618" w:type="dxa"/>
            <w:tcBorders>
              <w:top w:val="nil"/>
              <w:left w:val="nil"/>
              <w:bottom w:val="single" w:color="000000" w:sz="4" w:space="0"/>
              <w:right w:val="single" w:color="000000" w:sz="4" w:space="0"/>
            </w:tcBorders>
            <w:tcMar>
              <w:top w:w="0" w:type="dxa"/>
              <w:left w:w="105" w:type="dxa"/>
              <w:bottom w:w="0" w:type="dxa"/>
              <w:right w:w="105" w:type="dxa"/>
            </w:tcMar>
            <w:vAlign w:val="top"/>
          </w:tcPr>
          <w:p w14:paraId="0DF4B0C8">
            <w:pPr>
              <w:pStyle w:val="6"/>
              <w:keepNext w:val="0"/>
              <w:keepLines w:val="0"/>
              <w:pageBreakBefore w:val="0"/>
              <w:widowControl/>
              <w:kinsoku/>
              <w:wordWrap/>
              <w:overflowPunct/>
              <w:topLinePunct w:val="0"/>
              <w:autoSpaceDE/>
              <w:autoSpaceDN/>
              <w:bidi w:val="0"/>
              <w:adjustRightInd/>
              <w:snapToGrid/>
              <w:spacing w:line="500" w:lineRule="exact"/>
              <w:ind w:firstLine="0"/>
              <w:jc w:val="both"/>
              <w:textAlignment w:val="auto"/>
              <w:rPr>
                <w:rFonts w:hint="eastAsia" w:ascii="宋体" w:hAnsi="宋体" w:eastAsia="宋体" w:cs="宋体"/>
                <w:sz w:val="24"/>
                <w:szCs w:val="24"/>
              </w:rPr>
            </w:pPr>
            <w:r>
              <w:rPr>
                <w:rFonts w:hint="eastAsia" w:ascii="宋体" w:hAnsi="宋体" w:eastAsia="宋体" w:cs="宋体"/>
                <w:color w:val="000000"/>
                <w:sz w:val="24"/>
                <w:szCs w:val="24"/>
              </w:rPr>
              <w:t>常见精神障碍筛查系统</w:t>
            </w:r>
          </w:p>
        </w:tc>
        <w:tc>
          <w:tcPr>
            <w:tcW w:w="1455" w:type="dxa"/>
            <w:tcBorders>
              <w:top w:val="nil"/>
              <w:left w:val="nil"/>
              <w:bottom w:val="single" w:color="000000" w:sz="4" w:space="0"/>
              <w:right w:val="single" w:color="000000" w:sz="4" w:space="0"/>
            </w:tcBorders>
            <w:tcMar>
              <w:top w:w="0" w:type="dxa"/>
              <w:left w:w="105" w:type="dxa"/>
              <w:bottom w:w="0" w:type="dxa"/>
              <w:right w:w="105" w:type="dxa"/>
            </w:tcMar>
            <w:vAlign w:val="top"/>
          </w:tcPr>
          <w:p w14:paraId="57104086">
            <w:pPr>
              <w:pStyle w:val="6"/>
              <w:keepNext w:val="0"/>
              <w:keepLines w:val="0"/>
              <w:pageBreakBefore w:val="0"/>
              <w:widowControl/>
              <w:kinsoku/>
              <w:wordWrap/>
              <w:overflowPunct/>
              <w:topLinePunct w:val="0"/>
              <w:autoSpaceDE/>
              <w:autoSpaceDN/>
              <w:bidi w:val="0"/>
              <w:adjustRightInd/>
              <w:snapToGrid/>
              <w:spacing w:line="500" w:lineRule="exact"/>
              <w:ind w:firstLine="0"/>
              <w:jc w:val="center"/>
              <w:textAlignment w:val="auto"/>
              <w:rPr>
                <w:rFonts w:hint="eastAsia" w:ascii="宋体" w:hAnsi="宋体" w:eastAsia="宋体" w:cs="宋体"/>
                <w:sz w:val="24"/>
                <w:szCs w:val="24"/>
              </w:rPr>
            </w:pPr>
            <w:r>
              <w:rPr>
                <w:rFonts w:hint="eastAsia" w:ascii="宋体" w:hAnsi="宋体" w:eastAsia="宋体" w:cs="宋体"/>
                <w:color w:val="000000"/>
                <w:sz w:val="24"/>
                <w:szCs w:val="24"/>
              </w:rPr>
              <w:t>1套</w:t>
            </w:r>
          </w:p>
        </w:tc>
        <w:tc>
          <w:tcPr>
            <w:tcW w:w="2359" w:type="dxa"/>
            <w:tcBorders>
              <w:top w:val="nil"/>
              <w:left w:val="nil"/>
              <w:bottom w:val="single" w:color="000000" w:sz="4" w:space="0"/>
              <w:right w:val="single" w:color="000000" w:sz="4" w:space="0"/>
            </w:tcBorders>
            <w:tcMar>
              <w:top w:w="0" w:type="dxa"/>
              <w:left w:w="105" w:type="dxa"/>
              <w:bottom w:w="0" w:type="dxa"/>
              <w:right w:w="105" w:type="dxa"/>
            </w:tcMar>
            <w:vAlign w:val="top"/>
          </w:tcPr>
          <w:p w14:paraId="01860F5A">
            <w:pPr>
              <w:pStyle w:val="6"/>
              <w:keepNext w:val="0"/>
              <w:keepLines w:val="0"/>
              <w:pageBreakBefore w:val="0"/>
              <w:widowControl/>
              <w:kinsoku/>
              <w:wordWrap/>
              <w:overflowPunct/>
              <w:topLinePunct w:val="0"/>
              <w:autoSpaceDE/>
              <w:autoSpaceDN/>
              <w:bidi w:val="0"/>
              <w:adjustRightInd/>
              <w:snapToGrid/>
              <w:spacing w:line="500" w:lineRule="exact"/>
              <w:ind w:firstLine="0"/>
              <w:jc w:val="center"/>
              <w:textAlignment w:val="auto"/>
              <w:rPr>
                <w:rFonts w:hint="eastAsia" w:ascii="宋体" w:hAnsi="宋体" w:eastAsia="宋体" w:cs="宋体"/>
                <w:sz w:val="24"/>
                <w:szCs w:val="24"/>
              </w:rPr>
            </w:pPr>
            <w:r>
              <w:rPr>
                <w:rFonts w:hint="eastAsia" w:ascii="宋体" w:hAnsi="宋体" w:eastAsia="宋体" w:cs="宋体"/>
                <w:color w:val="000000"/>
                <w:sz w:val="24"/>
                <w:szCs w:val="24"/>
              </w:rPr>
              <w:t>28.800000</w:t>
            </w:r>
          </w:p>
        </w:tc>
      </w:tr>
      <w:tr w14:paraId="6C277247">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99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FBBB348">
            <w:pPr>
              <w:pStyle w:val="6"/>
              <w:keepNext w:val="0"/>
              <w:keepLines w:val="0"/>
              <w:pageBreakBefore w:val="0"/>
              <w:widowControl/>
              <w:kinsoku/>
              <w:wordWrap/>
              <w:overflowPunct/>
              <w:topLinePunct w:val="0"/>
              <w:autoSpaceDE/>
              <w:autoSpaceDN/>
              <w:bidi w:val="0"/>
              <w:adjustRightInd/>
              <w:snapToGrid/>
              <w:spacing w:line="500" w:lineRule="exact"/>
              <w:ind w:firstLine="0"/>
              <w:jc w:val="center"/>
              <w:textAlignment w:val="auto"/>
              <w:rPr>
                <w:rFonts w:hint="eastAsia" w:ascii="宋体" w:hAnsi="宋体" w:eastAsia="宋体" w:cs="宋体"/>
                <w:sz w:val="24"/>
                <w:szCs w:val="24"/>
              </w:rPr>
            </w:pPr>
            <w:r>
              <w:rPr>
                <w:rFonts w:hint="eastAsia" w:ascii="宋体" w:hAnsi="宋体" w:eastAsia="宋体" w:cs="宋体"/>
                <w:color w:val="000000"/>
                <w:sz w:val="24"/>
                <w:szCs w:val="24"/>
              </w:rPr>
              <w:t>3.5</w:t>
            </w:r>
          </w:p>
        </w:tc>
        <w:tc>
          <w:tcPr>
            <w:tcW w:w="3618" w:type="dxa"/>
            <w:tcBorders>
              <w:top w:val="nil"/>
              <w:left w:val="nil"/>
              <w:bottom w:val="single" w:color="000000" w:sz="4" w:space="0"/>
              <w:right w:val="single" w:color="000000" w:sz="4" w:space="0"/>
            </w:tcBorders>
            <w:tcMar>
              <w:top w:w="0" w:type="dxa"/>
              <w:left w:w="105" w:type="dxa"/>
              <w:bottom w:w="0" w:type="dxa"/>
              <w:right w:w="105" w:type="dxa"/>
            </w:tcMar>
            <w:vAlign w:val="top"/>
          </w:tcPr>
          <w:p w14:paraId="27472548">
            <w:pPr>
              <w:pStyle w:val="6"/>
              <w:keepNext w:val="0"/>
              <w:keepLines w:val="0"/>
              <w:pageBreakBefore w:val="0"/>
              <w:widowControl/>
              <w:kinsoku/>
              <w:wordWrap/>
              <w:overflowPunct/>
              <w:topLinePunct w:val="0"/>
              <w:autoSpaceDE/>
              <w:autoSpaceDN/>
              <w:bidi w:val="0"/>
              <w:adjustRightInd/>
              <w:snapToGrid/>
              <w:spacing w:line="500" w:lineRule="exact"/>
              <w:ind w:firstLine="0"/>
              <w:jc w:val="both"/>
              <w:textAlignment w:val="auto"/>
              <w:rPr>
                <w:rFonts w:hint="eastAsia" w:ascii="宋体" w:hAnsi="宋体" w:eastAsia="宋体" w:cs="宋体"/>
                <w:sz w:val="24"/>
                <w:szCs w:val="24"/>
              </w:rPr>
            </w:pPr>
            <w:r>
              <w:rPr>
                <w:rFonts w:hint="eastAsia" w:ascii="宋体" w:hAnsi="宋体" w:eastAsia="宋体" w:cs="宋体"/>
                <w:color w:val="000000"/>
                <w:sz w:val="24"/>
                <w:szCs w:val="24"/>
              </w:rPr>
              <w:t>心理健康体检系统</w:t>
            </w:r>
          </w:p>
        </w:tc>
        <w:tc>
          <w:tcPr>
            <w:tcW w:w="1455" w:type="dxa"/>
            <w:tcBorders>
              <w:top w:val="nil"/>
              <w:left w:val="nil"/>
              <w:bottom w:val="single" w:color="000000" w:sz="4" w:space="0"/>
              <w:right w:val="single" w:color="000000" w:sz="4" w:space="0"/>
            </w:tcBorders>
            <w:tcMar>
              <w:top w:w="0" w:type="dxa"/>
              <w:left w:w="105" w:type="dxa"/>
              <w:bottom w:w="0" w:type="dxa"/>
              <w:right w:w="105" w:type="dxa"/>
            </w:tcMar>
            <w:vAlign w:val="top"/>
          </w:tcPr>
          <w:p w14:paraId="019ECF56">
            <w:pPr>
              <w:pStyle w:val="6"/>
              <w:keepNext w:val="0"/>
              <w:keepLines w:val="0"/>
              <w:pageBreakBefore w:val="0"/>
              <w:widowControl/>
              <w:kinsoku/>
              <w:wordWrap/>
              <w:overflowPunct/>
              <w:topLinePunct w:val="0"/>
              <w:autoSpaceDE/>
              <w:autoSpaceDN/>
              <w:bidi w:val="0"/>
              <w:adjustRightInd/>
              <w:snapToGrid/>
              <w:spacing w:line="500" w:lineRule="exact"/>
              <w:ind w:firstLine="0"/>
              <w:jc w:val="center"/>
              <w:textAlignment w:val="auto"/>
              <w:rPr>
                <w:rFonts w:hint="eastAsia" w:ascii="宋体" w:hAnsi="宋体" w:eastAsia="宋体" w:cs="宋体"/>
                <w:sz w:val="24"/>
                <w:szCs w:val="24"/>
              </w:rPr>
            </w:pPr>
            <w:r>
              <w:rPr>
                <w:rFonts w:hint="eastAsia" w:ascii="宋体" w:hAnsi="宋体" w:eastAsia="宋体" w:cs="宋体"/>
                <w:color w:val="000000"/>
                <w:sz w:val="24"/>
                <w:szCs w:val="24"/>
              </w:rPr>
              <w:t>1套</w:t>
            </w:r>
          </w:p>
        </w:tc>
        <w:tc>
          <w:tcPr>
            <w:tcW w:w="2359" w:type="dxa"/>
            <w:tcBorders>
              <w:top w:val="nil"/>
              <w:left w:val="nil"/>
              <w:bottom w:val="single" w:color="000000" w:sz="4" w:space="0"/>
              <w:right w:val="single" w:color="000000" w:sz="4" w:space="0"/>
            </w:tcBorders>
            <w:tcMar>
              <w:top w:w="0" w:type="dxa"/>
              <w:left w:w="105" w:type="dxa"/>
              <w:bottom w:w="0" w:type="dxa"/>
              <w:right w:w="105" w:type="dxa"/>
            </w:tcMar>
            <w:vAlign w:val="top"/>
          </w:tcPr>
          <w:p w14:paraId="300EECDE">
            <w:pPr>
              <w:pStyle w:val="6"/>
              <w:keepNext w:val="0"/>
              <w:keepLines w:val="0"/>
              <w:pageBreakBefore w:val="0"/>
              <w:widowControl/>
              <w:kinsoku/>
              <w:wordWrap/>
              <w:overflowPunct/>
              <w:topLinePunct w:val="0"/>
              <w:autoSpaceDE/>
              <w:autoSpaceDN/>
              <w:bidi w:val="0"/>
              <w:adjustRightInd/>
              <w:snapToGrid/>
              <w:spacing w:line="500" w:lineRule="exact"/>
              <w:ind w:firstLine="0"/>
              <w:jc w:val="center"/>
              <w:textAlignment w:val="auto"/>
              <w:rPr>
                <w:rFonts w:hint="eastAsia" w:ascii="宋体" w:hAnsi="宋体" w:eastAsia="宋体" w:cs="宋体"/>
                <w:sz w:val="24"/>
                <w:szCs w:val="24"/>
              </w:rPr>
            </w:pPr>
            <w:r>
              <w:rPr>
                <w:rFonts w:hint="eastAsia" w:ascii="宋体" w:hAnsi="宋体" w:eastAsia="宋体" w:cs="宋体"/>
                <w:color w:val="000000"/>
                <w:sz w:val="24"/>
                <w:szCs w:val="24"/>
              </w:rPr>
              <w:t>20.400000</w:t>
            </w:r>
          </w:p>
        </w:tc>
      </w:tr>
      <w:tr w14:paraId="0EBEE6FB">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99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58A98B6B">
            <w:pPr>
              <w:pStyle w:val="6"/>
              <w:keepNext w:val="0"/>
              <w:keepLines w:val="0"/>
              <w:pageBreakBefore w:val="0"/>
              <w:widowControl/>
              <w:kinsoku/>
              <w:wordWrap/>
              <w:overflowPunct/>
              <w:topLinePunct w:val="0"/>
              <w:autoSpaceDE/>
              <w:autoSpaceDN/>
              <w:bidi w:val="0"/>
              <w:adjustRightInd/>
              <w:snapToGrid/>
              <w:spacing w:line="500" w:lineRule="exact"/>
              <w:ind w:firstLine="0"/>
              <w:jc w:val="center"/>
              <w:textAlignment w:val="auto"/>
              <w:rPr>
                <w:rFonts w:hint="eastAsia" w:ascii="宋体" w:hAnsi="宋体" w:eastAsia="宋体" w:cs="宋体"/>
                <w:sz w:val="24"/>
                <w:szCs w:val="24"/>
              </w:rPr>
            </w:pPr>
            <w:r>
              <w:rPr>
                <w:rFonts w:hint="eastAsia" w:ascii="宋体" w:hAnsi="宋体" w:eastAsia="宋体" w:cs="宋体"/>
                <w:color w:val="000000"/>
                <w:sz w:val="24"/>
                <w:szCs w:val="24"/>
              </w:rPr>
              <w:t>3.6</w:t>
            </w:r>
          </w:p>
        </w:tc>
        <w:tc>
          <w:tcPr>
            <w:tcW w:w="3618" w:type="dxa"/>
            <w:tcBorders>
              <w:top w:val="nil"/>
              <w:left w:val="nil"/>
              <w:bottom w:val="single" w:color="000000" w:sz="4" w:space="0"/>
              <w:right w:val="single" w:color="000000" w:sz="4" w:space="0"/>
            </w:tcBorders>
            <w:tcMar>
              <w:top w:w="0" w:type="dxa"/>
              <w:left w:w="105" w:type="dxa"/>
              <w:bottom w:w="0" w:type="dxa"/>
              <w:right w:w="105" w:type="dxa"/>
            </w:tcMar>
            <w:vAlign w:val="top"/>
          </w:tcPr>
          <w:p w14:paraId="64722D80">
            <w:pPr>
              <w:pStyle w:val="6"/>
              <w:keepNext w:val="0"/>
              <w:keepLines w:val="0"/>
              <w:pageBreakBefore w:val="0"/>
              <w:widowControl/>
              <w:kinsoku/>
              <w:wordWrap/>
              <w:overflowPunct/>
              <w:topLinePunct w:val="0"/>
              <w:autoSpaceDE/>
              <w:autoSpaceDN/>
              <w:bidi w:val="0"/>
              <w:adjustRightInd/>
              <w:snapToGrid/>
              <w:spacing w:line="500" w:lineRule="exact"/>
              <w:ind w:firstLine="0"/>
              <w:jc w:val="both"/>
              <w:textAlignment w:val="auto"/>
              <w:rPr>
                <w:rFonts w:hint="eastAsia" w:ascii="宋体" w:hAnsi="宋体" w:eastAsia="宋体" w:cs="宋体"/>
                <w:sz w:val="24"/>
                <w:szCs w:val="24"/>
              </w:rPr>
            </w:pPr>
            <w:r>
              <w:rPr>
                <w:rFonts w:hint="eastAsia" w:ascii="宋体" w:hAnsi="宋体" w:eastAsia="宋体" w:cs="宋体"/>
                <w:color w:val="000000"/>
                <w:sz w:val="24"/>
                <w:szCs w:val="24"/>
              </w:rPr>
              <w:t>高危人群干预系统</w:t>
            </w:r>
          </w:p>
        </w:tc>
        <w:tc>
          <w:tcPr>
            <w:tcW w:w="1455" w:type="dxa"/>
            <w:tcBorders>
              <w:top w:val="nil"/>
              <w:left w:val="nil"/>
              <w:bottom w:val="single" w:color="000000" w:sz="4" w:space="0"/>
              <w:right w:val="single" w:color="000000" w:sz="4" w:space="0"/>
            </w:tcBorders>
            <w:tcMar>
              <w:top w:w="0" w:type="dxa"/>
              <w:left w:w="105" w:type="dxa"/>
              <w:bottom w:w="0" w:type="dxa"/>
              <w:right w:w="105" w:type="dxa"/>
            </w:tcMar>
            <w:vAlign w:val="top"/>
          </w:tcPr>
          <w:p w14:paraId="7CA49BC6">
            <w:pPr>
              <w:pStyle w:val="6"/>
              <w:keepNext w:val="0"/>
              <w:keepLines w:val="0"/>
              <w:pageBreakBefore w:val="0"/>
              <w:widowControl/>
              <w:kinsoku/>
              <w:wordWrap/>
              <w:overflowPunct/>
              <w:topLinePunct w:val="0"/>
              <w:autoSpaceDE/>
              <w:autoSpaceDN/>
              <w:bidi w:val="0"/>
              <w:adjustRightInd/>
              <w:snapToGrid/>
              <w:spacing w:line="500" w:lineRule="exact"/>
              <w:ind w:firstLine="0"/>
              <w:jc w:val="center"/>
              <w:textAlignment w:val="auto"/>
              <w:rPr>
                <w:rFonts w:hint="eastAsia" w:ascii="宋体" w:hAnsi="宋体" w:eastAsia="宋体" w:cs="宋体"/>
                <w:sz w:val="24"/>
                <w:szCs w:val="24"/>
              </w:rPr>
            </w:pPr>
            <w:r>
              <w:rPr>
                <w:rFonts w:hint="eastAsia" w:ascii="宋体" w:hAnsi="宋体" w:eastAsia="宋体" w:cs="宋体"/>
                <w:color w:val="000000"/>
                <w:sz w:val="24"/>
                <w:szCs w:val="24"/>
              </w:rPr>
              <w:t>1套</w:t>
            </w:r>
          </w:p>
        </w:tc>
        <w:tc>
          <w:tcPr>
            <w:tcW w:w="2359" w:type="dxa"/>
            <w:tcBorders>
              <w:top w:val="nil"/>
              <w:left w:val="nil"/>
              <w:bottom w:val="single" w:color="000000" w:sz="4" w:space="0"/>
              <w:right w:val="single" w:color="000000" w:sz="4" w:space="0"/>
            </w:tcBorders>
            <w:tcMar>
              <w:top w:w="0" w:type="dxa"/>
              <w:left w:w="105" w:type="dxa"/>
              <w:bottom w:w="0" w:type="dxa"/>
              <w:right w:w="105" w:type="dxa"/>
            </w:tcMar>
            <w:vAlign w:val="top"/>
          </w:tcPr>
          <w:p w14:paraId="1B14ACF4">
            <w:pPr>
              <w:pStyle w:val="6"/>
              <w:keepNext w:val="0"/>
              <w:keepLines w:val="0"/>
              <w:pageBreakBefore w:val="0"/>
              <w:widowControl/>
              <w:kinsoku/>
              <w:wordWrap/>
              <w:overflowPunct/>
              <w:topLinePunct w:val="0"/>
              <w:autoSpaceDE/>
              <w:autoSpaceDN/>
              <w:bidi w:val="0"/>
              <w:adjustRightInd/>
              <w:snapToGrid/>
              <w:spacing w:line="500" w:lineRule="exact"/>
              <w:ind w:firstLine="0"/>
              <w:jc w:val="center"/>
              <w:textAlignment w:val="auto"/>
              <w:rPr>
                <w:rFonts w:hint="eastAsia" w:ascii="宋体" w:hAnsi="宋体" w:eastAsia="宋体" w:cs="宋体"/>
                <w:sz w:val="24"/>
                <w:szCs w:val="24"/>
              </w:rPr>
            </w:pPr>
            <w:r>
              <w:rPr>
                <w:rFonts w:hint="eastAsia" w:ascii="宋体" w:hAnsi="宋体" w:eastAsia="宋体" w:cs="宋体"/>
                <w:color w:val="000000"/>
                <w:sz w:val="24"/>
                <w:szCs w:val="24"/>
              </w:rPr>
              <w:t>20.800000</w:t>
            </w:r>
          </w:p>
        </w:tc>
      </w:tr>
      <w:tr w14:paraId="5B06B4D7">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99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57130E9D">
            <w:pPr>
              <w:pStyle w:val="6"/>
              <w:keepNext w:val="0"/>
              <w:keepLines w:val="0"/>
              <w:pageBreakBefore w:val="0"/>
              <w:widowControl/>
              <w:kinsoku/>
              <w:wordWrap/>
              <w:overflowPunct/>
              <w:topLinePunct w:val="0"/>
              <w:autoSpaceDE/>
              <w:autoSpaceDN/>
              <w:bidi w:val="0"/>
              <w:adjustRightInd/>
              <w:snapToGrid/>
              <w:spacing w:line="500" w:lineRule="exact"/>
              <w:ind w:firstLine="0"/>
              <w:jc w:val="center"/>
              <w:textAlignment w:val="auto"/>
              <w:rPr>
                <w:rFonts w:hint="eastAsia" w:ascii="宋体" w:hAnsi="宋体" w:eastAsia="宋体" w:cs="宋体"/>
                <w:sz w:val="24"/>
                <w:szCs w:val="24"/>
              </w:rPr>
            </w:pPr>
            <w:r>
              <w:rPr>
                <w:rFonts w:hint="eastAsia" w:ascii="宋体" w:hAnsi="宋体" w:eastAsia="宋体" w:cs="宋体"/>
                <w:color w:val="000000"/>
                <w:sz w:val="24"/>
                <w:szCs w:val="24"/>
              </w:rPr>
              <w:t>3.7</w:t>
            </w:r>
          </w:p>
        </w:tc>
        <w:tc>
          <w:tcPr>
            <w:tcW w:w="3618" w:type="dxa"/>
            <w:tcBorders>
              <w:top w:val="nil"/>
              <w:left w:val="nil"/>
              <w:bottom w:val="single" w:color="000000" w:sz="4" w:space="0"/>
              <w:right w:val="single" w:color="000000" w:sz="4" w:space="0"/>
            </w:tcBorders>
            <w:tcMar>
              <w:top w:w="0" w:type="dxa"/>
              <w:left w:w="105" w:type="dxa"/>
              <w:bottom w:w="0" w:type="dxa"/>
              <w:right w:w="105" w:type="dxa"/>
            </w:tcMar>
            <w:vAlign w:val="top"/>
          </w:tcPr>
          <w:p w14:paraId="681EF535">
            <w:pPr>
              <w:pStyle w:val="6"/>
              <w:keepNext w:val="0"/>
              <w:keepLines w:val="0"/>
              <w:pageBreakBefore w:val="0"/>
              <w:widowControl/>
              <w:kinsoku/>
              <w:wordWrap/>
              <w:overflowPunct/>
              <w:topLinePunct w:val="0"/>
              <w:autoSpaceDE/>
              <w:autoSpaceDN/>
              <w:bidi w:val="0"/>
              <w:adjustRightInd/>
              <w:snapToGrid/>
              <w:spacing w:line="500" w:lineRule="exact"/>
              <w:ind w:firstLine="0"/>
              <w:jc w:val="both"/>
              <w:textAlignment w:val="auto"/>
              <w:rPr>
                <w:rFonts w:hint="eastAsia" w:ascii="宋体" w:hAnsi="宋体" w:eastAsia="宋体" w:cs="宋体"/>
                <w:sz w:val="24"/>
                <w:szCs w:val="24"/>
              </w:rPr>
            </w:pPr>
            <w:r>
              <w:rPr>
                <w:rFonts w:hint="eastAsia" w:ascii="宋体" w:hAnsi="宋体" w:eastAsia="宋体" w:cs="宋体"/>
                <w:color w:val="000000"/>
                <w:sz w:val="24"/>
                <w:szCs w:val="24"/>
              </w:rPr>
              <w:t>患者全病程管理系统</w:t>
            </w:r>
          </w:p>
        </w:tc>
        <w:tc>
          <w:tcPr>
            <w:tcW w:w="1455" w:type="dxa"/>
            <w:tcBorders>
              <w:top w:val="nil"/>
              <w:left w:val="nil"/>
              <w:bottom w:val="single" w:color="000000" w:sz="4" w:space="0"/>
              <w:right w:val="single" w:color="000000" w:sz="4" w:space="0"/>
            </w:tcBorders>
            <w:tcMar>
              <w:top w:w="0" w:type="dxa"/>
              <w:left w:w="105" w:type="dxa"/>
              <w:bottom w:w="0" w:type="dxa"/>
              <w:right w:w="105" w:type="dxa"/>
            </w:tcMar>
            <w:vAlign w:val="top"/>
          </w:tcPr>
          <w:p w14:paraId="7C2005CB">
            <w:pPr>
              <w:pStyle w:val="6"/>
              <w:keepNext w:val="0"/>
              <w:keepLines w:val="0"/>
              <w:pageBreakBefore w:val="0"/>
              <w:widowControl/>
              <w:kinsoku/>
              <w:wordWrap/>
              <w:overflowPunct/>
              <w:topLinePunct w:val="0"/>
              <w:autoSpaceDE/>
              <w:autoSpaceDN/>
              <w:bidi w:val="0"/>
              <w:adjustRightInd/>
              <w:snapToGrid/>
              <w:spacing w:line="500" w:lineRule="exact"/>
              <w:ind w:firstLine="0"/>
              <w:jc w:val="center"/>
              <w:textAlignment w:val="auto"/>
              <w:rPr>
                <w:rFonts w:hint="eastAsia" w:ascii="宋体" w:hAnsi="宋体" w:eastAsia="宋体" w:cs="宋体"/>
                <w:sz w:val="24"/>
                <w:szCs w:val="24"/>
              </w:rPr>
            </w:pPr>
            <w:r>
              <w:rPr>
                <w:rFonts w:hint="eastAsia" w:ascii="宋体" w:hAnsi="宋体" w:eastAsia="宋体" w:cs="宋体"/>
                <w:color w:val="000000"/>
                <w:sz w:val="24"/>
                <w:szCs w:val="24"/>
              </w:rPr>
              <w:t>1套</w:t>
            </w:r>
          </w:p>
        </w:tc>
        <w:tc>
          <w:tcPr>
            <w:tcW w:w="2359" w:type="dxa"/>
            <w:tcBorders>
              <w:top w:val="nil"/>
              <w:left w:val="nil"/>
              <w:bottom w:val="single" w:color="000000" w:sz="4" w:space="0"/>
              <w:right w:val="single" w:color="000000" w:sz="4" w:space="0"/>
            </w:tcBorders>
            <w:tcMar>
              <w:top w:w="0" w:type="dxa"/>
              <w:left w:w="105" w:type="dxa"/>
              <w:bottom w:w="0" w:type="dxa"/>
              <w:right w:w="105" w:type="dxa"/>
            </w:tcMar>
            <w:vAlign w:val="top"/>
          </w:tcPr>
          <w:p w14:paraId="4B738B53">
            <w:pPr>
              <w:pStyle w:val="6"/>
              <w:keepNext w:val="0"/>
              <w:keepLines w:val="0"/>
              <w:pageBreakBefore w:val="0"/>
              <w:widowControl/>
              <w:kinsoku/>
              <w:wordWrap/>
              <w:overflowPunct/>
              <w:topLinePunct w:val="0"/>
              <w:autoSpaceDE/>
              <w:autoSpaceDN/>
              <w:bidi w:val="0"/>
              <w:adjustRightInd/>
              <w:snapToGrid/>
              <w:spacing w:line="500" w:lineRule="exact"/>
              <w:ind w:firstLine="0"/>
              <w:jc w:val="center"/>
              <w:textAlignment w:val="auto"/>
              <w:rPr>
                <w:rFonts w:hint="eastAsia" w:ascii="宋体" w:hAnsi="宋体" w:eastAsia="宋体" w:cs="宋体"/>
                <w:sz w:val="24"/>
                <w:szCs w:val="24"/>
              </w:rPr>
            </w:pPr>
            <w:r>
              <w:rPr>
                <w:rFonts w:hint="eastAsia" w:ascii="宋体" w:hAnsi="宋体" w:eastAsia="宋体" w:cs="宋体"/>
                <w:color w:val="000000"/>
                <w:sz w:val="24"/>
                <w:szCs w:val="24"/>
              </w:rPr>
              <w:t>24.400000</w:t>
            </w:r>
          </w:p>
        </w:tc>
      </w:tr>
      <w:tr w14:paraId="7EC280B5">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99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150238CD">
            <w:pPr>
              <w:pStyle w:val="6"/>
              <w:keepNext w:val="0"/>
              <w:keepLines w:val="0"/>
              <w:pageBreakBefore w:val="0"/>
              <w:widowControl/>
              <w:kinsoku/>
              <w:wordWrap/>
              <w:overflowPunct/>
              <w:topLinePunct w:val="0"/>
              <w:autoSpaceDE/>
              <w:autoSpaceDN/>
              <w:bidi w:val="0"/>
              <w:adjustRightInd/>
              <w:snapToGrid/>
              <w:spacing w:line="500" w:lineRule="exact"/>
              <w:ind w:firstLine="0"/>
              <w:jc w:val="center"/>
              <w:textAlignment w:val="auto"/>
              <w:rPr>
                <w:rFonts w:hint="eastAsia" w:ascii="宋体" w:hAnsi="宋体" w:eastAsia="宋体" w:cs="宋体"/>
                <w:sz w:val="24"/>
                <w:szCs w:val="24"/>
              </w:rPr>
            </w:pPr>
            <w:r>
              <w:rPr>
                <w:rFonts w:hint="eastAsia" w:ascii="宋体" w:hAnsi="宋体" w:eastAsia="宋体" w:cs="宋体"/>
                <w:color w:val="000000"/>
                <w:sz w:val="24"/>
                <w:szCs w:val="24"/>
              </w:rPr>
              <w:t>3.8</w:t>
            </w:r>
          </w:p>
        </w:tc>
        <w:tc>
          <w:tcPr>
            <w:tcW w:w="3618" w:type="dxa"/>
            <w:tcBorders>
              <w:top w:val="nil"/>
              <w:left w:val="nil"/>
              <w:bottom w:val="single" w:color="000000" w:sz="4" w:space="0"/>
              <w:right w:val="single" w:color="000000" w:sz="4" w:space="0"/>
            </w:tcBorders>
            <w:tcMar>
              <w:top w:w="0" w:type="dxa"/>
              <w:left w:w="105" w:type="dxa"/>
              <w:bottom w:w="0" w:type="dxa"/>
              <w:right w:w="105" w:type="dxa"/>
            </w:tcMar>
            <w:vAlign w:val="top"/>
          </w:tcPr>
          <w:p w14:paraId="09C3089E">
            <w:pPr>
              <w:pStyle w:val="6"/>
              <w:keepNext w:val="0"/>
              <w:keepLines w:val="0"/>
              <w:pageBreakBefore w:val="0"/>
              <w:widowControl/>
              <w:kinsoku/>
              <w:wordWrap/>
              <w:overflowPunct/>
              <w:topLinePunct w:val="0"/>
              <w:autoSpaceDE/>
              <w:autoSpaceDN/>
              <w:bidi w:val="0"/>
              <w:adjustRightInd/>
              <w:snapToGrid/>
              <w:spacing w:line="500" w:lineRule="exact"/>
              <w:ind w:firstLine="0"/>
              <w:jc w:val="both"/>
              <w:textAlignment w:val="auto"/>
              <w:rPr>
                <w:rFonts w:hint="eastAsia" w:ascii="宋体" w:hAnsi="宋体" w:eastAsia="宋体" w:cs="宋体"/>
                <w:sz w:val="24"/>
                <w:szCs w:val="24"/>
              </w:rPr>
            </w:pPr>
            <w:r>
              <w:rPr>
                <w:rFonts w:hint="eastAsia" w:ascii="宋体" w:hAnsi="宋体" w:eastAsia="宋体" w:cs="宋体"/>
                <w:color w:val="000000"/>
                <w:sz w:val="24"/>
                <w:szCs w:val="24"/>
              </w:rPr>
              <w:t>心理应急管理系统</w:t>
            </w:r>
          </w:p>
        </w:tc>
        <w:tc>
          <w:tcPr>
            <w:tcW w:w="1455" w:type="dxa"/>
            <w:tcBorders>
              <w:top w:val="nil"/>
              <w:left w:val="nil"/>
              <w:bottom w:val="single" w:color="000000" w:sz="4" w:space="0"/>
              <w:right w:val="single" w:color="000000" w:sz="4" w:space="0"/>
            </w:tcBorders>
            <w:tcMar>
              <w:top w:w="0" w:type="dxa"/>
              <w:left w:w="105" w:type="dxa"/>
              <w:bottom w:w="0" w:type="dxa"/>
              <w:right w:w="105" w:type="dxa"/>
            </w:tcMar>
            <w:vAlign w:val="top"/>
          </w:tcPr>
          <w:p w14:paraId="14D55622">
            <w:pPr>
              <w:pStyle w:val="6"/>
              <w:keepNext w:val="0"/>
              <w:keepLines w:val="0"/>
              <w:pageBreakBefore w:val="0"/>
              <w:widowControl/>
              <w:kinsoku/>
              <w:wordWrap/>
              <w:overflowPunct/>
              <w:topLinePunct w:val="0"/>
              <w:autoSpaceDE/>
              <w:autoSpaceDN/>
              <w:bidi w:val="0"/>
              <w:adjustRightInd/>
              <w:snapToGrid/>
              <w:spacing w:line="500" w:lineRule="exact"/>
              <w:ind w:firstLine="0"/>
              <w:jc w:val="center"/>
              <w:textAlignment w:val="auto"/>
              <w:rPr>
                <w:rFonts w:hint="eastAsia" w:ascii="宋体" w:hAnsi="宋体" w:eastAsia="宋体" w:cs="宋体"/>
                <w:sz w:val="24"/>
                <w:szCs w:val="24"/>
              </w:rPr>
            </w:pPr>
            <w:r>
              <w:rPr>
                <w:rFonts w:hint="eastAsia" w:ascii="宋体" w:hAnsi="宋体" w:eastAsia="宋体" w:cs="宋体"/>
                <w:color w:val="000000"/>
                <w:sz w:val="24"/>
                <w:szCs w:val="24"/>
              </w:rPr>
              <w:t>1套</w:t>
            </w:r>
          </w:p>
        </w:tc>
        <w:tc>
          <w:tcPr>
            <w:tcW w:w="2359" w:type="dxa"/>
            <w:tcBorders>
              <w:top w:val="nil"/>
              <w:left w:val="nil"/>
              <w:bottom w:val="single" w:color="000000" w:sz="4" w:space="0"/>
              <w:right w:val="single" w:color="000000" w:sz="4" w:space="0"/>
            </w:tcBorders>
            <w:tcMar>
              <w:top w:w="0" w:type="dxa"/>
              <w:left w:w="105" w:type="dxa"/>
              <w:bottom w:w="0" w:type="dxa"/>
              <w:right w:w="105" w:type="dxa"/>
            </w:tcMar>
            <w:vAlign w:val="top"/>
          </w:tcPr>
          <w:p w14:paraId="2E34556F">
            <w:pPr>
              <w:pStyle w:val="6"/>
              <w:keepNext w:val="0"/>
              <w:keepLines w:val="0"/>
              <w:pageBreakBefore w:val="0"/>
              <w:widowControl/>
              <w:kinsoku/>
              <w:wordWrap/>
              <w:overflowPunct/>
              <w:topLinePunct w:val="0"/>
              <w:autoSpaceDE/>
              <w:autoSpaceDN/>
              <w:bidi w:val="0"/>
              <w:adjustRightInd/>
              <w:snapToGrid/>
              <w:spacing w:line="500" w:lineRule="exact"/>
              <w:ind w:firstLine="0"/>
              <w:jc w:val="center"/>
              <w:textAlignment w:val="auto"/>
              <w:rPr>
                <w:rFonts w:hint="eastAsia" w:ascii="宋体" w:hAnsi="宋体" w:eastAsia="宋体" w:cs="宋体"/>
                <w:sz w:val="24"/>
                <w:szCs w:val="24"/>
              </w:rPr>
            </w:pPr>
            <w:r>
              <w:rPr>
                <w:rFonts w:hint="eastAsia" w:ascii="宋体" w:hAnsi="宋体" w:eastAsia="宋体" w:cs="宋体"/>
                <w:color w:val="000000"/>
                <w:sz w:val="24"/>
                <w:szCs w:val="24"/>
              </w:rPr>
              <w:t>43.600000</w:t>
            </w:r>
          </w:p>
        </w:tc>
      </w:tr>
      <w:tr w14:paraId="79E4AB1E">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99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14B618E9">
            <w:pPr>
              <w:pStyle w:val="6"/>
              <w:keepNext w:val="0"/>
              <w:keepLines w:val="0"/>
              <w:pageBreakBefore w:val="0"/>
              <w:widowControl/>
              <w:kinsoku/>
              <w:wordWrap/>
              <w:overflowPunct/>
              <w:topLinePunct w:val="0"/>
              <w:autoSpaceDE/>
              <w:autoSpaceDN/>
              <w:bidi w:val="0"/>
              <w:adjustRightInd/>
              <w:snapToGrid/>
              <w:spacing w:line="500" w:lineRule="exact"/>
              <w:ind w:firstLine="0"/>
              <w:jc w:val="center"/>
              <w:textAlignment w:val="auto"/>
              <w:rPr>
                <w:rFonts w:hint="eastAsia" w:ascii="宋体" w:hAnsi="宋体" w:eastAsia="宋体" w:cs="宋体"/>
                <w:sz w:val="24"/>
                <w:szCs w:val="24"/>
              </w:rPr>
            </w:pPr>
            <w:r>
              <w:rPr>
                <w:rFonts w:hint="eastAsia" w:ascii="宋体" w:hAnsi="宋体" w:eastAsia="宋体" w:cs="宋体"/>
                <w:color w:val="000000"/>
                <w:sz w:val="24"/>
                <w:szCs w:val="24"/>
              </w:rPr>
              <w:t>3.9</w:t>
            </w:r>
          </w:p>
        </w:tc>
        <w:tc>
          <w:tcPr>
            <w:tcW w:w="3618" w:type="dxa"/>
            <w:tcBorders>
              <w:top w:val="nil"/>
              <w:left w:val="nil"/>
              <w:bottom w:val="single" w:color="000000" w:sz="4" w:space="0"/>
              <w:right w:val="single" w:color="000000" w:sz="4" w:space="0"/>
            </w:tcBorders>
            <w:tcMar>
              <w:top w:w="0" w:type="dxa"/>
              <w:left w:w="105" w:type="dxa"/>
              <w:bottom w:w="0" w:type="dxa"/>
              <w:right w:w="105" w:type="dxa"/>
            </w:tcMar>
            <w:vAlign w:val="top"/>
          </w:tcPr>
          <w:p w14:paraId="02D015B9">
            <w:pPr>
              <w:pStyle w:val="6"/>
              <w:keepNext w:val="0"/>
              <w:keepLines w:val="0"/>
              <w:pageBreakBefore w:val="0"/>
              <w:widowControl/>
              <w:kinsoku/>
              <w:wordWrap/>
              <w:overflowPunct/>
              <w:topLinePunct w:val="0"/>
              <w:autoSpaceDE/>
              <w:autoSpaceDN/>
              <w:bidi w:val="0"/>
              <w:adjustRightInd/>
              <w:snapToGrid/>
              <w:spacing w:line="500" w:lineRule="exact"/>
              <w:ind w:firstLine="0"/>
              <w:jc w:val="both"/>
              <w:textAlignment w:val="auto"/>
              <w:rPr>
                <w:rFonts w:hint="eastAsia" w:ascii="宋体" w:hAnsi="宋体" w:eastAsia="宋体" w:cs="宋体"/>
                <w:sz w:val="24"/>
                <w:szCs w:val="24"/>
              </w:rPr>
            </w:pPr>
            <w:r>
              <w:rPr>
                <w:rFonts w:hint="eastAsia" w:ascii="宋体" w:hAnsi="宋体" w:eastAsia="宋体" w:cs="宋体"/>
                <w:color w:val="000000"/>
                <w:sz w:val="24"/>
                <w:szCs w:val="24"/>
              </w:rPr>
              <w:t>精神卫生资源管理系统</w:t>
            </w:r>
          </w:p>
        </w:tc>
        <w:tc>
          <w:tcPr>
            <w:tcW w:w="1455" w:type="dxa"/>
            <w:tcBorders>
              <w:top w:val="nil"/>
              <w:left w:val="nil"/>
              <w:bottom w:val="single" w:color="000000" w:sz="4" w:space="0"/>
              <w:right w:val="single" w:color="000000" w:sz="4" w:space="0"/>
            </w:tcBorders>
            <w:tcMar>
              <w:top w:w="0" w:type="dxa"/>
              <w:left w:w="105" w:type="dxa"/>
              <w:bottom w:w="0" w:type="dxa"/>
              <w:right w:w="105" w:type="dxa"/>
            </w:tcMar>
            <w:vAlign w:val="top"/>
          </w:tcPr>
          <w:p w14:paraId="61AB0909">
            <w:pPr>
              <w:pStyle w:val="6"/>
              <w:keepNext w:val="0"/>
              <w:keepLines w:val="0"/>
              <w:pageBreakBefore w:val="0"/>
              <w:widowControl/>
              <w:kinsoku/>
              <w:wordWrap/>
              <w:overflowPunct/>
              <w:topLinePunct w:val="0"/>
              <w:autoSpaceDE/>
              <w:autoSpaceDN/>
              <w:bidi w:val="0"/>
              <w:adjustRightInd/>
              <w:snapToGrid/>
              <w:spacing w:line="500" w:lineRule="exact"/>
              <w:ind w:firstLine="0"/>
              <w:jc w:val="center"/>
              <w:textAlignment w:val="auto"/>
              <w:rPr>
                <w:rFonts w:hint="eastAsia" w:ascii="宋体" w:hAnsi="宋体" w:eastAsia="宋体" w:cs="宋体"/>
                <w:sz w:val="24"/>
                <w:szCs w:val="24"/>
              </w:rPr>
            </w:pPr>
            <w:r>
              <w:rPr>
                <w:rFonts w:hint="eastAsia" w:ascii="宋体" w:hAnsi="宋体" w:eastAsia="宋体" w:cs="宋体"/>
                <w:color w:val="000000"/>
                <w:sz w:val="24"/>
                <w:szCs w:val="24"/>
              </w:rPr>
              <w:t>1套</w:t>
            </w:r>
          </w:p>
        </w:tc>
        <w:tc>
          <w:tcPr>
            <w:tcW w:w="2359" w:type="dxa"/>
            <w:tcBorders>
              <w:top w:val="nil"/>
              <w:left w:val="nil"/>
              <w:bottom w:val="single" w:color="000000" w:sz="4" w:space="0"/>
              <w:right w:val="single" w:color="000000" w:sz="4" w:space="0"/>
            </w:tcBorders>
            <w:tcMar>
              <w:top w:w="0" w:type="dxa"/>
              <w:left w:w="105" w:type="dxa"/>
              <w:bottom w:w="0" w:type="dxa"/>
              <w:right w:w="105" w:type="dxa"/>
            </w:tcMar>
            <w:vAlign w:val="top"/>
          </w:tcPr>
          <w:p w14:paraId="51812075">
            <w:pPr>
              <w:pStyle w:val="6"/>
              <w:keepNext w:val="0"/>
              <w:keepLines w:val="0"/>
              <w:pageBreakBefore w:val="0"/>
              <w:widowControl/>
              <w:kinsoku/>
              <w:wordWrap/>
              <w:overflowPunct/>
              <w:topLinePunct w:val="0"/>
              <w:autoSpaceDE/>
              <w:autoSpaceDN/>
              <w:bidi w:val="0"/>
              <w:adjustRightInd/>
              <w:snapToGrid/>
              <w:spacing w:line="500" w:lineRule="exact"/>
              <w:ind w:firstLine="0"/>
              <w:jc w:val="center"/>
              <w:textAlignment w:val="auto"/>
              <w:rPr>
                <w:rFonts w:hint="eastAsia" w:ascii="宋体" w:hAnsi="宋体" w:eastAsia="宋体" w:cs="宋体"/>
                <w:sz w:val="24"/>
                <w:szCs w:val="24"/>
              </w:rPr>
            </w:pPr>
            <w:r>
              <w:rPr>
                <w:rFonts w:hint="eastAsia" w:ascii="宋体" w:hAnsi="宋体" w:eastAsia="宋体" w:cs="宋体"/>
                <w:color w:val="000000"/>
                <w:sz w:val="24"/>
                <w:szCs w:val="24"/>
              </w:rPr>
              <w:t>11.200000</w:t>
            </w:r>
          </w:p>
        </w:tc>
      </w:tr>
      <w:tr w14:paraId="5C3FB724">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99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9E9E760">
            <w:pPr>
              <w:pStyle w:val="6"/>
              <w:keepNext w:val="0"/>
              <w:keepLines w:val="0"/>
              <w:pageBreakBefore w:val="0"/>
              <w:widowControl/>
              <w:kinsoku/>
              <w:wordWrap/>
              <w:overflowPunct/>
              <w:topLinePunct w:val="0"/>
              <w:autoSpaceDE/>
              <w:autoSpaceDN/>
              <w:bidi w:val="0"/>
              <w:adjustRightInd/>
              <w:snapToGrid/>
              <w:spacing w:line="500" w:lineRule="exact"/>
              <w:ind w:firstLine="0"/>
              <w:jc w:val="center"/>
              <w:textAlignment w:val="auto"/>
              <w:rPr>
                <w:rFonts w:hint="eastAsia" w:ascii="宋体" w:hAnsi="宋体" w:eastAsia="宋体" w:cs="宋体"/>
                <w:sz w:val="24"/>
                <w:szCs w:val="24"/>
              </w:rPr>
            </w:pPr>
            <w:r>
              <w:rPr>
                <w:rFonts w:hint="eastAsia" w:ascii="宋体" w:hAnsi="宋体" w:eastAsia="宋体" w:cs="宋体"/>
                <w:color w:val="000000"/>
                <w:sz w:val="24"/>
                <w:szCs w:val="24"/>
              </w:rPr>
              <w:t>3.10</w:t>
            </w:r>
          </w:p>
        </w:tc>
        <w:tc>
          <w:tcPr>
            <w:tcW w:w="3618" w:type="dxa"/>
            <w:tcBorders>
              <w:top w:val="nil"/>
              <w:left w:val="nil"/>
              <w:bottom w:val="single" w:color="000000" w:sz="4" w:space="0"/>
              <w:right w:val="single" w:color="000000" w:sz="4" w:space="0"/>
            </w:tcBorders>
            <w:tcMar>
              <w:top w:w="0" w:type="dxa"/>
              <w:left w:w="105" w:type="dxa"/>
              <w:bottom w:w="0" w:type="dxa"/>
              <w:right w:w="105" w:type="dxa"/>
            </w:tcMar>
            <w:vAlign w:val="top"/>
          </w:tcPr>
          <w:p w14:paraId="36EDF9CC">
            <w:pPr>
              <w:pStyle w:val="6"/>
              <w:keepNext w:val="0"/>
              <w:keepLines w:val="0"/>
              <w:pageBreakBefore w:val="0"/>
              <w:widowControl/>
              <w:kinsoku/>
              <w:wordWrap/>
              <w:overflowPunct/>
              <w:topLinePunct w:val="0"/>
              <w:autoSpaceDE/>
              <w:autoSpaceDN/>
              <w:bidi w:val="0"/>
              <w:adjustRightInd/>
              <w:snapToGrid/>
              <w:spacing w:line="500" w:lineRule="exact"/>
              <w:ind w:firstLine="0"/>
              <w:jc w:val="both"/>
              <w:textAlignment w:val="auto"/>
              <w:rPr>
                <w:rFonts w:hint="eastAsia" w:ascii="宋体" w:hAnsi="宋体" w:eastAsia="宋体" w:cs="宋体"/>
                <w:sz w:val="24"/>
                <w:szCs w:val="24"/>
              </w:rPr>
            </w:pPr>
            <w:r>
              <w:rPr>
                <w:rFonts w:hint="eastAsia" w:ascii="宋体" w:hAnsi="宋体" w:eastAsia="宋体" w:cs="宋体"/>
                <w:color w:val="000000"/>
                <w:sz w:val="24"/>
                <w:szCs w:val="24"/>
              </w:rPr>
              <w:t>综合数据分析系统</w:t>
            </w:r>
          </w:p>
        </w:tc>
        <w:tc>
          <w:tcPr>
            <w:tcW w:w="1455" w:type="dxa"/>
            <w:tcBorders>
              <w:top w:val="nil"/>
              <w:left w:val="nil"/>
              <w:bottom w:val="single" w:color="000000" w:sz="4" w:space="0"/>
              <w:right w:val="single" w:color="000000" w:sz="4" w:space="0"/>
            </w:tcBorders>
            <w:tcMar>
              <w:top w:w="0" w:type="dxa"/>
              <w:left w:w="105" w:type="dxa"/>
              <w:bottom w:w="0" w:type="dxa"/>
              <w:right w:w="105" w:type="dxa"/>
            </w:tcMar>
            <w:vAlign w:val="top"/>
          </w:tcPr>
          <w:p w14:paraId="56E103FE">
            <w:pPr>
              <w:pStyle w:val="6"/>
              <w:keepNext w:val="0"/>
              <w:keepLines w:val="0"/>
              <w:pageBreakBefore w:val="0"/>
              <w:widowControl/>
              <w:kinsoku/>
              <w:wordWrap/>
              <w:overflowPunct/>
              <w:topLinePunct w:val="0"/>
              <w:autoSpaceDE/>
              <w:autoSpaceDN/>
              <w:bidi w:val="0"/>
              <w:adjustRightInd/>
              <w:snapToGrid/>
              <w:spacing w:line="500" w:lineRule="exact"/>
              <w:ind w:firstLine="0"/>
              <w:jc w:val="center"/>
              <w:textAlignment w:val="auto"/>
              <w:rPr>
                <w:rFonts w:hint="eastAsia" w:ascii="宋体" w:hAnsi="宋体" w:eastAsia="宋体" w:cs="宋体"/>
                <w:sz w:val="24"/>
                <w:szCs w:val="24"/>
              </w:rPr>
            </w:pPr>
            <w:r>
              <w:rPr>
                <w:rFonts w:hint="eastAsia" w:ascii="宋体" w:hAnsi="宋体" w:eastAsia="宋体" w:cs="宋体"/>
                <w:color w:val="000000"/>
                <w:sz w:val="24"/>
                <w:szCs w:val="24"/>
              </w:rPr>
              <w:t>1套</w:t>
            </w:r>
          </w:p>
        </w:tc>
        <w:tc>
          <w:tcPr>
            <w:tcW w:w="2359" w:type="dxa"/>
            <w:tcBorders>
              <w:top w:val="nil"/>
              <w:left w:val="nil"/>
              <w:bottom w:val="single" w:color="000000" w:sz="4" w:space="0"/>
              <w:right w:val="single" w:color="000000" w:sz="4" w:space="0"/>
            </w:tcBorders>
            <w:tcMar>
              <w:top w:w="0" w:type="dxa"/>
              <w:left w:w="105" w:type="dxa"/>
              <w:bottom w:w="0" w:type="dxa"/>
              <w:right w:w="105" w:type="dxa"/>
            </w:tcMar>
            <w:vAlign w:val="top"/>
          </w:tcPr>
          <w:p w14:paraId="1C282DE8">
            <w:pPr>
              <w:pStyle w:val="6"/>
              <w:keepNext w:val="0"/>
              <w:keepLines w:val="0"/>
              <w:pageBreakBefore w:val="0"/>
              <w:widowControl/>
              <w:kinsoku/>
              <w:wordWrap/>
              <w:overflowPunct/>
              <w:topLinePunct w:val="0"/>
              <w:autoSpaceDE/>
              <w:autoSpaceDN/>
              <w:bidi w:val="0"/>
              <w:adjustRightInd/>
              <w:snapToGrid/>
              <w:spacing w:line="500" w:lineRule="exact"/>
              <w:ind w:firstLine="0"/>
              <w:jc w:val="center"/>
              <w:textAlignment w:val="auto"/>
              <w:rPr>
                <w:rFonts w:hint="eastAsia" w:ascii="宋体" w:hAnsi="宋体" w:eastAsia="宋体" w:cs="宋体"/>
                <w:sz w:val="24"/>
                <w:szCs w:val="24"/>
              </w:rPr>
            </w:pPr>
            <w:r>
              <w:rPr>
                <w:rFonts w:hint="eastAsia" w:ascii="宋体" w:hAnsi="宋体" w:eastAsia="宋体" w:cs="宋体"/>
                <w:color w:val="000000"/>
                <w:sz w:val="24"/>
                <w:szCs w:val="24"/>
              </w:rPr>
              <w:t>21.600000</w:t>
            </w:r>
          </w:p>
        </w:tc>
      </w:tr>
      <w:tr w14:paraId="42FB920F">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99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79E601D">
            <w:pPr>
              <w:pStyle w:val="6"/>
              <w:keepNext w:val="0"/>
              <w:keepLines w:val="0"/>
              <w:pageBreakBefore w:val="0"/>
              <w:widowControl/>
              <w:kinsoku/>
              <w:wordWrap/>
              <w:overflowPunct/>
              <w:topLinePunct w:val="0"/>
              <w:autoSpaceDE/>
              <w:autoSpaceDN/>
              <w:bidi w:val="0"/>
              <w:adjustRightInd/>
              <w:snapToGrid/>
              <w:spacing w:line="500" w:lineRule="exact"/>
              <w:ind w:firstLine="0"/>
              <w:jc w:val="center"/>
              <w:textAlignment w:val="auto"/>
              <w:rPr>
                <w:rFonts w:hint="eastAsia" w:ascii="宋体" w:hAnsi="宋体" w:eastAsia="宋体" w:cs="宋体"/>
                <w:sz w:val="24"/>
                <w:szCs w:val="24"/>
              </w:rPr>
            </w:pPr>
            <w:r>
              <w:rPr>
                <w:rFonts w:hint="eastAsia" w:ascii="宋体" w:hAnsi="宋体" w:eastAsia="宋体" w:cs="宋体"/>
                <w:color w:val="000000"/>
                <w:sz w:val="24"/>
                <w:szCs w:val="24"/>
              </w:rPr>
              <w:t>3.11</w:t>
            </w:r>
          </w:p>
        </w:tc>
        <w:tc>
          <w:tcPr>
            <w:tcW w:w="3618" w:type="dxa"/>
            <w:tcBorders>
              <w:top w:val="nil"/>
              <w:left w:val="nil"/>
              <w:bottom w:val="single" w:color="000000" w:sz="4" w:space="0"/>
              <w:right w:val="single" w:color="000000" w:sz="4" w:space="0"/>
            </w:tcBorders>
            <w:tcMar>
              <w:top w:w="0" w:type="dxa"/>
              <w:left w:w="105" w:type="dxa"/>
              <w:bottom w:w="0" w:type="dxa"/>
              <w:right w:w="105" w:type="dxa"/>
            </w:tcMar>
            <w:vAlign w:val="top"/>
          </w:tcPr>
          <w:p w14:paraId="7A523732">
            <w:pPr>
              <w:pStyle w:val="6"/>
              <w:keepNext w:val="0"/>
              <w:keepLines w:val="0"/>
              <w:pageBreakBefore w:val="0"/>
              <w:widowControl/>
              <w:kinsoku/>
              <w:wordWrap/>
              <w:overflowPunct/>
              <w:topLinePunct w:val="0"/>
              <w:autoSpaceDE/>
              <w:autoSpaceDN/>
              <w:bidi w:val="0"/>
              <w:adjustRightInd/>
              <w:snapToGrid/>
              <w:spacing w:line="500" w:lineRule="exact"/>
              <w:ind w:firstLine="0"/>
              <w:jc w:val="both"/>
              <w:textAlignment w:val="auto"/>
              <w:rPr>
                <w:rFonts w:hint="eastAsia" w:ascii="宋体" w:hAnsi="宋体" w:eastAsia="宋体" w:cs="宋体"/>
                <w:sz w:val="24"/>
                <w:szCs w:val="24"/>
              </w:rPr>
            </w:pPr>
            <w:r>
              <w:rPr>
                <w:rFonts w:hint="eastAsia" w:ascii="宋体" w:hAnsi="宋体" w:eastAsia="宋体" w:cs="宋体"/>
                <w:color w:val="000000"/>
                <w:sz w:val="24"/>
                <w:szCs w:val="24"/>
              </w:rPr>
              <w:t>社会心理服务系统</w:t>
            </w:r>
          </w:p>
        </w:tc>
        <w:tc>
          <w:tcPr>
            <w:tcW w:w="1455" w:type="dxa"/>
            <w:tcBorders>
              <w:top w:val="nil"/>
              <w:left w:val="nil"/>
              <w:bottom w:val="single" w:color="000000" w:sz="4" w:space="0"/>
              <w:right w:val="single" w:color="000000" w:sz="4" w:space="0"/>
            </w:tcBorders>
            <w:tcMar>
              <w:top w:w="0" w:type="dxa"/>
              <w:left w:w="105" w:type="dxa"/>
              <w:bottom w:w="0" w:type="dxa"/>
              <w:right w:w="105" w:type="dxa"/>
            </w:tcMar>
            <w:vAlign w:val="top"/>
          </w:tcPr>
          <w:p w14:paraId="18BFB13B">
            <w:pPr>
              <w:pStyle w:val="6"/>
              <w:keepNext w:val="0"/>
              <w:keepLines w:val="0"/>
              <w:pageBreakBefore w:val="0"/>
              <w:widowControl/>
              <w:kinsoku/>
              <w:wordWrap/>
              <w:overflowPunct/>
              <w:topLinePunct w:val="0"/>
              <w:autoSpaceDE/>
              <w:autoSpaceDN/>
              <w:bidi w:val="0"/>
              <w:adjustRightInd/>
              <w:snapToGrid/>
              <w:spacing w:line="500" w:lineRule="exact"/>
              <w:ind w:firstLine="0"/>
              <w:jc w:val="center"/>
              <w:textAlignment w:val="auto"/>
              <w:rPr>
                <w:rFonts w:hint="eastAsia" w:ascii="宋体" w:hAnsi="宋体" w:eastAsia="宋体" w:cs="宋体"/>
                <w:sz w:val="24"/>
                <w:szCs w:val="24"/>
              </w:rPr>
            </w:pPr>
            <w:r>
              <w:rPr>
                <w:rFonts w:hint="eastAsia" w:ascii="宋体" w:hAnsi="宋体" w:eastAsia="宋体" w:cs="宋体"/>
                <w:color w:val="000000"/>
                <w:sz w:val="24"/>
                <w:szCs w:val="24"/>
              </w:rPr>
              <w:t>1套</w:t>
            </w:r>
          </w:p>
        </w:tc>
        <w:tc>
          <w:tcPr>
            <w:tcW w:w="2359" w:type="dxa"/>
            <w:tcBorders>
              <w:top w:val="nil"/>
              <w:left w:val="nil"/>
              <w:bottom w:val="single" w:color="000000" w:sz="4" w:space="0"/>
              <w:right w:val="single" w:color="000000" w:sz="4" w:space="0"/>
            </w:tcBorders>
            <w:tcMar>
              <w:top w:w="0" w:type="dxa"/>
              <w:left w:w="105" w:type="dxa"/>
              <w:bottom w:w="0" w:type="dxa"/>
              <w:right w:w="105" w:type="dxa"/>
            </w:tcMar>
            <w:vAlign w:val="top"/>
          </w:tcPr>
          <w:p w14:paraId="39309622">
            <w:pPr>
              <w:pStyle w:val="6"/>
              <w:keepNext w:val="0"/>
              <w:keepLines w:val="0"/>
              <w:pageBreakBefore w:val="0"/>
              <w:widowControl/>
              <w:kinsoku/>
              <w:wordWrap/>
              <w:overflowPunct/>
              <w:topLinePunct w:val="0"/>
              <w:autoSpaceDE/>
              <w:autoSpaceDN/>
              <w:bidi w:val="0"/>
              <w:adjustRightInd/>
              <w:snapToGrid/>
              <w:spacing w:line="500" w:lineRule="exact"/>
              <w:ind w:firstLine="0"/>
              <w:jc w:val="center"/>
              <w:textAlignment w:val="auto"/>
              <w:rPr>
                <w:rFonts w:hint="eastAsia" w:ascii="宋体" w:hAnsi="宋体" w:eastAsia="宋体" w:cs="宋体"/>
                <w:sz w:val="24"/>
                <w:szCs w:val="24"/>
              </w:rPr>
            </w:pPr>
            <w:r>
              <w:rPr>
                <w:rFonts w:hint="eastAsia" w:ascii="宋体" w:hAnsi="宋体" w:eastAsia="宋体" w:cs="宋体"/>
                <w:color w:val="000000"/>
                <w:sz w:val="24"/>
                <w:szCs w:val="24"/>
              </w:rPr>
              <w:t>48.800000</w:t>
            </w:r>
          </w:p>
        </w:tc>
      </w:tr>
      <w:tr w14:paraId="2F705FE7">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99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1EC0CF2E">
            <w:pPr>
              <w:pStyle w:val="6"/>
              <w:keepNext w:val="0"/>
              <w:keepLines w:val="0"/>
              <w:pageBreakBefore w:val="0"/>
              <w:widowControl/>
              <w:kinsoku/>
              <w:wordWrap/>
              <w:overflowPunct/>
              <w:topLinePunct w:val="0"/>
              <w:autoSpaceDE/>
              <w:autoSpaceDN/>
              <w:bidi w:val="0"/>
              <w:adjustRightInd/>
              <w:snapToGrid/>
              <w:spacing w:line="500" w:lineRule="exact"/>
              <w:ind w:firstLine="0"/>
              <w:jc w:val="center"/>
              <w:textAlignment w:val="auto"/>
              <w:rPr>
                <w:rFonts w:hint="eastAsia" w:ascii="宋体" w:hAnsi="宋体" w:eastAsia="宋体" w:cs="宋体"/>
                <w:sz w:val="24"/>
                <w:szCs w:val="24"/>
              </w:rPr>
            </w:pPr>
            <w:r>
              <w:rPr>
                <w:rFonts w:hint="eastAsia" w:ascii="宋体" w:hAnsi="宋体" w:eastAsia="宋体" w:cs="宋体"/>
                <w:b/>
                <w:color w:val="000000"/>
                <w:sz w:val="24"/>
                <w:szCs w:val="24"/>
              </w:rPr>
              <w:t>4</w:t>
            </w:r>
          </w:p>
        </w:tc>
        <w:tc>
          <w:tcPr>
            <w:tcW w:w="3618" w:type="dxa"/>
            <w:tcBorders>
              <w:top w:val="nil"/>
              <w:left w:val="nil"/>
              <w:bottom w:val="single" w:color="000000" w:sz="4" w:space="0"/>
              <w:right w:val="single" w:color="000000" w:sz="4" w:space="0"/>
            </w:tcBorders>
            <w:tcMar>
              <w:top w:w="0" w:type="dxa"/>
              <w:left w:w="105" w:type="dxa"/>
              <w:bottom w:w="0" w:type="dxa"/>
              <w:right w:w="105" w:type="dxa"/>
            </w:tcMar>
            <w:vAlign w:val="top"/>
          </w:tcPr>
          <w:p w14:paraId="0D075BF2">
            <w:pPr>
              <w:pStyle w:val="6"/>
              <w:keepNext w:val="0"/>
              <w:keepLines w:val="0"/>
              <w:pageBreakBefore w:val="0"/>
              <w:widowControl/>
              <w:kinsoku/>
              <w:wordWrap/>
              <w:overflowPunct/>
              <w:topLinePunct w:val="0"/>
              <w:autoSpaceDE/>
              <w:autoSpaceDN/>
              <w:bidi w:val="0"/>
              <w:adjustRightInd/>
              <w:snapToGrid/>
              <w:spacing w:line="500" w:lineRule="exact"/>
              <w:ind w:firstLine="0"/>
              <w:jc w:val="both"/>
              <w:textAlignment w:val="auto"/>
              <w:rPr>
                <w:rFonts w:hint="eastAsia" w:ascii="宋体" w:hAnsi="宋体" w:eastAsia="宋体" w:cs="宋体"/>
                <w:sz w:val="24"/>
                <w:szCs w:val="24"/>
              </w:rPr>
            </w:pPr>
            <w:r>
              <w:rPr>
                <w:rFonts w:hint="eastAsia" w:ascii="宋体" w:hAnsi="宋体" w:eastAsia="宋体" w:cs="宋体"/>
                <w:b/>
                <w:color w:val="000000"/>
                <w:sz w:val="24"/>
                <w:szCs w:val="24"/>
              </w:rPr>
              <w:t>应用支撑平台</w:t>
            </w:r>
          </w:p>
        </w:tc>
        <w:tc>
          <w:tcPr>
            <w:tcW w:w="1455" w:type="dxa"/>
            <w:tcBorders>
              <w:top w:val="nil"/>
              <w:left w:val="nil"/>
              <w:bottom w:val="single" w:color="000000" w:sz="4" w:space="0"/>
              <w:right w:val="single" w:color="000000" w:sz="4" w:space="0"/>
            </w:tcBorders>
            <w:tcMar>
              <w:top w:w="0" w:type="dxa"/>
              <w:left w:w="105" w:type="dxa"/>
              <w:bottom w:w="0" w:type="dxa"/>
              <w:right w:w="105" w:type="dxa"/>
            </w:tcMar>
            <w:vAlign w:val="top"/>
          </w:tcPr>
          <w:p w14:paraId="1A13AA98">
            <w:pPr>
              <w:pStyle w:val="6"/>
              <w:keepNext w:val="0"/>
              <w:keepLines w:val="0"/>
              <w:pageBreakBefore w:val="0"/>
              <w:widowControl/>
              <w:kinsoku/>
              <w:wordWrap/>
              <w:overflowPunct/>
              <w:topLinePunct w:val="0"/>
              <w:autoSpaceDE/>
              <w:autoSpaceDN/>
              <w:bidi w:val="0"/>
              <w:adjustRightInd/>
              <w:snapToGrid/>
              <w:spacing w:line="500" w:lineRule="exact"/>
              <w:ind w:firstLine="0"/>
              <w:jc w:val="center"/>
              <w:textAlignment w:val="auto"/>
              <w:rPr>
                <w:rFonts w:hint="eastAsia" w:ascii="宋体" w:hAnsi="宋体" w:eastAsia="宋体" w:cs="宋体"/>
                <w:sz w:val="24"/>
                <w:szCs w:val="24"/>
              </w:rPr>
            </w:pPr>
          </w:p>
        </w:tc>
        <w:tc>
          <w:tcPr>
            <w:tcW w:w="2359" w:type="dxa"/>
            <w:tcBorders>
              <w:top w:val="nil"/>
              <w:left w:val="nil"/>
              <w:bottom w:val="single" w:color="000000" w:sz="4" w:space="0"/>
              <w:right w:val="single" w:color="000000" w:sz="4" w:space="0"/>
            </w:tcBorders>
            <w:tcMar>
              <w:top w:w="0" w:type="dxa"/>
              <w:left w:w="105" w:type="dxa"/>
              <w:bottom w:w="0" w:type="dxa"/>
              <w:right w:w="105" w:type="dxa"/>
            </w:tcMar>
            <w:vAlign w:val="top"/>
          </w:tcPr>
          <w:p w14:paraId="5E8938A3">
            <w:pPr>
              <w:pStyle w:val="6"/>
              <w:keepNext w:val="0"/>
              <w:keepLines w:val="0"/>
              <w:pageBreakBefore w:val="0"/>
              <w:widowControl/>
              <w:kinsoku/>
              <w:wordWrap/>
              <w:overflowPunct/>
              <w:topLinePunct w:val="0"/>
              <w:autoSpaceDE/>
              <w:autoSpaceDN/>
              <w:bidi w:val="0"/>
              <w:adjustRightInd/>
              <w:snapToGrid/>
              <w:spacing w:line="500" w:lineRule="exact"/>
              <w:ind w:firstLine="0"/>
              <w:jc w:val="center"/>
              <w:textAlignment w:val="auto"/>
              <w:rPr>
                <w:rFonts w:hint="eastAsia" w:ascii="宋体" w:hAnsi="宋体" w:eastAsia="宋体" w:cs="宋体"/>
                <w:sz w:val="24"/>
                <w:szCs w:val="24"/>
              </w:rPr>
            </w:pPr>
            <w:r>
              <w:rPr>
                <w:rFonts w:hint="eastAsia" w:ascii="宋体" w:hAnsi="宋体" w:eastAsia="宋体" w:cs="宋体"/>
                <w:b/>
                <w:color w:val="000000"/>
                <w:sz w:val="24"/>
                <w:szCs w:val="24"/>
              </w:rPr>
              <w:t>71.200000</w:t>
            </w:r>
          </w:p>
        </w:tc>
      </w:tr>
      <w:tr w14:paraId="347FD3EC">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99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50D03D48">
            <w:pPr>
              <w:pStyle w:val="6"/>
              <w:keepNext w:val="0"/>
              <w:keepLines w:val="0"/>
              <w:pageBreakBefore w:val="0"/>
              <w:widowControl/>
              <w:kinsoku/>
              <w:wordWrap/>
              <w:overflowPunct/>
              <w:topLinePunct w:val="0"/>
              <w:autoSpaceDE/>
              <w:autoSpaceDN/>
              <w:bidi w:val="0"/>
              <w:adjustRightInd/>
              <w:snapToGrid/>
              <w:spacing w:line="500" w:lineRule="exact"/>
              <w:ind w:firstLine="0"/>
              <w:jc w:val="center"/>
              <w:textAlignment w:val="auto"/>
              <w:rPr>
                <w:rFonts w:hint="eastAsia" w:ascii="宋体" w:hAnsi="宋体" w:eastAsia="宋体" w:cs="宋体"/>
                <w:sz w:val="24"/>
                <w:szCs w:val="24"/>
              </w:rPr>
            </w:pPr>
            <w:r>
              <w:rPr>
                <w:rFonts w:hint="eastAsia" w:ascii="宋体" w:hAnsi="宋体" w:eastAsia="宋体" w:cs="宋体"/>
                <w:color w:val="000000"/>
                <w:sz w:val="24"/>
                <w:szCs w:val="24"/>
              </w:rPr>
              <w:t>4.1</w:t>
            </w:r>
          </w:p>
        </w:tc>
        <w:tc>
          <w:tcPr>
            <w:tcW w:w="3618" w:type="dxa"/>
            <w:tcBorders>
              <w:top w:val="nil"/>
              <w:left w:val="nil"/>
              <w:bottom w:val="single" w:color="000000" w:sz="4" w:space="0"/>
              <w:right w:val="single" w:color="000000" w:sz="4" w:space="0"/>
            </w:tcBorders>
            <w:tcMar>
              <w:top w:w="0" w:type="dxa"/>
              <w:left w:w="105" w:type="dxa"/>
              <w:bottom w:w="0" w:type="dxa"/>
              <w:right w:w="105" w:type="dxa"/>
            </w:tcMar>
            <w:vAlign w:val="top"/>
          </w:tcPr>
          <w:p w14:paraId="665FFD44">
            <w:pPr>
              <w:pStyle w:val="6"/>
              <w:keepNext w:val="0"/>
              <w:keepLines w:val="0"/>
              <w:pageBreakBefore w:val="0"/>
              <w:widowControl/>
              <w:kinsoku/>
              <w:wordWrap/>
              <w:overflowPunct/>
              <w:topLinePunct w:val="0"/>
              <w:autoSpaceDE/>
              <w:autoSpaceDN/>
              <w:bidi w:val="0"/>
              <w:adjustRightInd/>
              <w:snapToGrid/>
              <w:spacing w:line="500" w:lineRule="exact"/>
              <w:ind w:firstLine="0"/>
              <w:jc w:val="both"/>
              <w:textAlignment w:val="auto"/>
              <w:rPr>
                <w:rFonts w:hint="eastAsia" w:ascii="宋体" w:hAnsi="宋体" w:eastAsia="宋体" w:cs="宋体"/>
                <w:sz w:val="24"/>
                <w:szCs w:val="24"/>
              </w:rPr>
            </w:pPr>
            <w:r>
              <w:rPr>
                <w:rFonts w:hint="eastAsia" w:ascii="宋体" w:hAnsi="宋体" w:eastAsia="宋体" w:cs="宋体"/>
                <w:color w:val="000000"/>
                <w:sz w:val="24"/>
                <w:szCs w:val="24"/>
              </w:rPr>
              <w:t>统一门户及权限认证管理</w:t>
            </w:r>
          </w:p>
        </w:tc>
        <w:tc>
          <w:tcPr>
            <w:tcW w:w="1455" w:type="dxa"/>
            <w:tcBorders>
              <w:top w:val="nil"/>
              <w:left w:val="nil"/>
              <w:bottom w:val="single" w:color="000000" w:sz="4" w:space="0"/>
              <w:right w:val="single" w:color="000000" w:sz="4" w:space="0"/>
            </w:tcBorders>
            <w:tcMar>
              <w:top w:w="0" w:type="dxa"/>
              <w:left w:w="105" w:type="dxa"/>
              <w:bottom w:w="0" w:type="dxa"/>
              <w:right w:w="105" w:type="dxa"/>
            </w:tcMar>
            <w:vAlign w:val="top"/>
          </w:tcPr>
          <w:p w14:paraId="1918D45D">
            <w:pPr>
              <w:pStyle w:val="6"/>
              <w:keepNext w:val="0"/>
              <w:keepLines w:val="0"/>
              <w:pageBreakBefore w:val="0"/>
              <w:widowControl/>
              <w:kinsoku/>
              <w:wordWrap/>
              <w:overflowPunct/>
              <w:topLinePunct w:val="0"/>
              <w:autoSpaceDE/>
              <w:autoSpaceDN/>
              <w:bidi w:val="0"/>
              <w:adjustRightInd/>
              <w:snapToGrid/>
              <w:spacing w:line="500" w:lineRule="exact"/>
              <w:ind w:firstLine="0"/>
              <w:jc w:val="center"/>
              <w:textAlignment w:val="auto"/>
              <w:rPr>
                <w:rFonts w:hint="eastAsia" w:ascii="宋体" w:hAnsi="宋体" w:eastAsia="宋体" w:cs="宋体"/>
                <w:sz w:val="24"/>
                <w:szCs w:val="24"/>
              </w:rPr>
            </w:pPr>
            <w:r>
              <w:rPr>
                <w:rFonts w:hint="eastAsia" w:ascii="宋体" w:hAnsi="宋体" w:eastAsia="宋体" w:cs="宋体"/>
                <w:color w:val="000000"/>
                <w:sz w:val="24"/>
                <w:szCs w:val="24"/>
              </w:rPr>
              <w:t>1套</w:t>
            </w:r>
          </w:p>
        </w:tc>
        <w:tc>
          <w:tcPr>
            <w:tcW w:w="2359" w:type="dxa"/>
            <w:tcBorders>
              <w:top w:val="nil"/>
              <w:left w:val="nil"/>
              <w:bottom w:val="single" w:color="000000" w:sz="4" w:space="0"/>
              <w:right w:val="single" w:color="000000" w:sz="4" w:space="0"/>
            </w:tcBorders>
            <w:tcMar>
              <w:top w:w="0" w:type="dxa"/>
              <w:left w:w="105" w:type="dxa"/>
              <w:bottom w:w="0" w:type="dxa"/>
              <w:right w:w="105" w:type="dxa"/>
            </w:tcMar>
            <w:vAlign w:val="top"/>
          </w:tcPr>
          <w:p w14:paraId="002AAADF">
            <w:pPr>
              <w:pStyle w:val="6"/>
              <w:keepNext w:val="0"/>
              <w:keepLines w:val="0"/>
              <w:pageBreakBefore w:val="0"/>
              <w:widowControl/>
              <w:kinsoku/>
              <w:wordWrap/>
              <w:overflowPunct/>
              <w:topLinePunct w:val="0"/>
              <w:autoSpaceDE/>
              <w:autoSpaceDN/>
              <w:bidi w:val="0"/>
              <w:adjustRightInd/>
              <w:snapToGrid/>
              <w:spacing w:line="500" w:lineRule="exact"/>
              <w:ind w:firstLine="0"/>
              <w:jc w:val="center"/>
              <w:textAlignment w:val="auto"/>
              <w:rPr>
                <w:rFonts w:hint="eastAsia" w:ascii="宋体" w:hAnsi="宋体" w:eastAsia="宋体" w:cs="宋体"/>
                <w:sz w:val="24"/>
                <w:szCs w:val="24"/>
              </w:rPr>
            </w:pPr>
            <w:r>
              <w:rPr>
                <w:rFonts w:hint="eastAsia" w:ascii="宋体" w:hAnsi="宋体" w:eastAsia="宋体" w:cs="宋体"/>
                <w:color w:val="000000"/>
                <w:sz w:val="24"/>
                <w:szCs w:val="24"/>
              </w:rPr>
              <w:t>17.600000</w:t>
            </w:r>
          </w:p>
        </w:tc>
      </w:tr>
      <w:tr w14:paraId="05E0A760">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99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589ACDE3">
            <w:pPr>
              <w:pStyle w:val="6"/>
              <w:keepNext w:val="0"/>
              <w:keepLines w:val="0"/>
              <w:pageBreakBefore w:val="0"/>
              <w:widowControl/>
              <w:kinsoku/>
              <w:wordWrap/>
              <w:overflowPunct/>
              <w:topLinePunct w:val="0"/>
              <w:autoSpaceDE/>
              <w:autoSpaceDN/>
              <w:bidi w:val="0"/>
              <w:adjustRightInd/>
              <w:snapToGrid/>
              <w:spacing w:line="500" w:lineRule="exact"/>
              <w:ind w:firstLine="0"/>
              <w:jc w:val="center"/>
              <w:textAlignment w:val="auto"/>
              <w:rPr>
                <w:rFonts w:hint="eastAsia" w:ascii="宋体" w:hAnsi="宋体" w:eastAsia="宋体" w:cs="宋体"/>
                <w:sz w:val="24"/>
                <w:szCs w:val="24"/>
              </w:rPr>
            </w:pPr>
            <w:r>
              <w:rPr>
                <w:rFonts w:hint="eastAsia" w:ascii="宋体" w:hAnsi="宋体" w:eastAsia="宋体" w:cs="宋体"/>
                <w:color w:val="000000"/>
                <w:sz w:val="24"/>
                <w:szCs w:val="24"/>
              </w:rPr>
              <w:t>4.2</w:t>
            </w:r>
          </w:p>
        </w:tc>
        <w:tc>
          <w:tcPr>
            <w:tcW w:w="3618" w:type="dxa"/>
            <w:tcBorders>
              <w:top w:val="nil"/>
              <w:left w:val="nil"/>
              <w:bottom w:val="single" w:color="000000" w:sz="4" w:space="0"/>
              <w:right w:val="single" w:color="000000" w:sz="4" w:space="0"/>
            </w:tcBorders>
            <w:tcMar>
              <w:top w:w="0" w:type="dxa"/>
              <w:left w:w="105" w:type="dxa"/>
              <w:bottom w:w="0" w:type="dxa"/>
              <w:right w:w="105" w:type="dxa"/>
            </w:tcMar>
            <w:vAlign w:val="top"/>
          </w:tcPr>
          <w:p w14:paraId="3795AF02">
            <w:pPr>
              <w:pStyle w:val="6"/>
              <w:keepNext w:val="0"/>
              <w:keepLines w:val="0"/>
              <w:pageBreakBefore w:val="0"/>
              <w:widowControl/>
              <w:kinsoku/>
              <w:wordWrap/>
              <w:overflowPunct/>
              <w:topLinePunct w:val="0"/>
              <w:autoSpaceDE/>
              <w:autoSpaceDN/>
              <w:bidi w:val="0"/>
              <w:adjustRightInd/>
              <w:snapToGrid/>
              <w:spacing w:line="500" w:lineRule="exact"/>
              <w:ind w:firstLine="0"/>
              <w:jc w:val="both"/>
              <w:textAlignment w:val="auto"/>
              <w:rPr>
                <w:rFonts w:hint="eastAsia" w:ascii="宋体" w:hAnsi="宋体" w:eastAsia="宋体" w:cs="宋体"/>
                <w:sz w:val="24"/>
                <w:szCs w:val="24"/>
              </w:rPr>
            </w:pPr>
            <w:r>
              <w:rPr>
                <w:rFonts w:hint="eastAsia" w:ascii="宋体" w:hAnsi="宋体" w:eastAsia="宋体" w:cs="宋体"/>
                <w:color w:val="000000"/>
                <w:sz w:val="24"/>
                <w:szCs w:val="24"/>
              </w:rPr>
              <w:t>问卷引擎</w:t>
            </w:r>
          </w:p>
        </w:tc>
        <w:tc>
          <w:tcPr>
            <w:tcW w:w="1455" w:type="dxa"/>
            <w:tcBorders>
              <w:top w:val="nil"/>
              <w:left w:val="nil"/>
              <w:bottom w:val="single" w:color="000000" w:sz="4" w:space="0"/>
              <w:right w:val="single" w:color="000000" w:sz="4" w:space="0"/>
            </w:tcBorders>
            <w:tcMar>
              <w:top w:w="0" w:type="dxa"/>
              <w:left w:w="105" w:type="dxa"/>
              <w:bottom w:w="0" w:type="dxa"/>
              <w:right w:w="105" w:type="dxa"/>
            </w:tcMar>
            <w:vAlign w:val="top"/>
          </w:tcPr>
          <w:p w14:paraId="7AE1557D">
            <w:pPr>
              <w:pStyle w:val="6"/>
              <w:keepNext w:val="0"/>
              <w:keepLines w:val="0"/>
              <w:pageBreakBefore w:val="0"/>
              <w:widowControl/>
              <w:kinsoku/>
              <w:wordWrap/>
              <w:overflowPunct/>
              <w:topLinePunct w:val="0"/>
              <w:autoSpaceDE/>
              <w:autoSpaceDN/>
              <w:bidi w:val="0"/>
              <w:adjustRightInd/>
              <w:snapToGrid/>
              <w:spacing w:line="500" w:lineRule="exact"/>
              <w:ind w:firstLine="0"/>
              <w:jc w:val="center"/>
              <w:textAlignment w:val="auto"/>
              <w:rPr>
                <w:rFonts w:hint="eastAsia" w:ascii="宋体" w:hAnsi="宋体" w:eastAsia="宋体" w:cs="宋体"/>
                <w:sz w:val="24"/>
                <w:szCs w:val="24"/>
              </w:rPr>
            </w:pPr>
            <w:r>
              <w:rPr>
                <w:rFonts w:hint="eastAsia" w:ascii="宋体" w:hAnsi="宋体" w:eastAsia="宋体" w:cs="宋体"/>
                <w:color w:val="000000"/>
                <w:sz w:val="24"/>
                <w:szCs w:val="24"/>
              </w:rPr>
              <w:t>1套</w:t>
            </w:r>
          </w:p>
        </w:tc>
        <w:tc>
          <w:tcPr>
            <w:tcW w:w="2359" w:type="dxa"/>
            <w:tcBorders>
              <w:top w:val="nil"/>
              <w:left w:val="nil"/>
              <w:bottom w:val="single" w:color="000000" w:sz="4" w:space="0"/>
              <w:right w:val="single" w:color="000000" w:sz="4" w:space="0"/>
            </w:tcBorders>
            <w:tcMar>
              <w:top w:w="0" w:type="dxa"/>
              <w:left w:w="105" w:type="dxa"/>
              <w:bottom w:w="0" w:type="dxa"/>
              <w:right w:w="105" w:type="dxa"/>
            </w:tcMar>
            <w:vAlign w:val="top"/>
          </w:tcPr>
          <w:p w14:paraId="08FF5CCC">
            <w:pPr>
              <w:pStyle w:val="6"/>
              <w:keepNext w:val="0"/>
              <w:keepLines w:val="0"/>
              <w:pageBreakBefore w:val="0"/>
              <w:widowControl/>
              <w:kinsoku/>
              <w:wordWrap/>
              <w:overflowPunct/>
              <w:topLinePunct w:val="0"/>
              <w:autoSpaceDE/>
              <w:autoSpaceDN/>
              <w:bidi w:val="0"/>
              <w:adjustRightInd/>
              <w:snapToGrid/>
              <w:spacing w:line="500" w:lineRule="exact"/>
              <w:ind w:firstLine="0"/>
              <w:jc w:val="center"/>
              <w:textAlignment w:val="auto"/>
              <w:rPr>
                <w:rFonts w:hint="eastAsia" w:ascii="宋体" w:hAnsi="宋体" w:eastAsia="宋体" w:cs="宋体"/>
                <w:sz w:val="24"/>
                <w:szCs w:val="24"/>
              </w:rPr>
            </w:pPr>
            <w:r>
              <w:rPr>
                <w:rFonts w:hint="eastAsia" w:ascii="宋体" w:hAnsi="宋体" w:eastAsia="宋体" w:cs="宋体"/>
                <w:color w:val="000000"/>
                <w:sz w:val="24"/>
                <w:szCs w:val="24"/>
              </w:rPr>
              <w:t>17.200000</w:t>
            </w:r>
          </w:p>
        </w:tc>
      </w:tr>
      <w:tr w14:paraId="30F435FF">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99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09330190">
            <w:pPr>
              <w:pStyle w:val="6"/>
              <w:keepNext w:val="0"/>
              <w:keepLines w:val="0"/>
              <w:pageBreakBefore w:val="0"/>
              <w:widowControl/>
              <w:kinsoku/>
              <w:wordWrap/>
              <w:overflowPunct/>
              <w:topLinePunct w:val="0"/>
              <w:autoSpaceDE/>
              <w:autoSpaceDN/>
              <w:bidi w:val="0"/>
              <w:adjustRightInd/>
              <w:snapToGrid/>
              <w:spacing w:line="500" w:lineRule="exact"/>
              <w:ind w:firstLine="0"/>
              <w:jc w:val="center"/>
              <w:textAlignment w:val="auto"/>
              <w:rPr>
                <w:rFonts w:hint="eastAsia" w:ascii="宋体" w:hAnsi="宋体" w:eastAsia="宋体" w:cs="宋体"/>
                <w:sz w:val="24"/>
                <w:szCs w:val="24"/>
              </w:rPr>
            </w:pPr>
            <w:r>
              <w:rPr>
                <w:rFonts w:hint="eastAsia" w:ascii="宋体" w:hAnsi="宋体" w:eastAsia="宋体" w:cs="宋体"/>
                <w:color w:val="000000"/>
                <w:sz w:val="24"/>
                <w:szCs w:val="24"/>
              </w:rPr>
              <w:t>4.3</w:t>
            </w:r>
          </w:p>
        </w:tc>
        <w:tc>
          <w:tcPr>
            <w:tcW w:w="3618" w:type="dxa"/>
            <w:tcBorders>
              <w:top w:val="nil"/>
              <w:left w:val="nil"/>
              <w:bottom w:val="single" w:color="000000" w:sz="4" w:space="0"/>
              <w:right w:val="single" w:color="000000" w:sz="4" w:space="0"/>
            </w:tcBorders>
            <w:tcMar>
              <w:top w:w="0" w:type="dxa"/>
              <w:left w:w="105" w:type="dxa"/>
              <w:bottom w:w="0" w:type="dxa"/>
              <w:right w:w="105" w:type="dxa"/>
            </w:tcMar>
            <w:vAlign w:val="top"/>
          </w:tcPr>
          <w:p w14:paraId="206BDAFC">
            <w:pPr>
              <w:pStyle w:val="6"/>
              <w:keepNext w:val="0"/>
              <w:keepLines w:val="0"/>
              <w:pageBreakBefore w:val="0"/>
              <w:widowControl/>
              <w:kinsoku/>
              <w:wordWrap/>
              <w:overflowPunct/>
              <w:topLinePunct w:val="0"/>
              <w:autoSpaceDE/>
              <w:autoSpaceDN/>
              <w:bidi w:val="0"/>
              <w:adjustRightInd/>
              <w:snapToGrid/>
              <w:spacing w:line="500" w:lineRule="exact"/>
              <w:ind w:firstLine="0"/>
              <w:jc w:val="both"/>
              <w:textAlignment w:val="auto"/>
              <w:rPr>
                <w:rFonts w:hint="eastAsia" w:ascii="宋体" w:hAnsi="宋体" w:eastAsia="宋体" w:cs="宋体"/>
                <w:sz w:val="24"/>
                <w:szCs w:val="24"/>
              </w:rPr>
            </w:pPr>
            <w:r>
              <w:rPr>
                <w:rFonts w:hint="eastAsia" w:ascii="宋体" w:hAnsi="宋体" w:eastAsia="宋体" w:cs="宋体"/>
                <w:color w:val="000000"/>
                <w:sz w:val="24"/>
                <w:szCs w:val="24"/>
              </w:rPr>
              <w:t>内容管理</w:t>
            </w:r>
          </w:p>
        </w:tc>
        <w:tc>
          <w:tcPr>
            <w:tcW w:w="1455" w:type="dxa"/>
            <w:tcBorders>
              <w:top w:val="nil"/>
              <w:left w:val="nil"/>
              <w:bottom w:val="single" w:color="000000" w:sz="4" w:space="0"/>
              <w:right w:val="single" w:color="000000" w:sz="4" w:space="0"/>
            </w:tcBorders>
            <w:tcMar>
              <w:top w:w="0" w:type="dxa"/>
              <w:left w:w="105" w:type="dxa"/>
              <w:bottom w:w="0" w:type="dxa"/>
              <w:right w:w="105" w:type="dxa"/>
            </w:tcMar>
            <w:vAlign w:val="top"/>
          </w:tcPr>
          <w:p w14:paraId="48999120">
            <w:pPr>
              <w:pStyle w:val="6"/>
              <w:keepNext w:val="0"/>
              <w:keepLines w:val="0"/>
              <w:pageBreakBefore w:val="0"/>
              <w:widowControl/>
              <w:kinsoku/>
              <w:wordWrap/>
              <w:overflowPunct/>
              <w:topLinePunct w:val="0"/>
              <w:autoSpaceDE/>
              <w:autoSpaceDN/>
              <w:bidi w:val="0"/>
              <w:adjustRightInd/>
              <w:snapToGrid/>
              <w:spacing w:line="500" w:lineRule="exact"/>
              <w:ind w:firstLine="0"/>
              <w:jc w:val="center"/>
              <w:textAlignment w:val="auto"/>
              <w:rPr>
                <w:rFonts w:hint="eastAsia" w:ascii="宋体" w:hAnsi="宋体" w:eastAsia="宋体" w:cs="宋体"/>
                <w:sz w:val="24"/>
                <w:szCs w:val="24"/>
              </w:rPr>
            </w:pPr>
            <w:r>
              <w:rPr>
                <w:rFonts w:hint="eastAsia" w:ascii="宋体" w:hAnsi="宋体" w:eastAsia="宋体" w:cs="宋体"/>
                <w:color w:val="000000"/>
                <w:sz w:val="24"/>
                <w:szCs w:val="24"/>
              </w:rPr>
              <w:t>1套</w:t>
            </w:r>
          </w:p>
        </w:tc>
        <w:tc>
          <w:tcPr>
            <w:tcW w:w="2359" w:type="dxa"/>
            <w:tcBorders>
              <w:top w:val="nil"/>
              <w:left w:val="nil"/>
              <w:bottom w:val="single" w:color="000000" w:sz="4" w:space="0"/>
              <w:right w:val="single" w:color="000000" w:sz="4" w:space="0"/>
            </w:tcBorders>
            <w:tcMar>
              <w:top w:w="0" w:type="dxa"/>
              <w:left w:w="105" w:type="dxa"/>
              <w:bottom w:w="0" w:type="dxa"/>
              <w:right w:w="105" w:type="dxa"/>
            </w:tcMar>
            <w:vAlign w:val="top"/>
          </w:tcPr>
          <w:p w14:paraId="5CA1D39B">
            <w:pPr>
              <w:pStyle w:val="6"/>
              <w:keepNext w:val="0"/>
              <w:keepLines w:val="0"/>
              <w:pageBreakBefore w:val="0"/>
              <w:widowControl/>
              <w:kinsoku/>
              <w:wordWrap/>
              <w:overflowPunct/>
              <w:topLinePunct w:val="0"/>
              <w:autoSpaceDE/>
              <w:autoSpaceDN/>
              <w:bidi w:val="0"/>
              <w:adjustRightInd/>
              <w:snapToGrid/>
              <w:spacing w:line="500" w:lineRule="exact"/>
              <w:ind w:firstLine="0"/>
              <w:jc w:val="center"/>
              <w:textAlignment w:val="auto"/>
              <w:rPr>
                <w:rFonts w:hint="eastAsia" w:ascii="宋体" w:hAnsi="宋体" w:eastAsia="宋体" w:cs="宋体"/>
                <w:sz w:val="24"/>
                <w:szCs w:val="24"/>
              </w:rPr>
            </w:pPr>
            <w:r>
              <w:rPr>
                <w:rFonts w:hint="eastAsia" w:ascii="宋体" w:hAnsi="宋体" w:eastAsia="宋体" w:cs="宋体"/>
                <w:color w:val="000000"/>
                <w:sz w:val="24"/>
                <w:szCs w:val="24"/>
              </w:rPr>
              <w:t>8.800000</w:t>
            </w:r>
          </w:p>
        </w:tc>
      </w:tr>
      <w:tr w14:paraId="57420EFC">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99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791ADC51">
            <w:pPr>
              <w:pStyle w:val="6"/>
              <w:keepNext w:val="0"/>
              <w:keepLines w:val="0"/>
              <w:pageBreakBefore w:val="0"/>
              <w:widowControl/>
              <w:kinsoku/>
              <w:wordWrap/>
              <w:overflowPunct/>
              <w:topLinePunct w:val="0"/>
              <w:autoSpaceDE/>
              <w:autoSpaceDN/>
              <w:bidi w:val="0"/>
              <w:adjustRightInd/>
              <w:snapToGrid/>
              <w:spacing w:line="500" w:lineRule="exact"/>
              <w:ind w:firstLine="0"/>
              <w:jc w:val="center"/>
              <w:textAlignment w:val="auto"/>
              <w:rPr>
                <w:rFonts w:hint="eastAsia" w:ascii="宋体" w:hAnsi="宋体" w:eastAsia="宋体" w:cs="宋体"/>
                <w:sz w:val="24"/>
                <w:szCs w:val="24"/>
              </w:rPr>
            </w:pPr>
            <w:r>
              <w:rPr>
                <w:rFonts w:hint="eastAsia" w:ascii="宋体" w:hAnsi="宋体" w:eastAsia="宋体" w:cs="宋体"/>
                <w:color w:val="000000"/>
                <w:sz w:val="24"/>
                <w:szCs w:val="24"/>
              </w:rPr>
              <w:t>4.4</w:t>
            </w:r>
          </w:p>
        </w:tc>
        <w:tc>
          <w:tcPr>
            <w:tcW w:w="3618" w:type="dxa"/>
            <w:tcBorders>
              <w:top w:val="nil"/>
              <w:left w:val="nil"/>
              <w:bottom w:val="single" w:color="000000" w:sz="4" w:space="0"/>
              <w:right w:val="single" w:color="000000" w:sz="4" w:space="0"/>
            </w:tcBorders>
            <w:tcMar>
              <w:top w:w="0" w:type="dxa"/>
              <w:left w:w="105" w:type="dxa"/>
              <w:bottom w:w="0" w:type="dxa"/>
              <w:right w:w="105" w:type="dxa"/>
            </w:tcMar>
            <w:vAlign w:val="top"/>
          </w:tcPr>
          <w:p w14:paraId="7EBD3A5A">
            <w:pPr>
              <w:pStyle w:val="6"/>
              <w:keepNext w:val="0"/>
              <w:keepLines w:val="0"/>
              <w:pageBreakBefore w:val="0"/>
              <w:widowControl/>
              <w:kinsoku/>
              <w:wordWrap/>
              <w:overflowPunct/>
              <w:topLinePunct w:val="0"/>
              <w:autoSpaceDE/>
              <w:autoSpaceDN/>
              <w:bidi w:val="0"/>
              <w:adjustRightInd/>
              <w:snapToGrid/>
              <w:spacing w:line="500" w:lineRule="exact"/>
              <w:ind w:firstLine="0"/>
              <w:jc w:val="both"/>
              <w:textAlignment w:val="auto"/>
              <w:rPr>
                <w:rFonts w:hint="eastAsia" w:ascii="宋体" w:hAnsi="宋体" w:eastAsia="宋体" w:cs="宋体"/>
                <w:sz w:val="24"/>
                <w:szCs w:val="24"/>
              </w:rPr>
            </w:pPr>
            <w:r>
              <w:rPr>
                <w:rFonts w:hint="eastAsia" w:ascii="宋体" w:hAnsi="宋体" w:eastAsia="宋体" w:cs="宋体"/>
                <w:color w:val="000000"/>
                <w:sz w:val="24"/>
                <w:szCs w:val="24"/>
              </w:rPr>
              <w:t>API网关</w:t>
            </w:r>
          </w:p>
        </w:tc>
        <w:tc>
          <w:tcPr>
            <w:tcW w:w="1455" w:type="dxa"/>
            <w:tcBorders>
              <w:top w:val="nil"/>
              <w:left w:val="nil"/>
              <w:bottom w:val="single" w:color="000000" w:sz="4" w:space="0"/>
              <w:right w:val="single" w:color="000000" w:sz="4" w:space="0"/>
            </w:tcBorders>
            <w:tcMar>
              <w:top w:w="0" w:type="dxa"/>
              <w:left w:w="105" w:type="dxa"/>
              <w:bottom w:w="0" w:type="dxa"/>
              <w:right w:w="105" w:type="dxa"/>
            </w:tcMar>
            <w:vAlign w:val="top"/>
          </w:tcPr>
          <w:p w14:paraId="5201B46B">
            <w:pPr>
              <w:pStyle w:val="6"/>
              <w:keepNext w:val="0"/>
              <w:keepLines w:val="0"/>
              <w:pageBreakBefore w:val="0"/>
              <w:widowControl/>
              <w:kinsoku/>
              <w:wordWrap/>
              <w:overflowPunct/>
              <w:topLinePunct w:val="0"/>
              <w:autoSpaceDE/>
              <w:autoSpaceDN/>
              <w:bidi w:val="0"/>
              <w:adjustRightInd/>
              <w:snapToGrid/>
              <w:spacing w:line="500" w:lineRule="exact"/>
              <w:ind w:firstLine="0"/>
              <w:jc w:val="center"/>
              <w:textAlignment w:val="auto"/>
              <w:rPr>
                <w:rFonts w:hint="eastAsia" w:ascii="宋体" w:hAnsi="宋体" w:eastAsia="宋体" w:cs="宋体"/>
                <w:sz w:val="24"/>
                <w:szCs w:val="24"/>
              </w:rPr>
            </w:pPr>
            <w:r>
              <w:rPr>
                <w:rFonts w:hint="eastAsia" w:ascii="宋体" w:hAnsi="宋体" w:eastAsia="宋体" w:cs="宋体"/>
                <w:color w:val="000000"/>
                <w:sz w:val="24"/>
                <w:szCs w:val="24"/>
              </w:rPr>
              <w:t>1套</w:t>
            </w:r>
          </w:p>
        </w:tc>
        <w:tc>
          <w:tcPr>
            <w:tcW w:w="2359" w:type="dxa"/>
            <w:tcBorders>
              <w:top w:val="nil"/>
              <w:left w:val="nil"/>
              <w:bottom w:val="single" w:color="000000" w:sz="4" w:space="0"/>
              <w:right w:val="single" w:color="000000" w:sz="4" w:space="0"/>
            </w:tcBorders>
            <w:tcMar>
              <w:top w:w="0" w:type="dxa"/>
              <w:left w:w="105" w:type="dxa"/>
              <w:bottom w:w="0" w:type="dxa"/>
              <w:right w:w="105" w:type="dxa"/>
            </w:tcMar>
            <w:vAlign w:val="top"/>
          </w:tcPr>
          <w:p w14:paraId="31F8566C">
            <w:pPr>
              <w:pStyle w:val="6"/>
              <w:keepNext w:val="0"/>
              <w:keepLines w:val="0"/>
              <w:pageBreakBefore w:val="0"/>
              <w:widowControl/>
              <w:kinsoku/>
              <w:wordWrap/>
              <w:overflowPunct/>
              <w:topLinePunct w:val="0"/>
              <w:autoSpaceDE/>
              <w:autoSpaceDN/>
              <w:bidi w:val="0"/>
              <w:adjustRightInd/>
              <w:snapToGrid/>
              <w:spacing w:line="500" w:lineRule="exact"/>
              <w:ind w:firstLine="0"/>
              <w:jc w:val="center"/>
              <w:textAlignment w:val="auto"/>
              <w:rPr>
                <w:rFonts w:hint="eastAsia" w:ascii="宋体" w:hAnsi="宋体" w:eastAsia="宋体" w:cs="宋体"/>
                <w:sz w:val="24"/>
                <w:szCs w:val="24"/>
              </w:rPr>
            </w:pPr>
            <w:r>
              <w:rPr>
                <w:rFonts w:hint="eastAsia" w:ascii="宋体" w:hAnsi="宋体" w:eastAsia="宋体" w:cs="宋体"/>
                <w:color w:val="000000"/>
                <w:sz w:val="24"/>
                <w:szCs w:val="24"/>
              </w:rPr>
              <w:t>27.600000</w:t>
            </w:r>
          </w:p>
        </w:tc>
      </w:tr>
      <w:tr w14:paraId="0507DF4B">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99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6D8F492A">
            <w:pPr>
              <w:pStyle w:val="6"/>
              <w:keepNext w:val="0"/>
              <w:keepLines w:val="0"/>
              <w:pageBreakBefore w:val="0"/>
              <w:widowControl/>
              <w:kinsoku/>
              <w:wordWrap/>
              <w:overflowPunct/>
              <w:topLinePunct w:val="0"/>
              <w:autoSpaceDE/>
              <w:autoSpaceDN/>
              <w:bidi w:val="0"/>
              <w:adjustRightInd/>
              <w:snapToGrid/>
              <w:spacing w:line="500" w:lineRule="exact"/>
              <w:ind w:firstLine="0"/>
              <w:jc w:val="center"/>
              <w:textAlignment w:val="auto"/>
              <w:rPr>
                <w:rFonts w:hint="eastAsia" w:ascii="宋体" w:hAnsi="宋体" w:eastAsia="宋体" w:cs="宋体"/>
                <w:sz w:val="24"/>
                <w:szCs w:val="24"/>
              </w:rPr>
            </w:pPr>
            <w:r>
              <w:rPr>
                <w:rFonts w:hint="eastAsia" w:ascii="宋体" w:hAnsi="宋体" w:eastAsia="宋体" w:cs="宋体"/>
                <w:b/>
                <w:color w:val="000000"/>
                <w:sz w:val="24"/>
                <w:szCs w:val="24"/>
              </w:rPr>
              <w:t>5</w:t>
            </w:r>
          </w:p>
        </w:tc>
        <w:tc>
          <w:tcPr>
            <w:tcW w:w="3618" w:type="dxa"/>
            <w:tcBorders>
              <w:top w:val="nil"/>
              <w:left w:val="nil"/>
              <w:bottom w:val="single" w:color="000000" w:sz="4" w:space="0"/>
              <w:right w:val="single" w:color="000000" w:sz="4" w:space="0"/>
            </w:tcBorders>
            <w:tcMar>
              <w:top w:w="0" w:type="dxa"/>
              <w:left w:w="105" w:type="dxa"/>
              <w:bottom w:w="0" w:type="dxa"/>
              <w:right w:w="105" w:type="dxa"/>
            </w:tcMar>
            <w:vAlign w:val="top"/>
          </w:tcPr>
          <w:p w14:paraId="64DBD002">
            <w:pPr>
              <w:pStyle w:val="6"/>
              <w:keepNext w:val="0"/>
              <w:keepLines w:val="0"/>
              <w:pageBreakBefore w:val="0"/>
              <w:widowControl/>
              <w:kinsoku/>
              <w:wordWrap/>
              <w:overflowPunct/>
              <w:topLinePunct w:val="0"/>
              <w:autoSpaceDE/>
              <w:autoSpaceDN/>
              <w:bidi w:val="0"/>
              <w:adjustRightInd/>
              <w:snapToGrid/>
              <w:spacing w:line="500" w:lineRule="exact"/>
              <w:ind w:firstLine="0"/>
              <w:jc w:val="both"/>
              <w:textAlignment w:val="auto"/>
              <w:rPr>
                <w:rFonts w:hint="eastAsia" w:ascii="宋体" w:hAnsi="宋体" w:eastAsia="宋体" w:cs="宋体"/>
                <w:sz w:val="24"/>
                <w:szCs w:val="24"/>
              </w:rPr>
            </w:pPr>
            <w:r>
              <w:rPr>
                <w:rFonts w:hint="eastAsia" w:ascii="宋体" w:hAnsi="宋体" w:eastAsia="宋体" w:cs="宋体"/>
                <w:b/>
                <w:color w:val="000000"/>
                <w:sz w:val="24"/>
                <w:szCs w:val="24"/>
              </w:rPr>
              <w:t>院内业务系统扩展</w:t>
            </w:r>
          </w:p>
        </w:tc>
        <w:tc>
          <w:tcPr>
            <w:tcW w:w="1455" w:type="dxa"/>
            <w:tcBorders>
              <w:top w:val="nil"/>
              <w:left w:val="nil"/>
              <w:bottom w:val="single" w:color="000000" w:sz="4" w:space="0"/>
              <w:right w:val="single" w:color="000000" w:sz="4" w:space="0"/>
            </w:tcBorders>
            <w:tcMar>
              <w:top w:w="0" w:type="dxa"/>
              <w:left w:w="105" w:type="dxa"/>
              <w:bottom w:w="0" w:type="dxa"/>
              <w:right w:w="105" w:type="dxa"/>
            </w:tcMar>
            <w:vAlign w:val="top"/>
          </w:tcPr>
          <w:p w14:paraId="77BF3F62">
            <w:pPr>
              <w:pStyle w:val="6"/>
              <w:keepNext w:val="0"/>
              <w:keepLines w:val="0"/>
              <w:pageBreakBefore w:val="0"/>
              <w:widowControl/>
              <w:kinsoku/>
              <w:wordWrap/>
              <w:overflowPunct/>
              <w:topLinePunct w:val="0"/>
              <w:autoSpaceDE/>
              <w:autoSpaceDN/>
              <w:bidi w:val="0"/>
              <w:adjustRightInd/>
              <w:snapToGrid/>
              <w:spacing w:line="500" w:lineRule="exact"/>
              <w:ind w:firstLine="0"/>
              <w:jc w:val="center"/>
              <w:textAlignment w:val="auto"/>
              <w:rPr>
                <w:rFonts w:hint="eastAsia" w:ascii="宋体" w:hAnsi="宋体" w:eastAsia="宋体" w:cs="宋体"/>
                <w:sz w:val="24"/>
                <w:szCs w:val="24"/>
              </w:rPr>
            </w:pPr>
          </w:p>
        </w:tc>
        <w:tc>
          <w:tcPr>
            <w:tcW w:w="2359" w:type="dxa"/>
            <w:tcBorders>
              <w:top w:val="nil"/>
              <w:left w:val="nil"/>
              <w:bottom w:val="single" w:color="000000" w:sz="4" w:space="0"/>
              <w:right w:val="single" w:color="000000" w:sz="4" w:space="0"/>
            </w:tcBorders>
            <w:tcMar>
              <w:top w:w="0" w:type="dxa"/>
              <w:left w:w="105" w:type="dxa"/>
              <w:bottom w:w="0" w:type="dxa"/>
              <w:right w:w="105" w:type="dxa"/>
            </w:tcMar>
            <w:vAlign w:val="top"/>
          </w:tcPr>
          <w:p w14:paraId="1CAFA87B">
            <w:pPr>
              <w:pStyle w:val="6"/>
              <w:keepNext w:val="0"/>
              <w:keepLines w:val="0"/>
              <w:pageBreakBefore w:val="0"/>
              <w:widowControl/>
              <w:kinsoku/>
              <w:wordWrap/>
              <w:overflowPunct/>
              <w:topLinePunct w:val="0"/>
              <w:autoSpaceDE/>
              <w:autoSpaceDN/>
              <w:bidi w:val="0"/>
              <w:adjustRightInd/>
              <w:snapToGrid/>
              <w:spacing w:line="500" w:lineRule="exact"/>
              <w:ind w:firstLine="0"/>
              <w:jc w:val="center"/>
              <w:textAlignment w:val="auto"/>
              <w:rPr>
                <w:rFonts w:hint="eastAsia" w:ascii="宋体" w:hAnsi="宋体" w:eastAsia="宋体" w:cs="宋体"/>
                <w:sz w:val="24"/>
                <w:szCs w:val="24"/>
              </w:rPr>
            </w:pPr>
            <w:r>
              <w:rPr>
                <w:rFonts w:hint="eastAsia" w:ascii="宋体" w:hAnsi="宋体" w:eastAsia="宋体" w:cs="宋体"/>
                <w:b/>
                <w:color w:val="000000"/>
                <w:sz w:val="24"/>
                <w:szCs w:val="24"/>
              </w:rPr>
              <w:t>408.490000</w:t>
            </w:r>
          </w:p>
        </w:tc>
      </w:tr>
      <w:tr w14:paraId="1B430689">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99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5F4A384">
            <w:pPr>
              <w:pStyle w:val="6"/>
              <w:keepNext w:val="0"/>
              <w:keepLines w:val="0"/>
              <w:pageBreakBefore w:val="0"/>
              <w:widowControl/>
              <w:kinsoku/>
              <w:wordWrap/>
              <w:overflowPunct/>
              <w:topLinePunct w:val="0"/>
              <w:autoSpaceDE/>
              <w:autoSpaceDN/>
              <w:bidi w:val="0"/>
              <w:adjustRightInd/>
              <w:snapToGrid/>
              <w:spacing w:line="500" w:lineRule="exact"/>
              <w:ind w:firstLine="0"/>
              <w:jc w:val="center"/>
              <w:textAlignment w:val="auto"/>
              <w:rPr>
                <w:rFonts w:hint="eastAsia" w:ascii="宋体" w:hAnsi="宋体" w:eastAsia="宋体" w:cs="宋体"/>
                <w:sz w:val="24"/>
                <w:szCs w:val="24"/>
              </w:rPr>
            </w:pPr>
            <w:r>
              <w:rPr>
                <w:rFonts w:hint="eastAsia" w:ascii="宋体" w:hAnsi="宋体" w:eastAsia="宋体" w:cs="宋体"/>
                <w:b/>
                <w:color w:val="000000"/>
                <w:sz w:val="24"/>
                <w:szCs w:val="24"/>
              </w:rPr>
              <w:t>5.1</w:t>
            </w:r>
          </w:p>
        </w:tc>
        <w:tc>
          <w:tcPr>
            <w:tcW w:w="3618" w:type="dxa"/>
            <w:tcBorders>
              <w:top w:val="nil"/>
              <w:left w:val="nil"/>
              <w:bottom w:val="single" w:color="000000" w:sz="4" w:space="0"/>
              <w:right w:val="single" w:color="000000" w:sz="4" w:space="0"/>
            </w:tcBorders>
            <w:tcMar>
              <w:top w:w="0" w:type="dxa"/>
              <w:left w:w="105" w:type="dxa"/>
              <w:bottom w:w="0" w:type="dxa"/>
              <w:right w:w="105" w:type="dxa"/>
            </w:tcMar>
            <w:vAlign w:val="top"/>
          </w:tcPr>
          <w:p w14:paraId="1390FCD1">
            <w:pPr>
              <w:pStyle w:val="6"/>
              <w:keepNext w:val="0"/>
              <w:keepLines w:val="0"/>
              <w:pageBreakBefore w:val="0"/>
              <w:widowControl/>
              <w:kinsoku/>
              <w:wordWrap/>
              <w:overflowPunct/>
              <w:topLinePunct w:val="0"/>
              <w:autoSpaceDE/>
              <w:autoSpaceDN/>
              <w:bidi w:val="0"/>
              <w:adjustRightInd/>
              <w:snapToGrid/>
              <w:spacing w:line="500" w:lineRule="exact"/>
              <w:ind w:firstLine="0"/>
              <w:jc w:val="both"/>
              <w:textAlignment w:val="auto"/>
              <w:rPr>
                <w:rFonts w:hint="eastAsia" w:ascii="宋体" w:hAnsi="宋体" w:eastAsia="宋体" w:cs="宋体"/>
                <w:sz w:val="24"/>
                <w:szCs w:val="24"/>
              </w:rPr>
            </w:pPr>
            <w:r>
              <w:rPr>
                <w:rFonts w:hint="eastAsia" w:ascii="宋体" w:hAnsi="宋体" w:eastAsia="宋体" w:cs="宋体"/>
                <w:b/>
                <w:color w:val="000000"/>
                <w:sz w:val="24"/>
                <w:szCs w:val="24"/>
              </w:rPr>
              <w:t>AI病历生成与质控系统</w:t>
            </w:r>
          </w:p>
        </w:tc>
        <w:tc>
          <w:tcPr>
            <w:tcW w:w="1455" w:type="dxa"/>
            <w:tcBorders>
              <w:top w:val="nil"/>
              <w:left w:val="nil"/>
              <w:bottom w:val="single" w:color="000000" w:sz="4" w:space="0"/>
              <w:right w:val="single" w:color="000000" w:sz="4" w:space="0"/>
            </w:tcBorders>
            <w:tcMar>
              <w:top w:w="0" w:type="dxa"/>
              <w:left w:w="105" w:type="dxa"/>
              <w:bottom w:w="0" w:type="dxa"/>
              <w:right w:w="105" w:type="dxa"/>
            </w:tcMar>
            <w:vAlign w:val="top"/>
          </w:tcPr>
          <w:p w14:paraId="7AAD5A0D">
            <w:pPr>
              <w:pStyle w:val="6"/>
              <w:keepNext w:val="0"/>
              <w:keepLines w:val="0"/>
              <w:pageBreakBefore w:val="0"/>
              <w:widowControl/>
              <w:kinsoku/>
              <w:wordWrap/>
              <w:overflowPunct/>
              <w:topLinePunct w:val="0"/>
              <w:autoSpaceDE/>
              <w:autoSpaceDN/>
              <w:bidi w:val="0"/>
              <w:adjustRightInd/>
              <w:snapToGrid/>
              <w:spacing w:line="500" w:lineRule="exact"/>
              <w:ind w:firstLine="0"/>
              <w:jc w:val="center"/>
              <w:textAlignment w:val="auto"/>
              <w:rPr>
                <w:rFonts w:hint="eastAsia" w:ascii="宋体" w:hAnsi="宋体" w:eastAsia="宋体" w:cs="宋体"/>
                <w:sz w:val="24"/>
                <w:szCs w:val="24"/>
              </w:rPr>
            </w:pPr>
          </w:p>
        </w:tc>
        <w:tc>
          <w:tcPr>
            <w:tcW w:w="2359" w:type="dxa"/>
            <w:tcBorders>
              <w:top w:val="nil"/>
              <w:left w:val="nil"/>
              <w:bottom w:val="single" w:color="000000" w:sz="4" w:space="0"/>
              <w:right w:val="single" w:color="000000" w:sz="4" w:space="0"/>
            </w:tcBorders>
            <w:tcMar>
              <w:top w:w="0" w:type="dxa"/>
              <w:left w:w="105" w:type="dxa"/>
              <w:bottom w:w="0" w:type="dxa"/>
              <w:right w:w="105" w:type="dxa"/>
            </w:tcMar>
            <w:vAlign w:val="top"/>
          </w:tcPr>
          <w:p w14:paraId="1F562DEA">
            <w:pPr>
              <w:pStyle w:val="6"/>
              <w:keepNext w:val="0"/>
              <w:keepLines w:val="0"/>
              <w:pageBreakBefore w:val="0"/>
              <w:widowControl/>
              <w:kinsoku/>
              <w:wordWrap/>
              <w:overflowPunct/>
              <w:topLinePunct w:val="0"/>
              <w:autoSpaceDE/>
              <w:autoSpaceDN/>
              <w:bidi w:val="0"/>
              <w:adjustRightInd/>
              <w:snapToGrid/>
              <w:spacing w:line="500" w:lineRule="exact"/>
              <w:ind w:firstLine="0"/>
              <w:jc w:val="center"/>
              <w:textAlignment w:val="auto"/>
              <w:rPr>
                <w:rFonts w:hint="eastAsia" w:ascii="宋体" w:hAnsi="宋体" w:eastAsia="宋体" w:cs="宋体"/>
                <w:sz w:val="24"/>
                <w:szCs w:val="24"/>
              </w:rPr>
            </w:pPr>
            <w:r>
              <w:rPr>
                <w:rFonts w:hint="eastAsia" w:ascii="宋体" w:hAnsi="宋体" w:eastAsia="宋体" w:cs="宋体"/>
                <w:b/>
                <w:color w:val="000000"/>
                <w:sz w:val="24"/>
                <w:szCs w:val="24"/>
              </w:rPr>
              <w:t>325.650000</w:t>
            </w:r>
          </w:p>
        </w:tc>
      </w:tr>
      <w:tr w14:paraId="2D9FF143">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99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5B995D32">
            <w:pPr>
              <w:pStyle w:val="6"/>
              <w:keepNext w:val="0"/>
              <w:keepLines w:val="0"/>
              <w:pageBreakBefore w:val="0"/>
              <w:widowControl/>
              <w:kinsoku/>
              <w:wordWrap/>
              <w:overflowPunct/>
              <w:topLinePunct w:val="0"/>
              <w:autoSpaceDE/>
              <w:autoSpaceDN/>
              <w:bidi w:val="0"/>
              <w:adjustRightInd/>
              <w:snapToGrid/>
              <w:spacing w:line="500" w:lineRule="exact"/>
              <w:ind w:firstLine="0"/>
              <w:jc w:val="center"/>
              <w:textAlignment w:val="auto"/>
              <w:rPr>
                <w:rFonts w:hint="eastAsia" w:ascii="宋体" w:hAnsi="宋体" w:eastAsia="宋体" w:cs="宋体"/>
                <w:sz w:val="24"/>
                <w:szCs w:val="24"/>
              </w:rPr>
            </w:pPr>
            <w:r>
              <w:rPr>
                <w:rFonts w:hint="eastAsia" w:ascii="宋体" w:hAnsi="宋体" w:eastAsia="宋体" w:cs="宋体"/>
                <w:color w:val="000000"/>
                <w:sz w:val="24"/>
                <w:szCs w:val="24"/>
              </w:rPr>
              <w:t>5.1.1</w:t>
            </w:r>
          </w:p>
        </w:tc>
        <w:tc>
          <w:tcPr>
            <w:tcW w:w="3618" w:type="dxa"/>
            <w:tcBorders>
              <w:top w:val="nil"/>
              <w:left w:val="nil"/>
              <w:bottom w:val="single" w:color="000000" w:sz="4" w:space="0"/>
              <w:right w:val="single" w:color="000000" w:sz="4" w:space="0"/>
            </w:tcBorders>
            <w:tcMar>
              <w:top w:w="0" w:type="dxa"/>
              <w:left w:w="105" w:type="dxa"/>
              <w:bottom w:w="0" w:type="dxa"/>
              <w:right w:w="105" w:type="dxa"/>
            </w:tcMar>
            <w:vAlign w:val="top"/>
          </w:tcPr>
          <w:p w14:paraId="033AE255">
            <w:pPr>
              <w:pStyle w:val="6"/>
              <w:keepNext w:val="0"/>
              <w:keepLines w:val="0"/>
              <w:pageBreakBefore w:val="0"/>
              <w:widowControl/>
              <w:kinsoku/>
              <w:wordWrap/>
              <w:overflowPunct/>
              <w:topLinePunct w:val="0"/>
              <w:autoSpaceDE/>
              <w:autoSpaceDN/>
              <w:bidi w:val="0"/>
              <w:adjustRightInd/>
              <w:snapToGrid/>
              <w:spacing w:line="500" w:lineRule="exact"/>
              <w:ind w:firstLine="0"/>
              <w:jc w:val="both"/>
              <w:textAlignment w:val="auto"/>
              <w:rPr>
                <w:rFonts w:hint="eastAsia" w:ascii="宋体" w:hAnsi="宋体" w:eastAsia="宋体" w:cs="宋体"/>
                <w:sz w:val="24"/>
                <w:szCs w:val="24"/>
              </w:rPr>
            </w:pPr>
            <w:r>
              <w:rPr>
                <w:rFonts w:hint="eastAsia" w:ascii="宋体" w:hAnsi="宋体" w:eastAsia="宋体" w:cs="宋体"/>
                <w:color w:val="000000"/>
                <w:sz w:val="24"/>
                <w:szCs w:val="24"/>
              </w:rPr>
              <w:t>系统功能</w:t>
            </w:r>
          </w:p>
        </w:tc>
        <w:tc>
          <w:tcPr>
            <w:tcW w:w="1455" w:type="dxa"/>
            <w:tcBorders>
              <w:top w:val="nil"/>
              <w:left w:val="nil"/>
              <w:bottom w:val="single" w:color="000000" w:sz="4" w:space="0"/>
              <w:right w:val="single" w:color="000000" w:sz="4" w:space="0"/>
            </w:tcBorders>
            <w:tcMar>
              <w:top w:w="0" w:type="dxa"/>
              <w:left w:w="105" w:type="dxa"/>
              <w:bottom w:w="0" w:type="dxa"/>
              <w:right w:w="105" w:type="dxa"/>
            </w:tcMar>
            <w:vAlign w:val="top"/>
          </w:tcPr>
          <w:p w14:paraId="6E6FDC1F">
            <w:pPr>
              <w:pStyle w:val="6"/>
              <w:keepNext w:val="0"/>
              <w:keepLines w:val="0"/>
              <w:pageBreakBefore w:val="0"/>
              <w:widowControl/>
              <w:kinsoku/>
              <w:wordWrap/>
              <w:overflowPunct/>
              <w:topLinePunct w:val="0"/>
              <w:autoSpaceDE/>
              <w:autoSpaceDN/>
              <w:bidi w:val="0"/>
              <w:adjustRightInd/>
              <w:snapToGrid/>
              <w:spacing w:line="500" w:lineRule="exact"/>
              <w:ind w:firstLine="0"/>
              <w:jc w:val="center"/>
              <w:textAlignment w:val="auto"/>
              <w:rPr>
                <w:rFonts w:hint="eastAsia" w:ascii="宋体" w:hAnsi="宋体" w:eastAsia="宋体" w:cs="宋体"/>
                <w:sz w:val="24"/>
                <w:szCs w:val="24"/>
              </w:rPr>
            </w:pPr>
            <w:r>
              <w:rPr>
                <w:rFonts w:hint="eastAsia" w:ascii="宋体" w:hAnsi="宋体" w:eastAsia="宋体" w:cs="宋体"/>
                <w:color w:val="000000"/>
                <w:sz w:val="24"/>
                <w:szCs w:val="24"/>
              </w:rPr>
              <w:t>1套</w:t>
            </w:r>
          </w:p>
        </w:tc>
        <w:tc>
          <w:tcPr>
            <w:tcW w:w="2359" w:type="dxa"/>
            <w:tcBorders>
              <w:top w:val="nil"/>
              <w:left w:val="nil"/>
              <w:bottom w:val="single" w:color="000000" w:sz="4" w:space="0"/>
              <w:right w:val="single" w:color="000000" w:sz="4" w:space="0"/>
            </w:tcBorders>
            <w:tcMar>
              <w:top w:w="0" w:type="dxa"/>
              <w:left w:w="105" w:type="dxa"/>
              <w:bottom w:w="0" w:type="dxa"/>
              <w:right w:w="105" w:type="dxa"/>
            </w:tcMar>
            <w:vAlign w:val="top"/>
          </w:tcPr>
          <w:p w14:paraId="52543434">
            <w:pPr>
              <w:pStyle w:val="6"/>
              <w:keepNext w:val="0"/>
              <w:keepLines w:val="0"/>
              <w:pageBreakBefore w:val="0"/>
              <w:widowControl/>
              <w:kinsoku/>
              <w:wordWrap/>
              <w:overflowPunct/>
              <w:topLinePunct w:val="0"/>
              <w:autoSpaceDE/>
              <w:autoSpaceDN/>
              <w:bidi w:val="0"/>
              <w:adjustRightInd/>
              <w:snapToGrid/>
              <w:spacing w:line="500" w:lineRule="exact"/>
              <w:ind w:firstLine="0"/>
              <w:jc w:val="center"/>
              <w:textAlignment w:val="auto"/>
              <w:rPr>
                <w:rFonts w:hint="eastAsia" w:ascii="宋体" w:hAnsi="宋体" w:eastAsia="宋体" w:cs="宋体"/>
                <w:sz w:val="24"/>
                <w:szCs w:val="24"/>
              </w:rPr>
            </w:pPr>
            <w:r>
              <w:rPr>
                <w:rFonts w:hint="eastAsia" w:ascii="宋体" w:hAnsi="宋体" w:eastAsia="宋体" w:cs="宋体"/>
                <w:color w:val="000000"/>
                <w:sz w:val="24"/>
                <w:szCs w:val="24"/>
              </w:rPr>
              <w:t>171.200000</w:t>
            </w:r>
          </w:p>
        </w:tc>
      </w:tr>
      <w:tr w14:paraId="2C3B7501">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99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177DB9D9">
            <w:pPr>
              <w:pStyle w:val="6"/>
              <w:keepNext w:val="0"/>
              <w:keepLines w:val="0"/>
              <w:pageBreakBefore w:val="0"/>
              <w:widowControl/>
              <w:kinsoku/>
              <w:wordWrap/>
              <w:overflowPunct/>
              <w:topLinePunct w:val="0"/>
              <w:autoSpaceDE/>
              <w:autoSpaceDN/>
              <w:bidi w:val="0"/>
              <w:adjustRightInd/>
              <w:snapToGrid/>
              <w:spacing w:line="500" w:lineRule="exact"/>
              <w:ind w:firstLine="0"/>
              <w:jc w:val="center"/>
              <w:textAlignment w:val="auto"/>
              <w:rPr>
                <w:rFonts w:hint="eastAsia" w:ascii="宋体" w:hAnsi="宋体" w:eastAsia="宋体" w:cs="宋体"/>
                <w:sz w:val="24"/>
                <w:szCs w:val="24"/>
              </w:rPr>
            </w:pPr>
            <w:r>
              <w:rPr>
                <w:rFonts w:hint="eastAsia" w:ascii="宋体" w:hAnsi="宋体" w:eastAsia="宋体" w:cs="宋体"/>
                <w:color w:val="000000"/>
                <w:sz w:val="24"/>
                <w:szCs w:val="24"/>
              </w:rPr>
              <w:t>5.1.2</w:t>
            </w:r>
          </w:p>
        </w:tc>
        <w:tc>
          <w:tcPr>
            <w:tcW w:w="3618" w:type="dxa"/>
            <w:tcBorders>
              <w:top w:val="nil"/>
              <w:left w:val="nil"/>
              <w:bottom w:val="single" w:color="000000" w:sz="4" w:space="0"/>
              <w:right w:val="single" w:color="000000" w:sz="4" w:space="0"/>
            </w:tcBorders>
            <w:tcMar>
              <w:top w:w="0" w:type="dxa"/>
              <w:left w:w="105" w:type="dxa"/>
              <w:bottom w:w="0" w:type="dxa"/>
              <w:right w:w="105" w:type="dxa"/>
            </w:tcMar>
            <w:vAlign w:val="top"/>
          </w:tcPr>
          <w:p w14:paraId="463D545E">
            <w:pPr>
              <w:pStyle w:val="6"/>
              <w:keepNext w:val="0"/>
              <w:keepLines w:val="0"/>
              <w:pageBreakBefore w:val="0"/>
              <w:widowControl/>
              <w:kinsoku/>
              <w:wordWrap/>
              <w:overflowPunct/>
              <w:topLinePunct w:val="0"/>
              <w:autoSpaceDE/>
              <w:autoSpaceDN/>
              <w:bidi w:val="0"/>
              <w:adjustRightInd/>
              <w:snapToGrid/>
              <w:spacing w:line="500" w:lineRule="exact"/>
              <w:ind w:firstLine="0"/>
              <w:jc w:val="both"/>
              <w:textAlignment w:val="auto"/>
              <w:rPr>
                <w:rFonts w:hint="eastAsia" w:ascii="宋体" w:hAnsi="宋体" w:eastAsia="宋体" w:cs="宋体"/>
                <w:sz w:val="24"/>
                <w:szCs w:val="24"/>
              </w:rPr>
            </w:pPr>
            <w:r>
              <w:rPr>
                <w:rFonts w:hint="eastAsia" w:ascii="宋体" w:hAnsi="宋体" w:eastAsia="宋体" w:cs="宋体"/>
                <w:color w:val="000000"/>
                <w:sz w:val="24"/>
                <w:szCs w:val="24"/>
              </w:rPr>
              <w:t>AI算力节点类型1</w:t>
            </w:r>
          </w:p>
        </w:tc>
        <w:tc>
          <w:tcPr>
            <w:tcW w:w="1455" w:type="dxa"/>
            <w:tcBorders>
              <w:top w:val="nil"/>
              <w:left w:val="nil"/>
              <w:bottom w:val="single" w:color="000000" w:sz="4" w:space="0"/>
              <w:right w:val="single" w:color="000000" w:sz="4" w:space="0"/>
            </w:tcBorders>
            <w:tcMar>
              <w:top w:w="0" w:type="dxa"/>
              <w:left w:w="105" w:type="dxa"/>
              <w:bottom w:w="0" w:type="dxa"/>
              <w:right w:w="105" w:type="dxa"/>
            </w:tcMar>
            <w:vAlign w:val="top"/>
          </w:tcPr>
          <w:p w14:paraId="47D693CA">
            <w:pPr>
              <w:pStyle w:val="6"/>
              <w:keepNext w:val="0"/>
              <w:keepLines w:val="0"/>
              <w:pageBreakBefore w:val="0"/>
              <w:widowControl/>
              <w:kinsoku/>
              <w:wordWrap/>
              <w:overflowPunct/>
              <w:topLinePunct w:val="0"/>
              <w:autoSpaceDE/>
              <w:autoSpaceDN/>
              <w:bidi w:val="0"/>
              <w:adjustRightInd/>
              <w:snapToGrid/>
              <w:spacing w:line="500" w:lineRule="exact"/>
              <w:ind w:firstLine="0"/>
              <w:jc w:val="center"/>
              <w:textAlignment w:val="auto"/>
              <w:rPr>
                <w:rFonts w:hint="eastAsia" w:ascii="宋体" w:hAnsi="宋体" w:eastAsia="宋体" w:cs="宋体"/>
                <w:sz w:val="24"/>
                <w:szCs w:val="24"/>
              </w:rPr>
            </w:pPr>
            <w:r>
              <w:rPr>
                <w:rFonts w:hint="eastAsia" w:ascii="宋体" w:hAnsi="宋体" w:eastAsia="宋体" w:cs="宋体"/>
                <w:color w:val="000000"/>
                <w:sz w:val="24"/>
                <w:szCs w:val="24"/>
              </w:rPr>
              <w:t>1台</w:t>
            </w:r>
          </w:p>
        </w:tc>
        <w:tc>
          <w:tcPr>
            <w:tcW w:w="2359" w:type="dxa"/>
            <w:tcBorders>
              <w:top w:val="nil"/>
              <w:left w:val="nil"/>
              <w:bottom w:val="single" w:color="000000" w:sz="4" w:space="0"/>
              <w:right w:val="single" w:color="000000" w:sz="4" w:space="0"/>
            </w:tcBorders>
            <w:tcMar>
              <w:top w:w="0" w:type="dxa"/>
              <w:left w:w="105" w:type="dxa"/>
              <w:bottom w:w="0" w:type="dxa"/>
              <w:right w:w="105" w:type="dxa"/>
            </w:tcMar>
            <w:vAlign w:val="top"/>
          </w:tcPr>
          <w:p w14:paraId="4D8F1F5F">
            <w:pPr>
              <w:pStyle w:val="6"/>
              <w:keepNext w:val="0"/>
              <w:keepLines w:val="0"/>
              <w:pageBreakBefore w:val="0"/>
              <w:widowControl/>
              <w:kinsoku/>
              <w:wordWrap/>
              <w:overflowPunct/>
              <w:topLinePunct w:val="0"/>
              <w:autoSpaceDE/>
              <w:autoSpaceDN/>
              <w:bidi w:val="0"/>
              <w:adjustRightInd/>
              <w:snapToGrid/>
              <w:spacing w:line="500" w:lineRule="exact"/>
              <w:ind w:firstLine="0"/>
              <w:jc w:val="center"/>
              <w:textAlignment w:val="auto"/>
              <w:rPr>
                <w:rFonts w:hint="eastAsia" w:ascii="宋体" w:hAnsi="宋体" w:eastAsia="宋体" w:cs="宋体"/>
                <w:sz w:val="24"/>
                <w:szCs w:val="24"/>
              </w:rPr>
            </w:pPr>
            <w:r>
              <w:rPr>
                <w:rFonts w:hint="eastAsia" w:ascii="宋体" w:hAnsi="宋体" w:eastAsia="宋体" w:cs="宋体"/>
                <w:color w:val="000000"/>
                <w:sz w:val="24"/>
                <w:szCs w:val="24"/>
              </w:rPr>
              <w:t>61.250000</w:t>
            </w:r>
          </w:p>
        </w:tc>
      </w:tr>
      <w:tr w14:paraId="76C6203A">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99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7E8720E">
            <w:pPr>
              <w:pStyle w:val="6"/>
              <w:keepNext w:val="0"/>
              <w:keepLines w:val="0"/>
              <w:pageBreakBefore w:val="0"/>
              <w:widowControl/>
              <w:kinsoku/>
              <w:wordWrap/>
              <w:overflowPunct/>
              <w:topLinePunct w:val="0"/>
              <w:autoSpaceDE/>
              <w:autoSpaceDN/>
              <w:bidi w:val="0"/>
              <w:adjustRightInd/>
              <w:snapToGrid/>
              <w:spacing w:line="500" w:lineRule="exact"/>
              <w:ind w:firstLine="0"/>
              <w:jc w:val="center"/>
              <w:textAlignment w:val="auto"/>
              <w:rPr>
                <w:rFonts w:hint="eastAsia" w:ascii="宋体" w:hAnsi="宋体" w:eastAsia="宋体" w:cs="宋体"/>
                <w:sz w:val="24"/>
                <w:szCs w:val="24"/>
              </w:rPr>
            </w:pPr>
            <w:r>
              <w:rPr>
                <w:rFonts w:hint="eastAsia" w:ascii="宋体" w:hAnsi="宋体" w:eastAsia="宋体" w:cs="宋体"/>
                <w:color w:val="000000"/>
                <w:sz w:val="24"/>
                <w:szCs w:val="24"/>
              </w:rPr>
              <w:t>5.1.3</w:t>
            </w:r>
          </w:p>
        </w:tc>
        <w:tc>
          <w:tcPr>
            <w:tcW w:w="3618" w:type="dxa"/>
            <w:tcBorders>
              <w:top w:val="nil"/>
              <w:left w:val="nil"/>
              <w:bottom w:val="single" w:color="000000" w:sz="4" w:space="0"/>
              <w:right w:val="single" w:color="000000" w:sz="4" w:space="0"/>
            </w:tcBorders>
            <w:tcMar>
              <w:top w:w="0" w:type="dxa"/>
              <w:left w:w="105" w:type="dxa"/>
              <w:bottom w:w="0" w:type="dxa"/>
              <w:right w:w="105" w:type="dxa"/>
            </w:tcMar>
            <w:vAlign w:val="top"/>
          </w:tcPr>
          <w:p w14:paraId="4BC59444">
            <w:pPr>
              <w:pStyle w:val="6"/>
              <w:keepNext w:val="0"/>
              <w:keepLines w:val="0"/>
              <w:pageBreakBefore w:val="0"/>
              <w:widowControl/>
              <w:kinsoku/>
              <w:wordWrap/>
              <w:overflowPunct/>
              <w:topLinePunct w:val="0"/>
              <w:autoSpaceDE/>
              <w:autoSpaceDN/>
              <w:bidi w:val="0"/>
              <w:adjustRightInd/>
              <w:snapToGrid/>
              <w:spacing w:line="500" w:lineRule="exact"/>
              <w:ind w:firstLine="0"/>
              <w:jc w:val="both"/>
              <w:textAlignment w:val="auto"/>
              <w:rPr>
                <w:rFonts w:hint="eastAsia" w:ascii="宋体" w:hAnsi="宋体" w:eastAsia="宋体" w:cs="宋体"/>
                <w:sz w:val="24"/>
                <w:szCs w:val="24"/>
              </w:rPr>
            </w:pPr>
            <w:r>
              <w:rPr>
                <w:rFonts w:hint="eastAsia" w:ascii="宋体" w:hAnsi="宋体" w:eastAsia="宋体" w:cs="宋体"/>
                <w:color w:val="000000"/>
                <w:sz w:val="24"/>
                <w:szCs w:val="24"/>
              </w:rPr>
              <w:t>AI算力节点类型2</w:t>
            </w:r>
          </w:p>
        </w:tc>
        <w:tc>
          <w:tcPr>
            <w:tcW w:w="1455" w:type="dxa"/>
            <w:tcBorders>
              <w:top w:val="nil"/>
              <w:left w:val="nil"/>
              <w:bottom w:val="single" w:color="000000" w:sz="4" w:space="0"/>
              <w:right w:val="single" w:color="000000" w:sz="4" w:space="0"/>
            </w:tcBorders>
            <w:tcMar>
              <w:top w:w="0" w:type="dxa"/>
              <w:left w:w="105" w:type="dxa"/>
              <w:bottom w:w="0" w:type="dxa"/>
              <w:right w:w="105" w:type="dxa"/>
            </w:tcMar>
            <w:vAlign w:val="top"/>
          </w:tcPr>
          <w:p w14:paraId="4071C951">
            <w:pPr>
              <w:pStyle w:val="6"/>
              <w:keepNext w:val="0"/>
              <w:keepLines w:val="0"/>
              <w:pageBreakBefore w:val="0"/>
              <w:widowControl/>
              <w:kinsoku/>
              <w:wordWrap/>
              <w:overflowPunct/>
              <w:topLinePunct w:val="0"/>
              <w:autoSpaceDE/>
              <w:autoSpaceDN/>
              <w:bidi w:val="0"/>
              <w:adjustRightInd/>
              <w:snapToGrid/>
              <w:spacing w:line="500" w:lineRule="exact"/>
              <w:ind w:firstLine="0"/>
              <w:jc w:val="center"/>
              <w:textAlignment w:val="auto"/>
              <w:rPr>
                <w:rFonts w:hint="eastAsia" w:ascii="宋体" w:hAnsi="宋体" w:eastAsia="宋体" w:cs="宋体"/>
                <w:sz w:val="24"/>
                <w:szCs w:val="24"/>
              </w:rPr>
            </w:pPr>
            <w:r>
              <w:rPr>
                <w:rFonts w:hint="eastAsia" w:ascii="宋体" w:hAnsi="宋体" w:eastAsia="宋体" w:cs="宋体"/>
                <w:color w:val="000000"/>
                <w:sz w:val="24"/>
                <w:szCs w:val="24"/>
              </w:rPr>
              <w:t>2台</w:t>
            </w:r>
          </w:p>
        </w:tc>
        <w:tc>
          <w:tcPr>
            <w:tcW w:w="2359" w:type="dxa"/>
            <w:tcBorders>
              <w:top w:val="nil"/>
              <w:left w:val="nil"/>
              <w:bottom w:val="single" w:color="000000" w:sz="4" w:space="0"/>
              <w:right w:val="single" w:color="000000" w:sz="4" w:space="0"/>
            </w:tcBorders>
            <w:tcMar>
              <w:top w:w="0" w:type="dxa"/>
              <w:left w:w="105" w:type="dxa"/>
              <w:bottom w:w="0" w:type="dxa"/>
              <w:right w:w="105" w:type="dxa"/>
            </w:tcMar>
            <w:vAlign w:val="top"/>
          </w:tcPr>
          <w:p w14:paraId="0F7C138A">
            <w:pPr>
              <w:pStyle w:val="6"/>
              <w:keepNext w:val="0"/>
              <w:keepLines w:val="0"/>
              <w:pageBreakBefore w:val="0"/>
              <w:widowControl/>
              <w:kinsoku/>
              <w:wordWrap/>
              <w:overflowPunct/>
              <w:topLinePunct w:val="0"/>
              <w:autoSpaceDE/>
              <w:autoSpaceDN/>
              <w:bidi w:val="0"/>
              <w:adjustRightInd/>
              <w:snapToGrid/>
              <w:spacing w:line="500" w:lineRule="exact"/>
              <w:ind w:firstLine="0"/>
              <w:jc w:val="center"/>
              <w:textAlignment w:val="auto"/>
              <w:rPr>
                <w:rFonts w:hint="eastAsia" w:ascii="宋体" w:hAnsi="宋体" w:eastAsia="宋体" w:cs="宋体"/>
                <w:sz w:val="24"/>
                <w:szCs w:val="24"/>
              </w:rPr>
            </w:pPr>
            <w:r>
              <w:rPr>
                <w:rFonts w:hint="eastAsia" w:ascii="宋体" w:hAnsi="宋体" w:eastAsia="宋体" w:cs="宋体"/>
                <w:color w:val="000000"/>
                <w:sz w:val="24"/>
                <w:szCs w:val="24"/>
              </w:rPr>
              <w:t>93.200000</w:t>
            </w:r>
          </w:p>
        </w:tc>
      </w:tr>
      <w:tr w14:paraId="019AAC9C">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99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127AB446">
            <w:pPr>
              <w:pStyle w:val="6"/>
              <w:keepNext w:val="0"/>
              <w:keepLines w:val="0"/>
              <w:pageBreakBefore w:val="0"/>
              <w:widowControl/>
              <w:kinsoku/>
              <w:wordWrap/>
              <w:overflowPunct/>
              <w:topLinePunct w:val="0"/>
              <w:autoSpaceDE/>
              <w:autoSpaceDN/>
              <w:bidi w:val="0"/>
              <w:adjustRightInd/>
              <w:snapToGrid/>
              <w:spacing w:line="500" w:lineRule="exact"/>
              <w:ind w:firstLine="0"/>
              <w:jc w:val="center"/>
              <w:textAlignment w:val="auto"/>
              <w:rPr>
                <w:rFonts w:hint="eastAsia" w:ascii="宋体" w:hAnsi="宋体" w:eastAsia="宋体" w:cs="宋体"/>
                <w:sz w:val="24"/>
                <w:szCs w:val="24"/>
              </w:rPr>
            </w:pPr>
            <w:r>
              <w:rPr>
                <w:rFonts w:hint="eastAsia" w:ascii="宋体" w:hAnsi="宋体" w:eastAsia="宋体" w:cs="宋体"/>
                <w:color w:val="000000"/>
                <w:sz w:val="24"/>
                <w:szCs w:val="24"/>
              </w:rPr>
              <w:t>5.2</w:t>
            </w:r>
          </w:p>
        </w:tc>
        <w:tc>
          <w:tcPr>
            <w:tcW w:w="3618" w:type="dxa"/>
            <w:tcBorders>
              <w:top w:val="nil"/>
              <w:left w:val="nil"/>
              <w:bottom w:val="single" w:color="000000" w:sz="4" w:space="0"/>
              <w:right w:val="single" w:color="000000" w:sz="4" w:space="0"/>
            </w:tcBorders>
            <w:tcMar>
              <w:top w:w="0" w:type="dxa"/>
              <w:left w:w="105" w:type="dxa"/>
              <w:bottom w:w="0" w:type="dxa"/>
              <w:right w:w="105" w:type="dxa"/>
            </w:tcMar>
            <w:vAlign w:val="top"/>
          </w:tcPr>
          <w:p w14:paraId="5B9AC952">
            <w:pPr>
              <w:pStyle w:val="6"/>
              <w:keepNext w:val="0"/>
              <w:keepLines w:val="0"/>
              <w:pageBreakBefore w:val="0"/>
              <w:widowControl/>
              <w:kinsoku/>
              <w:wordWrap/>
              <w:overflowPunct/>
              <w:topLinePunct w:val="0"/>
              <w:autoSpaceDE/>
              <w:autoSpaceDN/>
              <w:bidi w:val="0"/>
              <w:adjustRightInd/>
              <w:snapToGrid/>
              <w:spacing w:line="500" w:lineRule="exact"/>
              <w:ind w:firstLine="0"/>
              <w:jc w:val="both"/>
              <w:textAlignment w:val="auto"/>
              <w:rPr>
                <w:rFonts w:hint="eastAsia" w:ascii="宋体" w:hAnsi="宋体" w:eastAsia="宋体" w:cs="宋体"/>
                <w:sz w:val="24"/>
                <w:szCs w:val="24"/>
              </w:rPr>
            </w:pPr>
            <w:r>
              <w:rPr>
                <w:rFonts w:hint="eastAsia" w:ascii="宋体" w:hAnsi="宋体" w:eastAsia="宋体" w:cs="宋体"/>
                <w:color w:val="000000"/>
                <w:sz w:val="24"/>
                <w:szCs w:val="24"/>
              </w:rPr>
              <w:t>教学管理系统</w:t>
            </w:r>
          </w:p>
        </w:tc>
        <w:tc>
          <w:tcPr>
            <w:tcW w:w="1455" w:type="dxa"/>
            <w:tcBorders>
              <w:top w:val="nil"/>
              <w:left w:val="nil"/>
              <w:bottom w:val="single" w:color="000000" w:sz="4" w:space="0"/>
              <w:right w:val="single" w:color="000000" w:sz="4" w:space="0"/>
            </w:tcBorders>
            <w:tcMar>
              <w:top w:w="0" w:type="dxa"/>
              <w:left w:w="105" w:type="dxa"/>
              <w:bottom w:w="0" w:type="dxa"/>
              <w:right w:w="105" w:type="dxa"/>
            </w:tcMar>
            <w:vAlign w:val="top"/>
          </w:tcPr>
          <w:p w14:paraId="17C99111">
            <w:pPr>
              <w:pStyle w:val="6"/>
              <w:keepNext w:val="0"/>
              <w:keepLines w:val="0"/>
              <w:pageBreakBefore w:val="0"/>
              <w:widowControl/>
              <w:kinsoku/>
              <w:wordWrap/>
              <w:overflowPunct/>
              <w:topLinePunct w:val="0"/>
              <w:autoSpaceDE/>
              <w:autoSpaceDN/>
              <w:bidi w:val="0"/>
              <w:adjustRightInd/>
              <w:snapToGrid/>
              <w:spacing w:line="500" w:lineRule="exact"/>
              <w:ind w:firstLine="0"/>
              <w:jc w:val="center"/>
              <w:textAlignment w:val="auto"/>
              <w:rPr>
                <w:rFonts w:hint="eastAsia" w:ascii="宋体" w:hAnsi="宋体" w:eastAsia="宋体" w:cs="宋体"/>
                <w:sz w:val="24"/>
                <w:szCs w:val="24"/>
              </w:rPr>
            </w:pPr>
            <w:r>
              <w:rPr>
                <w:rFonts w:hint="eastAsia" w:ascii="宋体" w:hAnsi="宋体" w:eastAsia="宋体" w:cs="宋体"/>
                <w:color w:val="000000"/>
                <w:sz w:val="24"/>
                <w:szCs w:val="24"/>
              </w:rPr>
              <w:t>1套</w:t>
            </w:r>
          </w:p>
        </w:tc>
        <w:tc>
          <w:tcPr>
            <w:tcW w:w="2359" w:type="dxa"/>
            <w:tcBorders>
              <w:top w:val="nil"/>
              <w:left w:val="nil"/>
              <w:bottom w:val="single" w:color="000000" w:sz="4" w:space="0"/>
              <w:right w:val="single" w:color="000000" w:sz="4" w:space="0"/>
            </w:tcBorders>
            <w:tcMar>
              <w:top w:w="0" w:type="dxa"/>
              <w:left w:w="105" w:type="dxa"/>
              <w:bottom w:w="0" w:type="dxa"/>
              <w:right w:w="105" w:type="dxa"/>
            </w:tcMar>
            <w:vAlign w:val="top"/>
          </w:tcPr>
          <w:p w14:paraId="2F857748">
            <w:pPr>
              <w:pStyle w:val="6"/>
              <w:keepNext w:val="0"/>
              <w:keepLines w:val="0"/>
              <w:pageBreakBefore w:val="0"/>
              <w:widowControl/>
              <w:kinsoku/>
              <w:wordWrap/>
              <w:overflowPunct/>
              <w:topLinePunct w:val="0"/>
              <w:autoSpaceDE/>
              <w:autoSpaceDN/>
              <w:bidi w:val="0"/>
              <w:adjustRightInd/>
              <w:snapToGrid/>
              <w:spacing w:line="500" w:lineRule="exact"/>
              <w:ind w:firstLine="0"/>
              <w:jc w:val="center"/>
              <w:textAlignment w:val="auto"/>
              <w:rPr>
                <w:rFonts w:hint="eastAsia" w:ascii="宋体" w:hAnsi="宋体" w:eastAsia="宋体" w:cs="宋体"/>
                <w:sz w:val="24"/>
                <w:szCs w:val="24"/>
              </w:rPr>
            </w:pPr>
            <w:r>
              <w:rPr>
                <w:rFonts w:hint="eastAsia" w:ascii="宋体" w:hAnsi="宋体" w:eastAsia="宋体" w:cs="宋体"/>
                <w:color w:val="000000"/>
                <w:sz w:val="24"/>
                <w:szCs w:val="24"/>
              </w:rPr>
              <w:t>32.800000</w:t>
            </w:r>
          </w:p>
        </w:tc>
      </w:tr>
      <w:tr w14:paraId="5320C365">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99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04DAB7CB">
            <w:pPr>
              <w:pStyle w:val="6"/>
              <w:keepNext w:val="0"/>
              <w:keepLines w:val="0"/>
              <w:pageBreakBefore w:val="0"/>
              <w:widowControl/>
              <w:kinsoku/>
              <w:wordWrap/>
              <w:overflowPunct/>
              <w:topLinePunct w:val="0"/>
              <w:autoSpaceDE/>
              <w:autoSpaceDN/>
              <w:bidi w:val="0"/>
              <w:adjustRightInd/>
              <w:snapToGrid/>
              <w:spacing w:line="500" w:lineRule="exact"/>
              <w:ind w:firstLine="0"/>
              <w:jc w:val="center"/>
              <w:textAlignment w:val="auto"/>
              <w:rPr>
                <w:rFonts w:hint="eastAsia" w:ascii="宋体" w:hAnsi="宋体" w:eastAsia="宋体" w:cs="宋体"/>
                <w:sz w:val="24"/>
                <w:szCs w:val="24"/>
              </w:rPr>
            </w:pPr>
            <w:r>
              <w:rPr>
                <w:rFonts w:hint="eastAsia" w:ascii="宋体" w:hAnsi="宋体" w:eastAsia="宋体" w:cs="宋体"/>
                <w:color w:val="000000"/>
                <w:sz w:val="24"/>
                <w:szCs w:val="24"/>
              </w:rPr>
              <w:t>5.3</w:t>
            </w:r>
          </w:p>
        </w:tc>
        <w:tc>
          <w:tcPr>
            <w:tcW w:w="3618" w:type="dxa"/>
            <w:tcBorders>
              <w:top w:val="nil"/>
              <w:left w:val="nil"/>
              <w:bottom w:val="single" w:color="000000" w:sz="4" w:space="0"/>
              <w:right w:val="single" w:color="000000" w:sz="4" w:space="0"/>
            </w:tcBorders>
            <w:tcMar>
              <w:top w:w="0" w:type="dxa"/>
              <w:left w:w="105" w:type="dxa"/>
              <w:bottom w:w="0" w:type="dxa"/>
              <w:right w:w="105" w:type="dxa"/>
            </w:tcMar>
            <w:vAlign w:val="top"/>
          </w:tcPr>
          <w:p w14:paraId="0955C330">
            <w:pPr>
              <w:pStyle w:val="6"/>
              <w:keepNext w:val="0"/>
              <w:keepLines w:val="0"/>
              <w:pageBreakBefore w:val="0"/>
              <w:widowControl/>
              <w:kinsoku/>
              <w:wordWrap/>
              <w:overflowPunct/>
              <w:topLinePunct w:val="0"/>
              <w:autoSpaceDE/>
              <w:autoSpaceDN/>
              <w:bidi w:val="0"/>
              <w:adjustRightInd/>
              <w:snapToGrid/>
              <w:spacing w:line="500" w:lineRule="exact"/>
              <w:ind w:firstLine="0"/>
              <w:jc w:val="both"/>
              <w:textAlignment w:val="auto"/>
              <w:rPr>
                <w:rFonts w:hint="eastAsia" w:ascii="宋体" w:hAnsi="宋体" w:eastAsia="宋体" w:cs="宋体"/>
                <w:sz w:val="24"/>
                <w:szCs w:val="24"/>
              </w:rPr>
            </w:pPr>
            <w:r>
              <w:rPr>
                <w:rFonts w:hint="eastAsia" w:ascii="宋体" w:hAnsi="宋体" w:eastAsia="宋体" w:cs="宋体"/>
                <w:color w:val="000000"/>
                <w:sz w:val="24"/>
                <w:szCs w:val="24"/>
              </w:rPr>
              <w:t>科研协作管理系统</w:t>
            </w:r>
          </w:p>
        </w:tc>
        <w:tc>
          <w:tcPr>
            <w:tcW w:w="1455" w:type="dxa"/>
            <w:tcBorders>
              <w:top w:val="nil"/>
              <w:left w:val="nil"/>
              <w:bottom w:val="single" w:color="000000" w:sz="4" w:space="0"/>
              <w:right w:val="single" w:color="000000" w:sz="4" w:space="0"/>
            </w:tcBorders>
            <w:tcMar>
              <w:top w:w="0" w:type="dxa"/>
              <w:left w:w="105" w:type="dxa"/>
              <w:bottom w:w="0" w:type="dxa"/>
              <w:right w:w="105" w:type="dxa"/>
            </w:tcMar>
            <w:vAlign w:val="top"/>
          </w:tcPr>
          <w:p w14:paraId="51CC6F57">
            <w:pPr>
              <w:pStyle w:val="6"/>
              <w:keepNext w:val="0"/>
              <w:keepLines w:val="0"/>
              <w:pageBreakBefore w:val="0"/>
              <w:widowControl/>
              <w:kinsoku/>
              <w:wordWrap/>
              <w:overflowPunct/>
              <w:topLinePunct w:val="0"/>
              <w:autoSpaceDE/>
              <w:autoSpaceDN/>
              <w:bidi w:val="0"/>
              <w:adjustRightInd/>
              <w:snapToGrid/>
              <w:spacing w:line="500" w:lineRule="exact"/>
              <w:ind w:firstLine="0"/>
              <w:jc w:val="center"/>
              <w:textAlignment w:val="auto"/>
              <w:rPr>
                <w:rFonts w:hint="eastAsia" w:ascii="宋体" w:hAnsi="宋体" w:eastAsia="宋体" w:cs="宋体"/>
                <w:sz w:val="24"/>
                <w:szCs w:val="24"/>
              </w:rPr>
            </w:pPr>
            <w:r>
              <w:rPr>
                <w:rFonts w:hint="eastAsia" w:ascii="宋体" w:hAnsi="宋体" w:eastAsia="宋体" w:cs="宋体"/>
                <w:color w:val="000000"/>
                <w:sz w:val="24"/>
                <w:szCs w:val="24"/>
              </w:rPr>
              <w:t>1套</w:t>
            </w:r>
          </w:p>
        </w:tc>
        <w:tc>
          <w:tcPr>
            <w:tcW w:w="2359" w:type="dxa"/>
            <w:tcBorders>
              <w:top w:val="nil"/>
              <w:left w:val="nil"/>
              <w:bottom w:val="single" w:color="000000" w:sz="4" w:space="0"/>
              <w:right w:val="single" w:color="000000" w:sz="4" w:space="0"/>
            </w:tcBorders>
            <w:tcMar>
              <w:top w:w="0" w:type="dxa"/>
              <w:left w:w="105" w:type="dxa"/>
              <w:bottom w:w="0" w:type="dxa"/>
              <w:right w:w="105" w:type="dxa"/>
            </w:tcMar>
            <w:vAlign w:val="top"/>
          </w:tcPr>
          <w:p w14:paraId="5044E4B5">
            <w:pPr>
              <w:pStyle w:val="6"/>
              <w:keepNext w:val="0"/>
              <w:keepLines w:val="0"/>
              <w:pageBreakBefore w:val="0"/>
              <w:widowControl/>
              <w:kinsoku/>
              <w:wordWrap/>
              <w:overflowPunct/>
              <w:topLinePunct w:val="0"/>
              <w:autoSpaceDE/>
              <w:autoSpaceDN/>
              <w:bidi w:val="0"/>
              <w:adjustRightInd/>
              <w:snapToGrid/>
              <w:spacing w:line="500" w:lineRule="exact"/>
              <w:ind w:firstLine="0"/>
              <w:jc w:val="center"/>
              <w:textAlignment w:val="auto"/>
              <w:rPr>
                <w:rFonts w:hint="eastAsia" w:ascii="宋体" w:hAnsi="宋体" w:eastAsia="宋体" w:cs="宋体"/>
                <w:sz w:val="24"/>
                <w:szCs w:val="24"/>
              </w:rPr>
            </w:pPr>
            <w:r>
              <w:rPr>
                <w:rFonts w:hint="eastAsia" w:ascii="宋体" w:hAnsi="宋体" w:eastAsia="宋体" w:cs="宋体"/>
                <w:color w:val="000000"/>
                <w:sz w:val="24"/>
                <w:szCs w:val="24"/>
              </w:rPr>
              <w:t>50.040000</w:t>
            </w:r>
          </w:p>
        </w:tc>
      </w:tr>
      <w:tr w14:paraId="2949F7EC">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99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0A2D248D">
            <w:pPr>
              <w:pStyle w:val="6"/>
              <w:keepNext w:val="0"/>
              <w:keepLines w:val="0"/>
              <w:pageBreakBefore w:val="0"/>
              <w:widowControl/>
              <w:kinsoku/>
              <w:wordWrap/>
              <w:overflowPunct/>
              <w:topLinePunct w:val="0"/>
              <w:autoSpaceDE/>
              <w:autoSpaceDN/>
              <w:bidi w:val="0"/>
              <w:adjustRightInd/>
              <w:snapToGrid/>
              <w:spacing w:line="500" w:lineRule="exact"/>
              <w:ind w:firstLine="0"/>
              <w:jc w:val="center"/>
              <w:textAlignment w:val="auto"/>
              <w:rPr>
                <w:rFonts w:hint="eastAsia" w:ascii="宋体" w:hAnsi="宋体" w:eastAsia="宋体" w:cs="宋体"/>
                <w:sz w:val="24"/>
                <w:szCs w:val="24"/>
              </w:rPr>
            </w:pPr>
            <w:r>
              <w:rPr>
                <w:rFonts w:hint="eastAsia" w:ascii="宋体" w:hAnsi="宋体" w:eastAsia="宋体" w:cs="宋体"/>
                <w:b/>
                <w:color w:val="000000"/>
                <w:sz w:val="24"/>
                <w:szCs w:val="24"/>
              </w:rPr>
              <w:t>6</w:t>
            </w:r>
          </w:p>
        </w:tc>
        <w:tc>
          <w:tcPr>
            <w:tcW w:w="3618" w:type="dxa"/>
            <w:tcBorders>
              <w:top w:val="nil"/>
              <w:left w:val="nil"/>
              <w:bottom w:val="single" w:color="000000" w:sz="4" w:space="0"/>
              <w:right w:val="single" w:color="000000" w:sz="4" w:space="0"/>
            </w:tcBorders>
            <w:tcMar>
              <w:top w:w="0" w:type="dxa"/>
              <w:left w:w="105" w:type="dxa"/>
              <w:bottom w:w="0" w:type="dxa"/>
              <w:right w:w="105" w:type="dxa"/>
            </w:tcMar>
            <w:vAlign w:val="top"/>
          </w:tcPr>
          <w:p w14:paraId="1FCDD30E">
            <w:pPr>
              <w:pStyle w:val="6"/>
              <w:keepNext w:val="0"/>
              <w:keepLines w:val="0"/>
              <w:pageBreakBefore w:val="0"/>
              <w:widowControl/>
              <w:kinsoku/>
              <w:wordWrap/>
              <w:overflowPunct/>
              <w:topLinePunct w:val="0"/>
              <w:autoSpaceDE/>
              <w:autoSpaceDN/>
              <w:bidi w:val="0"/>
              <w:adjustRightInd/>
              <w:snapToGrid/>
              <w:spacing w:line="500" w:lineRule="exact"/>
              <w:ind w:firstLine="0"/>
              <w:jc w:val="both"/>
              <w:textAlignment w:val="auto"/>
              <w:rPr>
                <w:rFonts w:hint="eastAsia" w:ascii="宋体" w:hAnsi="宋体" w:eastAsia="宋体" w:cs="宋体"/>
                <w:sz w:val="24"/>
                <w:szCs w:val="24"/>
              </w:rPr>
            </w:pPr>
            <w:r>
              <w:rPr>
                <w:rFonts w:hint="eastAsia" w:ascii="宋体" w:hAnsi="宋体" w:eastAsia="宋体" w:cs="宋体"/>
                <w:b/>
                <w:color w:val="000000"/>
                <w:sz w:val="24"/>
                <w:szCs w:val="24"/>
              </w:rPr>
              <w:t>应用系统接口建设</w:t>
            </w:r>
          </w:p>
        </w:tc>
        <w:tc>
          <w:tcPr>
            <w:tcW w:w="1455" w:type="dxa"/>
            <w:tcBorders>
              <w:top w:val="nil"/>
              <w:left w:val="nil"/>
              <w:bottom w:val="single" w:color="000000" w:sz="4" w:space="0"/>
              <w:right w:val="single" w:color="000000" w:sz="4" w:space="0"/>
            </w:tcBorders>
            <w:tcMar>
              <w:top w:w="0" w:type="dxa"/>
              <w:left w:w="105" w:type="dxa"/>
              <w:bottom w:w="0" w:type="dxa"/>
              <w:right w:w="105" w:type="dxa"/>
            </w:tcMar>
            <w:vAlign w:val="top"/>
          </w:tcPr>
          <w:p w14:paraId="0A4D9165">
            <w:pPr>
              <w:pStyle w:val="6"/>
              <w:keepNext w:val="0"/>
              <w:keepLines w:val="0"/>
              <w:pageBreakBefore w:val="0"/>
              <w:widowControl/>
              <w:kinsoku/>
              <w:wordWrap/>
              <w:overflowPunct/>
              <w:topLinePunct w:val="0"/>
              <w:autoSpaceDE/>
              <w:autoSpaceDN/>
              <w:bidi w:val="0"/>
              <w:adjustRightInd/>
              <w:snapToGrid/>
              <w:spacing w:line="500" w:lineRule="exact"/>
              <w:ind w:firstLine="0"/>
              <w:jc w:val="center"/>
              <w:textAlignment w:val="auto"/>
              <w:rPr>
                <w:rFonts w:hint="eastAsia" w:ascii="宋体" w:hAnsi="宋体" w:eastAsia="宋体" w:cs="宋体"/>
                <w:sz w:val="24"/>
                <w:szCs w:val="24"/>
              </w:rPr>
            </w:pPr>
            <w:r>
              <w:rPr>
                <w:rFonts w:hint="eastAsia" w:ascii="宋体" w:hAnsi="宋体" w:eastAsia="宋体" w:cs="宋体"/>
                <w:b/>
                <w:color w:val="000000"/>
                <w:sz w:val="24"/>
                <w:szCs w:val="24"/>
              </w:rPr>
              <w:t>1套</w:t>
            </w:r>
          </w:p>
        </w:tc>
        <w:tc>
          <w:tcPr>
            <w:tcW w:w="2359" w:type="dxa"/>
            <w:tcBorders>
              <w:top w:val="nil"/>
              <w:left w:val="nil"/>
              <w:bottom w:val="single" w:color="000000" w:sz="4" w:space="0"/>
              <w:right w:val="single" w:color="000000" w:sz="4" w:space="0"/>
            </w:tcBorders>
            <w:tcMar>
              <w:top w:w="0" w:type="dxa"/>
              <w:left w:w="105" w:type="dxa"/>
              <w:bottom w:w="0" w:type="dxa"/>
              <w:right w:w="105" w:type="dxa"/>
            </w:tcMar>
            <w:vAlign w:val="top"/>
          </w:tcPr>
          <w:p w14:paraId="388311F3">
            <w:pPr>
              <w:pStyle w:val="6"/>
              <w:keepNext w:val="0"/>
              <w:keepLines w:val="0"/>
              <w:pageBreakBefore w:val="0"/>
              <w:widowControl/>
              <w:kinsoku/>
              <w:wordWrap/>
              <w:overflowPunct/>
              <w:topLinePunct w:val="0"/>
              <w:autoSpaceDE/>
              <w:autoSpaceDN/>
              <w:bidi w:val="0"/>
              <w:adjustRightInd/>
              <w:snapToGrid/>
              <w:spacing w:line="500" w:lineRule="exact"/>
              <w:ind w:firstLine="0"/>
              <w:jc w:val="center"/>
              <w:textAlignment w:val="auto"/>
              <w:rPr>
                <w:rFonts w:hint="eastAsia" w:ascii="宋体" w:hAnsi="宋体" w:eastAsia="宋体" w:cs="宋体"/>
                <w:sz w:val="24"/>
                <w:szCs w:val="24"/>
              </w:rPr>
            </w:pPr>
            <w:r>
              <w:rPr>
                <w:rFonts w:hint="eastAsia" w:ascii="宋体" w:hAnsi="宋体" w:eastAsia="宋体" w:cs="宋体"/>
                <w:b/>
                <w:color w:val="000000"/>
                <w:sz w:val="24"/>
                <w:szCs w:val="24"/>
              </w:rPr>
              <w:t>28.800000</w:t>
            </w:r>
          </w:p>
        </w:tc>
      </w:tr>
      <w:tr w14:paraId="3B81B3FE">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99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25F0C0E9">
            <w:pPr>
              <w:pStyle w:val="6"/>
              <w:keepNext w:val="0"/>
              <w:keepLines w:val="0"/>
              <w:pageBreakBefore w:val="0"/>
              <w:widowControl/>
              <w:kinsoku/>
              <w:wordWrap/>
              <w:overflowPunct/>
              <w:topLinePunct w:val="0"/>
              <w:autoSpaceDE/>
              <w:autoSpaceDN/>
              <w:bidi w:val="0"/>
              <w:adjustRightInd/>
              <w:snapToGrid/>
              <w:spacing w:line="500" w:lineRule="exact"/>
              <w:ind w:firstLine="0"/>
              <w:jc w:val="center"/>
              <w:textAlignment w:val="auto"/>
              <w:rPr>
                <w:rFonts w:hint="eastAsia" w:ascii="宋体" w:hAnsi="宋体" w:eastAsia="宋体" w:cs="宋体"/>
                <w:sz w:val="24"/>
                <w:szCs w:val="24"/>
              </w:rPr>
            </w:pPr>
            <w:r>
              <w:rPr>
                <w:rFonts w:hint="eastAsia" w:ascii="宋体" w:hAnsi="宋体" w:eastAsia="宋体" w:cs="宋体"/>
                <w:b/>
                <w:color w:val="000000"/>
                <w:sz w:val="24"/>
                <w:szCs w:val="24"/>
              </w:rPr>
              <w:t>二</w:t>
            </w:r>
          </w:p>
        </w:tc>
        <w:tc>
          <w:tcPr>
            <w:tcW w:w="3618" w:type="dxa"/>
            <w:tcBorders>
              <w:top w:val="nil"/>
              <w:left w:val="nil"/>
              <w:bottom w:val="single" w:color="000000" w:sz="4" w:space="0"/>
              <w:right w:val="single" w:color="000000" w:sz="4" w:space="0"/>
            </w:tcBorders>
            <w:tcMar>
              <w:top w:w="0" w:type="dxa"/>
              <w:left w:w="105" w:type="dxa"/>
              <w:bottom w:w="0" w:type="dxa"/>
              <w:right w:w="105" w:type="dxa"/>
            </w:tcMar>
            <w:vAlign w:val="top"/>
          </w:tcPr>
          <w:p w14:paraId="512B71D2">
            <w:pPr>
              <w:pStyle w:val="6"/>
              <w:keepNext w:val="0"/>
              <w:keepLines w:val="0"/>
              <w:pageBreakBefore w:val="0"/>
              <w:widowControl/>
              <w:kinsoku/>
              <w:wordWrap/>
              <w:overflowPunct/>
              <w:topLinePunct w:val="0"/>
              <w:autoSpaceDE/>
              <w:autoSpaceDN/>
              <w:bidi w:val="0"/>
              <w:adjustRightInd/>
              <w:snapToGrid/>
              <w:spacing w:line="500" w:lineRule="exact"/>
              <w:ind w:firstLine="0"/>
              <w:jc w:val="both"/>
              <w:textAlignment w:val="auto"/>
              <w:rPr>
                <w:rFonts w:hint="eastAsia" w:ascii="宋体" w:hAnsi="宋体" w:eastAsia="宋体" w:cs="宋体"/>
                <w:sz w:val="24"/>
                <w:szCs w:val="24"/>
              </w:rPr>
            </w:pPr>
            <w:r>
              <w:rPr>
                <w:rFonts w:hint="eastAsia" w:ascii="宋体" w:hAnsi="宋体" w:eastAsia="宋体" w:cs="宋体"/>
                <w:b/>
                <w:color w:val="000000"/>
                <w:sz w:val="24"/>
                <w:szCs w:val="24"/>
              </w:rPr>
              <w:t>存储、交换机、数据备份、智慧医院建设配套硬件等</w:t>
            </w:r>
          </w:p>
        </w:tc>
        <w:tc>
          <w:tcPr>
            <w:tcW w:w="1455" w:type="dxa"/>
            <w:tcBorders>
              <w:top w:val="nil"/>
              <w:left w:val="nil"/>
              <w:bottom w:val="single" w:color="000000" w:sz="4" w:space="0"/>
              <w:right w:val="single" w:color="000000" w:sz="4" w:space="0"/>
            </w:tcBorders>
            <w:tcMar>
              <w:top w:w="0" w:type="dxa"/>
              <w:left w:w="105" w:type="dxa"/>
              <w:bottom w:w="0" w:type="dxa"/>
              <w:right w:w="105" w:type="dxa"/>
            </w:tcMar>
            <w:vAlign w:val="top"/>
          </w:tcPr>
          <w:p w14:paraId="62526957">
            <w:pPr>
              <w:pStyle w:val="6"/>
              <w:keepNext w:val="0"/>
              <w:keepLines w:val="0"/>
              <w:pageBreakBefore w:val="0"/>
              <w:widowControl/>
              <w:kinsoku/>
              <w:wordWrap/>
              <w:overflowPunct/>
              <w:topLinePunct w:val="0"/>
              <w:autoSpaceDE/>
              <w:autoSpaceDN/>
              <w:bidi w:val="0"/>
              <w:adjustRightInd/>
              <w:snapToGrid/>
              <w:spacing w:line="500" w:lineRule="exact"/>
              <w:ind w:firstLine="0"/>
              <w:jc w:val="center"/>
              <w:textAlignment w:val="auto"/>
              <w:rPr>
                <w:rFonts w:hint="eastAsia" w:ascii="宋体" w:hAnsi="宋体" w:eastAsia="宋体" w:cs="宋体"/>
                <w:sz w:val="24"/>
                <w:szCs w:val="24"/>
              </w:rPr>
            </w:pPr>
          </w:p>
        </w:tc>
        <w:tc>
          <w:tcPr>
            <w:tcW w:w="2359" w:type="dxa"/>
            <w:tcBorders>
              <w:top w:val="nil"/>
              <w:left w:val="nil"/>
              <w:bottom w:val="single" w:color="000000" w:sz="4" w:space="0"/>
              <w:right w:val="single" w:color="000000" w:sz="4" w:space="0"/>
            </w:tcBorders>
            <w:tcMar>
              <w:top w:w="0" w:type="dxa"/>
              <w:left w:w="105" w:type="dxa"/>
              <w:bottom w:w="0" w:type="dxa"/>
              <w:right w:w="105" w:type="dxa"/>
            </w:tcMar>
            <w:vAlign w:val="top"/>
          </w:tcPr>
          <w:p w14:paraId="3852AF25">
            <w:pPr>
              <w:pStyle w:val="6"/>
              <w:keepNext w:val="0"/>
              <w:keepLines w:val="0"/>
              <w:pageBreakBefore w:val="0"/>
              <w:widowControl/>
              <w:kinsoku/>
              <w:wordWrap/>
              <w:overflowPunct/>
              <w:topLinePunct w:val="0"/>
              <w:autoSpaceDE/>
              <w:autoSpaceDN/>
              <w:bidi w:val="0"/>
              <w:adjustRightInd/>
              <w:snapToGrid/>
              <w:spacing w:line="500" w:lineRule="exact"/>
              <w:ind w:firstLine="0"/>
              <w:jc w:val="center"/>
              <w:textAlignment w:val="auto"/>
              <w:rPr>
                <w:rFonts w:hint="eastAsia" w:ascii="宋体" w:hAnsi="宋体" w:eastAsia="宋体" w:cs="宋体"/>
                <w:sz w:val="24"/>
                <w:szCs w:val="24"/>
              </w:rPr>
            </w:pPr>
            <w:r>
              <w:rPr>
                <w:rFonts w:hint="eastAsia" w:ascii="宋体" w:hAnsi="宋体" w:eastAsia="宋体" w:cs="宋体"/>
                <w:b/>
                <w:color w:val="000000"/>
                <w:sz w:val="24"/>
                <w:szCs w:val="24"/>
              </w:rPr>
              <w:t>153.320000</w:t>
            </w:r>
          </w:p>
        </w:tc>
      </w:tr>
      <w:tr w14:paraId="6697498A">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99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0D0D97D">
            <w:pPr>
              <w:pStyle w:val="6"/>
              <w:keepNext w:val="0"/>
              <w:keepLines w:val="0"/>
              <w:pageBreakBefore w:val="0"/>
              <w:widowControl/>
              <w:kinsoku/>
              <w:wordWrap/>
              <w:overflowPunct/>
              <w:topLinePunct w:val="0"/>
              <w:autoSpaceDE/>
              <w:autoSpaceDN/>
              <w:bidi w:val="0"/>
              <w:adjustRightInd/>
              <w:snapToGrid/>
              <w:spacing w:line="500" w:lineRule="exact"/>
              <w:ind w:firstLine="0"/>
              <w:jc w:val="center"/>
              <w:textAlignment w:val="auto"/>
              <w:rPr>
                <w:rFonts w:hint="eastAsia" w:ascii="宋体" w:hAnsi="宋体" w:eastAsia="宋体" w:cs="宋体"/>
                <w:sz w:val="24"/>
                <w:szCs w:val="24"/>
              </w:rPr>
            </w:pPr>
            <w:r>
              <w:rPr>
                <w:rFonts w:hint="eastAsia" w:ascii="宋体" w:hAnsi="宋体" w:eastAsia="宋体" w:cs="宋体"/>
                <w:b/>
                <w:color w:val="000000"/>
                <w:sz w:val="24"/>
                <w:szCs w:val="24"/>
              </w:rPr>
              <w:t>5</w:t>
            </w:r>
          </w:p>
        </w:tc>
        <w:tc>
          <w:tcPr>
            <w:tcW w:w="3618" w:type="dxa"/>
            <w:tcBorders>
              <w:top w:val="nil"/>
              <w:left w:val="nil"/>
              <w:bottom w:val="single" w:color="000000" w:sz="4" w:space="0"/>
              <w:right w:val="single" w:color="000000" w:sz="4" w:space="0"/>
            </w:tcBorders>
            <w:tcMar>
              <w:top w:w="0" w:type="dxa"/>
              <w:left w:w="105" w:type="dxa"/>
              <w:bottom w:w="0" w:type="dxa"/>
              <w:right w:w="105" w:type="dxa"/>
            </w:tcMar>
            <w:vAlign w:val="top"/>
          </w:tcPr>
          <w:p w14:paraId="5A5796F2">
            <w:pPr>
              <w:pStyle w:val="6"/>
              <w:keepNext w:val="0"/>
              <w:keepLines w:val="0"/>
              <w:pageBreakBefore w:val="0"/>
              <w:widowControl/>
              <w:kinsoku/>
              <w:wordWrap/>
              <w:overflowPunct/>
              <w:topLinePunct w:val="0"/>
              <w:autoSpaceDE/>
              <w:autoSpaceDN/>
              <w:bidi w:val="0"/>
              <w:adjustRightInd/>
              <w:snapToGrid/>
              <w:spacing w:line="500" w:lineRule="exact"/>
              <w:ind w:firstLine="0"/>
              <w:jc w:val="both"/>
              <w:textAlignment w:val="auto"/>
              <w:rPr>
                <w:rFonts w:hint="eastAsia" w:ascii="宋体" w:hAnsi="宋体" w:eastAsia="宋体" w:cs="宋体"/>
                <w:sz w:val="24"/>
                <w:szCs w:val="24"/>
              </w:rPr>
            </w:pPr>
            <w:r>
              <w:rPr>
                <w:rFonts w:hint="eastAsia" w:ascii="宋体" w:hAnsi="宋体" w:eastAsia="宋体" w:cs="宋体"/>
                <w:b/>
                <w:color w:val="000000"/>
                <w:sz w:val="24"/>
                <w:szCs w:val="24"/>
              </w:rPr>
              <w:t>院内导航系统</w:t>
            </w:r>
          </w:p>
        </w:tc>
        <w:tc>
          <w:tcPr>
            <w:tcW w:w="1455" w:type="dxa"/>
            <w:tcBorders>
              <w:top w:val="nil"/>
              <w:left w:val="nil"/>
              <w:bottom w:val="single" w:color="000000" w:sz="4" w:space="0"/>
              <w:right w:val="single" w:color="000000" w:sz="4" w:space="0"/>
            </w:tcBorders>
            <w:tcMar>
              <w:top w:w="0" w:type="dxa"/>
              <w:left w:w="105" w:type="dxa"/>
              <w:bottom w:w="0" w:type="dxa"/>
              <w:right w:w="105" w:type="dxa"/>
            </w:tcMar>
            <w:vAlign w:val="top"/>
          </w:tcPr>
          <w:p w14:paraId="0CA908CF">
            <w:pPr>
              <w:pStyle w:val="6"/>
              <w:keepNext w:val="0"/>
              <w:keepLines w:val="0"/>
              <w:pageBreakBefore w:val="0"/>
              <w:widowControl/>
              <w:kinsoku/>
              <w:wordWrap/>
              <w:overflowPunct/>
              <w:topLinePunct w:val="0"/>
              <w:autoSpaceDE/>
              <w:autoSpaceDN/>
              <w:bidi w:val="0"/>
              <w:adjustRightInd/>
              <w:snapToGrid/>
              <w:spacing w:line="500" w:lineRule="exact"/>
              <w:ind w:firstLine="0"/>
              <w:jc w:val="center"/>
              <w:textAlignment w:val="auto"/>
              <w:rPr>
                <w:rFonts w:hint="eastAsia" w:ascii="宋体" w:hAnsi="宋体" w:eastAsia="宋体" w:cs="宋体"/>
                <w:sz w:val="24"/>
                <w:szCs w:val="24"/>
              </w:rPr>
            </w:pPr>
          </w:p>
        </w:tc>
        <w:tc>
          <w:tcPr>
            <w:tcW w:w="2359" w:type="dxa"/>
            <w:tcBorders>
              <w:top w:val="nil"/>
              <w:left w:val="nil"/>
              <w:bottom w:val="single" w:color="000000" w:sz="4" w:space="0"/>
              <w:right w:val="single" w:color="000000" w:sz="4" w:space="0"/>
            </w:tcBorders>
            <w:tcMar>
              <w:top w:w="0" w:type="dxa"/>
              <w:left w:w="105" w:type="dxa"/>
              <w:bottom w:w="0" w:type="dxa"/>
              <w:right w:w="105" w:type="dxa"/>
            </w:tcMar>
            <w:vAlign w:val="top"/>
          </w:tcPr>
          <w:p w14:paraId="1230076E">
            <w:pPr>
              <w:pStyle w:val="6"/>
              <w:keepNext w:val="0"/>
              <w:keepLines w:val="0"/>
              <w:pageBreakBefore w:val="0"/>
              <w:widowControl/>
              <w:kinsoku/>
              <w:wordWrap/>
              <w:overflowPunct/>
              <w:topLinePunct w:val="0"/>
              <w:autoSpaceDE/>
              <w:autoSpaceDN/>
              <w:bidi w:val="0"/>
              <w:adjustRightInd/>
              <w:snapToGrid/>
              <w:spacing w:line="500" w:lineRule="exact"/>
              <w:ind w:firstLine="0"/>
              <w:jc w:val="center"/>
              <w:textAlignment w:val="auto"/>
              <w:rPr>
                <w:rFonts w:hint="eastAsia" w:ascii="宋体" w:hAnsi="宋体" w:eastAsia="宋体" w:cs="宋体"/>
                <w:sz w:val="24"/>
                <w:szCs w:val="24"/>
              </w:rPr>
            </w:pPr>
            <w:r>
              <w:rPr>
                <w:rFonts w:hint="eastAsia" w:ascii="宋体" w:hAnsi="宋体" w:eastAsia="宋体" w:cs="宋体"/>
                <w:b/>
                <w:color w:val="000000"/>
                <w:sz w:val="24"/>
                <w:szCs w:val="24"/>
              </w:rPr>
              <w:t>44.320000</w:t>
            </w:r>
          </w:p>
        </w:tc>
      </w:tr>
      <w:tr w14:paraId="4CD2DEBF">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99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2390A85B">
            <w:pPr>
              <w:pStyle w:val="6"/>
              <w:keepNext w:val="0"/>
              <w:keepLines w:val="0"/>
              <w:pageBreakBefore w:val="0"/>
              <w:widowControl/>
              <w:kinsoku/>
              <w:wordWrap/>
              <w:overflowPunct/>
              <w:topLinePunct w:val="0"/>
              <w:autoSpaceDE/>
              <w:autoSpaceDN/>
              <w:bidi w:val="0"/>
              <w:adjustRightInd/>
              <w:snapToGrid/>
              <w:spacing w:line="500" w:lineRule="exact"/>
              <w:ind w:firstLine="0"/>
              <w:jc w:val="center"/>
              <w:textAlignment w:val="auto"/>
              <w:rPr>
                <w:rFonts w:hint="eastAsia" w:ascii="宋体" w:hAnsi="宋体" w:eastAsia="宋体" w:cs="宋体"/>
                <w:sz w:val="24"/>
                <w:szCs w:val="24"/>
              </w:rPr>
            </w:pPr>
            <w:r>
              <w:rPr>
                <w:rFonts w:hint="eastAsia" w:ascii="宋体" w:hAnsi="宋体" w:eastAsia="宋体" w:cs="宋体"/>
                <w:color w:val="000000"/>
                <w:sz w:val="24"/>
                <w:szCs w:val="24"/>
              </w:rPr>
              <w:t>5.1</w:t>
            </w:r>
          </w:p>
        </w:tc>
        <w:tc>
          <w:tcPr>
            <w:tcW w:w="3618" w:type="dxa"/>
            <w:tcBorders>
              <w:top w:val="nil"/>
              <w:left w:val="nil"/>
              <w:bottom w:val="single" w:color="000000" w:sz="4" w:space="0"/>
              <w:right w:val="single" w:color="000000" w:sz="4" w:space="0"/>
            </w:tcBorders>
            <w:tcMar>
              <w:top w:w="0" w:type="dxa"/>
              <w:left w:w="105" w:type="dxa"/>
              <w:bottom w:w="0" w:type="dxa"/>
              <w:right w:w="105" w:type="dxa"/>
            </w:tcMar>
            <w:vAlign w:val="top"/>
          </w:tcPr>
          <w:p w14:paraId="1367EDC6">
            <w:pPr>
              <w:pStyle w:val="6"/>
              <w:keepNext w:val="0"/>
              <w:keepLines w:val="0"/>
              <w:pageBreakBefore w:val="0"/>
              <w:widowControl/>
              <w:kinsoku/>
              <w:wordWrap/>
              <w:overflowPunct/>
              <w:topLinePunct w:val="0"/>
              <w:autoSpaceDE/>
              <w:autoSpaceDN/>
              <w:bidi w:val="0"/>
              <w:adjustRightInd/>
              <w:snapToGrid/>
              <w:spacing w:line="500" w:lineRule="exact"/>
              <w:ind w:firstLine="0"/>
              <w:jc w:val="both"/>
              <w:textAlignment w:val="auto"/>
              <w:rPr>
                <w:rFonts w:hint="eastAsia" w:ascii="宋体" w:hAnsi="宋体" w:eastAsia="宋体" w:cs="宋体"/>
                <w:sz w:val="24"/>
                <w:szCs w:val="24"/>
              </w:rPr>
            </w:pPr>
            <w:r>
              <w:rPr>
                <w:rFonts w:hint="eastAsia" w:ascii="宋体" w:hAnsi="宋体" w:eastAsia="宋体" w:cs="宋体"/>
                <w:color w:val="000000"/>
                <w:sz w:val="24"/>
                <w:szCs w:val="24"/>
              </w:rPr>
              <w:t>定位引擎</w:t>
            </w:r>
          </w:p>
        </w:tc>
        <w:tc>
          <w:tcPr>
            <w:tcW w:w="1455" w:type="dxa"/>
            <w:tcBorders>
              <w:top w:val="nil"/>
              <w:left w:val="nil"/>
              <w:bottom w:val="single" w:color="000000" w:sz="4" w:space="0"/>
              <w:right w:val="single" w:color="000000" w:sz="4" w:space="0"/>
            </w:tcBorders>
            <w:tcMar>
              <w:top w:w="0" w:type="dxa"/>
              <w:left w:w="105" w:type="dxa"/>
              <w:bottom w:w="0" w:type="dxa"/>
              <w:right w:w="105" w:type="dxa"/>
            </w:tcMar>
            <w:vAlign w:val="top"/>
          </w:tcPr>
          <w:p w14:paraId="392A90D5">
            <w:pPr>
              <w:pStyle w:val="6"/>
              <w:keepNext w:val="0"/>
              <w:keepLines w:val="0"/>
              <w:pageBreakBefore w:val="0"/>
              <w:widowControl/>
              <w:kinsoku/>
              <w:wordWrap/>
              <w:overflowPunct/>
              <w:topLinePunct w:val="0"/>
              <w:autoSpaceDE/>
              <w:autoSpaceDN/>
              <w:bidi w:val="0"/>
              <w:adjustRightInd/>
              <w:snapToGrid/>
              <w:spacing w:line="500" w:lineRule="exact"/>
              <w:ind w:firstLine="0"/>
              <w:jc w:val="center"/>
              <w:textAlignment w:val="auto"/>
              <w:rPr>
                <w:rFonts w:hint="eastAsia" w:ascii="宋体" w:hAnsi="宋体" w:eastAsia="宋体" w:cs="宋体"/>
                <w:sz w:val="24"/>
                <w:szCs w:val="24"/>
              </w:rPr>
            </w:pPr>
            <w:r>
              <w:rPr>
                <w:rFonts w:hint="eastAsia" w:ascii="宋体" w:hAnsi="宋体" w:eastAsia="宋体" w:cs="宋体"/>
                <w:color w:val="000000"/>
                <w:sz w:val="24"/>
                <w:szCs w:val="24"/>
              </w:rPr>
              <w:t>1套</w:t>
            </w:r>
          </w:p>
        </w:tc>
        <w:tc>
          <w:tcPr>
            <w:tcW w:w="2359" w:type="dxa"/>
            <w:tcBorders>
              <w:top w:val="nil"/>
              <w:left w:val="nil"/>
              <w:bottom w:val="single" w:color="000000" w:sz="4" w:space="0"/>
              <w:right w:val="single" w:color="000000" w:sz="4" w:space="0"/>
            </w:tcBorders>
            <w:tcMar>
              <w:top w:w="0" w:type="dxa"/>
              <w:left w:w="105" w:type="dxa"/>
              <w:bottom w:w="0" w:type="dxa"/>
              <w:right w:w="105" w:type="dxa"/>
            </w:tcMar>
            <w:vAlign w:val="top"/>
          </w:tcPr>
          <w:p w14:paraId="49347508">
            <w:pPr>
              <w:pStyle w:val="6"/>
              <w:keepNext w:val="0"/>
              <w:keepLines w:val="0"/>
              <w:pageBreakBefore w:val="0"/>
              <w:widowControl/>
              <w:kinsoku/>
              <w:wordWrap/>
              <w:overflowPunct/>
              <w:topLinePunct w:val="0"/>
              <w:autoSpaceDE/>
              <w:autoSpaceDN/>
              <w:bidi w:val="0"/>
              <w:adjustRightInd/>
              <w:snapToGrid/>
              <w:spacing w:line="500" w:lineRule="exact"/>
              <w:ind w:firstLine="0"/>
              <w:jc w:val="center"/>
              <w:textAlignment w:val="auto"/>
              <w:rPr>
                <w:rFonts w:hint="eastAsia" w:ascii="宋体" w:hAnsi="宋体" w:eastAsia="宋体" w:cs="宋体"/>
                <w:sz w:val="24"/>
                <w:szCs w:val="24"/>
              </w:rPr>
            </w:pPr>
            <w:r>
              <w:rPr>
                <w:rFonts w:hint="eastAsia" w:ascii="宋体" w:hAnsi="宋体" w:eastAsia="宋体" w:cs="宋体"/>
                <w:color w:val="000000"/>
                <w:sz w:val="24"/>
                <w:szCs w:val="24"/>
              </w:rPr>
              <w:t>3.000000</w:t>
            </w:r>
          </w:p>
        </w:tc>
      </w:tr>
      <w:tr w14:paraId="04ADF1F3">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99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62D51F65">
            <w:pPr>
              <w:pStyle w:val="6"/>
              <w:keepNext w:val="0"/>
              <w:keepLines w:val="0"/>
              <w:pageBreakBefore w:val="0"/>
              <w:widowControl/>
              <w:kinsoku/>
              <w:wordWrap/>
              <w:overflowPunct/>
              <w:topLinePunct w:val="0"/>
              <w:autoSpaceDE/>
              <w:autoSpaceDN/>
              <w:bidi w:val="0"/>
              <w:adjustRightInd/>
              <w:snapToGrid/>
              <w:spacing w:line="500" w:lineRule="exact"/>
              <w:ind w:firstLine="0"/>
              <w:jc w:val="center"/>
              <w:textAlignment w:val="auto"/>
              <w:rPr>
                <w:rFonts w:hint="eastAsia" w:ascii="宋体" w:hAnsi="宋体" w:eastAsia="宋体" w:cs="宋体"/>
                <w:sz w:val="24"/>
                <w:szCs w:val="24"/>
              </w:rPr>
            </w:pPr>
            <w:r>
              <w:rPr>
                <w:rFonts w:hint="eastAsia" w:ascii="宋体" w:hAnsi="宋体" w:eastAsia="宋体" w:cs="宋体"/>
                <w:color w:val="000000"/>
                <w:sz w:val="24"/>
                <w:szCs w:val="24"/>
              </w:rPr>
              <w:t>5.2</w:t>
            </w:r>
          </w:p>
        </w:tc>
        <w:tc>
          <w:tcPr>
            <w:tcW w:w="3618" w:type="dxa"/>
            <w:tcBorders>
              <w:top w:val="nil"/>
              <w:left w:val="nil"/>
              <w:bottom w:val="single" w:color="000000" w:sz="4" w:space="0"/>
              <w:right w:val="single" w:color="000000" w:sz="4" w:space="0"/>
            </w:tcBorders>
            <w:tcMar>
              <w:top w:w="0" w:type="dxa"/>
              <w:left w:w="105" w:type="dxa"/>
              <w:bottom w:w="0" w:type="dxa"/>
              <w:right w:w="105" w:type="dxa"/>
            </w:tcMar>
            <w:vAlign w:val="top"/>
          </w:tcPr>
          <w:p w14:paraId="0B252B56">
            <w:pPr>
              <w:pStyle w:val="6"/>
              <w:keepNext w:val="0"/>
              <w:keepLines w:val="0"/>
              <w:pageBreakBefore w:val="0"/>
              <w:widowControl/>
              <w:kinsoku/>
              <w:wordWrap/>
              <w:overflowPunct/>
              <w:topLinePunct w:val="0"/>
              <w:autoSpaceDE/>
              <w:autoSpaceDN/>
              <w:bidi w:val="0"/>
              <w:adjustRightInd/>
              <w:snapToGrid/>
              <w:spacing w:line="500" w:lineRule="exact"/>
              <w:ind w:firstLine="0"/>
              <w:jc w:val="both"/>
              <w:textAlignment w:val="auto"/>
              <w:rPr>
                <w:rFonts w:hint="eastAsia" w:ascii="宋体" w:hAnsi="宋体" w:eastAsia="宋体" w:cs="宋体"/>
                <w:sz w:val="24"/>
                <w:szCs w:val="24"/>
              </w:rPr>
            </w:pPr>
            <w:r>
              <w:rPr>
                <w:rFonts w:hint="eastAsia" w:ascii="宋体" w:hAnsi="宋体" w:eastAsia="宋体" w:cs="宋体"/>
                <w:color w:val="000000"/>
                <w:sz w:val="24"/>
                <w:szCs w:val="24"/>
              </w:rPr>
              <w:t>地图引擎</w:t>
            </w:r>
          </w:p>
        </w:tc>
        <w:tc>
          <w:tcPr>
            <w:tcW w:w="1455" w:type="dxa"/>
            <w:tcBorders>
              <w:top w:val="nil"/>
              <w:left w:val="nil"/>
              <w:bottom w:val="single" w:color="000000" w:sz="4" w:space="0"/>
              <w:right w:val="single" w:color="000000" w:sz="4" w:space="0"/>
            </w:tcBorders>
            <w:tcMar>
              <w:top w:w="0" w:type="dxa"/>
              <w:left w:w="105" w:type="dxa"/>
              <w:bottom w:w="0" w:type="dxa"/>
              <w:right w:w="105" w:type="dxa"/>
            </w:tcMar>
            <w:vAlign w:val="top"/>
          </w:tcPr>
          <w:p w14:paraId="64CAE0D6">
            <w:pPr>
              <w:pStyle w:val="6"/>
              <w:keepNext w:val="0"/>
              <w:keepLines w:val="0"/>
              <w:pageBreakBefore w:val="0"/>
              <w:widowControl/>
              <w:kinsoku/>
              <w:wordWrap/>
              <w:overflowPunct/>
              <w:topLinePunct w:val="0"/>
              <w:autoSpaceDE/>
              <w:autoSpaceDN/>
              <w:bidi w:val="0"/>
              <w:adjustRightInd/>
              <w:snapToGrid/>
              <w:spacing w:line="500" w:lineRule="exact"/>
              <w:ind w:firstLine="0"/>
              <w:jc w:val="center"/>
              <w:textAlignment w:val="auto"/>
              <w:rPr>
                <w:rFonts w:hint="eastAsia" w:ascii="宋体" w:hAnsi="宋体" w:eastAsia="宋体" w:cs="宋体"/>
                <w:sz w:val="24"/>
                <w:szCs w:val="24"/>
              </w:rPr>
            </w:pPr>
            <w:r>
              <w:rPr>
                <w:rFonts w:hint="eastAsia" w:ascii="宋体" w:hAnsi="宋体" w:eastAsia="宋体" w:cs="宋体"/>
                <w:color w:val="000000"/>
                <w:sz w:val="24"/>
                <w:szCs w:val="24"/>
              </w:rPr>
              <w:t>1套</w:t>
            </w:r>
          </w:p>
        </w:tc>
        <w:tc>
          <w:tcPr>
            <w:tcW w:w="2359" w:type="dxa"/>
            <w:tcBorders>
              <w:top w:val="nil"/>
              <w:left w:val="nil"/>
              <w:bottom w:val="single" w:color="000000" w:sz="4" w:space="0"/>
              <w:right w:val="single" w:color="000000" w:sz="4" w:space="0"/>
            </w:tcBorders>
            <w:tcMar>
              <w:top w:w="0" w:type="dxa"/>
              <w:left w:w="105" w:type="dxa"/>
              <w:bottom w:w="0" w:type="dxa"/>
              <w:right w:w="105" w:type="dxa"/>
            </w:tcMar>
            <w:vAlign w:val="top"/>
          </w:tcPr>
          <w:p w14:paraId="3DA12764">
            <w:pPr>
              <w:pStyle w:val="6"/>
              <w:keepNext w:val="0"/>
              <w:keepLines w:val="0"/>
              <w:pageBreakBefore w:val="0"/>
              <w:widowControl/>
              <w:kinsoku/>
              <w:wordWrap/>
              <w:overflowPunct/>
              <w:topLinePunct w:val="0"/>
              <w:autoSpaceDE/>
              <w:autoSpaceDN/>
              <w:bidi w:val="0"/>
              <w:adjustRightInd/>
              <w:snapToGrid/>
              <w:spacing w:line="500" w:lineRule="exact"/>
              <w:ind w:firstLine="0"/>
              <w:jc w:val="center"/>
              <w:textAlignment w:val="auto"/>
              <w:rPr>
                <w:rFonts w:hint="eastAsia" w:ascii="宋体" w:hAnsi="宋体" w:eastAsia="宋体" w:cs="宋体"/>
                <w:sz w:val="24"/>
                <w:szCs w:val="24"/>
              </w:rPr>
            </w:pPr>
            <w:r>
              <w:rPr>
                <w:rFonts w:hint="eastAsia" w:ascii="宋体" w:hAnsi="宋体" w:eastAsia="宋体" w:cs="宋体"/>
                <w:color w:val="000000"/>
                <w:sz w:val="24"/>
                <w:szCs w:val="24"/>
              </w:rPr>
              <w:t>4.000000</w:t>
            </w:r>
          </w:p>
        </w:tc>
      </w:tr>
      <w:tr w14:paraId="6C863A7F">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99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6CC55573">
            <w:pPr>
              <w:pStyle w:val="6"/>
              <w:keepNext w:val="0"/>
              <w:keepLines w:val="0"/>
              <w:pageBreakBefore w:val="0"/>
              <w:widowControl/>
              <w:kinsoku/>
              <w:wordWrap/>
              <w:overflowPunct/>
              <w:topLinePunct w:val="0"/>
              <w:autoSpaceDE/>
              <w:autoSpaceDN/>
              <w:bidi w:val="0"/>
              <w:adjustRightInd/>
              <w:snapToGrid/>
              <w:spacing w:line="500" w:lineRule="exact"/>
              <w:ind w:firstLine="0"/>
              <w:jc w:val="center"/>
              <w:textAlignment w:val="auto"/>
              <w:rPr>
                <w:rFonts w:hint="eastAsia" w:ascii="宋体" w:hAnsi="宋体" w:eastAsia="宋体" w:cs="宋体"/>
                <w:sz w:val="24"/>
                <w:szCs w:val="24"/>
              </w:rPr>
            </w:pPr>
            <w:r>
              <w:rPr>
                <w:rFonts w:hint="eastAsia" w:ascii="宋体" w:hAnsi="宋体" w:eastAsia="宋体" w:cs="宋体"/>
                <w:color w:val="000000"/>
                <w:sz w:val="24"/>
                <w:szCs w:val="24"/>
              </w:rPr>
              <w:t>5.3</w:t>
            </w:r>
          </w:p>
        </w:tc>
        <w:tc>
          <w:tcPr>
            <w:tcW w:w="3618" w:type="dxa"/>
            <w:tcBorders>
              <w:top w:val="nil"/>
              <w:left w:val="nil"/>
              <w:bottom w:val="single" w:color="000000" w:sz="4" w:space="0"/>
              <w:right w:val="single" w:color="000000" w:sz="4" w:space="0"/>
            </w:tcBorders>
            <w:tcMar>
              <w:top w:w="0" w:type="dxa"/>
              <w:left w:w="105" w:type="dxa"/>
              <w:bottom w:w="0" w:type="dxa"/>
              <w:right w:w="105" w:type="dxa"/>
            </w:tcMar>
            <w:vAlign w:val="top"/>
          </w:tcPr>
          <w:p w14:paraId="77178FF6">
            <w:pPr>
              <w:pStyle w:val="6"/>
              <w:keepNext w:val="0"/>
              <w:keepLines w:val="0"/>
              <w:pageBreakBefore w:val="0"/>
              <w:widowControl/>
              <w:kinsoku/>
              <w:wordWrap/>
              <w:overflowPunct/>
              <w:topLinePunct w:val="0"/>
              <w:autoSpaceDE/>
              <w:autoSpaceDN/>
              <w:bidi w:val="0"/>
              <w:adjustRightInd/>
              <w:snapToGrid/>
              <w:spacing w:line="500" w:lineRule="exact"/>
              <w:ind w:firstLine="0"/>
              <w:jc w:val="left"/>
              <w:textAlignment w:val="auto"/>
              <w:rPr>
                <w:rFonts w:hint="eastAsia" w:ascii="宋体" w:hAnsi="宋体" w:eastAsia="宋体" w:cs="宋体"/>
                <w:sz w:val="24"/>
                <w:szCs w:val="24"/>
              </w:rPr>
            </w:pPr>
            <w:r>
              <w:rPr>
                <w:rFonts w:hint="eastAsia" w:ascii="宋体" w:hAnsi="宋体" w:eastAsia="宋体" w:cs="宋体"/>
                <w:color w:val="000000"/>
                <w:sz w:val="24"/>
                <w:szCs w:val="24"/>
              </w:rPr>
              <w:t>室内定位信标</w:t>
            </w:r>
          </w:p>
        </w:tc>
        <w:tc>
          <w:tcPr>
            <w:tcW w:w="1455" w:type="dxa"/>
            <w:tcBorders>
              <w:top w:val="nil"/>
              <w:left w:val="nil"/>
              <w:bottom w:val="single" w:color="000000" w:sz="4" w:space="0"/>
              <w:right w:val="single" w:color="000000" w:sz="4" w:space="0"/>
            </w:tcBorders>
            <w:tcMar>
              <w:top w:w="0" w:type="dxa"/>
              <w:left w:w="105" w:type="dxa"/>
              <w:bottom w:w="0" w:type="dxa"/>
              <w:right w:w="105" w:type="dxa"/>
            </w:tcMar>
            <w:vAlign w:val="top"/>
          </w:tcPr>
          <w:p w14:paraId="33B91239">
            <w:pPr>
              <w:pStyle w:val="6"/>
              <w:keepNext w:val="0"/>
              <w:keepLines w:val="0"/>
              <w:pageBreakBefore w:val="0"/>
              <w:widowControl/>
              <w:kinsoku/>
              <w:wordWrap/>
              <w:overflowPunct/>
              <w:topLinePunct w:val="0"/>
              <w:autoSpaceDE/>
              <w:autoSpaceDN/>
              <w:bidi w:val="0"/>
              <w:adjustRightInd/>
              <w:snapToGrid/>
              <w:spacing w:line="500" w:lineRule="exact"/>
              <w:ind w:firstLine="0"/>
              <w:jc w:val="center"/>
              <w:textAlignment w:val="auto"/>
              <w:rPr>
                <w:rFonts w:hint="eastAsia" w:ascii="宋体" w:hAnsi="宋体" w:eastAsia="宋体" w:cs="宋体"/>
                <w:sz w:val="24"/>
                <w:szCs w:val="24"/>
              </w:rPr>
            </w:pPr>
            <w:r>
              <w:rPr>
                <w:rFonts w:hint="eastAsia" w:ascii="宋体" w:hAnsi="宋体" w:eastAsia="宋体" w:cs="宋体"/>
                <w:color w:val="000000"/>
                <w:sz w:val="24"/>
                <w:szCs w:val="24"/>
              </w:rPr>
              <w:t>256个</w:t>
            </w:r>
          </w:p>
        </w:tc>
        <w:tc>
          <w:tcPr>
            <w:tcW w:w="2359" w:type="dxa"/>
            <w:tcBorders>
              <w:top w:val="nil"/>
              <w:left w:val="nil"/>
              <w:bottom w:val="single" w:color="000000" w:sz="4" w:space="0"/>
              <w:right w:val="single" w:color="000000" w:sz="4" w:space="0"/>
            </w:tcBorders>
            <w:tcMar>
              <w:top w:w="0" w:type="dxa"/>
              <w:left w:w="105" w:type="dxa"/>
              <w:bottom w:w="0" w:type="dxa"/>
              <w:right w:w="105" w:type="dxa"/>
            </w:tcMar>
            <w:vAlign w:val="top"/>
          </w:tcPr>
          <w:p w14:paraId="3464C96C">
            <w:pPr>
              <w:pStyle w:val="6"/>
              <w:keepNext w:val="0"/>
              <w:keepLines w:val="0"/>
              <w:pageBreakBefore w:val="0"/>
              <w:widowControl/>
              <w:kinsoku/>
              <w:wordWrap/>
              <w:overflowPunct/>
              <w:topLinePunct w:val="0"/>
              <w:autoSpaceDE/>
              <w:autoSpaceDN/>
              <w:bidi w:val="0"/>
              <w:adjustRightInd/>
              <w:snapToGrid/>
              <w:spacing w:line="500" w:lineRule="exact"/>
              <w:ind w:firstLine="0"/>
              <w:jc w:val="center"/>
              <w:textAlignment w:val="auto"/>
              <w:rPr>
                <w:rFonts w:hint="eastAsia" w:ascii="宋体" w:hAnsi="宋体" w:eastAsia="宋体" w:cs="宋体"/>
                <w:sz w:val="24"/>
                <w:szCs w:val="24"/>
              </w:rPr>
            </w:pPr>
            <w:r>
              <w:rPr>
                <w:rFonts w:hint="eastAsia" w:ascii="宋体" w:hAnsi="宋体" w:eastAsia="宋体" w:cs="宋体"/>
                <w:color w:val="000000"/>
                <w:sz w:val="24"/>
                <w:szCs w:val="24"/>
              </w:rPr>
              <w:t>2.560000</w:t>
            </w:r>
          </w:p>
        </w:tc>
      </w:tr>
      <w:tr w14:paraId="383D85BF">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99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0815F613">
            <w:pPr>
              <w:pStyle w:val="6"/>
              <w:keepNext w:val="0"/>
              <w:keepLines w:val="0"/>
              <w:pageBreakBefore w:val="0"/>
              <w:widowControl/>
              <w:kinsoku/>
              <w:wordWrap/>
              <w:overflowPunct/>
              <w:topLinePunct w:val="0"/>
              <w:autoSpaceDE/>
              <w:autoSpaceDN/>
              <w:bidi w:val="0"/>
              <w:adjustRightInd/>
              <w:snapToGrid/>
              <w:spacing w:line="500" w:lineRule="exact"/>
              <w:ind w:firstLine="0"/>
              <w:jc w:val="center"/>
              <w:textAlignment w:val="auto"/>
              <w:rPr>
                <w:rFonts w:hint="eastAsia" w:ascii="宋体" w:hAnsi="宋体" w:eastAsia="宋体" w:cs="宋体"/>
                <w:sz w:val="24"/>
                <w:szCs w:val="24"/>
              </w:rPr>
            </w:pPr>
            <w:r>
              <w:rPr>
                <w:rFonts w:hint="eastAsia" w:ascii="宋体" w:hAnsi="宋体" w:eastAsia="宋体" w:cs="宋体"/>
                <w:color w:val="000000"/>
                <w:sz w:val="24"/>
                <w:szCs w:val="24"/>
              </w:rPr>
              <w:t>5.4</w:t>
            </w:r>
          </w:p>
        </w:tc>
        <w:tc>
          <w:tcPr>
            <w:tcW w:w="3618" w:type="dxa"/>
            <w:tcBorders>
              <w:top w:val="nil"/>
              <w:left w:val="nil"/>
              <w:bottom w:val="single" w:color="000000" w:sz="4" w:space="0"/>
              <w:right w:val="single" w:color="000000" w:sz="4" w:space="0"/>
            </w:tcBorders>
            <w:tcMar>
              <w:top w:w="0" w:type="dxa"/>
              <w:left w:w="105" w:type="dxa"/>
              <w:bottom w:w="0" w:type="dxa"/>
              <w:right w:w="105" w:type="dxa"/>
            </w:tcMar>
            <w:vAlign w:val="top"/>
          </w:tcPr>
          <w:p w14:paraId="2AE1B15E">
            <w:pPr>
              <w:pStyle w:val="6"/>
              <w:keepNext w:val="0"/>
              <w:keepLines w:val="0"/>
              <w:pageBreakBefore w:val="0"/>
              <w:widowControl/>
              <w:kinsoku/>
              <w:wordWrap/>
              <w:overflowPunct/>
              <w:topLinePunct w:val="0"/>
              <w:autoSpaceDE/>
              <w:autoSpaceDN/>
              <w:bidi w:val="0"/>
              <w:adjustRightInd/>
              <w:snapToGrid/>
              <w:spacing w:line="500" w:lineRule="exact"/>
              <w:ind w:firstLine="0"/>
              <w:jc w:val="left"/>
              <w:textAlignment w:val="auto"/>
              <w:rPr>
                <w:rFonts w:hint="eastAsia" w:ascii="宋体" w:hAnsi="宋体" w:eastAsia="宋体" w:cs="宋体"/>
                <w:sz w:val="24"/>
                <w:szCs w:val="24"/>
              </w:rPr>
            </w:pPr>
            <w:r>
              <w:rPr>
                <w:rFonts w:hint="eastAsia" w:ascii="宋体" w:hAnsi="宋体" w:eastAsia="宋体" w:cs="宋体"/>
                <w:color w:val="000000"/>
                <w:sz w:val="24"/>
                <w:szCs w:val="24"/>
              </w:rPr>
              <w:t>室外定位信标</w:t>
            </w:r>
          </w:p>
        </w:tc>
        <w:tc>
          <w:tcPr>
            <w:tcW w:w="1455" w:type="dxa"/>
            <w:tcBorders>
              <w:top w:val="nil"/>
              <w:left w:val="nil"/>
              <w:bottom w:val="single" w:color="000000" w:sz="4" w:space="0"/>
              <w:right w:val="single" w:color="000000" w:sz="4" w:space="0"/>
            </w:tcBorders>
            <w:tcMar>
              <w:top w:w="0" w:type="dxa"/>
              <w:left w:w="105" w:type="dxa"/>
              <w:bottom w:w="0" w:type="dxa"/>
              <w:right w:w="105" w:type="dxa"/>
            </w:tcMar>
            <w:vAlign w:val="top"/>
          </w:tcPr>
          <w:p w14:paraId="725C1012">
            <w:pPr>
              <w:pStyle w:val="6"/>
              <w:keepNext w:val="0"/>
              <w:keepLines w:val="0"/>
              <w:pageBreakBefore w:val="0"/>
              <w:widowControl/>
              <w:kinsoku/>
              <w:wordWrap/>
              <w:overflowPunct/>
              <w:topLinePunct w:val="0"/>
              <w:autoSpaceDE/>
              <w:autoSpaceDN/>
              <w:bidi w:val="0"/>
              <w:adjustRightInd/>
              <w:snapToGrid/>
              <w:spacing w:line="500" w:lineRule="exact"/>
              <w:ind w:firstLine="0"/>
              <w:jc w:val="center"/>
              <w:textAlignment w:val="auto"/>
              <w:rPr>
                <w:rFonts w:hint="eastAsia" w:ascii="宋体" w:hAnsi="宋体" w:eastAsia="宋体" w:cs="宋体"/>
                <w:sz w:val="24"/>
                <w:szCs w:val="24"/>
              </w:rPr>
            </w:pPr>
            <w:r>
              <w:rPr>
                <w:rFonts w:hint="eastAsia" w:ascii="宋体" w:hAnsi="宋体" w:eastAsia="宋体" w:cs="宋体"/>
                <w:color w:val="000000"/>
                <w:sz w:val="24"/>
                <w:szCs w:val="24"/>
              </w:rPr>
              <w:t>233个</w:t>
            </w:r>
          </w:p>
        </w:tc>
        <w:tc>
          <w:tcPr>
            <w:tcW w:w="2359" w:type="dxa"/>
            <w:tcBorders>
              <w:top w:val="nil"/>
              <w:left w:val="nil"/>
              <w:bottom w:val="single" w:color="000000" w:sz="4" w:space="0"/>
              <w:right w:val="single" w:color="000000" w:sz="4" w:space="0"/>
            </w:tcBorders>
            <w:tcMar>
              <w:top w:w="0" w:type="dxa"/>
              <w:left w:w="105" w:type="dxa"/>
              <w:bottom w:w="0" w:type="dxa"/>
              <w:right w:w="105" w:type="dxa"/>
            </w:tcMar>
            <w:vAlign w:val="top"/>
          </w:tcPr>
          <w:p w14:paraId="6F314377">
            <w:pPr>
              <w:pStyle w:val="6"/>
              <w:keepNext w:val="0"/>
              <w:keepLines w:val="0"/>
              <w:pageBreakBefore w:val="0"/>
              <w:widowControl/>
              <w:kinsoku/>
              <w:wordWrap/>
              <w:overflowPunct/>
              <w:topLinePunct w:val="0"/>
              <w:autoSpaceDE/>
              <w:autoSpaceDN/>
              <w:bidi w:val="0"/>
              <w:adjustRightInd/>
              <w:snapToGrid/>
              <w:spacing w:line="500" w:lineRule="exact"/>
              <w:ind w:firstLine="0"/>
              <w:jc w:val="center"/>
              <w:textAlignment w:val="auto"/>
              <w:rPr>
                <w:rFonts w:hint="eastAsia" w:ascii="宋体" w:hAnsi="宋体" w:eastAsia="宋体" w:cs="宋体"/>
                <w:sz w:val="24"/>
                <w:szCs w:val="24"/>
              </w:rPr>
            </w:pPr>
            <w:r>
              <w:rPr>
                <w:rFonts w:hint="eastAsia" w:ascii="宋体" w:hAnsi="宋体" w:eastAsia="宋体" w:cs="宋体"/>
                <w:color w:val="000000"/>
                <w:sz w:val="24"/>
                <w:szCs w:val="24"/>
              </w:rPr>
              <w:t>4.660000</w:t>
            </w:r>
          </w:p>
        </w:tc>
      </w:tr>
      <w:tr w14:paraId="50CD794C">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99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049A970A">
            <w:pPr>
              <w:pStyle w:val="6"/>
              <w:keepNext w:val="0"/>
              <w:keepLines w:val="0"/>
              <w:pageBreakBefore w:val="0"/>
              <w:widowControl/>
              <w:kinsoku/>
              <w:wordWrap/>
              <w:overflowPunct/>
              <w:topLinePunct w:val="0"/>
              <w:autoSpaceDE/>
              <w:autoSpaceDN/>
              <w:bidi w:val="0"/>
              <w:adjustRightInd/>
              <w:snapToGrid/>
              <w:spacing w:line="500" w:lineRule="exact"/>
              <w:ind w:firstLine="0"/>
              <w:jc w:val="center"/>
              <w:textAlignment w:val="auto"/>
              <w:rPr>
                <w:rFonts w:hint="eastAsia" w:ascii="宋体" w:hAnsi="宋体" w:eastAsia="宋体" w:cs="宋体"/>
                <w:sz w:val="24"/>
                <w:szCs w:val="24"/>
              </w:rPr>
            </w:pPr>
            <w:r>
              <w:rPr>
                <w:rFonts w:hint="eastAsia" w:ascii="宋体" w:hAnsi="宋体" w:eastAsia="宋体" w:cs="宋体"/>
                <w:color w:val="000000"/>
                <w:sz w:val="24"/>
                <w:szCs w:val="24"/>
              </w:rPr>
              <w:t>5.5</w:t>
            </w:r>
          </w:p>
        </w:tc>
        <w:tc>
          <w:tcPr>
            <w:tcW w:w="3618" w:type="dxa"/>
            <w:tcBorders>
              <w:top w:val="nil"/>
              <w:left w:val="nil"/>
              <w:bottom w:val="single" w:color="000000" w:sz="4" w:space="0"/>
              <w:right w:val="single" w:color="000000" w:sz="4" w:space="0"/>
            </w:tcBorders>
            <w:tcMar>
              <w:top w:w="0" w:type="dxa"/>
              <w:left w:w="105" w:type="dxa"/>
              <w:bottom w:w="0" w:type="dxa"/>
              <w:right w:w="105" w:type="dxa"/>
            </w:tcMar>
            <w:vAlign w:val="top"/>
          </w:tcPr>
          <w:p w14:paraId="41A6C163">
            <w:pPr>
              <w:pStyle w:val="6"/>
              <w:keepNext w:val="0"/>
              <w:keepLines w:val="0"/>
              <w:pageBreakBefore w:val="0"/>
              <w:widowControl/>
              <w:kinsoku/>
              <w:wordWrap/>
              <w:overflowPunct/>
              <w:topLinePunct w:val="0"/>
              <w:autoSpaceDE/>
              <w:autoSpaceDN/>
              <w:bidi w:val="0"/>
              <w:adjustRightInd/>
              <w:snapToGrid/>
              <w:spacing w:line="500" w:lineRule="exact"/>
              <w:ind w:firstLine="0"/>
              <w:jc w:val="left"/>
              <w:textAlignment w:val="auto"/>
              <w:rPr>
                <w:rFonts w:hint="eastAsia" w:ascii="宋体" w:hAnsi="宋体" w:eastAsia="宋体" w:cs="宋体"/>
                <w:sz w:val="24"/>
                <w:szCs w:val="24"/>
              </w:rPr>
            </w:pPr>
            <w:r>
              <w:rPr>
                <w:rFonts w:hint="eastAsia" w:ascii="宋体" w:hAnsi="宋体" w:eastAsia="宋体" w:cs="宋体"/>
                <w:color w:val="000000"/>
                <w:sz w:val="24"/>
                <w:szCs w:val="24"/>
              </w:rPr>
              <w:t>物联信标</w:t>
            </w:r>
          </w:p>
        </w:tc>
        <w:tc>
          <w:tcPr>
            <w:tcW w:w="1455" w:type="dxa"/>
            <w:tcBorders>
              <w:top w:val="nil"/>
              <w:left w:val="nil"/>
              <w:bottom w:val="single" w:color="000000" w:sz="4" w:space="0"/>
              <w:right w:val="single" w:color="000000" w:sz="4" w:space="0"/>
            </w:tcBorders>
            <w:tcMar>
              <w:top w:w="0" w:type="dxa"/>
              <w:left w:w="105" w:type="dxa"/>
              <w:bottom w:w="0" w:type="dxa"/>
              <w:right w:w="105" w:type="dxa"/>
            </w:tcMar>
            <w:vAlign w:val="top"/>
          </w:tcPr>
          <w:p w14:paraId="787CD689">
            <w:pPr>
              <w:pStyle w:val="6"/>
              <w:keepNext w:val="0"/>
              <w:keepLines w:val="0"/>
              <w:pageBreakBefore w:val="0"/>
              <w:widowControl/>
              <w:kinsoku/>
              <w:wordWrap/>
              <w:overflowPunct/>
              <w:topLinePunct w:val="0"/>
              <w:autoSpaceDE/>
              <w:autoSpaceDN/>
              <w:bidi w:val="0"/>
              <w:adjustRightInd/>
              <w:snapToGrid/>
              <w:spacing w:line="500" w:lineRule="exact"/>
              <w:ind w:firstLine="0"/>
              <w:jc w:val="center"/>
              <w:textAlignment w:val="auto"/>
              <w:rPr>
                <w:rFonts w:hint="eastAsia" w:ascii="宋体" w:hAnsi="宋体" w:eastAsia="宋体" w:cs="宋体"/>
                <w:sz w:val="24"/>
                <w:szCs w:val="24"/>
              </w:rPr>
            </w:pPr>
            <w:r>
              <w:rPr>
                <w:rFonts w:hint="eastAsia" w:ascii="宋体" w:hAnsi="宋体" w:eastAsia="宋体" w:cs="宋体"/>
                <w:color w:val="000000"/>
                <w:sz w:val="24"/>
                <w:szCs w:val="24"/>
              </w:rPr>
              <w:t>95个</w:t>
            </w:r>
          </w:p>
        </w:tc>
        <w:tc>
          <w:tcPr>
            <w:tcW w:w="2359" w:type="dxa"/>
            <w:tcBorders>
              <w:top w:val="nil"/>
              <w:left w:val="nil"/>
              <w:bottom w:val="single" w:color="000000" w:sz="4" w:space="0"/>
              <w:right w:val="single" w:color="000000" w:sz="4" w:space="0"/>
            </w:tcBorders>
            <w:tcMar>
              <w:top w:w="0" w:type="dxa"/>
              <w:left w:w="105" w:type="dxa"/>
              <w:bottom w:w="0" w:type="dxa"/>
              <w:right w:w="105" w:type="dxa"/>
            </w:tcMar>
            <w:vAlign w:val="top"/>
          </w:tcPr>
          <w:p w14:paraId="5A538C23">
            <w:pPr>
              <w:pStyle w:val="6"/>
              <w:keepNext w:val="0"/>
              <w:keepLines w:val="0"/>
              <w:pageBreakBefore w:val="0"/>
              <w:widowControl/>
              <w:kinsoku/>
              <w:wordWrap/>
              <w:overflowPunct/>
              <w:topLinePunct w:val="0"/>
              <w:autoSpaceDE/>
              <w:autoSpaceDN/>
              <w:bidi w:val="0"/>
              <w:adjustRightInd/>
              <w:snapToGrid/>
              <w:spacing w:line="500" w:lineRule="exact"/>
              <w:ind w:firstLine="0"/>
              <w:jc w:val="center"/>
              <w:textAlignment w:val="auto"/>
              <w:rPr>
                <w:rFonts w:hint="eastAsia" w:ascii="宋体" w:hAnsi="宋体" w:eastAsia="宋体" w:cs="宋体"/>
                <w:sz w:val="24"/>
                <w:szCs w:val="24"/>
              </w:rPr>
            </w:pPr>
            <w:r>
              <w:rPr>
                <w:rFonts w:hint="eastAsia" w:ascii="宋体" w:hAnsi="宋体" w:eastAsia="宋体" w:cs="宋体"/>
                <w:color w:val="000000"/>
                <w:sz w:val="24"/>
                <w:szCs w:val="24"/>
              </w:rPr>
              <w:t>1.900000</w:t>
            </w:r>
          </w:p>
        </w:tc>
      </w:tr>
      <w:tr w14:paraId="0934B74E">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99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7CA6543A">
            <w:pPr>
              <w:pStyle w:val="6"/>
              <w:keepNext w:val="0"/>
              <w:keepLines w:val="0"/>
              <w:pageBreakBefore w:val="0"/>
              <w:widowControl/>
              <w:kinsoku/>
              <w:wordWrap/>
              <w:overflowPunct/>
              <w:topLinePunct w:val="0"/>
              <w:autoSpaceDE/>
              <w:autoSpaceDN/>
              <w:bidi w:val="0"/>
              <w:adjustRightInd/>
              <w:snapToGrid/>
              <w:spacing w:line="500" w:lineRule="exact"/>
              <w:ind w:firstLine="0"/>
              <w:jc w:val="center"/>
              <w:textAlignment w:val="auto"/>
              <w:rPr>
                <w:rFonts w:hint="eastAsia" w:ascii="宋体" w:hAnsi="宋体" w:eastAsia="宋体" w:cs="宋体"/>
                <w:sz w:val="24"/>
                <w:szCs w:val="24"/>
              </w:rPr>
            </w:pPr>
            <w:r>
              <w:rPr>
                <w:rFonts w:hint="eastAsia" w:ascii="宋体" w:hAnsi="宋体" w:eastAsia="宋体" w:cs="宋体"/>
                <w:color w:val="000000"/>
                <w:sz w:val="24"/>
                <w:szCs w:val="24"/>
              </w:rPr>
              <w:t>5.6</w:t>
            </w:r>
          </w:p>
        </w:tc>
        <w:tc>
          <w:tcPr>
            <w:tcW w:w="3618" w:type="dxa"/>
            <w:tcBorders>
              <w:top w:val="nil"/>
              <w:left w:val="nil"/>
              <w:bottom w:val="single" w:color="000000" w:sz="4" w:space="0"/>
              <w:right w:val="single" w:color="000000" w:sz="4" w:space="0"/>
            </w:tcBorders>
            <w:tcMar>
              <w:top w:w="0" w:type="dxa"/>
              <w:left w:w="105" w:type="dxa"/>
              <w:bottom w:w="0" w:type="dxa"/>
              <w:right w:w="105" w:type="dxa"/>
            </w:tcMar>
            <w:vAlign w:val="top"/>
          </w:tcPr>
          <w:p w14:paraId="2EDE4E1F">
            <w:pPr>
              <w:pStyle w:val="6"/>
              <w:keepNext w:val="0"/>
              <w:keepLines w:val="0"/>
              <w:pageBreakBefore w:val="0"/>
              <w:widowControl/>
              <w:kinsoku/>
              <w:wordWrap/>
              <w:overflowPunct/>
              <w:topLinePunct w:val="0"/>
              <w:autoSpaceDE/>
              <w:autoSpaceDN/>
              <w:bidi w:val="0"/>
              <w:adjustRightInd/>
              <w:snapToGrid/>
              <w:spacing w:line="500" w:lineRule="exact"/>
              <w:ind w:firstLine="0"/>
              <w:jc w:val="both"/>
              <w:textAlignment w:val="auto"/>
              <w:rPr>
                <w:rFonts w:hint="eastAsia" w:ascii="宋体" w:hAnsi="宋体" w:eastAsia="宋体" w:cs="宋体"/>
                <w:sz w:val="24"/>
                <w:szCs w:val="24"/>
              </w:rPr>
            </w:pPr>
            <w:r>
              <w:rPr>
                <w:rFonts w:hint="eastAsia" w:ascii="宋体" w:hAnsi="宋体" w:eastAsia="宋体" w:cs="宋体"/>
                <w:color w:val="000000"/>
                <w:sz w:val="24"/>
                <w:szCs w:val="24"/>
              </w:rPr>
              <w:t>导航大屏幕</w:t>
            </w:r>
          </w:p>
        </w:tc>
        <w:tc>
          <w:tcPr>
            <w:tcW w:w="1455" w:type="dxa"/>
            <w:tcBorders>
              <w:top w:val="nil"/>
              <w:left w:val="nil"/>
              <w:bottom w:val="single" w:color="000000" w:sz="4" w:space="0"/>
              <w:right w:val="single" w:color="000000" w:sz="4" w:space="0"/>
            </w:tcBorders>
            <w:tcMar>
              <w:top w:w="0" w:type="dxa"/>
              <w:left w:w="105" w:type="dxa"/>
              <w:bottom w:w="0" w:type="dxa"/>
              <w:right w:w="105" w:type="dxa"/>
            </w:tcMar>
            <w:vAlign w:val="top"/>
          </w:tcPr>
          <w:p w14:paraId="7892141A">
            <w:pPr>
              <w:pStyle w:val="6"/>
              <w:keepNext w:val="0"/>
              <w:keepLines w:val="0"/>
              <w:pageBreakBefore w:val="0"/>
              <w:widowControl/>
              <w:kinsoku/>
              <w:wordWrap/>
              <w:overflowPunct/>
              <w:topLinePunct w:val="0"/>
              <w:autoSpaceDE/>
              <w:autoSpaceDN/>
              <w:bidi w:val="0"/>
              <w:adjustRightInd/>
              <w:snapToGrid/>
              <w:spacing w:line="500" w:lineRule="exact"/>
              <w:ind w:firstLine="0"/>
              <w:jc w:val="center"/>
              <w:textAlignment w:val="auto"/>
              <w:rPr>
                <w:rFonts w:hint="eastAsia" w:ascii="宋体" w:hAnsi="宋体" w:eastAsia="宋体" w:cs="宋体"/>
                <w:sz w:val="24"/>
                <w:szCs w:val="24"/>
              </w:rPr>
            </w:pPr>
            <w:r>
              <w:rPr>
                <w:rFonts w:hint="eastAsia" w:ascii="宋体" w:hAnsi="宋体" w:eastAsia="宋体" w:cs="宋体"/>
                <w:color w:val="000000"/>
                <w:sz w:val="24"/>
                <w:szCs w:val="24"/>
              </w:rPr>
              <w:t>1台</w:t>
            </w:r>
          </w:p>
        </w:tc>
        <w:tc>
          <w:tcPr>
            <w:tcW w:w="2359" w:type="dxa"/>
            <w:tcBorders>
              <w:top w:val="nil"/>
              <w:left w:val="nil"/>
              <w:bottom w:val="single" w:color="000000" w:sz="4" w:space="0"/>
              <w:right w:val="single" w:color="000000" w:sz="4" w:space="0"/>
            </w:tcBorders>
            <w:tcMar>
              <w:top w:w="0" w:type="dxa"/>
              <w:left w:w="105" w:type="dxa"/>
              <w:bottom w:w="0" w:type="dxa"/>
              <w:right w:w="105" w:type="dxa"/>
            </w:tcMar>
            <w:vAlign w:val="top"/>
          </w:tcPr>
          <w:p w14:paraId="749F5A28">
            <w:pPr>
              <w:pStyle w:val="6"/>
              <w:keepNext w:val="0"/>
              <w:keepLines w:val="0"/>
              <w:pageBreakBefore w:val="0"/>
              <w:widowControl/>
              <w:kinsoku/>
              <w:wordWrap/>
              <w:overflowPunct/>
              <w:topLinePunct w:val="0"/>
              <w:autoSpaceDE/>
              <w:autoSpaceDN/>
              <w:bidi w:val="0"/>
              <w:adjustRightInd/>
              <w:snapToGrid/>
              <w:spacing w:line="500" w:lineRule="exact"/>
              <w:ind w:firstLine="0"/>
              <w:jc w:val="center"/>
              <w:textAlignment w:val="auto"/>
              <w:rPr>
                <w:rFonts w:hint="eastAsia" w:ascii="宋体" w:hAnsi="宋体" w:eastAsia="宋体" w:cs="宋体"/>
                <w:sz w:val="24"/>
                <w:szCs w:val="24"/>
              </w:rPr>
            </w:pPr>
            <w:r>
              <w:rPr>
                <w:rFonts w:hint="eastAsia" w:ascii="宋体" w:hAnsi="宋体" w:eastAsia="宋体" w:cs="宋体"/>
                <w:color w:val="000000"/>
                <w:sz w:val="24"/>
                <w:szCs w:val="24"/>
              </w:rPr>
              <w:t>1.500000</w:t>
            </w:r>
          </w:p>
        </w:tc>
      </w:tr>
      <w:tr w14:paraId="1F4E29D3">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99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C52E7EA">
            <w:pPr>
              <w:pStyle w:val="6"/>
              <w:keepNext w:val="0"/>
              <w:keepLines w:val="0"/>
              <w:pageBreakBefore w:val="0"/>
              <w:widowControl/>
              <w:kinsoku/>
              <w:wordWrap/>
              <w:overflowPunct/>
              <w:topLinePunct w:val="0"/>
              <w:autoSpaceDE/>
              <w:autoSpaceDN/>
              <w:bidi w:val="0"/>
              <w:adjustRightInd/>
              <w:snapToGrid/>
              <w:spacing w:line="500" w:lineRule="exact"/>
              <w:ind w:firstLine="0"/>
              <w:jc w:val="center"/>
              <w:textAlignment w:val="auto"/>
              <w:rPr>
                <w:rFonts w:hint="eastAsia" w:ascii="宋体" w:hAnsi="宋体" w:eastAsia="宋体" w:cs="宋体"/>
                <w:sz w:val="24"/>
                <w:szCs w:val="24"/>
              </w:rPr>
            </w:pPr>
            <w:r>
              <w:rPr>
                <w:rFonts w:hint="eastAsia" w:ascii="宋体" w:hAnsi="宋体" w:eastAsia="宋体" w:cs="宋体"/>
                <w:color w:val="000000"/>
                <w:sz w:val="24"/>
                <w:szCs w:val="24"/>
              </w:rPr>
              <w:t>5.7</w:t>
            </w:r>
          </w:p>
        </w:tc>
        <w:tc>
          <w:tcPr>
            <w:tcW w:w="3618" w:type="dxa"/>
            <w:tcBorders>
              <w:top w:val="nil"/>
              <w:left w:val="nil"/>
              <w:bottom w:val="single" w:color="000000" w:sz="4" w:space="0"/>
              <w:right w:val="single" w:color="000000" w:sz="4" w:space="0"/>
            </w:tcBorders>
            <w:tcMar>
              <w:top w:w="0" w:type="dxa"/>
              <w:left w:w="105" w:type="dxa"/>
              <w:bottom w:w="0" w:type="dxa"/>
              <w:right w:w="105" w:type="dxa"/>
            </w:tcMar>
            <w:vAlign w:val="top"/>
          </w:tcPr>
          <w:p w14:paraId="55C563DD">
            <w:pPr>
              <w:pStyle w:val="6"/>
              <w:keepNext w:val="0"/>
              <w:keepLines w:val="0"/>
              <w:pageBreakBefore w:val="0"/>
              <w:widowControl/>
              <w:kinsoku/>
              <w:wordWrap/>
              <w:overflowPunct/>
              <w:topLinePunct w:val="0"/>
              <w:autoSpaceDE/>
              <w:autoSpaceDN/>
              <w:bidi w:val="0"/>
              <w:adjustRightInd/>
              <w:snapToGrid/>
              <w:spacing w:line="500" w:lineRule="exact"/>
              <w:ind w:firstLine="0"/>
              <w:jc w:val="both"/>
              <w:textAlignment w:val="auto"/>
              <w:rPr>
                <w:rFonts w:hint="eastAsia" w:ascii="宋体" w:hAnsi="宋体" w:eastAsia="宋体" w:cs="宋体"/>
                <w:sz w:val="24"/>
                <w:szCs w:val="24"/>
              </w:rPr>
            </w:pPr>
            <w:r>
              <w:rPr>
                <w:rFonts w:hint="eastAsia" w:ascii="宋体" w:hAnsi="宋体" w:eastAsia="宋体" w:cs="宋体"/>
                <w:color w:val="000000"/>
                <w:sz w:val="24"/>
                <w:szCs w:val="24"/>
              </w:rPr>
              <w:t>手机导诊陪诊软件</w:t>
            </w:r>
          </w:p>
        </w:tc>
        <w:tc>
          <w:tcPr>
            <w:tcW w:w="1455" w:type="dxa"/>
            <w:tcBorders>
              <w:top w:val="nil"/>
              <w:left w:val="nil"/>
              <w:bottom w:val="single" w:color="000000" w:sz="4" w:space="0"/>
              <w:right w:val="single" w:color="000000" w:sz="4" w:space="0"/>
            </w:tcBorders>
            <w:tcMar>
              <w:top w:w="0" w:type="dxa"/>
              <w:left w:w="105" w:type="dxa"/>
              <w:bottom w:w="0" w:type="dxa"/>
              <w:right w:w="105" w:type="dxa"/>
            </w:tcMar>
            <w:vAlign w:val="top"/>
          </w:tcPr>
          <w:p w14:paraId="206ABA24">
            <w:pPr>
              <w:pStyle w:val="6"/>
              <w:keepNext w:val="0"/>
              <w:keepLines w:val="0"/>
              <w:pageBreakBefore w:val="0"/>
              <w:widowControl/>
              <w:kinsoku/>
              <w:wordWrap/>
              <w:overflowPunct/>
              <w:topLinePunct w:val="0"/>
              <w:autoSpaceDE/>
              <w:autoSpaceDN/>
              <w:bidi w:val="0"/>
              <w:adjustRightInd/>
              <w:snapToGrid/>
              <w:spacing w:line="500" w:lineRule="exact"/>
              <w:ind w:firstLine="0"/>
              <w:jc w:val="center"/>
              <w:textAlignment w:val="auto"/>
              <w:rPr>
                <w:rFonts w:hint="eastAsia" w:ascii="宋体" w:hAnsi="宋体" w:eastAsia="宋体" w:cs="宋体"/>
                <w:sz w:val="24"/>
                <w:szCs w:val="24"/>
              </w:rPr>
            </w:pPr>
            <w:r>
              <w:rPr>
                <w:rFonts w:hint="eastAsia" w:ascii="宋体" w:hAnsi="宋体" w:eastAsia="宋体" w:cs="宋体"/>
                <w:color w:val="000000"/>
                <w:sz w:val="24"/>
                <w:szCs w:val="24"/>
              </w:rPr>
              <w:t>1套</w:t>
            </w:r>
          </w:p>
        </w:tc>
        <w:tc>
          <w:tcPr>
            <w:tcW w:w="2359" w:type="dxa"/>
            <w:tcBorders>
              <w:top w:val="nil"/>
              <w:left w:val="nil"/>
              <w:bottom w:val="single" w:color="000000" w:sz="4" w:space="0"/>
              <w:right w:val="single" w:color="000000" w:sz="4" w:space="0"/>
            </w:tcBorders>
            <w:tcMar>
              <w:top w:w="0" w:type="dxa"/>
              <w:left w:w="105" w:type="dxa"/>
              <w:bottom w:w="0" w:type="dxa"/>
              <w:right w:w="105" w:type="dxa"/>
            </w:tcMar>
            <w:vAlign w:val="top"/>
          </w:tcPr>
          <w:p w14:paraId="669CB236">
            <w:pPr>
              <w:pStyle w:val="6"/>
              <w:keepNext w:val="0"/>
              <w:keepLines w:val="0"/>
              <w:pageBreakBefore w:val="0"/>
              <w:widowControl/>
              <w:kinsoku/>
              <w:wordWrap/>
              <w:overflowPunct/>
              <w:topLinePunct w:val="0"/>
              <w:autoSpaceDE/>
              <w:autoSpaceDN/>
              <w:bidi w:val="0"/>
              <w:adjustRightInd/>
              <w:snapToGrid/>
              <w:spacing w:line="500" w:lineRule="exact"/>
              <w:ind w:firstLine="0"/>
              <w:jc w:val="center"/>
              <w:textAlignment w:val="auto"/>
              <w:rPr>
                <w:rFonts w:hint="eastAsia" w:ascii="宋体" w:hAnsi="宋体" w:eastAsia="宋体" w:cs="宋体"/>
                <w:sz w:val="24"/>
                <w:szCs w:val="24"/>
              </w:rPr>
            </w:pPr>
            <w:r>
              <w:rPr>
                <w:rFonts w:hint="eastAsia" w:ascii="宋体" w:hAnsi="宋体" w:eastAsia="宋体" w:cs="宋体"/>
                <w:color w:val="000000"/>
                <w:sz w:val="24"/>
                <w:szCs w:val="24"/>
              </w:rPr>
              <w:t>3.000000</w:t>
            </w:r>
          </w:p>
        </w:tc>
      </w:tr>
      <w:tr w14:paraId="49C7A40C">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99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18891E4B">
            <w:pPr>
              <w:pStyle w:val="6"/>
              <w:keepNext w:val="0"/>
              <w:keepLines w:val="0"/>
              <w:pageBreakBefore w:val="0"/>
              <w:widowControl/>
              <w:kinsoku/>
              <w:wordWrap/>
              <w:overflowPunct/>
              <w:topLinePunct w:val="0"/>
              <w:autoSpaceDE/>
              <w:autoSpaceDN/>
              <w:bidi w:val="0"/>
              <w:adjustRightInd/>
              <w:snapToGrid/>
              <w:spacing w:line="500" w:lineRule="exact"/>
              <w:ind w:firstLine="0"/>
              <w:jc w:val="center"/>
              <w:textAlignment w:val="auto"/>
              <w:rPr>
                <w:rFonts w:hint="eastAsia" w:ascii="宋体" w:hAnsi="宋体" w:eastAsia="宋体" w:cs="宋体"/>
                <w:sz w:val="24"/>
                <w:szCs w:val="24"/>
              </w:rPr>
            </w:pPr>
            <w:r>
              <w:rPr>
                <w:rFonts w:hint="eastAsia" w:ascii="宋体" w:hAnsi="宋体" w:eastAsia="宋体" w:cs="宋体"/>
                <w:color w:val="000000"/>
                <w:sz w:val="24"/>
                <w:szCs w:val="24"/>
              </w:rPr>
              <w:t>5.8</w:t>
            </w:r>
          </w:p>
        </w:tc>
        <w:tc>
          <w:tcPr>
            <w:tcW w:w="3618" w:type="dxa"/>
            <w:tcBorders>
              <w:top w:val="nil"/>
              <w:left w:val="nil"/>
              <w:bottom w:val="single" w:color="000000" w:sz="4" w:space="0"/>
              <w:right w:val="single" w:color="000000" w:sz="4" w:space="0"/>
            </w:tcBorders>
            <w:tcMar>
              <w:top w:w="0" w:type="dxa"/>
              <w:left w:w="105" w:type="dxa"/>
              <w:bottom w:w="0" w:type="dxa"/>
              <w:right w:w="105" w:type="dxa"/>
            </w:tcMar>
            <w:vAlign w:val="top"/>
          </w:tcPr>
          <w:p w14:paraId="2E0A2604">
            <w:pPr>
              <w:pStyle w:val="6"/>
              <w:keepNext w:val="0"/>
              <w:keepLines w:val="0"/>
              <w:pageBreakBefore w:val="0"/>
              <w:widowControl/>
              <w:kinsoku/>
              <w:wordWrap/>
              <w:overflowPunct/>
              <w:topLinePunct w:val="0"/>
              <w:autoSpaceDE/>
              <w:autoSpaceDN/>
              <w:bidi w:val="0"/>
              <w:adjustRightInd/>
              <w:snapToGrid/>
              <w:spacing w:line="500" w:lineRule="exact"/>
              <w:ind w:firstLine="0"/>
              <w:jc w:val="both"/>
              <w:textAlignment w:val="auto"/>
              <w:rPr>
                <w:rFonts w:hint="eastAsia" w:ascii="宋体" w:hAnsi="宋体" w:eastAsia="宋体" w:cs="宋体"/>
                <w:sz w:val="24"/>
                <w:szCs w:val="24"/>
              </w:rPr>
            </w:pPr>
            <w:r>
              <w:rPr>
                <w:rFonts w:hint="eastAsia" w:ascii="宋体" w:hAnsi="宋体" w:eastAsia="宋体" w:cs="宋体"/>
                <w:color w:val="000000"/>
                <w:sz w:val="24"/>
                <w:szCs w:val="24"/>
              </w:rPr>
              <w:t>导诊陪诊后台管理软件</w:t>
            </w:r>
          </w:p>
        </w:tc>
        <w:tc>
          <w:tcPr>
            <w:tcW w:w="1455" w:type="dxa"/>
            <w:tcBorders>
              <w:top w:val="nil"/>
              <w:left w:val="nil"/>
              <w:bottom w:val="single" w:color="000000" w:sz="4" w:space="0"/>
              <w:right w:val="single" w:color="000000" w:sz="4" w:space="0"/>
            </w:tcBorders>
            <w:tcMar>
              <w:top w:w="0" w:type="dxa"/>
              <w:left w:w="105" w:type="dxa"/>
              <w:bottom w:w="0" w:type="dxa"/>
              <w:right w:w="105" w:type="dxa"/>
            </w:tcMar>
            <w:vAlign w:val="top"/>
          </w:tcPr>
          <w:p w14:paraId="435385C7">
            <w:pPr>
              <w:pStyle w:val="6"/>
              <w:keepNext w:val="0"/>
              <w:keepLines w:val="0"/>
              <w:pageBreakBefore w:val="0"/>
              <w:widowControl/>
              <w:kinsoku/>
              <w:wordWrap/>
              <w:overflowPunct/>
              <w:topLinePunct w:val="0"/>
              <w:autoSpaceDE/>
              <w:autoSpaceDN/>
              <w:bidi w:val="0"/>
              <w:adjustRightInd/>
              <w:snapToGrid/>
              <w:spacing w:line="500" w:lineRule="exact"/>
              <w:ind w:firstLine="0"/>
              <w:jc w:val="center"/>
              <w:textAlignment w:val="auto"/>
              <w:rPr>
                <w:rFonts w:hint="eastAsia" w:ascii="宋体" w:hAnsi="宋体" w:eastAsia="宋体" w:cs="宋体"/>
                <w:sz w:val="24"/>
                <w:szCs w:val="24"/>
              </w:rPr>
            </w:pPr>
            <w:r>
              <w:rPr>
                <w:rFonts w:hint="eastAsia" w:ascii="宋体" w:hAnsi="宋体" w:eastAsia="宋体" w:cs="宋体"/>
                <w:color w:val="000000"/>
                <w:sz w:val="24"/>
                <w:szCs w:val="24"/>
              </w:rPr>
              <w:t>1套</w:t>
            </w:r>
          </w:p>
        </w:tc>
        <w:tc>
          <w:tcPr>
            <w:tcW w:w="2359" w:type="dxa"/>
            <w:tcBorders>
              <w:top w:val="nil"/>
              <w:left w:val="nil"/>
              <w:bottom w:val="single" w:color="000000" w:sz="4" w:space="0"/>
              <w:right w:val="single" w:color="000000" w:sz="4" w:space="0"/>
            </w:tcBorders>
            <w:tcMar>
              <w:top w:w="0" w:type="dxa"/>
              <w:left w:w="105" w:type="dxa"/>
              <w:bottom w:w="0" w:type="dxa"/>
              <w:right w:w="105" w:type="dxa"/>
            </w:tcMar>
            <w:vAlign w:val="top"/>
          </w:tcPr>
          <w:p w14:paraId="6F18D7A3">
            <w:pPr>
              <w:pStyle w:val="6"/>
              <w:keepNext w:val="0"/>
              <w:keepLines w:val="0"/>
              <w:pageBreakBefore w:val="0"/>
              <w:widowControl/>
              <w:kinsoku/>
              <w:wordWrap/>
              <w:overflowPunct/>
              <w:topLinePunct w:val="0"/>
              <w:autoSpaceDE/>
              <w:autoSpaceDN/>
              <w:bidi w:val="0"/>
              <w:adjustRightInd/>
              <w:snapToGrid/>
              <w:spacing w:line="500" w:lineRule="exact"/>
              <w:ind w:firstLine="0"/>
              <w:jc w:val="center"/>
              <w:textAlignment w:val="auto"/>
              <w:rPr>
                <w:rFonts w:hint="eastAsia" w:ascii="宋体" w:hAnsi="宋体" w:eastAsia="宋体" w:cs="宋体"/>
                <w:sz w:val="24"/>
                <w:szCs w:val="24"/>
              </w:rPr>
            </w:pPr>
            <w:r>
              <w:rPr>
                <w:rFonts w:hint="eastAsia" w:ascii="宋体" w:hAnsi="宋体" w:eastAsia="宋体" w:cs="宋体"/>
                <w:color w:val="000000"/>
                <w:sz w:val="24"/>
                <w:szCs w:val="24"/>
              </w:rPr>
              <w:t>1.500000</w:t>
            </w:r>
          </w:p>
        </w:tc>
      </w:tr>
      <w:tr w14:paraId="4AE6380C">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99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D40D6E9">
            <w:pPr>
              <w:pStyle w:val="6"/>
              <w:keepNext w:val="0"/>
              <w:keepLines w:val="0"/>
              <w:pageBreakBefore w:val="0"/>
              <w:widowControl/>
              <w:kinsoku/>
              <w:wordWrap/>
              <w:overflowPunct/>
              <w:topLinePunct w:val="0"/>
              <w:autoSpaceDE/>
              <w:autoSpaceDN/>
              <w:bidi w:val="0"/>
              <w:adjustRightInd/>
              <w:snapToGrid/>
              <w:spacing w:line="500" w:lineRule="exact"/>
              <w:ind w:firstLine="0"/>
              <w:jc w:val="center"/>
              <w:textAlignment w:val="auto"/>
              <w:rPr>
                <w:rFonts w:hint="eastAsia" w:ascii="宋体" w:hAnsi="宋体" w:eastAsia="宋体" w:cs="宋体"/>
                <w:sz w:val="24"/>
                <w:szCs w:val="24"/>
              </w:rPr>
            </w:pPr>
            <w:r>
              <w:rPr>
                <w:rFonts w:hint="eastAsia" w:ascii="宋体" w:hAnsi="宋体" w:eastAsia="宋体" w:cs="宋体"/>
                <w:color w:val="000000"/>
                <w:sz w:val="24"/>
                <w:szCs w:val="24"/>
              </w:rPr>
              <w:t>5.9</w:t>
            </w:r>
          </w:p>
        </w:tc>
        <w:tc>
          <w:tcPr>
            <w:tcW w:w="3618" w:type="dxa"/>
            <w:tcBorders>
              <w:top w:val="nil"/>
              <w:left w:val="nil"/>
              <w:bottom w:val="single" w:color="000000" w:sz="4" w:space="0"/>
              <w:right w:val="single" w:color="000000" w:sz="4" w:space="0"/>
            </w:tcBorders>
            <w:tcMar>
              <w:top w:w="0" w:type="dxa"/>
              <w:left w:w="105" w:type="dxa"/>
              <w:bottom w:w="0" w:type="dxa"/>
              <w:right w:w="105" w:type="dxa"/>
            </w:tcMar>
            <w:vAlign w:val="top"/>
          </w:tcPr>
          <w:p w14:paraId="2799C0D3">
            <w:pPr>
              <w:pStyle w:val="6"/>
              <w:keepNext w:val="0"/>
              <w:keepLines w:val="0"/>
              <w:pageBreakBefore w:val="0"/>
              <w:widowControl/>
              <w:kinsoku/>
              <w:wordWrap/>
              <w:overflowPunct/>
              <w:topLinePunct w:val="0"/>
              <w:autoSpaceDE/>
              <w:autoSpaceDN/>
              <w:bidi w:val="0"/>
              <w:adjustRightInd/>
              <w:snapToGrid/>
              <w:spacing w:line="500" w:lineRule="exact"/>
              <w:ind w:firstLine="0"/>
              <w:jc w:val="both"/>
              <w:textAlignment w:val="auto"/>
              <w:rPr>
                <w:rFonts w:hint="eastAsia" w:ascii="宋体" w:hAnsi="宋体" w:eastAsia="宋体" w:cs="宋体"/>
                <w:sz w:val="24"/>
                <w:szCs w:val="24"/>
              </w:rPr>
            </w:pPr>
            <w:r>
              <w:rPr>
                <w:rFonts w:hint="eastAsia" w:ascii="宋体" w:hAnsi="宋体" w:eastAsia="宋体" w:cs="宋体"/>
                <w:color w:val="000000"/>
                <w:sz w:val="24"/>
                <w:szCs w:val="24"/>
              </w:rPr>
              <w:t>AI智能导诊模块</w:t>
            </w:r>
          </w:p>
        </w:tc>
        <w:tc>
          <w:tcPr>
            <w:tcW w:w="1455" w:type="dxa"/>
            <w:tcBorders>
              <w:top w:val="nil"/>
              <w:left w:val="nil"/>
              <w:bottom w:val="single" w:color="000000" w:sz="4" w:space="0"/>
              <w:right w:val="single" w:color="000000" w:sz="4" w:space="0"/>
            </w:tcBorders>
            <w:tcMar>
              <w:top w:w="0" w:type="dxa"/>
              <w:left w:w="105" w:type="dxa"/>
              <w:bottom w:w="0" w:type="dxa"/>
              <w:right w:w="105" w:type="dxa"/>
            </w:tcMar>
            <w:vAlign w:val="top"/>
          </w:tcPr>
          <w:p w14:paraId="0624B5E8">
            <w:pPr>
              <w:pStyle w:val="6"/>
              <w:keepNext w:val="0"/>
              <w:keepLines w:val="0"/>
              <w:pageBreakBefore w:val="0"/>
              <w:widowControl/>
              <w:kinsoku/>
              <w:wordWrap/>
              <w:overflowPunct/>
              <w:topLinePunct w:val="0"/>
              <w:autoSpaceDE/>
              <w:autoSpaceDN/>
              <w:bidi w:val="0"/>
              <w:adjustRightInd/>
              <w:snapToGrid/>
              <w:spacing w:line="500" w:lineRule="exact"/>
              <w:ind w:firstLine="0"/>
              <w:jc w:val="center"/>
              <w:textAlignment w:val="auto"/>
              <w:rPr>
                <w:rFonts w:hint="eastAsia" w:ascii="宋体" w:hAnsi="宋体" w:eastAsia="宋体" w:cs="宋体"/>
                <w:sz w:val="24"/>
                <w:szCs w:val="24"/>
              </w:rPr>
            </w:pPr>
            <w:r>
              <w:rPr>
                <w:rFonts w:hint="eastAsia" w:ascii="宋体" w:hAnsi="宋体" w:eastAsia="宋体" w:cs="宋体"/>
                <w:color w:val="000000"/>
                <w:sz w:val="24"/>
                <w:szCs w:val="24"/>
              </w:rPr>
              <w:t>1套</w:t>
            </w:r>
          </w:p>
        </w:tc>
        <w:tc>
          <w:tcPr>
            <w:tcW w:w="2359" w:type="dxa"/>
            <w:tcBorders>
              <w:top w:val="nil"/>
              <w:left w:val="nil"/>
              <w:bottom w:val="single" w:color="000000" w:sz="4" w:space="0"/>
              <w:right w:val="single" w:color="000000" w:sz="4" w:space="0"/>
            </w:tcBorders>
            <w:tcMar>
              <w:top w:w="0" w:type="dxa"/>
              <w:left w:w="105" w:type="dxa"/>
              <w:bottom w:w="0" w:type="dxa"/>
              <w:right w:w="105" w:type="dxa"/>
            </w:tcMar>
            <w:vAlign w:val="top"/>
          </w:tcPr>
          <w:p w14:paraId="135C56E4">
            <w:pPr>
              <w:pStyle w:val="6"/>
              <w:keepNext w:val="0"/>
              <w:keepLines w:val="0"/>
              <w:pageBreakBefore w:val="0"/>
              <w:widowControl/>
              <w:kinsoku/>
              <w:wordWrap/>
              <w:overflowPunct/>
              <w:topLinePunct w:val="0"/>
              <w:autoSpaceDE/>
              <w:autoSpaceDN/>
              <w:bidi w:val="0"/>
              <w:adjustRightInd/>
              <w:snapToGrid/>
              <w:spacing w:line="500" w:lineRule="exact"/>
              <w:ind w:firstLine="0"/>
              <w:jc w:val="center"/>
              <w:textAlignment w:val="auto"/>
              <w:rPr>
                <w:rFonts w:hint="eastAsia" w:ascii="宋体" w:hAnsi="宋体" w:eastAsia="宋体" w:cs="宋体"/>
                <w:sz w:val="24"/>
                <w:szCs w:val="24"/>
              </w:rPr>
            </w:pPr>
            <w:r>
              <w:rPr>
                <w:rFonts w:hint="eastAsia" w:ascii="宋体" w:hAnsi="宋体" w:eastAsia="宋体" w:cs="宋体"/>
                <w:color w:val="000000"/>
                <w:sz w:val="24"/>
                <w:szCs w:val="24"/>
              </w:rPr>
              <w:t>15.000000</w:t>
            </w:r>
          </w:p>
        </w:tc>
      </w:tr>
      <w:tr w14:paraId="3FCA5AE0">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99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7B1FFC4B">
            <w:pPr>
              <w:pStyle w:val="6"/>
              <w:keepNext w:val="0"/>
              <w:keepLines w:val="0"/>
              <w:pageBreakBefore w:val="0"/>
              <w:widowControl/>
              <w:kinsoku/>
              <w:wordWrap/>
              <w:overflowPunct/>
              <w:topLinePunct w:val="0"/>
              <w:autoSpaceDE/>
              <w:autoSpaceDN/>
              <w:bidi w:val="0"/>
              <w:adjustRightInd/>
              <w:snapToGrid/>
              <w:spacing w:line="500" w:lineRule="exact"/>
              <w:ind w:firstLine="0"/>
              <w:jc w:val="center"/>
              <w:textAlignment w:val="auto"/>
              <w:rPr>
                <w:rFonts w:hint="eastAsia" w:ascii="宋体" w:hAnsi="宋体" w:eastAsia="宋体" w:cs="宋体"/>
                <w:sz w:val="24"/>
                <w:szCs w:val="24"/>
              </w:rPr>
            </w:pPr>
            <w:r>
              <w:rPr>
                <w:rFonts w:hint="eastAsia" w:ascii="宋体" w:hAnsi="宋体" w:eastAsia="宋体" w:cs="宋体"/>
                <w:color w:val="000000"/>
                <w:sz w:val="24"/>
                <w:szCs w:val="24"/>
              </w:rPr>
              <w:t>5.10</w:t>
            </w:r>
          </w:p>
        </w:tc>
        <w:tc>
          <w:tcPr>
            <w:tcW w:w="3618" w:type="dxa"/>
            <w:tcBorders>
              <w:top w:val="nil"/>
              <w:left w:val="nil"/>
              <w:bottom w:val="single" w:color="000000" w:sz="4" w:space="0"/>
              <w:right w:val="single" w:color="000000" w:sz="4" w:space="0"/>
            </w:tcBorders>
            <w:tcMar>
              <w:top w:w="0" w:type="dxa"/>
              <w:left w:w="105" w:type="dxa"/>
              <w:bottom w:w="0" w:type="dxa"/>
              <w:right w:w="105" w:type="dxa"/>
            </w:tcMar>
            <w:vAlign w:val="top"/>
          </w:tcPr>
          <w:p w14:paraId="16D72142">
            <w:pPr>
              <w:pStyle w:val="6"/>
              <w:keepNext w:val="0"/>
              <w:keepLines w:val="0"/>
              <w:pageBreakBefore w:val="0"/>
              <w:widowControl/>
              <w:kinsoku/>
              <w:wordWrap/>
              <w:overflowPunct/>
              <w:topLinePunct w:val="0"/>
              <w:autoSpaceDE/>
              <w:autoSpaceDN/>
              <w:bidi w:val="0"/>
              <w:adjustRightInd/>
              <w:snapToGrid/>
              <w:spacing w:line="500" w:lineRule="exact"/>
              <w:ind w:firstLine="0"/>
              <w:jc w:val="both"/>
              <w:textAlignment w:val="auto"/>
              <w:rPr>
                <w:rFonts w:hint="eastAsia" w:ascii="宋体" w:hAnsi="宋体" w:eastAsia="宋体" w:cs="宋体"/>
                <w:sz w:val="24"/>
                <w:szCs w:val="24"/>
              </w:rPr>
            </w:pPr>
            <w:r>
              <w:rPr>
                <w:rFonts w:hint="eastAsia" w:ascii="宋体" w:hAnsi="宋体" w:eastAsia="宋体" w:cs="宋体"/>
                <w:color w:val="000000"/>
                <w:sz w:val="24"/>
                <w:szCs w:val="24"/>
              </w:rPr>
              <w:t>巡检部署工具</w:t>
            </w:r>
          </w:p>
        </w:tc>
        <w:tc>
          <w:tcPr>
            <w:tcW w:w="1455" w:type="dxa"/>
            <w:tcBorders>
              <w:top w:val="nil"/>
              <w:left w:val="nil"/>
              <w:bottom w:val="single" w:color="000000" w:sz="4" w:space="0"/>
              <w:right w:val="single" w:color="000000" w:sz="4" w:space="0"/>
            </w:tcBorders>
            <w:tcMar>
              <w:top w:w="0" w:type="dxa"/>
              <w:left w:w="105" w:type="dxa"/>
              <w:bottom w:w="0" w:type="dxa"/>
              <w:right w:w="105" w:type="dxa"/>
            </w:tcMar>
            <w:vAlign w:val="top"/>
          </w:tcPr>
          <w:p w14:paraId="3C529B4D">
            <w:pPr>
              <w:pStyle w:val="6"/>
              <w:keepNext w:val="0"/>
              <w:keepLines w:val="0"/>
              <w:pageBreakBefore w:val="0"/>
              <w:widowControl/>
              <w:kinsoku/>
              <w:wordWrap/>
              <w:overflowPunct/>
              <w:topLinePunct w:val="0"/>
              <w:autoSpaceDE/>
              <w:autoSpaceDN/>
              <w:bidi w:val="0"/>
              <w:adjustRightInd/>
              <w:snapToGrid/>
              <w:spacing w:line="500" w:lineRule="exact"/>
              <w:ind w:firstLine="0"/>
              <w:jc w:val="center"/>
              <w:textAlignment w:val="auto"/>
              <w:rPr>
                <w:rFonts w:hint="eastAsia" w:ascii="宋体" w:hAnsi="宋体" w:eastAsia="宋体" w:cs="宋体"/>
                <w:sz w:val="24"/>
                <w:szCs w:val="24"/>
              </w:rPr>
            </w:pPr>
            <w:r>
              <w:rPr>
                <w:rFonts w:hint="eastAsia" w:ascii="宋体" w:hAnsi="宋体" w:eastAsia="宋体" w:cs="宋体"/>
                <w:color w:val="000000"/>
                <w:sz w:val="24"/>
                <w:szCs w:val="24"/>
              </w:rPr>
              <w:t>1套</w:t>
            </w:r>
          </w:p>
        </w:tc>
        <w:tc>
          <w:tcPr>
            <w:tcW w:w="2359" w:type="dxa"/>
            <w:tcBorders>
              <w:top w:val="nil"/>
              <w:left w:val="nil"/>
              <w:bottom w:val="single" w:color="000000" w:sz="4" w:space="0"/>
              <w:right w:val="single" w:color="000000" w:sz="4" w:space="0"/>
            </w:tcBorders>
            <w:tcMar>
              <w:top w:w="0" w:type="dxa"/>
              <w:left w:w="105" w:type="dxa"/>
              <w:bottom w:w="0" w:type="dxa"/>
              <w:right w:w="105" w:type="dxa"/>
            </w:tcMar>
            <w:vAlign w:val="top"/>
          </w:tcPr>
          <w:p w14:paraId="7FCF773D">
            <w:pPr>
              <w:pStyle w:val="6"/>
              <w:keepNext w:val="0"/>
              <w:keepLines w:val="0"/>
              <w:pageBreakBefore w:val="0"/>
              <w:widowControl/>
              <w:kinsoku/>
              <w:wordWrap/>
              <w:overflowPunct/>
              <w:topLinePunct w:val="0"/>
              <w:autoSpaceDE/>
              <w:autoSpaceDN/>
              <w:bidi w:val="0"/>
              <w:adjustRightInd/>
              <w:snapToGrid/>
              <w:spacing w:line="500" w:lineRule="exact"/>
              <w:ind w:firstLine="0"/>
              <w:jc w:val="center"/>
              <w:textAlignment w:val="auto"/>
              <w:rPr>
                <w:rFonts w:hint="eastAsia" w:ascii="宋体" w:hAnsi="宋体" w:eastAsia="宋体" w:cs="宋体"/>
                <w:sz w:val="24"/>
                <w:szCs w:val="24"/>
              </w:rPr>
            </w:pPr>
            <w:r>
              <w:rPr>
                <w:rFonts w:hint="eastAsia" w:ascii="宋体" w:hAnsi="宋体" w:eastAsia="宋体" w:cs="宋体"/>
                <w:color w:val="000000"/>
                <w:sz w:val="24"/>
                <w:szCs w:val="24"/>
              </w:rPr>
              <w:t>0.800000</w:t>
            </w:r>
          </w:p>
        </w:tc>
      </w:tr>
      <w:tr w14:paraId="1CC10938">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99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0F4F4205">
            <w:pPr>
              <w:pStyle w:val="6"/>
              <w:keepNext w:val="0"/>
              <w:keepLines w:val="0"/>
              <w:pageBreakBefore w:val="0"/>
              <w:widowControl/>
              <w:kinsoku/>
              <w:wordWrap/>
              <w:overflowPunct/>
              <w:topLinePunct w:val="0"/>
              <w:autoSpaceDE/>
              <w:autoSpaceDN/>
              <w:bidi w:val="0"/>
              <w:adjustRightInd/>
              <w:snapToGrid/>
              <w:spacing w:line="500" w:lineRule="exact"/>
              <w:ind w:firstLine="0"/>
              <w:jc w:val="center"/>
              <w:textAlignment w:val="auto"/>
              <w:rPr>
                <w:rFonts w:hint="eastAsia" w:ascii="宋体" w:hAnsi="宋体" w:eastAsia="宋体" w:cs="宋体"/>
                <w:sz w:val="24"/>
                <w:szCs w:val="24"/>
              </w:rPr>
            </w:pPr>
            <w:r>
              <w:rPr>
                <w:rFonts w:hint="eastAsia" w:ascii="宋体" w:hAnsi="宋体" w:eastAsia="宋体" w:cs="宋体"/>
                <w:color w:val="000000"/>
                <w:sz w:val="24"/>
                <w:szCs w:val="24"/>
              </w:rPr>
              <w:t>5.11</w:t>
            </w:r>
          </w:p>
        </w:tc>
        <w:tc>
          <w:tcPr>
            <w:tcW w:w="3618" w:type="dxa"/>
            <w:tcBorders>
              <w:top w:val="nil"/>
              <w:left w:val="nil"/>
              <w:bottom w:val="single" w:color="000000" w:sz="4" w:space="0"/>
              <w:right w:val="single" w:color="000000" w:sz="4" w:space="0"/>
            </w:tcBorders>
            <w:tcMar>
              <w:top w:w="0" w:type="dxa"/>
              <w:left w:w="105" w:type="dxa"/>
              <w:bottom w:w="0" w:type="dxa"/>
              <w:right w:w="105" w:type="dxa"/>
            </w:tcMar>
            <w:vAlign w:val="top"/>
          </w:tcPr>
          <w:p w14:paraId="62E63D21">
            <w:pPr>
              <w:pStyle w:val="6"/>
              <w:keepNext w:val="0"/>
              <w:keepLines w:val="0"/>
              <w:pageBreakBefore w:val="0"/>
              <w:widowControl/>
              <w:kinsoku/>
              <w:wordWrap/>
              <w:overflowPunct/>
              <w:topLinePunct w:val="0"/>
              <w:autoSpaceDE/>
              <w:autoSpaceDN/>
              <w:bidi w:val="0"/>
              <w:adjustRightInd/>
              <w:snapToGrid/>
              <w:spacing w:line="500" w:lineRule="exact"/>
              <w:ind w:firstLine="0"/>
              <w:jc w:val="both"/>
              <w:textAlignment w:val="auto"/>
              <w:rPr>
                <w:rFonts w:hint="eastAsia" w:ascii="宋体" w:hAnsi="宋体" w:eastAsia="宋体" w:cs="宋体"/>
                <w:sz w:val="24"/>
                <w:szCs w:val="24"/>
              </w:rPr>
            </w:pPr>
            <w:r>
              <w:rPr>
                <w:rFonts w:hint="eastAsia" w:ascii="宋体" w:hAnsi="宋体" w:eastAsia="宋体" w:cs="宋体"/>
                <w:color w:val="000000"/>
                <w:sz w:val="24"/>
                <w:szCs w:val="24"/>
              </w:rPr>
              <w:t>公众号对接</w:t>
            </w:r>
          </w:p>
        </w:tc>
        <w:tc>
          <w:tcPr>
            <w:tcW w:w="1455" w:type="dxa"/>
            <w:tcBorders>
              <w:top w:val="nil"/>
              <w:left w:val="nil"/>
              <w:bottom w:val="single" w:color="000000" w:sz="4" w:space="0"/>
              <w:right w:val="single" w:color="000000" w:sz="4" w:space="0"/>
            </w:tcBorders>
            <w:tcMar>
              <w:top w:w="0" w:type="dxa"/>
              <w:left w:w="105" w:type="dxa"/>
              <w:bottom w:w="0" w:type="dxa"/>
              <w:right w:w="105" w:type="dxa"/>
            </w:tcMar>
            <w:vAlign w:val="top"/>
          </w:tcPr>
          <w:p w14:paraId="55BD05EA">
            <w:pPr>
              <w:pStyle w:val="6"/>
              <w:keepNext w:val="0"/>
              <w:keepLines w:val="0"/>
              <w:pageBreakBefore w:val="0"/>
              <w:widowControl/>
              <w:kinsoku/>
              <w:wordWrap/>
              <w:overflowPunct/>
              <w:topLinePunct w:val="0"/>
              <w:autoSpaceDE/>
              <w:autoSpaceDN/>
              <w:bidi w:val="0"/>
              <w:adjustRightInd/>
              <w:snapToGrid/>
              <w:spacing w:line="500" w:lineRule="exact"/>
              <w:ind w:firstLine="0"/>
              <w:jc w:val="center"/>
              <w:textAlignment w:val="auto"/>
              <w:rPr>
                <w:rFonts w:hint="eastAsia" w:ascii="宋体" w:hAnsi="宋体" w:eastAsia="宋体" w:cs="宋体"/>
                <w:sz w:val="24"/>
                <w:szCs w:val="24"/>
              </w:rPr>
            </w:pPr>
            <w:r>
              <w:rPr>
                <w:rFonts w:hint="eastAsia" w:ascii="宋体" w:hAnsi="宋体" w:eastAsia="宋体" w:cs="宋体"/>
                <w:color w:val="000000"/>
                <w:sz w:val="24"/>
                <w:szCs w:val="24"/>
              </w:rPr>
              <w:t>1项</w:t>
            </w:r>
          </w:p>
        </w:tc>
        <w:tc>
          <w:tcPr>
            <w:tcW w:w="2359" w:type="dxa"/>
            <w:tcBorders>
              <w:top w:val="nil"/>
              <w:left w:val="nil"/>
              <w:bottom w:val="single" w:color="000000" w:sz="4" w:space="0"/>
              <w:right w:val="single" w:color="000000" w:sz="4" w:space="0"/>
            </w:tcBorders>
            <w:tcMar>
              <w:top w:w="0" w:type="dxa"/>
              <w:left w:w="105" w:type="dxa"/>
              <w:bottom w:w="0" w:type="dxa"/>
              <w:right w:w="105" w:type="dxa"/>
            </w:tcMar>
            <w:vAlign w:val="top"/>
          </w:tcPr>
          <w:p w14:paraId="06D591CB">
            <w:pPr>
              <w:pStyle w:val="6"/>
              <w:keepNext w:val="0"/>
              <w:keepLines w:val="0"/>
              <w:pageBreakBefore w:val="0"/>
              <w:widowControl/>
              <w:kinsoku/>
              <w:wordWrap/>
              <w:overflowPunct/>
              <w:topLinePunct w:val="0"/>
              <w:autoSpaceDE/>
              <w:autoSpaceDN/>
              <w:bidi w:val="0"/>
              <w:adjustRightInd/>
              <w:snapToGrid/>
              <w:spacing w:line="500" w:lineRule="exact"/>
              <w:ind w:firstLine="0"/>
              <w:jc w:val="center"/>
              <w:textAlignment w:val="auto"/>
              <w:rPr>
                <w:rFonts w:hint="eastAsia" w:ascii="宋体" w:hAnsi="宋体" w:eastAsia="宋体" w:cs="宋体"/>
                <w:sz w:val="24"/>
                <w:szCs w:val="24"/>
              </w:rPr>
            </w:pPr>
            <w:r>
              <w:rPr>
                <w:rFonts w:hint="eastAsia" w:ascii="宋体" w:hAnsi="宋体" w:eastAsia="宋体" w:cs="宋体"/>
                <w:color w:val="000000"/>
                <w:sz w:val="24"/>
                <w:szCs w:val="24"/>
              </w:rPr>
              <w:t>0.400000</w:t>
            </w:r>
          </w:p>
        </w:tc>
      </w:tr>
      <w:tr w14:paraId="63CB82C9">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99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5B5DC865">
            <w:pPr>
              <w:pStyle w:val="6"/>
              <w:keepNext w:val="0"/>
              <w:keepLines w:val="0"/>
              <w:pageBreakBefore w:val="0"/>
              <w:widowControl/>
              <w:kinsoku/>
              <w:wordWrap/>
              <w:overflowPunct/>
              <w:topLinePunct w:val="0"/>
              <w:autoSpaceDE/>
              <w:autoSpaceDN/>
              <w:bidi w:val="0"/>
              <w:adjustRightInd/>
              <w:snapToGrid/>
              <w:spacing w:line="500" w:lineRule="exact"/>
              <w:ind w:firstLine="0"/>
              <w:jc w:val="center"/>
              <w:textAlignment w:val="auto"/>
              <w:rPr>
                <w:rFonts w:hint="eastAsia" w:ascii="宋体" w:hAnsi="宋体" w:eastAsia="宋体" w:cs="宋体"/>
                <w:sz w:val="24"/>
                <w:szCs w:val="24"/>
              </w:rPr>
            </w:pPr>
            <w:r>
              <w:rPr>
                <w:rFonts w:hint="eastAsia" w:ascii="宋体" w:hAnsi="宋体" w:eastAsia="宋体" w:cs="宋体"/>
                <w:color w:val="000000"/>
                <w:sz w:val="24"/>
                <w:szCs w:val="24"/>
              </w:rPr>
              <w:t>5.12</w:t>
            </w:r>
          </w:p>
        </w:tc>
        <w:tc>
          <w:tcPr>
            <w:tcW w:w="3618" w:type="dxa"/>
            <w:tcBorders>
              <w:top w:val="nil"/>
              <w:left w:val="nil"/>
              <w:bottom w:val="single" w:color="000000" w:sz="4" w:space="0"/>
              <w:right w:val="single" w:color="000000" w:sz="4" w:space="0"/>
            </w:tcBorders>
            <w:tcMar>
              <w:top w:w="0" w:type="dxa"/>
              <w:left w:w="105" w:type="dxa"/>
              <w:bottom w:w="0" w:type="dxa"/>
              <w:right w:w="105" w:type="dxa"/>
            </w:tcMar>
            <w:vAlign w:val="top"/>
          </w:tcPr>
          <w:p w14:paraId="431A77B3">
            <w:pPr>
              <w:pStyle w:val="6"/>
              <w:keepNext w:val="0"/>
              <w:keepLines w:val="0"/>
              <w:pageBreakBefore w:val="0"/>
              <w:widowControl/>
              <w:kinsoku/>
              <w:wordWrap/>
              <w:overflowPunct/>
              <w:topLinePunct w:val="0"/>
              <w:autoSpaceDE/>
              <w:autoSpaceDN/>
              <w:bidi w:val="0"/>
              <w:adjustRightInd/>
              <w:snapToGrid/>
              <w:spacing w:line="500" w:lineRule="exact"/>
              <w:ind w:firstLine="0"/>
              <w:jc w:val="both"/>
              <w:textAlignment w:val="auto"/>
              <w:rPr>
                <w:rFonts w:hint="eastAsia" w:ascii="宋体" w:hAnsi="宋体" w:eastAsia="宋体" w:cs="宋体"/>
                <w:sz w:val="24"/>
                <w:szCs w:val="24"/>
              </w:rPr>
            </w:pPr>
            <w:r>
              <w:rPr>
                <w:rFonts w:hint="eastAsia" w:ascii="宋体" w:hAnsi="宋体" w:eastAsia="宋体" w:cs="宋体"/>
                <w:color w:val="000000"/>
                <w:sz w:val="24"/>
                <w:szCs w:val="24"/>
              </w:rPr>
              <w:t>查询机软件</w:t>
            </w:r>
          </w:p>
        </w:tc>
        <w:tc>
          <w:tcPr>
            <w:tcW w:w="1455" w:type="dxa"/>
            <w:tcBorders>
              <w:top w:val="nil"/>
              <w:left w:val="nil"/>
              <w:bottom w:val="single" w:color="000000" w:sz="4" w:space="0"/>
              <w:right w:val="single" w:color="000000" w:sz="4" w:space="0"/>
            </w:tcBorders>
            <w:tcMar>
              <w:top w:w="0" w:type="dxa"/>
              <w:left w:w="105" w:type="dxa"/>
              <w:bottom w:w="0" w:type="dxa"/>
              <w:right w:w="105" w:type="dxa"/>
            </w:tcMar>
            <w:vAlign w:val="top"/>
          </w:tcPr>
          <w:p w14:paraId="6AE5C79D">
            <w:pPr>
              <w:pStyle w:val="6"/>
              <w:keepNext w:val="0"/>
              <w:keepLines w:val="0"/>
              <w:pageBreakBefore w:val="0"/>
              <w:widowControl/>
              <w:kinsoku/>
              <w:wordWrap/>
              <w:overflowPunct/>
              <w:topLinePunct w:val="0"/>
              <w:autoSpaceDE/>
              <w:autoSpaceDN/>
              <w:bidi w:val="0"/>
              <w:adjustRightInd/>
              <w:snapToGrid/>
              <w:spacing w:line="500" w:lineRule="exact"/>
              <w:ind w:firstLine="0"/>
              <w:jc w:val="center"/>
              <w:textAlignment w:val="auto"/>
              <w:rPr>
                <w:rFonts w:hint="eastAsia" w:ascii="宋体" w:hAnsi="宋体" w:eastAsia="宋体" w:cs="宋体"/>
                <w:sz w:val="24"/>
                <w:szCs w:val="24"/>
              </w:rPr>
            </w:pPr>
            <w:r>
              <w:rPr>
                <w:rFonts w:hint="eastAsia" w:ascii="宋体" w:hAnsi="宋体" w:eastAsia="宋体" w:cs="宋体"/>
                <w:color w:val="000000"/>
                <w:sz w:val="24"/>
                <w:szCs w:val="24"/>
              </w:rPr>
              <w:t>1套</w:t>
            </w:r>
          </w:p>
        </w:tc>
        <w:tc>
          <w:tcPr>
            <w:tcW w:w="2359" w:type="dxa"/>
            <w:tcBorders>
              <w:top w:val="nil"/>
              <w:left w:val="nil"/>
              <w:bottom w:val="single" w:color="000000" w:sz="4" w:space="0"/>
              <w:right w:val="single" w:color="000000" w:sz="4" w:space="0"/>
            </w:tcBorders>
            <w:tcMar>
              <w:top w:w="0" w:type="dxa"/>
              <w:left w:w="105" w:type="dxa"/>
              <w:bottom w:w="0" w:type="dxa"/>
              <w:right w:w="105" w:type="dxa"/>
            </w:tcMar>
            <w:vAlign w:val="top"/>
          </w:tcPr>
          <w:p w14:paraId="3595C914">
            <w:pPr>
              <w:pStyle w:val="6"/>
              <w:keepNext w:val="0"/>
              <w:keepLines w:val="0"/>
              <w:pageBreakBefore w:val="0"/>
              <w:widowControl/>
              <w:kinsoku/>
              <w:wordWrap/>
              <w:overflowPunct/>
              <w:topLinePunct w:val="0"/>
              <w:autoSpaceDE/>
              <w:autoSpaceDN/>
              <w:bidi w:val="0"/>
              <w:adjustRightInd/>
              <w:snapToGrid/>
              <w:spacing w:line="500" w:lineRule="exact"/>
              <w:ind w:firstLine="0"/>
              <w:jc w:val="center"/>
              <w:textAlignment w:val="auto"/>
              <w:rPr>
                <w:rFonts w:hint="eastAsia" w:ascii="宋体" w:hAnsi="宋体" w:eastAsia="宋体" w:cs="宋体"/>
                <w:sz w:val="24"/>
                <w:szCs w:val="24"/>
              </w:rPr>
            </w:pPr>
            <w:r>
              <w:rPr>
                <w:rFonts w:hint="eastAsia" w:ascii="宋体" w:hAnsi="宋体" w:eastAsia="宋体" w:cs="宋体"/>
                <w:color w:val="000000"/>
                <w:sz w:val="24"/>
                <w:szCs w:val="24"/>
              </w:rPr>
              <w:t>2.000000</w:t>
            </w:r>
          </w:p>
        </w:tc>
      </w:tr>
      <w:tr w14:paraId="0D444377">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99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6F7D4AEE">
            <w:pPr>
              <w:pStyle w:val="6"/>
              <w:keepNext w:val="0"/>
              <w:keepLines w:val="0"/>
              <w:pageBreakBefore w:val="0"/>
              <w:widowControl/>
              <w:kinsoku/>
              <w:wordWrap/>
              <w:overflowPunct/>
              <w:topLinePunct w:val="0"/>
              <w:autoSpaceDE/>
              <w:autoSpaceDN/>
              <w:bidi w:val="0"/>
              <w:adjustRightInd/>
              <w:snapToGrid/>
              <w:spacing w:line="500" w:lineRule="exact"/>
              <w:ind w:firstLine="0"/>
              <w:jc w:val="center"/>
              <w:textAlignment w:val="auto"/>
              <w:rPr>
                <w:rFonts w:hint="eastAsia" w:ascii="宋体" w:hAnsi="宋体" w:eastAsia="宋体" w:cs="宋体"/>
                <w:sz w:val="24"/>
                <w:szCs w:val="24"/>
              </w:rPr>
            </w:pPr>
            <w:r>
              <w:rPr>
                <w:rFonts w:hint="eastAsia" w:ascii="宋体" w:hAnsi="宋体" w:eastAsia="宋体" w:cs="宋体"/>
                <w:color w:val="000000"/>
                <w:sz w:val="24"/>
                <w:szCs w:val="24"/>
              </w:rPr>
              <w:t>5.13</w:t>
            </w:r>
          </w:p>
        </w:tc>
        <w:tc>
          <w:tcPr>
            <w:tcW w:w="3618" w:type="dxa"/>
            <w:tcBorders>
              <w:top w:val="nil"/>
              <w:left w:val="nil"/>
              <w:bottom w:val="single" w:color="000000" w:sz="4" w:space="0"/>
              <w:right w:val="single" w:color="000000" w:sz="4" w:space="0"/>
            </w:tcBorders>
            <w:tcMar>
              <w:top w:w="0" w:type="dxa"/>
              <w:left w:w="105" w:type="dxa"/>
              <w:bottom w:w="0" w:type="dxa"/>
              <w:right w:w="105" w:type="dxa"/>
            </w:tcMar>
            <w:vAlign w:val="top"/>
          </w:tcPr>
          <w:p w14:paraId="53165788">
            <w:pPr>
              <w:pStyle w:val="6"/>
              <w:keepNext w:val="0"/>
              <w:keepLines w:val="0"/>
              <w:pageBreakBefore w:val="0"/>
              <w:widowControl/>
              <w:kinsoku/>
              <w:wordWrap/>
              <w:overflowPunct/>
              <w:topLinePunct w:val="0"/>
              <w:autoSpaceDE/>
              <w:autoSpaceDN/>
              <w:bidi w:val="0"/>
              <w:adjustRightInd/>
              <w:snapToGrid/>
              <w:spacing w:line="500" w:lineRule="exact"/>
              <w:ind w:firstLine="0"/>
              <w:jc w:val="both"/>
              <w:textAlignment w:val="auto"/>
              <w:rPr>
                <w:rFonts w:hint="eastAsia" w:ascii="宋体" w:hAnsi="宋体" w:eastAsia="宋体" w:cs="宋体"/>
                <w:sz w:val="24"/>
                <w:szCs w:val="24"/>
              </w:rPr>
            </w:pPr>
            <w:r>
              <w:rPr>
                <w:rFonts w:hint="eastAsia" w:ascii="宋体" w:hAnsi="宋体" w:eastAsia="宋体" w:cs="宋体"/>
                <w:color w:val="000000"/>
                <w:sz w:val="24"/>
                <w:szCs w:val="24"/>
              </w:rPr>
              <w:t>地图绘制（2.5D）</w:t>
            </w:r>
          </w:p>
        </w:tc>
        <w:tc>
          <w:tcPr>
            <w:tcW w:w="1455" w:type="dxa"/>
            <w:tcBorders>
              <w:top w:val="nil"/>
              <w:left w:val="nil"/>
              <w:bottom w:val="single" w:color="000000" w:sz="4" w:space="0"/>
              <w:right w:val="single" w:color="000000" w:sz="4" w:space="0"/>
            </w:tcBorders>
            <w:tcMar>
              <w:top w:w="0" w:type="dxa"/>
              <w:left w:w="105" w:type="dxa"/>
              <w:bottom w:w="0" w:type="dxa"/>
              <w:right w:w="105" w:type="dxa"/>
            </w:tcMar>
            <w:vAlign w:val="top"/>
          </w:tcPr>
          <w:p w14:paraId="188C92D8">
            <w:pPr>
              <w:pStyle w:val="6"/>
              <w:keepNext w:val="0"/>
              <w:keepLines w:val="0"/>
              <w:pageBreakBefore w:val="0"/>
              <w:widowControl/>
              <w:kinsoku/>
              <w:wordWrap/>
              <w:overflowPunct/>
              <w:topLinePunct w:val="0"/>
              <w:autoSpaceDE/>
              <w:autoSpaceDN/>
              <w:bidi w:val="0"/>
              <w:adjustRightInd/>
              <w:snapToGrid/>
              <w:spacing w:line="500" w:lineRule="exact"/>
              <w:ind w:firstLine="0"/>
              <w:jc w:val="center"/>
              <w:textAlignment w:val="auto"/>
              <w:rPr>
                <w:rFonts w:hint="eastAsia" w:ascii="宋体" w:hAnsi="宋体" w:eastAsia="宋体" w:cs="宋体"/>
                <w:sz w:val="24"/>
                <w:szCs w:val="24"/>
              </w:rPr>
            </w:pPr>
            <w:r>
              <w:rPr>
                <w:rFonts w:hint="eastAsia" w:ascii="宋体" w:hAnsi="宋体" w:eastAsia="宋体" w:cs="宋体"/>
                <w:color w:val="000000"/>
                <w:sz w:val="24"/>
                <w:szCs w:val="24"/>
              </w:rPr>
              <w:t>1项</w:t>
            </w:r>
          </w:p>
        </w:tc>
        <w:tc>
          <w:tcPr>
            <w:tcW w:w="2359" w:type="dxa"/>
            <w:tcBorders>
              <w:top w:val="nil"/>
              <w:left w:val="nil"/>
              <w:bottom w:val="single" w:color="000000" w:sz="4" w:space="0"/>
              <w:right w:val="single" w:color="000000" w:sz="4" w:space="0"/>
            </w:tcBorders>
            <w:tcMar>
              <w:top w:w="0" w:type="dxa"/>
              <w:left w:w="105" w:type="dxa"/>
              <w:bottom w:w="0" w:type="dxa"/>
              <w:right w:w="105" w:type="dxa"/>
            </w:tcMar>
            <w:vAlign w:val="top"/>
          </w:tcPr>
          <w:p w14:paraId="4592ADB1">
            <w:pPr>
              <w:pStyle w:val="6"/>
              <w:keepNext w:val="0"/>
              <w:keepLines w:val="0"/>
              <w:pageBreakBefore w:val="0"/>
              <w:widowControl/>
              <w:kinsoku/>
              <w:wordWrap/>
              <w:overflowPunct/>
              <w:topLinePunct w:val="0"/>
              <w:autoSpaceDE/>
              <w:autoSpaceDN/>
              <w:bidi w:val="0"/>
              <w:adjustRightInd/>
              <w:snapToGrid/>
              <w:spacing w:line="500" w:lineRule="exact"/>
              <w:ind w:firstLine="0"/>
              <w:jc w:val="center"/>
              <w:textAlignment w:val="auto"/>
              <w:rPr>
                <w:rFonts w:hint="eastAsia" w:ascii="宋体" w:hAnsi="宋体" w:eastAsia="宋体" w:cs="宋体"/>
                <w:sz w:val="24"/>
                <w:szCs w:val="24"/>
              </w:rPr>
            </w:pPr>
            <w:r>
              <w:rPr>
                <w:rFonts w:hint="eastAsia" w:ascii="宋体" w:hAnsi="宋体" w:eastAsia="宋体" w:cs="宋体"/>
                <w:color w:val="000000"/>
                <w:sz w:val="24"/>
                <w:szCs w:val="24"/>
              </w:rPr>
              <w:t>4.000000</w:t>
            </w:r>
          </w:p>
        </w:tc>
      </w:tr>
      <w:tr w14:paraId="2387DBC1">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99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71E939CA">
            <w:pPr>
              <w:pStyle w:val="6"/>
              <w:keepNext w:val="0"/>
              <w:keepLines w:val="0"/>
              <w:pageBreakBefore w:val="0"/>
              <w:widowControl/>
              <w:kinsoku/>
              <w:wordWrap/>
              <w:overflowPunct/>
              <w:topLinePunct w:val="0"/>
              <w:autoSpaceDE/>
              <w:autoSpaceDN/>
              <w:bidi w:val="0"/>
              <w:adjustRightInd/>
              <w:snapToGrid/>
              <w:spacing w:line="500" w:lineRule="exact"/>
              <w:ind w:firstLine="0"/>
              <w:jc w:val="center"/>
              <w:textAlignment w:val="auto"/>
              <w:rPr>
                <w:rFonts w:hint="eastAsia" w:ascii="宋体" w:hAnsi="宋体" w:eastAsia="宋体" w:cs="宋体"/>
                <w:sz w:val="24"/>
                <w:szCs w:val="24"/>
              </w:rPr>
            </w:pPr>
            <w:r>
              <w:rPr>
                <w:rFonts w:hint="eastAsia" w:ascii="宋体" w:hAnsi="宋体" w:eastAsia="宋体" w:cs="宋体"/>
                <w:b/>
                <w:color w:val="000000"/>
                <w:sz w:val="24"/>
                <w:szCs w:val="24"/>
              </w:rPr>
              <w:t>6</w:t>
            </w:r>
          </w:p>
        </w:tc>
        <w:tc>
          <w:tcPr>
            <w:tcW w:w="3618" w:type="dxa"/>
            <w:tcBorders>
              <w:top w:val="nil"/>
              <w:left w:val="nil"/>
              <w:bottom w:val="single" w:color="000000" w:sz="4" w:space="0"/>
              <w:right w:val="single" w:color="000000" w:sz="4" w:space="0"/>
            </w:tcBorders>
            <w:tcMar>
              <w:top w:w="0" w:type="dxa"/>
              <w:left w:w="105" w:type="dxa"/>
              <w:bottom w:w="0" w:type="dxa"/>
              <w:right w:w="105" w:type="dxa"/>
            </w:tcMar>
            <w:vAlign w:val="top"/>
          </w:tcPr>
          <w:p w14:paraId="0FAA24FE">
            <w:pPr>
              <w:pStyle w:val="6"/>
              <w:keepNext w:val="0"/>
              <w:keepLines w:val="0"/>
              <w:pageBreakBefore w:val="0"/>
              <w:widowControl/>
              <w:kinsoku/>
              <w:wordWrap/>
              <w:overflowPunct/>
              <w:topLinePunct w:val="0"/>
              <w:autoSpaceDE/>
              <w:autoSpaceDN/>
              <w:bidi w:val="0"/>
              <w:adjustRightInd/>
              <w:snapToGrid/>
              <w:spacing w:line="500" w:lineRule="exact"/>
              <w:ind w:firstLine="0"/>
              <w:jc w:val="both"/>
              <w:textAlignment w:val="auto"/>
              <w:rPr>
                <w:rFonts w:hint="eastAsia" w:ascii="宋体" w:hAnsi="宋体" w:eastAsia="宋体" w:cs="宋体"/>
                <w:sz w:val="24"/>
                <w:szCs w:val="24"/>
              </w:rPr>
            </w:pPr>
            <w:r>
              <w:rPr>
                <w:rFonts w:hint="eastAsia" w:ascii="宋体" w:hAnsi="宋体" w:eastAsia="宋体" w:cs="宋体"/>
                <w:b/>
                <w:color w:val="000000"/>
                <w:sz w:val="24"/>
                <w:szCs w:val="24"/>
              </w:rPr>
              <w:t>患者定位管理系统</w:t>
            </w:r>
          </w:p>
        </w:tc>
        <w:tc>
          <w:tcPr>
            <w:tcW w:w="1455" w:type="dxa"/>
            <w:tcBorders>
              <w:top w:val="nil"/>
              <w:left w:val="nil"/>
              <w:bottom w:val="single" w:color="000000" w:sz="4" w:space="0"/>
              <w:right w:val="single" w:color="000000" w:sz="4" w:space="0"/>
            </w:tcBorders>
            <w:tcMar>
              <w:top w:w="0" w:type="dxa"/>
              <w:left w:w="105" w:type="dxa"/>
              <w:bottom w:w="0" w:type="dxa"/>
              <w:right w:w="105" w:type="dxa"/>
            </w:tcMar>
            <w:vAlign w:val="top"/>
          </w:tcPr>
          <w:p w14:paraId="33BE92C0">
            <w:pPr>
              <w:pStyle w:val="6"/>
              <w:keepNext w:val="0"/>
              <w:keepLines w:val="0"/>
              <w:pageBreakBefore w:val="0"/>
              <w:widowControl/>
              <w:kinsoku/>
              <w:wordWrap/>
              <w:overflowPunct/>
              <w:topLinePunct w:val="0"/>
              <w:autoSpaceDE/>
              <w:autoSpaceDN/>
              <w:bidi w:val="0"/>
              <w:adjustRightInd/>
              <w:snapToGrid/>
              <w:spacing w:line="500" w:lineRule="exact"/>
              <w:ind w:firstLine="0"/>
              <w:jc w:val="center"/>
              <w:textAlignment w:val="auto"/>
              <w:rPr>
                <w:rFonts w:hint="eastAsia" w:ascii="宋体" w:hAnsi="宋体" w:eastAsia="宋体" w:cs="宋体"/>
                <w:sz w:val="24"/>
                <w:szCs w:val="24"/>
              </w:rPr>
            </w:pPr>
          </w:p>
        </w:tc>
        <w:tc>
          <w:tcPr>
            <w:tcW w:w="2359" w:type="dxa"/>
            <w:tcBorders>
              <w:top w:val="nil"/>
              <w:left w:val="nil"/>
              <w:bottom w:val="single" w:color="000000" w:sz="4" w:space="0"/>
              <w:right w:val="single" w:color="000000" w:sz="4" w:space="0"/>
            </w:tcBorders>
            <w:tcMar>
              <w:top w:w="0" w:type="dxa"/>
              <w:left w:w="105" w:type="dxa"/>
              <w:bottom w:w="0" w:type="dxa"/>
              <w:right w:w="105" w:type="dxa"/>
            </w:tcMar>
            <w:vAlign w:val="top"/>
          </w:tcPr>
          <w:p w14:paraId="6F3B53B3">
            <w:pPr>
              <w:pStyle w:val="6"/>
              <w:keepNext w:val="0"/>
              <w:keepLines w:val="0"/>
              <w:pageBreakBefore w:val="0"/>
              <w:widowControl/>
              <w:kinsoku/>
              <w:wordWrap/>
              <w:overflowPunct/>
              <w:topLinePunct w:val="0"/>
              <w:autoSpaceDE/>
              <w:autoSpaceDN/>
              <w:bidi w:val="0"/>
              <w:adjustRightInd/>
              <w:snapToGrid/>
              <w:spacing w:line="500" w:lineRule="exact"/>
              <w:ind w:firstLine="0"/>
              <w:jc w:val="center"/>
              <w:textAlignment w:val="auto"/>
              <w:rPr>
                <w:rFonts w:hint="eastAsia" w:ascii="宋体" w:hAnsi="宋体" w:eastAsia="宋体" w:cs="宋体"/>
                <w:sz w:val="24"/>
                <w:szCs w:val="24"/>
              </w:rPr>
            </w:pPr>
            <w:r>
              <w:rPr>
                <w:rFonts w:hint="eastAsia" w:ascii="宋体" w:hAnsi="宋体" w:eastAsia="宋体" w:cs="宋体"/>
                <w:b/>
                <w:color w:val="000000"/>
                <w:sz w:val="24"/>
                <w:szCs w:val="24"/>
              </w:rPr>
              <w:t>109.000000</w:t>
            </w:r>
          </w:p>
        </w:tc>
      </w:tr>
      <w:tr w14:paraId="579843F3">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99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5920A778">
            <w:pPr>
              <w:pStyle w:val="6"/>
              <w:keepNext w:val="0"/>
              <w:keepLines w:val="0"/>
              <w:pageBreakBefore w:val="0"/>
              <w:widowControl/>
              <w:kinsoku/>
              <w:wordWrap/>
              <w:overflowPunct/>
              <w:topLinePunct w:val="0"/>
              <w:autoSpaceDE/>
              <w:autoSpaceDN/>
              <w:bidi w:val="0"/>
              <w:adjustRightInd/>
              <w:snapToGrid/>
              <w:spacing w:line="500" w:lineRule="exact"/>
              <w:ind w:firstLine="0"/>
              <w:jc w:val="center"/>
              <w:textAlignment w:val="auto"/>
              <w:rPr>
                <w:rFonts w:hint="eastAsia" w:ascii="宋体" w:hAnsi="宋体" w:eastAsia="宋体" w:cs="宋体"/>
                <w:sz w:val="24"/>
                <w:szCs w:val="24"/>
              </w:rPr>
            </w:pPr>
            <w:r>
              <w:rPr>
                <w:rFonts w:hint="eastAsia" w:ascii="宋体" w:hAnsi="宋体" w:eastAsia="宋体" w:cs="宋体"/>
                <w:color w:val="000000"/>
                <w:sz w:val="24"/>
                <w:szCs w:val="24"/>
              </w:rPr>
              <w:t>6.1</w:t>
            </w:r>
          </w:p>
        </w:tc>
        <w:tc>
          <w:tcPr>
            <w:tcW w:w="3618" w:type="dxa"/>
            <w:tcBorders>
              <w:top w:val="nil"/>
              <w:left w:val="nil"/>
              <w:bottom w:val="single" w:color="000000" w:sz="4" w:space="0"/>
              <w:right w:val="single" w:color="000000" w:sz="4" w:space="0"/>
            </w:tcBorders>
            <w:tcMar>
              <w:top w:w="0" w:type="dxa"/>
              <w:left w:w="105" w:type="dxa"/>
              <w:bottom w:w="0" w:type="dxa"/>
              <w:right w:w="105" w:type="dxa"/>
            </w:tcMar>
            <w:vAlign w:val="top"/>
          </w:tcPr>
          <w:p w14:paraId="1D66050C">
            <w:pPr>
              <w:pStyle w:val="6"/>
              <w:keepNext w:val="0"/>
              <w:keepLines w:val="0"/>
              <w:pageBreakBefore w:val="0"/>
              <w:widowControl/>
              <w:kinsoku/>
              <w:wordWrap/>
              <w:overflowPunct/>
              <w:topLinePunct w:val="0"/>
              <w:autoSpaceDE/>
              <w:autoSpaceDN/>
              <w:bidi w:val="0"/>
              <w:adjustRightInd/>
              <w:snapToGrid/>
              <w:spacing w:line="500" w:lineRule="exact"/>
              <w:ind w:firstLine="0"/>
              <w:jc w:val="both"/>
              <w:textAlignment w:val="auto"/>
              <w:rPr>
                <w:rFonts w:hint="eastAsia" w:ascii="宋体" w:hAnsi="宋体" w:eastAsia="宋体" w:cs="宋体"/>
                <w:sz w:val="24"/>
                <w:szCs w:val="24"/>
              </w:rPr>
            </w:pPr>
            <w:r>
              <w:rPr>
                <w:rFonts w:hint="eastAsia" w:ascii="宋体" w:hAnsi="宋体" w:eastAsia="宋体" w:cs="宋体"/>
                <w:color w:val="000000"/>
                <w:sz w:val="24"/>
                <w:szCs w:val="24"/>
              </w:rPr>
              <w:t>物联网平台</w:t>
            </w:r>
          </w:p>
        </w:tc>
        <w:tc>
          <w:tcPr>
            <w:tcW w:w="1455" w:type="dxa"/>
            <w:tcBorders>
              <w:top w:val="nil"/>
              <w:left w:val="nil"/>
              <w:bottom w:val="single" w:color="000000" w:sz="4" w:space="0"/>
              <w:right w:val="single" w:color="000000" w:sz="4" w:space="0"/>
            </w:tcBorders>
            <w:tcMar>
              <w:top w:w="0" w:type="dxa"/>
              <w:left w:w="105" w:type="dxa"/>
              <w:bottom w:w="0" w:type="dxa"/>
              <w:right w:w="105" w:type="dxa"/>
            </w:tcMar>
            <w:vAlign w:val="top"/>
          </w:tcPr>
          <w:p w14:paraId="432AEFB4">
            <w:pPr>
              <w:pStyle w:val="6"/>
              <w:keepNext w:val="0"/>
              <w:keepLines w:val="0"/>
              <w:pageBreakBefore w:val="0"/>
              <w:widowControl/>
              <w:kinsoku/>
              <w:wordWrap/>
              <w:overflowPunct/>
              <w:topLinePunct w:val="0"/>
              <w:autoSpaceDE/>
              <w:autoSpaceDN/>
              <w:bidi w:val="0"/>
              <w:adjustRightInd/>
              <w:snapToGrid/>
              <w:spacing w:line="500" w:lineRule="exact"/>
              <w:ind w:firstLine="0"/>
              <w:jc w:val="center"/>
              <w:textAlignment w:val="auto"/>
              <w:rPr>
                <w:rFonts w:hint="eastAsia" w:ascii="宋体" w:hAnsi="宋体" w:eastAsia="宋体" w:cs="宋体"/>
                <w:sz w:val="24"/>
                <w:szCs w:val="24"/>
              </w:rPr>
            </w:pPr>
            <w:r>
              <w:rPr>
                <w:rFonts w:hint="eastAsia" w:ascii="宋体" w:hAnsi="宋体" w:eastAsia="宋体" w:cs="宋体"/>
                <w:color w:val="000000"/>
                <w:sz w:val="24"/>
                <w:szCs w:val="24"/>
              </w:rPr>
              <w:t>1套</w:t>
            </w:r>
          </w:p>
        </w:tc>
        <w:tc>
          <w:tcPr>
            <w:tcW w:w="2359" w:type="dxa"/>
            <w:tcBorders>
              <w:top w:val="nil"/>
              <w:left w:val="nil"/>
              <w:bottom w:val="single" w:color="000000" w:sz="4" w:space="0"/>
              <w:right w:val="single" w:color="000000" w:sz="4" w:space="0"/>
            </w:tcBorders>
            <w:tcMar>
              <w:top w:w="0" w:type="dxa"/>
              <w:left w:w="105" w:type="dxa"/>
              <w:bottom w:w="0" w:type="dxa"/>
              <w:right w:w="105" w:type="dxa"/>
            </w:tcMar>
            <w:vAlign w:val="top"/>
          </w:tcPr>
          <w:p w14:paraId="42E83CC8">
            <w:pPr>
              <w:pStyle w:val="6"/>
              <w:keepNext w:val="0"/>
              <w:keepLines w:val="0"/>
              <w:pageBreakBefore w:val="0"/>
              <w:widowControl/>
              <w:kinsoku/>
              <w:wordWrap/>
              <w:overflowPunct/>
              <w:topLinePunct w:val="0"/>
              <w:autoSpaceDE/>
              <w:autoSpaceDN/>
              <w:bidi w:val="0"/>
              <w:adjustRightInd/>
              <w:snapToGrid/>
              <w:spacing w:line="500" w:lineRule="exact"/>
              <w:ind w:firstLine="0"/>
              <w:jc w:val="center"/>
              <w:textAlignment w:val="auto"/>
              <w:rPr>
                <w:rFonts w:hint="eastAsia" w:ascii="宋体" w:hAnsi="宋体" w:eastAsia="宋体" w:cs="宋体"/>
                <w:sz w:val="24"/>
                <w:szCs w:val="24"/>
              </w:rPr>
            </w:pPr>
            <w:r>
              <w:rPr>
                <w:rFonts w:hint="eastAsia" w:ascii="宋体" w:hAnsi="宋体" w:eastAsia="宋体" w:cs="宋体"/>
                <w:color w:val="000000"/>
                <w:sz w:val="24"/>
                <w:szCs w:val="24"/>
              </w:rPr>
              <w:t>20.000000</w:t>
            </w:r>
          </w:p>
        </w:tc>
      </w:tr>
      <w:tr w14:paraId="656F67DF">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99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1E5EAC8">
            <w:pPr>
              <w:pStyle w:val="6"/>
              <w:keepNext w:val="0"/>
              <w:keepLines w:val="0"/>
              <w:pageBreakBefore w:val="0"/>
              <w:widowControl/>
              <w:kinsoku/>
              <w:wordWrap/>
              <w:overflowPunct/>
              <w:topLinePunct w:val="0"/>
              <w:autoSpaceDE/>
              <w:autoSpaceDN/>
              <w:bidi w:val="0"/>
              <w:adjustRightInd/>
              <w:snapToGrid/>
              <w:spacing w:line="500" w:lineRule="exact"/>
              <w:ind w:firstLine="0"/>
              <w:jc w:val="center"/>
              <w:textAlignment w:val="auto"/>
              <w:rPr>
                <w:rFonts w:hint="eastAsia" w:ascii="宋体" w:hAnsi="宋体" w:eastAsia="宋体" w:cs="宋体"/>
                <w:sz w:val="24"/>
                <w:szCs w:val="24"/>
              </w:rPr>
            </w:pPr>
            <w:r>
              <w:rPr>
                <w:rFonts w:hint="eastAsia" w:ascii="宋体" w:hAnsi="宋体" w:eastAsia="宋体" w:cs="宋体"/>
                <w:color w:val="000000"/>
                <w:sz w:val="24"/>
                <w:szCs w:val="24"/>
              </w:rPr>
              <w:t>6.2</w:t>
            </w:r>
          </w:p>
        </w:tc>
        <w:tc>
          <w:tcPr>
            <w:tcW w:w="3618" w:type="dxa"/>
            <w:tcBorders>
              <w:top w:val="nil"/>
              <w:left w:val="nil"/>
              <w:bottom w:val="single" w:color="000000" w:sz="4" w:space="0"/>
              <w:right w:val="single" w:color="000000" w:sz="4" w:space="0"/>
            </w:tcBorders>
            <w:tcMar>
              <w:top w:w="0" w:type="dxa"/>
              <w:left w:w="105" w:type="dxa"/>
              <w:bottom w:w="0" w:type="dxa"/>
              <w:right w:w="105" w:type="dxa"/>
            </w:tcMar>
            <w:vAlign w:val="top"/>
          </w:tcPr>
          <w:p w14:paraId="7FE9F884">
            <w:pPr>
              <w:pStyle w:val="6"/>
              <w:keepNext w:val="0"/>
              <w:keepLines w:val="0"/>
              <w:pageBreakBefore w:val="0"/>
              <w:widowControl/>
              <w:kinsoku/>
              <w:wordWrap/>
              <w:overflowPunct/>
              <w:topLinePunct w:val="0"/>
              <w:autoSpaceDE/>
              <w:autoSpaceDN/>
              <w:bidi w:val="0"/>
              <w:adjustRightInd/>
              <w:snapToGrid/>
              <w:spacing w:line="500" w:lineRule="exact"/>
              <w:ind w:firstLine="0"/>
              <w:jc w:val="both"/>
              <w:textAlignment w:val="auto"/>
              <w:rPr>
                <w:rFonts w:hint="eastAsia" w:ascii="宋体" w:hAnsi="宋体" w:eastAsia="宋体" w:cs="宋体"/>
                <w:sz w:val="24"/>
                <w:szCs w:val="24"/>
              </w:rPr>
            </w:pPr>
            <w:r>
              <w:rPr>
                <w:rFonts w:hint="eastAsia" w:ascii="宋体" w:hAnsi="宋体" w:eastAsia="宋体" w:cs="宋体"/>
                <w:color w:val="000000"/>
                <w:sz w:val="24"/>
                <w:szCs w:val="24"/>
              </w:rPr>
              <w:t>物联网关</w:t>
            </w:r>
          </w:p>
        </w:tc>
        <w:tc>
          <w:tcPr>
            <w:tcW w:w="1455" w:type="dxa"/>
            <w:tcBorders>
              <w:top w:val="nil"/>
              <w:left w:val="nil"/>
              <w:bottom w:val="single" w:color="000000" w:sz="4" w:space="0"/>
              <w:right w:val="single" w:color="000000" w:sz="4" w:space="0"/>
            </w:tcBorders>
            <w:tcMar>
              <w:top w:w="0" w:type="dxa"/>
              <w:left w:w="105" w:type="dxa"/>
              <w:bottom w:w="0" w:type="dxa"/>
              <w:right w:w="105" w:type="dxa"/>
            </w:tcMar>
            <w:vAlign w:val="top"/>
          </w:tcPr>
          <w:p w14:paraId="207EDB36">
            <w:pPr>
              <w:pStyle w:val="6"/>
              <w:keepNext w:val="0"/>
              <w:keepLines w:val="0"/>
              <w:pageBreakBefore w:val="0"/>
              <w:widowControl/>
              <w:kinsoku/>
              <w:wordWrap/>
              <w:overflowPunct/>
              <w:topLinePunct w:val="0"/>
              <w:autoSpaceDE/>
              <w:autoSpaceDN/>
              <w:bidi w:val="0"/>
              <w:adjustRightInd/>
              <w:snapToGrid/>
              <w:spacing w:line="500" w:lineRule="exact"/>
              <w:ind w:firstLine="0"/>
              <w:jc w:val="center"/>
              <w:textAlignment w:val="auto"/>
              <w:rPr>
                <w:rFonts w:hint="eastAsia" w:ascii="宋体" w:hAnsi="宋体" w:eastAsia="宋体" w:cs="宋体"/>
                <w:sz w:val="24"/>
                <w:szCs w:val="24"/>
              </w:rPr>
            </w:pPr>
            <w:r>
              <w:rPr>
                <w:rFonts w:hint="eastAsia" w:ascii="宋体" w:hAnsi="宋体" w:eastAsia="宋体" w:cs="宋体"/>
                <w:color w:val="000000"/>
                <w:sz w:val="24"/>
                <w:szCs w:val="24"/>
              </w:rPr>
              <w:t>1套</w:t>
            </w:r>
          </w:p>
        </w:tc>
        <w:tc>
          <w:tcPr>
            <w:tcW w:w="2359" w:type="dxa"/>
            <w:tcBorders>
              <w:top w:val="nil"/>
              <w:left w:val="nil"/>
              <w:bottom w:val="single" w:color="000000" w:sz="4" w:space="0"/>
              <w:right w:val="single" w:color="000000" w:sz="4" w:space="0"/>
            </w:tcBorders>
            <w:tcMar>
              <w:top w:w="0" w:type="dxa"/>
              <w:left w:w="105" w:type="dxa"/>
              <w:bottom w:w="0" w:type="dxa"/>
              <w:right w:w="105" w:type="dxa"/>
            </w:tcMar>
            <w:vAlign w:val="top"/>
          </w:tcPr>
          <w:p w14:paraId="7AC2DDA3">
            <w:pPr>
              <w:pStyle w:val="6"/>
              <w:keepNext w:val="0"/>
              <w:keepLines w:val="0"/>
              <w:pageBreakBefore w:val="0"/>
              <w:widowControl/>
              <w:kinsoku/>
              <w:wordWrap/>
              <w:overflowPunct/>
              <w:topLinePunct w:val="0"/>
              <w:autoSpaceDE/>
              <w:autoSpaceDN/>
              <w:bidi w:val="0"/>
              <w:adjustRightInd/>
              <w:snapToGrid/>
              <w:spacing w:line="500" w:lineRule="exact"/>
              <w:ind w:firstLine="0"/>
              <w:jc w:val="center"/>
              <w:textAlignment w:val="auto"/>
              <w:rPr>
                <w:rFonts w:hint="eastAsia" w:ascii="宋体" w:hAnsi="宋体" w:eastAsia="宋体" w:cs="宋体"/>
                <w:sz w:val="24"/>
                <w:szCs w:val="24"/>
              </w:rPr>
            </w:pPr>
            <w:r>
              <w:rPr>
                <w:rFonts w:hint="eastAsia" w:ascii="宋体" w:hAnsi="宋体" w:eastAsia="宋体" w:cs="宋体"/>
                <w:color w:val="000000"/>
                <w:sz w:val="24"/>
                <w:szCs w:val="24"/>
              </w:rPr>
              <w:t>50.000000</w:t>
            </w:r>
          </w:p>
        </w:tc>
      </w:tr>
      <w:tr w14:paraId="785F07E5">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99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2913F4B">
            <w:pPr>
              <w:pStyle w:val="6"/>
              <w:keepNext w:val="0"/>
              <w:keepLines w:val="0"/>
              <w:pageBreakBefore w:val="0"/>
              <w:widowControl/>
              <w:kinsoku/>
              <w:wordWrap/>
              <w:overflowPunct/>
              <w:topLinePunct w:val="0"/>
              <w:autoSpaceDE/>
              <w:autoSpaceDN/>
              <w:bidi w:val="0"/>
              <w:adjustRightInd/>
              <w:snapToGrid/>
              <w:spacing w:line="500" w:lineRule="exact"/>
              <w:ind w:firstLine="0"/>
              <w:jc w:val="center"/>
              <w:textAlignment w:val="auto"/>
              <w:rPr>
                <w:rFonts w:hint="eastAsia" w:ascii="宋体" w:hAnsi="宋体" w:eastAsia="宋体" w:cs="宋体"/>
                <w:sz w:val="24"/>
                <w:szCs w:val="24"/>
              </w:rPr>
            </w:pPr>
            <w:r>
              <w:rPr>
                <w:rFonts w:hint="eastAsia" w:ascii="宋体" w:hAnsi="宋体" w:eastAsia="宋体" w:cs="宋体"/>
                <w:color w:val="000000"/>
                <w:sz w:val="24"/>
                <w:szCs w:val="24"/>
              </w:rPr>
              <w:t>6.3</w:t>
            </w:r>
          </w:p>
        </w:tc>
        <w:tc>
          <w:tcPr>
            <w:tcW w:w="3618" w:type="dxa"/>
            <w:tcBorders>
              <w:top w:val="nil"/>
              <w:left w:val="nil"/>
              <w:bottom w:val="single" w:color="000000" w:sz="4" w:space="0"/>
              <w:right w:val="single" w:color="000000" w:sz="4" w:space="0"/>
            </w:tcBorders>
            <w:tcMar>
              <w:top w:w="0" w:type="dxa"/>
              <w:left w:w="105" w:type="dxa"/>
              <w:bottom w:w="0" w:type="dxa"/>
              <w:right w:w="105" w:type="dxa"/>
            </w:tcMar>
            <w:vAlign w:val="top"/>
          </w:tcPr>
          <w:p w14:paraId="7ED1FC24">
            <w:pPr>
              <w:pStyle w:val="6"/>
              <w:keepNext w:val="0"/>
              <w:keepLines w:val="0"/>
              <w:pageBreakBefore w:val="0"/>
              <w:widowControl/>
              <w:kinsoku/>
              <w:wordWrap/>
              <w:overflowPunct/>
              <w:topLinePunct w:val="0"/>
              <w:autoSpaceDE/>
              <w:autoSpaceDN/>
              <w:bidi w:val="0"/>
              <w:adjustRightInd/>
              <w:snapToGrid/>
              <w:spacing w:line="500" w:lineRule="exact"/>
              <w:ind w:firstLine="0"/>
              <w:jc w:val="both"/>
              <w:textAlignment w:val="auto"/>
              <w:rPr>
                <w:rFonts w:hint="eastAsia" w:ascii="宋体" w:hAnsi="宋体" w:eastAsia="宋体" w:cs="宋体"/>
                <w:sz w:val="24"/>
                <w:szCs w:val="24"/>
              </w:rPr>
            </w:pPr>
            <w:r>
              <w:rPr>
                <w:rFonts w:hint="eastAsia" w:ascii="宋体" w:hAnsi="宋体" w:eastAsia="宋体" w:cs="宋体"/>
                <w:color w:val="000000"/>
                <w:sz w:val="24"/>
                <w:szCs w:val="24"/>
              </w:rPr>
              <w:t>特殊病患管理子系统</w:t>
            </w:r>
          </w:p>
        </w:tc>
        <w:tc>
          <w:tcPr>
            <w:tcW w:w="1455" w:type="dxa"/>
            <w:tcBorders>
              <w:top w:val="nil"/>
              <w:left w:val="nil"/>
              <w:bottom w:val="single" w:color="000000" w:sz="4" w:space="0"/>
              <w:right w:val="single" w:color="000000" w:sz="4" w:space="0"/>
            </w:tcBorders>
            <w:tcMar>
              <w:top w:w="0" w:type="dxa"/>
              <w:left w:w="105" w:type="dxa"/>
              <w:bottom w:w="0" w:type="dxa"/>
              <w:right w:w="105" w:type="dxa"/>
            </w:tcMar>
            <w:vAlign w:val="top"/>
          </w:tcPr>
          <w:p w14:paraId="2228BB4E">
            <w:pPr>
              <w:pStyle w:val="6"/>
              <w:keepNext w:val="0"/>
              <w:keepLines w:val="0"/>
              <w:pageBreakBefore w:val="0"/>
              <w:widowControl/>
              <w:kinsoku/>
              <w:wordWrap/>
              <w:overflowPunct/>
              <w:topLinePunct w:val="0"/>
              <w:autoSpaceDE/>
              <w:autoSpaceDN/>
              <w:bidi w:val="0"/>
              <w:adjustRightInd/>
              <w:snapToGrid/>
              <w:spacing w:line="500" w:lineRule="exact"/>
              <w:ind w:firstLine="0"/>
              <w:jc w:val="center"/>
              <w:textAlignment w:val="auto"/>
              <w:rPr>
                <w:rFonts w:hint="eastAsia" w:ascii="宋体" w:hAnsi="宋体" w:eastAsia="宋体" w:cs="宋体"/>
                <w:sz w:val="24"/>
                <w:szCs w:val="24"/>
              </w:rPr>
            </w:pPr>
            <w:r>
              <w:rPr>
                <w:rFonts w:hint="eastAsia" w:ascii="宋体" w:hAnsi="宋体" w:eastAsia="宋体" w:cs="宋体"/>
                <w:color w:val="000000"/>
                <w:sz w:val="24"/>
                <w:szCs w:val="24"/>
              </w:rPr>
              <w:t>1套</w:t>
            </w:r>
          </w:p>
        </w:tc>
        <w:tc>
          <w:tcPr>
            <w:tcW w:w="2359" w:type="dxa"/>
            <w:tcBorders>
              <w:top w:val="nil"/>
              <w:left w:val="nil"/>
              <w:bottom w:val="single" w:color="000000" w:sz="4" w:space="0"/>
              <w:right w:val="single" w:color="000000" w:sz="4" w:space="0"/>
            </w:tcBorders>
            <w:tcMar>
              <w:top w:w="0" w:type="dxa"/>
              <w:left w:w="105" w:type="dxa"/>
              <w:bottom w:w="0" w:type="dxa"/>
              <w:right w:w="105" w:type="dxa"/>
            </w:tcMar>
            <w:vAlign w:val="top"/>
          </w:tcPr>
          <w:p w14:paraId="1EEB23E5">
            <w:pPr>
              <w:pStyle w:val="6"/>
              <w:keepNext w:val="0"/>
              <w:keepLines w:val="0"/>
              <w:pageBreakBefore w:val="0"/>
              <w:widowControl/>
              <w:kinsoku/>
              <w:wordWrap/>
              <w:overflowPunct/>
              <w:topLinePunct w:val="0"/>
              <w:autoSpaceDE/>
              <w:autoSpaceDN/>
              <w:bidi w:val="0"/>
              <w:adjustRightInd/>
              <w:snapToGrid/>
              <w:spacing w:line="500" w:lineRule="exact"/>
              <w:ind w:firstLine="0"/>
              <w:jc w:val="center"/>
              <w:textAlignment w:val="auto"/>
              <w:rPr>
                <w:rFonts w:hint="eastAsia" w:ascii="宋体" w:hAnsi="宋体" w:eastAsia="宋体" w:cs="宋体"/>
                <w:sz w:val="24"/>
                <w:szCs w:val="24"/>
              </w:rPr>
            </w:pPr>
            <w:r>
              <w:rPr>
                <w:rFonts w:hint="eastAsia" w:ascii="宋体" w:hAnsi="宋体" w:eastAsia="宋体" w:cs="宋体"/>
                <w:color w:val="000000"/>
                <w:sz w:val="24"/>
                <w:szCs w:val="24"/>
              </w:rPr>
              <w:t>4.000000</w:t>
            </w:r>
          </w:p>
        </w:tc>
      </w:tr>
      <w:tr w14:paraId="6ADCB2C6">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99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201CF2AF">
            <w:pPr>
              <w:pStyle w:val="6"/>
              <w:keepNext w:val="0"/>
              <w:keepLines w:val="0"/>
              <w:pageBreakBefore w:val="0"/>
              <w:widowControl/>
              <w:kinsoku/>
              <w:wordWrap/>
              <w:overflowPunct/>
              <w:topLinePunct w:val="0"/>
              <w:autoSpaceDE/>
              <w:autoSpaceDN/>
              <w:bidi w:val="0"/>
              <w:adjustRightInd/>
              <w:snapToGrid/>
              <w:spacing w:line="500" w:lineRule="exact"/>
              <w:ind w:firstLine="0"/>
              <w:jc w:val="center"/>
              <w:textAlignment w:val="auto"/>
              <w:rPr>
                <w:rFonts w:hint="eastAsia" w:ascii="宋体" w:hAnsi="宋体" w:eastAsia="宋体" w:cs="宋体"/>
                <w:sz w:val="24"/>
                <w:szCs w:val="24"/>
              </w:rPr>
            </w:pPr>
            <w:r>
              <w:rPr>
                <w:rFonts w:hint="eastAsia" w:ascii="宋体" w:hAnsi="宋体" w:eastAsia="宋体" w:cs="宋体"/>
                <w:color w:val="000000"/>
                <w:sz w:val="24"/>
                <w:szCs w:val="24"/>
              </w:rPr>
              <w:t>6.4</w:t>
            </w:r>
          </w:p>
        </w:tc>
        <w:tc>
          <w:tcPr>
            <w:tcW w:w="3618" w:type="dxa"/>
            <w:tcBorders>
              <w:top w:val="nil"/>
              <w:left w:val="nil"/>
              <w:bottom w:val="single" w:color="000000" w:sz="4" w:space="0"/>
              <w:right w:val="single" w:color="000000" w:sz="4" w:space="0"/>
            </w:tcBorders>
            <w:tcMar>
              <w:top w:w="0" w:type="dxa"/>
              <w:left w:w="105" w:type="dxa"/>
              <w:bottom w:w="0" w:type="dxa"/>
              <w:right w:w="105" w:type="dxa"/>
            </w:tcMar>
            <w:vAlign w:val="top"/>
          </w:tcPr>
          <w:p w14:paraId="55148941">
            <w:pPr>
              <w:pStyle w:val="6"/>
              <w:keepNext w:val="0"/>
              <w:keepLines w:val="0"/>
              <w:pageBreakBefore w:val="0"/>
              <w:widowControl/>
              <w:kinsoku/>
              <w:wordWrap/>
              <w:overflowPunct/>
              <w:topLinePunct w:val="0"/>
              <w:autoSpaceDE/>
              <w:autoSpaceDN/>
              <w:bidi w:val="0"/>
              <w:adjustRightInd/>
              <w:snapToGrid/>
              <w:spacing w:line="500" w:lineRule="exact"/>
              <w:ind w:firstLine="0"/>
              <w:jc w:val="left"/>
              <w:textAlignment w:val="auto"/>
              <w:rPr>
                <w:rFonts w:hint="eastAsia" w:ascii="宋体" w:hAnsi="宋体" w:eastAsia="宋体" w:cs="宋体"/>
                <w:sz w:val="24"/>
                <w:szCs w:val="24"/>
              </w:rPr>
            </w:pPr>
            <w:r>
              <w:rPr>
                <w:rFonts w:hint="eastAsia" w:ascii="宋体" w:hAnsi="宋体" w:eastAsia="宋体" w:cs="宋体"/>
                <w:color w:val="000000"/>
                <w:sz w:val="24"/>
                <w:szCs w:val="24"/>
              </w:rPr>
              <w:t>定位手环</w:t>
            </w:r>
          </w:p>
        </w:tc>
        <w:tc>
          <w:tcPr>
            <w:tcW w:w="1455" w:type="dxa"/>
            <w:tcBorders>
              <w:top w:val="nil"/>
              <w:left w:val="nil"/>
              <w:bottom w:val="single" w:color="000000" w:sz="4" w:space="0"/>
              <w:right w:val="single" w:color="000000" w:sz="4" w:space="0"/>
            </w:tcBorders>
            <w:tcMar>
              <w:top w:w="0" w:type="dxa"/>
              <w:left w:w="105" w:type="dxa"/>
              <w:bottom w:w="0" w:type="dxa"/>
              <w:right w:w="105" w:type="dxa"/>
            </w:tcMar>
            <w:vAlign w:val="top"/>
          </w:tcPr>
          <w:p w14:paraId="7D1DB3CA">
            <w:pPr>
              <w:pStyle w:val="6"/>
              <w:keepNext w:val="0"/>
              <w:keepLines w:val="0"/>
              <w:pageBreakBefore w:val="0"/>
              <w:widowControl/>
              <w:kinsoku/>
              <w:wordWrap/>
              <w:overflowPunct/>
              <w:topLinePunct w:val="0"/>
              <w:autoSpaceDE/>
              <w:autoSpaceDN/>
              <w:bidi w:val="0"/>
              <w:adjustRightInd/>
              <w:snapToGrid/>
              <w:spacing w:line="500" w:lineRule="exact"/>
              <w:ind w:firstLine="0"/>
              <w:jc w:val="center"/>
              <w:textAlignment w:val="auto"/>
              <w:rPr>
                <w:rFonts w:hint="eastAsia" w:ascii="宋体" w:hAnsi="宋体" w:eastAsia="宋体" w:cs="宋体"/>
                <w:sz w:val="24"/>
                <w:szCs w:val="24"/>
              </w:rPr>
            </w:pPr>
            <w:r>
              <w:rPr>
                <w:rFonts w:hint="eastAsia" w:ascii="宋体" w:hAnsi="宋体" w:eastAsia="宋体" w:cs="宋体"/>
                <w:color w:val="000000"/>
                <w:sz w:val="24"/>
                <w:szCs w:val="24"/>
              </w:rPr>
              <w:t>500个</w:t>
            </w:r>
          </w:p>
        </w:tc>
        <w:tc>
          <w:tcPr>
            <w:tcW w:w="2359" w:type="dxa"/>
            <w:tcBorders>
              <w:top w:val="nil"/>
              <w:left w:val="nil"/>
              <w:bottom w:val="single" w:color="000000" w:sz="4" w:space="0"/>
              <w:right w:val="single" w:color="000000" w:sz="4" w:space="0"/>
            </w:tcBorders>
            <w:tcMar>
              <w:top w:w="0" w:type="dxa"/>
              <w:left w:w="105" w:type="dxa"/>
              <w:bottom w:w="0" w:type="dxa"/>
              <w:right w:w="105" w:type="dxa"/>
            </w:tcMar>
            <w:vAlign w:val="top"/>
          </w:tcPr>
          <w:p w14:paraId="156130FA">
            <w:pPr>
              <w:pStyle w:val="6"/>
              <w:keepNext w:val="0"/>
              <w:keepLines w:val="0"/>
              <w:pageBreakBefore w:val="0"/>
              <w:widowControl/>
              <w:kinsoku/>
              <w:wordWrap/>
              <w:overflowPunct/>
              <w:topLinePunct w:val="0"/>
              <w:autoSpaceDE/>
              <w:autoSpaceDN/>
              <w:bidi w:val="0"/>
              <w:adjustRightInd/>
              <w:snapToGrid/>
              <w:spacing w:line="500" w:lineRule="exact"/>
              <w:ind w:firstLine="0"/>
              <w:jc w:val="center"/>
              <w:textAlignment w:val="auto"/>
              <w:rPr>
                <w:rFonts w:hint="eastAsia" w:ascii="宋体" w:hAnsi="宋体" w:eastAsia="宋体" w:cs="宋体"/>
                <w:sz w:val="24"/>
                <w:szCs w:val="24"/>
              </w:rPr>
            </w:pPr>
            <w:r>
              <w:rPr>
                <w:rFonts w:hint="eastAsia" w:ascii="宋体" w:hAnsi="宋体" w:eastAsia="宋体" w:cs="宋体"/>
                <w:color w:val="000000"/>
                <w:sz w:val="24"/>
                <w:szCs w:val="24"/>
              </w:rPr>
              <w:t>30.000000</w:t>
            </w:r>
          </w:p>
        </w:tc>
      </w:tr>
      <w:tr w14:paraId="3CA6C8B7">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99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1F964696">
            <w:pPr>
              <w:pStyle w:val="6"/>
              <w:keepNext w:val="0"/>
              <w:keepLines w:val="0"/>
              <w:pageBreakBefore w:val="0"/>
              <w:widowControl/>
              <w:kinsoku/>
              <w:wordWrap/>
              <w:overflowPunct/>
              <w:topLinePunct w:val="0"/>
              <w:autoSpaceDE/>
              <w:autoSpaceDN/>
              <w:bidi w:val="0"/>
              <w:adjustRightInd/>
              <w:snapToGrid/>
              <w:spacing w:line="500" w:lineRule="exact"/>
              <w:ind w:firstLine="0"/>
              <w:jc w:val="center"/>
              <w:textAlignment w:val="auto"/>
              <w:rPr>
                <w:rFonts w:hint="eastAsia" w:ascii="宋体" w:hAnsi="宋体" w:eastAsia="宋体" w:cs="宋体"/>
                <w:sz w:val="24"/>
                <w:szCs w:val="24"/>
              </w:rPr>
            </w:pPr>
            <w:r>
              <w:rPr>
                <w:rFonts w:hint="eastAsia" w:ascii="宋体" w:hAnsi="宋体" w:eastAsia="宋体" w:cs="宋体"/>
                <w:color w:val="000000"/>
                <w:sz w:val="24"/>
                <w:szCs w:val="24"/>
              </w:rPr>
              <w:t>6.5</w:t>
            </w:r>
          </w:p>
        </w:tc>
        <w:tc>
          <w:tcPr>
            <w:tcW w:w="3618" w:type="dxa"/>
            <w:tcBorders>
              <w:top w:val="nil"/>
              <w:left w:val="nil"/>
              <w:bottom w:val="single" w:color="000000" w:sz="4" w:space="0"/>
              <w:right w:val="single" w:color="000000" w:sz="4" w:space="0"/>
            </w:tcBorders>
            <w:tcMar>
              <w:top w:w="0" w:type="dxa"/>
              <w:left w:w="105" w:type="dxa"/>
              <w:bottom w:w="0" w:type="dxa"/>
              <w:right w:w="105" w:type="dxa"/>
            </w:tcMar>
            <w:vAlign w:val="top"/>
          </w:tcPr>
          <w:p w14:paraId="2E12DD9F">
            <w:pPr>
              <w:pStyle w:val="6"/>
              <w:keepNext w:val="0"/>
              <w:keepLines w:val="0"/>
              <w:pageBreakBefore w:val="0"/>
              <w:widowControl/>
              <w:kinsoku/>
              <w:wordWrap/>
              <w:overflowPunct/>
              <w:topLinePunct w:val="0"/>
              <w:autoSpaceDE/>
              <w:autoSpaceDN/>
              <w:bidi w:val="0"/>
              <w:adjustRightInd/>
              <w:snapToGrid/>
              <w:spacing w:line="500" w:lineRule="exact"/>
              <w:ind w:firstLine="0"/>
              <w:jc w:val="left"/>
              <w:textAlignment w:val="auto"/>
              <w:rPr>
                <w:rFonts w:hint="eastAsia" w:ascii="宋体" w:hAnsi="宋体" w:eastAsia="宋体" w:cs="宋体"/>
                <w:sz w:val="24"/>
                <w:szCs w:val="24"/>
              </w:rPr>
            </w:pPr>
            <w:r>
              <w:rPr>
                <w:rFonts w:hint="eastAsia" w:ascii="宋体" w:hAnsi="宋体" w:eastAsia="宋体" w:cs="宋体"/>
                <w:color w:val="000000"/>
                <w:sz w:val="24"/>
                <w:szCs w:val="24"/>
              </w:rPr>
              <w:t>辅材</w:t>
            </w:r>
          </w:p>
        </w:tc>
        <w:tc>
          <w:tcPr>
            <w:tcW w:w="1455" w:type="dxa"/>
            <w:tcBorders>
              <w:top w:val="nil"/>
              <w:left w:val="nil"/>
              <w:bottom w:val="single" w:color="000000" w:sz="4" w:space="0"/>
              <w:right w:val="single" w:color="000000" w:sz="4" w:space="0"/>
            </w:tcBorders>
            <w:tcMar>
              <w:top w:w="0" w:type="dxa"/>
              <w:left w:w="105" w:type="dxa"/>
              <w:bottom w:w="0" w:type="dxa"/>
              <w:right w:w="105" w:type="dxa"/>
            </w:tcMar>
            <w:vAlign w:val="top"/>
          </w:tcPr>
          <w:p w14:paraId="348322B1">
            <w:pPr>
              <w:pStyle w:val="6"/>
              <w:keepNext w:val="0"/>
              <w:keepLines w:val="0"/>
              <w:pageBreakBefore w:val="0"/>
              <w:widowControl/>
              <w:kinsoku/>
              <w:wordWrap/>
              <w:overflowPunct/>
              <w:topLinePunct w:val="0"/>
              <w:autoSpaceDE/>
              <w:autoSpaceDN/>
              <w:bidi w:val="0"/>
              <w:adjustRightInd/>
              <w:snapToGrid/>
              <w:spacing w:line="500" w:lineRule="exact"/>
              <w:ind w:firstLine="0"/>
              <w:jc w:val="center"/>
              <w:textAlignment w:val="auto"/>
              <w:rPr>
                <w:rFonts w:hint="eastAsia" w:ascii="宋体" w:hAnsi="宋体" w:eastAsia="宋体" w:cs="宋体"/>
                <w:sz w:val="24"/>
                <w:szCs w:val="24"/>
              </w:rPr>
            </w:pPr>
            <w:r>
              <w:rPr>
                <w:rFonts w:hint="eastAsia" w:ascii="宋体" w:hAnsi="宋体" w:eastAsia="宋体" w:cs="宋体"/>
                <w:color w:val="000000"/>
                <w:sz w:val="24"/>
                <w:szCs w:val="24"/>
              </w:rPr>
              <w:t>1项</w:t>
            </w:r>
          </w:p>
        </w:tc>
        <w:tc>
          <w:tcPr>
            <w:tcW w:w="2359" w:type="dxa"/>
            <w:tcBorders>
              <w:top w:val="nil"/>
              <w:left w:val="nil"/>
              <w:bottom w:val="single" w:color="000000" w:sz="4" w:space="0"/>
              <w:right w:val="single" w:color="000000" w:sz="4" w:space="0"/>
            </w:tcBorders>
            <w:tcMar>
              <w:top w:w="0" w:type="dxa"/>
              <w:left w:w="105" w:type="dxa"/>
              <w:bottom w:w="0" w:type="dxa"/>
              <w:right w:w="105" w:type="dxa"/>
            </w:tcMar>
            <w:vAlign w:val="top"/>
          </w:tcPr>
          <w:p w14:paraId="668777CB">
            <w:pPr>
              <w:pStyle w:val="6"/>
              <w:keepNext w:val="0"/>
              <w:keepLines w:val="0"/>
              <w:pageBreakBefore w:val="0"/>
              <w:widowControl/>
              <w:kinsoku/>
              <w:wordWrap/>
              <w:overflowPunct/>
              <w:topLinePunct w:val="0"/>
              <w:autoSpaceDE/>
              <w:autoSpaceDN/>
              <w:bidi w:val="0"/>
              <w:adjustRightInd/>
              <w:snapToGrid/>
              <w:spacing w:line="500" w:lineRule="exact"/>
              <w:ind w:firstLine="0"/>
              <w:jc w:val="center"/>
              <w:textAlignment w:val="auto"/>
              <w:rPr>
                <w:rFonts w:hint="eastAsia" w:ascii="宋体" w:hAnsi="宋体" w:eastAsia="宋体" w:cs="宋体"/>
                <w:sz w:val="24"/>
                <w:szCs w:val="24"/>
              </w:rPr>
            </w:pPr>
            <w:r>
              <w:rPr>
                <w:rFonts w:hint="eastAsia" w:ascii="宋体" w:hAnsi="宋体" w:eastAsia="宋体" w:cs="宋体"/>
                <w:color w:val="000000"/>
                <w:sz w:val="24"/>
                <w:szCs w:val="24"/>
              </w:rPr>
              <w:t>5.000000</w:t>
            </w:r>
          </w:p>
        </w:tc>
      </w:tr>
      <w:tr w14:paraId="34933CA8">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067" w:type="dxa"/>
            <w:gridSpan w:val="3"/>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268CD1BC">
            <w:pPr>
              <w:pStyle w:val="6"/>
              <w:keepNext w:val="0"/>
              <w:keepLines w:val="0"/>
              <w:pageBreakBefore w:val="0"/>
              <w:widowControl/>
              <w:kinsoku/>
              <w:wordWrap/>
              <w:overflowPunct/>
              <w:topLinePunct w:val="0"/>
              <w:autoSpaceDE/>
              <w:autoSpaceDN/>
              <w:bidi w:val="0"/>
              <w:adjustRightInd/>
              <w:snapToGrid/>
              <w:spacing w:line="500" w:lineRule="exact"/>
              <w:ind w:firstLine="0"/>
              <w:jc w:val="center"/>
              <w:textAlignment w:val="auto"/>
              <w:rPr>
                <w:rFonts w:hint="eastAsia" w:ascii="宋体" w:hAnsi="宋体" w:eastAsia="宋体" w:cs="宋体"/>
                <w:sz w:val="24"/>
                <w:szCs w:val="24"/>
              </w:rPr>
            </w:pPr>
            <w:r>
              <w:rPr>
                <w:rFonts w:hint="eastAsia" w:ascii="宋体" w:hAnsi="宋体" w:eastAsia="宋体" w:cs="宋体"/>
                <w:b/>
                <w:color w:val="000000"/>
                <w:sz w:val="24"/>
                <w:szCs w:val="24"/>
              </w:rPr>
              <w:t>总计</w:t>
            </w:r>
          </w:p>
        </w:tc>
        <w:tc>
          <w:tcPr>
            <w:tcW w:w="2359" w:type="dxa"/>
            <w:tcBorders>
              <w:top w:val="nil"/>
              <w:left w:val="nil"/>
              <w:bottom w:val="single" w:color="000000" w:sz="4" w:space="0"/>
              <w:right w:val="single" w:color="000000" w:sz="4" w:space="0"/>
            </w:tcBorders>
            <w:shd w:val="clear" w:color="auto" w:fill="FFFFFF"/>
            <w:tcMar>
              <w:top w:w="0" w:type="dxa"/>
              <w:left w:w="105" w:type="dxa"/>
              <w:bottom w:w="0" w:type="dxa"/>
              <w:right w:w="105" w:type="dxa"/>
            </w:tcMar>
            <w:vAlign w:val="top"/>
          </w:tcPr>
          <w:p w14:paraId="1FB9CC3E">
            <w:pPr>
              <w:pStyle w:val="6"/>
              <w:keepNext w:val="0"/>
              <w:keepLines w:val="0"/>
              <w:pageBreakBefore w:val="0"/>
              <w:widowControl/>
              <w:kinsoku/>
              <w:wordWrap/>
              <w:overflowPunct/>
              <w:topLinePunct w:val="0"/>
              <w:autoSpaceDE/>
              <w:autoSpaceDN/>
              <w:bidi w:val="0"/>
              <w:adjustRightInd/>
              <w:snapToGrid/>
              <w:spacing w:line="500" w:lineRule="exact"/>
              <w:ind w:firstLine="0"/>
              <w:jc w:val="center"/>
              <w:textAlignment w:val="auto"/>
              <w:rPr>
                <w:rFonts w:hint="eastAsia" w:ascii="宋体" w:hAnsi="宋体" w:eastAsia="宋体" w:cs="宋体"/>
                <w:sz w:val="24"/>
                <w:szCs w:val="24"/>
              </w:rPr>
            </w:pPr>
            <w:r>
              <w:rPr>
                <w:rFonts w:hint="eastAsia" w:ascii="宋体" w:hAnsi="宋体" w:eastAsia="宋体" w:cs="宋体"/>
                <w:b/>
                <w:color w:val="000000"/>
                <w:sz w:val="24"/>
                <w:szCs w:val="24"/>
              </w:rPr>
              <w:t>1210.110000</w:t>
            </w:r>
          </w:p>
        </w:tc>
      </w:tr>
    </w:tbl>
    <w:p w14:paraId="3B77C391">
      <w:pPr>
        <w:pStyle w:val="6"/>
        <w:keepNext w:val="0"/>
        <w:keepLines w:val="0"/>
        <w:pageBreakBefore w:val="0"/>
        <w:kinsoku/>
        <w:wordWrap/>
        <w:overflowPunct/>
        <w:topLinePunct w:val="0"/>
        <w:autoSpaceDE/>
        <w:autoSpaceDN/>
        <w:bidi w:val="0"/>
        <w:adjustRightInd/>
        <w:snapToGrid/>
        <w:spacing w:line="500" w:lineRule="exact"/>
        <w:ind w:left="570"/>
        <w:jc w:val="both"/>
        <w:textAlignment w:val="auto"/>
        <w:rPr>
          <w:rFonts w:hint="eastAsia" w:ascii="宋体" w:hAnsi="宋体" w:eastAsia="宋体" w:cs="宋体"/>
          <w:sz w:val="24"/>
          <w:szCs w:val="24"/>
        </w:rPr>
      </w:pPr>
      <w:r>
        <w:rPr>
          <w:rFonts w:hint="eastAsia" w:ascii="宋体" w:hAnsi="宋体" w:eastAsia="宋体" w:cs="宋体"/>
          <w:b/>
          <w:color w:val="000000"/>
          <w:sz w:val="24"/>
          <w:szCs w:val="24"/>
        </w:rPr>
        <w:t>1.3.1.2硬件部分明细要求</w:t>
      </w:r>
    </w:p>
    <w:tbl>
      <w:tblPr>
        <w:tblStyle w:val="4"/>
        <w:tblW w:w="0" w:type="auto"/>
        <w:tblInd w:w="90" w:type="dxa"/>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autofit"/>
        <w:tblCellMar>
          <w:top w:w="0" w:type="dxa"/>
          <w:left w:w="108" w:type="dxa"/>
          <w:bottom w:w="0" w:type="dxa"/>
          <w:right w:w="108" w:type="dxa"/>
        </w:tblCellMar>
      </w:tblPr>
      <w:tblGrid>
        <w:gridCol w:w="996"/>
        <w:gridCol w:w="3616"/>
        <w:gridCol w:w="1455"/>
        <w:gridCol w:w="2359"/>
      </w:tblGrid>
      <w:tr w14:paraId="6D0FD51D">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996" w:type="dxa"/>
            <w:tcBorders>
              <w:top w:val="single" w:color="000000" w:sz="4" w:space="0"/>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67810CC7">
            <w:pPr>
              <w:pStyle w:val="6"/>
              <w:keepNext w:val="0"/>
              <w:keepLines w:val="0"/>
              <w:pageBreakBefore w:val="0"/>
              <w:widowControl/>
              <w:kinsoku/>
              <w:wordWrap/>
              <w:overflowPunct/>
              <w:topLinePunct w:val="0"/>
              <w:autoSpaceDE/>
              <w:autoSpaceDN/>
              <w:bidi w:val="0"/>
              <w:adjustRightInd/>
              <w:snapToGrid/>
              <w:spacing w:line="500" w:lineRule="exact"/>
              <w:ind w:firstLine="0"/>
              <w:jc w:val="center"/>
              <w:textAlignment w:val="auto"/>
              <w:rPr>
                <w:rFonts w:hint="eastAsia" w:ascii="宋体" w:hAnsi="宋体" w:eastAsia="宋体" w:cs="宋体"/>
                <w:sz w:val="24"/>
                <w:szCs w:val="24"/>
              </w:rPr>
            </w:pPr>
            <w:r>
              <w:rPr>
                <w:rFonts w:hint="eastAsia" w:ascii="宋体" w:hAnsi="宋体" w:eastAsia="宋体" w:cs="宋体"/>
                <w:b/>
                <w:color w:val="000000"/>
                <w:sz w:val="24"/>
                <w:szCs w:val="24"/>
              </w:rPr>
              <w:t>序号</w:t>
            </w:r>
          </w:p>
        </w:tc>
        <w:tc>
          <w:tcPr>
            <w:tcW w:w="3616" w:type="dxa"/>
            <w:tcBorders>
              <w:top w:val="single" w:color="000000" w:sz="4" w:space="0"/>
              <w:left w:val="nil"/>
              <w:bottom w:val="single" w:color="000000" w:sz="4" w:space="0"/>
              <w:right w:val="single" w:color="000000" w:sz="4" w:space="0"/>
            </w:tcBorders>
            <w:shd w:val="clear" w:color="auto" w:fill="FFFFFF"/>
            <w:tcMar>
              <w:top w:w="0" w:type="dxa"/>
              <w:left w:w="105" w:type="dxa"/>
              <w:bottom w:w="0" w:type="dxa"/>
              <w:right w:w="105" w:type="dxa"/>
            </w:tcMar>
            <w:vAlign w:val="top"/>
          </w:tcPr>
          <w:p w14:paraId="454DDC14">
            <w:pPr>
              <w:pStyle w:val="6"/>
              <w:keepNext w:val="0"/>
              <w:keepLines w:val="0"/>
              <w:pageBreakBefore w:val="0"/>
              <w:widowControl/>
              <w:kinsoku/>
              <w:wordWrap/>
              <w:overflowPunct/>
              <w:topLinePunct w:val="0"/>
              <w:autoSpaceDE/>
              <w:autoSpaceDN/>
              <w:bidi w:val="0"/>
              <w:adjustRightInd/>
              <w:snapToGrid/>
              <w:spacing w:line="500" w:lineRule="exact"/>
              <w:ind w:firstLine="0"/>
              <w:jc w:val="center"/>
              <w:textAlignment w:val="auto"/>
              <w:rPr>
                <w:rFonts w:hint="eastAsia" w:ascii="宋体" w:hAnsi="宋体" w:eastAsia="宋体" w:cs="宋体"/>
                <w:sz w:val="24"/>
                <w:szCs w:val="24"/>
              </w:rPr>
            </w:pPr>
            <w:r>
              <w:rPr>
                <w:rFonts w:hint="eastAsia" w:ascii="宋体" w:hAnsi="宋体" w:eastAsia="宋体" w:cs="宋体"/>
                <w:b/>
                <w:color w:val="000000"/>
                <w:sz w:val="24"/>
                <w:szCs w:val="24"/>
              </w:rPr>
              <w:t>分项项目（硬件）</w:t>
            </w:r>
          </w:p>
        </w:tc>
        <w:tc>
          <w:tcPr>
            <w:tcW w:w="1455" w:type="dxa"/>
            <w:tcBorders>
              <w:top w:val="single" w:color="000000" w:sz="4" w:space="0"/>
              <w:left w:val="nil"/>
              <w:bottom w:val="single" w:color="000000" w:sz="4" w:space="0"/>
              <w:right w:val="single" w:color="000000" w:sz="4" w:space="0"/>
            </w:tcBorders>
            <w:shd w:val="clear" w:color="auto" w:fill="FFFFFF"/>
            <w:tcMar>
              <w:top w:w="0" w:type="dxa"/>
              <w:left w:w="105" w:type="dxa"/>
              <w:bottom w:w="0" w:type="dxa"/>
              <w:right w:w="105" w:type="dxa"/>
            </w:tcMar>
            <w:vAlign w:val="top"/>
          </w:tcPr>
          <w:p w14:paraId="36C12720">
            <w:pPr>
              <w:pStyle w:val="6"/>
              <w:keepNext w:val="0"/>
              <w:keepLines w:val="0"/>
              <w:pageBreakBefore w:val="0"/>
              <w:widowControl/>
              <w:kinsoku/>
              <w:wordWrap/>
              <w:overflowPunct/>
              <w:topLinePunct w:val="0"/>
              <w:autoSpaceDE/>
              <w:autoSpaceDN/>
              <w:bidi w:val="0"/>
              <w:adjustRightInd/>
              <w:snapToGrid/>
              <w:spacing w:line="500" w:lineRule="exact"/>
              <w:ind w:firstLine="0"/>
              <w:jc w:val="center"/>
              <w:textAlignment w:val="auto"/>
              <w:rPr>
                <w:rFonts w:hint="eastAsia" w:ascii="宋体" w:hAnsi="宋体" w:eastAsia="宋体" w:cs="宋体"/>
                <w:sz w:val="24"/>
                <w:szCs w:val="24"/>
              </w:rPr>
            </w:pPr>
            <w:r>
              <w:rPr>
                <w:rFonts w:hint="eastAsia" w:ascii="宋体" w:hAnsi="宋体" w:eastAsia="宋体" w:cs="宋体"/>
                <w:b/>
                <w:color w:val="000000"/>
                <w:sz w:val="24"/>
                <w:szCs w:val="24"/>
              </w:rPr>
              <w:t>数量（单位）</w:t>
            </w:r>
          </w:p>
        </w:tc>
        <w:tc>
          <w:tcPr>
            <w:tcW w:w="2359" w:type="dxa"/>
            <w:tcBorders>
              <w:top w:val="single" w:color="000000" w:sz="4" w:space="0"/>
              <w:left w:val="nil"/>
              <w:bottom w:val="single" w:color="000000" w:sz="4" w:space="0"/>
              <w:right w:val="single" w:color="000000" w:sz="4" w:space="0"/>
            </w:tcBorders>
            <w:shd w:val="clear" w:color="auto" w:fill="FFFFFF"/>
            <w:tcMar>
              <w:top w:w="0" w:type="dxa"/>
              <w:left w:w="105" w:type="dxa"/>
              <w:bottom w:w="0" w:type="dxa"/>
              <w:right w:w="105" w:type="dxa"/>
            </w:tcMar>
            <w:vAlign w:val="top"/>
          </w:tcPr>
          <w:p w14:paraId="55CD9B8C">
            <w:pPr>
              <w:pStyle w:val="6"/>
              <w:keepNext w:val="0"/>
              <w:keepLines w:val="0"/>
              <w:pageBreakBefore w:val="0"/>
              <w:widowControl/>
              <w:kinsoku/>
              <w:wordWrap/>
              <w:overflowPunct/>
              <w:topLinePunct w:val="0"/>
              <w:autoSpaceDE/>
              <w:autoSpaceDN/>
              <w:bidi w:val="0"/>
              <w:adjustRightInd/>
              <w:snapToGrid/>
              <w:spacing w:line="500" w:lineRule="exact"/>
              <w:ind w:firstLine="0"/>
              <w:jc w:val="center"/>
              <w:textAlignment w:val="auto"/>
              <w:rPr>
                <w:rFonts w:hint="eastAsia" w:ascii="宋体" w:hAnsi="宋体" w:eastAsia="宋体" w:cs="宋体"/>
                <w:sz w:val="24"/>
                <w:szCs w:val="24"/>
              </w:rPr>
            </w:pPr>
            <w:r>
              <w:rPr>
                <w:rFonts w:hint="eastAsia" w:ascii="宋体" w:hAnsi="宋体" w:eastAsia="宋体" w:cs="宋体"/>
                <w:b/>
                <w:color w:val="000000"/>
                <w:sz w:val="24"/>
                <w:szCs w:val="24"/>
              </w:rPr>
              <w:t>预算价（万元）</w:t>
            </w:r>
          </w:p>
        </w:tc>
      </w:tr>
      <w:tr w14:paraId="695B06D4">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99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25D87483">
            <w:pPr>
              <w:pStyle w:val="6"/>
              <w:keepNext w:val="0"/>
              <w:keepLines w:val="0"/>
              <w:pageBreakBefore w:val="0"/>
              <w:widowControl/>
              <w:kinsoku/>
              <w:wordWrap/>
              <w:overflowPunct/>
              <w:topLinePunct w:val="0"/>
              <w:autoSpaceDE/>
              <w:autoSpaceDN/>
              <w:bidi w:val="0"/>
              <w:adjustRightInd/>
              <w:snapToGrid/>
              <w:spacing w:line="500" w:lineRule="exact"/>
              <w:ind w:firstLine="0"/>
              <w:jc w:val="center"/>
              <w:textAlignment w:val="auto"/>
              <w:rPr>
                <w:rFonts w:hint="eastAsia" w:ascii="宋体" w:hAnsi="宋体" w:eastAsia="宋体" w:cs="宋体"/>
                <w:sz w:val="24"/>
                <w:szCs w:val="24"/>
              </w:rPr>
            </w:pPr>
            <w:r>
              <w:rPr>
                <w:rFonts w:hint="eastAsia" w:ascii="宋体" w:hAnsi="宋体" w:eastAsia="宋体" w:cs="宋体"/>
                <w:b/>
                <w:color w:val="000000"/>
                <w:sz w:val="24"/>
                <w:szCs w:val="24"/>
              </w:rPr>
              <w:t>一</w:t>
            </w:r>
          </w:p>
        </w:tc>
        <w:tc>
          <w:tcPr>
            <w:tcW w:w="3616" w:type="dxa"/>
            <w:tcBorders>
              <w:top w:val="nil"/>
              <w:left w:val="nil"/>
              <w:bottom w:val="single" w:color="000000" w:sz="4" w:space="0"/>
              <w:right w:val="single" w:color="000000" w:sz="4" w:space="0"/>
            </w:tcBorders>
            <w:tcMar>
              <w:top w:w="0" w:type="dxa"/>
              <w:left w:w="105" w:type="dxa"/>
              <w:bottom w:w="0" w:type="dxa"/>
              <w:right w:w="105" w:type="dxa"/>
            </w:tcMar>
            <w:vAlign w:val="top"/>
          </w:tcPr>
          <w:p w14:paraId="248F9D33">
            <w:pPr>
              <w:pStyle w:val="6"/>
              <w:keepNext w:val="0"/>
              <w:keepLines w:val="0"/>
              <w:pageBreakBefore w:val="0"/>
              <w:widowControl/>
              <w:kinsoku/>
              <w:wordWrap/>
              <w:overflowPunct/>
              <w:topLinePunct w:val="0"/>
              <w:autoSpaceDE/>
              <w:autoSpaceDN/>
              <w:bidi w:val="0"/>
              <w:adjustRightInd/>
              <w:snapToGrid/>
              <w:spacing w:line="500" w:lineRule="exact"/>
              <w:ind w:firstLine="0"/>
              <w:jc w:val="left"/>
              <w:textAlignment w:val="auto"/>
              <w:rPr>
                <w:rFonts w:hint="eastAsia" w:ascii="宋体" w:hAnsi="宋体" w:eastAsia="宋体" w:cs="宋体"/>
                <w:sz w:val="24"/>
                <w:szCs w:val="24"/>
              </w:rPr>
            </w:pPr>
            <w:r>
              <w:rPr>
                <w:rFonts w:hint="eastAsia" w:ascii="宋体" w:hAnsi="宋体" w:eastAsia="宋体" w:cs="宋体"/>
                <w:b/>
                <w:color w:val="000000"/>
                <w:sz w:val="24"/>
                <w:szCs w:val="24"/>
              </w:rPr>
              <w:t>省级精神卫生综合服务软件平台</w:t>
            </w:r>
          </w:p>
        </w:tc>
        <w:tc>
          <w:tcPr>
            <w:tcW w:w="1455" w:type="dxa"/>
            <w:tcBorders>
              <w:top w:val="nil"/>
              <w:left w:val="nil"/>
              <w:bottom w:val="single" w:color="000000" w:sz="4" w:space="0"/>
              <w:right w:val="single" w:color="000000" w:sz="4" w:space="0"/>
            </w:tcBorders>
            <w:tcMar>
              <w:top w:w="0" w:type="dxa"/>
              <w:left w:w="105" w:type="dxa"/>
              <w:bottom w:w="0" w:type="dxa"/>
              <w:right w:w="105" w:type="dxa"/>
            </w:tcMar>
            <w:vAlign w:val="top"/>
          </w:tcPr>
          <w:p w14:paraId="6AEAAD23">
            <w:pPr>
              <w:pStyle w:val="6"/>
              <w:keepNext w:val="0"/>
              <w:keepLines w:val="0"/>
              <w:pageBreakBefore w:val="0"/>
              <w:widowControl/>
              <w:kinsoku/>
              <w:wordWrap/>
              <w:overflowPunct/>
              <w:topLinePunct w:val="0"/>
              <w:autoSpaceDE/>
              <w:autoSpaceDN/>
              <w:bidi w:val="0"/>
              <w:adjustRightInd/>
              <w:snapToGrid/>
              <w:spacing w:line="500" w:lineRule="exact"/>
              <w:ind w:firstLine="0"/>
              <w:jc w:val="center"/>
              <w:textAlignment w:val="auto"/>
              <w:rPr>
                <w:rFonts w:hint="eastAsia" w:ascii="宋体" w:hAnsi="宋体" w:eastAsia="宋体" w:cs="宋体"/>
                <w:sz w:val="24"/>
                <w:szCs w:val="24"/>
              </w:rPr>
            </w:pPr>
          </w:p>
        </w:tc>
        <w:tc>
          <w:tcPr>
            <w:tcW w:w="2359" w:type="dxa"/>
            <w:tcBorders>
              <w:top w:val="nil"/>
              <w:left w:val="nil"/>
              <w:bottom w:val="single" w:color="000000" w:sz="4" w:space="0"/>
              <w:right w:val="single" w:color="000000" w:sz="4" w:space="0"/>
            </w:tcBorders>
            <w:tcMar>
              <w:top w:w="0" w:type="dxa"/>
              <w:left w:w="105" w:type="dxa"/>
              <w:bottom w:w="0" w:type="dxa"/>
              <w:right w:w="105" w:type="dxa"/>
            </w:tcMar>
            <w:vAlign w:val="top"/>
          </w:tcPr>
          <w:p w14:paraId="5F761E2E">
            <w:pPr>
              <w:pStyle w:val="6"/>
              <w:keepNext w:val="0"/>
              <w:keepLines w:val="0"/>
              <w:pageBreakBefore w:val="0"/>
              <w:widowControl/>
              <w:kinsoku/>
              <w:wordWrap/>
              <w:overflowPunct/>
              <w:topLinePunct w:val="0"/>
              <w:autoSpaceDE/>
              <w:autoSpaceDN/>
              <w:bidi w:val="0"/>
              <w:adjustRightInd/>
              <w:snapToGrid/>
              <w:spacing w:line="500" w:lineRule="exact"/>
              <w:ind w:firstLine="0"/>
              <w:jc w:val="center"/>
              <w:textAlignment w:val="auto"/>
              <w:rPr>
                <w:rFonts w:hint="eastAsia" w:ascii="宋体" w:hAnsi="宋体" w:eastAsia="宋体" w:cs="宋体"/>
                <w:sz w:val="24"/>
                <w:szCs w:val="24"/>
              </w:rPr>
            </w:pPr>
            <w:r>
              <w:rPr>
                <w:rFonts w:hint="eastAsia" w:ascii="宋体" w:hAnsi="宋体" w:eastAsia="宋体" w:cs="宋体"/>
                <w:b/>
                <w:color w:val="000000"/>
                <w:sz w:val="24"/>
                <w:szCs w:val="24"/>
              </w:rPr>
              <w:t>7.000000</w:t>
            </w:r>
          </w:p>
        </w:tc>
      </w:tr>
      <w:tr w14:paraId="509207BC">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99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2936CFBC">
            <w:pPr>
              <w:pStyle w:val="6"/>
              <w:keepNext w:val="0"/>
              <w:keepLines w:val="0"/>
              <w:pageBreakBefore w:val="0"/>
              <w:widowControl/>
              <w:kinsoku/>
              <w:wordWrap/>
              <w:overflowPunct/>
              <w:topLinePunct w:val="0"/>
              <w:autoSpaceDE/>
              <w:autoSpaceDN/>
              <w:bidi w:val="0"/>
              <w:adjustRightInd/>
              <w:snapToGrid/>
              <w:spacing w:line="500" w:lineRule="exact"/>
              <w:ind w:firstLine="0"/>
              <w:jc w:val="center"/>
              <w:textAlignment w:val="auto"/>
              <w:rPr>
                <w:rFonts w:hint="eastAsia" w:ascii="宋体" w:hAnsi="宋体" w:eastAsia="宋体" w:cs="宋体"/>
                <w:sz w:val="24"/>
                <w:szCs w:val="24"/>
              </w:rPr>
            </w:pPr>
            <w:r>
              <w:rPr>
                <w:rFonts w:hint="eastAsia" w:ascii="宋体" w:hAnsi="宋体" w:eastAsia="宋体" w:cs="宋体"/>
                <w:b/>
                <w:color w:val="000000"/>
                <w:sz w:val="24"/>
                <w:szCs w:val="24"/>
              </w:rPr>
              <w:t>3</w:t>
            </w:r>
          </w:p>
        </w:tc>
        <w:tc>
          <w:tcPr>
            <w:tcW w:w="3616" w:type="dxa"/>
            <w:tcBorders>
              <w:top w:val="nil"/>
              <w:left w:val="nil"/>
              <w:bottom w:val="single" w:color="000000" w:sz="4" w:space="0"/>
              <w:right w:val="single" w:color="000000" w:sz="4" w:space="0"/>
            </w:tcBorders>
            <w:tcMar>
              <w:top w:w="0" w:type="dxa"/>
              <w:left w:w="105" w:type="dxa"/>
              <w:bottom w:w="0" w:type="dxa"/>
              <w:right w:w="105" w:type="dxa"/>
            </w:tcMar>
            <w:vAlign w:val="top"/>
          </w:tcPr>
          <w:p w14:paraId="0F31C819">
            <w:pPr>
              <w:pStyle w:val="6"/>
              <w:keepNext w:val="0"/>
              <w:keepLines w:val="0"/>
              <w:pageBreakBefore w:val="0"/>
              <w:widowControl/>
              <w:kinsoku/>
              <w:wordWrap/>
              <w:overflowPunct/>
              <w:topLinePunct w:val="0"/>
              <w:autoSpaceDE/>
              <w:autoSpaceDN/>
              <w:bidi w:val="0"/>
              <w:adjustRightInd/>
              <w:snapToGrid/>
              <w:spacing w:line="500" w:lineRule="exact"/>
              <w:ind w:firstLine="0"/>
              <w:jc w:val="both"/>
              <w:textAlignment w:val="auto"/>
              <w:rPr>
                <w:rFonts w:hint="eastAsia" w:ascii="宋体" w:hAnsi="宋体" w:eastAsia="宋体" w:cs="宋体"/>
                <w:sz w:val="24"/>
                <w:szCs w:val="24"/>
              </w:rPr>
            </w:pPr>
            <w:r>
              <w:rPr>
                <w:rFonts w:hint="eastAsia" w:ascii="宋体" w:hAnsi="宋体" w:eastAsia="宋体" w:cs="宋体"/>
                <w:b/>
                <w:color w:val="000000"/>
                <w:sz w:val="24"/>
                <w:szCs w:val="24"/>
              </w:rPr>
              <w:t>省级精神卫生综合服务平台</w:t>
            </w:r>
          </w:p>
        </w:tc>
        <w:tc>
          <w:tcPr>
            <w:tcW w:w="1455" w:type="dxa"/>
            <w:tcBorders>
              <w:top w:val="nil"/>
              <w:left w:val="nil"/>
              <w:bottom w:val="single" w:color="000000" w:sz="4" w:space="0"/>
              <w:right w:val="single" w:color="000000" w:sz="4" w:space="0"/>
            </w:tcBorders>
            <w:tcMar>
              <w:top w:w="0" w:type="dxa"/>
              <w:left w:w="105" w:type="dxa"/>
              <w:bottom w:w="0" w:type="dxa"/>
              <w:right w:w="105" w:type="dxa"/>
            </w:tcMar>
            <w:vAlign w:val="top"/>
          </w:tcPr>
          <w:p w14:paraId="4BCFD010">
            <w:pPr>
              <w:pStyle w:val="6"/>
              <w:keepNext w:val="0"/>
              <w:keepLines w:val="0"/>
              <w:pageBreakBefore w:val="0"/>
              <w:widowControl/>
              <w:kinsoku/>
              <w:wordWrap/>
              <w:overflowPunct/>
              <w:topLinePunct w:val="0"/>
              <w:autoSpaceDE/>
              <w:autoSpaceDN/>
              <w:bidi w:val="0"/>
              <w:adjustRightInd/>
              <w:snapToGrid/>
              <w:spacing w:line="500" w:lineRule="exact"/>
              <w:ind w:firstLine="0"/>
              <w:jc w:val="both"/>
              <w:textAlignment w:val="auto"/>
              <w:rPr>
                <w:rFonts w:hint="eastAsia" w:ascii="宋体" w:hAnsi="宋体" w:eastAsia="宋体" w:cs="宋体"/>
                <w:sz w:val="24"/>
                <w:szCs w:val="24"/>
              </w:rPr>
            </w:pPr>
          </w:p>
        </w:tc>
        <w:tc>
          <w:tcPr>
            <w:tcW w:w="2359" w:type="dxa"/>
            <w:tcBorders>
              <w:top w:val="nil"/>
              <w:left w:val="nil"/>
              <w:bottom w:val="single" w:color="000000" w:sz="4" w:space="0"/>
              <w:right w:val="single" w:color="000000" w:sz="4" w:space="0"/>
            </w:tcBorders>
            <w:tcMar>
              <w:top w:w="0" w:type="dxa"/>
              <w:left w:w="105" w:type="dxa"/>
              <w:bottom w:w="0" w:type="dxa"/>
              <w:right w:w="105" w:type="dxa"/>
            </w:tcMar>
            <w:vAlign w:val="top"/>
          </w:tcPr>
          <w:p w14:paraId="3CB6EB80">
            <w:pPr>
              <w:pStyle w:val="6"/>
              <w:keepNext w:val="0"/>
              <w:keepLines w:val="0"/>
              <w:pageBreakBefore w:val="0"/>
              <w:widowControl/>
              <w:kinsoku/>
              <w:wordWrap/>
              <w:overflowPunct/>
              <w:topLinePunct w:val="0"/>
              <w:autoSpaceDE/>
              <w:autoSpaceDN/>
              <w:bidi w:val="0"/>
              <w:adjustRightInd/>
              <w:snapToGrid/>
              <w:spacing w:line="500" w:lineRule="exact"/>
              <w:ind w:firstLine="0"/>
              <w:jc w:val="center"/>
              <w:textAlignment w:val="auto"/>
              <w:rPr>
                <w:rFonts w:hint="eastAsia" w:ascii="宋体" w:hAnsi="宋体" w:eastAsia="宋体" w:cs="宋体"/>
                <w:sz w:val="24"/>
                <w:szCs w:val="24"/>
              </w:rPr>
            </w:pPr>
            <w:r>
              <w:rPr>
                <w:rFonts w:hint="eastAsia" w:ascii="宋体" w:hAnsi="宋体" w:eastAsia="宋体" w:cs="宋体"/>
                <w:color w:val="000000"/>
                <w:sz w:val="24"/>
                <w:szCs w:val="24"/>
              </w:rPr>
              <w:t>7.000000</w:t>
            </w:r>
          </w:p>
        </w:tc>
      </w:tr>
      <w:tr w14:paraId="3DD39FEF">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99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201583FB">
            <w:pPr>
              <w:pStyle w:val="6"/>
              <w:keepNext w:val="0"/>
              <w:keepLines w:val="0"/>
              <w:pageBreakBefore w:val="0"/>
              <w:widowControl/>
              <w:kinsoku/>
              <w:wordWrap/>
              <w:overflowPunct/>
              <w:topLinePunct w:val="0"/>
              <w:autoSpaceDE/>
              <w:autoSpaceDN/>
              <w:bidi w:val="0"/>
              <w:adjustRightInd/>
              <w:snapToGrid/>
              <w:spacing w:line="500" w:lineRule="exact"/>
              <w:ind w:firstLine="0"/>
              <w:jc w:val="center"/>
              <w:textAlignment w:val="auto"/>
              <w:rPr>
                <w:rFonts w:hint="eastAsia" w:ascii="宋体" w:hAnsi="宋体" w:eastAsia="宋体" w:cs="宋体"/>
                <w:sz w:val="24"/>
                <w:szCs w:val="24"/>
              </w:rPr>
            </w:pPr>
            <w:r>
              <w:rPr>
                <w:rFonts w:hint="eastAsia" w:ascii="宋体" w:hAnsi="宋体" w:eastAsia="宋体" w:cs="宋体"/>
                <w:color w:val="000000"/>
                <w:sz w:val="24"/>
                <w:szCs w:val="24"/>
              </w:rPr>
              <w:t>3.3</w:t>
            </w:r>
          </w:p>
        </w:tc>
        <w:tc>
          <w:tcPr>
            <w:tcW w:w="3616" w:type="dxa"/>
            <w:tcBorders>
              <w:top w:val="nil"/>
              <w:left w:val="nil"/>
              <w:bottom w:val="single" w:color="000000" w:sz="4" w:space="0"/>
              <w:right w:val="single" w:color="000000" w:sz="4" w:space="0"/>
            </w:tcBorders>
            <w:tcMar>
              <w:top w:w="0" w:type="dxa"/>
              <w:left w:w="105" w:type="dxa"/>
              <w:bottom w:w="0" w:type="dxa"/>
              <w:right w:w="105" w:type="dxa"/>
            </w:tcMar>
            <w:vAlign w:val="top"/>
          </w:tcPr>
          <w:p w14:paraId="1CD9DCDF">
            <w:pPr>
              <w:pStyle w:val="6"/>
              <w:keepNext w:val="0"/>
              <w:keepLines w:val="0"/>
              <w:pageBreakBefore w:val="0"/>
              <w:widowControl/>
              <w:kinsoku/>
              <w:wordWrap/>
              <w:overflowPunct/>
              <w:topLinePunct w:val="0"/>
              <w:autoSpaceDE/>
              <w:autoSpaceDN/>
              <w:bidi w:val="0"/>
              <w:adjustRightInd/>
              <w:snapToGrid/>
              <w:spacing w:line="500" w:lineRule="exact"/>
              <w:ind w:firstLine="0"/>
              <w:jc w:val="both"/>
              <w:textAlignment w:val="auto"/>
              <w:rPr>
                <w:rFonts w:hint="eastAsia" w:ascii="宋体" w:hAnsi="宋体" w:eastAsia="宋体" w:cs="宋体"/>
                <w:sz w:val="24"/>
                <w:szCs w:val="24"/>
              </w:rPr>
            </w:pPr>
            <w:r>
              <w:rPr>
                <w:rFonts w:hint="eastAsia" w:ascii="宋体" w:hAnsi="宋体" w:eastAsia="宋体" w:cs="宋体"/>
                <w:color w:val="000000"/>
                <w:sz w:val="24"/>
                <w:szCs w:val="24"/>
              </w:rPr>
              <w:t>心理援助热线系统</w:t>
            </w:r>
          </w:p>
        </w:tc>
        <w:tc>
          <w:tcPr>
            <w:tcW w:w="1455" w:type="dxa"/>
            <w:tcBorders>
              <w:top w:val="nil"/>
              <w:left w:val="nil"/>
              <w:bottom w:val="single" w:color="000000" w:sz="4" w:space="0"/>
              <w:right w:val="single" w:color="000000" w:sz="4" w:space="0"/>
            </w:tcBorders>
            <w:tcMar>
              <w:top w:w="0" w:type="dxa"/>
              <w:left w:w="105" w:type="dxa"/>
              <w:bottom w:w="0" w:type="dxa"/>
              <w:right w:w="105" w:type="dxa"/>
            </w:tcMar>
            <w:vAlign w:val="top"/>
          </w:tcPr>
          <w:p w14:paraId="0B792610">
            <w:pPr>
              <w:pStyle w:val="6"/>
              <w:keepNext w:val="0"/>
              <w:keepLines w:val="0"/>
              <w:pageBreakBefore w:val="0"/>
              <w:widowControl/>
              <w:kinsoku/>
              <w:wordWrap/>
              <w:overflowPunct/>
              <w:topLinePunct w:val="0"/>
              <w:autoSpaceDE/>
              <w:autoSpaceDN/>
              <w:bidi w:val="0"/>
              <w:adjustRightInd/>
              <w:snapToGrid/>
              <w:spacing w:line="500" w:lineRule="exact"/>
              <w:ind w:firstLine="0"/>
              <w:jc w:val="center"/>
              <w:textAlignment w:val="auto"/>
              <w:rPr>
                <w:rFonts w:hint="eastAsia" w:ascii="宋体" w:hAnsi="宋体" w:eastAsia="宋体" w:cs="宋体"/>
                <w:sz w:val="24"/>
                <w:szCs w:val="24"/>
              </w:rPr>
            </w:pPr>
          </w:p>
        </w:tc>
        <w:tc>
          <w:tcPr>
            <w:tcW w:w="2359" w:type="dxa"/>
            <w:tcBorders>
              <w:top w:val="nil"/>
              <w:left w:val="nil"/>
              <w:bottom w:val="single" w:color="000000" w:sz="4" w:space="0"/>
              <w:right w:val="single" w:color="000000" w:sz="4" w:space="0"/>
            </w:tcBorders>
            <w:tcMar>
              <w:top w:w="0" w:type="dxa"/>
              <w:left w:w="105" w:type="dxa"/>
              <w:bottom w:w="0" w:type="dxa"/>
              <w:right w:w="105" w:type="dxa"/>
            </w:tcMar>
            <w:vAlign w:val="top"/>
          </w:tcPr>
          <w:p w14:paraId="637E72D2">
            <w:pPr>
              <w:pStyle w:val="6"/>
              <w:keepNext w:val="0"/>
              <w:keepLines w:val="0"/>
              <w:pageBreakBefore w:val="0"/>
              <w:widowControl/>
              <w:kinsoku/>
              <w:wordWrap/>
              <w:overflowPunct/>
              <w:topLinePunct w:val="0"/>
              <w:autoSpaceDE/>
              <w:autoSpaceDN/>
              <w:bidi w:val="0"/>
              <w:adjustRightInd/>
              <w:snapToGrid/>
              <w:spacing w:line="500" w:lineRule="exact"/>
              <w:ind w:firstLine="0"/>
              <w:jc w:val="center"/>
              <w:textAlignment w:val="auto"/>
              <w:rPr>
                <w:rFonts w:hint="eastAsia" w:ascii="宋体" w:hAnsi="宋体" w:eastAsia="宋体" w:cs="宋体"/>
                <w:sz w:val="24"/>
                <w:szCs w:val="24"/>
              </w:rPr>
            </w:pPr>
            <w:r>
              <w:rPr>
                <w:rFonts w:hint="eastAsia" w:ascii="宋体" w:hAnsi="宋体" w:eastAsia="宋体" w:cs="宋体"/>
                <w:color w:val="000000"/>
                <w:sz w:val="24"/>
                <w:szCs w:val="24"/>
              </w:rPr>
              <w:t>7.000000</w:t>
            </w:r>
          </w:p>
        </w:tc>
      </w:tr>
      <w:tr w14:paraId="3A1AF06E">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99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085256CE">
            <w:pPr>
              <w:pStyle w:val="6"/>
              <w:keepNext w:val="0"/>
              <w:keepLines w:val="0"/>
              <w:pageBreakBefore w:val="0"/>
              <w:widowControl/>
              <w:kinsoku/>
              <w:wordWrap/>
              <w:overflowPunct/>
              <w:topLinePunct w:val="0"/>
              <w:autoSpaceDE/>
              <w:autoSpaceDN/>
              <w:bidi w:val="0"/>
              <w:adjustRightInd/>
              <w:snapToGrid/>
              <w:spacing w:line="500" w:lineRule="exact"/>
              <w:ind w:firstLine="0"/>
              <w:jc w:val="center"/>
              <w:textAlignment w:val="auto"/>
              <w:rPr>
                <w:rFonts w:hint="eastAsia" w:ascii="宋体" w:hAnsi="宋体" w:eastAsia="宋体" w:cs="宋体"/>
                <w:sz w:val="24"/>
                <w:szCs w:val="24"/>
              </w:rPr>
            </w:pPr>
            <w:r>
              <w:rPr>
                <w:rFonts w:hint="eastAsia" w:ascii="宋体" w:hAnsi="宋体" w:eastAsia="宋体" w:cs="宋体"/>
                <w:color w:val="000000"/>
                <w:sz w:val="24"/>
                <w:szCs w:val="24"/>
              </w:rPr>
              <w:t>3.3.3</w:t>
            </w:r>
          </w:p>
        </w:tc>
        <w:tc>
          <w:tcPr>
            <w:tcW w:w="3616" w:type="dxa"/>
            <w:tcBorders>
              <w:top w:val="nil"/>
              <w:left w:val="nil"/>
              <w:bottom w:val="single" w:color="000000" w:sz="4" w:space="0"/>
              <w:right w:val="single" w:color="000000" w:sz="4" w:space="0"/>
            </w:tcBorders>
            <w:tcMar>
              <w:top w:w="0" w:type="dxa"/>
              <w:left w:w="105" w:type="dxa"/>
              <w:bottom w:w="0" w:type="dxa"/>
              <w:right w:w="105" w:type="dxa"/>
            </w:tcMar>
            <w:vAlign w:val="top"/>
          </w:tcPr>
          <w:p w14:paraId="6D7FFA73">
            <w:pPr>
              <w:pStyle w:val="6"/>
              <w:keepNext w:val="0"/>
              <w:keepLines w:val="0"/>
              <w:pageBreakBefore w:val="0"/>
              <w:widowControl/>
              <w:kinsoku/>
              <w:wordWrap/>
              <w:overflowPunct/>
              <w:topLinePunct w:val="0"/>
              <w:autoSpaceDE/>
              <w:autoSpaceDN/>
              <w:bidi w:val="0"/>
              <w:adjustRightInd/>
              <w:snapToGrid/>
              <w:spacing w:line="500" w:lineRule="exact"/>
              <w:ind w:firstLine="0"/>
              <w:jc w:val="both"/>
              <w:textAlignment w:val="auto"/>
              <w:rPr>
                <w:rFonts w:hint="eastAsia" w:ascii="宋体" w:hAnsi="宋体" w:eastAsia="宋体" w:cs="宋体"/>
                <w:sz w:val="24"/>
                <w:szCs w:val="24"/>
              </w:rPr>
            </w:pPr>
            <w:r>
              <w:rPr>
                <w:rFonts w:hint="eastAsia" w:ascii="宋体" w:hAnsi="宋体" w:eastAsia="宋体" w:cs="宋体"/>
                <w:color w:val="000000"/>
                <w:sz w:val="24"/>
                <w:szCs w:val="24"/>
              </w:rPr>
              <w:t>会话边界控制器</w:t>
            </w:r>
          </w:p>
        </w:tc>
        <w:tc>
          <w:tcPr>
            <w:tcW w:w="1455" w:type="dxa"/>
            <w:tcBorders>
              <w:top w:val="nil"/>
              <w:left w:val="nil"/>
              <w:bottom w:val="single" w:color="000000" w:sz="4" w:space="0"/>
              <w:right w:val="single" w:color="000000" w:sz="4" w:space="0"/>
            </w:tcBorders>
            <w:tcMar>
              <w:top w:w="0" w:type="dxa"/>
              <w:left w:w="105" w:type="dxa"/>
              <w:bottom w:w="0" w:type="dxa"/>
              <w:right w:w="105" w:type="dxa"/>
            </w:tcMar>
            <w:vAlign w:val="top"/>
          </w:tcPr>
          <w:p w14:paraId="47DF16A7">
            <w:pPr>
              <w:pStyle w:val="6"/>
              <w:keepNext w:val="0"/>
              <w:keepLines w:val="0"/>
              <w:pageBreakBefore w:val="0"/>
              <w:widowControl/>
              <w:kinsoku/>
              <w:wordWrap/>
              <w:overflowPunct/>
              <w:topLinePunct w:val="0"/>
              <w:autoSpaceDE/>
              <w:autoSpaceDN/>
              <w:bidi w:val="0"/>
              <w:adjustRightInd/>
              <w:snapToGrid/>
              <w:spacing w:line="500" w:lineRule="exact"/>
              <w:ind w:firstLine="0"/>
              <w:jc w:val="center"/>
              <w:textAlignment w:val="auto"/>
              <w:rPr>
                <w:rFonts w:hint="eastAsia" w:ascii="宋体" w:hAnsi="宋体" w:eastAsia="宋体" w:cs="宋体"/>
                <w:sz w:val="24"/>
                <w:szCs w:val="24"/>
              </w:rPr>
            </w:pPr>
            <w:r>
              <w:rPr>
                <w:rFonts w:hint="eastAsia" w:ascii="宋体" w:hAnsi="宋体" w:eastAsia="宋体" w:cs="宋体"/>
                <w:color w:val="000000"/>
                <w:sz w:val="24"/>
                <w:szCs w:val="24"/>
              </w:rPr>
              <w:t>2台</w:t>
            </w:r>
          </w:p>
        </w:tc>
        <w:tc>
          <w:tcPr>
            <w:tcW w:w="2359" w:type="dxa"/>
            <w:tcBorders>
              <w:top w:val="nil"/>
              <w:left w:val="nil"/>
              <w:bottom w:val="single" w:color="000000" w:sz="4" w:space="0"/>
              <w:right w:val="single" w:color="000000" w:sz="4" w:space="0"/>
            </w:tcBorders>
            <w:tcMar>
              <w:top w:w="0" w:type="dxa"/>
              <w:left w:w="105" w:type="dxa"/>
              <w:bottom w:w="0" w:type="dxa"/>
              <w:right w:w="105" w:type="dxa"/>
            </w:tcMar>
            <w:vAlign w:val="top"/>
          </w:tcPr>
          <w:p w14:paraId="35633DB3">
            <w:pPr>
              <w:pStyle w:val="6"/>
              <w:keepNext w:val="0"/>
              <w:keepLines w:val="0"/>
              <w:pageBreakBefore w:val="0"/>
              <w:widowControl/>
              <w:kinsoku/>
              <w:wordWrap/>
              <w:overflowPunct/>
              <w:topLinePunct w:val="0"/>
              <w:autoSpaceDE/>
              <w:autoSpaceDN/>
              <w:bidi w:val="0"/>
              <w:adjustRightInd/>
              <w:snapToGrid/>
              <w:spacing w:line="500" w:lineRule="exact"/>
              <w:ind w:firstLine="0"/>
              <w:jc w:val="center"/>
              <w:textAlignment w:val="auto"/>
              <w:rPr>
                <w:rFonts w:hint="eastAsia" w:ascii="宋体" w:hAnsi="宋体" w:eastAsia="宋体" w:cs="宋体"/>
                <w:sz w:val="24"/>
                <w:szCs w:val="24"/>
              </w:rPr>
            </w:pPr>
            <w:r>
              <w:rPr>
                <w:rFonts w:hint="eastAsia" w:ascii="宋体" w:hAnsi="宋体" w:eastAsia="宋体" w:cs="宋体"/>
                <w:color w:val="000000"/>
                <w:sz w:val="24"/>
                <w:szCs w:val="24"/>
              </w:rPr>
              <w:t>7.000000</w:t>
            </w:r>
          </w:p>
        </w:tc>
      </w:tr>
      <w:tr w14:paraId="51323A50">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99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5DE7F98D">
            <w:pPr>
              <w:pStyle w:val="6"/>
              <w:keepNext w:val="0"/>
              <w:keepLines w:val="0"/>
              <w:pageBreakBefore w:val="0"/>
              <w:widowControl/>
              <w:kinsoku/>
              <w:wordWrap/>
              <w:overflowPunct/>
              <w:topLinePunct w:val="0"/>
              <w:autoSpaceDE/>
              <w:autoSpaceDN/>
              <w:bidi w:val="0"/>
              <w:adjustRightInd/>
              <w:snapToGrid/>
              <w:spacing w:line="500" w:lineRule="exact"/>
              <w:ind w:firstLine="0"/>
              <w:jc w:val="center"/>
              <w:textAlignment w:val="auto"/>
              <w:rPr>
                <w:rFonts w:hint="eastAsia" w:ascii="宋体" w:hAnsi="宋体" w:eastAsia="宋体" w:cs="宋体"/>
                <w:sz w:val="24"/>
                <w:szCs w:val="24"/>
              </w:rPr>
            </w:pPr>
            <w:r>
              <w:rPr>
                <w:rFonts w:hint="eastAsia" w:ascii="宋体" w:hAnsi="宋体" w:eastAsia="宋体" w:cs="宋体"/>
                <w:b/>
                <w:color w:val="000000"/>
                <w:sz w:val="24"/>
                <w:szCs w:val="24"/>
              </w:rPr>
              <w:t>二</w:t>
            </w:r>
          </w:p>
        </w:tc>
        <w:tc>
          <w:tcPr>
            <w:tcW w:w="3616" w:type="dxa"/>
            <w:tcBorders>
              <w:top w:val="nil"/>
              <w:left w:val="nil"/>
              <w:bottom w:val="single" w:color="000000" w:sz="4" w:space="0"/>
              <w:right w:val="single" w:color="000000" w:sz="4" w:space="0"/>
            </w:tcBorders>
            <w:tcMar>
              <w:top w:w="0" w:type="dxa"/>
              <w:left w:w="105" w:type="dxa"/>
              <w:bottom w:w="0" w:type="dxa"/>
              <w:right w:w="105" w:type="dxa"/>
            </w:tcMar>
            <w:vAlign w:val="top"/>
          </w:tcPr>
          <w:p w14:paraId="0825ABF8">
            <w:pPr>
              <w:pStyle w:val="6"/>
              <w:keepNext w:val="0"/>
              <w:keepLines w:val="0"/>
              <w:pageBreakBefore w:val="0"/>
              <w:widowControl/>
              <w:kinsoku/>
              <w:wordWrap/>
              <w:overflowPunct/>
              <w:topLinePunct w:val="0"/>
              <w:autoSpaceDE/>
              <w:autoSpaceDN/>
              <w:bidi w:val="0"/>
              <w:adjustRightInd/>
              <w:snapToGrid/>
              <w:spacing w:line="500" w:lineRule="exact"/>
              <w:ind w:firstLine="0"/>
              <w:jc w:val="both"/>
              <w:textAlignment w:val="auto"/>
              <w:rPr>
                <w:rFonts w:hint="eastAsia" w:ascii="宋体" w:hAnsi="宋体" w:eastAsia="宋体" w:cs="宋体"/>
                <w:sz w:val="24"/>
                <w:szCs w:val="24"/>
              </w:rPr>
            </w:pPr>
            <w:r>
              <w:rPr>
                <w:rFonts w:hint="eastAsia" w:ascii="宋体" w:hAnsi="宋体" w:eastAsia="宋体" w:cs="宋体"/>
                <w:b/>
                <w:color w:val="000000"/>
                <w:sz w:val="24"/>
                <w:szCs w:val="24"/>
              </w:rPr>
              <w:t>存储、交换机、数据备份、智慧医院建设配套硬件等</w:t>
            </w:r>
          </w:p>
        </w:tc>
        <w:tc>
          <w:tcPr>
            <w:tcW w:w="1455" w:type="dxa"/>
            <w:tcBorders>
              <w:top w:val="nil"/>
              <w:left w:val="nil"/>
              <w:bottom w:val="single" w:color="000000" w:sz="4" w:space="0"/>
              <w:right w:val="single" w:color="000000" w:sz="4" w:space="0"/>
            </w:tcBorders>
            <w:tcMar>
              <w:top w:w="0" w:type="dxa"/>
              <w:left w:w="105" w:type="dxa"/>
              <w:bottom w:w="0" w:type="dxa"/>
              <w:right w:w="105" w:type="dxa"/>
            </w:tcMar>
            <w:vAlign w:val="top"/>
          </w:tcPr>
          <w:p w14:paraId="75704E99">
            <w:pPr>
              <w:pStyle w:val="6"/>
              <w:keepNext w:val="0"/>
              <w:keepLines w:val="0"/>
              <w:pageBreakBefore w:val="0"/>
              <w:widowControl/>
              <w:kinsoku/>
              <w:wordWrap/>
              <w:overflowPunct/>
              <w:topLinePunct w:val="0"/>
              <w:autoSpaceDE/>
              <w:autoSpaceDN/>
              <w:bidi w:val="0"/>
              <w:adjustRightInd/>
              <w:snapToGrid/>
              <w:spacing w:line="500" w:lineRule="exact"/>
              <w:ind w:firstLine="0"/>
              <w:jc w:val="center"/>
              <w:textAlignment w:val="auto"/>
              <w:rPr>
                <w:rFonts w:hint="eastAsia" w:ascii="宋体" w:hAnsi="宋体" w:eastAsia="宋体" w:cs="宋体"/>
                <w:sz w:val="24"/>
                <w:szCs w:val="24"/>
              </w:rPr>
            </w:pPr>
          </w:p>
        </w:tc>
        <w:tc>
          <w:tcPr>
            <w:tcW w:w="2359" w:type="dxa"/>
            <w:tcBorders>
              <w:top w:val="nil"/>
              <w:left w:val="nil"/>
              <w:bottom w:val="single" w:color="000000" w:sz="4" w:space="0"/>
              <w:right w:val="single" w:color="000000" w:sz="4" w:space="0"/>
            </w:tcBorders>
            <w:tcMar>
              <w:top w:w="0" w:type="dxa"/>
              <w:left w:w="105" w:type="dxa"/>
              <w:bottom w:w="0" w:type="dxa"/>
              <w:right w:w="105" w:type="dxa"/>
            </w:tcMar>
            <w:vAlign w:val="top"/>
          </w:tcPr>
          <w:p w14:paraId="282E1B96">
            <w:pPr>
              <w:pStyle w:val="6"/>
              <w:keepNext w:val="0"/>
              <w:keepLines w:val="0"/>
              <w:pageBreakBefore w:val="0"/>
              <w:widowControl/>
              <w:kinsoku/>
              <w:wordWrap/>
              <w:overflowPunct/>
              <w:topLinePunct w:val="0"/>
              <w:autoSpaceDE/>
              <w:autoSpaceDN/>
              <w:bidi w:val="0"/>
              <w:adjustRightInd/>
              <w:snapToGrid/>
              <w:spacing w:line="500" w:lineRule="exact"/>
              <w:ind w:firstLine="0"/>
              <w:jc w:val="center"/>
              <w:textAlignment w:val="auto"/>
              <w:rPr>
                <w:rFonts w:hint="eastAsia" w:ascii="宋体" w:hAnsi="宋体" w:eastAsia="宋体" w:cs="宋体"/>
                <w:sz w:val="24"/>
                <w:szCs w:val="24"/>
              </w:rPr>
            </w:pPr>
            <w:r>
              <w:rPr>
                <w:rFonts w:hint="eastAsia" w:ascii="宋体" w:hAnsi="宋体" w:eastAsia="宋体" w:cs="宋体"/>
                <w:b/>
                <w:color w:val="000000"/>
                <w:sz w:val="24"/>
                <w:szCs w:val="24"/>
              </w:rPr>
              <w:t>392.700000</w:t>
            </w:r>
          </w:p>
        </w:tc>
      </w:tr>
      <w:tr w14:paraId="0B519225">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99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7CB1D410">
            <w:pPr>
              <w:pStyle w:val="6"/>
              <w:keepNext w:val="0"/>
              <w:keepLines w:val="0"/>
              <w:pageBreakBefore w:val="0"/>
              <w:widowControl/>
              <w:kinsoku/>
              <w:wordWrap/>
              <w:overflowPunct/>
              <w:topLinePunct w:val="0"/>
              <w:autoSpaceDE/>
              <w:autoSpaceDN/>
              <w:bidi w:val="0"/>
              <w:adjustRightInd/>
              <w:snapToGrid/>
              <w:spacing w:line="500" w:lineRule="exact"/>
              <w:ind w:firstLine="0"/>
              <w:jc w:val="center"/>
              <w:textAlignment w:val="auto"/>
              <w:rPr>
                <w:rFonts w:hint="eastAsia" w:ascii="宋体" w:hAnsi="宋体" w:eastAsia="宋体" w:cs="宋体"/>
                <w:sz w:val="24"/>
                <w:szCs w:val="24"/>
              </w:rPr>
            </w:pPr>
            <w:r>
              <w:rPr>
                <w:rFonts w:hint="eastAsia" w:ascii="宋体" w:hAnsi="宋体" w:eastAsia="宋体" w:cs="宋体"/>
                <w:b/>
                <w:color w:val="000000"/>
                <w:sz w:val="24"/>
                <w:szCs w:val="24"/>
              </w:rPr>
              <w:t>1</w:t>
            </w:r>
          </w:p>
        </w:tc>
        <w:tc>
          <w:tcPr>
            <w:tcW w:w="3616" w:type="dxa"/>
            <w:tcBorders>
              <w:top w:val="nil"/>
              <w:left w:val="nil"/>
              <w:bottom w:val="single" w:color="000000" w:sz="4" w:space="0"/>
              <w:right w:val="single" w:color="000000" w:sz="4" w:space="0"/>
            </w:tcBorders>
            <w:tcMar>
              <w:top w:w="0" w:type="dxa"/>
              <w:left w:w="105" w:type="dxa"/>
              <w:bottom w:w="0" w:type="dxa"/>
              <w:right w:w="105" w:type="dxa"/>
            </w:tcMar>
            <w:vAlign w:val="top"/>
          </w:tcPr>
          <w:p w14:paraId="2BD9E930">
            <w:pPr>
              <w:pStyle w:val="6"/>
              <w:keepNext w:val="0"/>
              <w:keepLines w:val="0"/>
              <w:pageBreakBefore w:val="0"/>
              <w:widowControl/>
              <w:kinsoku/>
              <w:wordWrap/>
              <w:overflowPunct/>
              <w:topLinePunct w:val="0"/>
              <w:autoSpaceDE/>
              <w:autoSpaceDN/>
              <w:bidi w:val="0"/>
              <w:adjustRightInd/>
              <w:snapToGrid/>
              <w:spacing w:line="500" w:lineRule="exact"/>
              <w:ind w:firstLine="0"/>
              <w:jc w:val="both"/>
              <w:textAlignment w:val="auto"/>
              <w:rPr>
                <w:rFonts w:hint="eastAsia" w:ascii="宋体" w:hAnsi="宋体" w:eastAsia="宋体" w:cs="宋体"/>
                <w:sz w:val="24"/>
                <w:szCs w:val="24"/>
              </w:rPr>
            </w:pPr>
            <w:r>
              <w:rPr>
                <w:rFonts w:hint="eastAsia" w:ascii="宋体" w:hAnsi="宋体" w:eastAsia="宋体" w:cs="宋体"/>
                <w:b/>
                <w:color w:val="000000"/>
                <w:sz w:val="24"/>
                <w:szCs w:val="24"/>
              </w:rPr>
              <w:t>网络系统</w:t>
            </w:r>
          </w:p>
        </w:tc>
        <w:tc>
          <w:tcPr>
            <w:tcW w:w="1455" w:type="dxa"/>
            <w:tcBorders>
              <w:top w:val="nil"/>
              <w:left w:val="nil"/>
              <w:bottom w:val="single" w:color="000000" w:sz="4" w:space="0"/>
              <w:right w:val="single" w:color="000000" w:sz="4" w:space="0"/>
            </w:tcBorders>
            <w:tcMar>
              <w:top w:w="0" w:type="dxa"/>
              <w:left w:w="105" w:type="dxa"/>
              <w:bottom w:w="0" w:type="dxa"/>
              <w:right w:w="105" w:type="dxa"/>
            </w:tcMar>
            <w:vAlign w:val="top"/>
          </w:tcPr>
          <w:p w14:paraId="78873C76">
            <w:pPr>
              <w:pStyle w:val="6"/>
              <w:keepNext w:val="0"/>
              <w:keepLines w:val="0"/>
              <w:pageBreakBefore w:val="0"/>
              <w:widowControl/>
              <w:kinsoku/>
              <w:wordWrap/>
              <w:overflowPunct/>
              <w:topLinePunct w:val="0"/>
              <w:autoSpaceDE/>
              <w:autoSpaceDN/>
              <w:bidi w:val="0"/>
              <w:adjustRightInd/>
              <w:snapToGrid/>
              <w:spacing w:line="500" w:lineRule="exact"/>
              <w:ind w:firstLine="0"/>
              <w:jc w:val="center"/>
              <w:textAlignment w:val="auto"/>
              <w:rPr>
                <w:rFonts w:hint="eastAsia" w:ascii="宋体" w:hAnsi="宋体" w:eastAsia="宋体" w:cs="宋体"/>
                <w:sz w:val="24"/>
                <w:szCs w:val="24"/>
              </w:rPr>
            </w:pPr>
          </w:p>
        </w:tc>
        <w:tc>
          <w:tcPr>
            <w:tcW w:w="2359" w:type="dxa"/>
            <w:tcBorders>
              <w:top w:val="nil"/>
              <w:left w:val="nil"/>
              <w:bottom w:val="single" w:color="000000" w:sz="4" w:space="0"/>
              <w:right w:val="single" w:color="000000" w:sz="4" w:space="0"/>
            </w:tcBorders>
            <w:tcMar>
              <w:top w:w="0" w:type="dxa"/>
              <w:left w:w="105" w:type="dxa"/>
              <w:bottom w:w="0" w:type="dxa"/>
              <w:right w:w="105" w:type="dxa"/>
            </w:tcMar>
            <w:vAlign w:val="top"/>
          </w:tcPr>
          <w:p w14:paraId="172E91A7">
            <w:pPr>
              <w:pStyle w:val="6"/>
              <w:keepNext w:val="0"/>
              <w:keepLines w:val="0"/>
              <w:pageBreakBefore w:val="0"/>
              <w:widowControl/>
              <w:kinsoku/>
              <w:wordWrap/>
              <w:overflowPunct/>
              <w:topLinePunct w:val="0"/>
              <w:autoSpaceDE/>
              <w:autoSpaceDN/>
              <w:bidi w:val="0"/>
              <w:adjustRightInd/>
              <w:snapToGrid/>
              <w:spacing w:line="500" w:lineRule="exact"/>
              <w:ind w:firstLine="0"/>
              <w:jc w:val="center"/>
              <w:textAlignment w:val="auto"/>
              <w:rPr>
                <w:rFonts w:hint="eastAsia" w:ascii="宋体" w:hAnsi="宋体" w:eastAsia="宋体" w:cs="宋体"/>
                <w:sz w:val="24"/>
                <w:szCs w:val="24"/>
              </w:rPr>
            </w:pPr>
            <w:r>
              <w:rPr>
                <w:rFonts w:hint="eastAsia" w:ascii="宋体" w:hAnsi="宋体" w:eastAsia="宋体" w:cs="宋体"/>
                <w:b/>
                <w:color w:val="000000"/>
                <w:sz w:val="24"/>
                <w:szCs w:val="24"/>
              </w:rPr>
              <w:t>51.000000</w:t>
            </w:r>
          </w:p>
        </w:tc>
      </w:tr>
      <w:tr w14:paraId="6E9E1508">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99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E862C45">
            <w:pPr>
              <w:pStyle w:val="6"/>
              <w:keepNext w:val="0"/>
              <w:keepLines w:val="0"/>
              <w:pageBreakBefore w:val="0"/>
              <w:widowControl/>
              <w:kinsoku/>
              <w:wordWrap/>
              <w:overflowPunct/>
              <w:topLinePunct w:val="0"/>
              <w:autoSpaceDE/>
              <w:autoSpaceDN/>
              <w:bidi w:val="0"/>
              <w:adjustRightInd/>
              <w:snapToGrid/>
              <w:spacing w:line="500" w:lineRule="exact"/>
              <w:ind w:firstLine="0"/>
              <w:jc w:val="center"/>
              <w:textAlignment w:val="auto"/>
              <w:rPr>
                <w:rFonts w:hint="eastAsia" w:ascii="宋体" w:hAnsi="宋体" w:eastAsia="宋体" w:cs="宋体"/>
                <w:sz w:val="24"/>
                <w:szCs w:val="24"/>
              </w:rPr>
            </w:pPr>
            <w:r>
              <w:rPr>
                <w:rFonts w:hint="eastAsia" w:ascii="宋体" w:hAnsi="宋体" w:eastAsia="宋体" w:cs="宋体"/>
                <w:color w:val="000000"/>
                <w:sz w:val="24"/>
                <w:szCs w:val="24"/>
              </w:rPr>
              <w:t>1.1</w:t>
            </w:r>
          </w:p>
        </w:tc>
        <w:tc>
          <w:tcPr>
            <w:tcW w:w="3616" w:type="dxa"/>
            <w:tcBorders>
              <w:top w:val="nil"/>
              <w:left w:val="nil"/>
              <w:bottom w:val="single" w:color="000000" w:sz="4" w:space="0"/>
              <w:right w:val="single" w:color="000000" w:sz="4" w:space="0"/>
            </w:tcBorders>
            <w:tcMar>
              <w:top w:w="0" w:type="dxa"/>
              <w:left w:w="105" w:type="dxa"/>
              <w:bottom w:w="0" w:type="dxa"/>
              <w:right w:w="105" w:type="dxa"/>
            </w:tcMar>
            <w:vAlign w:val="top"/>
          </w:tcPr>
          <w:p w14:paraId="2FBD061A">
            <w:pPr>
              <w:pStyle w:val="6"/>
              <w:keepNext w:val="0"/>
              <w:keepLines w:val="0"/>
              <w:pageBreakBefore w:val="0"/>
              <w:widowControl/>
              <w:kinsoku/>
              <w:wordWrap/>
              <w:overflowPunct/>
              <w:topLinePunct w:val="0"/>
              <w:autoSpaceDE/>
              <w:autoSpaceDN/>
              <w:bidi w:val="0"/>
              <w:adjustRightInd/>
              <w:snapToGrid/>
              <w:spacing w:line="500" w:lineRule="exact"/>
              <w:ind w:firstLine="0"/>
              <w:jc w:val="both"/>
              <w:textAlignment w:val="auto"/>
              <w:rPr>
                <w:rFonts w:hint="eastAsia" w:ascii="宋体" w:hAnsi="宋体" w:eastAsia="宋体" w:cs="宋体"/>
                <w:sz w:val="24"/>
                <w:szCs w:val="24"/>
              </w:rPr>
            </w:pPr>
            <w:r>
              <w:rPr>
                <w:rFonts w:hint="eastAsia" w:ascii="宋体" w:hAnsi="宋体" w:eastAsia="宋体" w:cs="宋体"/>
                <w:color w:val="000000"/>
                <w:sz w:val="24"/>
                <w:szCs w:val="24"/>
              </w:rPr>
              <w:t>外网数据中心交换机</w:t>
            </w:r>
          </w:p>
        </w:tc>
        <w:tc>
          <w:tcPr>
            <w:tcW w:w="1455" w:type="dxa"/>
            <w:tcBorders>
              <w:top w:val="nil"/>
              <w:left w:val="nil"/>
              <w:bottom w:val="single" w:color="000000" w:sz="4" w:space="0"/>
              <w:right w:val="single" w:color="000000" w:sz="4" w:space="0"/>
            </w:tcBorders>
            <w:tcMar>
              <w:top w:w="0" w:type="dxa"/>
              <w:left w:w="105" w:type="dxa"/>
              <w:bottom w:w="0" w:type="dxa"/>
              <w:right w:w="105" w:type="dxa"/>
            </w:tcMar>
            <w:vAlign w:val="top"/>
          </w:tcPr>
          <w:p w14:paraId="00F7A09C">
            <w:pPr>
              <w:pStyle w:val="6"/>
              <w:keepNext w:val="0"/>
              <w:keepLines w:val="0"/>
              <w:pageBreakBefore w:val="0"/>
              <w:widowControl/>
              <w:kinsoku/>
              <w:wordWrap/>
              <w:overflowPunct/>
              <w:topLinePunct w:val="0"/>
              <w:autoSpaceDE/>
              <w:autoSpaceDN/>
              <w:bidi w:val="0"/>
              <w:adjustRightInd/>
              <w:snapToGrid/>
              <w:spacing w:line="500" w:lineRule="exact"/>
              <w:ind w:firstLine="0"/>
              <w:jc w:val="center"/>
              <w:textAlignment w:val="auto"/>
              <w:rPr>
                <w:rFonts w:hint="eastAsia" w:ascii="宋体" w:hAnsi="宋体" w:eastAsia="宋体" w:cs="宋体"/>
                <w:sz w:val="24"/>
                <w:szCs w:val="24"/>
              </w:rPr>
            </w:pPr>
            <w:r>
              <w:rPr>
                <w:rFonts w:hint="eastAsia" w:ascii="宋体" w:hAnsi="宋体" w:eastAsia="宋体" w:cs="宋体"/>
                <w:color w:val="000000"/>
                <w:sz w:val="24"/>
                <w:szCs w:val="24"/>
              </w:rPr>
              <w:t>2台</w:t>
            </w:r>
          </w:p>
        </w:tc>
        <w:tc>
          <w:tcPr>
            <w:tcW w:w="2359" w:type="dxa"/>
            <w:tcBorders>
              <w:top w:val="nil"/>
              <w:left w:val="nil"/>
              <w:bottom w:val="single" w:color="000000" w:sz="4" w:space="0"/>
              <w:right w:val="single" w:color="000000" w:sz="4" w:space="0"/>
            </w:tcBorders>
            <w:tcMar>
              <w:top w:w="0" w:type="dxa"/>
              <w:left w:w="105" w:type="dxa"/>
              <w:bottom w:w="0" w:type="dxa"/>
              <w:right w:w="105" w:type="dxa"/>
            </w:tcMar>
            <w:vAlign w:val="top"/>
          </w:tcPr>
          <w:p w14:paraId="5FEE7544">
            <w:pPr>
              <w:pStyle w:val="6"/>
              <w:keepNext w:val="0"/>
              <w:keepLines w:val="0"/>
              <w:pageBreakBefore w:val="0"/>
              <w:widowControl/>
              <w:kinsoku/>
              <w:wordWrap/>
              <w:overflowPunct/>
              <w:topLinePunct w:val="0"/>
              <w:autoSpaceDE/>
              <w:autoSpaceDN/>
              <w:bidi w:val="0"/>
              <w:adjustRightInd/>
              <w:snapToGrid/>
              <w:spacing w:line="500" w:lineRule="exact"/>
              <w:ind w:firstLine="0"/>
              <w:jc w:val="center"/>
              <w:textAlignment w:val="auto"/>
              <w:rPr>
                <w:rFonts w:hint="eastAsia" w:ascii="宋体" w:hAnsi="宋体" w:eastAsia="宋体" w:cs="宋体"/>
                <w:sz w:val="24"/>
                <w:szCs w:val="24"/>
              </w:rPr>
            </w:pPr>
            <w:r>
              <w:rPr>
                <w:rFonts w:hint="eastAsia" w:ascii="宋体" w:hAnsi="宋体" w:eastAsia="宋体" w:cs="宋体"/>
                <w:color w:val="000000"/>
                <w:sz w:val="24"/>
                <w:szCs w:val="24"/>
              </w:rPr>
              <w:t>1.400000</w:t>
            </w:r>
          </w:p>
        </w:tc>
      </w:tr>
      <w:tr w14:paraId="505AD24B">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99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0480B59">
            <w:pPr>
              <w:pStyle w:val="6"/>
              <w:keepNext w:val="0"/>
              <w:keepLines w:val="0"/>
              <w:pageBreakBefore w:val="0"/>
              <w:widowControl/>
              <w:kinsoku/>
              <w:wordWrap/>
              <w:overflowPunct/>
              <w:topLinePunct w:val="0"/>
              <w:autoSpaceDE/>
              <w:autoSpaceDN/>
              <w:bidi w:val="0"/>
              <w:adjustRightInd/>
              <w:snapToGrid/>
              <w:spacing w:line="500" w:lineRule="exact"/>
              <w:ind w:firstLine="0"/>
              <w:jc w:val="center"/>
              <w:textAlignment w:val="auto"/>
              <w:rPr>
                <w:rFonts w:hint="eastAsia" w:ascii="宋体" w:hAnsi="宋体" w:eastAsia="宋体" w:cs="宋体"/>
                <w:sz w:val="24"/>
                <w:szCs w:val="24"/>
              </w:rPr>
            </w:pPr>
            <w:r>
              <w:rPr>
                <w:rFonts w:hint="eastAsia" w:ascii="宋体" w:hAnsi="宋体" w:eastAsia="宋体" w:cs="宋体"/>
                <w:color w:val="000000"/>
                <w:sz w:val="24"/>
                <w:szCs w:val="24"/>
              </w:rPr>
              <w:t>1.2</w:t>
            </w:r>
          </w:p>
        </w:tc>
        <w:tc>
          <w:tcPr>
            <w:tcW w:w="3616" w:type="dxa"/>
            <w:tcBorders>
              <w:top w:val="nil"/>
              <w:left w:val="nil"/>
              <w:bottom w:val="single" w:color="000000" w:sz="4" w:space="0"/>
              <w:right w:val="single" w:color="000000" w:sz="4" w:space="0"/>
            </w:tcBorders>
            <w:tcMar>
              <w:top w:w="0" w:type="dxa"/>
              <w:left w:w="105" w:type="dxa"/>
              <w:bottom w:w="0" w:type="dxa"/>
              <w:right w:w="105" w:type="dxa"/>
            </w:tcMar>
            <w:vAlign w:val="top"/>
          </w:tcPr>
          <w:p w14:paraId="4B3F0C3A">
            <w:pPr>
              <w:pStyle w:val="6"/>
              <w:keepNext w:val="0"/>
              <w:keepLines w:val="0"/>
              <w:pageBreakBefore w:val="0"/>
              <w:widowControl/>
              <w:kinsoku/>
              <w:wordWrap/>
              <w:overflowPunct/>
              <w:topLinePunct w:val="0"/>
              <w:autoSpaceDE/>
              <w:autoSpaceDN/>
              <w:bidi w:val="0"/>
              <w:adjustRightInd/>
              <w:snapToGrid/>
              <w:spacing w:line="500" w:lineRule="exact"/>
              <w:ind w:firstLine="0"/>
              <w:jc w:val="both"/>
              <w:textAlignment w:val="auto"/>
              <w:rPr>
                <w:rFonts w:hint="eastAsia" w:ascii="宋体" w:hAnsi="宋体" w:eastAsia="宋体" w:cs="宋体"/>
                <w:sz w:val="24"/>
                <w:szCs w:val="24"/>
              </w:rPr>
            </w:pPr>
            <w:r>
              <w:rPr>
                <w:rFonts w:hint="eastAsia" w:ascii="宋体" w:hAnsi="宋体" w:eastAsia="宋体" w:cs="宋体"/>
                <w:color w:val="000000"/>
                <w:sz w:val="24"/>
                <w:szCs w:val="24"/>
              </w:rPr>
              <w:t>外网运维管理接入交换机</w:t>
            </w:r>
          </w:p>
        </w:tc>
        <w:tc>
          <w:tcPr>
            <w:tcW w:w="1455" w:type="dxa"/>
            <w:tcBorders>
              <w:top w:val="nil"/>
              <w:left w:val="nil"/>
              <w:bottom w:val="single" w:color="000000" w:sz="4" w:space="0"/>
              <w:right w:val="single" w:color="000000" w:sz="4" w:space="0"/>
            </w:tcBorders>
            <w:tcMar>
              <w:top w:w="0" w:type="dxa"/>
              <w:left w:w="105" w:type="dxa"/>
              <w:bottom w:w="0" w:type="dxa"/>
              <w:right w:w="105" w:type="dxa"/>
            </w:tcMar>
            <w:vAlign w:val="top"/>
          </w:tcPr>
          <w:p w14:paraId="6209EDE2">
            <w:pPr>
              <w:pStyle w:val="6"/>
              <w:keepNext w:val="0"/>
              <w:keepLines w:val="0"/>
              <w:pageBreakBefore w:val="0"/>
              <w:widowControl/>
              <w:kinsoku/>
              <w:wordWrap/>
              <w:overflowPunct/>
              <w:topLinePunct w:val="0"/>
              <w:autoSpaceDE/>
              <w:autoSpaceDN/>
              <w:bidi w:val="0"/>
              <w:adjustRightInd/>
              <w:snapToGrid/>
              <w:spacing w:line="500" w:lineRule="exact"/>
              <w:ind w:firstLine="0"/>
              <w:jc w:val="center"/>
              <w:textAlignment w:val="auto"/>
              <w:rPr>
                <w:rFonts w:hint="eastAsia" w:ascii="宋体" w:hAnsi="宋体" w:eastAsia="宋体" w:cs="宋体"/>
                <w:sz w:val="24"/>
                <w:szCs w:val="24"/>
              </w:rPr>
            </w:pPr>
            <w:r>
              <w:rPr>
                <w:rFonts w:hint="eastAsia" w:ascii="宋体" w:hAnsi="宋体" w:eastAsia="宋体" w:cs="宋体"/>
                <w:color w:val="000000"/>
                <w:sz w:val="24"/>
                <w:szCs w:val="24"/>
              </w:rPr>
              <w:t>2台</w:t>
            </w:r>
          </w:p>
        </w:tc>
        <w:tc>
          <w:tcPr>
            <w:tcW w:w="2359" w:type="dxa"/>
            <w:tcBorders>
              <w:top w:val="nil"/>
              <w:left w:val="nil"/>
              <w:bottom w:val="single" w:color="000000" w:sz="4" w:space="0"/>
              <w:right w:val="single" w:color="000000" w:sz="4" w:space="0"/>
            </w:tcBorders>
            <w:tcMar>
              <w:top w:w="0" w:type="dxa"/>
              <w:left w:w="105" w:type="dxa"/>
              <w:bottom w:w="0" w:type="dxa"/>
              <w:right w:w="105" w:type="dxa"/>
            </w:tcMar>
            <w:vAlign w:val="top"/>
          </w:tcPr>
          <w:p w14:paraId="1E2B34B1">
            <w:pPr>
              <w:pStyle w:val="6"/>
              <w:keepNext w:val="0"/>
              <w:keepLines w:val="0"/>
              <w:pageBreakBefore w:val="0"/>
              <w:widowControl/>
              <w:kinsoku/>
              <w:wordWrap/>
              <w:overflowPunct/>
              <w:topLinePunct w:val="0"/>
              <w:autoSpaceDE/>
              <w:autoSpaceDN/>
              <w:bidi w:val="0"/>
              <w:adjustRightInd/>
              <w:snapToGrid/>
              <w:spacing w:line="500" w:lineRule="exact"/>
              <w:ind w:firstLine="0"/>
              <w:jc w:val="center"/>
              <w:textAlignment w:val="auto"/>
              <w:rPr>
                <w:rFonts w:hint="eastAsia" w:ascii="宋体" w:hAnsi="宋体" w:eastAsia="宋体" w:cs="宋体"/>
                <w:sz w:val="24"/>
                <w:szCs w:val="24"/>
              </w:rPr>
            </w:pPr>
            <w:r>
              <w:rPr>
                <w:rFonts w:hint="eastAsia" w:ascii="宋体" w:hAnsi="宋体" w:eastAsia="宋体" w:cs="宋体"/>
                <w:color w:val="000000"/>
                <w:sz w:val="24"/>
                <w:szCs w:val="24"/>
              </w:rPr>
              <w:t>0.800000</w:t>
            </w:r>
          </w:p>
        </w:tc>
      </w:tr>
      <w:tr w14:paraId="551EB305">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99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73966A0B">
            <w:pPr>
              <w:pStyle w:val="6"/>
              <w:keepNext w:val="0"/>
              <w:keepLines w:val="0"/>
              <w:pageBreakBefore w:val="0"/>
              <w:widowControl/>
              <w:kinsoku/>
              <w:wordWrap/>
              <w:overflowPunct/>
              <w:topLinePunct w:val="0"/>
              <w:autoSpaceDE/>
              <w:autoSpaceDN/>
              <w:bidi w:val="0"/>
              <w:adjustRightInd/>
              <w:snapToGrid/>
              <w:spacing w:line="500" w:lineRule="exact"/>
              <w:ind w:firstLine="0"/>
              <w:jc w:val="center"/>
              <w:textAlignment w:val="auto"/>
              <w:rPr>
                <w:rFonts w:hint="eastAsia" w:ascii="宋体" w:hAnsi="宋体" w:eastAsia="宋体" w:cs="宋体"/>
                <w:sz w:val="24"/>
                <w:szCs w:val="24"/>
              </w:rPr>
            </w:pPr>
            <w:r>
              <w:rPr>
                <w:rFonts w:hint="eastAsia" w:ascii="宋体" w:hAnsi="宋体" w:eastAsia="宋体" w:cs="宋体"/>
                <w:color w:val="000000"/>
                <w:sz w:val="24"/>
                <w:szCs w:val="24"/>
              </w:rPr>
              <w:t>1.3</w:t>
            </w:r>
          </w:p>
        </w:tc>
        <w:tc>
          <w:tcPr>
            <w:tcW w:w="3616" w:type="dxa"/>
            <w:tcBorders>
              <w:top w:val="nil"/>
              <w:left w:val="nil"/>
              <w:bottom w:val="single" w:color="000000" w:sz="4" w:space="0"/>
              <w:right w:val="single" w:color="000000" w:sz="4" w:space="0"/>
            </w:tcBorders>
            <w:tcMar>
              <w:top w:w="0" w:type="dxa"/>
              <w:left w:w="105" w:type="dxa"/>
              <w:bottom w:w="0" w:type="dxa"/>
              <w:right w:w="105" w:type="dxa"/>
            </w:tcMar>
            <w:vAlign w:val="top"/>
          </w:tcPr>
          <w:p w14:paraId="2234BCBE">
            <w:pPr>
              <w:pStyle w:val="6"/>
              <w:keepNext w:val="0"/>
              <w:keepLines w:val="0"/>
              <w:pageBreakBefore w:val="0"/>
              <w:widowControl/>
              <w:kinsoku/>
              <w:wordWrap/>
              <w:overflowPunct/>
              <w:topLinePunct w:val="0"/>
              <w:autoSpaceDE/>
              <w:autoSpaceDN/>
              <w:bidi w:val="0"/>
              <w:adjustRightInd/>
              <w:snapToGrid/>
              <w:spacing w:line="500" w:lineRule="exact"/>
              <w:ind w:firstLine="0"/>
              <w:jc w:val="both"/>
              <w:textAlignment w:val="auto"/>
              <w:rPr>
                <w:rFonts w:hint="eastAsia" w:ascii="宋体" w:hAnsi="宋体" w:eastAsia="宋体" w:cs="宋体"/>
                <w:sz w:val="24"/>
                <w:szCs w:val="24"/>
              </w:rPr>
            </w:pPr>
            <w:r>
              <w:rPr>
                <w:rFonts w:hint="eastAsia" w:ascii="宋体" w:hAnsi="宋体" w:eastAsia="宋体" w:cs="宋体"/>
                <w:color w:val="000000"/>
                <w:sz w:val="24"/>
                <w:szCs w:val="24"/>
              </w:rPr>
              <w:t>内网运维管理接入交换机</w:t>
            </w:r>
          </w:p>
        </w:tc>
        <w:tc>
          <w:tcPr>
            <w:tcW w:w="1455" w:type="dxa"/>
            <w:tcBorders>
              <w:top w:val="nil"/>
              <w:left w:val="nil"/>
              <w:bottom w:val="single" w:color="000000" w:sz="4" w:space="0"/>
              <w:right w:val="single" w:color="000000" w:sz="4" w:space="0"/>
            </w:tcBorders>
            <w:tcMar>
              <w:top w:w="0" w:type="dxa"/>
              <w:left w:w="105" w:type="dxa"/>
              <w:bottom w:w="0" w:type="dxa"/>
              <w:right w:w="105" w:type="dxa"/>
            </w:tcMar>
            <w:vAlign w:val="top"/>
          </w:tcPr>
          <w:p w14:paraId="1EB01C3B">
            <w:pPr>
              <w:pStyle w:val="6"/>
              <w:keepNext w:val="0"/>
              <w:keepLines w:val="0"/>
              <w:pageBreakBefore w:val="0"/>
              <w:widowControl/>
              <w:kinsoku/>
              <w:wordWrap/>
              <w:overflowPunct/>
              <w:topLinePunct w:val="0"/>
              <w:autoSpaceDE/>
              <w:autoSpaceDN/>
              <w:bidi w:val="0"/>
              <w:adjustRightInd/>
              <w:snapToGrid/>
              <w:spacing w:line="500" w:lineRule="exact"/>
              <w:ind w:firstLine="0"/>
              <w:jc w:val="center"/>
              <w:textAlignment w:val="auto"/>
              <w:rPr>
                <w:rFonts w:hint="eastAsia" w:ascii="宋体" w:hAnsi="宋体" w:eastAsia="宋体" w:cs="宋体"/>
                <w:sz w:val="24"/>
                <w:szCs w:val="24"/>
              </w:rPr>
            </w:pPr>
            <w:r>
              <w:rPr>
                <w:rFonts w:hint="eastAsia" w:ascii="宋体" w:hAnsi="宋体" w:eastAsia="宋体" w:cs="宋体"/>
                <w:color w:val="000000"/>
                <w:sz w:val="24"/>
                <w:szCs w:val="24"/>
              </w:rPr>
              <w:t>2台</w:t>
            </w:r>
          </w:p>
        </w:tc>
        <w:tc>
          <w:tcPr>
            <w:tcW w:w="2359" w:type="dxa"/>
            <w:tcBorders>
              <w:top w:val="nil"/>
              <w:left w:val="nil"/>
              <w:bottom w:val="single" w:color="000000" w:sz="4" w:space="0"/>
              <w:right w:val="single" w:color="000000" w:sz="4" w:space="0"/>
            </w:tcBorders>
            <w:tcMar>
              <w:top w:w="0" w:type="dxa"/>
              <w:left w:w="105" w:type="dxa"/>
              <w:bottom w:w="0" w:type="dxa"/>
              <w:right w:w="105" w:type="dxa"/>
            </w:tcMar>
            <w:vAlign w:val="top"/>
          </w:tcPr>
          <w:p w14:paraId="02F781A0">
            <w:pPr>
              <w:pStyle w:val="6"/>
              <w:keepNext w:val="0"/>
              <w:keepLines w:val="0"/>
              <w:pageBreakBefore w:val="0"/>
              <w:widowControl/>
              <w:kinsoku/>
              <w:wordWrap/>
              <w:overflowPunct/>
              <w:topLinePunct w:val="0"/>
              <w:autoSpaceDE/>
              <w:autoSpaceDN/>
              <w:bidi w:val="0"/>
              <w:adjustRightInd/>
              <w:snapToGrid/>
              <w:spacing w:line="500" w:lineRule="exact"/>
              <w:ind w:firstLine="0"/>
              <w:jc w:val="center"/>
              <w:textAlignment w:val="auto"/>
              <w:rPr>
                <w:rFonts w:hint="eastAsia" w:ascii="宋体" w:hAnsi="宋体" w:eastAsia="宋体" w:cs="宋体"/>
                <w:sz w:val="24"/>
                <w:szCs w:val="24"/>
              </w:rPr>
            </w:pPr>
            <w:r>
              <w:rPr>
                <w:rFonts w:hint="eastAsia" w:ascii="宋体" w:hAnsi="宋体" w:eastAsia="宋体" w:cs="宋体"/>
                <w:color w:val="000000"/>
                <w:sz w:val="24"/>
                <w:szCs w:val="24"/>
              </w:rPr>
              <w:t>0.800000</w:t>
            </w:r>
          </w:p>
        </w:tc>
      </w:tr>
      <w:tr w14:paraId="6D69A99F">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99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2A8DD726">
            <w:pPr>
              <w:pStyle w:val="6"/>
              <w:keepNext w:val="0"/>
              <w:keepLines w:val="0"/>
              <w:pageBreakBefore w:val="0"/>
              <w:widowControl/>
              <w:kinsoku/>
              <w:wordWrap/>
              <w:overflowPunct/>
              <w:topLinePunct w:val="0"/>
              <w:autoSpaceDE/>
              <w:autoSpaceDN/>
              <w:bidi w:val="0"/>
              <w:adjustRightInd/>
              <w:snapToGrid/>
              <w:spacing w:line="500" w:lineRule="exact"/>
              <w:ind w:firstLine="0"/>
              <w:jc w:val="center"/>
              <w:textAlignment w:val="auto"/>
              <w:rPr>
                <w:rFonts w:hint="eastAsia" w:ascii="宋体" w:hAnsi="宋体" w:eastAsia="宋体" w:cs="宋体"/>
                <w:sz w:val="24"/>
                <w:szCs w:val="24"/>
              </w:rPr>
            </w:pPr>
            <w:r>
              <w:rPr>
                <w:rFonts w:hint="eastAsia" w:ascii="宋体" w:hAnsi="宋体" w:eastAsia="宋体" w:cs="宋体"/>
                <w:color w:val="000000"/>
                <w:sz w:val="24"/>
                <w:szCs w:val="24"/>
              </w:rPr>
              <w:t>1.4</w:t>
            </w:r>
          </w:p>
        </w:tc>
        <w:tc>
          <w:tcPr>
            <w:tcW w:w="3616" w:type="dxa"/>
            <w:tcBorders>
              <w:top w:val="nil"/>
              <w:left w:val="nil"/>
              <w:bottom w:val="single" w:color="000000" w:sz="4" w:space="0"/>
              <w:right w:val="single" w:color="000000" w:sz="4" w:space="0"/>
            </w:tcBorders>
            <w:tcMar>
              <w:top w:w="0" w:type="dxa"/>
              <w:left w:w="105" w:type="dxa"/>
              <w:bottom w:w="0" w:type="dxa"/>
              <w:right w:w="105" w:type="dxa"/>
            </w:tcMar>
            <w:vAlign w:val="top"/>
          </w:tcPr>
          <w:p w14:paraId="27EE0535">
            <w:pPr>
              <w:pStyle w:val="6"/>
              <w:keepNext w:val="0"/>
              <w:keepLines w:val="0"/>
              <w:pageBreakBefore w:val="0"/>
              <w:widowControl/>
              <w:kinsoku/>
              <w:wordWrap/>
              <w:overflowPunct/>
              <w:topLinePunct w:val="0"/>
              <w:autoSpaceDE/>
              <w:autoSpaceDN/>
              <w:bidi w:val="0"/>
              <w:adjustRightInd/>
              <w:snapToGrid/>
              <w:spacing w:line="500" w:lineRule="exact"/>
              <w:ind w:firstLine="0"/>
              <w:jc w:val="both"/>
              <w:textAlignment w:val="auto"/>
              <w:rPr>
                <w:rFonts w:hint="eastAsia" w:ascii="宋体" w:hAnsi="宋体" w:eastAsia="宋体" w:cs="宋体"/>
                <w:sz w:val="24"/>
                <w:szCs w:val="24"/>
              </w:rPr>
            </w:pPr>
            <w:r>
              <w:rPr>
                <w:rFonts w:hint="eastAsia" w:ascii="宋体" w:hAnsi="宋体" w:eastAsia="宋体" w:cs="宋体"/>
                <w:color w:val="000000"/>
                <w:sz w:val="24"/>
                <w:szCs w:val="24"/>
              </w:rPr>
              <w:t>内网数据中心交换机</w:t>
            </w:r>
          </w:p>
        </w:tc>
        <w:tc>
          <w:tcPr>
            <w:tcW w:w="1455" w:type="dxa"/>
            <w:tcBorders>
              <w:top w:val="nil"/>
              <w:left w:val="nil"/>
              <w:bottom w:val="single" w:color="000000" w:sz="4" w:space="0"/>
              <w:right w:val="single" w:color="000000" w:sz="4" w:space="0"/>
            </w:tcBorders>
            <w:tcMar>
              <w:top w:w="0" w:type="dxa"/>
              <w:left w:w="105" w:type="dxa"/>
              <w:bottom w:w="0" w:type="dxa"/>
              <w:right w:w="105" w:type="dxa"/>
            </w:tcMar>
            <w:vAlign w:val="top"/>
          </w:tcPr>
          <w:p w14:paraId="7D3C853F">
            <w:pPr>
              <w:pStyle w:val="6"/>
              <w:keepNext w:val="0"/>
              <w:keepLines w:val="0"/>
              <w:pageBreakBefore w:val="0"/>
              <w:widowControl/>
              <w:kinsoku/>
              <w:wordWrap/>
              <w:overflowPunct/>
              <w:topLinePunct w:val="0"/>
              <w:autoSpaceDE/>
              <w:autoSpaceDN/>
              <w:bidi w:val="0"/>
              <w:adjustRightInd/>
              <w:snapToGrid/>
              <w:spacing w:line="500" w:lineRule="exact"/>
              <w:ind w:firstLine="0"/>
              <w:jc w:val="center"/>
              <w:textAlignment w:val="auto"/>
              <w:rPr>
                <w:rFonts w:hint="eastAsia" w:ascii="宋体" w:hAnsi="宋体" w:eastAsia="宋体" w:cs="宋体"/>
                <w:sz w:val="24"/>
                <w:szCs w:val="24"/>
              </w:rPr>
            </w:pPr>
            <w:r>
              <w:rPr>
                <w:rFonts w:hint="eastAsia" w:ascii="宋体" w:hAnsi="宋体" w:eastAsia="宋体" w:cs="宋体"/>
                <w:color w:val="000000"/>
                <w:sz w:val="24"/>
                <w:szCs w:val="24"/>
              </w:rPr>
              <w:t>2台</w:t>
            </w:r>
          </w:p>
        </w:tc>
        <w:tc>
          <w:tcPr>
            <w:tcW w:w="2359" w:type="dxa"/>
            <w:tcBorders>
              <w:top w:val="nil"/>
              <w:left w:val="nil"/>
              <w:bottom w:val="single" w:color="000000" w:sz="4" w:space="0"/>
              <w:right w:val="single" w:color="000000" w:sz="4" w:space="0"/>
            </w:tcBorders>
            <w:tcMar>
              <w:top w:w="0" w:type="dxa"/>
              <w:left w:w="105" w:type="dxa"/>
              <w:bottom w:w="0" w:type="dxa"/>
              <w:right w:w="105" w:type="dxa"/>
            </w:tcMar>
            <w:vAlign w:val="top"/>
          </w:tcPr>
          <w:p w14:paraId="470F0A0F">
            <w:pPr>
              <w:pStyle w:val="6"/>
              <w:keepNext w:val="0"/>
              <w:keepLines w:val="0"/>
              <w:pageBreakBefore w:val="0"/>
              <w:widowControl/>
              <w:kinsoku/>
              <w:wordWrap/>
              <w:overflowPunct/>
              <w:topLinePunct w:val="0"/>
              <w:autoSpaceDE/>
              <w:autoSpaceDN/>
              <w:bidi w:val="0"/>
              <w:adjustRightInd/>
              <w:snapToGrid/>
              <w:spacing w:line="500" w:lineRule="exact"/>
              <w:ind w:firstLine="0"/>
              <w:jc w:val="center"/>
              <w:textAlignment w:val="auto"/>
              <w:rPr>
                <w:rFonts w:hint="eastAsia" w:ascii="宋体" w:hAnsi="宋体" w:eastAsia="宋体" w:cs="宋体"/>
                <w:sz w:val="24"/>
                <w:szCs w:val="24"/>
              </w:rPr>
            </w:pPr>
            <w:r>
              <w:rPr>
                <w:rFonts w:hint="eastAsia" w:ascii="宋体" w:hAnsi="宋体" w:eastAsia="宋体" w:cs="宋体"/>
                <w:color w:val="000000"/>
                <w:sz w:val="24"/>
                <w:szCs w:val="24"/>
              </w:rPr>
              <w:t>4.000000</w:t>
            </w:r>
          </w:p>
        </w:tc>
      </w:tr>
      <w:tr w14:paraId="3F0F54C7">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99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5D21118">
            <w:pPr>
              <w:pStyle w:val="6"/>
              <w:keepNext w:val="0"/>
              <w:keepLines w:val="0"/>
              <w:pageBreakBefore w:val="0"/>
              <w:widowControl/>
              <w:kinsoku/>
              <w:wordWrap/>
              <w:overflowPunct/>
              <w:topLinePunct w:val="0"/>
              <w:autoSpaceDE/>
              <w:autoSpaceDN/>
              <w:bidi w:val="0"/>
              <w:adjustRightInd/>
              <w:snapToGrid/>
              <w:spacing w:line="500" w:lineRule="exact"/>
              <w:ind w:firstLine="0"/>
              <w:jc w:val="center"/>
              <w:textAlignment w:val="auto"/>
              <w:rPr>
                <w:rFonts w:hint="eastAsia" w:ascii="宋体" w:hAnsi="宋体" w:eastAsia="宋体" w:cs="宋体"/>
                <w:sz w:val="24"/>
                <w:szCs w:val="24"/>
              </w:rPr>
            </w:pPr>
            <w:r>
              <w:rPr>
                <w:rFonts w:hint="eastAsia" w:ascii="宋体" w:hAnsi="宋体" w:eastAsia="宋体" w:cs="宋体"/>
                <w:color w:val="000000"/>
                <w:sz w:val="24"/>
                <w:szCs w:val="24"/>
              </w:rPr>
              <w:t>1.5</w:t>
            </w:r>
          </w:p>
        </w:tc>
        <w:tc>
          <w:tcPr>
            <w:tcW w:w="3616" w:type="dxa"/>
            <w:tcBorders>
              <w:top w:val="nil"/>
              <w:left w:val="nil"/>
              <w:bottom w:val="single" w:color="000000" w:sz="4" w:space="0"/>
              <w:right w:val="single" w:color="000000" w:sz="4" w:space="0"/>
            </w:tcBorders>
            <w:tcMar>
              <w:top w:w="0" w:type="dxa"/>
              <w:left w:w="105" w:type="dxa"/>
              <w:bottom w:w="0" w:type="dxa"/>
              <w:right w:w="105" w:type="dxa"/>
            </w:tcMar>
            <w:vAlign w:val="top"/>
          </w:tcPr>
          <w:p w14:paraId="511653A8">
            <w:pPr>
              <w:pStyle w:val="6"/>
              <w:keepNext w:val="0"/>
              <w:keepLines w:val="0"/>
              <w:pageBreakBefore w:val="0"/>
              <w:widowControl/>
              <w:kinsoku/>
              <w:wordWrap/>
              <w:overflowPunct/>
              <w:topLinePunct w:val="0"/>
              <w:autoSpaceDE/>
              <w:autoSpaceDN/>
              <w:bidi w:val="0"/>
              <w:adjustRightInd/>
              <w:snapToGrid/>
              <w:spacing w:line="500" w:lineRule="exact"/>
              <w:ind w:firstLine="0"/>
              <w:jc w:val="both"/>
              <w:textAlignment w:val="auto"/>
              <w:rPr>
                <w:rFonts w:hint="eastAsia" w:ascii="宋体" w:hAnsi="宋体" w:eastAsia="宋体" w:cs="宋体"/>
                <w:sz w:val="24"/>
                <w:szCs w:val="24"/>
              </w:rPr>
            </w:pPr>
            <w:r>
              <w:rPr>
                <w:rFonts w:hint="eastAsia" w:ascii="宋体" w:hAnsi="宋体" w:eastAsia="宋体" w:cs="宋体"/>
                <w:color w:val="000000"/>
                <w:sz w:val="24"/>
                <w:szCs w:val="24"/>
              </w:rPr>
              <w:t>光纤交换机</w:t>
            </w:r>
          </w:p>
        </w:tc>
        <w:tc>
          <w:tcPr>
            <w:tcW w:w="1455" w:type="dxa"/>
            <w:tcBorders>
              <w:top w:val="nil"/>
              <w:left w:val="nil"/>
              <w:bottom w:val="single" w:color="000000" w:sz="4" w:space="0"/>
              <w:right w:val="single" w:color="000000" w:sz="4" w:space="0"/>
            </w:tcBorders>
            <w:tcMar>
              <w:top w:w="0" w:type="dxa"/>
              <w:left w:w="105" w:type="dxa"/>
              <w:bottom w:w="0" w:type="dxa"/>
              <w:right w:w="105" w:type="dxa"/>
            </w:tcMar>
            <w:vAlign w:val="top"/>
          </w:tcPr>
          <w:p w14:paraId="499919CD">
            <w:pPr>
              <w:pStyle w:val="6"/>
              <w:keepNext w:val="0"/>
              <w:keepLines w:val="0"/>
              <w:pageBreakBefore w:val="0"/>
              <w:widowControl/>
              <w:kinsoku/>
              <w:wordWrap/>
              <w:overflowPunct/>
              <w:topLinePunct w:val="0"/>
              <w:autoSpaceDE/>
              <w:autoSpaceDN/>
              <w:bidi w:val="0"/>
              <w:adjustRightInd/>
              <w:snapToGrid/>
              <w:spacing w:line="500" w:lineRule="exact"/>
              <w:ind w:firstLine="0"/>
              <w:jc w:val="center"/>
              <w:textAlignment w:val="auto"/>
              <w:rPr>
                <w:rFonts w:hint="eastAsia" w:ascii="宋体" w:hAnsi="宋体" w:eastAsia="宋体" w:cs="宋体"/>
                <w:sz w:val="24"/>
                <w:szCs w:val="24"/>
              </w:rPr>
            </w:pPr>
            <w:r>
              <w:rPr>
                <w:rFonts w:hint="eastAsia" w:ascii="宋体" w:hAnsi="宋体" w:eastAsia="宋体" w:cs="宋体"/>
                <w:color w:val="000000"/>
                <w:sz w:val="24"/>
                <w:szCs w:val="24"/>
              </w:rPr>
              <w:t>2台</w:t>
            </w:r>
          </w:p>
        </w:tc>
        <w:tc>
          <w:tcPr>
            <w:tcW w:w="2359" w:type="dxa"/>
            <w:tcBorders>
              <w:top w:val="nil"/>
              <w:left w:val="nil"/>
              <w:bottom w:val="single" w:color="000000" w:sz="4" w:space="0"/>
              <w:right w:val="single" w:color="000000" w:sz="4" w:space="0"/>
            </w:tcBorders>
            <w:tcMar>
              <w:top w:w="0" w:type="dxa"/>
              <w:left w:w="105" w:type="dxa"/>
              <w:bottom w:w="0" w:type="dxa"/>
              <w:right w:w="105" w:type="dxa"/>
            </w:tcMar>
            <w:vAlign w:val="top"/>
          </w:tcPr>
          <w:p w14:paraId="36391AA1">
            <w:pPr>
              <w:pStyle w:val="6"/>
              <w:keepNext w:val="0"/>
              <w:keepLines w:val="0"/>
              <w:pageBreakBefore w:val="0"/>
              <w:widowControl/>
              <w:kinsoku/>
              <w:wordWrap/>
              <w:overflowPunct/>
              <w:topLinePunct w:val="0"/>
              <w:autoSpaceDE/>
              <w:autoSpaceDN/>
              <w:bidi w:val="0"/>
              <w:adjustRightInd/>
              <w:snapToGrid/>
              <w:spacing w:line="500" w:lineRule="exact"/>
              <w:ind w:firstLine="0"/>
              <w:jc w:val="center"/>
              <w:textAlignment w:val="auto"/>
              <w:rPr>
                <w:rFonts w:hint="eastAsia" w:ascii="宋体" w:hAnsi="宋体" w:eastAsia="宋体" w:cs="宋体"/>
                <w:sz w:val="24"/>
                <w:szCs w:val="24"/>
              </w:rPr>
            </w:pPr>
            <w:r>
              <w:rPr>
                <w:rFonts w:hint="eastAsia" w:ascii="宋体" w:hAnsi="宋体" w:eastAsia="宋体" w:cs="宋体"/>
                <w:color w:val="000000"/>
                <w:sz w:val="24"/>
                <w:szCs w:val="24"/>
              </w:rPr>
              <w:t>44.000000</w:t>
            </w:r>
          </w:p>
        </w:tc>
      </w:tr>
      <w:tr w14:paraId="0E21F34B">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99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9FBC0B5">
            <w:pPr>
              <w:pStyle w:val="6"/>
              <w:keepNext w:val="0"/>
              <w:keepLines w:val="0"/>
              <w:pageBreakBefore w:val="0"/>
              <w:widowControl/>
              <w:kinsoku/>
              <w:wordWrap/>
              <w:overflowPunct/>
              <w:topLinePunct w:val="0"/>
              <w:autoSpaceDE/>
              <w:autoSpaceDN/>
              <w:bidi w:val="0"/>
              <w:adjustRightInd/>
              <w:snapToGrid/>
              <w:spacing w:line="500" w:lineRule="exact"/>
              <w:ind w:firstLine="0"/>
              <w:jc w:val="center"/>
              <w:textAlignment w:val="auto"/>
              <w:rPr>
                <w:rFonts w:hint="eastAsia" w:ascii="宋体" w:hAnsi="宋体" w:eastAsia="宋体" w:cs="宋体"/>
                <w:sz w:val="24"/>
                <w:szCs w:val="24"/>
              </w:rPr>
            </w:pPr>
            <w:r>
              <w:rPr>
                <w:rFonts w:hint="eastAsia" w:ascii="宋体" w:hAnsi="宋体" w:eastAsia="宋体" w:cs="宋体"/>
                <w:b/>
                <w:color w:val="000000"/>
                <w:sz w:val="24"/>
                <w:szCs w:val="24"/>
              </w:rPr>
              <w:t>2</w:t>
            </w:r>
          </w:p>
        </w:tc>
        <w:tc>
          <w:tcPr>
            <w:tcW w:w="3616" w:type="dxa"/>
            <w:tcBorders>
              <w:top w:val="nil"/>
              <w:left w:val="nil"/>
              <w:bottom w:val="single" w:color="000000" w:sz="4" w:space="0"/>
              <w:right w:val="single" w:color="000000" w:sz="4" w:space="0"/>
            </w:tcBorders>
            <w:tcMar>
              <w:top w:w="0" w:type="dxa"/>
              <w:left w:w="105" w:type="dxa"/>
              <w:bottom w:w="0" w:type="dxa"/>
              <w:right w:w="105" w:type="dxa"/>
            </w:tcMar>
            <w:vAlign w:val="top"/>
          </w:tcPr>
          <w:p w14:paraId="7241A1E5">
            <w:pPr>
              <w:pStyle w:val="6"/>
              <w:keepNext w:val="0"/>
              <w:keepLines w:val="0"/>
              <w:pageBreakBefore w:val="0"/>
              <w:widowControl/>
              <w:kinsoku/>
              <w:wordWrap/>
              <w:overflowPunct/>
              <w:topLinePunct w:val="0"/>
              <w:autoSpaceDE/>
              <w:autoSpaceDN/>
              <w:bidi w:val="0"/>
              <w:adjustRightInd/>
              <w:snapToGrid/>
              <w:spacing w:line="500" w:lineRule="exact"/>
              <w:ind w:firstLine="0"/>
              <w:jc w:val="both"/>
              <w:textAlignment w:val="auto"/>
              <w:rPr>
                <w:rFonts w:hint="eastAsia" w:ascii="宋体" w:hAnsi="宋体" w:eastAsia="宋体" w:cs="宋体"/>
                <w:sz w:val="24"/>
                <w:szCs w:val="24"/>
              </w:rPr>
            </w:pPr>
            <w:r>
              <w:rPr>
                <w:rFonts w:hint="eastAsia" w:ascii="宋体" w:hAnsi="宋体" w:eastAsia="宋体" w:cs="宋体"/>
                <w:b/>
                <w:color w:val="000000"/>
                <w:sz w:val="24"/>
                <w:szCs w:val="24"/>
              </w:rPr>
              <w:t>存储系统</w:t>
            </w:r>
          </w:p>
        </w:tc>
        <w:tc>
          <w:tcPr>
            <w:tcW w:w="1455" w:type="dxa"/>
            <w:tcBorders>
              <w:top w:val="nil"/>
              <w:left w:val="nil"/>
              <w:bottom w:val="single" w:color="000000" w:sz="4" w:space="0"/>
              <w:right w:val="single" w:color="000000" w:sz="4" w:space="0"/>
            </w:tcBorders>
            <w:tcMar>
              <w:top w:w="0" w:type="dxa"/>
              <w:left w:w="105" w:type="dxa"/>
              <w:bottom w:w="0" w:type="dxa"/>
              <w:right w:w="105" w:type="dxa"/>
            </w:tcMar>
            <w:vAlign w:val="top"/>
          </w:tcPr>
          <w:p w14:paraId="17B91A04">
            <w:pPr>
              <w:pStyle w:val="6"/>
              <w:keepNext w:val="0"/>
              <w:keepLines w:val="0"/>
              <w:pageBreakBefore w:val="0"/>
              <w:widowControl/>
              <w:kinsoku/>
              <w:wordWrap/>
              <w:overflowPunct/>
              <w:topLinePunct w:val="0"/>
              <w:autoSpaceDE/>
              <w:autoSpaceDN/>
              <w:bidi w:val="0"/>
              <w:adjustRightInd/>
              <w:snapToGrid/>
              <w:spacing w:line="500" w:lineRule="exact"/>
              <w:ind w:firstLine="0"/>
              <w:jc w:val="center"/>
              <w:textAlignment w:val="auto"/>
              <w:rPr>
                <w:rFonts w:hint="eastAsia" w:ascii="宋体" w:hAnsi="宋体" w:eastAsia="宋体" w:cs="宋体"/>
                <w:sz w:val="24"/>
                <w:szCs w:val="24"/>
              </w:rPr>
            </w:pPr>
          </w:p>
        </w:tc>
        <w:tc>
          <w:tcPr>
            <w:tcW w:w="2359" w:type="dxa"/>
            <w:tcBorders>
              <w:top w:val="nil"/>
              <w:left w:val="nil"/>
              <w:bottom w:val="single" w:color="000000" w:sz="4" w:space="0"/>
              <w:right w:val="single" w:color="000000" w:sz="4" w:space="0"/>
            </w:tcBorders>
            <w:tcMar>
              <w:top w:w="0" w:type="dxa"/>
              <w:left w:w="105" w:type="dxa"/>
              <w:bottom w:w="0" w:type="dxa"/>
              <w:right w:w="105" w:type="dxa"/>
            </w:tcMar>
            <w:vAlign w:val="top"/>
          </w:tcPr>
          <w:p w14:paraId="58C03030">
            <w:pPr>
              <w:pStyle w:val="6"/>
              <w:keepNext w:val="0"/>
              <w:keepLines w:val="0"/>
              <w:pageBreakBefore w:val="0"/>
              <w:widowControl/>
              <w:kinsoku/>
              <w:wordWrap/>
              <w:overflowPunct/>
              <w:topLinePunct w:val="0"/>
              <w:autoSpaceDE/>
              <w:autoSpaceDN/>
              <w:bidi w:val="0"/>
              <w:adjustRightInd/>
              <w:snapToGrid/>
              <w:spacing w:line="500" w:lineRule="exact"/>
              <w:ind w:firstLine="0"/>
              <w:jc w:val="center"/>
              <w:textAlignment w:val="auto"/>
              <w:rPr>
                <w:rFonts w:hint="eastAsia" w:ascii="宋体" w:hAnsi="宋体" w:eastAsia="宋体" w:cs="宋体"/>
                <w:sz w:val="24"/>
                <w:szCs w:val="24"/>
              </w:rPr>
            </w:pPr>
            <w:r>
              <w:rPr>
                <w:rFonts w:hint="eastAsia" w:ascii="宋体" w:hAnsi="宋体" w:eastAsia="宋体" w:cs="宋体"/>
                <w:b/>
                <w:color w:val="000000"/>
                <w:sz w:val="24"/>
                <w:szCs w:val="24"/>
              </w:rPr>
              <w:t>280.000000</w:t>
            </w:r>
          </w:p>
        </w:tc>
      </w:tr>
      <w:tr w14:paraId="40B3512F">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99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6F48FCD5">
            <w:pPr>
              <w:pStyle w:val="6"/>
              <w:keepNext w:val="0"/>
              <w:keepLines w:val="0"/>
              <w:pageBreakBefore w:val="0"/>
              <w:widowControl/>
              <w:kinsoku/>
              <w:wordWrap/>
              <w:overflowPunct/>
              <w:topLinePunct w:val="0"/>
              <w:autoSpaceDE/>
              <w:autoSpaceDN/>
              <w:bidi w:val="0"/>
              <w:adjustRightInd/>
              <w:snapToGrid/>
              <w:spacing w:line="500" w:lineRule="exact"/>
              <w:ind w:firstLine="0"/>
              <w:jc w:val="center"/>
              <w:textAlignment w:val="auto"/>
              <w:rPr>
                <w:rFonts w:hint="eastAsia" w:ascii="宋体" w:hAnsi="宋体" w:eastAsia="宋体" w:cs="宋体"/>
                <w:sz w:val="24"/>
                <w:szCs w:val="24"/>
              </w:rPr>
            </w:pPr>
            <w:r>
              <w:rPr>
                <w:rFonts w:hint="eastAsia" w:ascii="宋体" w:hAnsi="宋体" w:eastAsia="宋体" w:cs="宋体"/>
                <w:color w:val="000000"/>
                <w:sz w:val="24"/>
                <w:szCs w:val="24"/>
              </w:rPr>
              <w:t>2.1</w:t>
            </w:r>
          </w:p>
        </w:tc>
        <w:tc>
          <w:tcPr>
            <w:tcW w:w="3616" w:type="dxa"/>
            <w:tcBorders>
              <w:top w:val="nil"/>
              <w:left w:val="nil"/>
              <w:bottom w:val="single" w:color="000000" w:sz="4" w:space="0"/>
              <w:right w:val="single" w:color="000000" w:sz="4" w:space="0"/>
            </w:tcBorders>
            <w:tcMar>
              <w:top w:w="0" w:type="dxa"/>
              <w:left w:w="105" w:type="dxa"/>
              <w:bottom w:w="0" w:type="dxa"/>
              <w:right w:w="105" w:type="dxa"/>
            </w:tcMar>
            <w:vAlign w:val="top"/>
          </w:tcPr>
          <w:p w14:paraId="055A963A">
            <w:pPr>
              <w:pStyle w:val="6"/>
              <w:keepNext w:val="0"/>
              <w:keepLines w:val="0"/>
              <w:pageBreakBefore w:val="0"/>
              <w:widowControl/>
              <w:kinsoku/>
              <w:wordWrap/>
              <w:overflowPunct/>
              <w:topLinePunct w:val="0"/>
              <w:autoSpaceDE/>
              <w:autoSpaceDN/>
              <w:bidi w:val="0"/>
              <w:adjustRightInd/>
              <w:snapToGrid/>
              <w:spacing w:line="500" w:lineRule="exact"/>
              <w:ind w:firstLine="0"/>
              <w:jc w:val="both"/>
              <w:textAlignment w:val="auto"/>
              <w:rPr>
                <w:rFonts w:hint="eastAsia" w:ascii="宋体" w:hAnsi="宋体" w:eastAsia="宋体" w:cs="宋体"/>
                <w:sz w:val="24"/>
                <w:szCs w:val="24"/>
              </w:rPr>
            </w:pPr>
            <w:r>
              <w:rPr>
                <w:rFonts w:hint="eastAsia" w:ascii="宋体" w:hAnsi="宋体" w:eastAsia="宋体" w:cs="宋体"/>
                <w:color w:val="000000"/>
                <w:sz w:val="24"/>
                <w:szCs w:val="24"/>
              </w:rPr>
              <w:t>高性能集中存储设备</w:t>
            </w:r>
          </w:p>
        </w:tc>
        <w:tc>
          <w:tcPr>
            <w:tcW w:w="1455" w:type="dxa"/>
            <w:tcBorders>
              <w:top w:val="nil"/>
              <w:left w:val="nil"/>
              <w:bottom w:val="single" w:color="000000" w:sz="4" w:space="0"/>
              <w:right w:val="single" w:color="000000" w:sz="4" w:space="0"/>
            </w:tcBorders>
            <w:tcMar>
              <w:top w:w="0" w:type="dxa"/>
              <w:left w:w="105" w:type="dxa"/>
              <w:bottom w:w="0" w:type="dxa"/>
              <w:right w:w="105" w:type="dxa"/>
            </w:tcMar>
            <w:vAlign w:val="top"/>
          </w:tcPr>
          <w:p w14:paraId="10B22CA8">
            <w:pPr>
              <w:pStyle w:val="6"/>
              <w:keepNext w:val="0"/>
              <w:keepLines w:val="0"/>
              <w:pageBreakBefore w:val="0"/>
              <w:widowControl/>
              <w:kinsoku/>
              <w:wordWrap/>
              <w:overflowPunct/>
              <w:topLinePunct w:val="0"/>
              <w:autoSpaceDE/>
              <w:autoSpaceDN/>
              <w:bidi w:val="0"/>
              <w:adjustRightInd/>
              <w:snapToGrid/>
              <w:spacing w:line="500" w:lineRule="exact"/>
              <w:ind w:firstLine="0"/>
              <w:jc w:val="center"/>
              <w:textAlignment w:val="auto"/>
              <w:rPr>
                <w:rFonts w:hint="eastAsia" w:ascii="宋体" w:hAnsi="宋体" w:eastAsia="宋体" w:cs="宋体"/>
                <w:sz w:val="24"/>
                <w:szCs w:val="24"/>
              </w:rPr>
            </w:pPr>
            <w:r>
              <w:rPr>
                <w:rFonts w:hint="eastAsia" w:ascii="宋体" w:hAnsi="宋体" w:eastAsia="宋体" w:cs="宋体"/>
                <w:color w:val="000000"/>
                <w:sz w:val="24"/>
                <w:szCs w:val="24"/>
              </w:rPr>
              <w:t>2台</w:t>
            </w:r>
          </w:p>
        </w:tc>
        <w:tc>
          <w:tcPr>
            <w:tcW w:w="2359" w:type="dxa"/>
            <w:tcBorders>
              <w:top w:val="nil"/>
              <w:left w:val="nil"/>
              <w:bottom w:val="single" w:color="000000" w:sz="4" w:space="0"/>
              <w:right w:val="single" w:color="000000" w:sz="4" w:space="0"/>
            </w:tcBorders>
            <w:tcMar>
              <w:top w:w="0" w:type="dxa"/>
              <w:left w:w="105" w:type="dxa"/>
              <w:bottom w:w="0" w:type="dxa"/>
              <w:right w:w="105" w:type="dxa"/>
            </w:tcMar>
            <w:vAlign w:val="top"/>
          </w:tcPr>
          <w:p w14:paraId="789C2EAC">
            <w:pPr>
              <w:pStyle w:val="6"/>
              <w:keepNext w:val="0"/>
              <w:keepLines w:val="0"/>
              <w:pageBreakBefore w:val="0"/>
              <w:widowControl/>
              <w:kinsoku/>
              <w:wordWrap/>
              <w:overflowPunct/>
              <w:topLinePunct w:val="0"/>
              <w:autoSpaceDE/>
              <w:autoSpaceDN/>
              <w:bidi w:val="0"/>
              <w:adjustRightInd/>
              <w:snapToGrid/>
              <w:spacing w:line="500" w:lineRule="exact"/>
              <w:ind w:firstLine="0"/>
              <w:jc w:val="center"/>
              <w:textAlignment w:val="auto"/>
              <w:rPr>
                <w:rFonts w:hint="eastAsia" w:ascii="宋体" w:hAnsi="宋体" w:eastAsia="宋体" w:cs="宋体"/>
                <w:sz w:val="24"/>
                <w:szCs w:val="24"/>
              </w:rPr>
            </w:pPr>
            <w:r>
              <w:rPr>
                <w:rFonts w:hint="eastAsia" w:ascii="宋体" w:hAnsi="宋体" w:eastAsia="宋体" w:cs="宋体"/>
                <w:color w:val="000000"/>
                <w:sz w:val="24"/>
                <w:szCs w:val="24"/>
              </w:rPr>
              <w:t>160.000000</w:t>
            </w:r>
          </w:p>
        </w:tc>
      </w:tr>
      <w:tr w14:paraId="538BF857">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99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69E130A">
            <w:pPr>
              <w:pStyle w:val="6"/>
              <w:keepNext w:val="0"/>
              <w:keepLines w:val="0"/>
              <w:pageBreakBefore w:val="0"/>
              <w:widowControl/>
              <w:kinsoku/>
              <w:wordWrap/>
              <w:overflowPunct/>
              <w:topLinePunct w:val="0"/>
              <w:autoSpaceDE/>
              <w:autoSpaceDN/>
              <w:bidi w:val="0"/>
              <w:adjustRightInd/>
              <w:snapToGrid/>
              <w:spacing w:line="500" w:lineRule="exact"/>
              <w:ind w:firstLine="0"/>
              <w:jc w:val="center"/>
              <w:textAlignment w:val="auto"/>
              <w:rPr>
                <w:rFonts w:hint="eastAsia" w:ascii="宋体" w:hAnsi="宋体" w:eastAsia="宋体" w:cs="宋体"/>
                <w:sz w:val="24"/>
                <w:szCs w:val="24"/>
              </w:rPr>
            </w:pPr>
            <w:r>
              <w:rPr>
                <w:rFonts w:hint="eastAsia" w:ascii="宋体" w:hAnsi="宋体" w:eastAsia="宋体" w:cs="宋体"/>
                <w:color w:val="000000"/>
                <w:sz w:val="24"/>
                <w:szCs w:val="24"/>
              </w:rPr>
              <w:t>2.2</w:t>
            </w:r>
          </w:p>
        </w:tc>
        <w:tc>
          <w:tcPr>
            <w:tcW w:w="3616" w:type="dxa"/>
            <w:tcBorders>
              <w:top w:val="nil"/>
              <w:left w:val="nil"/>
              <w:bottom w:val="single" w:color="000000" w:sz="4" w:space="0"/>
              <w:right w:val="single" w:color="000000" w:sz="4" w:space="0"/>
            </w:tcBorders>
            <w:tcMar>
              <w:top w:w="0" w:type="dxa"/>
              <w:left w:w="105" w:type="dxa"/>
              <w:bottom w:w="0" w:type="dxa"/>
              <w:right w:w="105" w:type="dxa"/>
            </w:tcMar>
            <w:vAlign w:val="top"/>
          </w:tcPr>
          <w:p w14:paraId="3E6C0424">
            <w:pPr>
              <w:pStyle w:val="6"/>
              <w:keepNext w:val="0"/>
              <w:keepLines w:val="0"/>
              <w:pageBreakBefore w:val="0"/>
              <w:widowControl/>
              <w:kinsoku/>
              <w:wordWrap/>
              <w:overflowPunct/>
              <w:topLinePunct w:val="0"/>
              <w:autoSpaceDE/>
              <w:autoSpaceDN/>
              <w:bidi w:val="0"/>
              <w:adjustRightInd/>
              <w:snapToGrid/>
              <w:spacing w:line="500" w:lineRule="exact"/>
              <w:ind w:firstLine="0"/>
              <w:jc w:val="both"/>
              <w:textAlignment w:val="auto"/>
              <w:rPr>
                <w:rFonts w:hint="eastAsia" w:ascii="宋体" w:hAnsi="宋体" w:eastAsia="宋体" w:cs="宋体"/>
                <w:sz w:val="24"/>
                <w:szCs w:val="24"/>
              </w:rPr>
            </w:pPr>
            <w:r>
              <w:rPr>
                <w:rFonts w:hint="eastAsia" w:ascii="宋体" w:hAnsi="宋体" w:eastAsia="宋体" w:cs="宋体"/>
                <w:color w:val="000000"/>
                <w:sz w:val="24"/>
                <w:szCs w:val="24"/>
              </w:rPr>
              <w:t>普通性能集中存储设备</w:t>
            </w:r>
          </w:p>
        </w:tc>
        <w:tc>
          <w:tcPr>
            <w:tcW w:w="1455" w:type="dxa"/>
            <w:tcBorders>
              <w:top w:val="nil"/>
              <w:left w:val="nil"/>
              <w:bottom w:val="single" w:color="000000" w:sz="4" w:space="0"/>
              <w:right w:val="single" w:color="000000" w:sz="4" w:space="0"/>
            </w:tcBorders>
            <w:tcMar>
              <w:top w:w="0" w:type="dxa"/>
              <w:left w:w="105" w:type="dxa"/>
              <w:bottom w:w="0" w:type="dxa"/>
              <w:right w:w="105" w:type="dxa"/>
            </w:tcMar>
            <w:vAlign w:val="top"/>
          </w:tcPr>
          <w:p w14:paraId="06520F82">
            <w:pPr>
              <w:pStyle w:val="6"/>
              <w:keepNext w:val="0"/>
              <w:keepLines w:val="0"/>
              <w:pageBreakBefore w:val="0"/>
              <w:widowControl/>
              <w:kinsoku/>
              <w:wordWrap/>
              <w:overflowPunct/>
              <w:topLinePunct w:val="0"/>
              <w:autoSpaceDE/>
              <w:autoSpaceDN/>
              <w:bidi w:val="0"/>
              <w:adjustRightInd/>
              <w:snapToGrid/>
              <w:spacing w:line="500" w:lineRule="exact"/>
              <w:ind w:firstLine="0"/>
              <w:jc w:val="center"/>
              <w:textAlignment w:val="auto"/>
              <w:rPr>
                <w:rFonts w:hint="eastAsia" w:ascii="宋体" w:hAnsi="宋体" w:eastAsia="宋体" w:cs="宋体"/>
                <w:sz w:val="24"/>
                <w:szCs w:val="24"/>
              </w:rPr>
            </w:pPr>
            <w:r>
              <w:rPr>
                <w:rFonts w:hint="eastAsia" w:ascii="宋体" w:hAnsi="宋体" w:eastAsia="宋体" w:cs="宋体"/>
                <w:color w:val="000000"/>
                <w:sz w:val="24"/>
                <w:szCs w:val="24"/>
              </w:rPr>
              <w:t>2台</w:t>
            </w:r>
          </w:p>
        </w:tc>
        <w:tc>
          <w:tcPr>
            <w:tcW w:w="2359" w:type="dxa"/>
            <w:tcBorders>
              <w:top w:val="nil"/>
              <w:left w:val="nil"/>
              <w:bottom w:val="single" w:color="000000" w:sz="4" w:space="0"/>
              <w:right w:val="single" w:color="000000" w:sz="4" w:space="0"/>
            </w:tcBorders>
            <w:tcMar>
              <w:top w:w="0" w:type="dxa"/>
              <w:left w:w="105" w:type="dxa"/>
              <w:bottom w:w="0" w:type="dxa"/>
              <w:right w:w="105" w:type="dxa"/>
            </w:tcMar>
            <w:vAlign w:val="top"/>
          </w:tcPr>
          <w:p w14:paraId="0F65E4E8">
            <w:pPr>
              <w:pStyle w:val="6"/>
              <w:keepNext w:val="0"/>
              <w:keepLines w:val="0"/>
              <w:pageBreakBefore w:val="0"/>
              <w:widowControl/>
              <w:kinsoku/>
              <w:wordWrap/>
              <w:overflowPunct/>
              <w:topLinePunct w:val="0"/>
              <w:autoSpaceDE/>
              <w:autoSpaceDN/>
              <w:bidi w:val="0"/>
              <w:adjustRightInd/>
              <w:snapToGrid/>
              <w:spacing w:line="500" w:lineRule="exact"/>
              <w:ind w:firstLine="0"/>
              <w:jc w:val="center"/>
              <w:textAlignment w:val="auto"/>
              <w:rPr>
                <w:rFonts w:hint="eastAsia" w:ascii="宋体" w:hAnsi="宋体" w:eastAsia="宋体" w:cs="宋体"/>
                <w:sz w:val="24"/>
                <w:szCs w:val="24"/>
              </w:rPr>
            </w:pPr>
            <w:r>
              <w:rPr>
                <w:rFonts w:hint="eastAsia" w:ascii="宋体" w:hAnsi="宋体" w:eastAsia="宋体" w:cs="宋体"/>
                <w:color w:val="000000"/>
                <w:sz w:val="24"/>
                <w:szCs w:val="24"/>
              </w:rPr>
              <w:t>118.000000</w:t>
            </w:r>
          </w:p>
        </w:tc>
      </w:tr>
      <w:tr w14:paraId="73091388">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99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25EAFD75">
            <w:pPr>
              <w:pStyle w:val="6"/>
              <w:keepNext w:val="0"/>
              <w:keepLines w:val="0"/>
              <w:pageBreakBefore w:val="0"/>
              <w:widowControl/>
              <w:kinsoku/>
              <w:wordWrap/>
              <w:overflowPunct/>
              <w:topLinePunct w:val="0"/>
              <w:autoSpaceDE/>
              <w:autoSpaceDN/>
              <w:bidi w:val="0"/>
              <w:adjustRightInd/>
              <w:snapToGrid/>
              <w:spacing w:line="500" w:lineRule="exact"/>
              <w:ind w:firstLine="0"/>
              <w:jc w:val="center"/>
              <w:textAlignment w:val="auto"/>
              <w:rPr>
                <w:rFonts w:hint="eastAsia" w:ascii="宋体" w:hAnsi="宋体" w:eastAsia="宋体" w:cs="宋体"/>
                <w:sz w:val="24"/>
                <w:szCs w:val="24"/>
              </w:rPr>
            </w:pPr>
            <w:r>
              <w:rPr>
                <w:rFonts w:hint="eastAsia" w:ascii="宋体" w:hAnsi="宋体" w:eastAsia="宋体" w:cs="宋体"/>
                <w:color w:val="000000"/>
                <w:sz w:val="24"/>
                <w:szCs w:val="24"/>
              </w:rPr>
              <w:t>2.3</w:t>
            </w:r>
          </w:p>
        </w:tc>
        <w:tc>
          <w:tcPr>
            <w:tcW w:w="3616" w:type="dxa"/>
            <w:tcBorders>
              <w:top w:val="nil"/>
              <w:left w:val="nil"/>
              <w:bottom w:val="single" w:color="000000" w:sz="4" w:space="0"/>
              <w:right w:val="single" w:color="000000" w:sz="4" w:space="0"/>
            </w:tcBorders>
            <w:tcMar>
              <w:top w:w="0" w:type="dxa"/>
              <w:left w:w="105" w:type="dxa"/>
              <w:bottom w:w="0" w:type="dxa"/>
              <w:right w:w="105" w:type="dxa"/>
            </w:tcMar>
            <w:vAlign w:val="top"/>
          </w:tcPr>
          <w:p w14:paraId="7039C820">
            <w:pPr>
              <w:pStyle w:val="6"/>
              <w:keepNext w:val="0"/>
              <w:keepLines w:val="0"/>
              <w:pageBreakBefore w:val="0"/>
              <w:widowControl/>
              <w:kinsoku/>
              <w:wordWrap/>
              <w:overflowPunct/>
              <w:topLinePunct w:val="0"/>
              <w:autoSpaceDE/>
              <w:autoSpaceDN/>
              <w:bidi w:val="0"/>
              <w:adjustRightInd/>
              <w:snapToGrid/>
              <w:spacing w:line="500" w:lineRule="exact"/>
              <w:ind w:firstLine="0"/>
              <w:jc w:val="both"/>
              <w:textAlignment w:val="auto"/>
              <w:rPr>
                <w:rFonts w:hint="eastAsia" w:ascii="宋体" w:hAnsi="宋体" w:eastAsia="宋体" w:cs="宋体"/>
                <w:sz w:val="24"/>
                <w:szCs w:val="24"/>
              </w:rPr>
            </w:pPr>
            <w:r>
              <w:rPr>
                <w:rFonts w:hint="eastAsia" w:ascii="宋体" w:hAnsi="宋体" w:eastAsia="宋体" w:cs="宋体"/>
                <w:color w:val="000000"/>
                <w:sz w:val="24"/>
                <w:szCs w:val="24"/>
              </w:rPr>
              <w:t>前置机搬迁服务</w:t>
            </w:r>
          </w:p>
        </w:tc>
        <w:tc>
          <w:tcPr>
            <w:tcW w:w="1455" w:type="dxa"/>
            <w:tcBorders>
              <w:top w:val="nil"/>
              <w:left w:val="nil"/>
              <w:bottom w:val="single" w:color="000000" w:sz="4" w:space="0"/>
              <w:right w:val="single" w:color="000000" w:sz="4" w:space="0"/>
            </w:tcBorders>
            <w:tcMar>
              <w:top w:w="0" w:type="dxa"/>
              <w:left w:w="105" w:type="dxa"/>
              <w:bottom w:w="0" w:type="dxa"/>
              <w:right w:w="105" w:type="dxa"/>
            </w:tcMar>
            <w:vAlign w:val="top"/>
          </w:tcPr>
          <w:p w14:paraId="61DA9F44">
            <w:pPr>
              <w:pStyle w:val="6"/>
              <w:keepNext w:val="0"/>
              <w:keepLines w:val="0"/>
              <w:pageBreakBefore w:val="0"/>
              <w:widowControl/>
              <w:kinsoku/>
              <w:wordWrap/>
              <w:overflowPunct/>
              <w:topLinePunct w:val="0"/>
              <w:autoSpaceDE/>
              <w:autoSpaceDN/>
              <w:bidi w:val="0"/>
              <w:adjustRightInd/>
              <w:snapToGrid/>
              <w:spacing w:line="500" w:lineRule="exact"/>
              <w:ind w:firstLine="0"/>
              <w:jc w:val="center"/>
              <w:textAlignment w:val="auto"/>
              <w:rPr>
                <w:rFonts w:hint="eastAsia" w:ascii="宋体" w:hAnsi="宋体" w:eastAsia="宋体" w:cs="宋体"/>
                <w:sz w:val="24"/>
                <w:szCs w:val="24"/>
              </w:rPr>
            </w:pPr>
            <w:r>
              <w:rPr>
                <w:rFonts w:hint="eastAsia" w:ascii="宋体" w:hAnsi="宋体" w:eastAsia="宋体" w:cs="宋体"/>
                <w:color w:val="000000"/>
                <w:sz w:val="24"/>
                <w:szCs w:val="24"/>
              </w:rPr>
              <w:t>1套</w:t>
            </w:r>
          </w:p>
        </w:tc>
        <w:tc>
          <w:tcPr>
            <w:tcW w:w="2359" w:type="dxa"/>
            <w:tcBorders>
              <w:top w:val="nil"/>
              <w:left w:val="nil"/>
              <w:bottom w:val="single" w:color="000000" w:sz="4" w:space="0"/>
              <w:right w:val="single" w:color="000000" w:sz="4" w:space="0"/>
            </w:tcBorders>
            <w:tcMar>
              <w:top w:w="0" w:type="dxa"/>
              <w:left w:w="105" w:type="dxa"/>
              <w:bottom w:w="0" w:type="dxa"/>
              <w:right w:w="105" w:type="dxa"/>
            </w:tcMar>
            <w:vAlign w:val="top"/>
          </w:tcPr>
          <w:p w14:paraId="07D37E0D">
            <w:pPr>
              <w:pStyle w:val="6"/>
              <w:keepNext w:val="0"/>
              <w:keepLines w:val="0"/>
              <w:pageBreakBefore w:val="0"/>
              <w:widowControl/>
              <w:kinsoku/>
              <w:wordWrap/>
              <w:overflowPunct/>
              <w:topLinePunct w:val="0"/>
              <w:autoSpaceDE/>
              <w:autoSpaceDN/>
              <w:bidi w:val="0"/>
              <w:adjustRightInd/>
              <w:snapToGrid/>
              <w:spacing w:line="500" w:lineRule="exact"/>
              <w:ind w:firstLine="0"/>
              <w:jc w:val="center"/>
              <w:textAlignment w:val="auto"/>
              <w:rPr>
                <w:rFonts w:hint="eastAsia" w:ascii="宋体" w:hAnsi="宋体" w:eastAsia="宋体" w:cs="宋体"/>
                <w:sz w:val="24"/>
                <w:szCs w:val="24"/>
              </w:rPr>
            </w:pPr>
            <w:r>
              <w:rPr>
                <w:rFonts w:hint="eastAsia" w:ascii="宋体" w:hAnsi="宋体" w:eastAsia="宋体" w:cs="宋体"/>
                <w:color w:val="000000"/>
                <w:sz w:val="24"/>
                <w:szCs w:val="24"/>
              </w:rPr>
              <w:t>2.000000</w:t>
            </w:r>
          </w:p>
        </w:tc>
      </w:tr>
      <w:tr w14:paraId="4B89A03F">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99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065D834C">
            <w:pPr>
              <w:pStyle w:val="6"/>
              <w:keepNext w:val="0"/>
              <w:keepLines w:val="0"/>
              <w:pageBreakBefore w:val="0"/>
              <w:widowControl/>
              <w:kinsoku/>
              <w:wordWrap/>
              <w:overflowPunct/>
              <w:topLinePunct w:val="0"/>
              <w:autoSpaceDE/>
              <w:autoSpaceDN/>
              <w:bidi w:val="0"/>
              <w:adjustRightInd/>
              <w:snapToGrid/>
              <w:spacing w:line="500" w:lineRule="exact"/>
              <w:ind w:firstLine="0"/>
              <w:jc w:val="center"/>
              <w:textAlignment w:val="auto"/>
              <w:rPr>
                <w:rFonts w:hint="eastAsia" w:ascii="宋体" w:hAnsi="宋体" w:eastAsia="宋体" w:cs="宋体"/>
                <w:sz w:val="24"/>
                <w:szCs w:val="24"/>
              </w:rPr>
            </w:pPr>
            <w:r>
              <w:rPr>
                <w:rFonts w:hint="eastAsia" w:ascii="宋体" w:hAnsi="宋体" w:eastAsia="宋体" w:cs="宋体"/>
                <w:b/>
                <w:color w:val="000000"/>
                <w:sz w:val="24"/>
                <w:szCs w:val="24"/>
              </w:rPr>
              <w:t>3</w:t>
            </w:r>
          </w:p>
        </w:tc>
        <w:tc>
          <w:tcPr>
            <w:tcW w:w="3616" w:type="dxa"/>
            <w:tcBorders>
              <w:top w:val="nil"/>
              <w:left w:val="nil"/>
              <w:bottom w:val="single" w:color="000000" w:sz="4" w:space="0"/>
              <w:right w:val="single" w:color="000000" w:sz="4" w:space="0"/>
            </w:tcBorders>
            <w:tcMar>
              <w:top w:w="0" w:type="dxa"/>
              <w:left w:w="105" w:type="dxa"/>
              <w:bottom w:w="0" w:type="dxa"/>
              <w:right w:w="105" w:type="dxa"/>
            </w:tcMar>
            <w:vAlign w:val="top"/>
          </w:tcPr>
          <w:p w14:paraId="27412ADD">
            <w:pPr>
              <w:pStyle w:val="6"/>
              <w:keepNext w:val="0"/>
              <w:keepLines w:val="0"/>
              <w:pageBreakBefore w:val="0"/>
              <w:widowControl/>
              <w:kinsoku/>
              <w:wordWrap/>
              <w:overflowPunct/>
              <w:topLinePunct w:val="0"/>
              <w:autoSpaceDE/>
              <w:autoSpaceDN/>
              <w:bidi w:val="0"/>
              <w:adjustRightInd/>
              <w:snapToGrid/>
              <w:spacing w:line="500" w:lineRule="exact"/>
              <w:ind w:firstLine="0"/>
              <w:jc w:val="both"/>
              <w:textAlignment w:val="auto"/>
              <w:rPr>
                <w:rFonts w:hint="eastAsia" w:ascii="宋体" w:hAnsi="宋体" w:eastAsia="宋体" w:cs="宋体"/>
                <w:sz w:val="24"/>
                <w:szCs w:val="24"/>
              </w:rPr>
            </w:pPr>
            <w:r>
              <w:rPr>
                <w:rFonts w:hint="eastAsia" w:ascii="宋体" w:hAnsi="宋体" w:eastAsia="宋体" w:cs="宋体"/>
                <w:b/>
                <w:color w:val="000000"/>
                <w:sz w:val="24"/>
                <w:szCs w:val="24"/>
              </w:rPr>
              <w:t>备份系统</w:t>
            </w:r>
          </w:p>
        </w:tc>
        <w:tc>
          <w:tcPr>
            <w:tcW w:w="1455" w:type="dxa"/>
            <w:tcBorders>
              <w:top w:val="nil"/>
              <w:left w:val="nil"/>
              <w:bottom w:val="single" w:color="000000" w:sz="4" w:space="0"/>
              <w:right w:val="single" w:color="000000" w:sz="4" w:space="0"/>
            </w:tcBorders>
            <w:tcMar>
              <w:top w:w="0" w:type="dxa"/>
              <w:left w:w="105" w:type="dxa"/>
              <w:bottom w:w="0" w:type="dxa"/>
              <w:right w:w="105" w:type="dxa"/>
            </w:tcMar>
            <w:vAlign w:val="top"/>
          </w:tcPr>
          <w:p w14:paraId="49AEF17F">
            <w:pPr>
              <w:pStyle w:val="6"/>
              <w:keepNext w:val="0"/>
              <w:keepLines w:val="0"/>
              <w:pageBreakBefore w:val="0"/>
              <w:widowControl/>
              <w:kinsoku/>
              <w:wordWrap/>
              <w:overflowPunct/>
              <w:topLinePunct w:val="0"/>
              <w:autoSpaceDE/>
              <w:autoSpaceDN/>
              <w:bidi w:val="0"/>
              <w:adjustRightInd/>
              <w:snapToGrid/>
              <w:spacing w:line="500" w:lineRule="exact"/>
              <w:ind w:firstLine="0"/>
              <w:jc w:val="center"/>
              <w:textAlignment w:val="auto"/>
              <w:rPr>
                <w:rFonts w:hint="eastAsia" w:ascii="宋体" w:hAnsi="宋体" w:eastAsia="宋体" w:cs="宋体"/>
                <w:sz w:val="24"/>
                <w:szCs w:val="24"/>
              </w:rPr>
            </w:pPr>
          </w:p>
        </w:tc>
        <w:tc>
          <w:tcPr>
            <w:tcW w:w="2359" w:type="dxa"/>
            <w:tcBorders>
              <w:top w:val="nil"/>
              <w:left w:val="nil"/>
              <w:bottom w:val="single" w:color="000000" w:sz="4" w:space="0"/>
              <w:right w:val="single" w:color="000000" w:sz="4" w:space="0"/>
            </w:tcBorders>
            <w:tcMar>
              <w:top w:w="0" w:type="dxa"/>
              <w:left w:w="105" w:type="dxa"/>
              <w:bottom w:w="0" w:type="dxa"/>
              <w:right w:w="105" w:type="dxa"/>
            </w:tcMar>
            <w:vAlign w:val="top"/>
          </w:tcPr>
          <w:p w14:paraId="42C33D28">
            <w:pPr>
              <w:pStyle w:val="6"/>
              <w:keepNext w:val="0"/>
              <w:keepLines w:val="0"/>
              <w:pageBreakBefore w:val="0"/>
              <w:widowControl/>
              <w:kinsoku/>
              <w:wordWrap/>
              <w:overflowPunct/>
              <w:topLinePunct w:val="0"/>
              <w:autoSpaceDE/>
              <w:autoSpaceDN/>
              <w:bidi w:val="0"/>
              <w:adjustRightInd/>
              <w:snapToGrid/>
              <w:spacing w:line="500" w:lineRule="exact"/>
              <w:ind w:firstLine="0"/>
              <w:jc w:val="center"/>
              <w:textAlignment w:val="auto"/>
              <w:rPr>
                <w:rFonts w:hint="eastAsia" w:ascii="宋体" w:hAnsi="宋体" w:eastAsia="宋体" w:cs="宋体"/>
                <w:sz w:val="24"/>
                <w:szCs w:val="24"/>
              </w:rPr>
            </w:pPr>
            <w:r>
              <w:rPr>
                <w:rFonts w:hint="eastAsia" w:ascii="宋体" w:hAnsi="宋体" w:eastAsia="宋体" w:cs="宋体"/>
                <w:b/>
                <w:color w:val="000000"/>
                <w:sz w:val="24"/>
                <w:szCs w:val="24"/>
              </w:rPr>
              <w:t>50.000000</w:t>
            </w:r>
          </w:p>
        </w:tc>
      </w:tr>
      <w:tr w14:paraId="345866D9">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99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040866F0">
            <w:pPr>
              <w:pStyle w:val="6"/>
              <w:keepNext w:val="0"/>
              <w:keepLines w:val="0"/>
              <w:pageBreakBefore w:val="0"/>
              <w:widowControl/>
              <w:kinsoku/>
              <w:wordWrap/>
              <w:overflowPunct/>
              <w:topLinePunct w:val="0"/>
              <w:autoSpaceDE/>
              <w:autoSpaceDN/>
              <w:bidi w:val="0"/>
              <w:adjustRightInd/>
              <w:snapToGrid/>
              <w:spacing w:line="500" w:lineRule="exact"/>
              <w:ind w:firstLine="0"/>
              <w:jc w:val="center"/>
              <w:textAlignment w:val="auto"/>
              <w:rPr>
                <w:rFonts w:hint="eastAsia" w:ascii="宋体" w:hAnsi="宋体" w:eastAsia="宋体" w:cs="宋体"/>
                <w:sz w:val="24"/>
                <w:szCs w:val="24"/>
              </w:rPr>
            </w:pPr>
            <w:r>
              <w:rPr>
                <w:rFonts w:hint="eastAsia" w:ascii="宋体" w:hAnsi="宋体" w:eastAsia="宋体" w:cs="宋体"/>
                <w:color w:val="000000"/>
                <w:sz w:val="24"/>
                <w:szCs w:val="24"/>
              </w:rPr>
              <w:t>3.1</w:t>
            </w:r>
          </w:p>
        </w:tc>
        <w:tc>
          <w:tcPr>
            <w:tcW w:w="3616" w:type="dxa"/>
            <w:tcBorders>
              <w:top w:val="nil"/>
              <w:left w:val="nil"/>
              <w:bottom w:val="single" w:color="000000" w:sz="4" w:space="0"/>
              <w:right w:val="single" w:color="000000" w:sz="4" w:space="0"/>
            </w:tcBorders>
            <w:tcMar>
              <w:top w:w="0" w:type="dxa"/>
              <w:left w:w="105" w:type="dxa"/>
              <w:bottom w:w="0" w:type="dxa"/>
              <w:right w:w="105" w:type="dxa"/>
            </w:tcMar>
            <w:vAlign w:val="top"/>
          </w:tcPr>
          <w:p w14:paraId="690DDAAC">
            <w:pPr>
              <w:pStyle w:val="6"/>
              <w:keepNext w:val="0"/>
              <w:keepLines w:val="0"/>
              <w:pageBreakBefore w:val="0"/>
              <w:widowControl/>
              <w:kinsoku/>
              <w:wordWrap/>
              <w:overflowPunct/>
              <w:topLinePunct w:val="0"/>
              <w:autoSpaceDE/>
              <w:autoSpaceDN/>
              <w:bidi w:val="0"/>
              <w:adjustRightInd/>
              <w:snapToGrid/>
              <w:spacing w:line="500" w:lineRule="exact"/>
              <w:ind w:firstLine="0"/>
              <w:jc w:val="both"/>
              <w:textAlignment w:val="auto"/>
              <w:rPr>
                <w:rFonts w:hint="eastAsia" w:ascii="宋体" w:hAnsi="宋体" w:eastAsia="宋体" w:cs="宋体"/>
                <w:sz w:val="24"/>
                <w:szCs w:val="24"/>
              </w:rPr>
            </w:pPr>
            <w:r>
              <w:rPr>
                <w:rFonts w:hint="eastAsia" w:ascii="宋体" w:hAnsi="宋体" w:eastAsia="宋体" w:cs="宋体"/>
                <w:color w:val="000000"/>
                <w:sz w:val="24"/>
                <w:szCs w:val="24"/>
              </w:rPr>
              <w:t>备份一体机</w:t>
            </w:r>
          </w:p>
        </w:tc>
        <w:tc>
          <w:tcPr>
            <w:tcW w:w="1455" w:type="dxa"/>
            <w:tcBorders>
              <w:top w:val="nil"/>
              <w:left w:val="nil"/>
              <w:bottom w:val="single" w:color="000000" w:sz="4" w:space="0"/>
              <w:right w:val="single" w:color="000000" w:sz="4" w:space="0"/>
            </w:tcBorders>
            <w:tcMar>
              <w:top w:w="0" w:type="dxa"/>
              <w:left w:w="105" w:type="dxa"/>
              <w:bottom w:w="0" w:type="dxa"/>
              <w:right w:w="105" w:type="dxa"/>
            </w:tcMar>
            <w:vAlign w:val="top"/>
          </w:tcPr>
          <w:p w14:paraId="309F7A8E">
            <w:pPr>
              <w:pStyle w:val="6"/>
              <w:keepNext w:val="0"/>
              <w:keepLines w:val="0"/>
              <w:pageBreakBefore w:val="0"/>
              <w:widowControl/>
              <w:kinsoku/>
              <w:wordWrap/>
              <w:overflowPunct/>
              <w:topLinePunct w:val="0"/>
              <w:autoSpaceDE/>
              <w:autoSpaceDN/>
              <w:bidi w:val="0"/>
              <w:adjustRightInd/>
              <w:snapToGrid/>
              <w:spacing w:line="500" w:lineRule="exact"/>
              <w:ind w:firstLine="0"/>
              <w:jc w:val="center"/>
              <w:textAlignment w:val="auto"/>
              <w:rPr>
                <w:rFonts w:hint="eastAsia" w:ascii="宋体" w:hAnsi="宋体" w:eastAsia="宋体" w:cs="宋体"/>
                <w:sz w:val="24"/>
                <w:szCs w:val="24"/>
              </w:rPr>
            </w:pPr>
            <w:r>
              <w:rPr>
                <w:rFonts w:hint="eastAsia" w:ascii="宋体" w:hAnsi="宋体" w:eastAsia="宋体" w:cs="宋体"/>
                <w:color w:val="000000"/>
                <w:sz w:val="24"/>
                <w:szCs w:val="24"/>
              </w:rPr>
              <w:t>1台</w:t>
            </w:r>
          </w:p>
        </w:tc>
        <w:tc>
          <w:tcPr>
            <w:tcW w:w="2359" w:type="dxa"/>
            <w:tcBorders>
              <w:top w:val="nil"/>
              <w:left w:val="nil"/>
              <w:bottom w:val="single" w:color="000000" w:sz="4" w:space="0"/>
              <w:right w:val="single" w:color="000000" w:sz="4" w:space="0"/>
            </w:tcBorders>
            <w:tcMar>
              <w:top w:w="0" w:type="dxa"/>
              <w:left w:w="105" w:type="dxa"/>
              <w:bottom w:w="0" w:type="dxa"/>
              <w:right w:w="105" w:type="dxa"/>
            </w:tcMar>
            <w:vAlign w:val="top"/>
          </w:tcPr>
          <w:p w14:paraId="2E02CF22">
            <w:pPr>
              <w:pStyle w:val="6"/>
              <w:keepNext w:val="0"/>
              <w:keepLines w:val="0"/>
              <w:pageBreakBefore w:val="0"/>
              <w:widowControl/>
              <w:kinsoku/>
              <w:wordWrap/>
              <w:overflowPunct/>
              <w:topLinePunct w:val="0"/>
              <w:autoSpaceDE/>
              <w:autoSpaceDN/>
              <w:bidi w:val="0"/>
              <w:adjustRightInd/>
              <w:snapToGrid/>
              <w:spacing w:line="500" w:lineRule="exact"/>
              <w:ind w:firstLine="0"/>
              <w:jc w:val="center"/>
              <w:textAlignment w:val="auto"/>
              <w:rPr>
                <w:rFonts w:hint="eastAsia" w:ascii="宋体" w:hAnsi="宋体" w:eastAsia="宋体" w:cs="宋体"/>
                <w:sz w:val="24"/>
                <w:szCs w:val="24"/>
              </w:rPr>
            </w:pPr>
            <w:r>
              <w:rPr>
                <w:rFonts w:hint="eastAsia" w:ascii="宋体" w:hAnsi="宋体" w:eastAsia="宋体" w:cs="宋体"/>
                <w:color w:val="000000"/>
                <w:sz w:val="24"/>
                <w:szCs w:val="24"/>
              </w:rPr>
              <w:t>50.000000</w:t>
            </w:r>
          </w:p>
        </w:tc>
      </w:tr>
      <w:tr w14:paraId="7FDA3542">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99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380D3FB">
            <w:pPr>
              <w:pStyle w:val="6"/>
              <w:keepNext w:val="0"/>
              <w:keepLines w:val="0"/>
              <w:pageBreakBefore w:val="0"/>
              <w:widowControl/>
              <w:kinsoku/>
              <w:wordWrap/>
              <w:overflowPunct/>
              <w:topLinePunct w:val="0"/>
              <w:autoSpaceDE/>
              <w:autoSpaceDN/>
              <w:bidi w:val="0"/>
              <w:adjustRightInd/>
              <w:snapToGrid/>
              <w:spacing w:line="500" w:lineRule="exact"/>
              <w:ind w:firstLine="0"/>
              <w:jc w:val="center"/>
              <w:textAlignment w:val="auto"/>
              <w:rPr>
                <w:rFonts w:hint="eastAsia" w:ascii="宋体" w:hAnsi="宋体" w:eastAsia="宋体" w:cs="宋体"/>
                <w:sz w:val="24"/>
                <w:szCs w:val="24"/>
              </w:rPr>
            </w:pPr>
            <w:r>
              <w:rPr>
                <w:rFonts w:hint="eastAsia" w:ascii="宋体" w:hAnsi="宋体" w:eastAsia="宋体" w:cs="宋体"/>
                <w:b/>
                <w:color w:val="000000"/>
                <w:sz w:val="24"/>
                <w:szCs w:val="24"/>
              </w:rPr>
              <w:t>4</w:t>
            </w:r>
          </w:p>
        </w:tc>
        <w:tc>
          <w:tcPr>
            <w:tcW w:w="3616" w:type="dxa"/>
            <w:tcBorders>
              <w:top w:val="nil"/>
              <w:left w:val="nil"/>
              <w:bottom w:val="single" w:color="000000" w:sz="4" w:space="0"/>
              <w:right w:val="single" w:color="000000" w:sz="4" w:space="0"/>
            </w:tcBorders>
            <w:tcMar>
              <w:top w:w="0" w:type="dxa"/>
              <w:left w:w="105" w:type="dxa"/>
              <w:bottom w:w="0" w:type="dxa"/>
              <w:right w:w="105" w:type="dxa"/>
            </w:tcMar>
            <w:vAlign w:val="top"/>
          </w:tcPr>
          <w:p w14:paraId="46CF3D3D">
            <w:pPr>
              <w:pStyle w:val="6"/>
              <w:keepNext w:val="0"/>
              <w:keepLines w:val="0"/>
              <w:pageBreakBefore w:val="0"/>
              <w:widowControl/>
              <w:kinsoku/>
              <w:wordWrap/>
              <w:overflowPunct/>
              <w:topLinePunct w:val="0"/>
              <w:autoSpaceDE/>
              <w:autoSpaceDN/>
              <w:bidi w:val="0"/>
              <w:adjustRightInd/>
              <w:snapToGrid/>
              <w:spacing w:line="500" w:lineRule="exact"/>
              <w:ind w:firstLine="0"/>
              <w:jc w:val="both"/>
              <w:textAlignment w:val="auto"/>
              <w:rPr>
                <w:rFonts w:hint="eastAsia" w:ascii="宋体" w:hAnsi="宋体" w:eastAsia="宋体" w:cs="宋体"/>
                <w:sz w:val="24"/>
                <w:szCs w:val="24"/>
              </w:rPr>
            </w:pPr>
            <w:r>
              <w:rPr>
                <w:rFonts w:hint="eastAsia" w:ascii="宋体" w:hAnsi="宋体" w:eastAsia="宋体" w:cs="宋体"/>
                <w:b/>
                <w:color w:val="000000"/>
                <w:sz w:val="24"/>
                <w:szCs w:val="24"/>
              </w:rPr>
              <w:t>基础硬件</w:t>
            </w:r>
          </w:p>
        </w:tc>
        <w:tc>
          <w:tcPr>
            <w:tcW w:w="1455" w:type="dxa"/>
            <w:tcBorders>
              <w:top w:val="nil"/>
              <w:left w:val="nil"/>
              <w:bottom w:val="single" w:color="000000" w:sz="4" w:space="0"/>
              <w:right w:val="single" w:color="000000" w:sz="4" w:space="0"/>
            </w:tcBorders>
            <w:tcMar>
              <w:top w:w="0" w:type="dxa"/>
              <w:left w:w="105" w:type="dxa"/>
              <w:bottom w:w="0" w:type="dxa"/>
              <w:right w:w="105" w:type="dxa"/>
            </w:tcMar>
            <w:vAlign w:val="top"/>
          </w:tcPr>
          <w:p w14:paraId="2DC06679">
            <w:pPr>
              <w:pStyle w:val="6"/>
              <w:keepNext w:val="0"/>
              <w:keepLines w:val="0"/>
              <w:pageBreakBefore w:val="0"/>
              <w:widowControl/>
              <w:kinsoku/>
              <w:wordWrap/>
              <w:overflowPunct/>
              <w:topLinePunct w:val="0"/>
              <w:autoSpaceDE/>
              <w:autoSpaceDN/>
              <w:bidi w:val="0"/>
              <w:adjustRightInd/>
              <w:snapToGrid/>
              <w:spacing w:line="500" w:lineRule="exact"/>
              <w:ind w:firstLine="0"/>
              <w:jc w:val="center"/>
              <w:textAlignment w:val="auto"/>
              <w:rPr>
                <w:rFonts w:hint="eastAsia" w:ascii="宋体" w:hAnsi="宋体" w:eastAsia="宋体" w:cs="宋体"/>
                <w:sz w:val="24"/>
                <w:szCs w:val="24"/>
              </w:rPr>
            </w:pPr>
          </w:p>
        </w:tc>
        <w:tc>
          <w:tcPr>
            <w:tcW w:w="2359" w:type="dxa"/>
            <w:tcBorders>
              <w:top w:val="nil"/>
              <w:left w:val="nil"/>
              <w:bottom w:val="single" w:color="000000" w:sz="4" w:space="0"/>
              <w:right w:val="single" w:color="000000" w:sz="4" w:space="0"/>
            </w:tcBorders>
            <w:tcMar>
              <w:top w:w="0" w:type="dxa"/>
              <w:left w:w="105" w:type="dxa"/>
              <w:bottom w:w="0" w:type="dxa"/>
              <w:right w:w="105" w:type="dxa"/>
            </w:tcMar>
            <w:vAlign w:val="top"/>
          </w:tcPr>
          <w:p w14:paraId="6C42108B">
            <w:pPr>
              <w:pStyle w:val="6"/>
              <w:keepNext w:val="0"/>
              <w:keepLines w:val="0"/>
              <w:pageBreakBefore w:val="0"/>
              <w:widowControl/>
              <w:kinsoku/>
              <w:wordWrap/>
              <w:overflowPunct/>
              <w:topLinePunct w:val="0"/>
              <w:autoSpaceDE/>
              <w:autoSpaceDN/>
              <w:bidi w:val="0"/>
              <w:adjustRightInd/>
              <w:snapToGrid/>
              <w:spacing w:line="500" w:lineRule="exact"/>
              <w:ind w:firstLine="0"/>
              <w:jc w:val="center"/>
              <w:textAlignment w:val="auto"/>
              <w:rPr>
                <w:rFonts w:hint="eastAsia" w:ascii="宋体" w:hAnsi="宋体" w:eastAsia="宋体" w:cs="宋体"/>
                <w:sz w:val="24"/>
                <w:szCs w:val="24"/>
              </w:rPr>
            </w:pPr>
            <w:r>
              <w:rPr>
                <w:rFonts w:hint="eastAsia" w:ascii="宋体" w:hAnsi="宋体" w:eastAsia="宋体" w:cs="宋体"/>
                <w:b/>
                <w:color w:val="000000"/>
                <w:sz w:val="24"/>
                <w:szCs w:val="24"/>
              </w:rPr>
              <w:t>11.700000</w:t>
            </w:r>
          </w:p>
        </w:tc>
      </w:tr>
      <w:tr w14:paraId="7FEA09B9">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99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66DD5BB4">
            <w:pPr>
              <w:pStyle w:val="6"/>
              <w:keepNext w:val="0"/>
              <w:keepLines w:val="0"/>
              <w:pageBreakBefore w:val="0"/>
              <w:widowControl/>
              <w:kinsoku/>
              <w:wordWrap/>
              <w:overflowPunct/>
              <w:topLinePunct w:val="0"/>
              <w:autoSpaceDE/>
              <w:autoSpaceDN/>
              <w:bidi w:val="0"/>
              <w:adjustRightInd/>
              <w:snapToGrid/>
              <w:spacing w:line="500" w:lineRule="exact"/>
              <w:ind w:firstLine="0"/>
              <w:jc w:val="center"/>
              <w:textAlignment w:val="auto"/>
              <w:rPr>
                <w:rFonts w:hint="eastAsia" w:ascii="宋体" w:hAnsi="宋体" w:eastAsia="宋体" w:cs="宋体"/>
                <w:sz w:val="24"/>
                <w:szCs w:val="24"/>
              </w:rPr>
            </w:pPr>
            <w:r>
              <w:rPr>
                <w:rFonts w:hint="eastAsia" w:ascii="宋体" w:hAnsi="宋体" w:eastAsia="宋体" w:cs="宋体"/>
                <w:color w:val="000000"/>
                <w:sz w:val="24"/>
                <w:szCs w:val="24"/>
              </w:rPr>
              <w:t>4.1</w:t>
            </w:r>
          </w:p>
        </w:tc>
        <w:tc>
          <w:tcPr>
            <w:tcW w:w="3616" w:type="dxa"/>
            <w:tcBorders>
              <w:top w:val="nil"/>
              <w:left w:val="nil"/>
              <w:bottom w:val="single" w:color="000000" w:sz="4" w:space="0"/>
              <w:right w:val="single" w:color="000000" w:sz="4" w:space="0"/>
            </w:tcBorders>
            <w:tcMar>
              <w:top w:w="0" w:type="dxa"/>
              <w:left w:w="105" w:type="dxa"/>
              <w:bottom w:w="0" w:type="dxa"/>
              <w:right w:w="105" w:type="dxa"/>
            </w:tcMar>
            <w:vAlign w:val="top"/>
          </w:tcPr>
          <w:p w14:paraId="41E2C6D4">
            <w:pPr>
              <w:pStyle w:val="6"/>
              <w:keepNext w:val="0"/>
              <w:keepLines w:val="0"/>
              <w:pageBreakBefore w:val="0"/>
              <w:widowControl/>
              <w:kinsoku/>
              <w:wordWrap/>
              <w:overflowPunct/>
              <w:topLinePunct w:val="0"/>
              <w:autoSpaceDE/>
              <w:autoSpaceDN/>
              <w:bidi w:val="0"/>
              <w:adjustRightInd/>
              <w:snapToGrid/>
              <w:spacing w:line="500" w:lineRule="exact"/>
              <w:ind w:firstLine="0"/>
              <w:jc w:val="both"/>
              <w:textAlignment w:val="auto"/>
              <w:rPr>
                <w:rFonts w:hint="eastAsia" w:ascii="宋体" w:hAnsi="宋体" w:eastAsia="宋体" w:cs="宋体"/>
                <w:sz w:val="24"/>
                <w:szCs w:val="24"/>
              </w:rPr>
            </w:pPr>
            <w:r>
              <w:rPr>
                <w:rFonts w:hint="eastAsia" w:ascii="宋体" w:hAnsi="宋体" w:eastAsia="宋体" w:cs="宋体"/>
                <w:color w:val="000000"/>
                <w:sz w:val="24"/>
                <w:szCs w:val="24"/>
              </w:rPr>
              <w:t>语音采集智能设备</w:t>
            </w:r>
          </w:p>
        </w:tc>
        <w:tc>
          <w:tcPr>
            <w:tcW w:w="1455" w:type="dxa"/>
            <w:tcBorders>
              <w:top w:val="nil"/>
              <w:left w:val="nil"/>
              <w:bottom w:val="single" w:color="000000" w:sz="4" w:space="0"/>
              <w:right w:val="single" w:color="000000" w:sz="4" w:space="0"/>
            </w:tcBorders>
            <w:tcMar>
              <w:top w:w="0" w:type="dxa"/>
              <w:left w:w="105" w:type="dxa"/>
              <w:bottom w:w="0" w:type="dxa"/>
              <w:right w:w="105" w:type="dxa"/>
            </w:tcMar>
            <w:vAlign w:val="top"/>
          </w:tcPr>
          <w:p w14:paraId="7F0E96E6">
            <w:pPr>
              <w:pStyle w:val="6"/>
              <w:keepNext w:val="0"/>
              <w:keepLines w:val="0"/>
              <w:pageBreakBefore w:val="0"/>
              <w:widowControl/>
              <w:kinsoku/>
              <w:wordWrap/>
              <w:overflowPunct/>
              <w:topLinePunct w:val="0"/>
              <w:autoSpaceDE/>
              <w:autoSpaceDN/>
              <w:bidi w:val="0"/>
              <w:adjustRightInd/>
              <w:snapToGrid/>
              <w:spacing w:line="500" w:lineRule="exact"/>
              <w:ind w:firstLine="0"/>
              <w:jc w:val="center"/>
              <w:textAlignment w:val="auto"/>
              <w:rPr>
                <w:rFonts w:hint="eastAsia" w:ascii="宋体" w:hAnsi="宋体" w:eastAsia="宋体" w:cs="宋体"/>
                <w:sz w:val="24"/>
                <w:szCs w:val="24"/>
              </w:rPr>
            </w:pPr>
            <w:r>
              <w:rPr>
                <w:rFonts w:hint="eastAsia" w:ascii="宋体" w:hAnsi="宋体" w:eastAsia="宋体" w:cs="宋体"/>
                <w:color w:val="000000"/>
                <w:sz w:val="24"/>
                <w:szCs w:val="24"/>
              </w:rPr>
              <w:t>78台</w:t>
            </w:r>
          </w:p>
        </w:tc>
        <w:tc>
          <w:tcPr>
            <w:tcW w:w="2359" w:type="dxa"/>
            <w:tcBorders>
              <w:top w:val="nil"/>
              <w:left w:val="nil"/>
              <w:bottom w:val="single" w:color="000000" w:sz="4" w:space="0"/>
              <w:right w:val="single" w:color="000000" w:sz="4" w:space="0"/>
            </w:tcBorders>
            <w:tcMar>
              <w:top w:w="0" w:type="dxa"/>
              <w:left w:w="105" w:type="dxa"/>
              <w:bottom w:w="0" w:type="dxa"/>
              <w:right w:w="105" w:type="dxa"/>
            </w:tcMar>
            <w:vAlign w:val="top"/>
          </w:tcPr>
          <w:p w14:paraId="41F5E5DC">
            <w:pPr>
              <w:pStyle w:val="6"/>
              <w:keepNext w:val="0"/>
              <w:keepLines w:val="0"/>
              <w:pageBreakBefore w:val="0"/>
              <w:widowControl/>
              <w:kinsoku/>
              <w:wordWrap/>
              <w:overflowPunct/>
              <w:topLinePunct w:val="0"/>
              <w:autoSpaceDE/>
              <w:autoSpaceDN/>
              <w:bidi w:val="0"/>
              <w:adjustRightInd/>
              <w:snapToGrid/>
              <w:spacing w:line="500" w:lineRule="exact"/>
              <w:ind w:firstLine="0"/>
              <w:jc w:val="center"/>
              <w:textAlignment w:val="auto"/>
              <w:rPr>
                <w:rFonts w:hint="eastAsia" w:ascii="宋体" w:hAnsi="宋体" w:eastAsia="宋体" w:cs="宋体"/>
                <w:sz w:val="24"/>
                <w:szCs w:val="24"/>
              </w:rPr>
            </w:pPr>
            <w:r>
              <w:rPr>
                <w:rFonts w:hint="eastAsia" w:ascii="宋体" w:hAnsi="宋体" w:eastAsia="宋体" w:cs="宋体"/>
                <w:color w:val="000000"/>
                <w:sz w:val="24"/>
                <w:szCs w:val="24"/>
              </w:rPr>
              <w:t>11.700000</w:t>
            </w:r>
          </w:p>
        </w:tc>
      </w:tr>
      <w:tr w14:paraId="4CAEBDBE">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99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62568AB3">
            <w:pPr>
              <w:pStyle w:val="6"/>
              <w:keepNext w:val="0"/>
              <w:keepLines w:val="0"/>
              <w:pageBreakBefore w:val="0"/>
              <w:widowControl/>
              <w:kinsoku/>
              <w:wordWrap/>
              <w:overflowPunct/>
              <w:topLinePunct w:val="0"/>
              <w:autoSpaceDE/>
              <w:autoSpaceDN/>
              <w:bidi w:val="0"/>
              <w:adjustRightInd/>
              <w:snapToGrid/>
              <w:spacing w:line="500" w:lineRule="exact"/>
              <w:ind w:firstLine="0"/>
              <w:jc w:val="center"/>
              <w:textAlignment w:val="auto"/>
              <w:rPr>
                <w:rFonts w:hint="eastAsia" w:ascii="宋体" w:hAnsi="宋体" w:eastAsia="宋体" w:cs="宋体"/>
                <w:sz w:val="24"/>
                <w:szCs w:val="24"/>
              </w:rPr>
            </w:pPr>
            <w:r>
              <w:rPr>
                <w:rFonts w:hint="eastAsia" w:ascii="宋体" w:hAnsi="宋体" w:eastAsia="宋体" w:cs="宋体"/>
                <w:b/>
                <w:color w:val="000000"/>
                <w:sz w:val="24"/>
                <w:szCs w:val="24"/>
              </w:rPr>
              <w:t>三</w:t>
            </w:r>
          </w:p>
        </w:tc>
        <w:tc>
          <w:tcPr>
            <w:tcW w:w="3616" w:type="dxa"/>
            <w:tcBorders>
              <w:top w:val="nil"/>
              <w:left w:val="nil"/>
              <w:bottom w:val="single" w:color="000000" w:sz="4" w:space="0"/>
              <w:right w:val="single" w:color="000000" w:sz="4" w:space="0"/>
            </w:tcBorders>
            <w:tcMar>
              <w:top w:w="0" w:type="dxa"/>
              <w:left w:w="105" w:type="dxa"/>
              <w:bottom w:w="0" w:type="dxa"/>
              <w:right w:w="105" w:type="dxa"/>
            </w:tcMar>
            <w:vAlign w:val="top"/>
          </w:tcPr>
          <w:p w14:paraId="0A74DB44">
            <w:pPr>
              <w:pStyle w:val="6"/>
              <w:keepNext w:val="0"/>
              <w:keepLines w:val="0"/>
              <w:pageBreakBefore w:val="0"/>
              <w:widowControl/>
              <w:kinsoku/>
              <w:wordWrap/>
              <w:overflowPunct/>
              <w:topLinePunct w:val="0"/>
              <w:autoSpaceDE/>
              <w:autoSpaceDN/>
              <w:bidi w:val="0"/>
              <w:adjustRightInd/>
              <w:snapToGrid/>
              <w:spacing w:line="500" w:lineRule="exact"/>
              <w:ind w:firstLine="0"/>
              <w:jc w:val="both"/>
              <w:textAlignment w:val="auto"/>
              <w:rPr>
                <w:rFonts w:hint="eastAsia" w:ascii="宋体" w:hAnsi="宋体" w:eastAsia="宋体" w:cs="宋体"/>
                <w:sz w:val="24"/>
                <w:szCs w:val="24"/>
              </w:rPr>
            </w:pPr>
            <w:r>
              <w:rPr>
                <w:rFonts w:hint="eastAsia" w:ascii="宋体" w:hAnsi="宋体" w:eastAsia="宋体" w:cs="宋体"/>
                <w:b/>
                <w:color w:val="000000"/>
                <w:sz w:val="24"/>
                <w:szCs w:val="24"/>
              </w:rPr>
              <w:t>患者视频行为分析</w:t>
            </w:r>
          </w:p>
        </w:tc>
        <w:tc>
          <w:tcPr>
            <w:tcW w:w="1455" w:type="dxa"/>
            <w:tcBorders>
              <w:top w:val="nil"/>
              <w:left w:val="nil"/>
              <w:bottom w:val="single" w:color="000000" w:sz="4" w:space="0"/>
              <w:right w:val="single" w:color="000000" w:sz="4" w:space="0"/>
            </w:tcBorders>
            <w:tcMar>
              <w:top w:w="0" w:type="dxa"/>
              <w:left w:w="105" w:type="dxa"/>
              <w:bottom w:w="0" w:type="dxa"/>
              <w:right w:w="105" w:type="dxa"/>
            </w:tcMar>
            <w:vAlign w:val="top"/>
          </w:tcPr>
          <w:p w14:paraId="60D842DE">
            <w:pPr>
              <w:pStyle w:val="6"/>
              <w:keepNext w:val="0"/>
              <w:keepLines w:val="0"/>
              <w:pageBreakBefore w:val="0"/>
              <w:widowControl/>
              <w:kinsoku/>
              <w:wordWrap/>
              <w:overflowPunct/>
              <w:topLinePunct w:val="0"/>
              <w:autoSpaceDE/>
              <w:autoSpaceDN/>
              <w:bidi w:val="0"/>
              <w:adjustRightInd/>
              <w:snapToGrid/>
              <w:spacing w:line="500" w:lineRule="exact"/>
              <w:ind w:firstLine="0"/>
              <w:jc w:val="center"/>
              <w:textAlignment w:val="auto"/>
              <w:rPr>
                <w:rFonts w:hint="eastAsia" w:ascii="宋体" w:hAnsi="宋体" w:eastAsia="宋体" w:cs="宋体"/>
                <w:sz w:val="24"/>
                <w:szCs w:val="24"/>
              </w:rPr>
            </w:pPr>
          </w:p>
        </w:tc>
        <w:tc>
          <w:tcPr>
            <w:tcW w:w="2359" w:type="dxa"/>
            <w:tcBorders>
              <w:top w:val="nil"/>
              <w:left w:val="nil"/>
              <w:bottom w:val="single" w:color="000000" w:sz="4" w:space="0"/>
              <w:right w:val="single" w:color="000000" w:sz="4" w:space="0"/>
            </w:tcBorders>
            <w:tcMar>
              <w:top w:w="0" w:type="dxa"/>
              <w:left w:w="105" w:type="dxa"/>
              <w:bottom w:w="0" w:type="dxa"/>
              <w:right w:w="105" w:type="dxa"/>
            </w:tcMar>
            <w:vAlign w:val="top"/>
          </w:tcPr>
          <w:p w14:paraId="46BED609">
            <w:pPr>
              <w:pStyle w:val="6"/>
              <w:keepNext w:val="0"/>
              <w:keepLines w:val="0"/>
              <w:pageBreakBefore w:val="0"/>
              <w:widowControl/>
              <w:kinsoku/>
              <w:wordWrap/>
              <w:overflowPunct/>
              <w:topLinePunct w:val="0"/>
              <w:autoSpaceDE/>
              <w:autoSpaceDN/>
              <w:bidi w:val="0"/>
              <w:adjustRightInd/>
              <w:snapToGrid/>
              <w:spacing w:line="500" w:lineRule="exact"/>
              <w:ind w:firstLine="0"/>
              <w:jc w:val="center"/>
              <w:textAlignment w:val="auto"/>
              <w:rPr>
                <w:rFonts w:hint="eastAsia" w:ascii="宋体" w:hAnsi="宋体" w:eastAsia="宋体" w:cs="宋体"/>
                <w:sz w:val="24"/>
                <w:szCs w:val="24"/>
              </w:rPr>
            </w:pPr>
            <w:r>
              <w:rPr>
                <w:rFonts w:hint="eastAsia" w:ascii="宋体" w:hAnsi="宋体" w:eastAsia="宋体" w:cs="宋体"/>
                <w:b/>
                <w:color w:val="000000"/>
                <w:sz w:val="24"/>
                <w:szCs w:val="24"/>
              </w:rPr>
              <w:t>79.854000</w:t>
            </w:r>
          </w:p>
        </w:tc>
      </w:tr>
      <w:tr w14:paraId="620FEFA3">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99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7D837956">
            <w:pPr>
              <w:pStyle w:val="6"/>
              <w:keepNext w:val="0"/>
              <w:keepLines w:val="0"/>
              <w:pageBreakBefore w:val="0"/>
              <w:widowControl/>
              <w:kinsoku/>
              <w:wordWrap/>
              <w:overflowPunct/>
              <w:topLinePunct w:val="0"/>
              <w:autoSpaceDE/>
              <w:autoSpaceDN/>
              <w:bidi w:val="0"/>
              <w:adjustRightInd/>
              <w:snapToGrid/>
              <w:spacing w:line="500" w:lineRule="exact"/>
              <w:ind w:firstLine="0"/>
              <w:jc w:val="center"/>
              <w:textAlignment w:val="auto"/>
              <w:rPr>
                <w:rFonts w:hint="eastAsia" w:ascii="宋体" w:hAnsi="宋体" w:eastAsia="宋体" w:cs="宋体"/>
                <w:sz w:val="24"/>
                <w:szCs w:val="24"/>
              </w:rPr>
            </w:pPr>
            <w:r>
              <w:rPr>
                <w:rFonts w:hint="eastAsia" w:ascii="宋体" w:hAnsi="宋体" w:eastAsia="宋体" w:cs="宋体"/>
                <w:b/>
                <w:color w:val="000000"/>
                <w:sz w:val="24"/>
                <w:szCs w:val="24"/>
              </w:rPr>
              <w:t>1</w:t>
            </w:r>
          </w:p>
        </w:tc>
        <w:tc>
          <w:tcPr>
            <w:tcW w:w="3616" w:type="dxa"/>
            <w:tcBorders>
              <w:top w:val="nil"/>
              <w:left w:val="nil"/>
              <w:bottom w:val="single" w:color="000000" w:sz="4" w:space="0"/>
              <w:right w:val="single" w:color="000000" w:sz="4" w:space="0"/>
            </w:tcBorders>
            <w:tcMar>
              <w:top w:w="0" w:type="dxa"/>
              <w:left w:w="105" w:type="dxa"/>
              <w:bottom w:w="0" w:type="dxa"/>
              <w:right w:w="105" w:type="dxa"/>
            </w:tcMar>
            <w:vAlign w:val="top"/>
          </w:tcPr>
          <w:p w14:paraId="4FF57EFE">
            <w:pPr>
              <w:pStyle w:val="6"/>
              <w:keepNext w:val="0"/>
              <w:keepLines w:val="0"/>
              <w:pageBreakBefore w:val="0"/>
              <w:widowControl/>
              <w:kinsoku/>
              <w:wordWrap/>
              <w:overflowPunct/>
              <w:topLinePunct w:val="0"/>
              <w:autoSpaceDE/>
              <w:autoSpaceDN/>
              <w:bidi w:val="0"/>
              <w:adjustRightInd/>
              <w:snapToGrid/>
              <w:spacing w:line="500" w:lineRule="exact"/>
              <w:ind w:firstLine="0"/>
              <w:jc w:val="both"/>
              <w:textAlignment w:val="auto"/>
              <w:rPr>
                <w:rFonts w:hint="eastAsia" w:ascii="宋体" w:hAnsi="宋体" w:eastAsia="宋体" w:cs="宋体"/>
                <w:sz w:val="24"/>
                <w:szCs w:val="24"/>
              </w:rPr>
            </w:pPr>
            <w:r>
              <w:rPr>
                <w:rFonts w:hint="eastAsia" w:ascii="宋体" w:hAnsi="宋体" w:eastAsia="宋体" w:cs="宋体"/>
                <w:b/>
                <w:color w:val="000000"/>
                <w:sz w:val="24"/>
                <w:szCs w:val="24"/>
              </w:rPr>
              <w:t>AI智能监控系统</w:t>
            </w:r>
          </w:p>
        </w:tc>
        <w:tc>
          <w:tcPr>
            <w:tcW w:w="1455" w:type="dxa"/>
            <w:tcBorders>
              <w:top w:val="nil"/>
              <w:left w:val="nil"/>
              <w:bottom w:val="single" w:color="000000" w:sz="4" w:space="0"/>
              <w:right w:val="single" w:color="000000" w:sz="4" w:space="0"/>
            </w:tcBorders>
            <w:tcMar>
              <w:top w:w="0" w:type="dxa"/>
              <w:left w:w="105" w:type="dxa"/>
              <w:bottom w:w="0" w:type="dxa"/>
              <w:right w:w="105" w:type="dxa"/>
            </w:tcMar>
            <w:vAlign w:val="top"/>
          </w:tcPr>
          <w:p w14:paraId="42080CA9">
            <w:pPr>
              <w:pStyle w:val="6"/>
              <w:keepNext w:val="0"/>
              <w:keepLines w:val="0"/>
              <w:pageBreakBefore w:val="0"/>
              <w:widowControl/>
              <w:kinsoku/>
              <w:wordWrap/>
              <w:overflowPunct/>
              <w:topLinePunct w:val="0"/>
              <w:autoSpaceDE/>
              <w:autoSpaceDN/>
              <w:bidi w:val="0"/>
              <w:adjustRightInd/>
              <w:snapToGrid/>
              <w:spacing w:line="500" w:lineRule="exact"/>
              <w:ind w:firstLine="0"/>
              <w:jc w:val="center"/>
              <w:textAlignment w:val="auto"/>
              <w:rPr>
                <w:rFonts w:hint="eastAsia" w:ascii="宋体" w:hAnsi="宋体" w:eastAsia="宋体" w:cs="宋体"/>
                <w:sz w:val="24"/>
                <w:szCs w:val="24"/>
              </w:rPr>
            </w:pPr>
          </w:p>
        </w:tc>
        <w:tc>
          <w:tcPr>
            <w:tcW w:w="2359" w:type="dxa"/>
            <w:tcBorders>
              <w:top w:val="nil"/>
              <w:left w:val="nil"/>
              <w:bottom w:val="single" w:color="000000" w:sz="4" w:space="0"/>
              <w:right w:val="single" w:color="000000" w:sz="4" w:space="0"/>
            </w:tcBorders>
            <w:tcMar>
              <w:top w:w="0" w:type="dxa"/>
              <w:left w:w="105" w:type="dxa"/>
              <w:bottom w:w="0" w:type="dxa"/>
              <w:right w:w="105" w:type="dxa"/>
            </w:tcMar>
            <w:vAlign w:val="top"/>
          </w:tcPr>
          <w:p w14:paraId="33E6CA02">
            <w:pPr>
              <w:pStyle w:val="6"/>
              <w:keepNext w:val="0"/>
              <w:keepLines w:val="0"/>
              <w:pageBreakBefore w:val="0"/>
              <w:widowControl/>
              <w:kinsoku/>
              <w:wordWrap/>
              <w:overflowPunct/>
              <w:topLinePunct w:val="0"/>
              <w:autoSpaceDE/>
              <w:autoSpaceDN/>
              <w:bidi w:val="0"/>
              <w:adjustRightInd/>
              <w:snapToGrid/>
              <w:spacing w:line="500" w:lineRule="exact"/>
              <w:ind w:firstLine="0"/>
              <w:jc w:val="center"/>
              <w:textAlignment w:val="auto"/>
              <w:rPr>
                <w:rFonts w:hint="eastAsia" w:ascii="宋体" w:hAnsi="宋体" w:eastAsia="宋体" w:cs="宋体"/>
                <w:sz w:val="24"/>
                <w:szCs w:val="24"/>
              </w:rPr>
            </w:pPr>
            <w:r>
              <w:rPr>
                <w:rFonts w:hint="eastAsia" w:ascii="宋体" w:hAnsi="宋体" w:eastAsia="宋体" w:cs="宋体"/>
                <w:b/>
                <w:color w:val="000000"/>
                <w:sz w:val="24"/>
                <w:szCs w:val="24"/>
              </w:rPr>
              <w:t>11.811000</w:t>
            </w:r>
          </w:p>
        </w:tc>
      </w:tr>
      <w:tr w14:paraId="353182C1">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99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714EDECA">
            <w:pPr>
              <w:pStyle w:val="6"/>
              <w:keepNext w:val="0"/>
              <w:keepLines w:val="0"/>
              <w:pageBreakBefore w:val="0"/>
              <w:widowControl/>
              <w:kinsoku/>
              <w:wordWrap/>
              <w:overflowPunct/>
              <w:topLinePunct w:val="0"/>
              <w:autoSpaceDE/>
              <w:autoSpaceDN/>
              <w:bidi w:val="0"/>
              <w:adjustRightInd/>
              <w:snapToGrid/>
              <w:spacing w:line="500" w:lineRule="exact"/>
              <w:ind w:firstLine="0"/>
              <w:jc w:val="center"/>
              <w:textAlignment w:val="auto"/>
              <w:rPr>
                <w:rFonts w:hint="eastAsia" w:ascii="宋体" w:hAnsi="宋体" w:eastAsia="宋体" w:cs="宋体"/>
                <w:sz w:val="24"/>
                <w:szCs w:val="24"/>
              </w:rPr>
            </w:pPr>
            <w:r>
              <w:rPr>
                <w:rFonts w:hint="eastAsia" w:ascii="宋体" w:hAnsi="宋体" w:eastAsia="宋体" w:cs="宋体"/>
                <w:color w:val="000000"/>
                <w:sz w:val="24"/>
                <w:szCs w:val="24"/>
              </w:rPr>
              <w:t>1.1</w:t>
            </w:r>
          </w:p>
        </w:tc>
        <w:tc>
          <w:tcPr>
            <w:tcW w:w="3616" w:type="dxa"/>
            <w:tcBorders>
              <w:top w:val="nil"/>
              <w:left w:val="nil"/>
              <w:bottom w:val="single" w:color="000000" w:sz="4" w:space="0"/>
              <w:right w:val="single" w:color="000000" w:sz="4" w:space="0"/>
            </w:tcBorders>
            <w:tcMar>
              <w:top w:w="0" w:type="dxa"/>
              <w:left w:w="105" w:type="dxa"/>
              <w:bottom w:w="0" w:type="dxa"/>
              <w:right w:w="105" w:type="dxa"/>
            </w:tcMar>
            <w:vAlign w:val="top"/>
          </w:tcPr>
          <w:p w14:paraId="6620E5FE">
            <w:pPr>
              <w:pStyle w:val="6"/>
              <w:keepNext w:val="0"/>
              <w:keepLines w:val="0"/>
              <w:pageBreakBefore w:val="0"/>
              <w:widowControl/>
              <w:kinsoku/>
              <w:wordWrap/>
              <w:overflowPunct/>
              <w:topLinePunct w:val="0"/>
              <w:autoSpaceDE/>
              <w:autoSpaceDN/>
              <w:bidi w:val="0"/>
              <w:adjustRightInd/>
              <w:snapToGrid/>
              <w:spacing w:line="500" w:lineRule="exact"/>
              <w:ind w:firstLine="0"/>
              <w:jc w:val="both"/>
              <w:textAlignment w:val="auto"/>
              <w:rPr>
                <w:rFonts w:hint="eastAsia" w:ascii="宋体" w:hAnsi="宋体" w:eastAsia="宋体" w:cs="宋体"/>
                <w:sz w:val="24"/>
                <w:szCs w:val="24"/>
              </w:rPr>
            </w:pPr>
            <w:r>
              <w:rPr>
                <w:rFonts w:hint="eastAsia" w:ascii="宋体" w:hAnsi="宋体" w:eastAsia="宋体" w:cs="宋体"/>
                <w:color w:val="000000"/>
                <w:sz w:val="24"/>
                <w:szCs w:val="24"/>
              </w:rPr>
              <w:t>400万网络半球摄像机</w:t>
            </w:r>
          </w:p>
        </w:tc>
        <w:tc>
          <w:tcPr>
            <w:tcW w:w="1455" w:type="dxa"/>
            <w:tcBorders>
              <w:top w:val="nil"/>
              <w:left w:val="nil"/>
              <w:bottom w:val="single" w:color="000000" w:sz="4" w:space="0"/>
              <w:right w:val="single" w:color="000000" w:sz="4" w:space="0"/>
            </w:tcBorders>
            <w:tcMar>
              <w:top w:w="0" w:type="dxa"/>
              <w:left w:w="105" w:type="dxa"/>
              <w:bottom w:w="0" w:type="dxa"/>
              <w:right w:w="105" w:type="dxa"/>
            </w:tcMar>
            <w:vAlign w:val="top"/>
          </w:tcPr>
          <w:p w14:paraId="4167377C">
            <w:pPr>
              <w:pStyle w:val="6"/>
              <w:keepNext w:val="0"/>
              <w:keepLines w:val="0"/>
              <w:pageBreakBefore w:val="0"/>
              <w:widowControl/>
              <w:kinsoku/>
              <w:wordWrap/>
              <w:overflowPunct/>
              <w:topLinePunct w:val="0"/>
              <w:autoSpaceDE/>
              <w:autoSpaceDN/>
              <w:bidi w:val="0"/>
              <w:adjustRightInd/>
              <w:snapToGrid/>
              <w:spacing w:line="500" w:lineRule="exact"/>
              <w:ind w:firstLine="0"/>
              <w:jc w:val="center"/>
              <w:textAlignment w:val="auto"/>
              <w:rPr>
                <w:rFonts w:hint="eastAsia" w:ascii="宋体" w:hAnsi="宋体" w:eastAsia="宋体" w:cs="宋体"/>
                <w:sz w:val="24"/>
                <w:szCs w:val="24"/>
              </w:rPr>
            </w:pPr>
            <w:r>
              <w:rPr>
                <w:rFonts w:hint="eastAsia" w:ascii="宋体" w:hAnsi="宋体" w:eastAsia="宋体" w:cs="宋体"/>
                <w:color w:val="000000"/>
                <w:sz w:val="24"/>
                <w:szCs w:val="24"/>
              </w:rPr>
              <w:t>10台</w:t>
            </w:r>
          </w:p>
        </w:tc>
        <w:tc>
          <w:tcPr>
            <w:tcW w:w="2359" w:type="dxa"/>
            <w:tcBorders>
              <w:top w:val="nil"/>
              <w:left w:val="nil"/>
              <w:bottom w:val="single" w:color="000000" w:sz="4" w:space="0"/>
              <w:right w:val="single" w:color="000000" w:sz="4" w:space="0"/>
            </w:tcBorders>
            <w:tcMar>
              <w:top w:w="0" w:type="dxa"/>
              <w:left w:w="105" w:type="dxa"/>
              <w:bottom w:w="0" w:type="dxa"/>
              <w:right w:w="105" w:type="dxa"/>
            </w:tcMar>
            <w:vAlign w:val="top"/>
          </w:tcPr>
          <w:p w14:paraId="00B49BAA">
            <w:pPr>
              <w:pStyle w:val="6"/>
              <w:keepNext w:val="0"/>
              <w:keepLines w:val="0"/>
              <w:pageBreakBefore w:val="0"/>
              <w:widowControl/>
              <w:kinsoku/>
              <w:wordWrap/>
              <w:overflowPunct/>
              <w:topLinePunct w:val="0"/>
              <w:autoSpaceDE/>
              <w:autoSpaceDN/>
              <w:bidi w:val="0"/>
              <w:adjustRightInd/>
              <w:snapToGrid/>
              <w:spacing w:line="500" w:lineRule="exact"/>
              <w:ind w:firstLine="0"/>
              <w:jc w:val="center"/>
              <w:textAlignment w:val="auto"/>
              <w:rPr>
                <w:rFonts w:hint="eastAsia" w:ascii="宋体" w:hAnsi="宋体" w:eastAsia="宋体" w:cs="宋体"/>
                <w:sz w:val="24"/>
                <w:szCs w:val="24"/>
              </w:rPr>
            </w:pPr>
            <w:r>
              <w:rPr>
                <w:rFonts w:hint="eastAsia" w:ascii="宋体" w:hAnsi="宋体" w:eastAsia="宋体" w:cs="宋体"/>
                <w:color w:val="000000"/>
                <w:sz w:val="24"/>
                <w:szCs w:val="24"/>
              </w:rPr>
              <w:t>0.500000</w:t>
            </w:r>
          </w:p>
        </w:tc>
      </w:tr>
      <w:tr w14:paraId="78BD5E54">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99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1B57A1AA">
            <w:pPr>
              <w:pStyle w:val="6"/>
              <w:keepNext w:val="0"/>
              <w:keepLines w:val="0"/>
              <w:pageBreakBefore w:val="0"/>
              <w:widowControl/>
              <w:kinsoku/>
              <w:wordWrap/>
              <w:overflowPunct/>
              <w:topLinePunct w:val="0"/>
              <w:autoSpaceDE/>
              <w:autoSpaceDN/>
              <w:bidi w:val="0"/>
              <w:adjustRightInd/>
              <w:snapToGrid/>
              <w:spacing w:line="500" w:lineRule="exact"/>
              <w:ind w:firstLine="0"/>
              <w:jc w:val="center"/>
              <w:textAlignment w:val="auto"/>
              <w:rPr>
                <w:rFonts w:hint="eastAsia" w:ascii="宋体" w:hAnsi="宋体" w:eastAsia="宋体" w:cs="宋体"/>
                <w:sz w:val="24"/>
                <w:szCs w:val="24"/>
              </w:rPr>
            </w:pPr>
            <w:r>
              <w:rPr>
                <w:rFonts w:hint="eastAsia" w:ascii="宋体" w:hAnsi="宋体" w:eastAsia="宋体" w:cs="宋体"/>
                <w:color w:val="000000"/>
                <w:sz w:val="24"/>
                <w:szCs w:val="24"/>
              </w:rPr>
              <w:t>1.2</w:t>
            </w:r>
          </w:p>
        </w:tc>
        <w:tc>
          <w:tcPr>
            <w:tcW w:w="3616" w:type="dxa"/>
            <w:tcBorders>
              <w:top w:val="nil"/>
              <w:left w:val="nil"/>
              <w:bottom w:val="single" w:color="000000" w:sz="4" w:space="0"/>
              <w:right w:val="single" w:color="000000" w:sz="4" w:space="0"/>
            </w:tcBorders>
            <w:tcMar>
              <w:top w:w="0" w:type="dxa"/>
              <w:left w:w="105" w:type="dxa"/>
              <w:bottom w:w="0" w:type="dxa"/>
              <w:right w:w="105" w:type="dxa"/>
            </w:tcMar>
            <w:vAlign w:val="top"/>
          </w:tcPr>
          <w:p w14:paraId="23715BD0">
            <w:pPr>
              <w:pStyle w:val="6"/>
              <w:keepNext w:val="0"/>
              <w:keepLines w:val="0"/>
              <w:pageBreakBefore w:val="0"/>
              <w:widowControl/>
              <w:kinsoku/>
              <w:wordWrap/>
              <w:overflowPunct/>
              <w:topLinePunct w:val="0"/>
              <w:autoSpaceDE/>
              <w:autoSpaceDN/>
              <w:bidi w:val="0"/>
              <w:adjustRightInd/>
              <w:snapToGrid/>
              <w:spacing w:line="500" w:lineRule="exact"/>
              <w:ind w:firstLine="0"/>
              <w:jc w:val="both"/>
              <w:textAlignment w:val="auto"/>
              <w:rPr>
                <w:rFonts w:hint="eastAsia" w:ascii="宋体" w:hAnsi="宋体" w:eastAsia="宋体" w:cs="宋体"/>
                <w:sz w:val="24"/>
                <w:szCs w:val="24"/>
              </w:rPr>
            </w:pPr>
            <w:r>
              <w:rPr>
                <w:rFonts w:hint="eastAsia" w:ascii="宋体" w:hAnsi="宋体" w:eastAsia="宋体" w:cs="宋体"/>
                <w:color w:val="000000"/>
                <w:sz w:val="24"/>
                <w:szCs w:val="24"/>
              </w:rPr>
              <w:t>摄像机支架</w:t>
            </w:r>
          </w:p>
        </w:tc>
        <w:tc>
          <w:tcPr>
            <w:tcW w:w="1455" w:type="dxa"/>
            <w:tcBorders>
              <w:top w:val="nil"/>
              <w:left w:val="nil"/>
              <w:bottom w:val="single" w:color="000000" w:sz="4" w:space="0"/>
              <w:right w:val="single" w:color="000000" w:sz="4" w:space="0"/>
            </w:tcBorders>
            <w:tcMar>
              <w:top w:w="0" w:type="dxa"/>
              <w:left w:w="105" w:type="dxa"/>
              <w:bottom w:w="0" w:type="dxa"/>
              <w:right w:w="105" w:type="dxa"/>
            </w:tcMar>
            <w:vAlign w:val="top"/>
          </w:tcPr>
          <w:p w14:paraId="35673129">
            <w:pPr>
              <w:pStyle w:val="6"/>
              <w:keepNext w:val="0"/>
              <w:keepLines w:val="0"/>
              <w:pageBreakBefore w:val="0"/>
              <w:widowControl/>
              <w:kinsoku/>
              <w:wordWrap/>
              <w:overflowPunct/>
              <w:topLinePunct w:val="0"/>
              <w:autoSpaceDE/>
              <w:autoSpaceDN/>
              <w:bidi w:val="0"/>
              <w:adjustRightInd/>
              <w:snapToGrid/>
              <w:spacing w:line="500" w:lineRule="exact"/>
              <w:ind w:firstLine="0"/>
              <w:jc w:val="center"/>
              <w:textAlignment w:val="auto"/>
              <w:rPr>
                <w:rFonts w:hint="eastAsia" w:ascii="宋体" w:hAnsi="宋体" w:eastAsia="宋体" w:cs="宋体"/>
                <w:sz w:val="24"/>
                <w:szCs w:val="24"/>
              </w:rPr>
            </w:pPr>
            <w:r>
              <w:rPr>
                <w:rFonts w:hint="eastAsia" w:ascii="宋体" w:hAnsi="宋体" w:eastAsia="宋体" w:cs="宋体"/>
                <w:color w:val="000000"/>
                <w:sz w:val="24"/>
                <w:szCs w:val="24"/>
              </w:rPr>
              <w:t>10台</w:t>
            </w:r>
          </w:p>
        </w:tc>
        <w:tc>
          <w:tcPr>
            <w:tcW w:w="2359" w:type="dxa"/>
            <w:tcBorders>
              <w:top w:val="nil"/>
              <w:left w:val="nil"/>
              <w:bottom w:val="single" w:color="000000" w:sz="4" w:space="0"/>
              <w:right w:val="single" w:color="000000" w:sz="4" w:space="0"/>
            </w:tcBorders>
            <w:tcMar>
              <w:top w:w="0" w:type="dxa"/>
              <w:left w:w="105" w:type="dxa"/>
              <w:bottom w:w="0" w:type="dxa"/>
              <w:right w:w="105" w:type="dxa"/>
            </w:tcMar>
            <w:vAlign w:val="top"/>
          </w:tcPr>
          <w:p w14:paraId="5E231B52">
            <w:pPr>
              <w:pStyle w:val="6"/>
              <w:keepNext w:val="0"/>
              <w:keepLines w:val="0"/>
              <w:pageBreakBefore w:val="0"/>
              <w:widowControl/>
              <w:kinsoku/>
              <w:wordWrap/>
              <w:overflowPunct/>
              <w:topLinePunct w:val="0"/>
              <w:autoSpaceDE/>
              <w:autoSpaceDN/>
              <w:bidi w:val="0"/>
              <w:adjustRightInd/>
              <w:snapToGrid/>
              <w:spacing w:line="500" w:lineRule="exact"/>
              <w:ind w:firstLine="0"/>
              <w:jc w:val="center"/>
              <w:textAlignment w:val="auto"/>
              <w:rPr>
                <w:rFonts w:hint="eastAsia" w:ascii="宋体" w:hAnsi="宋体" w:eastAsia="宋体" w:cs="宋体"/>
                <w:sz w:val="24"/>
                <w:szCs w:val="24"/>
              </w:rPr>
            </w:pPr>
            <w:r>
              <w:rPr>
                <w:rFonts w:hint="eastAsia" w:ascii="宋体" w:hAnsi="宋体" w:eastAsia="宋体" w:cs="宋体"/>
                <w:color w:val="000000"/>
                <w:sz w:val="24"/>
                <w:szCs w:val="24"/>
              </w:rPr>
              <w:t>0.010000</w:t>
            </w:r>
          </w:p>
        </w:tc>
      </w:tr>
      <w:tr w14:paraId="30BC7465">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99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295892F8">
            <w:pPr>
              <w:pStyle w:val="6"/>
              <w:keepNext w:val="0"/>
              <w:keepLines w:val="0"/>
              <w:pageBreakBefore w:val="0"/>
              <w:widowControl/>
              <w:kinsoku/>
              <w:wordWrap/>
              <w:overflowPunct/>
              <w:topLinePunct w:val="0"/>
              <w:autoSpaceDE/>
              <w:autoSpaceDN/>
              <w:bidi w:val="0"/>
              <w:adjustRightInd/>
              <w:snapToGrid/>
              <w:spacing w:line="500" w:lineRule="exact"/>
              <w:ind w:firstLine="0"/>
              <w:jc w:val="center"/>
              <w:textAlignment w:val="auto"/>
              <w:rPr>
                <w:rFonts w:hint="eastAsia" w:ascii="宋体" w:hAnsi="宋体" w:eastAsia="宋体" w:cs="宋体"/>
                <w:sz w:val="24"/>
                <w:szCs w:val="24"/>
              </w:rPr>
            </w:pPr>
            <w:r>
              <w:rPr>
                <w:rFonts w:hint="eastAsia" w:ascii="宋体" w:hAnsi="宋体" w:eastAsia="宋体" w:cs="宋体"/>
                <w:color w:val="000000"/>
                <w:sz w:val="24"/>
                <w:szCs w:val="24"/>
              </w:rPr>
              <w:t>1.3</w:t>
            </w:r>
          </w:p>
        </w:tc>
        <w:tc>
          <w:tcPr>
            <w:tcW w:w="3616" w:type="dxa"/>
            <w:tcBorders>
              <w:top w:val="nil"/>
              <w:left w:val="nil"/>
              <w:bottom w:val="single" w:color="000000" w:sz="4" w:space="0"/>
              <w:right w:val="single" w:color="000000" w:sz="4" w:space="0"/>
            </w:tcBorders>
            <w:tcMar>
              <w:top w:w="0" w:type="dxa"/>
              <w:left w:w="105" w:type="dxa"/>
              <w:bottom w:w="0" w:type="dxa"/>
              <w:right w:w="105" w:type="dxa"/>
            </w:tcMar>
            <w:vAlign w:val="top"/>
          </w:tcPr>
          <w:p w14:paraId="2A9D8E75">
            <w:pPr>
              <w:pStyle w:val="6"/>
              <w:keepNext w:val="0"/>
              <w:keepLines w:val="0"/>
              <w:pageBreakBefore w:val="0"/>
              <w:widowControl/>
              <w:kinsoku/>
              <w:wordWrap/>
              <w:overflowPunct/>
              <w:topLinePunct w:val="0"/>
              <w:autoSpaceDE/>
              <w:autoSpaceDN/>
              <w:bidi w:val="0"/>
              <w:adjustRightInd/>
              <w:snapToGrid/>
              <w:spacing w:line="500" w:lineRule="exact"/>
              <w:ind w:firstLine="0"/>
              <w:jc w:val="both"/>
              <w:textAlignment w:val="auto"/>
              <w:rPr>
                <w:rFonts w:hint="eastAsia" w:ascii="宋体" w:hAnsi="宋体" w:eastAsia="宋体" w:cs="宋体"/>
                <w:sz w:val="24"/>
                <w:szCs w:val="24"/>
              </w:rPr>
            </w:pPr>
            <w:r>
              <w:rPr>
                <w:rFonts w:hint="eastAsia" w:ascii="宋体" w:hAnsi="宋体" w:eastAsia="宋体" w:cs="宋体"/>
                <w:color w:val="000000"/>
                <w:sz w:val="24"/>
                <w:szCs w:val="24"/>
              </w:rPr>
              <w:t>8口POE交换机</w:t>
            </w:r>
          </w:p>
        </w:tc>
        <w:tc>
          <w:tcPr>
            <w:tcW w:w="1455" w:type="dxa"/>
            <w:tcBorders>
              <w:top w:val="nil"/>
              <w:left w:val="nil"/>
              <w:bottom w:val="single" w:color="000000" w:sz="4" w:space="0"/>
              <w:right w:val="single" w:color="000000" w:sz="4" w:space="0"/>
            </w:tcBorders>
            <w:tcMar>
              <w:top w:w="0" w:type="dxa"/>
              <w:left w:w="105" w:type="dxa"/>
              <w:bottom w:w="0" w:type="dxa"/>
              <w:right w:w="105" w:type="dxa"/>
            </w:tcMar>
            <w:vAlign w:val="top"/>
          </w:tcPr>
          <w:p w14:paraId="7554831C">
            <w:pPr>
              <w:pStyle w:val="6"/>
              <w:keepNext w:val="0"/>
              <w:keepLines w:val="0"/>
              <w:pageBreakBefore w:val="0"/>
              <w:widowControl/>
              <w:kinsoku/>
              <w:wordWrap/>
              <w:overflowPunct/>
              <w:topLinePunct w:val="0"/>
              <w:autoSpaceDE/>
              <w:autoSpaceDN/>
              <w:bidi w:val="0"/>
              <w:adjustRightInd/>
              <w:snapToGrid/>
              <w:spacing w:line="500" w:lineRule="exact"/>
              <w:ind w:firstLine="0"/>
              <w:jc w:val="center"/>
              <w:textAlignment w:val="auto"/>
              <w:rPr>
                <w:rFonts w:hint="eastAsia" w:ascii="宋体" w:hAnsi="宋体" w:eastAsia="宋体" w:cs="宋体"/>
                <w:sz w:val="24"/>
                <w:szCs w:val="24"/>
              </w:rPr>
            </w:pPr>
            <w:r>
              <w:rPr>
                <w:rFonts w:hint="eastAsia" w:ascii="宋体" w:hAnsi="宋体" w:eastAsia="宋体" w:cs="宋体"/>
                <w:color w:val="000000"/>
                <w:sz w:val="24"/>
                <w:szCs w:val="24"/>
              </w:rPr>
              <w:t>3台</w:t>
            </w:r>
          </w:p>
        </w:tc>
        <w:tc>
          <w:tcPr>
            <w:tcW w:w="2359" w:type="dxa"/>
            <w:tcBorders>
              <w:top w:val="nil"/>
              <w:left w:val="nil"/>
              <w:bottom w:val="single" w:color="000000" w:sz="4" w:space="0"/>
              <w:right w:val="single" w:color="000000" w:sz="4" w:space="0"/>
            </w:tcBorders>
            <w:tcMar>
              <w:top w:w="0" w:type="dxa"/>
              <w:left w:w="105" w:type="dxa"/>
              <w:bottom w:w="0" w:type="dxa"/>
              <w:right w:w="105" w:type="dxa"/>
            </w:tcMar>
            <w:vAlign w:val="top"/>
          </w:tcPr>
          <w:p w14:paraId="0CEFB4DD">
            <w:pPr>
              <w:pStyle w:val="6"/>
              <w:keepNext w:val="0"/>
              <w:keepLines w:val="0"/>
              <w:pageBreakBefore w:val="0"/>
              <w:widowControl/>
              <w:kinsoku/>
              <w:wordWrap/>
              <w:overflowPunct/>
              <w:topLinePunct w:val="0"/>
              <w:autoSpaceDE/>
              <w:autoSpaceDN/>
              <w:bidi w:val="0"/>
              <w:adjustRightInd/>
              <w:snapToGrid/>
              <w:spacing w:line="500" w:lineRule="exact"/>
              <w:ind w:firstLine="0"/>
              <w:jc w:val="center"/>
              <w:textAlignment w:val="auto"/>
              <w:rPr>
                <w:rFonts w:hint="eastAsia" w:ascii="宋体" w:hAnsi="宋体" w:eastAsia="宋体" w:cs="宋体"/>
                <w:sz w:val="24"/>
                <w:szCs w:val="24"/>
              </w:rPr>
            </w:pPr>
            <w:r>
              <w:rPr>
                <w:rFonts w:hint="eastAsia" w:ascii="宋体" w:hAnsi="宋体" w:eastAsia="宋体" w:cs="宋体"/>
                <w:color w:val="000000"/>
                <w:sz w:val="24"/>
                <w:szCs w:val="24"/>
              </w:rPr>
              <w:t>0.450000</w:t>
            </w:r>
          </w:p>
        </w:tc>
      </w:tr>
      <w:tr w14:paraId="2CD4292B">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99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8FA8CC2">
            <w:pPr>
              <w:pStyle w:val="6"/>
              <w:keepNext w:val="0"/>
              <w:keepLines w:val="0"/>
              <w:pageBreakBefore w:val="0"/>
              <w:widowControl/>
              <w:kinsoku/>
              <w:wordWrap/>
              <w:overflowPunct/>
              <w:topLinePunct w:val="0"/>
              <w:autoSpaceDE/>
              <w:autoSpaceDN/>
              <w:bidi w:val="0"/>
              <w:adjustRightInd/>
              <w:snapToGrid/>
              <w:spacing w:line="500" w:lineRule="exact"/>
              <w:ind w:firstLine="0"/>
              <w:jc w:val="center"/>
              <w:textAlignment w:val="auto"/>
              <w:rPr>
                <w:rFonts w:hint="eastAsia" w:ascii="宋体" w:hAnsi="宋体" w:eastAsia="宋体" w:cs="宋体"/>
                <w:sz w:val="24"/>
                <w:szCs w:val="24"/>
              </w:rPr>
            </w:pPr>
            <w:r>
              <w:rPr>
                <w:rFonts w:hint="eastAsia" w:ascii="宋体" w:hAnsi="宋体" w:eastAsia="宋体" w:cs="宋体"/>
                <w:color w:val="000000"/>
                <w:sz w:val="24"/>
                <w:szCs w:val="24"/>
              </w:rPr>
              <w:t>1.4</w:t>
            </w:r>
          </w:p>
        </w:tc>
        <w:tc>
          <w:tcPr>
            <w:tcW w:w="3616" w:type="dxa"/>
            <w:tcBorders>
              <w:top w:val="nil"/>
              <w:left w:val="nil"/>
              <w:bottom w:val="single" w:color="000000" w:sz="4" w:space="0"/>
              <w:right w:val="single" w:color="000000" w:sz="4" w:space="0"/>
            </w:tcBorders>
            <w:tcMar>
              <w:top w:w="0" w:type="dxa"/>
              <w:left w:w="105" w:type="dxa"/>
              <w:bottom w:w="0" w:type="dxa"/>
              <w:right w:w="105" w:type="dxa"/>
            </w:tcMar>
            <w:vAlign w:val="top"/>
          </w:tcPr>
          <w:p w14:paraId="0F9475A7">
            <w:pPr>
              <w:pStyle w:val="6"/>
              <w:keepNext w:val="0"/>
              <w:keepLines w:val="0"/>
              <w:pageBreakBefore w:val="0"/>
              <w:widowControl/>
              <w:kinsoku/>
              <w:wordWrap/>
              <w:overflowPunct/>
              <w:topLinePunct w:val="0"/>
              <w:autoSpaceDE/>
              <w:autoSpaceDN/>
              <w:bidi w:val="0"/>
              <w:adjustRightInd/>
              <w:snapToGrid/>
              <w:spacing w:line="500" w:lineRule="exact"/>
              <w:ind w:firstLine="0"/>
              <w:jc w:val="both"/>
              <w:textAlignment w:val="auto"/>
              <w:rPr>
                <w:rFonts w:hint="eastAsia" w:ascii="宋体" w:hAnsi="宋体" w:eastAsia="宋体" w:cs="宋体"/>
                <w:sz w:val="24"/>
                <w:szCs w:val="24"/>
              </w:rPr>
            </w:pPr>
            <w:r>
              <w:rPr>
                <w:rFonts w:hint="eastAsia" w:ascii="宋体" w:hAnsi="宋体" w:eastAsia="宋体" w:cs="宋体"/>
                <w:color w:val="000000"/>
                <w:sz w:val="24"/>
                <w:szCs w:val="24"/>
              </w:rPr>
              <w:t>辅助材料</w:t>
            </w:r>
          </w:p>
        </w:tc>
        <w:tc>
          <w:tcPr>
            <w:tcW w:w="1455" w:type="dxa"/>
            <w:tcBorders>
              <w:top w:val="nil"/>
              <w:left w:val="nil"/>
              <w:bottom w:val="single" w:color="000000" w:sz="4" w:space="0"/>
              <w:right w:val="single" w:color="000000" w:sz="4" w:space="0"/>
            </w:tcBorders>
            <w:tcMar>
              <w:top w:w="0" w:type="dxa"/>
              <w:left w:w="105" w:type="dxa"/>
              <w:bottom w:w="0" w:type="dxa"/>
              <w:right w:w="105" w:type="dxa"/>
            </w:tcMar>
            <w:vAlign w:val="top"/>
          </w:tcPr>
          <w:p w14:paraId="0335CB5A">
            <w:pPr>
              <w:pStyle w:val="6"/>
              <w:keepNext w:val="0"/>
              <w:keepLines w:val="0"/>
              <w:pageBreakBefore w:val="0"/>
              <w:widowControl/>
              <w:kinsoku/>
              <w:wordWrap/>
              <w:overflowPunct/>
              <w:topLinePunct w:val="0"/>
              <w:autoSpaceDE/>
              <w:autoSpaceDN/>
              <w:bidi w:val="0"/>
              <w:adjustRightInd/>
              <w:snapToGrid/>
              <w:spacing w:line="500" w:lineRule="exact"/>
              <w:ind w:firstLine="0"/>
              <w:jc w:val="center"/>
              <w:textAlignment w:val="auto"/>
              <w:rPr>
                <w:rFonts w:hint="eastAsia" w:ascii="宋体" w:hAnsi="宋体" w:eastAsia="宋体" w:cs="宋体"/>
                <w:sz w:val="24"/>
                <w:szCs w:val="24"/>
              </w:rPr>
            </w:pPr>
            <w:r>
              <w:rPr>
                <w:rFonts w:hint="eastAsia" w:ascii="宋体" w:hAnsi="宋体" w:eastAsia="宋体" w:cs="宋体"/>
                <w:color w:val="000000"/>
                <w:sz w:val="24"/>
                <w:szCs w:val="24"/>
              </w:rPr>
              <w:t>1项</w:t>
            </w:r>
          </w:p>
        </w:tc>
        <w:tc>
          <w:tcPr>
            <w:tcW w:w="2359" w:type="dxa"/>
            <w:tcBorders>
              <w:top w:val="nil"/>
              <w:left w:val="nil"/>
              <w:bottom w:val="single" w:color="000000" w:sz="4" w:space="0"/>
              <w:right w:val="single" w:color="000000" w:sz="4" w:space="0"/>
            </w:tcBorders>
            <w:tcMar>
              <w:top w:w="0" w:type="dxa"/>
              <w:left w:w="105" w:type="dxa"/>
              <w:bottom w:w="0" w:type="dxa"/>
              <w:right w:w="105" w:type="dxa"/>
            </w:tcMar>
            <w:vAlign w:val="top"/>
          </w:tcPr>
          <w:p w14:paraId="7CF3C8FA">
            <w:pPr>
              <w:pStyle w:val="6"/>
              <w:keepNext w:val="0"/>
              <w:keepLines w:val="0"/>
              <w:pageBreakBefore w:val="0"/>
              <w:widowControl/>
              <w:kinsoku/>
              <w:wordWrap/>
              <w:overflowPunct/>
              <w:topLinePunct w:val="0"/>
              <w:autoSpaceDE/>
              <w:autoSpaceDN/>
              <w:bidi w:val="0"/>
              <w:adjustRightInd/>
              <w:snapToGrid/>
              <w:spacing w:line="500" w:lineRule="exact"/>
              <w:ind w:firstLine="0"/>
              <w:jc w:val="center"/>
              <w:textAlignment w:val="auto"/>
              <w:rPr>
                <w:rFonts w:hint="eastAsia" w:ascii="宋体" w:hAnsi="宋体" w:eastAsia="宋体" w:cs="宋体"/>
                <w:sz w:val="24"/>
                <w:szCs w:val="24"/>
              </w:rPr>
            </w:pPr>
            <w:r>
              <w:rPr>
                <w:rFonts w:hint="eastAsia" w:ascii="宋体" w:hAnsi="宋体" w:eastAsia="宋体" w:cs="宋体"/>
                <w:color w:val="000000"/>
                <w:sz w:val="24"/>
                <w:szCs w:val="24"/>
              </w:rPr>
              <w:t>1.000000</w:t>
            </w:r>
          </w:p>
        </w:tc>
      </w:tr>
      <w:tr w14:paraId="6E777CDA">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99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73957B08">
            <w:pPr>
              <w:pStyle w:val="6"/>
              <w:keepNext w:val="0"/>
              <w:keepLines w:val="0"/>
              <w:pageBreakBefore w:val="0"/>
              <w:widowControl/>
              <w:kinsoku/>
              <w:wordWrap/>
              <w:overflowPunct/>
              <w:topLinePunct w:val="0"/>
              <w:autoSpaceDE/>
              <w:autoSpaceDN/>
              <w:bidi w:val="0"/>
              <w:adjustRightInd/>
              <w:snapToGrid/>
              <w:spacing w:line="500" w:lineRule="exact"/>
              <w:ind w:firstLine="0"/>
              <w:jc w:val="center"/>
              <w:textAlignment w:val="auto"/>
              <w:rPr>
                <w:rFonts w:hint="eastAsia" w:ascii="宋体" w:hAnsi="宋体" w:eastAsia="宋体" w:cs="宋体"/>
                <w:sz w:val="24"/>
                <w:szCs w:val="24"/>
              </w:rPr>
            </w:pPr>
            <w:r>
              <w:rPr>
                <w:rFonts w:hint="eastAsia" w:ascii="宋体" w:hAnsi="宋体" w:eastAsia="宋体" w:cs="宋体"/>
                <w:color w:val="000000"/>
                <w:sz w:val="24"/>
                <w:szCs w:val="24"/>
              </w:rPr>
              <w:t>1.5</w:t>
            </w:r>
          </w:p>
        </w:tc>
        <w:tc>
          <w:tcPr>
            <w:tcW w:w="3616" w:type="dxa"/>
            <w:tcBorders>
              <w:top w:val="nil"/>
              <w:left w:val="nil"/>
              <w:bottom w:val="single" w:color="000000" w:sz="4" w:space="0"/>
              <w:right w:val="single" w:color="000000" w:sz="4" w:space="0"/>
            </w:tcBorders>
            <w:tcMar>
              <w:top w:w="0" w:type="dxa"/>
              <w:left w:w="105" w:type="dxa"/>
              <w:bottom w:w="0" w:type="dxa"/>
              <w:right w:w="105" w:type="dxa"/>
            </w:tcMar>
            <w:vAlign w:val="top"/>
          </w:tcPr>
          <w:p w14:paraId="05903E5D">
            <w:pPr>
              <w:pStyle w:val="6"/>
              <w:keepNext w:val="0"/>
              <w:keepLines w:val="0"/>
              <w:pageBreakBefore w:val="0"/>
              <w:widowControl/>
              <w:kinsoku/>
              <w:wordWrap/>
              <w:overflowPunct/>
              <w:topLinePunct w:val="0"/>
              <w:autoSpaceDE/>
              <w:autoSpaceDN/>
              <w:bidi w:val="0"/>
              <w:adjustRightInd/>
              <w:snapToGrid/>
              <w:spacing w:line="500" w:lineRule="exact"/>
              <w:ind w:firstLine="0"/>
              <w:jc w:val="both"/>
              <w:textAlignment w:val="auto"/>
              <w:rPr>
                <w:rFonts w:hint="eastAsia" w:ascii="宋体" w:hAnsi="宋体" w:eastAsia="宋体" w:cs="宋体"/>
                <w:sz w:val="24"/>
                <w:szCs w:val="24"/>
              </w:rPr>
            </w:pPr>
            <w:r>
              <w:rPr>
                <w:rFonts w:hint="eastAsia" w:ascii="宋体" w:hAnsi="宋体" w:eastAsia="宋体" w:cs="宋体"/>
                <w:color w:val="000000"/>
                <w:sz w:val="24"/>
                <w:szCs w:val="24"/>
              </w:rPr>
              <w:t>AI融合巡检超脑</w:t>
            </w:r>
          </w:p>
        </w:tc>
        <w:tc>
          <w:tcPr>
            <w:tcW w:w="1455" w:type="dxa"/>
            <w:tcBorders>
              <w:top w:val="nil"/>
              <w:left w:val="nil"/>
              <w:bottom w:val="single" w:color="000000" w:sz="4" w:space="0"/>
              <w:right w:val="single" w:color="000000" w:sz="4" w:space="0"/>
            </w:tcBorders>
            <w:tcMar>
              <w:top w:w="0" w:type="dxa"/>
              <w:left w:w="105" w:type="dxa"/>
              <w:bottom w:w="0" w:type="dxa"/>
              <w:right w:w="105" w:type="dxa"/>
            </w:tcMar>
            <w:vAlign w:val="top"/>
          </w:tcPr>
          <w:p w14:paraId="4695CDD0">
            <w:pPr>
              <w:pStyle w:val="6"/>
              <w:keepNext w:val="0"/>
              <w:keepLines w:val="0"/>
              <w:pageBreakBefore w:val="0"/>
              <w:widowControl/>
              <w:kinsoku/>
              <w:wordWrap/>
              <w:overflowPunct/>
              <w:topLinePunct w:val="0"/>
              <w:autoSpaceDE/>
              <w:autoSpaceDN/>
              <w:bidi w:val="0"/>
              <w:adjustRightInd/>
              <w:snapToGrid/>
              <w:spacing w:line="500" w:lineRule="exact"/>
              <w:ind w:firstLine="0"/>
              <w:jc w:val="center"/>
              <w:textAlignment w:val="auto"/>
              <w:rPr>
                <w:rFonts w:hint="eastAsia" w:ascii="宋体" w:hAnsi="宋体" w:eastAsia="宋体" w:cs="宋体"/>
                <w:sz w:val="24"/>
                <w:szCs w:val="24"/>
              </w:rPr>
            </w:pPr>
            <w:r>
              <w:rPr>
                <w:rFonts w:hint="eastAsia" w:ascii="宋体" w:hAnsi="宋体" w:eastAsia="宋体" w:cs="宋体"/>
                <w:color w:val="000000"/>
                <w:sz w:val="24"/>
                <w:szCs w:val="24"/>
              </w:rPr>
              <w:t>1台</w:t>
            </w:r>
          </w:p>
        </w:tc>
        <w:tc>
          <w:tcPr>
            <w:tcW w:w="2359" w:type="dxa"/>
            <w:tcBorders>
              <w:top w:val="nil"/>
              <w:left w:val="nil"/>
              <w:bottom w:val="single" w:color="000000" w:sz="4" w:space="0"/>
              <w:right w:val="single" w:color="000000" w:sz="4" w:space="0"/>
            </w:tcBorders>
            <w:tcMar>
              <w:top w:w="0" w:type="dxa"/>
              <w:left w:w="105" w:type="dxa"/>
              <w:bottom w:w="0" w:type="dxa"/>
              <w:right w:w="105" w:type="dxa"/>
            </w:tcMar>
            <w:vAlign w:val="top"/>
          </w:tcPr>
          <w:p w14:paraId="4D3B7AC1">
            <w:pPr>
              <w:pStyle w:val="6"/>
              <w:keepNext w:val="0"/>
              <w:keepLines w:val="0"/>
              <w:pageBreakBefore w:val="0"/>
              <w:widowControl/>
              <w:kinsoku/>
              <w:wordWrap/>
              <w:overflowPunct/>
              <w:topLinePunct w:val="0"/>
              <w:autoSpaceDE/>
              <w:autoSpaceDN/>
              <w:bidi w:val="0"/>
              <w:adjustRightInd/>
              <w:snapToGrid/>
              <w:spacing w:line="500" w:lineRule="exact"/>
              <w:ind w:firstLine="0"/>
              <w:jc w:val="center"/>
              <w:textAlignment w:val="auto"/>
              <w:rPr>
                <w:rFonts w:hint="eastAsia" w:ascii="宋体" w:hAnsi="宋体" w:eastAsia="宋体" w:cs="宋体"/>
                <w:sz w:val="24"/>
                <w:szCs w:val="24"/>
              </w:rPr>
            </w:pPr>
            <w:r>
              <w:rPr>
                <w:rFonts w:hint="eastAsia" w:ascii="宋体" w:hAnsi="宋体" w:eastAsia="宋体" w:cs="宋体"/>
                <w:color w:val="000000"/>
                <w:sz w:val="24"/>
                <w:szCs w:val="24"/>
              </w:rPr>
              <w:t>1.700000</w:t>
            </w:r>
          </w:p>
        </w:tc>
      </w:tr>
      <w:tr w14:paraId="5327C0AE">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99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15B6C875">
            <w:pPr>
              <w:pStyle w:val="6"/>
              <w:keepNext w:val="0"/>
              <w:keepLines w:val="0"/>
              <w:pageBreakBefore w:val="0"/>
              <w:widowControl/>
              <w:kinsoku/>
              <w:wordWrap/>
              <w:overflowPunct/>
              <w:topLinePunct w:val="0"/>
              <w:autoSpaceDE/>
              <w:autoSpaceDN/>
              <w:bidi w:val="0"/>
              <w:adjustRightInd/>
              <w:snapToGrid/>
              <w:spacing w:line="500" w:lineRule="exact"/>
              <w:ind w:firstLine="0"/>
              <w:jc w:val="center"/>
              <w:textAlignment w:val="auto"/>
              <w:rPr>
                <w:rFonts w:hint="eastAsia" w:ascii="宋体" w:hAnsi="宋体" w:eastAsia="宋体" w:cs="宋体"/>
                <w:sz w:val="24"/>
                <w:szCs w:val="24"/>
              </w:rPr>
            </w:pPr>
            <w:r>
              <w:rPr>
                <w:rFonts w:hint="eastAsia" w:ascii="宋体" w:hAnsi="宋体" w:eastAsia="宋体" w:cs="宋体"/>
                <w:color w:val="000000"/>
                <w:sz w:val="24"/>
                <w:szCs w:val="24"/>
              </w:rPr>
              <w:t>1.6</w:t>
            </w:r>
          </w:p>
        </w:tc>
        <w:tc>
          <w:tcPr>
            <w:tcW w:w="3616" w:type="dxa"/>
            <w:tcBorders>
              <w:top w:val="nil"/>
              <w:left w:val="nil"/>
              <w:bottom w:val="single" w:color="000000" w:sz="4" w:space="0"/>
              <w:right w:val="single" w:color="000000" w:sz="4" w:space="0"/>
            </w:tcBorders>
            <w:tcMar>
              <w:top w:w="0" w:type="dxa"/>
              <w:left w:w="105" w:type="dxa"/>
              <w:bottom w:w="0" w:type="dxa"/>
              <w:right w:w="105" w:type="dxa"/>
            </w:tcMar>
            <w:vAlign w:val="top"/>
          </w:tcPr>
          <w:p w14:paraId="24D14092">
            <w:pPr>
              <w:pStyle w:val="6"/>
              <w:keepNext w:val="0"/>
              <w:keepLines w:val="0"/>
              <w:pageBreakBefore w:val="0"/>
              <w:widowControl/>
              <w:kinsoku/>
              <w:wordWrap/>
              <w:overflowPunct/>
              <w:topLinePunct w:val="0"/>
              <w:autoSpaceDE/>
              <w:autoSpaceDN/>
              <w:bidi w:val="0"/>
              <w:adjustRightInd/>
              <w:snapToGrid/>
              <w:spacing w:line="500" w:lineRule="exact"/>
              <w:ind w:firstLine="0"/>
              <w:jc w:val="both"/>
              <w:textAlignment w:val="auto"/>
              <w:rPr>
                <w:rFonts w:hint="eastAsia" w:ascii="宋体" w:hAnsi="宋体" w:eastAsia="宋体" w:cs="宋体"/>
                <w:sz w:val="24"/>
                <w:szCs w:val="24"/>
              </w:rPr>
            </w:pPr>
            <w:r>
              <w:rPr>
                <w:rFonts w:hint="eastAsia" w:ascii="宋体" w:hAnsi="宋体" w:eastAsia="宋体" w:cs="宋体"/>
                <w:color w:val="000000"/>
                <w:sz w:val="24"/>
                <w:szCs w:val="24"/>
              </w:rPr>
              <w:t>NVR存储</w:t>
            </w:r>
          </w:p>
        </w:tc>
        <w:tc>
          <w:tcPr>
            <w:tcW w:w="1455" w:type="dxa"/>
            <w:tcBorders>
              <w:top w:val="nil"/>
              <w:left w:val="nil"/>
              <w:bottom w:val="single" w:color="000000" w:sz="4" w:space="0"/>
              <w:right w:val="single" w:color="000000" w:sz="4" w:space="0"/>
            </w:tcBorders>
            <w:tcMar>
              <w:top w:w="0" w:type="dxa"/>
              <w:left w:w="105" w:type="dxa"/>
              <w:bottom w:w="0" w:type="dxa"/>
              <w:right w:w="105" w:type="dxa"/>
            </w:tcMar>
            <w:vAlign w:val="top"/>
          </w:tcPr>
          <w:p w14:paraId="459FC09B">
            <w:pPr>
              <w:pStyle w:val="6"/>
              <w:keepNext w:val="0"/>
              <w:keepLines w:val="0"/>
              <w:pageBreakBefore w:val="0"/>
              <w:widowControl/>
              <w:kinsoku/>
              <w:wordWrap/>
              <w:overflowPunct/>
              <w:topLinePunct w:val="0"/>
              <w:autoSpaceDE/>
              <w:autoSpaceDN/>
              <w:bidi w:val="0"/>
              <w:adjustRightInd/>
              <w:snapToGrid/>
              <w:spacing w:line="500" w:lineRule="exact"/>
              <w:ind w:firstLine="0"/>
              <w:jc w:val="center"/>
              <w:textAlignment w:val="auto"/>
              <w:rPr>
                <w:rFonts w:hint="eastAsia" w:ascii="宋体" w:hAnsi="宋体" w:eastAsia="宋体" w:cs="宋体"/>
                <w:sz w:val="24"/>
                <w:szCs w:val="24"/>
              </w:rPr>
            </w:pPr>
            <w:r>
              <w:rPr>
                <w:rFonts w:hint="eastAsia" w:ascii="宋体" w:hAnsi="宋体" w:eastAsia="宋体" w:cs="宋体"/>
                <w:color w:val="000000"/>
                <w:sz w:val="24"/>
                <w:szCs w:val="24"/>
              </w:rPr>
              <w:t>1台</w:t>
            </w:r>
          </w:p>
        </w:tc>
        <w:tc>
          <w:tcPr>
            <w:tcW w:w="2359" w:type="dxa"/>
            <w:tcBorders>
              <w:top w:val="nil"/>
              <w:left w:val="nil"/>
              <w:bottom w:val="single" w:color="000000" w:sz="4" w:space="0"/>
              <w:right w:val="single" w:color="000000" w:sz="4" w:space="0"/>
            </w:tcBorders>
            <w:tcMar>
              <w:top w:w="0" w:type="dxa"/>
              <w:left w:w="105" w:type="dxa"/>
              <w:bottom w:w="0" w:type="dxa"/>
              <w:right w:w="105" w:type="dxa"/>
            </w:tcMar>
            <w:vAlign w:val="top"/>
          </w:tcPr>
          <w:p w14:paraId="77429444">
            <w:pPr>
              <w:pStyle w:val="6"/>
              <w:keepNext w:val="0"/>
              <w:keepLines w:val="0"/>
              <w:pageBreakBefore w:val="0"/>
              <w:widowControl/>
              <w:kinsoku/>
              <w:wordWrap/>
              <w:overflowPunct/>
              <w:topLinePunct w:val="0"/>
              <w:autoSpaceDE/>
              <w:autoSpaceDN/>
              <w:bidi w:val="0"/>
              <w:adjustRightInd/>
              <w:snapToGrid/>
              <w:spacing w:line="500" w:lineRule="exact"/>
              <w:ind w:firstLine="0"/>
              <w:jc w:val="center"/>
              <w:textAlignment w:val="auto"/>
              <w:rPr>
                <w:rFonts w:hint="eastAsia" w:ascii="宋体" w:hAnsi="宋体" w:eastAsia="宋体" w:cs="宋体"/>
                <w:sz w:val="24"/>
                <w:szCs w:val="24"/>
              </w:rPr>
            </w:pPr>
            <w:r>
              <w:rPr>
                <w:rFonts w:hint="eastAsia" w:ascii="宋体" w:hAnsi="宋体" w:eastAsia="宋体" w:cs="宋体"/>
                <w:color w:val="000000"/>
                <w:sz w:val="24"/>
                <w:szCs w:val="24"/>
              </w:rPr>
              <w:t>0.275000</w:t>
            </w:r>
          </w:p>
        </w:tc>
      </w:tr>
      <w:tr w14:paraId="6FA4B366">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99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21F0E83A">
            <w:pPr>
              <w:pStyle w:val="6"/>
              <w:keepNext w:val="0"/>
              <w:keepLines w:val="0"/>
              <w:pageBreakBefore w:val="0"/>
              <w:widowControl/>
              <w:kinsoku/>
              <w:wordWrap/>
              <w:overflowPunct/>
              <w:topLinePunct w:val="0"/>
              <w:autoSpaceDE/>
              <w:autoSpaceDN/>
              <w:bidi w:val="0"/>
              <w:adjustRightInd/>
              <w:snapToGrid/>
              <w:spacing w:line="500" w:lineRule="exact"/>
              <w:ind w:firstLine="0"/>
              <w:jc w:val="center"/>
              <w:textAlignment w:val="auto"/>
              <w:rPr>
                <w:rFonts w:hint="eastAsia" w:ascii="宋体" w:hAnsi="宋体" w:eastAsia="宋体" w:cs="宋体"/>
                <w:sz w:val="24"/>
                <w:szCs w:val="24"/>
              </w:rPr>
            </w:pPr>
            <w:r>
              <w:rPr>
                <w:rFonts w:hint="eastAsia" w:ascii="宋体" w:hAnsi="宋体" w:eastAsia="宋体" w:cs="宋体"/>
                <w:color w:val="000000"/>
                <w:sz w:val="24"/>
                <w:szCs w:val="24"/>
              </w:rPr>
              <w:t>1.7</w:t>
            </w:r>
          </w:p>
        </w:tc>
        <w:tc>
          <w:tcPr>
            <w:tcW w:w="3616" w:type="dxa"/>
            <w:tcBorders>
              <w:top w:val="nil"/>
              <w:left w:val="nil"/>
              <w:bottom w:val="single" w:color="000000" w:sz="4" w:space="0"/>
              <w:right w:val="single" w:color="000000" w:sz="4" w:space="0"/>
            </w:tcBorders>
            <w:tcMar>
              <w:top w:w="0" w:type="dxa"/>
              <w:left w:w="105" w:type="dxa"/>
              <w:bottom w:w="0" w:type="dxa"/>
              <w:right w:w="105" w:type="dxa"/>
            </w:tcMar>
            <w:vAlign w:val="top"/>
          </w:tcPr>
          <w:p w14:paraId="148777C6">
            <w:pPr>
              <w:pStyle w:val="6"/>
              <w:keepNext w:val="0"/>
              <w:keepLines w:val="0"/>
              <w:pageBreakBefore w:val="0"/>
              <w:widowControl/>
              <w:kinsoku/>
              <w:wordWrap/>
              <w:overflowPunct/>
              <w:topLinePunct w:val="0"/>
              <w:autoSpaceDE/>
              <w:autoSpaceDN/>
              <w:bidi w:val="0"/>
              <w:adjustRightInd/>
              <w:snapToGrid/>
              <w:spacing w:line="500" w:lineRule="exact"/>
              <w:ind w:firstLine="0"/>
              <w:jc w:val="both"/>
              <w:textAlignment w:val="auto"/>
              <w:rPr>
                <w:rFonts w:hint="eastAsia" w:ascii="宋体" w:hAnsi="宋体" w:eastAsia="宋体" w:cs="宋体"/>
                <w:sz w:val="24"/>
                <w:szCs w:val="24"/>
              </w:rPr>
            </w:pPr>
            <w:r>
              <w:rPr>
                <w:rFonts w:hint="eastAsia" w:ascii="宋体" w:hAnsi="宋体" w:eastAsia="宋体" w:cs="宋体"/>
                <w:color w:val="000000"/>
                <w:sz w:val="24"/>
                <w:szCs w:val="24"/>
              </w:rPr>
              <w:t>监控级硬盘6T</w:t>
            </w:r>
          </w:p>
        </w:tc>
        <w:tc>
          <w:tcPr>
            <w:tcW w:w="1455" w:type="dxa"/>
            <w:tcBorders>
              <w:top w:val="nil"/>
              <w:left w:val="nil"/>
              <w:bottom w:val="single" w:color="000000" w:sz="4" w:space="0"/>
              <w:right w:val="single" w:color="000000" w:sz="4" w:space="0"/>
            </w:tcBorders>
            <w:tcMar>
              <w:top w:w="0" w:type="dxa"/>
              <w:left w:w="105" w:type="dxa"/>
              <w:bottom w:w="0" w:type="dxa"/>
              <w:right w:w="105" w:type="dxa"/>
            </w:tcMar>
            <w:vAlign w:val="top"/>
          </w:tcPr>
          <w:p w14:paraId="37713201">
            <w:pPr>
              <w:pStyle w:val="6"/>
              <w:keepNext w:val="0"/>
              <w:keepLines w:val="0"/>
              <w:pageBreakBefore w:val="0"/>
              <w:widowControl/>
              <w:kinsoku/>
              <w:wordWrap/>
              <w:overflowPunct/>
              <w:topLinePunct w:val="0"/>
              <w:autoSpaceDE/>
              <w:autoSpaceDN/>
              <w:bidi w:val="0"/>
              <w:adjustRightInd/>
              <w:snapToGrid/>
              <w:spacing w:line="500" w:lineRule="exact"/>
              <w:ind w:firstLine="0"/>
              <w:jc w:val="center"/>
              <w:textAlignment w:val="auto"/>
              <w:rPr>
                <w:rFonts w:hint="eastAsia" w:ascii="宋体" w:hAnsi="宋体" w:eastAsia="宋体" w:cs="宋体"/>
                <w:sz w:val="24"/>
                <w:szCs w:val="24"/>
              </w:rPr>
            </w:pPr>
            <w:r>
              <w:rPr>
                <w:rFonts w:hint="eastAsia" w:ascii="宋体" w:hAnsi="宋体" w:eastAsia="宋体" w:cs="宋体"/>
                <w:color w:val="000000"/>
                <w:sz w:val="24"/>
                <w:szCs w:val="24"/>
              </w:rPr>
              <w:t>4片</w:t>
            </w:r>
          </w:p>
        </w:tc>
        <w:tc>
          <w:tcPr>
            <w:tcW w:w="2359" w:type="dxa"/>
            <w:tcBorders>
              <w:top w:val="nil"/>
              <w:left w:val="nil"/>
              <w:bottom w:val="single" w:color="000000" w:sz="4" w:space="0"/>
              <w:right w:val="single" w:color="000000" w:sz="4" w:space="0"/>
            </w:tcBorders>
            <w:tcMar>
              <w:top w:w="0" w:type="dxa"/>
              <w:left w:w="105" w:type="dxa"/>
              <w:bottom w:w="0" w:type="dxa"/>
              <w:right w:w="105" w:type="dxa"/>
            </w:tcMar>
            <w:vAlign w:val="top"/>
          </w:tcPr>
          <w:p w14:paraId="5AA742B4">
            <w:pPr>
              <w:pStyle w:val="6"/>
              <w:keepNext w:val="0"/>
              <w:keepLines w:val="0"/>
              <w:pageBreakBefore w:val="0"/>
              <w:widowControl/>
              <w:kinsoku/>
              <w:wordWrap/>
              <w:overflowPunct/>
              <w:topLinePunct w:val="0"/>
              <w:autoSpaceDE/>
              <w:autoSpaceDN/>
              <w:bidi w:val="0"/>
              <w:adjustRightInd/>
              <w:snapToGrid/>
              <w:spacing w:line="500" w:lineRule="exact"/>
              <w:ind w:firstLine="0"/>
              <w:jc w:val="center"/>
              <w:textAlignment w:val="auto"/>
              <w:rPr>
                <w:rFonts w:hint="eastAsia" w:ascii="宋体" w:hAnsi="宋体" w:eastAsia="宋体" w:cs="宋体"/>
                <w:sz w:val="24"/>
                <w:szCs w:val="24"/>
              </w:rPr>
            </w:pPr>
            <w:r>
              <w:rPr>
                <w:rFonts w:hint="eastAsia" w:ascii="宋体" w:hAnsi="宋体" w:eastAsia="宋体" w:cs="宋体"/>
                <w:color w:val="000000"/>
                <w:sz w:val="24"/>
                <w:szCs w:val="24"/>
              </w:rPr>
              <w:t>1.116000</w:t>
            </w:r>
          </w:p>
        </w:tc>
      </w:tr>
      <w:tr w14:paraId="35C0B5D1">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99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677C71C0">
            <w:pPr>
              <w:pStyle w:val="6"/>
              <w:keepNext w:val="0"/>
              <w:keepLines w:val="0"/>
              <w:pageBreakBefore w:val="0"/>
              <w:widowControl/>
              <w:kinsoku/>
              <w:wordWrap/>
              <w:overflowPunct/>
              <w:topLinePunct w:val="0"/>
              <w:autoSpaceDE/>
              <w:autoSpaceDN/>
              <w:bidi w:val="0"/>
              <w:adjustRightInd/>
              <w:snapToGrid/>
              <w:spacing w:line="500" w:lineRule="exact"/>
              <w:ind w:firstLine="0"/>
              <w:jc w:val="center"/>
              <w:textAlignment w:val="auto"/>
              <w:rPr>
                <w:rFonts w:hint="eastAsia" w:ascii="宋体" w:hAnsi="宋体" w:eastAsia="宋体" w:cs="宋体"/>
                <w:sz w:val="24"/>
                <w:szCs w:val="24"/>
              </w:rPr>
            </w:pPr>
            <w:r>
              <w:rPr>
                <w:rFonts w:hint="eastAsia" w:ascii="宋体" w:hAnsi="宋体" w:eastAsia="宋体" w:cs="宋体"/>
                <w:color w:val="000000"/>
                <w:sz w:val="24"/>
                <w:szCs w:val="24"/>
              </w:rPr>
              <w:t>1.8</w:t>
            </w:r>
          </w:p>
        </w:tc>
        <w:tc>
          <w:tcPr>
            <w:tcW w:w="3616" w:type="dxa"/>
            <w:tcBorders>
              <w:top w:val="nil"/>
              <w:left w:val="nil"/>
              <w:bottom w:val="single" w:color="000000" w:sz="4" w:space="0"/>
              <w:right w:val="single" w:color="000000" w:sz="4" w:space="0"/>
            </w:tcBorders>
            <w:tcMar>
              <w:top w:w="0" w:type="dxa"/>
              <w:left w:w="105" w:type="dxa"/>
              <w:bottom w:w="0" w:type="dxa"/>
              <w:right w:w="105" w:type="dxa"/>
            </w:tcMar>
            <w:vAlign w:val="top"/>
          </w:tcPr>
          <w:p w14:paraId="36DB187E">
            <w:pPr>
              <w:pStyle w:val="6"/>
              <w:keepNext w:val="0"/>
              <w:keepLines w:val="0"/>
              <w:pageBreakBefore w:val="0"/>
              <w:widowControl/>
              <w:kinsoku/>
              <w:wordWrap/>
              <w:overflowPunct/>
              <w:topLinePunct w:val="0"/>
              <w:autoSpaceDE/>
              <w:autoSpaceDN/>
              <w:bidi w:val="0"/>
              <w:adjustRightInd/>
              <w:snapToGrid/>
              <w:spacing w:line="500" w:lineRule="exact"/>
              <w:ind w:firstLine="0"/>
              <w:jc w:val="both"/>
              <w:textAlignment w:val="auto"/>
              <w:rPr>
                <w:rFonts w:hint="eastAsia" w:ascii="宋体" w:hAnsi="宋体" w:eastAsia="宋体" w:cs="宋体"/>
                <w:sz w:val="24"/>
                <w:szCs w:val="24"/>
              </w:rPr>
            </w:pPr>
            <w:r>
              <w:rPr>
                <w:rFonts w:hint="eastAsia" w:ascii="宋体" w:hAnsi="宋体" w:eastAsia="宋体" w:cs="宋体"/>
                <w:color w:val="000000"/>
                <w:sz w:val="24"/>
                <w:szCs w:val="24"/>
              </w:rPr>
              <w:t>边缘计算设备</w:t>
            </w:r>
          </w:p>
        </w:tc>
        <w:tc>
          <w:tcPr>
            <w:tcW w:w="1455" w:type="dxa"/>
            <w:tcBorders>
              <w:top w:val="nil"/>
              <w:left w:val="nil"/>
              <w:bottom w:val="single" w:color="000000" w:sz="4" w:space="0"/>
              <w:right w:val="single" w:color="000000" w:sz="4" w:space="0"/>
            </w:tcBorders>
            <w:tcMar>
              <w:top w:w="0" w:type="dxa"/>
              <w:left w:w="105" w:type="dxa"/>
              <w:bottom w:w="0" w:type="dxa"/>
              <w:right w:w="105" w:type="dxa"/>
            </w:tcMar>
            <w:vAlign w:val="top"/>
          </w:tcPr>
          <w:p w14:paraId="0FE53DE0">
            <w:pPr>
              <w:pStyle w:val="6"/>
              <w:keepNext w:val="0"/>
              <w:keepLines w:val="0"/>
              <w:pageBreakBefore w:val="0"/>
              <w:widowControl/>
              <w:kinsoku/>
              <w:wordWrap/>
              <w:overflowPunct/>
              <w:topLinePunct w:val="0"/>
              <w:autoSpaceDE/>
              <w:autoSpaceDN/>
              <w:bidi w:val="0"/>
              <w:adjustRightInd/>
              <w:snapToGrid/>
              <w:spacing w:line="500" w:lineRule="exact"/>
              <w:ind w:firstLine="0"/>
              <w:jc w:val="center"/>
              <w:textAlignment w:val="auto"/>
              <w:rPr>
                <w:rFonts w:hint="eastAsia" w:ascii="宋体" w:hAnsi="宋体" w:eastAsia="宋体" w:cs="宋体"/>
                <w:sz w:val="24"/>
                <w:szCs w:val="24"/>
              </w:rPr>
            </w:pPr>
            <w:r>
              <w:rPr>
                <w:rFonts w:hint="eastAsia" w:ascii="宋体" w:hAnsi="宋体" w:eastAsia="宋体" w:cs="宋体"/>
                <w:color w:val="000000"/>
                <w:sz w:val="24"/>
                <w:szCs w:val="24"/>
              </w:rPr>
              <w:t>1台</w:t>
            </w:r>
          </w:p>
        </w:tc>
        <w:tc>
          <w:tcPr>
            <w:tcW w:w="2359" w:type="dxa"/>
            <w:tcBorders>
              <w:top w:val="nil"/>
              <w:left w:val="nil"/>
              <w:bottom w:val="single" w:color="000000" w:sz="4" w:space="0"/>
              <w:right w:val="single" w:color="000000" w:sz="4" w:space="0"/>
            </w:tcBorders>
            <w:tcMar>
              <w:top w:w="0" w:type="dxa"/>
              <w:left w:w="105" w:type="dxa"/>
              <w:bottom w:w="0" w:type="dxa"/>
              <w:right w:w="105" w:type="dxa"/>
            </w:tcMar>
            <w:vAlign w:val="top"/>
          </w:tcPr>
          <w:p w14:paraId="53D9793B">
            <w:pPr>
              <w:pStyle w:val="6"/>
              <w:keepNext w:val="0"/>
              <w:keepLines w:val="0"/>
              <w:pageBreakBefore w:val="0"/>
              <w:widowControl/>
              <w:kinsoku/>
              <w:wordWrap/>
              <w:overflowPunct/>
              <w:topLinePunct w:val="0"/>
              <w:autoSpaceDE/>
              <w:autoSpaceDN/>
              <w:bidi w:val="0"/>
              <w:adjustRightInd/>
              <w:snapToGrid/>
              <w:spacing w:line="500" w:lineRule="exact"/>
              <w:ind w:firstLine="0"/>
              <w:jc w:val="center"/>
              <w:textAlignment w:val="auto"/>
              <w:rPr>
                <w:rFonts w:hint="eastAsia" w:ascii="宋体" w:hAnsi="宋体" w:eastAsia="宋体" w:cs="宋体"/>
                <w:sz w:val="24"/>
                <w:szCs w:val="24"/>
              </w:rPr>
            </w:pPr>
            <w:r>
              <w:rPr>
                <w:rFonts w:hint="eastAsia" w:ascii="宋体" w:hAnsi="宋体" w:eastAsia="宋体" w:cs="宋体"/>
                <w:color w:val="000000"/>
                <w:sz w:val="24"/>
                <w:szCs w:val="24"/>
              </w:rPr>
              <w:t>4.000000</w:t>
            </w:r>
          </w:p>
        </w:tc>
      </w:tr>
      <w:tr w14:paraId="5A5EC06E">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99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74AD1C61">
            <w:pPr>
              <w:pStyle w:val="6"/>
              <w:keepNext w:val="0"/>
              <w:keepLines w:val="0"/>
              <w:pageBreakBefore w:val="0"/>
              <w:widowControl/>
              <w:kinsoku/>
              <w:wordWrap/>
              <w:overflowPunct/>
              <w:topLinePunct w:val="0"/>
              <w:autoSpaceDE/>
              <w:autoSpaceDN/>
              <w:bidi w:val="0"/>
              <w:adjustRightInd/>
              <w:snapToGrid/>
              <w:spacing w:line="500" w:lineRule="exact"/>
              <w:ind w:firstLine="0"/>
              <w:jc w:val="center"/>
              <w:textAlignment w:val="auto"/>
              <w:rPr>
                <w:rFonts w:hint="eastAsia" w:ascii="宋体" w:hAnsi="宋体" w:eastAsia="宋体" w:cs="宋体"/>
                <w:sz w:val="24"/>
                <w:szCs w:val="24"/>
              </w:rPr>
            </w:pPr>
            <w:r>
              <w:rPr>
                <w:rFonts w:hint="eastAsia" w:ascii="宋体" w:hAnsi="宋体" w:eastAsia="宋体" w:cs="宋体"/>
                <w:color w:val="000000"/>
                <w:sz w:val="24"/>
                <w:szCs w:val="24"/>
              </w:rPr>
              <w:t>1.9</w:t>
            </w:r>
          </w:p>
        </w:tc>
        <w:tc>
          <w:tcPr>
            <w:tcW w:w="3616" w:type="dxa"/>
            <w:tcBorders>
              <w:top w:val="nil"/>
              <w:left w:val="nil"/>
              <w:bottom w:val="single" w:color="000000" w:sz="4" w:space="0"/>
              <w:right w:val="single" w:color="000000" w:sz="4" w:space="0"/>
            </w:tcBorders>
            <w:tcMar>
              <w:top w:w="0" w:type="dxa"/>
              <w:left w:w="105" w:type="dxa"/>
              <w:bottom w:w="0" w:type="dxa"/>
              <w:right w:w="105" w:type="dxa"/>
            </w:tcMar>
            <w:vAlign w:val="top"/>
          </w:tcPr>
          <w:p w14:paraId="5E2EF63F">
            <w:pPr>
              <w:pStyle w:val="6"/>
              <w:keepNext w:val="0"/>
              <w:keepLines w:val="0"/>
              <w:pageBreakBefore w:val="0"/>
              <w:widowControl/>
              <w:kinsoku/>
              <w:wordWrap/>
              <w:overflowPunct/>
              <w:topLinePunct w:val="0"/>
              <w:autoSpaceDE/>
              <w:autoSpaceDN/>
              <w:bidi w:val="0"/>
              <w:adjustRightInd/>
              <w:snapToGrid/>
              <w:spacing w:line="500" w:lineRule="exact"/>
              <w:ind w:firstLine="0"/>
              <w:jc w:val="both"/>
              <w:textAlignment w:val="auto"/>
              <w:rPr>
                <w:rFonts w:hint="eastAsia" w:ascii="宋体" w:hAnsi="宋体" w:eastAsia="宋体" w:cs="宋体"/>
                <w:sz w:val="24"/>
                <w:szCs w:val="24"/>
              </w:rPr>
            </w:pPr>
            <w:r>
              <w:rPr>
                <w:rFonts w:hint="eastAsia" w:ascii="宋体" w:hAnsi="宋体" w:eastAsia="宋体" w:cs="宋体"/>
                <w:color w:val="000000"/>
                <w:sz w:val="24"/>
                <w:szCs w:val="24"/>
              </w:rPr>
              <w:t>基础包</w:t>
            </w:r>
          </w:p>
        </w:tc>
        <w:tc>
          <w:tcPr>
            <w:tcW w:w="1455" w:type="dxa"/>
            <w:tcBorders>
              <w:top w:val="nil"/>
              <w:left w:val="nil"/>
              <w:bottom w:val="single" w:color="000000" w:sz="4" w:space="0"/>
              <w:right w:val="single" w:color="000000" w:sz="4" w:space="0"/>
            </w:tcBorders>
            <w:tcMar>
              <w:top w:w="0" w:type="dxa"/>
              <w:left w:w="105" w:type="dxa"/>
              <w:bottom w:w="0" w:type="dxa"/>
              <w:right w:w="105" w:type="dxa"/>
            </w:tcMar>
            <w:vAlign w:val="top"/>
          </w:tcPr>
          <w:p w14:paraId="70811131">
            <w:pPr>
              <w:pStyle w:val="6"/>
              <w:keepNext w:val="0"/>
              <w:keepLines w:val="0"/>
              <w:pageBreakBefore w:val="0"/>
              <w:widowControl/>
              <w:kinsoku/>
              <w:wordWrap/>
              <w:overflowPunct/>
              <w:topLinePunct w:val="0"/>
              <w:autoSpaceDE/>
              <w:autoSpaceDN/>
              <w:bidi w:val="0"/>
              <w:adjustRightInd/>
              <w:snapToGrid/>
              <w:spacing w:line="500" w:lineRule="exact"/>
              <w:ind w:firstLine="0"/>
              <w:jc w:val="center"/>
              <w:textAlignment w:val="auto"/>
              <w:rPr>
                <w:rFonts w:hint="eastAsia" w:ascii="宋体" w:hAnsi="宋体" w:eastAsia="宋体" w:cs="宋体"/>
                <w:sz w:val="24"/>
                <w:szCs w:val="24"/>
              </w:rPr>
            </w:pPr>
            <w:r>
              <w:rPr>
                <w:rFonts w:hint="eastAsia" w:ascii="宋体" w:hAnsi="宋体" w:eastAsia="宋体" w:cs="宋体"/>
                <w:color w:val="000000"/>
                <w:sz w:val="24"/>
                <w:szCs w:val="24"/>
              </w:rPr>
              <w:t>1套</w:t>
            </w:r>
          </w:p>
        </w:tc>
        <w:tc>
          <w:tcPr>
            <w:tcW w:w="2359" w:type="dxa"/>
            <w:tcBorders>
              <w:top w:val="nil"/>
              <w:left w:val="nil"/>
              <w:bottom w:val="single" w:color="000000" w:sz="4" w:space="0"/>
              <w:right w:val="single" w:color="000000" w:sz="4" w:space="0"/>
            </w:tcBorders>
            <w:tcMar>
              <w:top w:w="0" w:type="dxa"/>
              <w:left w:w="105" w:type="dxa"/>
              <w:bottom w:w="0" w:type="dxa"/>
              <w:right w:w="105" w:type="dxa"/>
            </w:tcMar>
            <w:vAlign w:val="top"/>
          </w:tcPr>
          <w:p w14:paraId="5E2DCD79">
            <w:pPr>
              <w:pStyle w:val="6"/>
              <w:keepNext w:val="0"/>
              <w:keepLines w:val="0"/>
              <w:pageBreakBefore w:val="0"/>
              <w:widowControl/>
              <w:kinsoku/>
              <w:wordWrap/>
              <w:overflowPunct/>
              <w:topLinePunct w:val="0"/>
              <w:autoSpaceDE/>
              <w:autoSpaceDN/>
              <w:bidi w:val="0"/>
              <w:adjustRightInd/>
              <w:snapToGrid/>
              <w:spacing w:line="500" w:lineRule="exact"/>
              <w:ind w:firstLine="0"/>
              <w:jc w:val="center"/>
              <w:textAlignment w:val="auto"/>
              <w:rPr>
                <w:rFonts w:hint="eastAsia" w:ascii="宋体" w:hAnsi="宋体" w:eastAsia="宋体" w:cs="宋体"/>
                <w:sz w:val="24"/>
                <w:szCs w:val="24"/>
              </w:rPr>
            </w:pPr>
            <w:r>
              <w:rPr>
                <w:rFonts w:hint="eastAsia" w:ascii="宋体" w:hAnsi="宋体" w:eastAsia="宋体" w:cs="宋体"/>
                <w:color w:val="000000"/>
                <w:sz w:val="24"/>
                <w:szCs w:val="24"/>
              </w:rPr>
              <w:t>0.180000</w:t>
            </w:r>
          </w:p>
        </w:tc>
      </w:tr>
      <w:tr w14:paraId="3AE3C5A1">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99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D89C977">
            <w:pPr>
              <w:pStyle w:val="6"/>
              <w:keepNext w:val="0"/>
              <w:keepLines w:val="0"/>
              <w:pageBreakBefore w:val="0"/>
              <w:widowControl/>
              <w:kinsoku/>
              <w:wordWrap/>
              <w:overflowPunct/>
              <w:topLinePunct w:val="0"/>
              <w:autoSpaceDE/>
              <w:autoSpaceDN/>
              <w:bidi w:val="0"/>
              <w:adjustRightInd/>
              <w:snapToGrid/>
              <w:spacing w:line="500" w:lineRule="exact"/>
              <w:ind w:firstLine="0"/>
              <w:jc w:val="center"/>
              <w:textAlignment w:val="auto"/>
              <w:rPr>
                <w:rFonts w:hint="eastAsia" w:ascii="宋体" w:hAnsi="宋体" w:eastAsia="宋体" w:cs="宋体"/>
                <w:sz w:val="24"/>
                <w:szCs w:val="24"/>
              </w:rPr>
            </w:pPr>
            <w:r>
              <w:rPr>
                <w:rFonts w:hint="eastAsia" w:ascii="宋体" w:hAnsi="宋体" w:eastAsia="宋体" w:cs="宋体"/>
                <w:color w:val="000000"/>
                <w:sz w:val="24"/>
                <w:szCs w:val="24"/>
              </w:rPr>
              <w:t>1.10</w:t>
            </w:r>
          </w:p>
        </w:tc>
        <w:tc>
          <w:tcPr>
            <w:tcW w:w="3616" w:type="dxa"/>
            <w:tcBorders>
              <w:top w:val="nil"/>
              <w:left w:val="nil"/>
              <w:bottom w:val="single" w:color="000000" w:sz="4" w:space="0"/>
              <w:right w:val="single" w:color="000000" w:sz="4" w:space="0"/>
            </w:tcBorders>
            <w:tcMar>
              <w:top w:w="0" w:type="dxa"/>
              <w:left w:w="105" w:type="dxa"/>
              <w:bottom w:w="0" w:type="dxa"/>
              <w:right w:w="105" w:type="dxa"/>
            </w:tcMar>
            <w:vAlign w:val="top"/>
          </w:tcPr>
          <w:p w14:paraId="09E5E8D1">
            <w:pPr>
              <w:pStyle w:val="6"/>
              <w:keepNext w:val="0"/>
              <w:keepLines w:val="0"/>
              <w:pageBreakBefore w:val="0"/>
              <w:widowControl/>
              <w:kinsoku/>
              <w:wordWrap/>
              <w:overflowPunct/>
              <w:topLinePunct w:val="0"/>
              <w:autoSpaceDE/>
              <w:autoSpaceDN/>
              <w:bidi w:val="0"/>
              <w:adjustRightInd/>
              <w:snapToGrid/>
              <w:spacing w:line="500" w:lineRule="exact"/>
              <w:ind w:firstLine="0"/>
              <w:jc w:val="both"/>
              <w:textAlignment w:val="auto"/>
              <w:rPr>
                <w:rFonts w:hint="eastAsia" w:ascii="宋体" w:hAnsi="宋体" w:eastAsia="宋体" w:cs="宋体"/>
                <w:sz w:val="24"/>
                <w:szCs w:val="24"/>
              </w:rPr>
            </w:pPr>
            <w:r>
              <w:rPr>
                <w:rFonts w:hint="eastAsia" w:ascii="宋体" w:hAnsi="宋体" w:eastAsia="宋体" w:cs="宋体"/>
                <w:color w:val="000000"/>
                <w:sz w:val="24"/>
                <w:szCs w:val="24"/>
              </w:rPr>
              <w:t>视频质量诊断</w:t>
            </w:r>
          </w:p>
        </w:tc>
        <w:tc>
          <w:tcPr>
            <w:tcW w:w="1455" w:type="dxa"/>
            <w:tcBorders>
              <w:top w:val="nil"/>
              <w:left w:val="nil"/>
              <w:bottom w:val="single" w:color="000000" w:sz="4" w:space="0"/>
              <w:right w:val="single" w:color="000000" w:sz="4" w:space="0"/>
            </w:tcBorders>
            <w:tcMar>
              <w:top w:w="0" w:type="dxa"/>
              <w:left w:w="105" w:type="dxa"/>
              <w:bottom w:w="0" w:type="dxa"/>
              <w:right w:w="105" w:type="dxa"/>
            </w:tcMar>
            <w:vAlign w:val="top"/>
          </w:tcPr>
          <w:p w14:paraId="1D40B7D1">
            <w:pPr>
              <w:pStyle w:val="6"/>
              <w:keepNext w:val="0"/>
              <w:keepLines w:val="0"/>
              <w:pageBreakBefore w:val="0"/>
              <w:widowControl/>
              <w:kinsoku/>
              <w:wordWrap/>
              <w:overflowPunct/>
              <w:topLinePunct w:val="0"/>
              <w:autoSpaceDE/>
              <w:autoSpaceDN/>
              <w:bidi w:val="0"/>
              <w:adjustRightInd/>
              <w:snapToGrid/>
              <w:spacing w:line="500" w:lineRule="exact"/>
              <w:ind w:firstLine="0"/>
              <w:jc w:val="center"/>
              <w:textAlignment w:val="auto"/>
              <w:rPr>
                <w:rFonts w:hint="eastAsia" w:ascii="宋体" w:hAnsi="宋体" w:eastAsia="宋体" w:cs="宋体"/>
                <w:sz w:val="24"/>
                <w:szCs w:val="24"/>
              </w:rPr>
            </w:pPr>
            <w:r>
              <w:rPr>
                <w:rFonts w:hint="eastAsia" w:ascii="宋体" w:hAnsi="宋体" w:eastAsia="宋体" w:cs="宋体"/>
                <w:color w:val="000000"/>
                <w:sz w:val="24"/>
                <w:szCs w:val="24"/>
              </w:rPr>
              <w:t>10路</w:t>
            </w:r>
          </w:p>
        </w:tc>
        <w:tc>
          <w:tcPr>
            <w:tcW w:w="2359" w:type="dxa"/>
            <w:tcBorders>
              <w:top w:val="nil"/>
              <w:left w:val="nil"/>
              <w:bottom w:val="single" w:color="000000" w:sz="4" w:space="0"/>
              <w:right w:val="single" w:color="000000" w:sz="4" w:space="0"/>
            </w:tcBorders>
            <w:tcMar>
              <w:top w:w="0" w:type="dxa"/>
              <w:left w:w="105" w:type="dxa"/>
              <w:bottom w:w="0" w:type="dxa"/>
              <w:right w:w="105" w:type="dxa"/>
            </w:tcMar>
            <w:vAlign w:val="top"/>
          </w:tcPr>
          <w:p w14:paraId="2F1797AA">
            <w:pPr>
              <w:pStyle w:val="6"/>
              <w:keepNext w:val="0"/>
              <w:keepLines w:val="0"/>
              <w:pageBreakBefore w:val="0"/>
              <w:widowControl/>
              <w:kinsoku/>
              <w:wordWrap/>
              <w:overflowPunct/>
              <w:topLinePunct w:val="0"/>
              <w:autoSpaceDE/>
              <w:autoSpaceDN/>
              <w:bidi w:val="0"/>
              <w:adjustRightInd/>
              <w:snapToGrid/>
              <w:spacing w:line="500" w:lineRule="exact"/>
              <w:ind w:firstLine="0"/>
              <w:jc w:val="center"/>
              <w:textAlignment w:val="auto"/>
              <w:rPr>
                <w:rFonts w:hint="eastAsia" w:ascii="宋体" w:hAnsi="宋体" w:eastAsia="宋体" w:cs="宋体"/>
                <w:sz w:val="24"/>
                <w:szCs w:val="24"/>
              </w:rPr>
            </w:pPr>
            <w:r>
              <w:rPr>
                <w:rFonts w:hint="eastAsia" w:ascii="宋体" w:hAnsi="宋体" w:eastAsia="宋体" w:cs="宋体"/>
                <w:color w:val="000000"/>
                <w:sz w:val="24"/>
                <w:szCs w:val="24"/>
              </w:rPr>
              <w:t>0.020000</w:t>
            </w:r>
          </w:p>
        </w:tc>
      </w:tr>
      <w:tr w14:paraId="6CA4D62E">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99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5877ED9B">
            <w:pPr>
              <w:pStyle w:val="6"/>
              <w:keepNext w:val="0"/>
              <w:keepLines w:val="0"/>
              <w:pageBreakBefore w:val="0"/>
              <w:widowControl/>
              <w:kinsoku/>
              <w:wordWrap/>
              <w:overflowPunct/>
              <w:topLinePunct w:val="0"/>
              <w:autoSpaceDE/>
              <w:autoSpaceDN/>
              <w:bidi w:val="0"/>
              <w:adjustRightInd/>
              <w:snapToGrid/>
              <w:spacing w:line="500" w:lineRule="exact"/>
              <w:ind w:firstLine="0"/>
              <w:jc w:val="center"/>
              <w:textAlignment w:val="auto"/>
              <w:rPr>
                <w:rFonts w:hint="eastAsia" w:ascii="宋体" w:hAnsi="宋体" w:eastAsia="宋体" w:cs="宋体"/>
                <w:sz w:val="24"/>
                <w:szCs w:val="24"/>
              </w:rPr>
            </w:pPr>
            <w:r>
              <w:rPr>
                <w:rFonts w:hint="eastAsia" w:ascii="宋体" w:hAnsi="宋体" w:eastAsia="宋体" w:cs="宋体"/>
                <w:color w:val="000000"/>
                <w:sz w:val="24"/>
                <w:szCs w:val="24"/>
              </w:rPr>
              <w:t>1.11</w:t>
            </w:r>
          </w:p>
        </w:tc>
        <w:tc>
          <w:tcPr>
            <w:tcW w:w="3616" w:type="dxa"/>
            <w:tcBorders>
              <w:top w:val="nil"/>
              <w:left w:val="nil"/>
              <w:bottom w:val="single" w:color="000000" w:sz="4" w:space="0"/>
              <w:right w:val="single" w:color="000000" w:sz="4" w:space="0"/>
            </w:tcBorders>
            <w:tcMar>
              <w:top w:w="0" w:type="dxa"/>
              <w:left w:w="105" w:type="dxa"/>
              <w:bottom w:w="0" w:type="dxa"/>
              <w:right w:w="105" w:type="dxa"/>
            </w:tcMar>
            <w:vAlign w:val="top"/>
          </w:tcPr>
          <w:p w14:paraId="5CE0CA0C">
            <w:pPr>
              <w:pStyle w:val="6"/>
              <w:keepNext w:val="0"/>
              <w:keepLines w:val="0"/>
              <w:pageBreakBefore w:val="0"/>
              <w:widowControl/>
              <w:kinsoku/>
              <w:wordWrap/>
              <w:overflowPunct/>
              <w:topLinePunct w:val="0"/>
              <w:autoSpaceDE/>
              <w:autoSpaceDN/>
              <w:bidi w:val="0"/>
              <w:adjustRightInd/>
              <w:snapToGrid/>
              <w:spacing w:line="500" w:lineRule="exact"/>
              <w:ind w:firstLine="0"/>
              <w:jc w:val="both"/>
              <w:textAlignment w:val="auto"/>
              <w:rPr>
                <w:rFonts w:hint="eastAsia" w:ascii="宋体" w:hAnsi="宋体" w:eastAsia="宋体" w:cs="宋体"/>
                <w:sz w:val="24"/>
                <w:szCs w:val="24"/>
              </w:rPr>
            </w:pPr>
            <w:r>
              <w:rPr>
                <w:rFonts w:hint="eastAsia" w:ascii="宋体" w:hAnsi="宋体" w:eastAsia="宋体" w:cs="宋体"/>
                <w:color w:val="000000"/>
                <w:sz w:val="24"/>
                <w:szCs w:val="24"/>
              </w:rPr>
              <w:t>视频联网</w:t>
            </w:r>
          </w:p>
        </w:tc>
        <w:tc>
          <w:tcPr>
            <w:tcW w:w="1455" w:type="dxa"/>
            <w:tcBorders>
              <w:top w:val="nil"/>
              <w:left w:val="nil"/>
              <w:bottom w:val="single" w:color="000000" w:sz="4" w:space="0"/>
              <w:right w:val="single" w:color="000000" w:sz="4" w:space="0"/>
            </w:tcBorders>
            <w:tcMar>
              <w:top w:w="0" w:type="dxa"/>
              <w:left w:w="105" w:type="dxa"/>
              <w:bottom w:w="0" w:type="dxa"/>
              <w:right w:w="105" w:type="dxa"/>
            </w:tcMar>
            <w:vAlign w:val="top"/>
          </w:tcPr>
          <w:p w14:paraId="19DD01CA">
            <w:pPr>
              <w:pStyle w:val="6"/>
              <w:keepNext w:val="0"/>
              <w:keepLines w:val="0"/>
              <w:pageBreakBefore w:val="0"/>
              <w:widowControl/>
              <w:kinsoku/>
              <w:wordWrap/>
              <w:overflowPunct/>
              <w:topLinePunct w:val="0"/>
              <w:autoSpaceDE/>
              <w:autoSpaceDN/>
              <w:bidi w:val="0"/>
              <w:adjustRightInd/>
              <w:snapToGrid/>
              <w:spacing w:line="500" w:lineRule="exact"/>
              <w:ind w:firstLine="0"/>
              <w:jc w:val="center"/>
              <w:textAlignment w:val="auto"/>
              <w:rPr>
                <w:rFonts w:hint="eastAsia" w:ascii="宋体" w:hAnsi="宋体" w:eastAsia="宋体" w:cs="宋体"/>
                <w:sz w:val="24"/>
                <w:szCs w:val="24"/>
              </w:rPr>
            </w:pPr>
            <w:r>
              <w:rPr>
                <w:rFonts w:hint="eastAsia" w:ascii="宋体" w:hAnsi="宋体" w:eastAsia="宋体" w:cs="宋体"/>
                <w:color w:val="000000"/>
                <w:sz w:val="24"/>
                <w:szCs w:val="24"/>
              </w:rPr>
              <w:t>1套</w:t>
            </w:r>
          </w:p>
        </w:tc>
        <w:tc>
          <w:tcPr>
            <w:tcW w:w="2359" w:type="dxa"/>
            <w:tcBorders>
              <w:top w:val="nil"/>
              <w:left w:val="nil"/>
              <w:bottom w:val="single" w:color="000000" w:sz="4" w:space="0"/>
              <w:right w:val="single" w:color="000000" w:sz="4" w:space="0"/>
            </w:tcBorders>
            <w:tcMar>
              <w:top w:w="0" w:type="dxa"/>
              <w:left w:w="105" w:type="dxa"/>
              <w:bottom w:w="0" w:type="dxa"/>
              <w:right w:w="105" w:type="dxa"/>
            </w:tcMar>
            <w:vAlign w:val="top"/>
          </w:tcPr>
          <w:p w14:paraId="6A064641">
            <w:pPr>
              <w:pStyle w:val="6"/>
              <w:keepNext w:val="0"/>
              <w:keepLines w:val="0"/>
              <w:pageBreakBefore w:val="0"/>
              <w:widowControl/>
              <w:kinsoku/>
              <w:wordWrap/>
              <w:overflowPunct/>
              <w:topLinePunct w:val="0"/>
              <w:autoSpaceDE/>
              <w:autoSpaceDN/>
              <w:bidi w:val="0"/>
              <w:adjustRightInd/>
              <w:snapToGrid/>
              <w:spacing w:line="500" w:lineRule="exact"/>
              <w:ind w:firstLine="0"/>
              <w:jc w:val="center"/>
              <w:textAlignment w:val="auto"/>
              <w:rPr>
                <w:rFonts w:hint="eastAsia" w:ascii="宋体" w:hAnsi="宋体" w:eastAsia="宋体" w:cs="宋体"/>
                <w:sz w:val="24"/>
                <w:szCs w:val="24"/>
              </w:rPr>
            </w:pPr>
            <w:r>
              <w:rPr>
                <w:rFonts w:hint="eastAsia" w:ascii="宋体" w:hAnsi="宋体" w:eastAsia="宋体" w:cs="宋体"/>
                <w:color w:val="000000"/>
                <w:sz w:val="24"/>
                <w:szCs w:val="24"/>
              </w:rPr>
              <w:t>0.400000</w:t>
            </w:r>
          </w:p>
        </w:tc>
      </w:tr>
      <w:tr w14:paraId="3CF7606E">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99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F398B37">
            <w:pPr>
              <w:pStyle w:val="6"/>
              <w:keepNext w:val="0"/>
              <w:keepLines w:val="0"/>
              <w:pageBreakBefore w:val="0"/>
              <w:widowControl/>
              <w:kinsoku/>
              <w:wordWrap/>
              <w:overflowPunct/>
              <w:topLinePunct w:val="0"/>
              <w:autoSpaceDE/>
              <w:autoSpaceDN/>
              <w:bidi w:val="0"/>
              <w:adjustRightInd/>
              <w:snapToGrid/>
              <w:spacing w:line="500" w:lineRule="exact"/>
              <w:ind w:firstLine="0"/>
              <w:jc w:val="center"/>
              <w:textAlignment w:val="auto"/>
              <w:rPr>
                <w:rFonts w:hint="eastAsia" w:ascii="宋体" w:hAnsi="宋体" w:eastAsia="宋体" w:cs="宋体"/>
                <w:sz w:val="24"/>
                <w:szCs w:val="24"/>
              </w:rPr>
            </w:pPr>
            <w:r>
              <w:rPr>
                <w:rFonts w:hint="eastAsia" w:ascii="宋体" w:hAnsi="宋体" w:eastAsia="宋体" w:cs="宋体"/>
                <w:color w:val="000000"/>
                <w:sz w:val="24"/>
                <w:szCs w:val="24"/>
              </w:rPr>
              <w:t>1.12</w:t>
            </w:r>
          </w:p>
        </w:tc>
        <w:tc>
          <w:tcPr>
            <w:tcW w:w="3616" w:type="dxa"/>
            <w:tcBorders>
              <w:top w:val="nil"/>
              <w:left w:val="nil"/>
              <w:bottom w:val="single" w:color="000000" w:sz="4" w:space="0"/>
              <w:right w:val="single" w:color="000000" w:sz="4" w:space="0"/>
            </w:tcBorders>
            <w:tcMar>
              <w:top w:w="0" w:type="dxa"/>
              <w:left w:w="105" w:type="dxa"/>
              <w:bottom w:w="0" w:type="dxa"/>
              <w:right w:w="105" w:type="dxa"/>
            </w:tcMar>
            <w:vAlign w:val="top"/>
          </w:tcPr>
          <w:p w14:paraId="20840137">
            <w:pPr>
              <w:pStyle w:val="6"/>
              <w:keepNext w:val="0"/>
              <w:keepLines w:val="0"/>
              <w:pageBreakBefore w:val="0"/>
              <w:widowControl/>
              <w:kinsoku/>
              <w:wordWrap/>
              <w:overflowPunct/>
              <w:topLinePunct w:val="0"/>
              <w:autoSpaceDE/>
              <w:autoSpaceDN/>
              <w:bidi w:val="0"/>
              <w:adjustRightInd/>
              <w:snapToGrid/>
              <w:spacing w:line="500" w:lineRule="exact"/>
              <w:ind w:firstLine="0"/>
              <w:jc w:val="both"/>
              <w:textAlignment w:val="auto"/>
              <w:rPr>
                <w:rFonts w:hint="eastAsia" w:ascii="宋体" w:hAnsi="宋体" w:eastAsia="宋体" w:cs="宋体"/>
                <w:sz w:val="24"/>
                <w:szCs w:val="24"/>
              </w:rPr>
            </w:pPr>
            <w:r>
              <w:rPr>
                <w:rFonts w:hint="eastAsia" w:ascii="宋体" w:hAnsi="宋体" w:eastAsia="宋体" w:cs="宋体"/>
                <w:color w:val="000000"/>
                <w:sz w:val="24"/>
                <w:szCs w:val="24"/>
              </w:rPr>
              <w:t>智能算法模型应用</w:t>
            </w:r>
          </w:p>
        </w:tc>
        <w:tc>
          <w:tcPr>
            <w:tcW w:w="1455" w:type="dxa"/>
            <w:tcBorders>
              <w:top w:val="nil"/>
              <w:left w:val="nil"/>
              <w:bottom w:val="single" w:color="000000" w:sz="4" w:space="0"/>
              <w:right w:val="single" w:color="000000" w:sz="4" w:space="0"/>
            </w:tcBorders>
            <w:tcMar>
              <w:top w:w="0" w:type="dxa"/>
              <w:left w:w="105" w:type="dxa"/>
              <w:bottom w:w="0" w:type="dxa"/>
              <w:right w:w="105" w:type="dxa"/>
            </w:tcMar>
            <w:vAlign w:val="top"/>
          </w:tcPr>
          <w:p w14:paraId="3B754415">
            <w:pPr>
              <w:pStyle w:val="6"/>
              <w:keepNext w:val="0"/>
              <w:keepLines w:val="0"/>
              <w:pageBreakBefore w:val="0"/>
              <w:widowControl/>
              <w:kinsoku/>
              <w:wordWrap/>
              <w:overflowPunct/>
              <w:topLinePunct w:val="0"/>
              <w:autoSpaceDE/>
              <w:autoSpaceDN/>
              <w:bidi w:val="0"/>
              <w:adjustRightInd/>
              <w:snapToGrid/>
              <w:spacing w:line="500" w:lineRule="exact"/>
              <w:ind w:firstLine="0"/>
              <w:jc w:val="center"/>
              <w:textAlignment w:val="auto"/>
              <w:rPr>
                <w:rFonts w:hint="eastAsia" w:ascii="宋体" w:hAnsi="宋体" w:eastAsia="宋体" w:cs="宋体"/>
                <w:sz w:val="24"/>
                <w:szCs w:val="24"/>
              </w:rPr>
            </w:pPr>
            <w:r>
              <w:rPr>
                <w:rFonts w:hint="eastAsia" w:ascii="宋体" w:hAnsi="宋体" w:eastAsia="宋体" w:cs="宋体"/>
                <w:color w:val="000000"/>
                <w:sz w:val="24"/>
                <w:szCs w:val="24"/>
              </w:rPr>
              <w:t>1套</w:t>
            </w:r>
          </w:p>
        </w:tc>
        <w:tc>
          <w:tcPr>
            <w:tcW w:w="2359" w:type="dxa"/>
            <w:tcBorders>
              <w:top w:val="nil"/>
              <w:left w:val="nil"/>
              <w:bottom w:val="single" w:color="000000" w:sz="4" w:space="0"/>
              <w:right w:val="single" w:color="000000" w:sz="4" w:space="0"/>
            </w:tcBorders>
            <w:tcMar>
              <w:top w:w="0" w:type="dxa"/>
              <w:left w:w="105" w:type="dxa"/>
              <w:bottom w:w="0" w:type="dxa"/>
              <w:right w:w="105" w:type="dxa"/>
            </w:tcMar>
            <w:vAlign w:val="top"/>
          </w:tcPr>
          <w:p w14:paraId="7483A7A9">
            <w:pPr>
              <w:pStyle w:val="6"/>
              <w:keepNext w:val="0"/>
              <w:keepLines w:val="0"/>
              <w:pageBreakBefore w:val="0"/>
              <w:widowControl/>
              <w:kinsoku/>
              <w:wordWrap/>
              <w:overflowPunct/>
              <w:topLinePunct w:val="0"/>
              <w:autoSpaceDE/>
              <w:autoSpaceDN/>
              <w:bidi w:val="0"/>
              <w:adjustRightInd/>
              <w:snapToGrid/>
              <w:spacing w:line="500" w:lineRule="exact"/>
              <w:ind w:firstLine="0"/>
              <w:jc w:val="center"/>
              <w:textAlignment w:val="auto"/>
              <w:rPr>
                <w:rFonts w:hint="eastAsia" w:ascii="宋体" w:hAnsi="宋体" w:eastAsia="宋体" w:cs="宋体"/>
                <w:sz w:val="24"/>
                <w:szCs w:val="24"/>
              </w:rPr>
            </w:pPr>
            <w:r>
              <w:rPr>
                <w:rFonts w:hint="eastAsia" w:ascii="宋体" w:hAnsi="宋体" w:eastAsia="宋体" w:cs="宋体"/>
                <w:color w:val="000000"/>
                <w:sz w:val="24"/>
                <w:szCs w:val="24"/>
              </w:rPr>
              <w:t>1.500000</w:t>
            </w:r>
          </w:p>
        </w:tc>
      </w:tr>
      <w:tr w14:paraId="073DF20B">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99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77181A9D">
            <w:pPr>
              <w:pStyle w:val="6"/>
              <w:keepNext w:val="0"/>
              <w:keepLines w:val="0"/>
              <w:pageBreakBefore w:val="0"/>
              <w:widowControl/>
              <w:kinsoku/>
              <w:wordWrap/>
              <w:overflowPunct/>
              <w:topLinePunct w:val="0"/>
              <w:autoSpaceDE/>
              <w:autoSpaceDN/>
              <w:bidi w:val="0"/>
              <w:adjustRightInd/>
              <w:snapToGrid/>
              <w:spacing w:line="500" w:lineRule="exact"/>
              <w:ind w:firstLine="0"/>
              <w:jc w:val="center"/>
              <w:textAlignment w:val="auto"/>
              <w:rPr>
                <w:rFonts w:hint="eastAsia" w:ascii="宋体" w:hAnsi="宋体" w:eastAsia="宋体" w:cs="宋体"/>
                <w:sz w:val="24"/>
                <w:szCs w:val="24"/>
              </w:rPr>
            </w:pPr>
            <w:r>
              <w:rPr>
                <w:rFonts w:hint="eastAsia" w:ascii="宋体" w:hAnsi="宋体" w:eastAsia="宋体" w:cs="宋体"/>
                <w:color w:val="000000"/>
                <w:sz w:val="24"/>
                <w:szCs w:val="24"/>
              </w:rPr>
              <w:t>1.13</w:t>
            </w:r>
          </w:p>
        </w:tc>
        <w:tc>
          <w:tcPr>
            <w:tcW w:w="3616" w:type="dxa"/>
            <w:tcBorders>
              <w:top w:val="nil"/>
              <w:left w:val="nil"/>
              <w:bottom w:val="single" w:color="000000" w:sz="4" w:space="0"/>
              <w:right w:val="single" w:color="000000" w:sz="4" w:space="0"/>
            </w:tcBorders>
            <w:tcMar>
              <w:top w:w="0" w:type="dxa"/>
              <w:left w:w="105" w:type="dxa"/>
              <w:bottom w:w="0" w:type="dxa"/>
              <w:right w:w="105" w:type="dxa"/>
            </w:tcMar>
            <w:vAlign w:val="top"/>
          </w:tcPr>
          <w:p w14:paraId="0E0EFDD1">
            <w:pPr>
              <w:pStyle w:val="6"/>
              <w:keepNext w:val="0"/>
              <w:keepLines w:val="0"/>
              <w:pageBreakBefore w:val="0"/>
              <w:widowControl/>
              <w:kinsoku/>
              <w:wordWrap/>
              <w:overflowPunct/>
              <w:topLinePunct w:val="0"/>
              <w:autoSpaceDE/>
              <w:autoSpaceDN/>
              <w:bidi w:val="0"/>
              <w:adjustRightInd/>
              <w:snapToGrid/>
              <w:spacing w:line="500" w:lineRule="exact"/>
              <w:ind w:firstLine="0"/>
              <w:jc w:val="both"/>
              <w:textAlignment w:val="auto"/>
              <w:rPr>
                <w:rFonts w:hint="eastAsia" w:ascii="宋体" w:hAnsi="宋体" w:eastAsia="宋体" w:cs="宋体"/>
                <w:sz w:val="24"/>
                <w:szCs w:val="24"/>
              </w:rPr>
            </w:pPr>
            <w:r>
              <w:rPr>
                <w:rFonts w:hint="eastAsia" w:ascii="宋体" w:hAnsi="宋体" w:eastAsia="宋体" w:cs="宋体"/>
                <w:color w:val="000000"/>
                <w:sz w:val="24"/>
                <w:szCs w:val="24"/>
              </w:rPr>
              <w:t>汇聚交换机</w:t>
            </w:r>
          </w:p>
        </w:tc>
        <w:tc>
          <w:tcPr>
            <w:tcW w:w="1455" w:type="dxa"/>
            <w:tcBorders>
              <w:top w:val="nil"/>
              <w:left w:val="nil"/>
              <w:bottom w:val="single" w:color="000000" w:sz="4" w:space="0"/>
              <w:right w:val="single" w:color="000000" w:sz="4" w:space="0"/>
            </w:tcBorders>
            <w:tcMar>
              <w:top w:w="0" w:type="dxa"/>
              <w:left w:w="105" w:type="dxa"/>
              <w:bottom w:w="0" w:type="dxa"/>
              <w:right w:w="105" w:type="dxa"/>
            </w:tcMar>
            <w:vAlign w:val="top"/>
          </w:tcPr>
          <w:p w14:paraId="6E84D392">
            <w:pPr>
              <w:pStyle w:val="6"/>
              <w:keepNext w:val="0"/>
              <w:keepLines w:val="0"/>
              <w:pageBreakBefore w:val="0"/>
              <w:widowControl/>
              <w:kinsoku/>
              <w:wordWrap/>
              <w:overflowPunct/>
              <w:topLinePunct w:val="0"/>
              <w:autoSpaceDE/>
              <w:autoSpaceDN/>
              <w:bidi w:val="0"/>
              <w:adjustRightInd/>
              <w:snapToGrid/>
              <w:spacing w:line="500" w:lineRule="exact"/>
              <w:ind w:firstLine="0"/>
              <w:jc w:val="center"/>
              <w:textAlignment w:val="auto"/>
              <w:rPr>
                <w:rFonts w:hint="eastAsia" w:ascii="宋体" w:hAnsi="宋体" w:eastAsia="宋体" w:cs="宋体"/>
                <w:sz w:val="24"/>
                <w:szCs w:val="24"/>
              </w:rPr>
            </w:pPr>
            <w:r>
              <w:rPr>
                <w:rFonts w:hint="eastAsia" w:ascii="宋体" w:hAnsi="宋体" w:eastAsia="宋体" w:cs="宋体"/>
                <w:color w:val="000000"/>
                <w:sz w:val="24"/>
                <w:szCs w:val="24"/>
              </w:rPr>
              <w:t>1台</w:t>
            </w:r>
          </w:p>
        </w:tc>
        <w:tc>
          <w:tcPr>
            <w:tcW w:w="2359" w:type="dxa"/>
            <w:tcBorders>
              <w:top w:val="nil"/>
              <w:left w:val="nil"/>
              <w:bottom w:val="single" w:color="000000" w:sz="4" w:space="0"/>
              <w:right w:val="single" w:color="000000" w:sz="4" w:space="0"/>
            </w:tcBorders>
            <w:tcMar>
              <w:top w:w="0" w:type="dxa"/>
              <w:left w:w="105" w:type="dxa"/>
              <w:bottom w:w="0" w:type="dxa"/>
              <w:right w:w="105" w:type="dxa"/>
            </w:tcMar>
            <w:vAlign w:val="top"/>
          </w:tcPr>
          <w:p w14:paraId="4CA1D3DD">
            <w:pPr>
              <w:pStyle w:val="6"/>
              <w:keepNext w:val="0"/>
              <w:keepLines w:val="0"/>
              <w:pageBreakBefore w:val="0"/>
              <w:widowControl/>
              <w:kinsoku/>
              <w:wordWrap/>
              <w:overflowPunct/>
              <w:topLinePunct w:val="0"/>
              <w:autoSpaceDE/>
              <w:autoSpaceDN/>
              <w:bidi w:val="0"/>
              <w:adjustRightInd/>
              <w:snapToGrid/>
              <w:spacing w:line="500" w:lineRule="exact"/>
              <w:ind w:firstLine="0"/>
              <w:jc w:val="center"/>
              <w:textAlignment w:val="auto"/>
              <w:rPr>
                <w:rFonts w:hint="eastAsia" w:ascii="宋体" w:hAnsi="宋体" w:eastAsia="宋体" w:cs="宋体"/>
                <w:sz w:val="24"/>
                <w:szCs w:val="24"/>
              </w:rPr>
            </w:pPr>
            <w:r>
              <w:rPr>
                <w:rFonts w:hint="eastAsia" w:ascii="宋体" w:hAnsi="宋体" w:eastAsia="宋体" w:cs="宋体"/>
                <w:color w:val="000000"/>
                <w:sz w:val="24"/>
                <w:szCs w:val="24"/>
              </w:rPr>
              <w:t>0.500000</w:t>
            </w:r>
          </w:p>
        </w:tc>
      </w:tr>
      <w:tr w14:paraId="1D9B6DFD">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99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575395DD">
            <w:pPr>
              <w:pStyle w:val="6"/>
              <w:keepNext w:val="0"/>
              <w:keepLines w:val="0"/>
              <w:pageBreakBefore w:val="0"/>
              <w:widowControl/>
              <w:kinsoku/>
              <w:wordWrap/>
              <w:overflowPunct/>
              <w:topLinePunct w:val="0"/>
              <w:autoSpaceDE/>
              <w:autoSpaceDN/>
              <w:bidi w:val="0"/>
              <w:adjustRightInd/>
              <w:snapToGrid/>
              <w:spacing w:line="500" w:lineRule="exact"/>
              <w:ind w:firstLine="0"/>
              <w:jc w:val="center"/>
              <w:textAlignment w:val="auto"/>
              <w:rPr>
                <w:rFonts w:hint="eastAsia" w:ascii="宋体" w:hAnsi="宋体" w:eastAsia="宋体" w:cs="宋体"/>
                <w:sz w:val="24"/>
                <w:szCs w:val="24"/>
              </w:rPr>
            </w:pPr>
            <w:r>
              <w:rPr>
                <w:rFonts w:hint="eastAsia" w:ascii="宋体" w:hAnsi="宋体" w:eastAsia="宋体" w:cs="宋体"/>
                <w:color w:val="000000"/>
                <w:sz w:val="24"/>
                <w:szCs w:val="24"/>
              </w:rPr>
              <w:t>1.14</w:t>
            </w:r>
          </w:p>
        </w:tc>
        <w:tc>
          <w:tcPr>
            <w:tcW w:w="3616" w:type="dxa"/>
            <w:tcBorders>
              <w:top w:val="nil"/>
              <w:left w:val="nil"/>
              <w:bottom w:val="single" w:color="000000" w:sz="4" w:space="0"/>
              <w:right w:val="single" w:color="000000" w:sz="4" w:space="0"/>
            </w:tcBorders>
            <w:tcMar>
              <w:top w:w="0" w:type="dxa"/>
              <w:left w:w="105" w:type="dxa"/>
              <w:bottom w:w="0" w:type="dxa"/>
              <w:right w:w="105" w:type="dxa"/>
            </w:tcMar>
            <w:vAlign w:val="top"/>
          </w:tcPr>
          <w:p w14:paraId="13447E09">
            <w:pPr>
              <w:pStyle w:val="6"/>
              <w:keepNext w:val="0"/>
              <w:keepLines w:val="0"/>
              <w:pageBreakBefore w:val="0"/>
              <w:widowControl/>
              <w:kinsoku/>
              <w:wordWrap/>
              <w:overflowPunct/>
              <w:topLinePunct w:val="0"/>
              <w:autoSpaceDE/>
              <w:autoSpaceDN/>
              <w:bidi w:val="0"/>
              <w:adjustRightInd/>
              <w:snapToGrid/>
              <w:spacing w:line="500" w:lineRule="exact"/>
              <w:ind w:firstLine="0"/>
              <w:jc w:val="both"/>
              <w:textAlignment w:val="auto"/>
              <w:rPr>
                <w:rFonts w:hint="eastAsia" w:ascii="宋体" w:hAnsi="宋体" w:eastAsia="宋体" w:cs="宋体"/>
                <w:sz w:val="24"/>
                <w:szCs w:val="24"/>
              </w:rPr>
            </w:pPr>
            <w:r>
              <w:rPr>
                <w:rFonts w:hint="eastAsia" w:ascii="宋体" w:hAnsi="宋体" w:eastAsia="宋体" w:cs="宋体"/>
                <w:color w:val="000000"/>
                <w:sz w:val="24"/>
                <w:szCs w:val="24"/>
              </w:rPr>
              <w:t>千兆光模块</w:t>
            </w:r>
          </w:p>
        </w:tc>
        <w:tc>
          <w:tcPr>
            <w:tcW w:w="1455" w:type="dxa"/>
            <w:tcBorders>
              <w:top w:val="nil"/>
              <w:left w:val="nil"/>
              <w:bottom w:val="single" w:color="000000" w:sz="4" w:space="0"/>
              <w:right w:val="single" w:color="000000" w:sz="4" w:space="0"/>
            </w:tcBorders>
            <w:tcMar>
              <w:top w:w="0" w:type="dxa"/>
              <w:left w:w="105" w:type="dxa"/>
              <w:bottom w:w="0" w:type="dxa"/>
              <w:right w:w="105" w:type="dxa"/>
            </w:tcMar>
            <w:vAlign w:val="top"/>
          </w:tcPr>
          <w:p w14:paraId="6179CDCA">
            <w:pPr>
              <w:pStyle w:val="6"/>
              <w:keepNext w:val="0"/>
              <w:keepLines w:val="0"/>
              <w:pageBreakBefore w:val="0"/>
              <w:widowControl/>
              <w:kinsoku/>
              <w:wordWrap/>
              <w:overflowPunct/>
              <w:topLinePunct w:val="0"/>
              <w:autoSpaceDE/>
              <w:autoSpaceDN/>
              <w:bidi w:val="0"/>
              <w:adjustRightInd/>
              <w:snapToGrid/>
              <w:spacing w:line="500" w:lineRule="exact"/>
              <w:ind w:firstLine="0"/>
              <w:jc w:val="center"/>
              <w:textAlignment w:val="auto"/>
              <w:rPr>
                <w:rFonts w:hint="eastAsia" w:ascii="宋体" w:hAnsi="宋体" w:eastAsia="宋体" w:cs="宋体"/>
                <w:sz w:val="24"/>
                <w:szCs w:val="24"/>
              </w:rPr>
            </w:pPr>
            <w:r>
              <w:rPr>
                <w:rFonts w:hint="eastAsia" w:ascii="宋体" w:hAnsi="宋体" w:eastAsia="宋体" w:cs="宋体"/>
                <w:color w:val="000000"/>
                <w:sz w:val="24"/>
                <w:szCs w:val="24"/>
              </w:rPr>
              <w:t>6个</w:t>
            </w:r>
          </w:p>
        </w:tc>
        <w:tc>
          <w:tcPr>
            <w:tcW w:w="2359" w:type="dxa"/>
            <w:tcBorders>
              <w:top w:val="nil"/>
              <w:left w:val="nil"/>
              <w:bottom w:val="single" w:color="000000" w:sz="4" w:space="0"/>
              <w:right w:val="single" w:color="000000" w:sz="4" w:space="0"/>
            </w:tcBorders>
            <w:tcMar>
              <w:top w:w="0" w:type="dxa"/>
              <w:left w:w="105" w:type="dxa"/>
              <w:bottom w:w="0" w:type="dxa"/>
              <w:right w:w="105" w:type="dxa"/>
            </w:tcMar>
            <w:vAlign w:val="top"/>
          </w:tcPr>
          <w:p w14:paraId="6DAF54AE">
            <w:pPr>
              <w:pStyle w:val="6"/>
              <w:keepNext w:val="0"/>
              <w:keepLines w:val="0"/>
              <w:pageBreakBefore w:val="0"/>
              <w:widowControl/>
              <w:kinsoku/>
              <w:wordWrap/>
              <w:overflowPunct/>
              <w:topLinePunct w:val="0"/>
              <w:autoSpaceDE/>
              <w:autoSpaceDN/>
              <w:bidi w:val="0"/>
              <w:adjustRightInd/>
              <w:snapToGrid/>
              <w:spacing w:line="500" w:lineRule="exact"/>
              <w:ind w:firstLine="0"/>
              <w:jc w:val="center"/>
              <w:textAlignment w:val="auto"/>
              <w:rPr>
                <w:rFonts w:hint="eastAsia" w:ascii="宋体" w:hAnsi="宋体" w:eastAsia="宋体" w:cs="宋体"/>
                <w:sz w:val="24"/>
                <w:szCs w:val="24"/>
              </w:rPr>
            </w:pPr>
            <w:r>
              <w:rPr>
                <w:rFonts w:hint="eastAsia" w:ascii="宋体" w:hAnsi="宋体" w:eastAsia="宋体" w:cs="宋体"/>
                <w:color w:val="000000"/>
                <w:sz w:val="24"/>
                <w:szCs w:val="24"/>
              </w:rPr>
              <w:t>0.096000</w:t>
            </w:r>
          </w:p>
        </w:tc>
      </w:tr>
      <w:tr w14:paraId="17A689B2">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99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7E41D4B9">
            <w:pPr>
              <w:pStyle w:val="6"/>
              <w:keepNext w:val="0"/>
              <w:keepLines w:val="0"/>
              <w:pageBreakBefore w:val="0"/>
              <w:widowControl/>
              <w:kinsoku/>
              <w:wordWrap/>
              <w:overflowPunct/>
              <w:topLinePunct w:val="0"/>
              <w:autoSpaceDE/>
              <w:autoSpaceDN/>
              <w:bidi w:val="0"/>
              <w:adjustRightInd/>
              <w:snapToGrid/>
              <w:spacing w:line="500" w:lineRule="exact"/>
              <w:ind w:firstLine="0"/>
              <w:jc w:val="center"/>
              <w:textAlignment w:val="auto"/>
              <w:rPr>
                <w:rFonts w:hint="eastAsia" w:ascii="宋体" w:hAnsi="宋体" w:eastAsia="宋体" w:cs="宋体"/>
                <w:sz w:val="24"/>
                <w:szCs w:val="24"/>
              </w:rPr>
            </w:pPr>
            <w:r>
              <w:rPr>
                <w:rFonts w:hint="eastAsia" w:ascii="宋体" w:hAnsi="宋体" w:eastAsia="宋体" w:cs="宋体"/>
                <w:color w:val="000000"/>
                <w:sz w:val="24"/>
                <w:szCs w:val="24"/>
              </w:rPr>
              <w:t>1.15</w:t>
            </w:r>
          </w:p>
        </w:tc>
        <w:tc>
          <w:tcPr>
            <w:tcW w:w="3616" w:type="dxa"/>
            <w:tcBorders>
              <w:top w:val="nil"/>
              <w:left w:val="nil"/>
              <w:bottom w:val="single" w:color="000000" w:sz="4" w:space="0"/>
              <w:right w:val="single" w:color="000000" w:sz="4" w:space="0"/>
            </w:tcBorders>
            <w:tcMar>
              <w:top w:w="0" w:type="dxa"/>
              <w:left w:w="105" w:type="dxa"/>
              <w:bottom w:w="0" w:type="dxa"/>
              <w:right w:w="105" w:type="dxa"/>
            </w:tcMar>
            <w:vAlign w:val="top"/>
          </w:tcPr>
          <w:p w14:paraId="08180A2A">
            <w:pPr>
              <w:pStyle w:val="6"/>
              <w:keepNext w:val="0"/>
              <w:keepLines w:val="0"/>
              <w:pageBreakBefore w:val="0"/>
              <w:widowControl/>
              <w:kinsoku/>
              <w:wordWrap/>
              <w:overflowPunct/>
              <w:topLinePunct w:val="0"/>
              <w:autoSpaceDE/>
              <w:autoSpaceDN/>
              <w:bidi w:val="0"/>
              <w:adjustRightInd/>
              <w:snapToGrid/>
              <w:spacing w:line="500" w:lineRule="exact"/>
              <w:ind w:firstLine="0"/>
              <w:jc w:val="both"/>
              <w:textAlignment w:val="auto"/>
              <w:rPr>
                <w:rFonts w:hint="eastAsia" w:ascii="宋体" w:hAnsi="宋体" w:eastAsia="宋体" w:cs="宋体"/>
                <w:sz w:val="24"/>
                <w:szCs w:val="24"/>
              </w:rPr>
            </w:pPr>
            <w:r>
              <w:rPr>
                <w:rFonts w:hint="eastAsia" w:ascii="宋体" w:hAnsi="宋体" w:eastAsia="宋体" w:cs="宋体"/>
                <w:color w:val="000000"/>
                <w:sz w:val="24"/>
                <w:szCs w:val="24"/>
              </w:rPr>
              <w:t>万兆光模块</w:t>
            </w:r>
          </w:p>
        </w:tc>
        <w:tc>
          <w:tcPr>
            <w:tcW w:w="1455" w:type="dxa"/>
            <w:tcBorders>
              <w:top w:val="nil"/>
              <w:left w:val="nil"/>
              <w:bottom w:val="single" w:color="000000" w:sz="4" w:space="0"/>
              <w:right w:val="single" w:color="000000" w:sz="4" w:space="0"/>
            </w:tcBorders>
            <w:tcMar>
              <w:top w:w="0" w:type="dxa"/>
              <w:left w:w="105" w:type="dxa"/>
              <w:bottom w:w="0" w:type="dxa"/>
              <w:right w:w="105" w:type="dxa"/>
            </w:tcMar>
            <w:vAlign w:val="top"/>
          </w:tcPr>
          <w:p w14:paraId="62A59908">
            <w:pPr>
              <w:pStyle w:val="6"/>
              <w:keepNext w:val="0"/>
              <w:keepLines w:val="0"/>
              <w:pageBreakBefore w:val="0"/>
              <w:widowControl/>
              <w:kinsoku/>
              <w:wordWrap/>
              <w:overflowPunct/>
              <w:topLinePunct w:val="0"/>
              <w:autoSpaceDE/>
              <w:autoSpaceDN/>
              <w:bidi w:val="0"/>
              <w:adjustRightInd/>
              <w:snapToGrid/>
              <w:spacing w:line="500" w:lineRule="exact"/>
              <w:ind w:firstLine="0"/>
              <w:jc w:val="center"/>
              <w:textAlignment w:val="auto"/>
              <w:rPr>
                <w:rFonts w:hint="eastAsia" w:ascii="宋体" w:hAnsi="宋体" w:eastAsia="宋体" w:cs="宋体"/>
                <w:sz w:val="24"/>
                <w:szCs w:val="24"/>
              </w:rPr>
            </w:pPr>
            <w:r>
              <w:rPr>
                <w:rFonts w:hint="eastAsia" w:ascii="宋体" w:hAnsi="宋体" w:eastAsia="宋体" w:cs="宋体"/>
                <w:color w:val="000000"/>
                <w:sz w:val="24"/>
                <w:szCs w:val="24"/>
              </w:rPr>
              <w:t>2个</w:t>
            </w:r>
          </w:p>
        </w:tc>
        <w:tc>
          <w:tcPr>
            <w:tcW w:w="2359" w:type="dxa"/>
            <w:tcBorders>
              <w:top w:val="nil"/>
              <w:left w:val="nil"/>
              <w:bottom w:val="single" w:color="000000" w:sz="4" w:space="0"/>
              <w:right w:val="single" w:color="000000" w:sz="4" w:space="0"/>
            </w:tcBorders>
            <w:tcMar>
              <w:top w:w="0" w:type="dxa"/>
              <w:left w:w="105" w:type="dxa"/>
              <w:bottom w:w="0" w:type="dxa"/>
              <w:right w:w="105" w:type="dxa"/>
            </w:tcMar>
            <w:vAlign w:val="top"/>
          </w:tcPr>
          <w:p w14:paraId="6AC20B28">
            <w:pPr>
              <w:pStyle w:val="6"/>
              <w:keepNext w:val="0"/>
              <w:keepLines w:val="0"/>
              <w:pageBreakBefore w:val="0"/>
              <w:widowControl/>
              <w:kinsoku/>
              <w:wordWrap/>
              <w:overflowPunct/>
              <w:topLinePunct w:val="0"/>
              <w:autoSpaceDE/>
              <w:autoSpaceDN/>
              <w:bidi w:val="0"/>
              <w:adjustRightInd/>
              <w:snapToGrid/>
              <w:spacing w:line="500" w:lineRule="exact"/>
              <w:ind w:firstLine="0"/>
              <w:jc w:val="center"/>
              <w:textAlignment w:val="auto"/>
              <w:rPr>
                <w:rFonts w:hint="eastAsia" w:ascii="宋体" w:hAnsi="宋体" w:eastAsia="宋体" w:cs="宋体"/>
                <w:sz w:val="24"/>
                <w:szCs w:val="24"/>
              </w:rPr>
            </w:pPr>
            <w:r>
              <w:rPr>
                <w:rFonts w:hint="eastAsia" w:ascii="宋体" w:hAnsi="宋体" w:eastAsia="宋体" w:cs="宋体"/>
                <w:color w:val="000000"/>
                <w:sz w:val="24"/>
                <w:szCs w:val="24"/>
              </w:rPr>
              <w:t>0.064000</w:t>
            </w:r>
          </w:p>
        </w:tc>
      </w:tr>
      <w:tr w14:paraId="204303A5">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99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5506904B">
            <w:pPr>
              <w:pStyle w:val="6"/>
              <w:keepNext w:val="0"/>
              <w:keepLines w:val="0"/>
              <w:pageBreakBefore w:val="0"/>
              <w:widowControl/>
              <w:kinsoku/>
              <w:wordWrap/>
              <w:overflowPunct/>
              <w:topLinePunct w:val="0"/>
              <w:autoSpaceDE/>
              <w:autoSpaceDN/>
              <w:bidi w:val="0"/>
              <w:adjustRightInd/>
              <w:snapToGrid/>
              <w:spacing w:line="500" w:lineRule="exact"/>
              <w:ind w:firstLine="0"/>
              <w:jc w:val="center"/>
              <w:textAlignment w:val="auto"/>
              <w:rPr>
                <w:rFonts w:hint="eastAsia" w:ascii="宋体" w:hAnsi="宋体" w:eastAsia="宋体" w:cs="宋体"/>
                <w:sz w:val="24"/>
                <w:szCs w:val="24"/>
              </w:rPr>
            </w:pPr>
            <w:r>
              <w:rPr>
                <w:rFonts w:hint="eastAsia" w:ascii="宋体" w:hAnsi="宋体" w:eastAsia="宋体" w:cs="宋体"/>
                <w:b/>
                <w:color w:val="000000"/>
                <w:sz w:val="24"/>
                <w:szCs w:val="24"/>
              </w:rPr>
              <w:t>2</w:t>
            </w:r>
          </w:p>
        </w:tc>
        <w:tc>
          <w:tcPr>
            <w:tcW w:w="3616" w:type="dxa"/>
            <w:tcBorders>
              <w:top w:val="nil"/>
              <w:left w:val="nil"/>
              <w:bottom w:val="single" w:color="000000" w:sz="4" w:space="0"/>
              <w:right w:val="single" w:color="000000" w:sz="4" w:space="0"/>
            </w:tcBorders>
            <w:tcMar>
              <w:top w:w="0" w:type="dxa"/>
              <w:left w:w="105" w:type="dxa"/>
              <w:bottom w:w="0" w:type="dxa"/>
              <w:right w:w="105" w:type="dxa"/>
            </w:tcMar>
            <w:vAlign w:val="top"/>
          </w:tcPr>
          <w:p w14:paraId="56461450">
            <w:pPr>
              <w:pStyle w:val="6"/>
              <w:keepNext w:val="0"/>
              <w:keepLines w:val="0"/>
              <w:pageBreakBefore w:val="0"/>
              <w:widowControl/>
              <w:kinsoku/>
              <w:wordWrap/>
              <w:overflowPunct/>
              <w:topLinePunct w:val="0"/>
              <w:autoSpaceDE/>
              <w:autoSpaceDN/>
              <w:bidi w:val="0"/>
              <w:adjustRightInd/>
              <w:snapToGrid/>
              <w:spacing w:line="500" w:lineRule="exact"/>
              <w:ind w:firstLine="0"/>
              <w:jc w:val="both"/>
              <w:textAlignment w:val="auto"/>
              <w:rPr>
                <w:rFonts w:hint="eastAsia" w:ascii="宋体" w:hAnsi="宋体" w:eastAsia="宋体" w:cs="宋体"/>
                <w:sz w:val="24"/>
                <w:szCs w:val="24"/>
              </w:rPr>
            </w:pPr>
            <w:r>
              <w:rPr>
                <w:rFonts w:hint="eastAsia" w:ascii="宋体" w:hAnsi="宋体" w:eastAsia="宋体" w:cs="宋体"/>
                <w:b/>
                <w:color w:val="000000"/>
                <w:sz w:val="24"/>
                <w:szCs w:val="24"/>
              </w:rPr>
              <w:t>视频监控系统升级改造（闽清院区）</w:t>
            </w:r>
          </w:p>
        </w:tc>
        <w:tc>
          <w:tcPr>
            <w:tcW w:w="1455" w:type="dxa"/>
            <w:tcBorders>
              <w:top w:val="nil"/>
              <w:left w:val="nil"/>
              <w:bottom w:val="single" w:color="000000" w:sz="4" w:space="0"/>
              <w:right w:val="single" w:color="000000" w:sz="4" w:space="0"/>
            </w:tcBorders>
            <w:tcMar>
              <w:top w:w="0" w:type="dxa"/>
              <w:left w:w="105" w:type="dxa"/>
              <w:bottom w:w="0" w:type="dxa"/>
              <w:right w:w="105" w:type="dxa"/>
            </w:tcMar>
            <w:vAlign w:val="top"/>
          </w:tcPr>
          <w:p w14:paraId="074EB73B">
            <w:pPr>
              <w:pStyle w:val="6"/>
              <w:keepNext w:val="0"/>
              <w:keepLines w:val="0"/>
              <w:pageBreakBefore w:val="0"/>
              <w:widowControl/>
              <w:kinsoku/>
              <w:wordWrap/>
              <w:overflowPunct/>
              <w:topLinePunct w:val="0"/>
              <w:autoSpaceDE/>
              <w:autoSpaceDN/>
              <w:bidi w:val="0"/>
              <w:adjustRightInd/>
              <w:snapToGrid/>
              <w:spacing w:line="500" w:lineRule="exact"/>
              <w:ind w:firstLine="0"/>
              <w:jc w:val="center"/>
              <w:textAlignment w:val="auto"/>
              <w:rPr>
                <w:rFonts w:hint="eastAsia" w:ascii="宋体" w:hAnsi="宋体" w:eastAsia="宋体" w:cs="宋体"/>
                <w:sz w:val="24"/>
                <w:szCs w:val="24"/>
              </w:rPr>
            </w:pPr>
          </w:p>
        </w:tc>
        <w:tc>
          <w:tcPr>
            <w:tcW w:w="2359" w:type="dxa"/>
            <w:tcBorders>
              <w:top w:val="nil"/>
              <w:left w:val="nil"/>
              <w:bottom w:val="single" w:color="000000" w:sz="4" w:space="0"/>
              <w:right w:val="single" w:color="000000" w:sz="4" w:space="0"/>
            </w:tcBorders>
            <w:tcMar>
              <w:top w:w="0" w:type="dxa"/>
              <w:left w:w="105" w:type="dxa"/>
              <w:bottom w:w="0" w:type="dxa"/>
              <w:right w:w="105" w:type="dxa"/>
            </w:tcMar>
            <w:vAlign w:val="top"/>
          </w:tcPr>
          <w:p w14:paraId="39CF7CEF">
            <w:pPr>
              <w:pStyle w:val="6"/>
              <w:keepNext w:val="0"/>
              <w:keepLines w:val="0"/>
              <w:pageBreakBefore w:val="0"/>
              <w:widowControl/>
              <w:kinsoku/>
              <w:wordWrap/>
              <w:overflowPunct/>
              <w:topLinePunct w:val="0"/>
              <w:autoSpaceDE/>
              <w:autoSpaceDN/>
              <w:bidi w:val="0"/>
              <w:adjustRightInd/>
              <w:snapToGrid/>
              <w:spacing w:line="500" w:lineRule="exact"/>
              <w:ind w:firstLine="0"/>
              <w:jc w:val="center"/>
              <w:textAlignment w:val="auto"/>
              <w:rPr>
                <w:rFonts w:hint="eastAsia" w:ascii="宋体" w:hAnsi="宋体" w:eastAsia="宋体" w:cs="宋体"/>
                <w:sz w:val="24"/>
                <w:szCs w:val="24"/>
              </w:rPr>
            </w:pPr>
            <w:r>
              <w:rPr>
                <w:rFonts w:hint="eastAsia" w:ascii="宋体" w:hAnsi="宋体" w:eastAsia="宋体" w:cs="宋体"/>
                <w:b/>
                <w:color w:val="000000"/>
                <w:sz w:val="24"/>
                <w:szCs w:val="24"/>
              </w:rPr>
              <w:t>68.043000</w:t>
            </w:r>
          </w:p>
        </w:tc>
      </w:tr>
      <w:tr w14:paraId="6E4D3C80">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99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0493A88">
            <w:pPr>
              <w:pStyle w:val="6"/>
              <w:keepNext w:val="0"/>
              <w:keepLines w:val="0"/>
              <w:pageBreakBefore w:val="0"/>
              <w:widowControl/>
              <w:kinsoku/>
              <w:wordWrap/>
              <w:overflowPunct/>
              <w:topLinePunct w:val="0"/>
              <w:autoSpaceDE/>
              <w:autoSpaceDN/>
              <w:bidi w:val="0"/>
              <w:adjustRightInd/>
              <w:snapToGrid/>
              <w:spacing w:line="500" w:lineRule="exact"/>
              <w:ind w:firstLine="0"/>
              <w:jc w:val="center"/>
              <w:textAlignment w:val="auto"/>
              <w:rPr>
                <w:rFonts w:hint="eastAsia" w:ascii="宋体" w:hAnsi="宋体" w:eastAsia="宋体" w:cs="宋体"/>
                <w:sz w:val="24"/>
                <w:szCs w:val="24"/>
              </w:rPr>
            </w:pPr>
            <w:r>
              <w:rPr>
                <w:rFonts w:hint="eastAsia" w:ascii="宋体" w:hAnsi="宋体" w:eastAsia="宋体" w:cs="宋体"/>
                <w:color w:val="000000"/>
                <w:sz w:val="24"/>
                <w:szCs w:val="24"/>
              </w:rPr>
              <w:t>2.1</w:t>
            </w:r>
          </w:p>
        </w:tc>
        <w:tc>
          <w:tcPr>
            <w:tcW w:w="3616" w:type="dxa"/>
            <w:tcBorders>
              <w:top w:val="nil"/>
              <w:left w:val="nil"/>
              <w:bottom w:val="single" w:color="000000" w:sz="4" w:space="0"/>
              <w:right w:val="single" w:color="000000" w:sz="4" w:space="0"/>
            </w:tcBorders>
            <w:tcMar>
              <w:top w:w="0" w:type="dxa"/>
              <w:left w:w="105" w:type="dxa"/>
              <w:bottom w:w="0" w:type="dxa"/>
              <w:right w:w="105" w:type="dxa"/>
            </w:tcMar>
            <w:vAlign w:val="top"/>
          </w:tcPr>
          <w:p w14:paraId="4C0DC4B3">
            <w:pPr>
              <w:pStyle w:val="6"/>
              <w:keepNext w:val="0"/>
              <w:keepLines w:val="0"/>
              <w:pageBreakBefore w:val="0"/>
              <w:widowControl/>
              <w:kinsoku/>
              <w:wordWrap/>
              <w:overflowPunct/>
              <w:topLinePunct w:val="0"/>
              <w:autoSpaceDE/>
              <w:autoSpaceDN/>
              <w:bidi w:val="0"/>
              <w:adjustRightInd/>
              <w:snapToGrid/>
              <w:spacing w:line="500" w:lineRule="exact"/>
              <w:ind w:firstLine="0"/>
              <w:jc w:val="both"/>
              <w:textAlignment w:val="auto"/>
              <w:rPr>
                <w:rFonts w:hint="eastAsia" w:ascii="宋体" w:hAnsi="宋体" w:eastAsia="宋体" w:cs="宋体"/>
                <w:sz w:val="24"/>
                <w:szCs w:val="24"/>
              </w:rPr>
            </w:pPr>
            <w:r>
              <w:rPr>
                <w:rFonts w:hint="eastAsia" w:ascii="宋体" w:hAnsi="宋体" w:eastAsia="宋体" w:cs="宋体"/>
                <w:color w:val="000000"/>
                <w:sz w:val="24"/>
                <w:szCs w:val="24"/>
              </w:rPr>
              <w:t>400万网络半球摄像机</w:t>
            </w:r>
          </w:p>
        </w:tc>
        <w:tc>
          <w:tcPr>
            <w:tcW w:w="1455" w:type="dxa"/>
            <w:tcBorders>
              <w:top w:val="nil"/>
              <w:left w:val="nil"/>
              <w:bottom w:val="single" w:color="000000" w:sz="4" w:space="0"/>
              <w:right w:val="single" w:color="000000" w:sz="4" w:space="0"/>
            </w:tcBorders>
            <w:tcMar>
              <w:top w:w="0" w:type="dxa"/>
              <w:left w:w="105" w:type="dxa"/>
              <w:bottom w:w="0" w:type="dxa"/>
              <w:right w:w="105" w:type="dxa"/>
            </w:tcMar>
            <w:vAlign w:val="top"/>
          </w:tcPr>
          <w:p w14:paraId="4D8E6B47">
            <w:pPr>
              <w:pStyle w:val="6"/>
              <w:keepNext w:val="0"/>
              <w:keepLines w:val="0"/>
              <w:pageBreakBefore w:val="0"/>
              <w:widowControl/>
              <w:kinsoku/>
              <w:wordWrap/>
              <w:overflowPunct/>
              <w:topLinePunct w:val="0"/>
              <w:autoSpaceDE/>
              <w:autoSpaceDN/>
              <w:bidi w:val="0"/>
              <w:adjustRightInd/>
              <w:snapToGrid/>
              <w:spacing w:line="500" w:lineRule="exact"/>
              <w:ind w:firstLine="0"/>
              <w:jc w:val="center"/>
              <w:textAlignment w:val="auto"/>
              <w:rPr>
                <w:rFonts w:hint="eastAsia" w:ascii="宋体" w:hAnsi="宋体" w:eastAsia="宋体" w:cs="宋体"/>
                <w:sz w:val="24"/>
                <w:szCs w:val="24"/>
              </w:rPr>
            </w:pPr>
            <w:r>
              <w:rPr>
                <w:rFonts w:hint="eastAsia" w:ascii="宋体" w:hAnsi="宋体" w:eastAsia="宋体" w:cs="宋体"/>
                <w:color w:val="000000"/>
                <w:sz w:val="24"/>
                <w:szCs w:val="24"/>
              </w:rPr>
              <w:t>139台</w:t>
            </w:r>
          </w:p>
        </w:tc>
        <w:tc>
          <w:tcPr>
            <w:tcW w:w="2359" w:type="dxa"/>
            <w:tcBorders>
              <w:top w:val="nil"/>
              <w:left w:val="nil"/>
              <w:bottom w:val="single" w:color="000000" w:sz="4" w:space="0"/>
              <w:right w:val="single" w:color="000000" w:sz="4" w:space="0"/>
            </w:tcBorders>
            <w:tcMar>
              <w:top w:w="0" w:type="dxa"/>
              <w:left w:w="105" w:type="dxa"/>
              <w:bottom w:w="0" w:type="dxa"/>
              <w:right w:w="105" w:type="dxa"/>
            </w:tcMar>
            <w:vAlign w:val="top"/>
          </w:tcPr>
          <w:p w14:paraId="1EF7FBB8">
            <w:pPr>
              <w:pStyle w:val="6"/>
              <w:keepNext w:val="0"/>
              <w:keepLines w:val="0"/>
              <w:pageBreakBefore w:val="0"/>
              <w:widowControl/>
              <w:kinsoku/>
              <w:wordWrap/>
              <w:overflowPunct/>
              <w:topLinePunct w:val="0"/>
              <w:autoSpaceDE/>
              <w:autoSpaceDN/>
              <w:bidi w:val="0"/>
              <w:adjustRightInd/>
              <w:snapToGrid/>
              <w:spacing w:line="500" w:lineRule="exact"/>
              <w:ind w:firstLine="0"/>
              <w:jc w:val="center"/>
              <w:textAlignment w:val="auto"/>
              <w:rPr>
                <w:rFonts w:hint="eastAsia" w:ascii="宋体" w:hAnsi="宋体" w:eastAsia="宋体" w:cs="宋体"/>
                <w:sz w:val="24"/>
                <w:szCs w:val="24"/>
              </w:rPr>
            </w:pPr>
            <w:r>
              <w:rPr>
                <w:rFonts w:hint="eastAsia" w:ascii="宋体" w:hAnsi="宋体" w:eastAsia="宋体" w:cs="宋体"/>
                <w:color w:val="000000"/>
                <w:sz w:val="24"/>
                <w:szCs w:val="24"/>
              </w:rPr>
              <w:t>6.950000</w:t>
            </w:r>
          </w:p>
        </w:tc>
      </w:tr>
      <w:tr w14:paraId="72CB6A1A">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99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8BD63EC">
            <w:pPr>
              <w:pStyle w:val="6"/>
              <w:keepNext w:val="0"/>
              <w:keepLines w:val="0"/>
              <w:pageBreakBefore w:val="0"/>
              <w:widowControl/>
              <w:kinsoku/>
              <w:wordWrap/>
              <w:overflowPunct/>
              <w:topLinePunct w:val="0"/>
              <w:autoSpaceDE/>
              <w:autoSpaceDN/>
              <w:bidi w:val="0"/>
              <w:adjustRightInd/>
              <w:snapToGrid/>
              <w:spacing w:line="500" w:lineRule="exact"/>
              <w:ind w:firstLine="0"/>
              <w:jc w:val="center"/>
              <w:textAlignment w:val="auto"/>
              <w:rPr>
                <w:rFonts w:hint="eastAsia" w:ascii="宋体" w:hAnsi="宋体" w:eastAsia="宋体" w:cs="宋体"/>
                <w:sz w:val="24"/>
                <w:szCs w:val="24"/>
              </w:rPr>
            </w:pPr>
            <w:r>
              <w:rPr>
                <w:rFonts w:hint="eastAsia" w:ascii="宋体" w:hAnsi="宋体" w:eastAsia="宋体" w:cs="宋体"/>
                <w:color w:val="000000"/>
                <w:sz w:val="24"/>
                <w:szCs w:val="24"/>
              </w:rPr>
              <w:t>2.2</w:t>
            </w:r>
          </w:p>
        </w:tc>
        <w:tc>
          <w:tcPr>
            <w:tcW w:w="3616" w:type="dxa"/>
            <w:tcBorders>
              <w:top w:val="nil"/>
              <w:left w:val="nil"/>
              <w:bottom w:val="single" w:color="000000" w:sz="4" w:space="0"/>
              <w:right w:val="single" w:color="000000" w:sz="4" w:space="0"/>
            </w:tcBorders>
            <w:tcMar>
              <w:top w:w="0" w:type="dxa"/>
              <w:left w:w="105" w:type="dxa"/>
              <w:bottom w:w="0" w:type="dxa"/>
              <w:right w:w="105" w:type="dxa"/>
            </w:tcMar>
            <w:vAlign w:val="top"/>
          </w:tcPr>
          <w:p w14:paraId="7F08DBB6">
            <w:pPr>
              <w:pStyle w:val="6"/>
              <w:keepNext w:val="0"/>
              <w:keepLines w:val="0"/>
              <w:pageBreakBefore w:val="0"/>
              <w:widowControl/>
              <w:kinsoku/>
              <w:wordWrap/>
              <w:overflowPunct/>
              <w:topLinePunct w:val="0"/>
              <w:autoSpaceDE/>
              <w:autoSpaceDN/>
              <w:bidi w:val="0"/>
              <w:adjustRightInd/>
              <w:snapToGrid/>
              <w:spacing w:line="500" w:lineRule="exact"/>
              <w:ind w:firstLine="0"/>
              <w:jc w:val="both"/>
              <w:textAlignment w:val="auto"/>
              <w:rPr>
                <w:rFonts w:hint="eastAsia" w:ascii="宋体" w:hAnsi="宋体" w:eastAsia="宋体" w:cs="宋体"/>
                <w:sz w:val="24"/>
                <w:szCs w:val="24"/>
              </w:rPr>
            </w:pPr>
            <w:r>
              <w:rPr>
                <w:rFonts w:hint="eastAsia" w:ascii="宋体" w:hAnsi="宋体" w:eastAsia="宋体" w:cs="宋体"/>
                <w:color w:val="000000"/>
                <w:sz w:val="24"/>
                <w:szCs w:val="24"/>
              </w:rPr>
              <w:t>400万星光级网络枪机</w:t>
            </w:r>
          </w:p>
        </w:tc>
        <w:tc>
          <w:tcPr>
            <w:tcW w:w="1455" w:type="dxa"/>
            <w:tcBorders>
              <w:top w:val="nil"/>
              <w:left w:val="nil"/>
              <w:bottom w:val="single" w:color="000000" w:sz="4" w:space="0"/>
              <w:right w:val="single" w:color="000000" w:sz="4" w:space="0"/>
            </w:tcBorders>
            <w:tcMar>
              <w:top w:w="0" w:type="dxa"/>
              <w:left w:w="105" w:type="dxa"/>
              <w:bottom w:w="0" w:type="dxa"/>
              <w:right w:w="105" w:type="dxa"/>
            </w:tcMar>
            <w:vAlign w:val="top"/>
          </w:tcPr>
          <w:p w14:paraId="4C41D81C">
            <w:pPr>
              <w:pStyle w:val="6"/>
              <w:keepNext w:val="0"/>
              <w:keepLines w:val="0"/>
              <w:pageBreakBefore w:val="0"/>
              <w:widowControl/>
              <w:kinsoku/>
              <w:wordWrap/>
              <w:overflowPunct/>
              <w:topLinePunct w:val="0"/>
              <w:autoSpaceDE/>
              <w:autoSpaceDN/>
              <w:bidi w:val="0"/>
              <w:adjustRightInd/>
              <w:snapToGrid/>
              <w:spacing w:line="500" w:lineRule="exact"/>
              <w:ind w:firstLine="0"/>
              <w:jc w:val="center"/>
              <w:textAlignment w:val="auto"/>
              <w:rPr>
                <w:rFonts w:hint="eastAsia" w:ascii="宋体" w:hAnsi="宋体" w:eastAsia="宋体" w:cs="宋体"/>
                <w:sz w:val="24"/>
                <w:szCs w:val="24"/>
              </w:rPr>
            </w:pPr>
            <w:r>
              <w:rPr>
                <w:rFonts w:hint="eastAsia" w:ascii="宋体" w:hAnsi="宋体" w:eastAsia="宋体" w:cs="宋体"/>
                <w:color w:val="000000"/>
                <w:sz w:val="24"/>
                <w:szCs w:val="24"/>
              </w:rPr>
              <w:t>11台</w:t>
            </w:r>
          </w:p>
        </w:tc>
        <w:tc>
          <w:tcPr>
            <w:tcW w:w="2359" w:type="dxa"/>
            <w:tcBorders>
              <w:top w:val="nil"/>
              <w:left w:val="nil"/>
              <w:bottom w:val="single" w:color="000000" w:sz="4" w:space="0"/>
              <w:right w:val="single" w:color="000000" w:sz="4" w:space="0"/>
            </w:tcBorders>
            <w:tcMar>
              <w:top w:w="0" w:type="dxa"/>
              <w:left w:w="105" w:type="dxa"/>
              <w:bottom w:w="0" w:type="dxa"/>
              <w:right w:w="105" w:type="dxa"/>
            </w:tcMar>
            <w:vAlign w:val="top"/>
          </w:tcPr>
          <w:p w14:paraId="285AE4B9">
            <w:pPr>
              <w:pStyle w:val="6"/>
              <w:keepNext w:val="0"/>
              <w:keepLines w:val="0"/>
              <w:pageBreakBefore w:val="0"/>
              <w:widowControl/>
              <w:kinsoku/>
              <w:wordWrap/>
              <w:overflowPunct/>
              <w:topLinePunct w:val="0"/>
              <w:autoSpaceDE/>
              <w:autoSpaceDN/>
              <w:bidi w:val="0"/>
              <w:adjustRightInd/>
              <w:snapToGrid/>
              <w:spacing w:line="500" w:lineRule="exact"/>
              <w:ind w:firstLine="0"/>
              <w:jc w:val="center"/>
              <w:textAlignment w:val="auto"/>
              <w:rPr>
                <w:rFonts w:hint="eastAsia" w:ascii="宋体" w:hAnsi="宋体" w:eastAsia="宋体" w:cs="宋体"/>
                <w:sz w:val="24"/>
                <w:szCs w:val="24"/>
              </w:rPr>
            </w:pPr>
            <w:r>
              <w:rPr>
                <w:rFonts w:hint="eastAsia" w:ascii="宋体" w:hAnsi="宋体" w:eastAsia="宋体" w:cs="宋体"/>
                <w:color w:val="000000"/>
                <w:sz w:val="24"/>
                <w:szCs w:val="24"/>
              </w:rPr>
              <w:t>0.880000</w:t>
            </w:r>
          </w:p>
        </w:tc>
      </w:tr>
      <w:tr w14:paraId="0D336F5E">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99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73A5B8EC">
            <w:pPr>
              <w:pStyle w:val="6"/>
              <w:keepNext w:val="0"/>
              <w:keepLines w:val="0"/>
              <w:pageBreakBefore w:val="0"/>
              <w:widowControl/>
              <w:kinsoku/>
              <w:wordWrap/>
              <w:overflowPunct/>
              <w:topLinePunct w:val="0"/>
              <w:autoSpaceDE/>
              <w:autoSpaceDN/>
              <w:bidi w:val="0"/>
              <w:adjustRightInd/>
              <w:snapToGrid/>
              <w:spacing w:line="500" w:lineRule="exact"/>
              <w:ind w:firstLine="0"/>
              <w:jc w:val="center"/>
              <w:textAlignment w:val="auto"/>
              <w:rPr>
                <w:rFonts w:hint="eastAsia" w:ascii="宋体" w:hAnsi="宋体" w:eastAsia="宋体" w:cs="宋体"/>
                <w:sz w:val="24"/>
                <w:szCs w:val="24"/>
              </w:rPr>
            </w:pPr>
            <w:r>
              <w:rPr>
                <w:rFonts w:hint="eastAsia" w:ascii="宋体" w:hAnsi="宋体" w:eastAsia="宋体" w:cs="宋体"/>
                <w:color w:val="000000"/>
                <w:sz w:val="24"/>
                <w:szCs w:val="24"/>
              </w:rPr>
              <w:t>2.3</w:t>
            </w:r>
          </w:p>
        </w:tc>
        <w:tc>
          <w:tcPr>
            <w:tcW w:w="3616" w:type="dxa"/>
            <w:tcBorders>
              <w:top w:val="nil"/>
              <w:left w:val="nil"/>
              <w:bottom w:val="single" w:color="000000" w:sz="4" w:space="0"/>
              <w:right w:val="single" w:color="000000" w:sz="4" w:space="0"/>
            </w:tcBorders>
            <w:tcMar>
              <w:top w:w="0" w:type="dxa"/>
              <w:left w:w="105" w:type="dxa"/>
              <w:bottom w:w="0" w:type="dxa"/>
              <w:right w:w="105" w:type="dxa"/>
            </w:tcMar>
            <w:vAlign w:val="top"/>
          </w:tcPr>
          <w:p w14:paraId="6B41C0CE">
            <w:pPr>
              <w:pStyle w:val="6"/>
              <w:keepNext w:val="0"/>
              <w:keepLines w:val="0"/>
              <w:pageBreakBefore w:val="0"/>
              <w:widowControl/>
              <w:kinsoku/>
              <w:wordWrap/>
              <w:overflowPunct/>
              <w:topLinePunct w:val="0"/>
              <w:autoSpaceDE/>
              <w:autoSpaceDN/>
              <w:bidi w:val="0"/>
              <w:adjustRightInd/>
              <w:snapToGrid/>
              <w:spacing w:line="500" w:lineRule="exact"/>
              <w:ind w:firstLine="0"/>
              <w:jc w:val="both"/>
              <w:textAlignment w:val="auto"/>
              <w:rPr>
                <w:rFonts w:hint="eastAsia" w:ascii="宋体" w:hAnsi="宋体" w:eastAsia="宋体" w:cs="宋体"/>
                <w:sz w:val="24"/>
                <w:szCs w:val="24"/>
              </w:rPr>
            </w:pPr>
            <w:r>
              <w:rPr>
                <w:rFonts w:hint="eastAsia" w:ascii="宋体" w:hAnsi="宋体" w:eastAsia="宋体" w:cs="宋体"/>
                <w:color w:val="000000"/>
                <w:sz w:val="24"/>
                <w:szCs w:val="24"/>
              </w:rPr>
              <w:t>摄像机支架</w:t>
            </w:r>
          </w:p>
        </w:tc>
        <w:tc>
          <w:tcPr>
            <w:tcW w:w="1455" w:type="dxa"/>
            <w:tcBorders>
              <w:top w:val="nil"/>
              <w:left w:val="nil"/>
              <w:bottom w:val="single" w:color="000000" w:sz="4" w:space="0"/>
              <w:right w:val="single" w:color="000000" w:sz="4" w:space="0"/>
            </w:tcBorders>
            <w:tcMar>
              <w:top w:w="0" w:type="dxa"/>
              <w:left w:w="105" w:type="dxa"/>
              <w:bottom w:w="0" w:type="dxa"/>
              <w:right w:w="105" w:type="dxa"/>
            </w:tcMar>
            <w:vAlign w:val="top"/>
          </w:tcPr>
          <w:p w14:paraId="68C3E88E">
            <w:pPr>
              <w:pStyle w:val="6"/>
              <w:keepNext w:val="0"/>
              <w:keepLines w:val="0"/>
              <w:pageBreakBefore w:val="0"/>
              <w:widowControl/>
              <w:kinsoku/>
              <w:wordWrap/>
              <w:overflowPunct/>
              <w:topLinePunct w:val="0"/>
              <w:autoSpaceDE/>
              <w:autoSpaceDN/>
              <w:bidi w:val="0"/>
              <w:adjustRightInd/>
              <w:snapToGrid/>
              <w:spacing w:line="500" w:lineRule="exact"/>
              <w:ind w:firstLine="0"/>
              <w:jc w:val="center"/>
              <w:textAlignment w:val="auto"/>
              <w:rPr>
                <w:rFonts w:hint="eastAsia" w:ascii="宋体" w:hAnsi="宋体" w:eastAsia="宋体" w:cs="宋体"/>
                <w:sz w:val="24"/>
                <w:szCs w:val="24"/>
              </w:rPr>
            </w:pPr>
            <w:r>
              <w:rPr>
                <w:rFonts w:hint="eastAsia" w:ascii="宋体" w:hAnsi="宋体" w:eastAsia="宋体" w:cs="宋体"/>
                <w:color w:val="000000"/>
                <w:sz w:val="24"/>
                <w:szCs w:val="24"/>
              </w:rPr>
              <w:t>11台</w:t>
            </w:r>
          </w:p>
        </w:tc>
        <w:tc>
          <w:tcPr>
            <w:tcW w:w="2359" w:type="dxa"/>
            <w:tcBorders>
              <w:top w:val="nil"/>
              <w:left w:val="nil"/>
              <w:bottom w:val="single" w:color="000000" w:sz="4" w:space="0"/>
              <w:right w:val="single" w:color="000000" w:sz="4" w:space="0"/>
            </w:tcBorders>
            <w:tcMar>
              <w:top w:w="0" w:type="dxa"/>
              <w:left w:w="105" w:type="dxa"/>
              <w:bottom w:w="0" w:type="dxa"/>
              <w:right w:w="105" w:type="dxa"/>
            </w:tcMar>
            <w:vAlign w:val="top"/>
          </w:tcPr>
          <w:p w14:paraId="50088D9D">
            <w:pPr>
              <w:pStyle w:val="6"/>
              <w:keepNext w:val="0"/>
              <w:keepLines w:val="0"/>
              <w:pageBreakBefore w:val="0"/>
              <w:widowControl/>
              <w:kinsoku/>
              <w:wordWrap/>
              <w:overflowPunct/>
              <w:topLinePunct w:val="0"/>
              <w:autoSpaceDE/>
              <w:autoSpaceDN/>
              <w:bidi w:val="0"/>
              <w:adjustRightInd/>
              <w:snapToGrid/>
              <w:spacing w:line="500" w:lineRule="exact"/>
              <w:ind w:firstLine="0"/>
              <w:jc w:val="center"/>
              <w:textAlignment w:val="auto"/>
              <w:rPr>
                <w:rFonts w:hint="eastAsia" w:ascii="宋体" w:hAnsi="宋体" w:eastAsia="宋体" w:cs="宋体"/>
                <w:sz w:val="24"/>
                <w:szCs w:val="24"/>
              </w:rPr>
            </w:pPr>
            <w:r>
              <w:rPr>
                <w:rFonts w:hint="eastAsia" w:ascii="宋体" w:hAnsi="宋体" w:eastAsia="宋体" w:cs="宋体"/>
                <w:color w:val="000000"/>
                <w:sz w:val="24"/>
                <w:szCs w:val="24"/>
              </w:rPr>
              <w:t>0.011000</w:t>
            </w:r>
          </w:p>
        </w:tc>
      </w:tr>
      <w:tr w14:paraId="32FDBC48">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99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BDF435A">
            <w:pPr>
              <w:pStyle w:val="6"/>
              <w:keepNext w:val="0"/>
              <w:keepLines w:val="0"/>
              <w:pageBreakBefore w:val="0"/>
              <w:widowControl/>
              <w:kinsoku/>
              <w:wordWrap/>
              <w:overflowPunct/>
              <w:topLinePunct w:val="0"/>
              <w:autoSpaceDE/>
              <w:autoSpaceDN/>
              <w:bidi w:val="0"/>
              <w:adjustRightInd/>
              <w:snapToGrid/>
              <w:spacing w:line="500" w:lineRule="exact"/>
              <w:ind w:firstLine="0"/>
              <w:jc w:val="center"/>
              <w:textAlignment w:val="auto"/>
              <w:rPr>
                <w:rFonts w:hint="eastAsia" w:ascii="宋体" w:hAnsi="宋体" w:eastAsia="宋体" w:cs="宋体"/>
                <w:sz w:val="24"/>
                <w:szCs w:val="24"/>
              </w:rPr>
            </w:pPr>
            <w:r>
              <w:rPr>
                <w:rFonts w:hint="eastAsia" w:ascii="宋体" w:hAnsi="宋体" w:eastAsia="宋体" w:cs="宋体"/>
                <w:color w:val="000000"/>
                <w:sz w:val="24"/>
                <w:szCs w:val="24"/>
              </w:rPr>
              <w:t>2.4</w:t>
            </w:r>
          </w:p>
        </w:tc>
        <w:tc>
          <w:tcPr>
            <w:tcW w:w="3616" w:type="dxa"/>
            <w:tcBorders>
              <w:top w:val="nil"/>
              <w:left w:val="nil"/>
              <w:bottom w:val="single" w:color="000000" w:sz="4" w:space="0"/>
              <w:right w:val="single" w:color="000000" w:sz="4" w:space="0"/>
            </w:tcBorders>
            <w:tcMar>
              <w:top w:w="0" w:type="dxa"/>
              <w:left w:w="105" w:type="dxa"/>
              <w:bottom w:w="0" w:type="dxa"/>
              <w:right w:w="105" w:type="dxa"/>
            </w:tcMar>
            <w:vAlign w:val="top"/>
          </w:tcPr>
          <w:p w14:paraId="43877E07">
            <w:pPr>
              <w:pStyle w:val="6"/>
              <w:keepNext w:val="0"/>
              <w:keepLines w:val="0"/>
              <w:pageBreakBefore w:val="0"/>
              <w:widowControl/>
              <w:kinsoku/>
              <w:wordWrap/>
              <w:overflowPunct/>
              <w:topLinePunct w:val="0"/>
              <w:autoSpaceDE/>
              <w:autoSpaceDN/>
              <w:bidi w:val="0"/>
              <w:adjustRightInd/>
              <w:snapToGrid/>
              <w:spacing w:line="500" w:lineRule="exact"/>
              <w:ind w:firstLine="0"/>
              <w:jc w:val="both"/>
              <w:textAlignment w:val="auto"/>
              <w:rPr>
                <w:rFonts w:hint="eastAsia" w:ascii="宋体" w:hAnsi="宋体" w:eastAsia="宋体" w:cs="宋体"/>
                <w:sz w:val="24"/>
                <w:szCs w:val="24"/>
              </w:rPr>
            </w:pPr>
            <w:r>
              <w:rPr>
                <w:rFonts w:hint="eastAsia" w:ascii="宋体" w:hAnsi="宋体" w:eastAsia="宋体" w:cs="宋体"/>
                <w:color w:val="000000"/>
                <w:sz w:val="24"/>
                <w:szCs w:val="24"/>
              </w:rPr>
              <w:t>24口POE交换机</w:t>
            </w:r>
          </w:p>
        </w:tc>
        <w:tc>
          <w:tcPr>
            <w:tcW w:w="1455" w:type="dxa"/>
            <w:tcBorders>
              <w:top w:val="nil"/>
              <w:left w:val="nil"/>
              <w:bottom w:val="single" w:color="000000" w:sz="4" w:space="0"/>
              <w:right w:val="single" w:color="000000" w:sz="4" w:space="0"/>
            </w:tcBorders>
            <w:tcMar>
              <w:top w:w="0" w:type="dxa"/>
              <w:left w:w="105" w:type="dxa"/>
              <w:bottom w:w="0" w:type="dxa"/>
              <w:right w:w="105" w:type="dxa"/>
            </w:tcMar>
            <w:vAlign w:val="top"/>
          </w:tcPr>
          <w:p w14:paraId="756BFE04">
            <w:pPr>
              <w:pStyle w:val="6"/>
              <w:keepNext w:val="0"/>
              <w:keepLines w:val="0"/>
              <w:pageBreakBefore w:val="0"/>
              <w:widowControl/>
              <w:kinsoku/>
              <w:wordWrap/>
              <w:overflowPunct/>
              <w:topLinePunct w:val="0"/>
              <w:autoSpaceDE/>
              <w:autoSpaceDN/>
              <w:bidi w:val="0"/>
              <w:adjustRightInd/>
              <w:snapToGrid/>
              <w:spacing w:line="500" w:lineRule="exact"/>
              <w:ind w:firstLine="0"/>
              <w:jc w:val="center"/>
              <w:textAlignment w:val="auto"/>
              <w:rPr>
                <w:rFonts w:hint="eastAsia" w:ascii="宋体" w:hAnsi="宋体" w:eastAsia="宋体" w:cs="宋体"/>
                <w:sz w:val="24"/>
                <w:szCs w:val="24"/>
              </w:rPr>
            </w:pPr>
            <w:r>
              <w:rPr>
                <w:rFonts w:hint="eastAsia" w:ascii="宋体" w:hAnsi="宋体" w:eastAsia="宋体" w:cs="宋体"/>
                <w:color w:val="000000"/>
                <w:sz w:val="24"/>
                <w:szCs w:val="24"/>
              </w:rPr>
              <w:t>11台</w:t>
            </w:r>
          </w:p>
        </w:tc>
        <w:tc>
          <w:tcPr>
            <w:tcW w:w="2359" w:type="dxa"/>
            <w:tcBorders>
              <w:top w:val="nil"/>
              <w:left w:val="nil"/>
              <w:bottom w:val="single" w:color="000000" w:sz="4" w:space="0"/>
              <w:right w:val="single" w:color="000000" w:sz="4" w:space="0"/>
            </w:tcBorders>
            <w:tcMar>
              <w:top w:w="0" w:type="dxa"/>
              <w:left w:w="105" w:type="dxa"/>
              <w:bottom w:w="0" w:type="dxa"/>
              <w:right w:w="105" w:type="dxa"/>
            </w:tcMar>
            <w:vAlign w:val="top"/>
          </w:tcPr>
          <w:p w14:paraId="2CE51572">
            <w:pPr>
              <w:pStyle w:val="6"/>
              <w:keepNext w:val="0"/>
              <w:keepLines w:val="0"/>
              <w:pageBreakBefore w:val="0"/>
              <w:widowControl/>
              <w:kinsoku/>
              <w:wordWrap/>
              <w:overflowPunct/>
              <w:topLinePunct w:val="0"/>
              <w:autoSpaceDE/>
              <w:autoSpaceDN/>
              <w:bidi w:val="0"/>
              <w:adjustRightInd/>
              <w:snapToGrid/>
              <w:spacing w:line="500" w:lineRule="exact"/>
              <w:ind w:firstLine="0"/>
              <w:jc w:val="center"/>
              <w:textAlignment w:val="auto"/>
              <w:rPr>
                <w:rFonts w:hint="eastAsia" w:ascii="宋体" w:hAnsi="宋体" w:eastAsia="宋体" w:cs="宋体"/>
                <w:sz w:val="24"/>
                <w:szCs w:val="24"/>
              </w:rPr>
            </w:pPr>
            <w:r>
              <w:rPr>
                <w:rFonts w:hint="eastAsia" w:ascii="宋体" w:hAnsi="宋体" w:eastAsia="宋体" w:cs="宋体"/>
                <w:color w:val="000000"/>
                <w:sz w:val="24"/>
                <w:szCs w:val="24"/>
              </w:rPr>
              <w:t>2.200000</w:t>
            </w:r>
          </w:p>
        </w:tc>
      </w:tr>
      <w:tr w14:paraId="3FDE3E7F">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99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CF969C8">
            <w:pPr>
              <w:pStyle w:val="6"/>
              <w:keepNext w:val="0"/>
              <w:keepLines w:val="0"/>
              <w:pageBreakBefore w:val="0"/>
              <w:widowControl/>
              <w:kinsoku/>
              <w:wordWrap/>
              <w:overflowPunct/>
              <w:topLinePunct w:val="0"/>
              <w:autoSpaceDE/>
              <w:autoSpaceDN/>
              <w:bidi w:val="0"/>
              <w:adjustRightInd/>
              <w:snapToGrid/>
              <w:spacing w:line="500" w:lineRule="exact"/>
              <w:ind w:firstLine="0"/>
              <w:jc w:val="center"/>
              <w:textAlignment w:val="auto"/>
              <w:rPr>
                <w:rFonts w:hint="eastAsia" w:ascii="宋体" w:hAnsi="宋体" w:eastAsia="宋体" w:cs="宋体"/>
                <w:sz w:val="24"/>
                <w:szCs w:val="24"/>
              </w:rPr>
            </w:pPr>
            <w:r>
              <w:rPr>
                <w:rFonts w:hint="eastAsia" w:ascii="宋体" w:hAnsi="宋体" w:eastAsia="宋体" w:cs="宋体"/>
                <w:color w:val="000000"/>
                <w:sz w:val="24"/>
                <w:szCs w:val="24"/>
              </w:rPr>
              <w:t>2.5</w:t>
            </w:r>
          </w:p>
        </w:tc>
        <w:tc>
          <w:tcPr>
            <w:tcW w:w="3616" w:type="dxa"/>
            <w:tcBorders>
              <w:top w:val="nil"/>
              <w:left w:val="nil"/>
              <w:bottom w:val="single" w:color="000000" w:sz="4" w:space="0"/>
              <w:right w:val="single" w:color="000000" w:sz="4" w:space="0"/>
            </w:tcBorders>
            <w:tcMar>
              <w:top w:w="0" w:type="dxa"/>
              <w:left w:w="105" w:type="dxa"/>
              <w:bottom w:w="0" w:type="dxa"/>
              <w:right w:w="105" w:type="dxa"/>
            </w:tcMar>
            <w:vAlign w:val="top"/>
          </w:tcPr>
          <w:p w14:paraId="005339D0">
            <w:pPr>
              <w:pStyle w:val="6"/>
              <w:keepNext w:val="0"/>
              <w:keepLines w:val="0"/>
              <w:pageBreakBefore w:val="0"/>
              <w:widowControl/>
              <w:kinsoku/>
              <w:wordWrap/>
              <w:overflowPunct/>
              <w:topLinePunct w:val="0"/>
              <w:autoSpaceDE/>
              <w:autoSpaceDN/>
              <w:bidi w:val="0"/>
              <w:adjustRightInd/>
              <w:snapToGrid/>
              <w:spacing w:line="500" w:lineRule="exact"/>
              <w:ind w:firstLine="0"/>
              <w:jc w:val="both"/>
              <w:textAlignment w:val="auto"/>
              <w:rPr>
                <w:rFonts w:hint="eastAsia" w:ascii="宋体" w:hAnsi="宋体" w:eastAsia="宋体" w:cs="宋体"/>
                <w:sz w:val="24"/>
                <w:szCs w:val="24"/>
              </w:rPr>
            </w:pPr>
            <w:r>
              <w:rPr>
                <w:rFonts w:hint="eastAsia" w:ascii="宋体" w:hAnsi="宋体" w:eastAsia="宋体" w:cs="宋体"/>
                <w:color w:val="000000"/>
                <w:sz w:val="24"/>
                <w:szCs w:val="24"/>
              </w:rPr>
              <w:t>光纤配线架</w:t>
            </w:r>
          </w:p>
        </w:tc>
        <w:tc>
          <w:tcPr>
            <w:tcW w:w="1455" w:type="dxa"/>
            <w:tcBorders>
              <w:top w:val="nil"/>
              <w:left w:val="nil"/>
              <w:bottom w:val="single" w:color="000000" w:sz="4" w:space="0"/>
              <w:right w:val="single" w:color="000000" w:sz="4" w:space="0"/>
            </w:tcBorders>
            <w:tcMar>
              <w:top w:w="0" w:type="dxa"/>
              <w:left w:w="105" w:type="dxa"/>
              <w:bottom w:w="0" w:type="dxa"/>
              <w:right w:w="105" w:type="dxa"/>
            </w:tcMar>
            <w:vAlign w:val="top"/>
          </w:tcPr>
          <w:p w14:paraId="3AA146CA">
            <w:pPr>
              <w:pStyle w:val="6"/>
              <w:keepNext w:val="0"/>
              <w:keepLines w:val="0"/>
              <w:pageBreakBefore w:val="0"/>
              <w:widowControl/>
              <w:kinsoku/>
              <w:wordWrap/>
              <w:overflowPunct/>
              <w:topLinePunct w:val="0"/>
              <w:autoSpaceDE/>
              <w:autoSpaceDN/>
              <w:bidi w:val="0"/>
              <w:adjustRightInd/>
              <w:snapToGrid/>
              <w:spacing w:line="500" w:lineRule="exact"/>
              <w:ind w:firstLine="0"/>
              <w:jc w:val="center"/>
              <w:textAlignment w:val="auto"/>
              <w:rPr>
                <w:rFonts w:hint="eastAsia" w:ascii="宋体" w:hAnsi="宋体" w:eastAsia="宋体" w:cs="宋体"/>
                <w:sz w:val="24"/>
                <w:szCs w:val="24"/>
              </w:rPr>
            </w:pPr>
            <w:r>
              <w:rPr>
                <w:rFonts w:hint="eastAsia" w:ascii="宋体" w:hAnsi="宋体" w:eastAsia="宋体" w:cs="宋体"/>
                <w:color w:val="000000"/>
                <w:sz w:val="24"/>
                <w:szCs w:val="24"/>
              </w:rPr>
              <w:t>14台</w:t>
            </w:r>
          </w:p>
        </w:tc>
        <w:tc>
          <w:tcPr>
            <w:tcW w:w="2359" w:type="dxa"/>
            <w:tcBorders>
              <w:top w:val="nil"/>
              <w:left w:val="nil"/>
              <w:bottom w:val="single" w:color="000000" w:sz="4" w:space="0"/>
              <w:right w:val="single" w:color="000000" w:sz="4" w:space="0"/>
            </w:tcBorders>
            <w:tcMar>
              <w:top w:w="0" w:type="dxa"/>
              <w:left w:w="105" w:type="dxa"/>
              <w:bottom w:w="0" w:type="dxa"/>
              <w:right w:w="105" w:type="dxa"/>
            </w:tcMar>
            <w:vAlign w:val="top"/>
          </w:tcPr>
          <w:p w14:paraId="07D9A4C1">
            <w:pPr>
              <w:pStyle w:val="6"/>
              <w:keepNext w:val="0"/>
              <w:keepLines w:val="0"/>
              <w:pageBreakBefore w:val="0"/>
              <w:widowControl/>
              <w:kinsoku/>
              <w:wordWrap/>
              <w:overflowPunct/>
              <w:topLinePunct w:val="0"/>
              <w:autoSpaceDE/>
              <w:autoSpaceDN/>
              <w:bidi w:val="0"/>
              <w:adjustRightInd/>
              <w:snapToGrid/>
              <w:spacing w:line="500" w:lineRule="exact"/>
              <w:ind w:firstLine="0"/>
              <w:jc w:val="center"/>
              <w:textAlignment w:val="auto"/>
              <w:rPr>
                <w:rFonts w:hint="eastAsia" w:ascii="宋体" w:hAnsi="宋体" w:eastAsia="宋体" w:cs="宋体"/>
                <w:sz w:val="24"/>
                <w:szCs w:val="24"/>
              </w:rPr>
            </w:pPr>
            <w:r>
              <w:rPr>
                <w:rFonts w:hint="eastAsia" w:ascii="宋体" w:hAnsi="宋体" w:eastAsia="宋体" w:cs="宋体"/>
                <w:color w:val="000000"/>
                <w:sz w:val="24"/>
                <w:szCs w:val="24"/>
              </w:rPr>
              <w:t>0.420000</w:t>
            </w:r>
          </w:p>
        </w:tc>
      </w:tr>
      <w:tr w14:paraId="3CCC4174">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99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1B4B347F">
            <w:pPr>
              <w:pStyle w:val="6"/>
              <w:keepNext w:val="0"/>
              <w:keepLines w:val="0"/>
              <w:pageBreakBefore w:val="0"/>
              <w:widowControl/>
              <w:kinsoku/>
              <w:wordWrap/>
              <w:overflowPunct/>
              <w:topLinePunct w:val="0"/>
              <w:autoSpaceDE/>
              <w:autoSpaceDN/>
              <w:bidi w:val="0"/>
              <w:adjustRightInd/>
              <w:snapToGrid/>
              <w:spacing w:line="500" w:lineRule="exact"/>
              <w:ind w:firstLine="0"/>
              <w:jc w:val="center"/>
              <w:textAlignment w:val="auto"/>
              <w:rPr>
                <w:rFonts w:hint="eastAsia" w:ascii="宋体" w:hAnsi="宋体" w:eastAsia="宋体" w:cs="宋体"/>
                <w:sz w:val="24"/>
                <w:szCs w:val="24"/>
              </w:rPr>
            </w:pPr>
            <w:r>
              <w:rPr>
                <w:rFonts w:hint="eastAsia" w:ascii="宋体" w:hAnsi="宋体" w:eastAsia="宋体" w:cs="宋体"/>
                <w:color w:val="000000"/>
                <w:sz w:val="24"/>
                <w:szCs w:val="24"/>
              </w:rPr>
              <w:t>2.6</w:t>
            </w:r>
          </w:p>
        </w:tc>
        <w:tc>
          <w:tcPr>
            <w:tcW w:w="3616" w:type="dxa"/>
            <w:tcBorders>
              <w:top w:val="nil"/>
              <w:left w:val="nil"/>
              <w:bottom w:val="single" w:color="000000" w:sz="4" w:space="0"/>
              <w:right w:val="single" w:color="000000" w:sz="4" w:space="0"/>
            </w:tcBorders>
            <w:tcMar>
              <w:top w:w="0" w:type="dxa"/>
              <w:left w:w="105" w:type="dxa"/>
              <w:bottom w:w="0" w:type="dxa"/>
              <w:right w:w="105" w:type="dxa"/>
            </w:tcMar>
            <w:vAlign w:val="top"/>
          </w:tcPr>
          <w:p w14:paraId="711C239A">
            <w:pPr>
              <w:pStyle w:val="6"/>
              <w:keepNext w:val="0"/>
              <w:keepLines w:val="0"/>
              <w:pageBreakBefore w:val="0"/>
              <w:widowControl/>
              <w:kinsoku/>
              <w:wordWrap/>
              <w:overflowPunct/>
              <w:topLinePunct w:val="0"/>
              <w:autoSpaceDE/>
              <w:autoSpaceDN/>
              <w:bidi w:val="0"/>
              <w:adjustRightInd/>
              <w:snapToGrid/>
              <w:spacing w:line="500" w:lineRule="exact"/>
              <w:ind w:firstLine="0"/>
              <w:jc w:val="both"/>
              <w:textAlignment w:val="auto"/>
              <w:rPr>
                <w:rFonts w:hint="eastAsia" w:ascii="宋体" w:hAnsi="宋体" w:eastAsia="宋体" w:cs="宋体"/>
                <w:sz w:val="24"/>
                <w:szCs w:val="24"/>
              </w:rPr>
            </w:pPr>
            <w:r>
              <w:rPr>
                <w:rFonts w:hint="eastAsia" w:ascii="宋体" w:hAnsi="宋体" w:eastAsia="宋体" w:cs="宋体"/>
                <w:color w:val="000000"/>
                <w:sz w:val="24"/>
                <w:szCs w:val="24"/>
              </w:rPr>
              <w:t>理线器</w:t>
            </w:r>
          </w:p>
        </w:tc>
        <w:tc>
          <w:tcPr>
            <w:tcW w:w="1455" w:type="dxa"/>
            <w:tcBorders>
              <w:top w:val="nil"/>
              <w:left w:val="nil"/>
              <w:bottom w:val="single" w:color="000000" w:sz="4" w:space="0"/>
              <w:right w:val="single" w:color="000000" w:sz="4" w:space="0"/>
            </w:tcBorders>
            <w:tcMar>
              <w:top w:w="0" w:type="dxa"/>
              <w:left w:w="105" w:type="dxa"/>
              <w:bottom w:w="0" w:type="dxa"/>
              <w:right w:w="105" w:type="dxa"/>
            </w:tcMar>
            <w:vAlign w:val="top"/>
          </w:tcPr>
          <w:p w14:paraId="2E6F054D">
            <w:pPr>
              <w:pStyle w:val="6"/>
              <w:keepNext w:val="0"/>
              <w:keepLines w:val="0"/>
              <w:pageBreakBefore w:val="0"/>
              <w:widowControl/>
              <w:kinsoku/>
              <w:wordWrap/>
              <w:overflowPunct/>
              <w:topLinePunct w:val="0"/>
              <w:autoSpaceDE/>
              <w:autoSpaceDN/>
              <w:bidi w:val="0"/>
              <w:adjustRightInd/>
              <w:snapToGrid/>
              <w:spacing w:line="500" w:lineRule="exact"/>
              <w:ind w:firstLine="0"/>
              <w:jc w:val="center"/>
              <w:textAlignment w:val="auto"/>
              <w:rPr>
                <w:rFonts w:hint="eastAsia" w:ascii="宋体" w:hAnsi="宋体" w:eastAsia="宋体" w:cs="宋体"/>
                <w:sz w:val="24"/>
                <w:szCs w:val="24"/>
              </w:rPr>
            </w:pPr>
            <w:r>
              <w:rPr>
                <w:rFonts w:hint="eastAsia" w:ascii="宋体" w:hAnsi="宋体" w:eastAsia="宋体" w:cs="宋体"/>
                <w:color w:val="000000"/>
                <w:sz w:val="24"/>
                <w:szCs w:val="24"/>
              </w:rPr>
              <w:t>14台</w:t>
            </w:r>
          </w:p>
        </w:tc>
        <w:tc>
          <w:tcPr>
            <w:tcW w:w="2359" w:type="dxa"/>
            <w:tcBorders>
              <w:top w:val="nil"/>
              <w:left w:val="nil"/>
              <w:bottom w:val="single" w:color="000000" w:sz="4" w:space="0"/>
              <w:right w:val="single" w:color="000000" w:sz="4" w:space="0"/>
            </w:tcBorders>
            <w:tcMar>
              <w:top w:w="0" w:type="dxa"/>
              <w:left w:w="105" w:type="dxa"/>
              <w:bottom w:w="0" w:type="dxa"/>
              <w:right w:w="105" w:type="dxa"/>
            </w:tcMar>
            <w:vAlign w:val="top"/>
          </w:tcPr>
          <w:p w14:paraId="6A260467">
            <w:pPr>
              <w:pStyle w:val="6"/>
              <w:keepNext w:val="0"/>
              <w:keepLines w:val="0"/>
              <w:pageBreakBefore w:val="0"/>
              <w:widowControl/>
              <w:kinsoku/>
              <w:wordWrap/>
              <w:overflowPunct/>
              <w:topLinePunct w:val="0"/>
              <w:autoSpaceDE/>
              <w:autoSpaceDN/>
              <w:bidi w:val="0"/>
              <w:adjustRightInd/>
              <w:snapToGrid/>
              <w:spacing w:line="500" w:lineRule="exact"/>
              <w:ind w:firstLine="0"/>
              <w:jc w:val="center"/>
              <w:textAlignment w:val="auto"/>
              <w:rPr>
                <w:rFonts w:hint="eastAsia" w:ascii="宋体" w:hAnsi="宋体" w:eastAsia="宋体" w:cs="宋体"/>
                <w:sz w:val="24"/>
                <w:szCs w:val="24"/>
              </w:rPr>
            </w:pPr>
            <w:r>
              <w:rPr>
                <w:rFonts w:hint="eastAsia" w:ascii="宋体" w:hAnsi="宋体" w:eastAsia="宋体" w:cs="宋体"/>
                <w:color w:val="000000"/>
                <w:sz w:val="24"/>
                <w:szCs w:val="24"/>
              </w:rPr>
              <w:t>0.098000</w:t>
            </w:r>
          </w:p>
        </w:tc>
      </w:tr>
      <w:tr w14:paraId="1C8968D9">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99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6B47B146">
            <w:pPr>
              <w:pStyle w:val="6"/>
              <w:keepNext w:val="0"/>
              <w:keepLines w:val="0"/>
              <w:pageBreakBefore w:val="0"/>
              <w:widowControl/>
              <w:kinsoku/>
              <w:wordWrap/>
              <w:overflowPunct/>
              <w:topLinePunct w:val="0"/>
              <w:autoSpaceDE/>
              <w:autoSpaceDN/>
              <w:bidi w:val="0"/>
              <w:adjustRightInd/>
              <w:snapToGrid/>
              <w:spacing w:line="500" w:lineRule="exact"/>
              <w:ind w:firstLine="0"/>
              <w:jc w:val="center"/>
              <w:textAlignment w:val="auto"/>
              <w:rPr>
                <w:rFonts w:hint="eastAsia" w:ascii="宋体" w:hAnsi="宋体" w:eastAsia="宋体" w:cs="宋体"/>
                <w:sz w:val="24"/>
                <w:szCs w:val="24"/>
              </w:rPr>
            </w:pPr>
            <w:r>
              <w:rPr>
                <w:rFonts w:hint="eastAsia" w:ascii="宋体" w:hAnsi="宋体" w:eastAsia="宋体" w:cs="宋体"/>
                <w:color w:val="000000"/>
                <w:sz w:val="24"/>
                <w:szCs w:val="24"/>
              </w:rPr>
              <w:t>2.7</w:t>
            </w:r>
          </w:p>
        </w:tc>
        <w:tc>
          <w:tcPr>
            <w:tcW w:w="3616" w:type="dxa"/>
            <w:tcBorders>
              <w:top w:val="nil"/>
              <w:left w:val="nil"/>
              <w:bottom w:val="single" w:color="000000" w:sz="4" w:space="0"/>
              <w:right w:val="single" w:color="000000" w:sz="4" w:space="0"/>
            </w:tcBorders>
            <w:tcMar>
              <w:top w:w="0" w:type="dxa"/>
              <w:left w:w="105" w:type="dxa"/>
              <w:bottom w:w="0" w:type="dxa"/>
              <w:right w:w="105" w:type="dxa"/>
            </w:tcMar>
            <w:vAlign w:val="top"/>
          </w:tcPr>
          <w:p w14:paraId="6F4C207C">
            <w:pPr>
              <w:pStyle w:val="6"/>
              <w:keepNext w:val="0"/>
              <w:keepLines w:val="0"/>
              <w:pageBreakBefore w:val="0"/>
              <w:widowControl/>
              <w:kinsoku/>
              <w:wordWrap/>
              <w:overflowPunct/>
              <w:topLinePunct w:val="0"/>
              <w:autoSpaceDE/>
              <w:autoSpaceDN/>
              <w:bidi w:val="0"/>
              <w:adjustRightInd/>
              <w:snapToGrid/>
              <w:spacing w:line="500" w:lineRule="exact"/>
              <w:ind w:firstLine="0"/>
              <w:jc w:val="both"/>
              <w:textAlignment w:val="auto"/>
              <w:rPr>
                <w:rFonts w:hint="eastAsia" w:ascii="宋体" w:hAnsi="宋体" w:eastAsia="宋体" w:cs="宋体"/>
                <w:sz w:val="24"/>
                <w:szCs w:val="24"/>
              </w:rPr>
            </w:pPr>
            <w:r>
              <w:rPr>
                <w:rFonts w:hint="eastAsia" w:ascii="宋体" w:hAnsi="宋体" w:eastAsia="宋体" w:cs="宋体"/>
                <w:color w:val="000000"/>
                <w:sz w:val="24"/>
                <w:szCs w:val="24"/>
              </w:rPr>
              <w:t>光纤跳线</w:t>
            </w:r>
          </w:p>
        </w:tc>
        <w:tc>
          <w:tcPr>
            <w:tcW w:w="1455" w:type="dxa"/>
            <w:tcBorders>
              <w:top w:val="nil"/>
              <w:left w:val="nil"/>
              <w:bottom w:val="single" w:color="000000" w:sz="4" w:space="0"/>
              <w:right w:val="single" w:color="000000" w:sz="4" w:space="0"/>
            </w:tcBorders>
            <w:tcMar>
              <w:top w:w="0" w:type="dxa"/>
              <w:left w:w="105" w:type="dxa"/>
              <w:bottom w:w="0" w:type="dxa"/>
              <w:right w:w="105" w:type="dxa"/>
            </w:tcMar>
            <w:vAlign w:val="top"/>
          </w:tcPr>
          <w:p w14:paraId="16D6D623">
            <w:pPr>
              <w:pStyle w:val="6"/>
              <w:keepNext w:val="0"/>
              <w:keepLines w:val="0"/>
              <w:pageBreakBefore w:val="0"/>
              <w:widowControl/>
              <w:kinsoku/>
              <w:wordWrap/>
              <w:overflowPunct/>
              <w:topLinePunct w:val="0"/>
              <w:autoSpaceDE/>
              <w:autoSpaceDN/>
              <w:bidi w:val="0"/>
              <w:adjustRightInd/>
              <w:snapToGrid/>
              <w:spacing w:line="500" w:lineRule="exact"/>
              <w:ind w:firstLine="0"/>
              <w:jc w:val="center"/>
              <w:textAlignment w:val="auto"/>
              <w:rPr>
                <w:rFonts w:hint="eastAsia" w:ascii="宋体" w:hAnsi="宋体" w:eastAsia="宋体" w:cs="宋体"/>
                <w:sz w:val="24"/>
                <w:szCs w:val="24"/>
              </w:rPr>
            </w:pPr>
            <w:r>
              <w:rPr>
                <w:rFonts w:hint="eastAsia" w:ascii="宋体" w:hAnsi="宋体" w:eastAsia="宋体" w:cs="宋体"/>
                <w:color w:val="000000"/>
                <w:sz w:val="24"/>
                <w:szCs w:val="24"/>
              </w:rPr>
              <w:t>30条</w:t>
            </w:r>
          </w:p>
        </w:tc>
        <w:tc>
          <w:tcPr>
            <w:tcW w:w="2359" w:type="dxa"/>
            <w:tcBorders>
              <w:top w:val="nil"/>
              <w:left w:val="nil"/>
              <w:bottom w:val="single" w:color="000000" w:sz="4" w:space="0"/>
              <w:right w:val="single" w:color="000000" w:sz="4" w:space="0"/>
            </w:tcBorders>
            <w:tcMar>
              <w:top w:w="0" w:type="dxa"/>
              <w:left w:w="105" w:type="dxa"/>
              <w:bottom w:w="0" w:type="dxa"/>
              <w:right w:w="105" w:type="dxa"/>
            </w:tcMar>
            <w:vAlign w:val="top"/>
          </w:tcPr>
          <w:p w14:paraId="1D446B90">
            <w:pPr>
              <w:pStyle w:val="6"/>
              <w:keepNext w:val="0"/>
              <w:keepLines w:val="0"/>
              <w:pageBreakBefore w:val="0"/>
              <w:widowControl/>
              <w:kinsoku/>
              <w:wordWrap/>
              <w:overflowPunct/>
              <w:topLinePunct w:val="0"/>
              <w:autoSpaceDE/>
              <w:autoSpaceDN/>
              <w:bidi w:val="0"/>
              <w:adjustRightInd/>
              <w:snapToGrid/>
              <w:spacing w:line="500" w:lineRule="exact"/>
              <w:ind w:firstLine="0"/>
              <w:jc w:val="center"/>
              <w:textAlignment w:val="auto"/>
              <w:rPr>
                <w:rFonts w:hint="eastAsia" w:ascii="宋体" w:hAnsi="宋体" w:eastAsia="宋体" w:cs="宋体"/>
                <w:sz w:val="24"/>
                <w:szCs w:val="24"/>
              </w:rPr>
            </w:pPr>
            <w:r>
              <w:rPr>
                <w:rFonts w:hint="eastAsia" w:ascii="宋体" w:hAnsi="宋体" w:eastAsia="宋体" w:cs="宋体"/>
                <w:color w:val="000000"/>
                <w:sz w:val="24"/>
                <w:szCs w:val="24"/>
              </w:rPr>
              <w:t>0.165000</w:t>
            </w:r>
          </w:p>
        </w:tc>
      </w:tr>
      <w:tr w14:paraId="2F4AF70F">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99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06A6B9C">
            <w:pPr>
              <w:pStyle w:val="6"/>
              <w:keepNext w:val="0"/>
              <w:keepLines w:val="0"/>
              <w:pageBreakBefore w:val="0"/>
              <w:widowControl/>
              <w:kinsoku/>
              <w:wordWrap/>
              <w:overflowPunct/>
              <w:topLinePunct w:val="0"/>
              <w:autoSpaceDE/>
              <w:autoSpaceDN/>
              <w:bidi w:val="0"/>
              <w:adjustRightInd/>
              <w:snapToGrid/>
              <w:spacing w:line="500" w:lineRule="exact"/>
              <w:ind w:firstLine="0"/>
              <w:jc w:val="center"/>
              <w:textAlignment w:val="auto"/>
              <w:rPr>
                <w:rFonts w:hint="eastAsia" w:ascii="宋体" w:hAnsi="宋体" w:eastAsia="宋体" w:cs="宋体"/>
                <w:sz w:val="24"/>
                <w:szCs w:val="24"/>
              </w:rPr>
            </w:pPr>
            <w:r>
              <w:rPr>
                <w:rFonts w:hint="eastAsia" w:ascii="宋体" w:hAnsi="宋体" w:eastAsia="宋体" w:cs="宋体"/>
                <w:color w:val="000000"/>
                <w:sz w:val="24"/>
                <w:szCs w:val="24"/>
              </w:rPr>
              <w:t>2.8</w:t>
            </w:r>
          </w:p>
        </w:tc>
        <w:tc>
          <w:tcPr>
            <w:tcW w:w="3616" w:type="dxa"/>
            <w:tcBorders>
              <w:top w:val="nil"/>
              <w:left w:val="nil"/>
              <w:bottom w:val="single" w:color="000000" w:sz="4" w:space="0"/>
              <w:right w:val="single" w:color="000000" w:sz="4" w:space="0"/>
            </w:tcBorders>
            <w:tcMar>
              <w:top w:w="0" w:type="dxa"/>
              <w:left w:w="105" w:type="dxa"/>
              <w:bottom w:w="0" w:type="dxa"/>
              <w:right w:w="105" w:type="dxa"/>
            </w:tcMar>
            <w:vAlign w:val="top"/>
          </w:tcPr>
          <w:p w14:paraId="29BDC106">
            <w:pPr>
              <w:pStyle w:val="6"/>
              <w:keepNext w:val="0"/>
              <w:keepLines w:val="0"/>
              <w:pageBreakBefore w:val="0"/>
              <w:widowControl/>
              <w:kinsoku/>
              <w:wordWrap/>
              <w:overflowPunct/>
              <w:topLinePunct w:val="0"/>
              <w:autoSpaceDE/>
              <w:autoSpaceDN/>
              <w:bidi w:val="0"/>
              <w:adjustRightInd/>
              <w:snapToGrid/>
              <w:spacing w:line="500" w:lineRule="exact"/>
              <w:ind w:firstLine="0"/>
              <w:jc w:val="both"/>
              <w:textAlignment w:val="auto"/>
              <w:rPr>
                <w:rFonts w:hint="eastAsia" w:ascii="宋体" w:hAnsi="宋体" w:eastAsia="宋体" w:cs="宋体"/>
                <w:sz w:val="24"/>
                <w:szCs w:val="24"/>
              </w:rPr>
            </w:pPr>
            <w:r>
              <w:rPr>
                <w:rFonts w:hint="eastAsia" w:ascii="宋体" w:hAnsi="宋体" w:eastAsia="宋体" w:cs="宋体"/>
                <w:color w:val="000000"/>
                <w:sz w:val="24"/>
                <w:szCs w:val="24"/>
              </w:rPr>
              <w:t>尾纤</w:t>
            </w:r>
          </w:p>
        </w:tc>
        <w:tc>
          <w:tcPr>
            <w:tcW w:w="1455" w:type="dxa"/>
            <w:tcBorders>
              <w:top w:val="nil"/>
              <w:left w:val="nil"/>
              <w:bottom w:val="single" w:color="000000" w:sz="4" w:space="0"/>
              <w:right w:val="single" w:color="000000" w:sz="4" w:space="0"/>
            </w:tcBorders>
            <w:tcMar>
              <w:top w:w="0" w:type="dxa"/>
              <w:left w:w="105" w:type="dxa"/>
              <w:bottom w:w="0" w:type="dxa"/>
              <w:right w:w="105" w:type="dxa"/>
            </w:tcMar>
            <w:vAlign w:val="top"/>
          </w:tcPr>
          <w:p w14:paraId="7D54D153">
            <w:pPr>
              <w:pStyle w:val="6"/>
              <w:keepNext w:val="0"/>
              <w:keepLines w:val="0"/>
              <w:pageBreakBefore w:val="0"/>
              <w:widowControl/>
              <w:kinsoku/>
              <w:wordWrap/>
              <w:overflowPunct/>
              <w:topLinePunct w:val="0"/>
              <w:autoSpaceDE/>
              <w:autoSpaceDN/>
              <w:bidi w:val="0"/>
              <w:adjustRightInd/>
              <w:snapToGrid/>
              <w:spacing w:line="500" w:lineRule="exact"/>
              <w:ind w:firstLine="0"/>
              <w:jc w:val="center"/>
              <w:textAlignment w:val="auto"/>
              <w:rPr>
                <w:rFonts w:hint="eastAsia" w:ascii="宋体" w:hAnsi="宋体" w:eastAsia="宋体" w:cs="宋体"/>
                <w:sz w:val="24"/>
                <w:szCs w:val="24"/>
              </w:rPr>
            </w:pPr>
            <w:r>
              <w:rPr>
                <w:rFonts w:hint="eastAsia" w:ascii="宋体" w:hAnsi="宋体" w:eastAsia="宋体" w:cs="宋体"/>
                <w:color w:val="000000"/>
                <w:sz w:val="24"/>
                <w:szCs w:val="24"/>
              </w:rPr>
              <w:t>152条</w:t>
            </w:r>
          </w:p>
        </w:tc>
        <w:tc>
          <w:tcPr>
            <w:tcW w:w="2359" w:type="dxa"/>
            <w:tcBorders>
              <w:top w:val="nil"/>
              <w:left w:val="nil"/>
              <w:bottom w:val="single" w:color="000000" w:sz="4" w:space="0"/>
              <w:right w:val="single" w:color="000000" w:sz="4" w:space="0"/>
            </w:tcBorders>
            <w:tcMar>
              <w:top w:w="0" w:type="dxa"/>
              <w:left w:w="105" w:type="dxa"/>
              <w:bottom w:w="0" w:type="dxa"/>
              <w:right w:w="105" w:type="dxa"/>
            </w:tcMar>
            <w:vAlign w:val="top"/>
          </w:tcPr>
          <w:p w14:paraId="360F7A2F">
            <w:pPr>
              <w:pStyle w:val="6"/>
              <w:keepNext w:val="0"/>
              <w:keepLines w:val="0"/>
              <w:pageBreakBefore w:val="0"/>
              <w:widowControl/>
              <w:kinsoku/>
              <w:wordWrap/>
              <w:overflowPunct/>
              <w:topLinePunct w:val="0"/>
              <w:autoSpaceDE/>
              <w:autoSpaceDN/>
              <w:bidi w:val="0"/>
              <w:adjustRightInd/>
              <w:snapToGrid/>
              <w:spacing w:line="500" w:lineRule="exact"/>
              <w:ind w:firstLine="0"/>
              <w:jc w:val="center"/>
              <w:textAlignment w:val="auto"/>
              <w:rPr>
                <w:rFonts w:hint="eastAsia" w:ascii="宋体" w:hAnsi="宋体" w:eastAsia="宋体" w:cs="宋体"/>
                <w:sz w:val="24"/>
                <w:szCs w:val="24"/>
              </w:rPr>
            </w:pPr>
            <w:r>
              <w:rPr>
                <w:rFonts w:hint="eastAsia" w:ascii="宋体" w:hAnsi="宋体" w:eastAsia="宋体" w:cs="宋体"/>
                <w:color w:val="000000"/>
                <w:sz w:val="24"/>
                <w:szCs w:val="24"/>
              </w:rPr>
              <w:t>0.304000</w:t>
            </w:r>
          </w:p>
        </w:tc>
      </w:tr>
      <w:tr w14:paraId="6FA34362">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99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5BADB052">
            <w:pPr>
              <w:pStyle w:val="6"/>
              <w:keepNext w:val="0"/>
              <w:keepLines w:val="0"/>
              <w:pageBreakBefore w:val="0"/>
              <w:widowControl/>
              <w:kinsoku/>
              <w:wordWrap/>
              <w:overflowPunct/>
              <w:topLinePunct w:val="0"/>
              <w:autoSpaceDE/>
              <w:autoSpaceDN/>
              <w:bidi w:val="0"/>
              <w:adjustRightInd/>
              <w:snapToGrid/>
              <w:spacing w:line="500" w:lineRule="exact"/>
              <w:ind w:firstLine="0"/>
              <w:jc w:val="center"/>
              <w:textAlignment w:val="auto"/>
              <w:rPr>
                <w:rFonts w:hint="eastAsia" w:ascii="宋体" w:hAnsi="宋体" w:eastAsia="宋体" w:cs="宋体"/>
                <w:sz w:val="24"/>
                <w:szCs w:val="24"/>
              </w:rPr>
            </w:pPr>
            <w:r>
              <w:rPr>
                <w:rFonts w:hint="eastAsia" w:ascii="宋体" w:hAnsi="宋体" w:eastAsia="宋体" w:cs="宋体"/>
                <w:color w:val="000000"/>
                <w:sz w:val="24"/>
                <w:szCs w:val="24"/>
              </w:rPr>
              <w:t>2.9</w:t>
            </w:r>
          </w:p>
        </w:tc>
        <w:tc>
          <w:tcPr>
            <w:tcW w:w="3616" w:type="dxa"/>
            <w:tcBorders>
              <w:top w:val="nil"/>
              <w:left w:val="nil"/>
              <w:bottom w:val="single" w:color="000000" w:sz="4" w:space="0"/>
              <w:right w:val="single" w:color="000000" w:sz="4" w:space="0"/>
            </w:tcBorders>
            <w:tcMar>
              <w:top w:w="0" w:type="dxa"/>
              <w:left w:w="105" w:type="dxa"/>
              <w:bottom w:w="0" w:type="dxa"/>
              <w:right w:w="105" w:type="dxa"/>
            </w:tcMar>
            <w:vAlign w:val="top"/>
          </w:tcPr>
          <w:p w14:paraId="4B770F33">
            <w:pPr>
              <w:pStyle w:val="6"/>
              <w:keepNext w:val="0"/>
              <w:keepLines w:val="0"/>
              <w:pageBreakBefore w:val="0"/>
              <w:widowControl/>
              <w:kinsoku/>
              <w:wordWrap/>
              <w:overflowPunct/>
              <w:topLinePunct w:val="0"/>
              <w:autoSpaceDE/>
              <w:autoSpaceDN/>
              <w:bidi w:val="0"/>
              <w:adjustRightInd/>
              <w:snapToGrid/>
              <w:spacing w:line="500" w:lineRule="exact"/>
              <w:ind w:firstLine="0"/>
              <w:jc w:val="both"/>
              <w:textAlignment w:val="auto"/>
              <w:rPr>
                <w:rFonts w:hint="eastAsia" w:ascii="宋体" w:hAnsi="宋体" w:eastAsia="宋体" w:cs="宋体"/>
                <w:sz w:val="24"/>
                <w:szCs w:val="24"/>
              </w:rPr>
            </w:pPr>
            <w:r>
              <w:rPr>
                <w:rFonts w:hint="eastAsia" w:ascii="宋体" w:hAnsi="宋体" w:eastAsia="宋体" w:cs="宋体"/>
                <w:color w:val="000000"/>
                <w:sz w:val="24"/>
                <w:szCs w:val="24"/>
              </w:rPr>
              <w:t>耦合器</w:t>
            </w:r>
          </w:p>
        </w:tc>
        <w:tc>
          <w:tcPr>
            <w:tcW w:w="1455" w:type="dxa"/>
            <w:tcBorders>
              <w:top w:val="nil"/>
              <w:left w:val="nil"/>
              <w:bottom w:val="single" w:color="000000" w:sz="4" w:space="0"/>
              <w:right w:val="single" w:color="000000" w:sz="4" w:space="0"/>
            </w:tcBorders>
            <w:tcMar>
              <w:top w:w="0" w:type="dxa"/>
              <w:left w:w="105" w:type="dxa"/>
              <w:bottom w:w="0" w:type="dxa"/>
              <w:right w:w="105" w:type="dxa"/>
            </w:tcMar>
            <w:vAlign w:val="top"/>
          </w:tcPr>
          <w:p w14:paraId="491AFF35">
            <w:pPr>
              <w:pStyle w:val="6"/>
              <w:keepNext w:val="0"/>
              <w:keepLines w:val="0"/>
              <w:pageBreakBefore w:val="0"/>
              <w:widowControl/>
              <w:kinsoku/>
              <w:wordWrap/>
              <w:overflowPunct/>
              <w:topLinePunct w:val="0"/>
              <w:autoSpaceDE/>
              <w:autoSpaceDN/>
              <w:bidi w:val="0"/>
              <w:adjustRightInd/>
              <w:snapToGrid/>
              <w:spacing w:line="500" w:lineRule="exact"/>
              <w:ind w:firstLine="0"/>
              <w:jc w:val="center"/>
              <w:textAlignment w:val="auto"/>
              <w:rPr>
                <w:rFonts w:hint="eastAsia" w:ascii="宋体" w:hAnsi="宋体" w:eastAsia="宋体" w:cs="宋体"/>
                <w:sz w:val="24"/>
                <w:szCs w:val="24"/>
              </w:rPr>
            </w:pPr>
            <w:r>
              <w:rPr>
                <w:rFonts w:hint="eastAsia" w:ascii="宋体" w:hAnsi="宋体" w:eastAsia="宋体" w:cs="宋体"/>
                <w:color w:val="000000"/>
                <w:sz w:val="24"/>
                <w:szCs w:val="24"/>
              </w:rPr>
              <w:t>152个</w:t>
            </w:r>
          </w:p>
        </w:tc>
        <w:tc>
          <w:tcPr>
            <w:tcW w:w="2359" w:type="dxa"/>
            <w:tcBorders>
              <w:top w:val="nil"/>
              <w:left w:val="nil"/>
              <w:bottom w:val="single" w:color="000000" w:sz="4" w:space="0"/>
              <w:right w:val="single" w:color="000000" w:sz="4" w:space="0"/>
            </w:tcBorders>
            <w:tcMar>
              <w:top w:w="0" w:type="dxa"/>
              <w:left w:w="105" w:type="dxa"/>
              <w:bottom w:w="0" w:type="dxa"/>
              <w:right w:w="105" w:type="dxa"/>
            </w:tcMar>
            <w:vAlign w:val="top"/>
          </w:tcPr>
          <w:p w14:paraId="43DEE625">
            <w:pPr>
              <w:pStyle w:val="6"/>
              <w:keepNext w:val="0"/>
              <w:keepLines w:val="0"/>
              <w:pageBreakBefore w:val="0"/>
              <w:widowControl/>
              <w:kinsoku/>
              <w:wordWrap/>
              <w:overflowPunct/>
              <w:topLinePunct w:val="0"/>
              <w:autoSpaceDE/>
              <w:autoSpaceDN/>
              <w:bidi w:val="0"/>
              <w:adjustRightInd/>
              <w:snapToGrid/>
              <w:spacing w:line="500" w:lineRule="exact"/>
              <w:ind w:firstLine="0"/>
              <w:jc w:val="center"/>
              <w:textAlignment w:val="auto"/>
              <w:rPr>
                <w:rFonts w:hint="eastAsia" w:ascii="宋体" w:hAnsi="宋体" w:eastAsia="宋体" w:cs="宋体"/>
                <w:sz w:val="24"/>
                <w:szCs w:val="24"/>
              </w:rPr>
            </w:pPr>
            <w:r>
              <w:rPr>
                <w:rFonts w:hint="eastAsia" w:ascii="宋体" w:hAnsi="宋体" w:eastAsia="宋体" w:cs="宋体"/>
                <w:color w:val="000000"/>
                <w:sz w:val="24"/>
                <w:szCs w:val="24"/>
              </w:rPr>
              <w:t>0.334400</w:t>
            </w:r>
          </w:p>
        </w:tc>
      </w:tr>
      <w:tr w14:paraId="6CD54768">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99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50D9DFCE">
            <w:pPr>
              <w:pStyle w:val="6"/>
              <w:keepNext w:val="0"/>
              <w:keepLines w:val="0"/>
              <w:pageBreakBefore w:val="0"/>
              <w:widowControl/>
              <w:kinsoku/>
              <w:wordWrap/>
              <w:overflowPunct/>
              <w:topLinePunct w:val="0"/>
              <w:autoSpaceDE/>
              <w:autoSpaceDN/>
              <w:bidi w:val="0"/>
              <w:adjustRightInd/>
              <w:snapToGrid/>
              <w:spacing w:line="500" w:lineRule="exact"/>
              <w:ind w:firstLine="0"/>
              <w:jc w:val="center"/>
              <w:textAlignment w:val="auto"/>
              <w:rPr>
                <w:rFonts w:hint="eastAsia" w:ascii="宋体" w:hAnsi="宋体" w:eastAsia="宋体" w:cs="宋体"/>
                <w:sz w:val="24"/>
                <w:szCs w:val="24"/>
              </w:rPr>
            </w:pPr>
            <w:r>
              <w:rPr>
                <w:rFonts w:hint="eastAsia" w:ascii="宋体" w:hAnsi="宋体" w:eastAsia="宋体" w:cs="宋体"/>
                <w:color w:val="000000"/>
                <w:sz w:val="24"/>
                <w:szCs w:val="24"/>
              </w:rPr>
              <w:t>2.10</w:t>
            </w:r>
          </w:p>
        </w:tc>
        <w:tc>
          <w:tcPr>
            <w:tcW w:w="3616" w:type="dxa"/>
            <w:tcBorders>
              <w:top w:val="nil"/>
              <w:left w:val="nil"/>
              <w:bottom w:val="single" w:color="000000" w:sz="4" w:space="0"/>
              <w:right w:val="single" w:color="000000" w:sz="4" w:space="0"/>
            </w:tcBorders>
            <w:tcMar>
              <w:top w:w="0" w:type="dxa"/>
              <w:left w:w="105" w:type="dxa"/>
              <w:bottom w:w="0" w:type="dxa"/>
              <w:right w:w="105" w:type="dxa"/>
            </w:tcMar>
            <w:vAlign w:val="top"/>
          </w:tcPr>
          <w:p w14:paraId="704FDC84">
            <w:pPr>
              <w:pStyle w:val="6"/>
              <w:keepNext w:val="0"/>
              <w:keepLines w:val="0"/>
              <w:pageBreakBefore w:val="0"/>
              <w:widowControl/>
              <w:kinsoku/>
              <w:wordWrap/>
              <w:overflowPunct/>
              <w:topLinePunct w:val="0"/>
              <w:autoSpaceDE/>
              <w:autoSpaceDN/>
              <w:bidi w:val="0"/>
              <w:adjustRightInd/>
              <w:snapToGrid/>
              <w:spacing w:line="500" w:lineRule="exact"/>
              <w:ind w:firstLine="0"/>
              <w:jc w:val="both"/>
              <w:textAlignment w:val="auto"/>
              <w:rPr>
                <w:rFonts w:hint="eastAsia" w:ascii="宋体" w:hAnsi="宋体" w:eastAsia="宋体" w:cs="宋体"/>
                <w:sz w:val="24"/>
                <w:szCs w:val="24"/>
              </w:rPr>
            </w:pPr>
            <w:r>
              <w:rPr>
                <w:rFonts w:hint="eastAsia" w:ascii="宋体" w:hAnsi="宋体" w:eastAsia="宋体" w:cs="宋体"/>
                <w:color w:val="000000"/>
                <w:sz w:val="24"/>
                <w:szCs w:val="24"/>
              </w:rPr>
              <w:t>熔接</w:t>
            </w:r>
          </w:p>
        </w:tc>
        <w:tc>
          <w:tcPr>
            <w:tcW w:w="1455" w:type="dxa"/>
            <w:tcBorders>
              <w:top w:val="nil"/>
              <w:left w:val="nil"/>
              <w:bottom w:val="single" w:color="000000" w:sz="4" w:space="0"/>
              <w:right w:val="single" w:color="000000" w:sz="4" w:space="0"/>
            </w:tcBorders>
            <w:tcMar>
              <w:top w:w="0" w:type="dxa"/>
              <w:left w:w="105" w:type="dxa"/>
              <w:bottom w:w="0" w:type="dxa"/>
              <w:right w:w="105" w:type="dxa"/>
            </w:tcMar>
            <w:vAlign w:val="top"/>
          </w:tcPr>
          <w:p w14:paraId="3B1B19C0">
            <w:pPr>
              <w:pStyle w:val="6"/>
              <w:keepNext w:val="0"/>
              <w:keepLines w:val="0"/>
              <w:pageBreakBefore w:val="0"/>
              <w:widowControl/>
              <w:kinsoku/>
              <w:wordWrap/>
              <w:overflowPunct/>
              <w:topLinePunct w:val="0"/>
              <w:autoSpaceDE/>
              <w:autoSpaceDN/>
              <w:bidi w:val="0"/>
              <w:adjustRightInd/>
              <w:snapToGrid/>
              <w:spacing w:line="500" w:lineRule="exact"/>
              <w:ind w:firstLine="0"/>
              <w:jc w:val="center"/>
              <w:textAlignment w:val="auto"/>
              <w:rPr>
                <w:rFonts w:hint="eastAsia" w:ascii="宋体" w:hAnsi="宋体" w:eastAsia="宋体" w:cs="宋体"/>
                <w:sz w:val="24"/>
                <w:szCs w:val="24"/>
              </w:rPr>
            </w:pPr>
            <w:r>
              <w:rPr>
                <w:rFonts w:hint="eastAsia" w:ascii="宋体" w:hAnsi="宋体" w:eastAsia="宋体" w:cs="宋体"/>
                <w:color w:val="000000"/>
                <w:sz w:val="24"/>
                <w:szCs w:val="24"/>
              </w:rPr>
              <w:t>152芯</w:t>
            </w:r>
          </w:p>
        </w:tc>
        <w:tc>
          <w:tcPr>
            <w:tcW w:w="2359" w:type="dxa"/>
            <w:tcBorders>
              <w:top w:val="nil"/>
              <w:left w:val="nil"/>
              <w:bottom w:val="single" w:color="000000" w:sz="4" w:space="0"/>
              <w:right w:val="single" w:color="000000" w:sz="4" w:space="0"/>
            </w:tcBorders>
            <w:tcMar>
              <w:top w:w="0" w:type="dxa"/>
              <w:left w:w="105" w:type="dxa"/>
              <w:bottom w:w="0" w:type="dxa"/>
              <w:right w:w="105" w:type="dxa"/>
            </w:tcMar>
            <w:vAlign w:val="top"/>
          </w:tcPr>
          <w:p w14:paraId="56E45178">
            <w:pPr>
              <w:pStyle w:val="6"/>
              <w:keepNext w:val="0"/>
              <w:keepLines w:val="0"/>
              <w:pageBreakBefore w:val="0"/>
              <w:widowControl/>
              <w:kinsoku/>
              <w:wordWrap/>
              <w:overflowPunct/>
              <w:topLinePunct w:val="0"/>
              <w:autoSpaceDE/>
              <w:autoSpaceDN/>
              <w:bidi w:val="0"/>
              <w:adjustRightInd/>
              <w:snapToGrid/>
              <w:spacing w:line="500" w:lineRule="exact"/>
              <w:ind w:firstLine="0"/>
              <w:jc w:val="center"/>
              <w:textAlignment w:val="auto"/>
              <w:rPr>
                <w:rFonts w:hint="eastAsia" w:ascii="宋体" w:hAnsi="宋体" w:eastAsia="宋体" w:cs="宋体"/>
                <w:sz w:val="24"/>
                <w:szCs w:val="24"/>
              </w:rPr>
            </w:pPr>
            <w:r>
              <w:rPr>
                <w:rFonts w:hint="eastAsia" w:ascii="宋体" w:hAnsi="宋体" w:eastAsia="宋体" w:cs="宋体"/>
                <w:color w:val="000000"/>
                <w:sz w:val="24"/>
                <w:szCs w:val="24"/>
              </w:rPr>
              <w:t>0.273600</w:t>
            </w:r>
          </w:p>
        </w:tc>
      </w:tr>
      <w:tr w14:paraId="5FAEFBE6">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99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02574A90">
            <w:pPr>
              <w:pStyle w:val="6"/>
              <w:keepNext w:val="0"/>
              <w:keepLines w:val="0"/>
              <w:pageBreakBefore w:val="0"/>
              <w:widowControl/>
              <w:kinsoku/>
              <w:wordWrap/>
              <w:overflowPunct/>
              <w:topLinePunct w:val="0"/>
              <w:autoSpaceDE/>
              <w:autoSpaceDN/>
              <w:bidi w:val="0"/>
              <w:adjustRightInd/>
              <w:snapToGrid/>
              <w:spacing w:line="500" w:lineRule="exact"/>
              <w:ind w:firstLine="0"/>
              <w:jc w:val="center"/>
              <w:textAlignment w:val="auto"/>
              <w:rPr>
                <w:rFonts w:hint="eastAsia" w:ascii="宋体" w:hAnsi="宋体" w:eastAsia="宋体" w:cs="宋体"/>
                <w:sz w:val="24"/>
                <w:szCs w:val="24"/>
              </w:rPr>
            </w:pPr>
            <w:r>
              <w:rPr>
                <w:rFonts w:hint="eastAsia" w:ascii="宋体" w:hAnsi="宋体" w:eastAsia="宋体" w:cs="宋体"/>
                <w:color w:val="000000"/>
                <w:sz w:val="24"/>
                <w:szCs w:val="24"/>
              </w:rPr>
              <w:t>2.11</w:t>
            </w:r>
          </w:p>
        </w:tc>
        <w:tc>
          <w:tcPr>
            <w:tcW w:w="3616" w:type="dxa"/>
            <w:tcBorders>
              <w:top w:val="nil"/>
              <w:left w:val="nil"/>
              <w:bottom w:val="single" w:color="000000" w:sz="4" w:space="0"/>
              <w:right w:val="single" w:color="000000" w:sz="4" w:space="0"/>
            </w:tcBorders>
            <w:tcMar>
              <w:top w:w="0" w:type="dxa"/>
              <w:left w:w="105" w:type="dxa"/>
              <w:bottom w:w="0" w:type="dxa"/>
              <w:right w:w="105" w:type="dxa"/>
            </w:tcMar>
            <w:vAlign w:val="top"/>
          </w:tcPr>
          <w:p w14:paraId="373FAE7B">
            <w:pPr>
              <w:pStyle w:val="6"/>
              <w:keepNext w:val="0"/>
              <w:keepLines w:val="0"/>
              <w:pageBreakBefore w:val="0"/>
              <w:widowControl/>
              <w:kinsoku/>
              <w:wordWrap/>
              <w:overflowPunct/>
              <w:topLinePunct w:val="0"/>
              <w:autoSpaceDE/>
              <w:autoSpaceDN/>
              <w:bidi w:val="0"/>
              <w:adjustRightInd/>
              <w:snapToGrid/>
              <w:spacing w:line="500" w:lineRule="exact"/>
              <w:ind w:firstLine="0"/>
              <w:jc w:val="both"/>
              <w:textAlignment w:val="auto"/>
              <w:rPr>
                <w:rFonts w:hint="eastAsia" w:ascii="宋体" w:hAnsi="宋体" w:eastAsia="宋体" w:cs="宋体"/>
                <w:sz w:val="24"/>
                <w:szCs w:val="24"/>
              </w:rPr>
            </w:pPr>
            <w:r>
              <w:rPr>
                <w:rFonts w:hint="eastAsia" w:ascii="宋体" w:hAnsi="宋体" w:eastAsia="宋体" w:cs="宋体"/>
                <w:color w:val="000000"/>
                <w:sz w:val="24"/>
                <w:szCs w:val="24"/>
              </w:rPr>
              <w:t>12U壁挂机柜</w:t>
            </w:r>
          </w:p>
        </w:tc>
        <w:tc>
          <w:tcPr>
            <w:tcW w:w="1455" w:type="dxa"/>
            <w:tcBorders>
              <w:top w:val="nil"/>
              <w:left w:val="nil"/>
              <w:bottom w:val="single" w:color="000000" w:sz="4" w:space="0"/>
              <w:right w:val="single" w:color="000000" w:sz="4" w:space="0"/>
            </w:tcBorders>
            <w:tcMar>
              <w:top w:w="0" w:type="dxa"/>
              <w:left w:w="105" w:type="dxa"/>
              <w:bottom w:w="0" w:type="dxa"/>
              <w:right w:w="105" w:type="dxa"/>
            </w:tcMar>
            <w:vAlign w:val="top"/>
          </w:tcPr>
          <w:p w14:paraId="06D77F39">
            <w:pPr>
              <w:pStyle w:val="6"/>
              <w:keepNext w:val="0"/>
              <w:keepLines w:val="0"/>
              <w:pageBreakBefore w:val="0"/>
              <w:widowControl/>
              <w:kinsoku/>
              <w:wordWrap/>
              <w:overflowPunct/>
              <w:topLinePunct w:val="0"/>
              <w:autoSpaceDE/>
              <w:autoSpaceDN/>
              <w:bidi w:val="0"/>
              <w:adjustRightInd/>
              <w:snapToGrid/>
              <w:spacing w:line="500" w:lineRule="exact"/>
              <w:ind w:firstLine="0"/>
              <w:jc w:val="center"/>
              <w:textAlignment w:val="auto"/>
              <w:rPr>
                <w:rFonts w:hint="eastAsia" w:ascii="宋体" w:hAnsi="宋体" w:eastAsia="宋体" w:cs="宋体"/>
                <w:sz w:val="24"/>
                <w:szCs w:val="24"/>
              </w:rPr>
            </w:pPr>
            <w:r>
              <w:rPr>
                <w:rFonts w:hint="eastAsia" w:ascii="宋体" w:hAnsi="宋体" w:eastAsia="宋体" w:cs="宋体"/>
                <w:color w:val="000000"/>
                <w:sz w:val="24"/>
                <w:szCs w:val="24"/>
              </w:rPr>
              <w:t>11台</w:t>
            </w:r>
          </w:p>
        </w:tc>
        <w:tc>
          <w:tcPr>
            <w:tcW w:w="2359" w:type="dxa"/>
            <w:tcBorders>
              <w:top w:val="nil"/>
              <w:left w:val="nil"/>
              <w:bottom w:val="single" w:color="000000" w:sz="4" w:space="0"/>
              <w:right w:val="single" w:color="000000" w:sz="4" w:space="0"/>
            </w:tcBorders>
            <w:tcMar>
              <w:top w:w="0" w:type="dxa"/>
              <w:left w:w="105" w:type="dxa"/>
              <w:bottom w:w="0" w:type="dxa"/>
              <w:right w:w="105" w:type="dxa"/>
            </w:tcMar>
            <w:vAlign w:val="top"/>
          </w:tcPr>
          <w:p w14:paraId="5CD9C06E">
            <w:pPr>
              <w:pStyle w:val="6"/>
              <w:keepNext w:val="0"/>
              <w:keepLines w:val="0"/>
              <w:pageBreakBefore w:val="0"/>
              <w:widowControl/>
              <w:kinsoku/>
              <w:wordWrap/>
              <w:overflowPunct/>
              <w:topLinePunct w:val="0"/>
              <w:autoSpaceDE/>
              <w:autoSpaceDN/>
              <w:bidi w:val="0"/>
              <w:adjustRightInd/>
              <w:snapToGrid/>
              <w:spacing w:line="500" w:lineRule="exact"/>
              <w:ind w:firstLine="0"/>
              <w:jc w:val="center"/>
              <w:textAlignment w:val="auto"/>
              <w:rPr>
                <w:rFonts w:hint="eastAsia" w:ascii="宋体" w:hAnsi="宋体" w:eastAsia="宋体" w:cs="宋体"/>
                <w:sz w:val="24"/>
                <w:szCs w:val="24"/>
              </w:rPr>
            </w:pPr>
            <w:r>
              <w:rPr>
                <w:rFonts w:hint="eastAsia" w:ascii="宋体" w:hAnsi="宋体" w:eastAsia="宋体" w:cs="宋体"/>
                <w:color w:val="000000"/>
                <w:sz w:val="24"/>
                <w:szCs w:val="24"/>
              </w:rPr>
              <w:t>0.880000</w:t>
            </w:r>
          </w:p>
        </w:tc>
      </w:tr>
      <w:tr w14:paraId="59F66EF6">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99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2C1F7051">
            <w:pPr>
              <w:pStyle w:val="6"/>
              <w:keepNext w:val="0"/>
              <w:keepLines w:val="0"/>
              <w:pageBreakBefore w:val="0"/>
              <w:widowControl/>
              <w:kinsoku/>
              <w:wordWrap/>
              <w:overflowPunct/>
              <w:topLinePunct w:val="0"/>
              <w:autoSpaceDE/>
              <w:autoSpaceDN/>
              <w:bidi w:val="0"/>
              <w:adjustRightInd/>
              <w:snapToGrid/>
              <w:spacing w:line="500" w:lineRule="exact"/>
              <w:ind w:firstLine="0"/>
              <w:jc w:val="center"/>
              <w:textAlignment w:val="auto"/>
              <w:rPr>
                <w:rFonts w:hint="eastAsia" w:ascii="宋体" w:hAnsi="宋体" w:eastAsia="宋体" w:cs="宋体"/>
                <w:sz w:val="24"/>
                <w:szCs w:val="24"/>
              </w:rPr>
            </w:pPr>
            <w:r>
              <w:rPr>
                <w:rFonts w:hint="eastAsia" w:ascii="宋体" w:hAnsi="宋体" w:eastAsia="宋体" w:cs="宋体"/>
                <w:color w:val="000000"/>
                <w:sz w:val="24"/>
                <w:szCs w:val="24"/>
              </w:rPr>
              <w:t>2.12</w:t>
            </w:r>
          </w:p>
        </w:tc>
        <w:tc>
          <w:tcPr>
            <w:tcW w:w="3616" w:type="dxa"/>
            <w:tcBorders>
              <w:top w:val="nil"/>
              <w:left w:val="nil"/>
              <w:bottom w:val="single" w:color="000000" w:sz="4" w:space="0"/>
              <w:right w:val="single" w:color="000000" w:sz="4" w:space="0"/>
            </w:tcBorders>
            <w:tcMar>
              <w:top w:w="0" w:type="dxa"/>
              <w:left w:w="105" w:type="dxa"/>
              <w:bottom w:w="0" w:type="dxa"/>
              <w:right w:w="105" w:type="dxa"/>
            </w:tcMar>
            <w:vAlign w:val="top"/>
          </w:tcPr>
          <w:p w14:paraId="56582451">
            <w:pPr>
              <w:pStyle w:val="6"/>
              <w:keepNext w:val="0"/>
              <w:keepLines w:val="0"/>
              <w:pageBreakBefore w:val="0"/>
              <w:widowControl/>
              <w:kinsoku/>
              <w:wordWrap/>
              <w:overflowPunct/>
              <w:topLinePunct w:val="0"/>
              <w:autoSpaceDE/>
              <w:autoSpaceDN/>
              <w:bidi w:val="0"/>
              <w:adjustRightInd/>
              <w:snapToGrid/>
              <w:spacing w:line="500" w:lineRule="exact"/>
              <w:ind w:firstLine="0"/>
              <w:jc w:val="both"/>
              <w:textAlignment w:val="auto"/>
              <w:rPr>
                <w:rFonts w:hint="eastAsia" w:ascii="宋体" w:hAnsi="宋体" w:eastAsia="宋体" w:cs="宋体"/>
                <w:sz w:val="24"/>
                <w:szCs w:val="24"/>
              </w:rPr>
            </w:pPr>
            <w:r>
              <w:rPr>
                <w:rFonts w:hint="eastAsia" w:ascii="宋体" w:hAnsi="宋体" w:eastAsia="宋体" w:cs="宋体"/>
                <w:color w:val="000000"/>
                <w:sz w:val="24"/>
                <w:szCs w:val="24"/>
              </w:rPr>
              <w:t>室外防水安防设备箱</w:t>
            </w:r>
          </w:p>
        </w:tc>
        <w:tc>
          <w:tcPr>
            <w:tcW w:w="1455" w:type="dxa"/>
            <w:tcBorders>
              <w:top w:val="nil"/>
              <w:left w:val="nil"/>
              <w:bottom w:val="single" w:color="000000" w:sz="4" w:space="0"/>
              <w:right w:val="single" w:color="000000" w:sz="4" w:space="0"/>
            </w:tcBorders>
            <w:tcMar>
              <w:top w:w="0" w:type="dxa"/>
              <w:left w:w="105" w:type="dxa"/>
              <w:bottom w:w="0" w:type="dxa"/>
              <w:right w:w="105" w:type="dxa"/>
            </w:tcMar>
            <w:vAlign w:val="top"/>
          </w:tcPr>
          <w:p w14:paraId="2625337C">
            <w:pPr>
              <w:pStyle w:val="6"/>
              <w:keepNext w:val="0"/>
              <w:keepLines w:val="0"/>
              <w:pageBreakBefore w:val="0"/>
              <w:widowControl/>
              <w:kinsoku/>
              <w:wordWrap/>
              <w:overflowPunct/>
              <w:topLinePunct w:val="0"/>
              <w:autoSpaceDE/>
              <w:autoSpaceDN/>
              <w:bidi w:val="0"/>
              <w:adjustRightInd/>
              <w:snapToGrid/>
              <w:spacing w:line="500" w:lineRule="exact"/>
              <w:ind w:firstLine="0"/>
              <w:jc w:val="center"/>
              <w:textAlignment w:val="auto"/>
              <w:rPr>
                <w:rFonts w:hint="eastAsia" w:ascii="宋体" w:hAnsi="宋体" w:eastAsia="宋体" w:cs="宋体"/>
                <w:sz w:val="24"/>
                <w:szCs w:val="24"/>
              </w:rPr>
            </w:pPr>
            <w:r>
              <w:rPr>
                <w:rFonts w:hint="eastAsia" w:ascii="宋体" w:hAnsi="宋体" w:eastAsia="宋体" w:cs="宋体"/>
                <w:color w:val="000000"/>
                <w:sz w:val="24"/>
                <w:szCs w:val="24"/>
              </w:rPr>
              <w:t>1个</w:t>
            </w:r>
          </w:p>
        </w:tc>
        <w:tc>
          <w:tcPr>
            <w:tcW w:w="2359" w:type="dxa"/>
            <w:tcBorders>
              <w:top w:val="nil"/>
              <w:left w:val="nil"/>
              <w:bottom w:val="single" w:color="000000" w:sz="4" w:space="0"/>
              <w:right w:val="single" w:color="000000" w:sz="4" w:space="0"/>
            </w:tcBorders>
            <w:tcMar>
              <w:top w:w="0" w:type="dxa"/>
              <w:left w:w="105" w:type="dxa"/>
              <w:bottom w:w="0" w:type="dxa"/>
              <w:right w:w="105" w:type="dxa"/>
            </w:tcMar>
            <w:vAlign w:val="top"/>
          </w:tcPr>
          <w:p w14:paraId="79BDDFF4">
            <w:pPr>
              <w:pStyle w:val="6"/>
              <w:keepNext w:val="0"/>
              <w:keepLines w:val="0"/>
              <w:pageBreakBefore w:val="0"/>
              <w:widowControl/>
              <w:kinsoku/>
              <w:wordWrap/>
              <w:overflowPunct/>
              <w:topLinePunct w:val="0"/>
              <w:autoSpaceDE/>
              <w:autoSpaceDN/>
              <w:bidi w:val="0"/>
              <w:adjustRightInd/>
              <w:snapToGrid/>
              <w:spacing w:line="500" w:lineRule="exact"/>
              <w:ind w:firstLine="0"/>
              <w:jc w:val="center"/>
              <w:textAlignment w:val="auto"/>
              <w:rPr>
                <w:rFonts w:hint="eastAsia" w:ascii="宋体" w:hAnsi="宋体" w:eastAsia="宋体" w:cs="宋体"/>
                <w:sz w:val="24"/>
                <w:szCs w:val="24"/>
              </w:rPr>
            </w:pPr>
            <w:r>
              <w:rPr>
                <w:rFonts w:hint="eastAsia" w:ascii="宋体" w:hAnsi="宋体" w:eastAsia="宋体" w:cs="宋体"/>
                <w:color w:val="000000"/>
                <w:sz w:val="24"/>
                <w:szCs w:val="24"/>
              </w:rPr>
              <w:t>0.040000</w:t>
            </w:r>
          </w:p>
        </w:tc>
      </w:tr>
      <w:tr w14:paraId="2163E0B0">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99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17F644F">
            <w:pPr>
              <w:pStyle w:val="6"/>
              <w:keepNext w:val="0"/>
              <w:keepLines w:val="0"/>
              <w:pageBreakBefore w:val="0"/>
              <w:widowControl/>
              <w:kinsoku/>
              <w:wordWrap/>
              <w:overflowPunct/>
              <w:topLinePunct w:val="0"/>
              <w:autoSpaceDE/>
              <w:autoSpaceDN/>
              <w:bidi w:val="0"/>
              <w:adjustRightInd/>
              <w:snapToGrid/>
              <w:spacing w:line="500" w:lineRule="exact"/>
              <w:ind w:firstLine="0"/>
              <w:jc w:val="center"/>
              <w:textAlignment w:val="auto"/>
              <w:rPr>
                <w:rFonts w:hint="eastAsia" w:ascii="宋体" w:hAnsi="宋体" w:eastAsia="宋体" w:cs="宋体"/>
                <w:sz w:val="24"/>
                <w:szCs w:val="24"/>
              </w:rPr>
            </w:pPr>
            <w:r>
              <w:rPr>
                <w:rFonts w:hint="eastAsia" w:ascii="宋体" w:hAnsi="宋体" w:eastAsia="宋体" w:cs="宋体"/>
                <w:color w:val="000000"/>
                <w:sz w:val="24"/>
                <w:szCs w:val="24"/>
              </w:rPr>
              <w:t>2.13</w:t>
            </w:r>
          </w:p>
        </w:tc>
        <w:tc>
          <w:tcPr>
            <w:tcW w:w="3616" w:type="dxa"/>
            <w:tcBorders>
              <w:top w:val="nil"/>
              <w:left w:val="nil"/>
              <w:bottom w:val="single" w:color="000000" w:sz="4" w:space="0"/>
              <w:right w:val="single" w:color="000000" w:sz="4" w:space="0"/>
            </w:tcBorders>
            <w:tcMar>
              <w:top w:w="0" w:type="dxa"/>
              <w:left w:w="105" w:type="dxa"/>
              <w:bottom w:w="0" w:type="dxa"/>
              <w:right w:w="105" w:type="dxa"/>
            </w:tcMar>
            <w:vAlign w:val="top"/>
          </w:tcPr>
          <w:p w14:paraId="6FF8DE8D">
            <w:pPr>
              <w:pStyle w:val="6"/>
              <w:keepNext w:val="0"/>
              <w:keepLines w:val="0"/>
              <w:pageBreakBefore w:val="0"/>
              <w:widowControl/>
              <w:kinsoku/>
              <w:wordWrap/>
              <w:overflowPunct/>
              <w:topLinePunct w:val="0"/>
              <w:autoSpaceDE/>
              <w:autoSpaceDN/>
              <w:bidi w:val="0"/>
              <w:adjustRightInd/>
              <w:snapToGrid/>
              <w:spacing w:line="500" w:lineRule="exact"/>
              <w:ind w:firstLine="0"/>
              <w:jc w:val="both"/>
              <w:textAlignment w:val="auto"/>
              <w:rPr>
                <w:rFonts w:hint="eastAsia" w:ascii="宋体" w:hAnsi="宋体" w:eastAsia="宋体" w:cs="宋体"/>
                <w:sz w:val="24"/>
                <w:szCs w:val="24"/>
              </w:rPr>
            </w:pPr>
            <w:r>
              <w:rPr>
                <w:rFonts w:hint="eastAsia" w:ascii="宋体" w:hAnsi="宋体" w:eastAsia="宋体" w:cs="宋体"/>
                <w:color w:val="000000"/>
                <w:sz w:val="24"/>
                <w:szCs w:val="24"/>
              </w:rPr>
              <w:t>6类非屏蔽双绞线</w:t>
            </w:r>
          </w:p>
        </w:tc>
        <w:tc>
          <w:tcPr>
            <w:tcW w:w="1455" w:type="dxa"/>
            <w:tcBorders>
              <w:top w:val="nil"/>
              <w:left w:val="nil"/>
              <w:bottom w:val="single" w:color="000000" w:sz="4" w:space="0"/>
              <w:right w:val="single" w:color="000000" w:sz="4" w:space="0"/>
            </w:tcBorders>
            <w:tcMar>
              <w:top w:w="0" w:type="dxa"/>
              <w:left w:w="105" w:type="dxa"/>
              <w:bottom w:w="0" w:type="dxa"/>
              <w:right w:w="105" w:type="dxa"/>
            </w:tcMar>
            <w:vAlign w:val="top"/>
          </w:tcPr>
          <w:p w14:paraId="1DFE729C">
            <w:pPr>
              <w:pStyle w:val="6"/>
              <w:keepNext w:val="0"/>
              <w:keepLines w:val="0"/>
              <w:pageBreakBefore w:val="0"/>
              <w:widowControl/>
              <w:kinsoku/>
              <w:wordWrap/>
              <w:overflowPunct/>
              <w:topLinePunct w:val="0"/>
              <w:autoSpaceDE/>
              <w:autoSpaceDN/>
              <w:bidi w:val="0"/>
              <w:adjustRightInd/>
              <w:snapToGrid/>
              <w:spacing w:line="500" w:lineRule="exact"/>
              <w:ind w:firstLine="0"/>
              <w:jc w:val="center"/>
              <w:textAlignment w:val="auto"/>
              <w:rPr>
                <w:rFonts w:hint="eastAsia" w:ascii="宋体" w:hAnsi="宋体" w:eastAsia="宋体" w:cs="宋体"/>
                <w:sz w:val="24"/>
                <w:szCs w:val="24"/>
              </w:rPr>
            </w:pPr>
            <w:r>
              <w:rPr>
                <w:rFonts w:hint="eastAsia" w:ascii="宋体" w:hAnsi="宋体" w:eastAsia="宋体" w:cs="宋体"/>
                <w:color w:val="000000"/>
                <w:sz w:val="24"/>
                <w:szCs w:val="24"/>
              </w:rPr>
              <w:t>8000米</w:t>
            </w:r>
          </w:p>
        </w:tc>
        <w:tc>
          <w:tcPr>
            <w:tcW w:w="2359" w:type="dxa"/>
            <w:tcBorders>
              <w:top w:val="nil"/>
              <w:left w:val="nil"/>
              <w:bottom w:val="single" w:color="000000" w:sz="4" w:space="0"/>
              <w:right w:val="single" w:color="000000" w:sz="4" w:space="0"/>
            </w:tcBorders>
            <w:tcMar>
              <w:top w:w="0" w:type="dxa"/>
              <w:left w:w="105" w:type="dxa"/>
              <w:bottom w:w="0" w:type="dxa"/>
              <w:right w:w="105" w:type="dxa"/>
            </w:tcMar>
            <w:vAlign w:val="top"/>
          </w:tcPr>
          <w:p w14:paraId="1B9F3176">
            <w:pPr>
              <w:pStyle w:val="6"/>
              <w:keepNext w:val="0"/>
              <w:keepLines w:val="0"/>
              <w:pageBreakBefore w:val="0"/>
              <w:widowControl/>
              <w:kinsoku/>
              <w:wordWrap/>
              <w:overflowPunct/>
              <w:topLinePunct w:val="0"/>
              <w:autoSpaceDE/>
              <w:autoSpaceDN/>
              <w:bidi w:val="0"/>
              <w:adjustRightInd/>
              <w:snapToGrid/>
              <w:spacing w:line="500" w:lineRule="exact"/>
              <w:ind w:firstLine="0"/>
              <w:jc w:val="center"/>
              <w:textAlignment w:val="auto"/>
              <w:rPr>
                <w:rFonts w:hint="eastAsia" w:ascii="宋体" w:hAnsi="宋体" w:eastAsia="宋体" w:cs="宋体"/>
                <w:sz w:val="24"/>
                <w:szCs w:val="24"/>
              </w:rPr>
            </w:pPr>
            <w:r>
              <w:rPr>
                <w:rFonts w:hint="eastAsia" w:ascii="宋体" w:hAnsi="宋体" w:eastAsia="宋体" w:cs="宋体"/>
                <w:color w:val="000000"/>
                <w:sz w:val="24"/>
                <w:szCs w:val="24"/>
              </w:rPr>
              <w:t>4.800000</w:t>
            </w:r>
          </w:p>
        </w:tc>
      </w:tr>
      <w:tr w14:paraId="0273AC58">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99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20130A9">
            <w:pPr>
              <w:pStyle w:val="6"/>
              <w:keepNext w:val="0"/>
              <w:keepLines w:val="0"/>
              <w:pageBreakBefore w:val="0"/>
              <w:widowControl/>
              <w:kinsoku/>
              <w:wordWrap/>
              <w:overflowPunct/>
              <w:topLinePunct w:val="0"/>
              <w:autoSpaceDE/>
              <w:autoSpaceDN/>
              <w:bidi w:val="0"/>
              <w:adjustRightInd/>
              <w:snapToGrid/>
              <w:spacing w:line="500" w:lineRule="exact"/>
              <w:ind w:firstLine="0"/>
              <w:jc w:val="center"/>
              <w:textAlignment w:val="auto"/>
              <w:rPr>
                <w:rFonts w:hint="eastAsia" w:ascii="宋体" w:hAnsi="宋体" w:eastAsia="宋体" w:cs="宋体"/>
                <w:sz w:val="24"/>
                <w:szCs w:val="24"/>
              </w:rPr>
            </w:pPr>
            <w:r>
              <w:rPr>
                <w:rFonts w:hint="eastAsia" w:ascii="宋体" w:hAnsi="宋体" w:eastAsia="宋体" w:cs="宋体"/>
                <w:color w:val="000000"/>
                <w:sz w:val="24"/>
                <w:szCs w:val="24"/>
              </w:rPr>
              <w:t>2.14</w:t>
            </w:r>
          </w:p>
        </w:tc>
        <w:tc>
          <w:tcPr>
            <w:tcW w:w="3616" w:type="dxa"/>
            <w:tcBorders>
              <w:top w:val="nil"/>
              <w:left w:val="nil"/>
              <w:bottom w:val="single" w:color="000000" w:sz="4" w:space="0"/>
              <w:right w:val="single" w:color="000000" w:sz="4" w:space="0"/>
            </w:tcBorders>
            <w:tcMar>
              <w:top w:w="0" w:type="dxa"/>
              <w:left w:w="105" w:type="dxa"/>
              <w:bottom w:w="0" w:type="dxa"/>
              <w:right w:w="105" w:type="dxa"/>
            </w:tcMar>
            <w:vAlign w:val="top"/>
          </w:tcPr>
          <w:p w14:paraId="431968EA">
            <w:pPr>
              <w:pStyle w:val="6"/>
              <w:keepNext w:val="0"/>
              <w:keepLines w:val="0"/>
              <w:pageBreakBefore w:val="0"/>
              <w:widowControl/>
              <w:kinsoku/>
              <w:wordWrap/>
              <w:overflowPunct/>
              <w:topLinePunct w:val="0"/>
              <w:autoSpaceDE/>
              <w:autoSpaceDN/>
              <w:bidi w:val="0"/>
              <w:adjustRightInd/>
              <w:snapToGrid/>
              <w:spacing w:line="500" w:lineRule="exact"/>
              <w:ind w:firstLine="0"/>
              <w:jc w:val="both"/>
              <w:textAlignment w:val="auto"/>
              <w:rPr>
                <w:rFonts w:hint="eastAsia" w:ascii="宋体" w:hAnsi="宋体" w:eastAsia="宋体" w:cs="宋体"/>
                <w:sz w:val="24"/>
                <w:szCs w:val="24"/>
              </w:rPr>
            </w:pPr>
            <w:r>
              <w:rPr>
                <w:rFonts w:hint="eastAsia" w:ascii="宋体" w:hAnsi="宋体" w:eastAsia="宋体" w:cs="宋体"/>
                <w:color w:val="000000"/>
                <w:sz w:val="24"/>
                <w:szCs w:val="24"/>
              </w:rPr>
              <w:t>4芯单模光缆</w:t>
            </w:r>
          </w:p>
        </w:tc>
        <w:tc>
          <w:tcPr>
            <w:tcW w:w="1455" w:type="dxa"/>
            <w:tcBorders>
              <w:top w:val="nil"/>
              <w:left w:val="nil"/>
              <w:bottom w:val="single" w:color="000000" w:sz="4" w:space="0"/>
              <w:right w:val="single" w:color="000000" w:sz="4" w:space="0"/>
            </w:tcBorders>
            <w:tcMar>
              <w:top w:w="0" w:type="dxa"/>
              <w:left w:w="105" w:type="dxa"/>
              <w:bottom w:w="0" w:type="dxa"/>
              <w:right w:w="105" w:type="dxa"/>
            </w:tcMar>
            <w:vAlign w:val="top"/>
          </w:tcPr>
          <w:p w14:paraId="06A7D911">
            <w:pPr>
              <w:pStyle w:val="6"/>
              <w:keepNext w:val="0"/>
              <w:keepLines w:val="0"/>
              <w:pageBreakBefore w:val="0"/>
              <w:widowControl/>
              <w:kinsoku/>
              <w:wordWrap/>
              <w:overflowPunct/>
              <w:topLinePunct w:val="0"/>
              <w:autoSpaceDE/>
              <w:autoSpaceDN/>
              <w:bidi w:val="0"/>
              <w:adjustRightInd/>
              <w:snapToGrid/>
              <w:spacing w:line="500" w:lineRule="exact"/>
              <w:ind w:firstLine="0"/>
              <w:jc w:val="center"/>
              <w:textAlignment w:val="auto"/>
              <w:rPr>
                <w:rFonts w:hint="eastAsia" w:ascii="宋体" w:hAnsi="宋体" w:eastAsia="宋体" w:cs="宋体"/>
                <w:sz w:val="24"/>
                <w:szCs w:val="24"/>
              </w:rPr>
            </w:pPr>
            <w:r>
              <w:rPr>
                <w:rFonts w:hint="eastAsia" w:ascii="宋体" w:hAnsi="宋体" w:eastAsia="宋体" w:cs="宋体"/>
                <w:color w:val="000000"/>
                <w:sz w:val="24"/>
                <w:szCs w:val="24"/>
              </w:rPr>
              <w:t>550米</w:t>
            </w:r>
          </w:p>
        </w:tc>
        <w:tc>
          <w:tcPr>
            <w:tcW w:w="2359" w:type="dxa"/>
            <w:tcBorders>
              <w:top w:val="nil"/>
              <w:left w:val="nil"/>
              <w:bottom w:val="single" w:color="000000" w:sz="4" w:space="0"/>
              <w:right w:val="single" w:color="000000" w:sz="4" w:space="0"/>
            </w:tcBorders>
            <w:tcMar>
              <w:top w:w="0" w:type="dxa"/>
              <w:left w:w="105" w:type="dxa"/>
              <w:bottom w:w="0" w:type="dxa"/>
              <w:right w:w="105" w:type="dxa"/>
            </w:tcMar>
            <w:vAlign w:val="top"/>
          </w:tcPr>
          <w:p w14:paraId="2257B3B2">
            <w:pPr>
              <w:pStyle w:val="6"/>
              <w:keepNext w:val="0"/>
              <w:keepLines w:val="0"/>
              <w:pageBreakBefore w:val="0"/>
              <w:widowControl/>
              <w:kinsoku/>
              <w:wordWrap/>
              <w:overflowPunct/>
              <w:topLinePunct w:val="0"/>
              <w:autoSpaceDE/>
              <w:autoSpaceDN/>
              <w:bidi w:val="0"/>
              <w:adjustRightInd/>
              <w:snapToGrid/>
              <w:spacing w:line="500" w:lineRule="exact"/>
              <w:ind w:firstLine="0"/>
              <w:jc w:val="center"/>
              <w:textAlignment w:val="auto"/>
              <w:rPr>
                <w:rFonts w:hint="eastAsia" w:ascii="宋体" w:hAnsi="宋体" w:eastAsia="宋体" w:cs="宋体"/>
                <w:sz w:val="24"/>
                <w:szCs w:val="24"/>
              </w:rPr>
            </w:pPr>
            <w:r>
              <w:rPr>
                <w:rFonts w:hint="eastAsia" w:ascii="宋体" w:hAnsi="宋体" w:eastAsia="宋体" w:cs="宋体"/>
                <w:color w:val="000000"/>
                <w:sz w:val="24"/>
                <w:szCs w:val="24"/>
              </w:rPr>
              <w:t>0.220000</w:t>
            </w:r>
          </w:p>
        </w:tc>
      </w:tr>
      <w:tr w14:paraId="32F1DA9D">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99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08A94BF7">
            <w:pPr>
              <w:pStyle w:val="6"/>
              <w:keepNext w:val="0"/>
              <w:keepLines w:val="0"/>
              <w:pageBreakBefore w:val="0"/>
              <w:widowControl/>
              <w:kinsoku/>
              <w:wordWrap/>
              <w:overflowPunct/>
              <w:topLinePunct w:val="0"/>
              <w:autoSpaceDE/>
              <w:autoSpaceDN/>
              <w:bidi w:val="0"/>
              <w:adjustRightInd/>
              <w:snapToGrid/>
              <w:spacing w:line="500" w:lineRule="exact"/>
              <w:ind w:firstLine="0"/>
              <w:jc w:val="center"/>
              <w:textAlignment w:val="auto"/>
              <w:rPr>
                <w:rFonts w:hint="eastAsia" w:ascii="宋体" w:hAnsi="宋体" w:eastAsia="宋体" w:cs="宋体"/>
                <w:sz w:val="24"/>
                <w:szCs w:val="24"/>
              </w:rPr>
            </w:pPr>
            <w:r>
              <w:rPr>
                <w:rFonts w:hint="eastAsia" w:ascii="宋体" w:hAnsi="宋体" w:eastAsia="宋体" w:cs="宋体"/>
                <w:color w:val="000000"/>
                <w:sz w:val="24"/>
                <w:szCs w:val="24"/>
              </w:rPr>
              <w:t>2.15</w:t>
            </w:r>
          </w:p>
        </w:tc>
        <w:tc>
          <w:tcPr>
            <w:tcW w:w="3616" w:type="dxa"/>
            <w:tcBorders>
              <w:top w:val="nil"/>
              <w:left w:val="nil"/>
              <w:bottom w:val="single" w:color="000000" w:sz="4" w:space="0"/>
              <w:right w:val="single" w:color="000000" w:sz="4" w:space="0"/>
            </w:tcBorders>
            <w:tcMar>
              <w:top w:w="0" w:type="dxa"/>
              <w:left w:w="105" w:type="dxa"/>
              <w:bottom w:w="0" w:type="dxa"/>
              <w:right w:w="105" w:type="dxa"/>
            </w:tcMar>
            <w:vAlign w:val="top"/>
          </w:tcPr>
          <w:p w14:paraId="04F9EEA9">
            <w:pPr>
              <w:pStyle w:val="6"/>
              <w:keepNext w:val="0"/>
              <w:keepLines w:val="0"/>
              <w:pageBreakBefore w:val="0"/>
              <w:widowControl/>
              <w:kinsoku/>
              <w:wordWrap/>
              <w:overflowPunct/>
              <w:topLinePunct w:val="0"/>
              <w:autoSpaceDE/>
              <w:autoSpaceDN/>
              <w:bidi w:val="0"/>
              <w:adjustRightInd/>
              <w:snapToGrid/>
              <w:spacing w:line="500" w:lineRule="exact"/>
              <w:ind w:firstLine="0"/>
              <w:jc w:val="both"/>
              <w:textAlignment w:val="auto"/>
              <w:rPr>
                <w:rFonts w:hint="eastAsia" w:ascii="宋体" w:hAnsi="宋体" w:eastAsia="宋体" w:cs="宋体"/>
                <w:sz w:val="24"/>
                <w:szCs w:val="24"/>
              </w:rPr>
            </w:pPr>
            <w:r>
              <w:rPr>
                <w:rFonts w:hint="eastAsia" w:ascii="宋体" w:hAnsi="宋体" w:eastAsia="宋体" w:cs="宋体"/>
                <w:color w:val="000000"/>
                <w:sz w:val="24"/>
                <w:szCs w:val="24"/>
              </w:rPr>
              <w:t>8芯单模光缆</w:t>
            </w:r>
          </w:p>
        </w:tc>
        <w:tc>
          <w:tcPr>
            <w:tcW w:w="1455" w:type="dxa"/>
            <w:tcBorders>
              <w:top w:val="nil"/>
              <w:left w:val="nil"/>
              <w:bottom w:val="single" w:color="000000" w:sz="4" w:space="0"/>
              <w:right w:val="single" w:color="000000" w:sz="4" w:space="0"/>
            </w:tcBorders>
            <w:tcMar>
              <w:top w:w="0" w:type="dxa"/>
              <w:left w:w="105" w:type="dxa"/>
              <w:bottom w:w="0" w:type="dxa"/>
              <w:right w:w="105" w:type="dxa"/>
            </w:tcMar>
            <w:vAlign w:val="top"/>
          </w:tcPr>
          <w:p w14:paraId="47958851">
            <w:pPr>
              <w:pStyle w:val="6"/>
              <w:keepNext w:val="0"/>
              <w:keepLines w:val="0"/>
              <w:pageBreakBefore w:val="0"/>
              <w:widowControl/>
              <w:kinsoku/>
              <w:wordWrap/>
              <w:overflowPunct/>
              <w:topLinePunct w:val="0"/>
              <w:autoSpaceDE/>
              <w:autoSpaceDN/>
              <w:bidi w:val="0"/>
              <w:adjustRightInd/>
              <w:snapToGrid/>
              <w:spacing w:line="500" w:lineRule="exact"/>
              <w:ind w:firstLine="0"/>
              <w:jc w:val="center"/>
              <w:textAlignment w:val="auto"/>
              <w:rPr>
                <w:rFonts w:hint="eastAsia" w:ascii="宋体" w:hAnsi="宋体" w:eastAsia="宋体" w:cs="宋体"/>
                <w:sz w:val="24"/>
                <w:szCs w:val="24"/>
              </w:rPr>
            </w:pPr>
            <w:r>
              <w:rPr>
                <w:rFonts w:hint="eastAsia" w:ascii="宋体" w:hAnsi="宋体" w:eastAsia="宋体" w:cs="宋体"/>
                <w:color w:val="000000"/>
                <w:sz w:val="24"/>
                <w:szCs w:val="24"/>
              </w:rPr>
              <w:t>300米</w:t>
            </w:r>
          </w:p>
        </w:tc>
        <w:tc>
          <w:tcPr>
            <w:tcW w:w="2359" w:type="dxa"/>
            <w:tcBorders>
              <w:top w:val="nil"/>
              <w:left w:val="nil"/>
              <w:bottom w:val="single" w:color="000000" w:sz="4" w:space="0"/>
              <w:right w:val="single" w:color="000000" w:sz="4" w:space="0"/>
            </w:tcBorders>
            <w:tcMar>
              <w:top w:w="0" w:type="dxa"/>
              <w:left w:w="105" w:type="dxa"/>
              <w:bottom w:w="0" w:type="dxa"/>
              <w:right w:w="105" w:type="dxa"/>
            </w:tcMar>
            <w:vAlign w:val="top"/>
          </w:tcPr>
          <w:p w14:paraId="14D63CE2">
            <w:pPr>
              <w:pStyle w:val="6"/>
              <w:keepNext w:val="0"/>
              <w:keepLines w:val="0"/>
              <w:pageBreakBefore w:val="0"/>
              <w:widowControl/>
              <w:kinsoku/>
              <w:wordWrap/>
              <w:overflowPunct/>
              <w:topLinePunct w:val="0"/>
              <w:autoSpaceDE/>
              <w:autoSpaceDN/>
              <w:bidi w:val="0"/>
              <w:adjustRightInd/>
              <w:snapToGrid/>
              <w:spacing w:line="500" w:lineRule="exact"/>
              <w:ind w:firstLine="0"/>
              <w:jc w:val="center"/>
              <w:textAlignment w:val="auto"/>
              <w:rPr>
                <w:rFonts w:hint="eastAsia" w:ascii="宋体" w:hAnsi="宋体" w:eastAsia="宋体" w:cs="宋体"/>
                <w:sz w:val="24"/>
                <w:szCs w:val="24"/>
              </w:rPr>
            </w:pPr>
            <w:r>
              <w:rPr>
                <w:rFonts w:hint="eastAsia" w:ascii="宋体" w:hAnsi="宋体" w:eastAsia="宋体" w:cs="宋体"/>
                <w:color w:val="000000"/>
                <w:sz w:val="24"/>
                <w:szCs w:val="24"/>
              </w:rPr>
              <w:t>0.240000</w:t>
            </w:r>
          </w:p>
        </w:tc>
      </w:tr>
      <w:tr w14:paraId="0437D13C">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99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7249ADC6">
            <w:pPr>
              <w:pStyle w:val="6"/>
              <w:keepNext w:val="0"/>
              <w:keepLines w:val="0"/>
              <w:pageBreakBefore w:val="0"/>
              <w:widowControl/>
              <w:kinsoku/>
              <w:wordWrap/>
              <w:overflowPunct/>
              <w:topLinePunct w:val="0"/>
              <w:autoSpaceDE/>
              <w:autoSpaceDN/>
              <w:bidi w:val="0"/>
              <w:adjustRightInd/>
              <w:snapToGrid/>
              <w:spacing w:line="500" w:lineRule="exact"/>
              <w:ind w:firstLine="0"/>
              <w:jc w:val="center"/>
              <w:textAlignment w:val="auto"/>
              <w:rPr>
                <w:rFonts w:hint="eastAsia" w:ascii="宋体" w:hAnsi="宋体" w:eastAsia="宋体" w:cs="宋体"/>
                <w:sz w:val="24"/>
                <w:szCs w:val="24"/>
              </w:rPr>
            </w:pPr>
            <w:r>
              <w:rPr>
                <w:rFonts w:hint="eastAsia" w:ascii="宋体" w:hAnsi="宋体" w:eastAsia="宋体" w:cs="宋体"/>
                <w:color w:val="000000"/>
                <w:sz w:val="24"/>
                <w:szCs w:val="24"/>
              </w:rPr>
              <w:t>2.16</w:t>
            </w:r>
          </w:p>
        </w:tc>
        <w:tc>
          <w:tcPr>
            <w:tcW w:w="3616" w:type="dxa"/>
            <w:tcBorders>
              <w:top w:val="nil"/>
              <w:left w:val="nil"/>
              <w:bottom w:val="single" w:color="000000" w:sz="4" w:space="0"/>
              <w:right w:val="single" w:color="000000" w:sz="4" w:space="0"/>
            </w:tcBorders>
            <w:tcMar>
              <w:top w:w="0" w:type="dxa"/>
              <w:left w:w="105" w:type="dxa"/>
              <w:bottom w:w="0" w:type="dxa"/>
              <w:right w:w="105" w:type="dxa"/>
            </w:tcMar>
            <w:vAlign w:val="top"/>
          </w:tcPr>
          <w:p w14:paraId="37890967">
            <w:pPr>
              <w:pStyle w:val="6"/>
              <w:keepNext w:val="0"/>
              <w:keepLines w:val="0"/>
              <w:pageBreakBefore w:val="0"/>
              <w:widowControl/>
              <w:kinsoku/>
              <w:wordWrap/>
              <w:overflowPunct/>
              <w:topLinePunct w:val="0"/>
              <w:autoSpaceDE/>
              <w:autoSpaceDN/>
              <w:bidi w:val="0"/>
              <w:adjustRightInd/>
              <w:snapToGrid/>
              <w:spacing w:line="500" w:lineRule="exact"/>
              <w:ind w:firstLine="0"/>
              <w:jc w:val="both"/>
              <w:textAlignment w:val="auto"/>
              <w:rPr>
                <w:rFonts w:hint="eastAsia" w:ascii="宋体" w:hAnsi="宋体" w:eastAsia="宋体" w:cs="宋体"/>
                <w:sz w:val="24"/>
                <w:szCs w:val="24"/>
              </w:rPr>
            </w:pPr>
            <w:r>
              <w:rPr>
                <w:rFonts w:hint="eastAsia" w:ascii="宋体" w:hAnsi="宋体" w:eastAsia="宋体" w:cs="宋体"/>
                <w:color w:val="000000"/>
                <w:sz w:val="24"/>
                <w:szCs w:val="24"/>
              </w:rPr>
              <w:t>主干电源线</w:t>
            </w:r>
          </w:p>
        </w:tc>
        <w:tc>
          <w:tcPr>
            <w:tcW w:w="1455" w:type="dxa"/>
            <w:tcBorders>
              <w:top w:val="nil"/>
              <w:left w:val="nil"/>
              <w:bottom w:val="single" w:color="000000" w:sz="4" w:space="0"/>
              <w:right w:val="single" w:color="000000" w:sz="4" w:space="0"/>
            </w:tcBorders>
            <w:tcMar>
              <w:top w:w="0" w:type="dxa"/>
              <w:left w:w="105" w:type="dxa"/>
              <w:bottom w:w="0" w:type="dxa"/>
              <w:right w:w="105" w:type="dxa"/>
            </w:tcMar>
            <w:vAlign w:val="top"/>
          </w:tcPr>
          <w:p w14:paraId="7D058368">
            <w:pPr>
              <w:pStyle w:val="6"/>
              <w:keepNext w:val="0"/>
              <w:keepLines w:val="0"/>
              <w:pageBreakBefore w:val="0"/>
              <w:widowControl/>
              <w:kinsoku/>
              <w:wordWrap/>
              <w:overflowPunct/>
              <w:topLinePunct w:val="0"/>
              <w:autoSpaceDE/>
              <w:autoSpaceDN/>
              <w:bidi w:val="0"/>
              <w:adjustRightInd/>
              <w:snapToGrid/>
              <w:spacing w:line="500" w:lineRule="exact"/>
              <w:ind w:firstLine="0"/>
              <w:jc w:val="center"/>
              <w:textAlignment w:val="auto"/>
              <w:rPr>
                <w:rFonts w:hint="eastAsia" w:ascii="宋体" w:hAnsi="宋体" w:eastAsia="宋体" w:cs="宋体"/>
                <w:sz w:val="24"/>
                <w:szCs w:val="24"/>
              </w:rPr>
            </w:pPr>
            <w:r>
              <w:rPr>
                <w:rFonts w:hint="eastAsia" w:ascii="宋体" w:hAnsi="宋体" w:eastAsia="宋体" w:cs="宋体"/>
                <w:color w:val="000000"/>
                <w:sz w:val="24"/>
                <w:szCs w:val="24"/>
              </w:rPr>
              <w:t>350米</w:t>
            </w:r>
          </w:p>
        </w:tc>
        <w:tc>
          <w:tcPr>
            <w:tcW w:w="2359" w:type="dxa"/>
            <w:tcBorders>
              <w:top w:val="nil"/>
              <w:left w:val="nil"/>
              <w:bottom w:val="single" w:color="000000" w:sz="4" w:space="0"/>
              <w:right w:val="single" w:color="000000" w:sz="4" w:space="0"/>
            </w:tcBorders>
            <w:tcMar>
              <w:top w:w="0" w:type="dxa"/>
              <w:left w:w="105" w:type="dxa"/>
              <w:bottom w:w="0" w:type="dxa"/>
              <w:right w:w="105" w:type="dxa"/>
            </w:tcMar>
            <w:vAlign w:val="top"/>
          </w:tcPr>
          <w:p w14:paraId="24F5DBDB">
            <w:pPr>
              <w:pStyle w:val="6"/>
              <w:keepNext w:val="0"/>
              <w:keepLines w:val="0"/>
              <w:pageBreakBefore w:val="0"/>
              <w:widowControl/>
              <w:kinsoku/>
              <w:wordWrap/>
              <w:overflowPunct/>
              <w:topLinePunct w:val="0"/>
              <w:autoSpaceDE/>
              <w:autoSpaceDN/>
              <w:bidi w:val="0"/>
              <w:adjustRightInd/>
              <w:snapToGrid/>
              <w:spacing w:line="500" w:lineRule="exact"/>
              <w:ind w:firstLine="0"/>
              <w:jc w:val="center"/>
              <w:textAlignment w:val="auto"/>
              <w:rPr>
                <w:rFonts w:hint="eastAsia" w:ascii="宋体" w:hAnsi="宋体" w:eastAsia="宋体" w:cs="宋体"/>
                <w:sz w:val="24"/>
                <w:szCs w:val="24"/>
              </w:rPr>
            </w:pPr>
            <w:r>
              <w:rPr>
                <w:rFonts w:hint="eastAsia" w:ascii="宋体" w:hAnsi="宋体" w:eastAsia="宋体" w:cs="宋体"/>
                <w:color w:val="000000"/>
                <w:sz w:val="24"/>
                <w:szCs w:val="24"/>
              </w:rPr>
              <w:t>0.770000</w:t>
            </w:r>
          </w:p>
        </w:tc>
      </w:tr>
      <w:tr w14:paraId="4045BD82">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99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7888EA9F">
            <w:pPr>
              <w:pStyle w:val="6"/>
              <w:keepNext w:val="0"/>
              <w:keepLines w:val="0"/>
              <w:pageBreakBefore w:val="0"/>
              <w:widowControl/>
              <w:kinsoku/>
              <w:wordWrap/>
              <w:overflowPunct/>
              <w:topLinePunct w:val="0"/>
              <w:autoSpaceDE/>
              <w:autoSpaceDN/>
              <w:bidi w:val="0"/>
              <w:adjustRightInd/>
              <w:snapToGrid/>
              <w:spacing w:line="500" w:lineRule="exact"/>
              <w:ind w:firstLine="0"/>
              <w:jc w:val="center"/>
              <w:textAlignment w:val="auto"/>
              <w:rPr>
                <w:rFonts w:hint="eastAsia" w:ascii="宋体" w:hAnsi="宋体" w:eastAsia="宋体" w:cs="宋体"/>
                <w:sz w:val="24"/>
                <w:szCs w:val="24"/>
              </w:rPr>
            </w:pPr>
            <w:r>
              <w:rPr>
                <w:rFonts w:hint="eastAsia" w:ascii="宋体" w:hAnsi="宋体" w:eastAsia="宋体" w:cs="宋体"/>
                <w:color w:val="000000"/>
                <w:sz w:val="24"/>
                <w:szCs w:val="24"/>
              </w:rPr>
              <w:t>2.17</w:t>
            </w:r>
          </w:p>
        </w:tc>
        <w:tc>
          <w:tcPr>
            <w:tcW w:w="3616" w:type="dxa"/>
            <w:tcBorders>
              <w:top w:val="nil"/>
              <w:left w:val="nil"/>
              <w:bottom w:val="single" w:color="000000" w:sz="4" w:space="0"/>
              <w:right w:val="single" w:color="000000" w:sz="4" w:space="0"/>
            </w:tcBorders>
            <w:tcMar>
              <w:top w:w="0" w:type="dxa"/>
              <w:left w:w="105" w:type="dxa"/>
              <w:bottom w:w="0" w:type="dxa"/>
              <w:right w:w="105" w:type="dxa"/>
            </w:tcMar>
            <w:vAlign w:val="top"/>
          </w:tcPr>
          <w:p w14:paraId="1EE8C804">
            <w:pPr>
              <w:pStyle w:val="6"/>
              <w:keepNext w:val="0"/>
              <w:keepLines w:val="0"/>
              <w:pageBreakBefore w:val="0"/>
              <w:widowControl/>
              <w:kinsoku/>
              <w:wordWrap/>
              <w:overflowPunct/>
              <w:topLinePunct w:val="0"/>
              <w:autoSpaceDE/>
              <w:autoSpaceDN/>
              <w:bidi w:val="0"/>
              <w:adjustRightInd/>
              <w:snapToGrid/>
              <w:spacing w:line="500" w:lineRule="exact"/>
              <w:ind w:firstLine="0"/>
              <w:jc w:val="both"/>
              <w:textAlignment w:val="auto"/>
              <w:rPr>
                <w:rFonts w:hint="eastAsia" w:ascii="宋体" w:hAnsi="宋体" w:eastAsia="宋体" w:cs="宋体"/>
                <w:sz w:val="24"/>
                <w:szCs w:val="24"/>
              </w:rPr>
            </w:pPr>
            <w:r>
              <w:rPr>
                <w:rFonts w:hint="eastAsia" w:ascii="宋体" w:hAnsi="宋体" w:eastAsia="宋体" w:cs="宋体"/>
                <w:color w:val="000000"/>
                <w:sz w:val="24"/>
                <w:szCs w:val="24"/>
              </w:rPr>
              <w:t>PVC25</w:t>
            </w:r>
          </w:p>
        </w:tc>
        <w:tc>
          <w:tcPr>
            <w:tcW w:w="1455" w:type="dxa"/>
            <w:tcBorders>
              <w:top w:val="nil"/>
              <w:left w:val="nil"/>
              <w:bottom w:val="single" w:color="000000" w:sz="4" w:space="0"/>
              <w:right w:val="single" w:color="000000" w:sz="4" w:space="0"/>
            </w:tcBorders>
            <w:tcMar>
              <w:top w:w="0" w:type="dxa"/>
              <w:left w:w="105" w:type="dxa"/>
              <w:bottom w:w="0" w:type="dxa"/>
              <w:right w:w="105" w:type="dxa"/>
            </w:tcMar>
            <w:vAlign w:val="top"/>
          </w:tcPr>
          <w:p w14:paraId="70E1BC79">
            <w:pPr>
              <w:pStyle w:val="6"/>
              <w:keepNext w:val="0"/>
              <w:keepLines w:val="0"/>
              <w:pageBreakBefore w:val="0"/>
              <w:widowControl/>
              <w:kinsoku/>
              <w:wordWrap/>
              <w:overflowPunct/>
              <w:topLinePunct w:val="0"/>
              <w:autoSpaceDE/>
              <w:autoSpaceDN/>
              <w:bidi w:val="0"/>
              <w:adjustRightInd/>
              <w:snapToGrid/>
              <w:spacing w:line="500" w:lineRule="exact"/>
              <w:ind w:firstLine="0"/>
              <w:jc w:val="center"/>
              <w:textAlignment w:val="auto"/>
              <w:rPr>
                <w:rFonts w:hint="eastAsia" w:ascii="宋体" w:hAnsi="宋体" w:eastAsia="宋体" w:cs="宋体"/>
                <w:sz w:val="24"/>
                <w:szCs w:val="24"/>
              </w:rPr>
            </w:pPr>
            <w:r>
              <w:rPr>
                <w:rFonts w:hint="eastAsia" w:ascii="宋体" w:hAnsi="宋体" w:eastAsia="宋体" w:cs="宋体"/>
                <w:color w:val="000000"/>
                <w:sz w:val="24"/>
                <w:szCs w:val="24"/>
              </w:rPr>
              <w:t>3500米</w:t>
            </w:r>
          </w:p>
        </w:tc>
        <w:tc>
          <w:tcPr>
            <w:tcW w:w="2359" w:type="dxa"/>
            <w:tcBorders>
              <w:top w:val="nil"/>
              <w:left w:val="nil"/>
              <w:bottom w:val="single" w:color="000000" w:sz="4" w:space="0"/>
              <w:right w:val="single" w:color="000000" w:sz="4" w:space="0"/>
            </w:tcBorders>
            <w:tcMar>
              <w:top w:w="0" w:type="dxa"/>
              <w:left w:w="105" w:type="dxa"/>
              <w:bottom w:w="0" w:type="dxa"/>
              <w:right w:w="105" w:type="dxa"/>
            </w:tcMar>
            <w:vAlign w:val="top"/>
          </w:tcPr>
          <w:p w14:paraId="44C8B7DA">
            <w:pPr>
              <w:pStyle w:val="6"/>
              <w:keepNext w:val="0"/>
              <w:keepLines w:val="0"/>
              <w:pageBreakBefore w:val="0"/>
              <w:widowControl/>
              <w:kinsoku/>
              <w:wordWrap/>
              <w:overflowPunct/>
              <w:topLinePunct w:val="0"/>
              <w:autoSpaceDE/>
              <w:autoSpaceDN/>
              <w:bidi w:val="0"/>
              <w:adjustRightInd/>
              <w:snapToGrid/>
              <w:spacing w:line="500" w:lineRule="exact"/>
              <w:ind w:firstLine="0"/>
              <w:jc w:val="center"/>
              <w:textAlignment w:val="auto"/>
              <w:rPr>
                <w:rFonts w:hint="eastAsia" w:ascii="宋体" w:hAnsi="宋体" w:eastAsia="宋体" w:cs="宋体"/>
                <w:sz w:val="24"/>
                <w:szCs w:val="24"/>
              </w:rPr>
            </w:pPr>
            <w:r>
              <w:rPr>
                <w:rFonts w:hint="eastAsia" w:ascii="宋体" w:hAnsi="宋体" w:eastAsia="宋体" w:cs="宋体"/>
                <w:color w:val="000000"/>
                <w:sz w:val="24"/>
                <w:szCs w:val="24"/>
              </w:rPr>
              <w:t>2.800000</w:t>
            </w:r>
          </w:p>
        </w:tc>
      </w:tr>
      <w:tr w14:paraId="3B91C079">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99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6EF474C">
            <w:pPr>
              <w:pStyle w:val="6"/>
              <w:keepNext w:val="0"/>
              <w:keepLines w:val="0"/>
              <w:pageBreakBefore w:val="0"/>
              <w:widowControl/>
              <w:kinsoku/>
              <w:wordWrap/>
              <w:overflowPunct/>
              <w:topLinePunct w:val="0"/>
              <w:autoSpaceDE/>
              <w:autoSpaceDN/>
              <w:bidi w:val="0"/>
              <w:adjustRightInd/>
              <w:snapToGrid/>
              <w:spacing w:line="500" w:lineRule="exact"/>
              <w:ind w:firstLine="0"/>
              <w:jc w:val="center"/>
              <w:textAlignment w:val="auto"/>
              <w:rPr>
                <w:rFonts w:hint="eastAsia" w:ascii="宋体" w:hAnsi="宋体" w:eastAsia="宋体" w:cs="宋体"/>
                <w:sz w:val="24"/>
                <w:szCs w:val="24"/>
              </w:rPr>
            </w:pPr>
            <w:r>
              <w:rPr>
                <w:rFonts w:hint="eastAsia" w:ascii="宋体" w:hAnsi="宋体" w:eastAsia="宋体" w:cs="宋体"/>
                <w:color w:val="000000"/>
                <w:sz w:val="24"/>
                <w:szCs w:val="24"/>
              </w:rPr>
              <w:t>2.18</w:t>
            </w:r>
          </w:p>
        </w:tc>
        <w:tc>
          <w:tcPr>
            <w:tcW w:w="3616" w:type="dxa"/>
            <w:tcBorders>
              <w:top w:val="nil"/>
              <w:left w:val="nil"/>
              <w:bottom w:val="single" w:color="000000" w:sz="4" w:space="0"/>
              <w:right w:val="single" w:color="000000" w:sz="4" w:space="0"/>
            </w:tcBorders>
            <w:tcMar>
              <w:top w:w="0" w:type="dxa"/>
              <w:left w:w="105" w:type="dxa"/>
              <w:bottom w:w="0" w:type="dxa"/>
              <w:right w:w="105" w:type="dxa"/>
            </w:tcMar>
            <w:vAlign w:val="top"/>
          </w:tcPr>
          <w:p w14:paraId="6AD60FB6">
            <w:pPr>
              <w:pStyle w:val="6"/>
              <w:keepNext w:val="0"/>
              <w:keepLines w:val="0"/>
              <w:pageBreakBefore w:val="0"/>
              <w:widowControl/>
              <w:kinsoku/>
              <w:wordWrap/>
              <w:overflowPunct/>
              <w:topLinePunct w:val="0"/>
              <w:autoSpaceDE/>
              <w:autoSpaceDN/>
              <w:bidi w:val="0"/>
              <w:adjustRightInd/>
              <w:snapToGrid/>
              <w:spacing w:line="500" w:lineRule="exact"/>
              <w:ind w:firstLine="0"/>
              <w:jc w:val="both"/>
              <w:textAlignment w:val="auto"/>
              <w:rPr>
                <w:rFonts w:hint="eastAsia" w:ascii="宋体" w:hAnsi="宋体" w:eastAsia="宋体" w:cs="宋体"/>
                <w:sz w:val="24"/>
                <w:szCs w:val="24"/>
              </w:rPr>
            </w:pPr>
            <w:r>
              <w:rPr>
                <w:rFonts w:hint="eastAsia" w:ascii="宋体" w:hAnsi="宋体" w:eastAsia="宋体" w:cs="宋体"/>
                <w:color w:val="000000"/>
                <w:sz w:val="24"/>
                <w:szCs w:val="24"/>
              </w:rPr>
              <w:t>PVC32</w:t>
            </w:r>
          </w:p>
        </w:tc>
        <w:tc>
          <w:tcPr>
            <w:tcW w:w="1455" w:type="dxa"/>
            <w:tcBorders>
              <w:top w:val="nil"/>
              <w:left w:val="nil"/>
              <w:bottom w:val="single" w:color="000000" w:sz="4" w:space="0"/>
              <w:right w:val="single" w:color="000000" w:sz="4" w:space="0"/>
            </w:tcBorders>
            <w:tcMar>
              <w:top w:w="0" w:type="dxa"/>
              <w:left w:w="105" w:type="dxa"/>
              <w:bottom w:w="0" w:type="dxa"/>
              <w:right w:w="105" w:type="dxa"/>
            </w:tcMar>
            <w:vAlign w:val="top"/>
          </w:tcPr>
          <w:p w14:paraId="186EC111">
            <w:pPr>
              <w:pStyle w:val="6"/>
              <w:keepNext w:val="0"/>
              <w:keepLines w:val="0"/>
              <w:pageBreakBefore w:val="0"/>
              <w:widowControl/>
              <w:kinsoku/>
              <w:wordWrap/>
              <w:overflowPunct/>
              <w:topLinePunct w:val="0"/>
              <w:autoSpaceDE/>
              <w:autoSpaceDN/>
              <w:bidi w:val="0"/>
              <w:adjustRightInd/>
              <w:snapToGrid/>
              <w:spacing w:line="500" w:lineRule="exact"/>
              <w:ind w:firstLine="0"/>
              <w:jc w:val="center"/>
              <w:textAlignment w:val="auto"/>
              <w:rPr>
                <w:rFonts w:hint="eastAsia" w:ascii="宋体" w:hAnsi="宋体" w:eastAsia="宋体" w:cs="宋体"/>
                <w:sz w:val="24"/>
                <w:szCs w:val="24"/>
              </w:rPr>
            </w:pPr>
            <w:r>
              <w:rPr>
                <w:rFonts w:hint="eastAsia" w:ascii="宋体" w:hAnsi="宋体" w:eastAsia="宋体" w:cs="宋体"/>
                <w:color w:val="000000"/>
                <w:sz w:val="24"/>
                <w:szCs w:val="24"/>
              </w:rPr>
              <w:t>500米</w:t>
            </w:r>
          </w:p>
        </w:tc>
        <w:tc>
          <w:tcPr>
            <w:tcW w:w="2359" w:type="dxa"/>
            <w:tcBorders>
              <w:top w:val="nil"/>
              <w:left w:val="nil"/>
              <w:bottom w:val="single" w:color="000000" w:sz="4" w:space="0"/>
              <w:right w:val="single" w:color="000000" w:sz="4" w:space="0"/>
            </w:tcBorders>
            <w:tcMar>
              <w:top w:w="0" w:type="dxa"/>
              <w:left w:w="105" w:type="dxa"/>
              <w:bottom w:w="0" w:type="dxa"/>
              <w:right w:w="105" w:type="dxa"/>
            </w:tcMar>
            <w:vAlign w:val="top"/>
          </w:tcPr>
          <w:p w14:paraId="5DB6C5C0">
            <w:pPr>
              <w:pStyle w:val="6"/>
              <w:keepNext w:val="0"/>
              <w:keepLines w:val="0"/>
              <w:pageBreakBefore w:val="0"/>
              <w:widowControl/>
              <w:kinsoku/>
              <w:wordWrap/>
              <w:overflowPunct/>
              <w:topLinePunct w:val="0"/>
              <w:autoSpaceDE/>
              <w:autoSpaceDN/>
              <w:bidi w:val="0"/>
              <w:adjustRightInd/>
              <w:snapToGrid/>
              <w:spacing w:line="500" w:lineRule="exact"/>
              <w:ind w:firstLine="0"/>
              <w:jc w:val="center"/>
              <w:textAlignment w:val="auto"/>
              <w:rPr>
                <w:rFonts w:hint="eastAsia" w:ascii="宋体" w:hAnsi="宋体" w:eastAsia="宋体" w:cs="宋体"/>
                <w:sz w:val="24"/>
                <w:szCs w:val="24"/>
              </w:rPr>
            </w:pPr>
            <w:r>
              <w:rPr>
                <w:rFonts w:hint="eastAsia" w:ascii="宋体" w:hAnsi="宋体" w:eastAsia="宋体" w:cs="宋体"/>
                <w:color w:val="000000"/>
                <w:sz w:val="24"/>
                <w:szCs w:val="24"/>
              </w:rPr>
              <w:t>0.500000</w:t>
            </w:r>
          </w:p>
        </w:tc>
      </w:tr>
      <w:tr w14:paraId="6C460E96">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99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7C166BE4">
            <w:pPr>
              <w:pStyle w:val="6"/>
              <w:keepNext w:val="0"/>
              <w:keepLines w:val="0"/>
              <w:pageBreakBefore w:val="0"/>
              <w:widowControl/>
              <w:kinsoku/>
              <w:wordWrap/>
              <w:overflowPunct/>
              <w:topLinePunct w:val="0"/>
              <w:autoSpaceDE/>
              <w:autoSpaceDN/>
              <w:bidi w:val="0"/>
              <w:adjustRightInd/>
              <w:snapToGrid/>
              <w:spacing w:line="500" w:lineRule="exact"/>
              <w:ind w:firstLine="0"/>
              <w:jc w:val="center"/>
              <w:textAlignment w:val="auto"/>
              <w:rPr>
                <w:rFonts w:hint="eastAsia" w:ascii="宋体" w:hAnsi="宋体" w:eastAsia="宋体" w:cs="宋体"/>
                <w:sz w:val="24"/>
                <w:szCs w:val="24"/>
              </w:rPr>
            </w:pPr>
            <w:r>
              <w:rPr>
                <w:rFonts w:hint="eastAsia" w:ascii="宋体" w:hAnsi="宋体" w:eastAsia="宋体" w:cs="宋体"/>
                <w:color w:val="000000"/>
                <w:sz w:val="24"/>
                <w:szCs w:val="24"/>
              </w:rPr>
              <w:t>2.19</w:t>
            </w:r>
          </w:p>
        </w:tc>
        <w:tc>
          <w:tcPr>
            <w:tcW w:w="3616" w:type="dxa"/>
            <w:tcBorders>
              <w:top w:val="nil"/>
              <w:left w:val="nil"/>
              <w:bottom w:val="single" w:color="000000" w:sz="4" w:space="0"/>
              <w:right w:val="single" w:color="000000" w:sz="4" w:space="0"/>
            </w:tcBorders>
            <w:tcMar>
              <w:top w:w="0" w:type="dxa"/>
              <w:left w:w="105" w:type="dxa"/>
              <w:bottom w:w="0" w:type="dxa"/>
              <w:right w:w="105" w:type="dxa"/>
            </w:tcMar>
            <w:vAlign w:val="top"/>
          </w:tcPr>
          <w:p w14:paraId="1A7F9775">
            <w:pPr>
              <w:pStyle w:val="6"/>
              <w:keepNext w:val="0"/>
              <w:keepLines w:val="0"/>
              <w:pageBreakBefore w:val="0"/>
              <w:widowControl/>
              <w:kinsoku/>
              <w:wordWrap/>
              <w:overflowPunct/>
              <w:topLinePunct w:val="0"/>
              <w:autoSpaceDE/>
              <w:autoSpaceDN/>
              <w:bidi w:val="0"/>
              <w:adjustRightInd/>
              <w:snapToGrid/>
              <w:spacing w:line="500" w:lineRule="exact"/>
              <w:ind w:firstLine="0"/>
              <w:jc w:val="both"/>
              <w:textAlignment w:val="auto"/>
              <w:rPr>
                <w:rFonts w:hint="eastAsia" w:ascii="宋体" w:hAnsi="宋体" w:eastAsia="宋体" w:cs="宋体"/>
                <w:sz w:val="24"/>
                <w:szCs w:val="24"/>
              </w:rPr>
            </w:pPr>
            <w:r>
              <w:rPr>
                <w:rFonts w:hint="eastAsia" w:ascii="宋体" w:hAnsi="宋体" w:eastAsia="宋体" w:cs="宋体"/>
                <w:color w:val="000000"/>
                <w:sz w:val="24"/>
                <w:szCs w:val="24"/>
              </w:rPr>
              <w:t>辅材</w:t>
            </w:r>
          </w:p>
        </w:tc>
        <w:tc>
          <w:tcPr>
            <w:tcW w:w="1455" w:type="dxa"/>
            <w:tcBorders>
              <w:top w:val="nil"/>
              <w:left w:val="nil"/>
              <w:bottom w:val="single" w:color="000000" w:sz="4" w:space="0"/>
              <w:right w:val="single" w:color="000000" w:sz="4" w:space="0"/>
            </w:tcBorders>
            <w:tcMar>
              <w:top w:w="0" w:type="dxa"/>
              <w:left w:w="105" w:type="dxa"/>
              <w:bottom w:w="0" w:type="dxa"/>
              <w:right w:w="105" w:type="dxa"/>
            </w:tcMar>
            <w:vAlign w:val="top"/>
          </w:tcPr>
          <w:p w14:paraId="08169671">
            <w:pPr>
              <w:pStyle w:val="6"/>
              <w:keepNext w:val="0"/>
              <w:keepLines w:val="0"/>
              <w:pageBreakBefore w:val="0"/>
              <w:widowControl/>
              <w:kinsoku/>
              <w:wordWrap/>
              <w:overflowPunct/>
              <w:topLinePunct w:val="0"/>
              <w:autoSpaceDE/>
              <w:autoSpaceDN/>
              <w:bidi w:val="0"/>
              <w:adjustRightInd/>
              <w:snapToGrid/>
              <w:spacing w:line="500" w:lineRule="exact"/>
              <w:ind w:firstLine="0"/>
              <w:jc w:val="center"/>
              <w:textAlignment w:val="auto"/>
              <w:rPr>
                <w:rFonts w:hint="eastAsia" w:ascii="宋体" w:hAnsi="宋体" w:eastAsia="宋体" w:cs="宋体"/>
                <w:sz w:val="24"/>
                <w:szCs w:val="24"/>
              </w:rPr>
            </w:pPr>
            <w:r>
              <w:rPr>
                <w:rFonts w:hint="eastAsia" w:ascii="宋体" w:hAnsi="宋体" w:eastAsia="宋体" w:cs="宋体"/>
                <w:color w:val="000000"/>
                <w:sz w:val="24"/>
                <w:szCs w:val="24"/>
              </w:rPr>
              <w:t>1项</w:t>
            </w:r>
          </w:p>
        </w:tc>
        <w:tc>
          <w:tcPr>
            <w:tcW w:w="2359" w:type="dxa"/>
            <w:tcBorders>
              <w:top w:val="nil"/>
              <w:left w:val="nil"/>
              <w:bottom w:val="single" w:color="000000" w:sz="4" w:space="0"/>
              <w:right w:val="single" w:color="000000" w:sz="4" w:space="0"/>
            </w:tcBorders>
            <w:tcMar>
              <w:top w:w="0" w:type="dxa"/>
              <w:left w:w="105" w:type="dxa"/>
              <w:bottom w:w="0" w:type="dxa"/>
              <w:right w:w="105" w:type="dxa"/>
            </w:tcMar>
            <w:vAlign w:val="top"/>
          </w:tcPr>
          <w:p w14:paraId="204A7619">
            <w:pPr>
              <w:pStyle w:val="6"/>
              <w:keepNext w:val="0"/>
              <w:keepLines w:val="0"/>
              <w:pageBreakBefore w:val="0"/>
              <w:widowControl/>
              <w:kinsoku/>
              <w:wordWrap/>
              <w:overflowPunct/>
              <w:topLinePunct w:val="0"/>
              <w:autoSpaceDE/>
              <w:autoSpaceDN/>
              <w:bidi w:val="0"/>
              <w:adjustRightInd/>
              <w:snapToGrid/>
              <w:spacing w:line="500" w:lineRule="exact"/>
              <w:ind w:firstLine="0"/>
              <w:jc w:val="center"/>
              <w:textAlignment w:val="auto"/>
              <w:rPr>
                <w:rFonts w:hint="eastAsia" w:ascii="宋体" w:hAnsi="宋体" w:eastAsia="宋体" w:cs="宋体"/>
                <w:sz w:val="24"/>
                <w:szCs w:val="24"/>
              </w:rPr>
            </w:pPr>
            <w:r>
              <w:rPr>
                <w:rFonts w:hint="eastAsia" w:ascii="宋体" w:hAnsi="宋体" w:eastAsia="宋体" w:cs="宋体"/>
                <w:color w:val="000000"/>
                <w:sz w:val="24"/>
                <w:szCs w:val="24"/>
              </w:rPr>
              <w:t>0.500000</w:t>
            </w:r>
          </w:p>
        </w:tc>
      </w:tr>
      <w:tr w14:paraId="4BA4CE7C">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99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029308E9">
            <w:pPr>
              <w:pStyle w:val="6"/>
              <w:keepNext w:val="0"/>
              <w:keepLines w:val="0"/>
              <w:pageBreakBefore w:val="0"/>
              <w:widowControl/>
              <w:kinsoku/>
              <w:wordWrap/>
              <w:overflowPunct/>
              <w:topLinePunct w:val="0"/>
              <w:autoSpaceDE/>
              <w:autoSpaceDN/>
              <w:bidi w:val="0"/>
              <w:adjustRightInd/>
              <w:snapToGrid/>
              <w:spacing w:line="500" w:lineRule="exact"/>
              <w:ind w:firstLine="0"/>
              <w:jc w:val="center"/>
              <w:textAlignment w:val="auto"/>
              <w:rPr>
                <w:rFonts w:hint="eastAsia" w:ascii="宋体" w:hAnsi="宋体" w:eastAsia="宋体" w:cs="宋体"/>
                <w:sz w:val="24"/>
                <w:szCs w:val="24"/>
              </w:rPr>
            </w:pPr>
            <w:r>
              <w:rPr>
                <w:rFonts w:hint="eastAsia" w:ascii="宋体" w:hAnsi="宋体" w:eastAsia="宋体" w:cs="宋体"/>
                <w:color w:val="000000"/>
                <w:sz w:val="24"/>
                <w:szCs w:val="24"/>
              </w:rPr>
              <w:t>2.20</w:t>
            </w:r>
          </w:p>
        </w:tc>
        <w:tc>
          <w:tcPr>
            <w:tcW w:w="3616" w:type="dxa"/>
            <w:tcBorders>
              <w:top w:val="nil"/>
              <w:left w:val="nil"/>
              <w:bottom w:val="single" w:color="000000" w:sz="4" w:space="0"/>
              <w:right w:val="single" w:color="000000" w:sz="4" w:space="0"/>
            </w:tcBorders>
            <w:tcMar>
              <w:top w:w="0" w:type="dxa"/>
              <w:left w:w="105" w:type="dxa"/>
              <w:bottom w:w="0" w:type="dxa"/>
              <w:right w:w="105" w:type="dxa"/>
            </w:tcMar>
            <w:vAlign w:val="top"/>
          </w:tcPr>
          <w:p w14:paraId="7261C47A">
            <w:pPr>
              <w:pStyle w:val="6"/>
              <w:keepNext w:val="0"/>
              <w:keepLines w:val="0"/>
              <w:pageBreakBefore w:val="0"/>
              <w:widowControl/>
              <w:kinsoku/>
              <w:wordWrap/>
              <w:overflowPunct/>
              <w:topLinePunct w:val="0"/>
              <w:autoSpaceDE/>
              <w:autoSpaceDN/>
              <w:bidi w:val="0"/>
              <w:adjustRightInd/>
              <w:snapToGrid/>
              <w:spacing w:line="500" w:lineRule="exact"/>
              <w:ind w:firstLine="0"/>
              <w:jc w:val="both"/>
              <w:textAlignment w:val="auto"/>
              <w:rPr>
                <w:rFonts w:hint="eastAsia" w:ascii="宋体" w:hAnsi="宋体" w:eastAsia="宋体" w:cs="宋体"/>
                <w:sz w:val="24"/>
                <w:szCs w:val="24"/>
              </w:rPr>
            </w:pPr>
            <w:r>
              <w:rPr>
                <w:rFonts w:hint="eastAsia" w:ascii="宋体" w:hAnsi="宋体" w:eastAsia="宋体" w:cs="宋体"/>
                <w:color w:val="000000"/>
                <w:sz w:val="24"/>
                <w:szCs w:val="24"/>
              </w:rPr>
              <w:t>网络存储设备</w:t>
            </w:r>
          </w:p>
        </w:tc>
        <w:tc>
          <w:tcPr>
            <w:tcW w:w="1455" w:type="dxa"/>
            <w:tcBorders>
              <w:top w:val="nil"/>
              <w:left w:val="nil"/>
              <w:bottom w:val="single" w:color="000000" w:sz="4" w:space="0"/>
              <w:right w:val="single" w:color="000000" w:sz="4" w:space="0"/>
            </w:tcBorders>
            <w:tcMar>
              <w:top w:w="0" w:type="dxa"/>
              <w:left w:w="105" w:type="dxa"/>
              <w:bottom w:w="0" w:type="dxa"/>
              <w:right w:w="105" w:type="dxa"/>
            </w:tcMar>
            <w:vAlign w:val="top"/>
          </w:tcPr>
          <w:p w14:paraId="06A3389D">
            <w:pPr>
              <w:pStyle w:val="6"/>
              <w:keepNext w:val="0"/>
              <w:keepLines w:val="0"/>
              <w:pageBreakBefore w:val="0"/>
              <w:widowControl/>
              <w:kinsoku/>
              <w:wordWrap/>
              <w:overflowPunct/>
              <w:topLinePunct w:val="0"/>
              <w:autoSpaceDE/>
              <w:autoSpaceDN/>
              <w:bidi w:val="0"/>
              <w:adjustRightInd/>
              <w:snapToGrid/>
              <w:spacing w:line="500" w:lineRule="exact"/>
              <w:ind w:firstLine="0"/>
              <w:jc w:val="center"/>
              <w:textAlignment w:val="auto"/>
              <w:rPr>
                <w:rFonts w:hint="eastAsia" w:ascii="宋体" w:hAnsi="宋体" w:eastAsia="宋体" w:cs="宋体"/>
                <w:sz w:val="24"/>
                <w:szCs w:val="24"/>
              </w:rPr>
            </w:pPr>
            <w:r>
              <w:rPr>
                <w:rFonts w:hint="eastAsia" w:ascii="宋体" w:hAnsi="宋体" w:eastAsia="宋体" w:cs="宋体"/>
                <w:color w:val="000000"/>
                <w:sz w:val="24"/>
                <w:szCs w:val="24"/>
              </w:rPr>
              <w:t>1台</w:t>
            </w:r>
          </w:p>
        </w:tc>
        <w:tc>
          <w:tcPr>
            <w:tcW w:w="2359" w:type="dxa"/>
            <w:tcBorders>
              <w:top w:val="nil"/>
              <w:left w:val="nil"/>
              <w:bottom w:val="single" w:color="000000" w:sz="4" w:space="0"/>
              <w:right w:val="single" w:color="000000" w:sz="4" w:space="0"/>
            </w:tcBorders>
            <w:tcMar>
              <w:top w:w="0" w:type="dxa"/>
              <w:left w:w="105" w:type="dxa"/>
              <w:bottom w:w="0" w:type="dxa"/>
              <w:right w:w="105" w:type="dxa"/>
            </w:tcMar>
            <w:vAlign w:val="top"/>
          </w:tcPr>
          <w:p w14:paraId="6AACF405">
            <w:pPr>
              <w:pStyle w:val="6"/>
              <w:keepNext w:val="0"/>
              <w:keepLines w:val="0"/>
              <w:pageBreakBefore w:val="0"/>
              <w:widowControl/>
              <w:kinsoku/>
              <w:wordWrap/>
              <w:overflowPunct/>
              <w:topLinePunct w:val="0"/>
              <w:autoSpaceDE/>
              <w:autoSpaceDN/>
              <w:bidi w:val="0"/>
              <w:adjustRightInd/>
              <w:snapToGrid/>
              <w:spacing w:line="500" w:lineRule="exact"/>
              <w:ind w:firstLine="0"/>
              <w:jc w:val="center"/>
              <w:textAlignment w:val="auto"/>
              <w:rPr>
                <w:rFonts w:hint="eastAsia" w:ascii="宋体" w:hAnsi="宋体" w:eastAsia="宋体" w:cs="宋体"/>
                <w:sz w:val="24"/>
                <w:szCs w:val="24"/>
              </w:rPr>
            </w:pPr>
            <w:r>
              <w:rPr>
                <w:rFonts w:hint="eastAsia" w:ascii="宋体" w:hAnsi="宋体" w:eastAsia="宋体" w:cs="宋体"/>
                <w:color w:val="000000"/>
                <w:sz w:val="24"/>
                <w:szCs w:val="24"/>
              </w:rPr>
              <w:t>8.000000</w:t>
            </w:r>
          </w:p>
        </w:tc>
      </w:tr>
      <w:tr w14:paraId="242EFF68">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99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60602683">
            <w:pPr>
              <w:pStyle w:val="6"/>
              <w:keepNext w:val="0"/>
              <w:keepLines w:val="0"/>
              <w:pageBreakBefore w:val="0"/>
              <w:widowControl/>
              <w:kinsoku/>
              <w:wordWrap/>
              <w:overflowPunct/>
              <w:topLinePunct w:val="0"/>
              <w:autoSpaceDE/>
              <w:autoSpaceDN/>
              <w:bidi w:val="0"/>
              <w:adjustRightInd/>
              <w:snapToGrid/>
              <w:spacing w:line="500" w:lineRule="exact"/>
              <w:ind w:firstLine="0"/>
              <w:jc w:val="center"/>
              <w:textAlignment w:val="auto"/>
              <w:rPr>
                <w:rFonts w:hint="eastAsia" w:ascii="宋体" w:hAnsi="宋体" w:eastAsia="宋体" w:cs="宋体"/>
                <w:sz w:val="24"/>
                <w:szCs w:val="24"/>
              </w:rPr>
            </w:pPr>
            <w:r>
              <w:rPr>
                <w:rFonts w:hint="eastAsia" w:ascii="宋体" w:hAnsi="宋体" w:eastAsia="宋体" w:cs="宋体"/>
                <w:color w:val="000000"/>
                <w:sz w:val="24"/>
                <w:szCs w:val="24"/>
              </w:rPr>
              <w:t>2.21</w:t>
            </w:r>
          </w:p>
        </w:tc>
        <w:tc>
          <w:tcPr>
            <w:tcW w:w="3616" w:type="dxa"/>
            <w:tcBorders>
              <w:top w:val="nil"/>
              <w:left w:val="nil"/>
              <w:bottom w:val="single" w:color="000000" w:sz="4" w:space="0"/>
              <w:right w:val="single" w:color="000000" w:sz="4" w:space="0"/>
            </w:tcBorders>
            <w:tcMar>
              <w:top w:w="0" w:type="dxa"/>
              <w:left w:w="105" w:type="dxa"/>
              <w:bottom w:w="0" w:type="dxa"/>
              <w:right w:w="105" w:type="dxa"/>
            </w:tcMar>
            <w:vAlign w:val="top"/>
          </w:tcPr>
          <w:p w14:paraId="6772C060">
            <w:pPr>
              <w:pStyle w:val="6"/>
              <w:keepNext w:val="0"/>
              <w:keepLines w:val="0"/>
              <w:pageBreakBefore w:val="0"/>
              <w:widowControl/>
              <w:kinsoku/>
              <w:wordWrap/>
              <w:overflowPunct/>
              <w:topLinePunct w:val="0"/>
              <w:autoSpaceDE/>
              <w:autoSpaceDN/>
              <w:bidi w:val="0"/>
              <w:adjustRightInd/>
              <w:snapToGrid/>
              <w:spacing w:line="500" w:lineRule="exact"/>
              <w:ind w:firstLine="0"/>
              <w:jc w:val="both"/>
              <w:textAlignment w:val="auto"/>
              <w:rPr>
                <w:rFonts w:hint="eastAsia" w:ascii="宋体" w:hAnsi="宋体" w:eastAsia="宋体" w:cs="宋体"/>
                <w:sz w:val="24"/>
                <w:szCs w:val="24"/>
              </w:rPr>
            </w:pPr>
            <w:r>
              <w:rPr>
                <w:rFonts w:hint="eastAsia" w:ascii="宋体" w:hAnsi="宋体" w:eastAsia="宋体" w:cs="宋体"/>
                <w:color w:val="000000"/>
                <w:sz w:val="24"/>
                <w:szCs w:val="24"/>
              </w:rPr>
              <w:t>企业级硬盘</w:t>
            </w:r>
          </w:p>
        </w:tc>
        <w:tc>
          <w:tcPr>
            <w:tcW w:w="1455" w:type="dxa"/>
            <w:tcBorders>
              <w:top w:val="nil"/>
              <w:left w:val="nil"/>
              <w:bottom w:val="single" w:color="000000" w:sz="4" w:space="0"/>
              <w:right w:val="single" w:color="000000" w:sz="4" w:space="0"/>
            </w:tcBorders>
            <w:tcMar>
              <w:top w:w="0" w:type="dxa"/>
              <w:left w:w="105" w:type="dxa"/>
              <w:bottom w:w="0" w:type="dxa"/>
              <w:right w:w="105" w:type="dxa"/>
            </w:tcMar>
            <w:vAlign w:val="top"/>
          </w:tcPr>
          <w:p w14:paraId="318C8D3C">
            <w:pPr>
              <w:pStyle w:val="6"/>
              <w:keepNext w:val="0"/>
              <w:keepLines w:val="0"/>
              <w:pageBreakBefore w:val="0"/>
              <w:widowControl/>
              <w:kinsoku/>
              <w:wordWrap/>
              <w:overflowPunct/>
              <w:topLinePunct w:val="0"/>
              <w:autoSpaceDE/>
              <w:autoSpaceDN/>
              <w:bidi w:val="0"/>
              <w:adjustRightInd/>
              <w:snapToGrid/>
              <w:spacing w:line="500" w:lineRule="exact"/>
              <w:ind w:firstLine="0"/>
              <w:jc w:val="center"/>
              <w:textAlignment w:val="auto"/>
              <w:rPr>
                <w:rFonts w:hint="eastAsia" w:ascii="宋体" w:hAnsi="宋体" w:eastAsia="宋体" w:cs="宋体"/>
                <w:sz w:val="24"/>
                <w:szCs w:val="24"/>
              </w:rPr>
            </w:pPr>
            <w:r>
              <w:rPr>
                <w:rFonts w:hint="eastAsia" w:ascii="宋体" w:hAnsi="宋体" w:eastAsia="宋体" w:cs="宋体"/>
                <w:color w:val="000000"/>
                <w:sz w:val="24"/>
                <w:szCs w:val="24"/>
              </w:rPr>
              <w:t>23块</w:t>
            </w:r>
          </w:p>
        </w:tc>
        <w:tc>
          <w:tcPr>
            <w:tcW w:w="2359" w:type="dxa"/>
            <w:tcBorders>
              <w:top w:val="nil"/>
              <w:left w:val="nil"/>
              <w:bottom w:val="single" w:color="000000" w:sz="4" w:space="0"/>
              <w:right w:val="single" w:color="000000" w:sz="4" w:space="0"/>
            </w:tcBorders>
            <w:tcMar>
              <w:top w:w="0" w:type="dxa"/>
              <w:left w:w="105" w:type="dxa"/>
              <w:bottom w:w="0" w:type="dxa"/>
              <w:right w:w="105" w:type="dxa"/>
            </w:tcMar>
            <w:vAlign w:val="top"/>
          </w:tcPr>
          <w:p w14:paraId="4C87F85B">
            <w:pPr>
              <w:pStyle w:val="6"/>
              <w:keepNext w:val="0"/>
              <w:keepLines w:val="0"/>
              <w:pageBreakBefore w:val="0"/>
              <w:widowControl/>
              <w:kinsoku/>
              <w:wordWrap/>
              <w:overflowPunct/>
              <w:topLinePunct w:val="0"/>
              <w:autoSpaceDE/>
              <w:autoSpaceDN/>
              <w:bidi w:val="0"/>
              <w:adjustRightInd/>
              <w:snapToGrid/>
              <w:spacing w:line="500" w:lineRule="exact"/>
              <w:ind w:firstLine="0"/>
              <w:jc w:val="center"/>
              <w:textAlignment w:val="auto"/>
              <w:rPr>
                <w:rFonts w:hint="eastAsia" w:ascii="宋体" w:hAnsi="宋体" w:eastAsia="宋体" w:cs="宋体"/>
                <w:sz w:val="24"/>
                <w:szCs w:val="24"/>
              </w:rPr>
            </w:pPr>
            <w:r>
              <w:rPr>
                <w:rFonts w:hint="eastAsia" w:ascii="宋体" w:hAnsi="宋体" w:eastAsia="宋体" w:cs="宋体"/>
                <w:color w:val="000000"/>
                <w:sz w:val="24"/>
                <w:szCs w:val="24"/>
              </w:rPr>
              <w:t>9.200000</w:t>
            </w:r>
          </w:p>
        </w:tc>
      </w:tr>
      <w:tr w14:paraId="21EABB1E">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99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548F300E">
            <w:pPr>
              <w:pStyle w:val="6"/>
              <w:keepNext w:val="0"/>
              <w:keepLines w:val="0"/>
              <w:pageBreakBefore w:val="0"/>
              <w:widowControl/>
              <w:kinsoku/>
              <w:wordWrap/>
              <w:overflowPunct/>
              <w:topLinePunct w:val="0"/>
              <w:autoSpaceDE/>
              <w:autoSpaceDN/>
              <w:bidi w:val="0"/>
              <w:adjustRightInd/>
              <w:snapToGrid/>
              <w:spacing w:line="500" w:lineRule="exact"/>
              <w:ind w:firstLine="0"/>
              <w:jc w:val="center"/>
              <w:textAlignment w:val="auto"/>
              <w:rPr>
                <w:rFonts w:hint="eastAsia" w:ascii="宋体" w:hAnsi="宋体" w:eastAsia="宋体" w:cs="宋体"/>
                <w:sz w:val="24"/>
                <w:szCs w:val="24"/>
              </w:rPr>
            </w:pPr>
            <w:r>
              <w:rPr>
                <w:rFonts w:hint="eastAsia" w:ascii="宋体" w:hAnsi="宋体" w:eastAsia="宋体" w:cs="宋体"/>
                <w:color w:val="000000"/>
                <w:sz w:val="24"/>
                <w:szCs w:val="24"/>
              </w:rPr>
              <w:t>2.22</w:t>
            </w:r>
          </w:p>
        </w:tc>
        <w:tc>
          <w:tcPr>
            <w:tcW w:w="3616" w:type="dxa"/>
            <w:tcBorders>
              <w:top w:val="nil"/>
              <w:left w:val="nil"/>
              <w:bottom w:val="single" w:color="000000" w:sz="4" w:space="0"/>
              <w:right w:val="single" w:color="000000" w:sz="4" w:space="0"/>
            </w:tcBorders>
            <w:tcMar>
              <w:top w:w="0" w:type="dxa"/>
              <w:left w:w="105" w:type="dxa"/>
              <w:bottom w:w="0" w:type="dxa"/>
              <w:right w:w="105" w:type="dxa"/>
            </w:tcMar>
            <w:vAlign w:val="top"/>
          </w:tcPr>
          <w:p w14:paraId="36134B08">
            <w:pPr>
              <w:pStyle w:val="6"/>
              <w:keepNext w:val="0"/>
              <w:keepLines w:val="0"/>
              <w:pageBreakBefore w:val="0"/>
              <w:widowControl/>
              <w:kinsoku/>
              <w:wordWrap/>
              <w:overflowPunct/>
              <w:topLinePunct w:val="0"/>
              <w:autoSpaceDE/>
              <w:autoSpaceDN/>
              <w:bidi w:val="0"/>
              <w:adjustRightInd/>
              <w:snapToGrid/>
              <w:spacing w:line="500" w:lineRule="exact"/>
              <w:ind w:firstLine="0"/>
              <w:jc w:val="both"/>
              <w:textAlignment w:val="auto"/>
              <w:rPr>
                <w:rFonts w:hint="eastAsia" w:ascii="宋体" w:hAnsi="宋体" w:eastAsia="宋体" w:cs="宋体"/>
                <w:sz w:val="24"/>
                <w:szCs w:val="24"/>
              </w:rPr>
            </w:pPr>
            <w:r>
              <w:rPr>
                <w:rFonts w:hint="eastAsia" w:ascii="宋体" w:hAnsi="宋体" w:eastAsia="宋体" w:cs="宋体"/>
                <w:color w:val="000000"/>
                <w:sz w:val="24"/>
                <w:szCs w:val="24"/>
              </w:rPr>
              <w:t>智能分析录像机</w:t>
            </w:r>
          </w:p>
        </w:tc>
        <w:tc>
          <w:tcPr>
            <w:tcW w:w="1455" w:type="dxa"/>
            <w:tcBorders>
              <w:top w:val="nil"/>
              <w:left w:val="nil"/>
              <w:bottom w:val="single" w:color="000000" w:sz="4" w:space="0"/>
              <w:right w:val="single" w:color="000000" w:sz="4" w:space="0"/>
            </w:tcBorders>
            <w:tcMar>
              <w:top w:w="0" w:type="dxa"/>
              <w:left w:w="105" w:type="dxa"/>
              <w:bottom w:w="0" w:type="dxa"/>
              <w:right w:w="105" w:type="dxa"/>
            </w:tcMar>
            <w:vAlign w:val="top"/>
          </w:tcPr>
          <w:p w14:paraId="1945FFC7">
            <w:pPr>
              <w:pStyle w:val="6"/>
              <w:keepNext w:val="0"/>
              <w:keepLines w:val="0"/>
              <w:pageBreakBefore w:val="0"/>
              <w:widowControl/>
              <w:kinsoku/>
              <w:wordWrap/>
              <w:overflowPunct/>
              <w:topLinePunct w:val="0"/>
              <w:autoSpaceDE/>
              <w:autoSpaceDN/>
              <w:bidi w:val="0"/>
              <w:adjustRightInd/>
              <w:snapToGrid/>
              <w:spacing w:line="500" w:lineRule="exact"/>
              <w:ind w:firstLine="0"/>
              <w:jc w:val="center"/>
              <w:textAlignment w:val="auto"/>
              <w:rPr>
                <w:rFonts w:hint="eastAsia" w:ascii="宋体" w:hAnsi="宋体" w:eastAsia="宋体" w:cs="宋体"/>
                <w:sz w:val="24"/>
                <w:szCs w:val="24"/>
              </w:rPr>
            </w:pPr>
            <w:r>
              <w:rPr>
                <w:rFonts w:hint="eastAsia" w:ascii="宋体" w:hAnsi="宋体" w:eastAsia="宋体" w:cs="宋体"/>
                <w:color w:val="000000"/>
                <w:sz w:val="24"/>
                <w:szCs w:val="24"/>
              </w:rPr>
              <w:t>1台</w:t>
            </w:r>
          </w:p>
        </w:tc>
        <w:tc>
          <w:tcPr>
            <w:tcW w:w="2359" w:type="dxa"/>
            <w:tcBorders>
              <w:top w:val="nil"/>
              <w:left w:val="nil"/>
              <w:bottom w:val="single" w:color="000000" w:sz="4" w:space="0"/>
              <w:right w:val="single" w:color="000000" w:sz="4" w:space="0"/>
            </w:tcBorders>
            <w:tcMar>
              <w:top w:w="0" w:type="dxa"/>
              <w:left w:w="105" w:type="dxa"/>
              <w:bottom w:w="0" w:type="dxa"/>
              <w:right w:w="105" w:type="dxa"/>
            </w:tcMar>
            <w:vAlign w:val="top"/>
          </w:tcPr>
          <w:p w14:paraId="1D283E84">
            <w:pPr>
              <w:pStyle w:val="6"/>
              <w:keepNext w:val="0"/>
              <w:keepLines w:val="0"/>
              <w:pageBreakBefore w:val="0"/>
              <w:widowControl/>
              <w:kinsoku/>
              <w:wordWrap/>
              <w:overflowPunct/>
              <w:topLinePunct w:val="0"/>
              <w:autoSpaceDE/>
              <w:autoSpaceDN/>
              <w:bidi w:val="0"/>
              <w:adjustRightInd/>
              <w:snapToGrid/>
              <w:spacing w:line="500" w:lineRule="exact"/>
              <w:ind w:firstLine="0"/>
              <w:jc w:val="center"/>
              <w:textAlignment w:val="auto"/>
              <w:rPr>
                <w:rFonts w:hint="eastAsia" w:ascii="宋体" w:hAnsi="宋体" w:eastAsia="宋体" w:cs="宋体"/>
                <w:sz w:val="24"/>
                <w:szCs w:val="24"/>
              </w:rPr>
            </w:pPr>
            <w:r>
              <w:rPr>
                <w:rFonts w:hint="eastAsia" w:ascii="宋体" w:hAnsi="宋体" w:eastAsia="宋体" w:cs="宋体"/>
                <w:color w:val="000000"/>
                <w:sz w:val="24"/>
                <w:szCs w:val="24"/>
              </w:rPr>
              <w:t>2.500000</w:t>
            </w:r>
          </w:p>
        </w:tc>
      </w:tr>
      <w:tr w14:paraId="188943BE">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99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77D309D0">
            <w:pPr>
              <w:pStyle w:val="6"/>
              <w:keepNext w:val="0"/>
              <w:keepLines w:val="0"/>
              <w:pageBreakBefore w:val="0"/>
              <w:widowControl/>
              <w:kinsoku/>
              <w:wordWrap/>
              <w:overflowPunct/>
              <w:topLinePunct w:val="0"/>
              <w:autoSpaceDE/>
              <w:autoSpaceDN/>
              <w:bidi w:val="0"/>
              <w:adjustRightInd/>
              <w:snapToGrid/>
              <w:spacing w:line="500" w:lineRule="exact"/>
              <w:ind w:firstLine="0"/>
              <w:jc w:val="center"/>
              <w:textAlignment w:val="auto"/>
              <w:rPr>
                <w:rFonts w:hint="eastAsia" w:ascii="宋体" w:hAnsi="宋体" w:eastAsia="宋体" w:cs="宋体"/>
                <w:sz w:val="24"/>
                <w:szCs w:val="24"/>
              </w:rPr>
            </w:pPr>
            <w:r>
              <w:rPr>
                <w:rFonts w:hint="eastAsia" w:ascii="宋体" w:hAnsi="宋体" w:eastAsia="宋体" w:cs="宋体"/>
                <w:color w:val="000000"/>
                <w:sz w:val="24"/>
                <w:szCs w:val="24"/>
              </w:rPr>
              <w:t>2.23</w:t>
            </w:r>
          </w:p>
        </w:tc>
        <w:tc>
          <w:tcPr>
            <w:tcW w:w="3616" w:type="dxa"/>
            <w:tcBorders>
              <w:top w:val="nil"/>
              <w:left w:val="nil"/>
              <w:bottom w:val="single" w:color="000000" w:sz="4" w:space="0"/>
              <w:right w:val="single" w:color="000000" w:sz="4" w:space="0"/>
            </w:tcBorders>
            <w:tcMar>
              <w:top w:w="0" w:type="dxa"/>
              <w:left w:w="105" w:type="dxa"/>
              <w:bottom w:w="0" w:type="dxa"/>
              <w:right w:w="105" w:type="dxa"/>
            </w:tcMar>
            <w:vAlign w:val="top"/>
          </w:tcPr>
          <w:p w14:paraId="74995D50">
            <w:pPr>
              <w:pStyle w:val="6"/>
              <w:keepNext w:val="0"/>
              <w:keepLines w:val="0"/>
              <w:pageBreakBefore w:val="0"/>
              <w:widowControl/>
              <w:kinsoku/>
              <w:wordWrap/>
              <w:overflowPunct/>
              <w:topLinePunct w:val="0"/>
              <w:autoSpaceDE/>
              <w:autoSpaceDN/>
              <w:bidi w:val="0"/>
              <w:adjustRightInd/>
              <w:snapToGrid/>
              <w:spacing w:line="500" w:lineRule="exact"/>
              <w:ind w:firstLine="0"/>
              <w:jc w:val="both"/>
              <w:textAlignment w:val="auto"/>
              <w:rPr>
                <w:rFonts w:hint="eastAsia" w:ascii="宋体" w:hAnsi="宋体" w:eastAsia="宋体" w:cs="宋体"/>
                <w:sz w:val="24"/>
                <w:szCs w:val="24"/>
              </w:rPr>
            </w:pPr>
            <w:r>
              <w:rPr>
                <w:rFonts w:hint="eastAsia" w:ascii="宋体" w:hAnsi="宋体" w:eastAsia="宋体" w:cs="宋体"/>
                <w:color w:val="000000"/>
                <w:sz w:val="24"/>
                <w:szCs w:val="24"/>
              </w:rPr>
              <w:t>管理平台</w:t>
            </w:r>
          </w:p>
        </w:tc>
        <w:tc>
          <w:tcPr>
            <w:tcW w:w="1455" w:type="dxa"/>
            <w:tcBorders>
              <w:top w:val="nil"/>
              <w:left w:val="nil"/>
              <w:bottom w:val="single" w:color="000000" w:sz="4" w:space="0"/>
              <w:right w:val="single" w:color="000000" w:sz="4" w:space="0"/>
            </w:tcBorders>
            <w:tcMar>
              <w:top w:w="0" w:type="dxa"/>
              <w:left w:w="105" w:type="dxa"/>
              <w:bottom w:w="0" w:type="dxa"/>
              <w:right w:w="105" w:type="dxa"/>
            </w:tcMar>
            <w:vAlign w:val="top"/>
          </w:tcPr>
          <w:p w14:paraId="2E4EBEFF">
            <w:pPr>
              <w:pStyle w:val="6"/>
              <w:keepNext w:val="0"/>
              <w:keepLines w:val="0"/>
              <w:pageBreakBefore w:val="0"/>
              <w:widowControl/>
              <w:kinsoku/>
              <w:wordWrap/>
              <w:overflowPunct/>
              <w:topLinePunct w:val="0"/>
              <w:autoSpaceDE/>
              <w:autoSpaceDN/>
              <w:bidi w:val="0"/>
              <w:adjustRightInd/>
              <w:snapToGrid/>
              <w:spacing w:line="500" w:lineRule="exact"/>
              <w:ind w:firstLine="0"/>
              <w:jc w:val="center"/>
              <w:textAlignment w:val="auto"/>
              <w:rPr>
                <w:rFonts w:hint="eastAsia" w:ascii="宋体" w:hAnsi="宋体" w:eastAsia="宋体" w:cs="宋体"/>
                <w:sz w:val="24"/>
                <w:szCs w:val="24"/>
              </w:rPr>
            </w:pPr>
            <w:r>
              <w:rPr>
                <w:rFonts w:hint="eastAsia" w:ascii="宋体" w:hAnsi="宋体" w:eastAsia="宋体" w:cs="宋体"/>
                <w:color w:val="000000"/>
                <w:sz w:val="24"/>
                <w:szCs w:val="24"/>
              </w:rPr>
              <w:t>1台</w:t>
            </w:r>
          </w:p>
        </w:tc>
        <w:tc>
          <w:tcPr>
            <w:tcW w:w="2359" w:type="dxa"/>
            <w:tcBorders>
              <w:top w:val="nil"/>
              <w:left w:val="nil"/>
              <w:bottom w:val="single" w:color="000000" w:sz="4" w:space="0"/>
              <w:right w:val="single" w:color="000000" w:sz="4" w:space="0"/>
            </w:tcBorders>
            <w:tcMar>
              <w:top w:w="0" w:type="dxa"/>
              <w:left w:w="105" w:type="dxa"/>
              <w:bottom w:w="0" w:type="dxa"/>
              <w:right w:w="105" w:type="dxa"/>
            </w:tcMar>
            <w:vAlign w:val="top"/>
          </w:tcPr>
          <w:p w14:paraId="1C44153A">
            <w:pPr>
              <w:pStyle w:val="6"/>
              <w:keepNext w:val="0"/>
              <w:keepLines w:val="0"/>
              <w:pageBreakBefore w:val="0"/>
              <w:widowControl/>
              <w:kinsoku/>
              <w:wordWrap/>
              <w:overflowPunct/>
              <w:topLinePunct w:val="0"/>
              <w:autoSpaceDE/>
              <w:autoSpaceDN/>
              <w:bidi w:val="0"/>
              <w:adjustRightInd/>
              <w:snapToGrid/>
              <w:spacing w:line="500" w:lineRule="exact"/>
              <w:ind w:firstLine="0"/>
              <w:jc w:val="center"/>
              <w:textAlignment w:val="auto"/>
              <w:rPr>
                <w:rFonts w:hint="eastAsia" w:ascii="宋体" w:hAnsi="宋体" w:eastAsia="宋体" w:cs="宋体"/>
                <w:sz w:val="24"/>
                <w:szCs w:val="24"/>
              </w:rPr>
            </w:pPr>
            <w:r>
              <w:rPr>
                <w:rFonts w:hint="eastAsia" w:ascii="宋体" w:hAnsi="宋体" w:eastAsia="宋体" w:cs="宋体"/>
                <w:color w:val="000000"/>
                <w:sz w:val="24"/>
                <w:szCs w:val="24"/>
              </w:rPr>
              <w:t>0.250000</w:t>
            </w:r>
          </w:p>
        </w:tc>
      </w:tr>
      <w:tr w14:paraId="303686EF">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99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11A8D950">
            <w:pPr>
              <w:pStyle w:val="6"/>
              <w:keepNext w:val="0"/>
              <w:keepLines w:val="0"/>
              <w:pageBreakBefore w:val="0"/>
              <w:widowControl/>
              <w:kinsoku/>
              <w:wordWrap/>
              <w:overflowPunct/>
              <w:topLinePunct w:val="0"/>
              <w:autoSpaceDE/>
              <w:autoSpaceDN/>
              <w:bidi w:val="0"/>
              <w:adjustRightInd/>
              <w:snapToGrid/>
              <w:spacing w:line="500" w:lineRule="exact"/>
              <w:ind w:firstLine="0"/>
              <w:jc w:val="center"/>
              <w:textAlignment w:val="auto"/>
              <w:rPr>
                <w:rFonts w:hint="eastAsia" w:ascii="宋体" w:hAnsi="宋体" w:eastAsia="宋体" w:cs="宋体"/>
                <w:sz w:val="24"/>
                <w:szCs w:val="24"/>
              </w:rPr>
            </w:pPr>
            <w:r>
              <w:rPr>
                <w:rFonts w:hint="eastAsia" w:ascii="宋体" w:hAnsi="宋体" w:eastAsia="宋体" w:cs="宋体"/>
                <w:color w:val="000000"/>
                <w:sz w:val="24"/>
                <w:szCs w:val="24"/>
              </w:rPr>
              <w:t>2.24</w:t>
            </w:r>
          </w:p>
        </w:tc>
        <w:tc>
          <w:tcPr>
            <w:tcW w:w="3616" w:type="dxa"/>
            <w:tcBorders>
              <w:top w:val="nil"/>
              <w:left w:val="nil"/>
              <w:bottom w:val="single" w:color="000000" w:sz="4" w:space="0"/>
              <w:right w:val="single" w:color="000000" w:sz="4" w:space="0"/>
            </w:tcBorders>
            <w:tcMar>
              <w:top w:w="0" w:type="dxa"/>
              <w:left w:w="105" w:type="dxa"/>
              <w:bottom w:w="0" w:type="dxa"/>
              <w:right w:w="105" w:type="dxa"/>
            </w:tcMar>
            <w:vAlign w:val="top"/>
          </w:tcPr>
          <w:p w14:paraId="382319DC">
            <w:pPr>
              <w:pStyle w:val="6"/>
              <w:keepNext w:val="0"/>
              <w:keepLines w:val="0"/>
              <w:pageBreakBefore w:val="0"/>
              <w:widowControl/>
              <w:kinsoku/>
              <w:wordWrap/>
              <w:overflowPunct/>
              <w:topLinePunct w:val="0"/>
              <w:autoSpaceDE/>
              <w:autoSpaceDN/>
              <w:bidi w:val="0"/>
              <w:adjustRightInd/>
              <w:snapToGrid/>
              <w:spacing w:line="500" w:lineRule="exact"/>
              <w:ind w:firstLine="0"/>
              <w:jc w:val="both"/>
              <w:textAlignment w:val="auto"/>
              <w:rPr>
                <w:rFonts w:hint="eastAsia" w:ascii="宋体" w:hAnsi="宋体" w:eastAsia="宋体" w:cs="宋体"/>
                <w:sz w:val="24"/>
                <w:szCs w:val="24"/>
              </w:rPr>
            </w:pPr>
            <w:r>
              <w:rPr>
                <w:rFonts w:hint="eastAsia" w:ascii="宋体" w:hAnsi="宋体" w:eastAsia="宋体" w:cs="宋体"/>
                <w:color w:val="000000"/>
                <w:sz w:val="24"/>
                <w:szCs w:val="24"/>
              </w:rPr>
              <w:t>视频通道授权</w:t>
            </w:r>
          </w:p>
        </w:tc>
        <w:tc>
          <w:tcPr>
            <w:tcW w:w="1455" w:type="dxa"/>
            <w:tcBorders>
              <w:top w:val="nil"/>
              <w:left w:val="nil"/>
              <w:bottom w:val="single" w:color="000000" w:sz="4" w:space="0"/>
              <w:right w:val="single" w:color="000000" w:sz="4" w:space="0"/>
            </w:tcBorders>
            <w:tcMar>
              <w:top w:w="0" w:type="dxa"/>
              <w:left w:w="105" w:type="dxa"/>
              <w:bottom w:w="0" w:type="dxa"/>
              <w:right w:w="105" w:type="dxa"/>
            </w:tcMar>
            <w:vAlign w:val="top"/>
          </w:tcPr>
          <w:p w14:paraId="20029B7D">
            <w:pPr>
              <w:pStyle w:val="6"/>
              <w:keepNext w:val="0"/>
              <w:keepLines w:val="0"/>
              <w:pageBreakBefore w:val="0"/>
              <w:widowControl/>
              <w:kinsoku/>
              <w:wordWrap/>
              <w:overflowPunct/>
              <w:topLinePunct w:val="0"/>
              <w:autoSpaceDE/>
              <w:autoSpaceDN/>
              <w:bidi w:val="0"/>
              <w:adjustRightInd/>
              <w:snapToGrid/>
              <w:spacing w:line="500" w:lineRule="exact"/>
              <w:ind w:firstLine="0"/>
              <w:jc w:val="center"/>
              <w:textAlignment w:val="auto"/>
              <w:rPr>
                <w:rFonts w:hint="eastAsia" w:ascii="宋体" w:hAnsi="宋体" w:eastAsia="宋体" w:cs="宋体"/>
                <w:sz w:val="24"/>
                <w:szCs w:val="24"/>
              </w:rPr>
            </w:pPr>
            <w:r>
              <w:rPr>
                <w:rFonts w:hint="eastAsia" w:ascii="宋体" w:hAnsi="宋体" w:eastAsia="宋体" w:cs="宋体"/>
                <w:color w:val="000000"/>
                <w:sz w:val="24"/>
                <w:szCs w:val="24"/>
              </w:rPr>
              <w:t>400台</w:t>
            </w:r>
          </w:p>
        </w:tc>
        <w:tc>
          <w:tcPr>
            <w:tcW w:w="2359" w:type="dxa"/>
            <w:tcBorders>
              <w:top w:val="nil"/>
              <w:left w:val="nil"/>
              <w:bottom w:val="single" w:color="000000" w:sz="4" w:space="0"/>
              <w:right w:val="single" w:color="000000" w:sz="4" w:space="0"/>
            </w:tcBorders>
            <w:tcMar>
              <w:top w:w="0" w:type="dxa"/>
              <w:left w:w="105" w:type="dxa"/>
              <w:bottom w:w="0" w:type="dxa"/>
              <w:right w:w="105" w:type="dxa"/>
            </w:tcMar>
            <w:vAlign w:val="top"/>
          </w:tcPr>
          <w:p w14:paraId="4E78AFED">
            <w:pPr>
              <w:pStyle w:val="6"/>
              <w:keepNext w:val="0"/>
              <w:keepLines w:val="0"/>
              <w:pageBreakBefore w:val="0"/>
              <w:widowControl/>
              <w:kinsoku/>
              <w:wordWrap/>
              <w:overflowPunct/>
              <w:topLinePunct w:val="0"/>
              <w:autoSpaceDE/>
              <w:autoSpaceDN/>
              <w:bidi w:val="0"/>
              <w:adjustRightInd/>
              <w:snapToGrid/>
              <w:spacing w:line="500" w:lineRule="exact"/>
              <w:ind w:firstLine="0"/>
              <w:jc w:val="center"/>
              <w:textAlignment w:val="auto"/>
              <w:rPr>
                <w:rFonts w:hint="eastAsia" w:ascii="宋体" w:hAnsi="宋体" w:eastAsia="宋体" w:cs="宋体"/>
                <w:sz w:val="24"/>
                <w:szCs w:val="24"/>
              </w:rPr>
            </w:pPr>
            <w:r>
              <w:rPr>
                <w:rFonts w:hint="eastAsia" w:ascii="宋体" w:hAnsi="宋体" w:eastAsia="宋体" w:cs="宋体"/>
                <w:color w:val="000000"/>
                <w:sz w:val="24"/>
                <w:szCs w:val="24"/>
              </w:rPr>
              <w:t>1.200000</w:t>
            </w:r>
          </w:p>
        </w:tc>
      </w:tr>
      <w:tr w14:paraId="62C9BA0D">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99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69A466FF">
            <w:pPr>
              <w:pStyle w:val="6"/>
              <w:keepNext w:val="0"/>
              <w:keepLines w:val="0"/>
              <w:pageBreakBefore w:val="0"/>
              <w:widowControl/>
              <w:kinsoku/>
              <w:wordWrap/>
              <w:overflowPunct/>
              <w:topLinePunct w:val="0"/>
              <w:autoSpaceDE/>
              <w:autoSpaceDN/>
              <w:bidi w:val="0"/>
              <w:adjustRightInd/>
              <w:snapToGrid/>
              <w:spacing w:line="500" w:lineRule="exact"/>
              <w:ind w:firstLine="0"/>
              <w:jc w:val="center"/>
              <w:textAlignment w:val="auto"/>
              <w:rPr>
                <w:rFonts w:hint="eastAsia" w:ascii="宋体" w:hAnsi="宋体" w:eastAsia="宋体" w:cs="宋体"/>
                <w:sz w:val="24"/>
                <w:szCs w:val="24"/>
              </w:rPr>
            </w:pPr>
            <w:r>
              <w:rPr>
                <w:rFonts w:hint="eastAsia" w:ascii="宋体" w:hAnsi="宋体" w:eastAsia="宋体" w:cs="宋体"/>
                <w:color w:val="000000"/>
                <w:sz w:val="24"/>
                <w:szCs w:val="24"/>
              </w:rPr>
              <w:t>2.25</w:t>
            </w:r>
          </w:p>
        </w:tc>
        <w:tc>
          <w:tcPr>
            <w:tcW w:w="3616" w:type="dxa"/>
            <w:tcBorders>
              <w:top w:val="nil"/>
              <w:left w:val="nil"/>
              <w:bottom w:val="single" w:color="000000" w:sz="4" w:space="0"/>
              <w:right w:val="single" w:color="000000" w:sz="4" w:space="0"/>
            </w:tcBorders>
            <w:tcMar>
              <w:top w:w="0" w:type="dxa"/>
              <w:left w:w="105" w:type="dxa"/>
              <w:bottom w:w="0" w:type="dxa"/>
              <w:right w:w="105" w:type="dxa"/>
            </w:tcMar>
            <w:vAlign w:val="top"/>
          </w:tcPr>
          <w:p w14:paraId="1045ED8D">
            <w:pPr>
              <w:pStyle w:val="6"/>
              <w:keepNext w:val="0"/>
              <w:keepLines w:val="0"/>
              <w:pageBreakBefore w:val="0"/>
              <w:widowControl/>
              <w:kinsoku/>
              <w:wordWrap/>
              <w:overflowPunct/>
              <w:topLinePunct w:val="0"/>
              <w:autoSpaceDE/>
              <w:autoSpaceDN/>
              <w:bidi w:val="0"/>
              <w:adjustRightInd/>
              <w:snapToGrid/>
              <w:spacing w:line="500" w:lineRule="exact"/>
              <w:ind w:firstLine="0"/>
              <w:jc w:val="both"/>
              <w:textAlignment w:val="auto"/>
              <w:rPr>
                <w:rFonts w:hint="eastAsia" w:ascii="宋体" w:hAnsi="宋体" w:eastAsia="宋体" w:cs="宋体"/>
                <w:sz w:val="24"/>
                <w:szCs w:val="24"/>
              </w:rPr>
            </w:pPr>
            <w:r>
              <w:rPr>
                <w:rFonts w:hint="eastAsia" w:ascii="宋体" w:hAnsi="宋体" w:eastAsia="宋体" w:cs="宋体"/>
                <w:color w:val="000000"/>
                <w:sz w:val="24"/>
                <w:szCs w:val="24"/>
              </w:rPr>
              <w:t>运维通道授权</w:t>
            </w:r>
          </w:p>
        </w:tc>
        <w:tc>
          <w:tcPr>
            <w:tcW w:w="1455" w:type="dxa"/>
            <w:tcBorders>
              <w:top w:val="nil"/>
              <w:left w:val="nil"/>
              <w:bottom w:val="single" w:color="000000" w:sz="4" w:space="0"/>
              <w:right w:val="single" w:color="000000" w:sz="4" w:space="0"/>
            </w:tcBorders>
            <w:tcMar>
              <w:top w:w="0" w:type="dxa"/>
              <w:left w:w="105" w:type="dxa"/>
              <w:bottom w:w="0" w:type="dxa"/>
              <w:right w:w="105" w:type="dxa"/>
            </w:tcMar>
            <w:vAlign w:val="top"/>
          </w:tcPr>
          <w:p w14:paraId="3648E8AF">
            <w:pPr>
              <w:pStyle w:val="6"/>
              <w:keepNext w:val="0"/>
              <w:keepLines w:val="0"/>
              <w:pageBreakBefore w:val="0"/>
              <w:widowControl/>
              <w:kinsoku/>
              <w:wordWrap/>
              <w:overflowPunct/>
              <w:topLinePunct w:val="0"/>
              <w:autoSpaceDE/>
              <w:autoSpaceDN/>
              <w:bidi w:val="0"/>
              <w:adjustRightInd/>
              <w:snapToGrid/>
              <w:spacing w:line="500" w:lineRule="exact"/>
              <w:ind w:firstLine="0"/>
              <w:jc w:val="center"/>
              <w:textAlignment w:val="auto"/>
              <w:rPr>
                <w:rFonts w:hint="eastAsia" w:ascii="宋体" w:hAnsi="宋体" w:eastAsia="宋体" w:cs="宋体"/>
                <w:sz w:val="24"/>
                <w:szCs w:val="24"/>
              </w:rPr>
            </w:pPr>
            <w:r>
              <w:rPr>
                <w:rFonts w:hint="eastAsia" w:ascii="宋体" w:hAnsi="宋体" w:eastAsia="宋体" w:cs="宋体"/>
                <w:color w:val="000000"/>
                <w:sz w:val="24"/>
                <w:szCs w:val="24"/>
              </w:rPr>
              <w:t>400台</w:t>
            </w:r>
          </w:p>
        </w:tc>
        <w:tc>
          <w:tcPr>
            <w:tcW w:w="2359" w:type="dxa"/>
            <w:tcBorders>
              <w:top w:val="nil"/>
              <w:left w:val="nil"/>
              <w:bottom w:val="single" w:color="000000" w:sz="4" w:space="0"/>
              <w:right w:val="single" w:color="000000" w:sz="4" w:space="0"/>
            </w:tcBorders>
            <w:tcMar>
              <w:top w:w="0" w:type="dxa"/>
              <w:left w:w="105" w:type="dxa"/>
              <w:bottom w:w="0" w:type="dxa"/>
              <w:right w:w="105" w:type="dxa"/>
            </w:tcMar>
            <w:vAlign w:val="top"/>
          </w:tcPr>
          <w:p w14:paraId="5A7363B0">
            <w:pPr>
              <w:pStyle w:val="6"/>
              <w:keepNext w:val="0"/>
              <w:keepLines w:val="0"/>
              <w:pageBreakBefore w:val="0"/>
              <w:widowControl/>
              <w:kinsoku/>
              <w:wordWrap/>
              <w:overflowPunct/>
              <w:topLinePunct w:val="0"/>
              <w:autoSpaceDE/>
              <w:autoSpaceDN/>
              <w:bidi w:val="0"/>
              <w:adjustRightInd/>
              <w:snapToGrid/>
              <w:spacing w:line="500" w:lineRule="exact"/>
              <w:ind w:firstLine="0"/>
              <w:jc w:val="center"/>
              <w:textAlignment w:val="auto"/>
              <w:rPr>
                <w:rFonts w:hint="eastAsia" w:ascii="宋体" w:hAnsi="宋体" w:eastAsia="宋体" w:cs="宋体"/>
                <w:sz w:val="24"/>
                <w:szCs w:val="24"/>
              </w:rPr>
            </w:pPr>
            <w:r>
              <w:rPr>
                <w:rFonts w:hint="eastAsia" w:ascii="宋体" w:hAnsi="宋体" w:eastAsia="宋体" w:cs="宋体"/>
                <w:color w:val="000000"/>
                <w:sz w:val="24"/>
                <w:szCs w:val="24"/>
              </w:rPr>
              <w:t>0.600000</w:t>
            </w:r>
          </w:p>
        </w:tc>
      </w:tr>
      <w:tr w14:paraId="42E56B47">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99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1CD8C04">
            <w:pPr>
              <w:pStyle w:val="6"/>
              <w:keepNext w:val="0"/>
              <w:keepLines w:val="0"/>
              <w:pageBreakBefore w:val="0"/>
              <w:widowControl/>
              <w:kinsoku/>
              <w:wordWrap/>
              <w:overflowPunct/>
              <w:topLinePunct w:val="0"/>
              <w:autoSpaceDE/>
              <w:autoSpaceDN/>
              <w:bidi w:val="0"/>
              <w:adjustRightInd/>
              <w:snapToGrid/>
              <w:spacing w:line="500" w:lineRule="exact"/>
              <w:ind w:firstLine="0"/>
              <w:jc w:val="center"/>
              <w:textAlignment w:val="auto"/>
              <w:rPr>
                <w:rFonts w:hint="eastAsia" w:ascii="宋体" w:hAnsi="宋体" w:eastAsia="宋体" w:cs="宋体"/>
                <w:sz w:val="24"/>
                <w:szCs w:val="24"/>
              </w:rPr>
            </w:pPr>
            <w:r>
              <w:rPr>
                <w:rFonts w:hint="eastAsia" w:ascii="宋体" w:hAnsi="宋体" w:eastAsia="宋体" w:cs="宋体"/>
                <w:color w:val="000000"/>
                <w:sz w:val="24"/>
                <w:szCs w:val="24"/>
              </w:rPr>
              <w:t>2.26</w:t>
            </w:r>
          </w:p>
        </w:tc>
        <w:tc>
          <w:tcPr>
            <w:tcW w:w="3616" w:type="dxa"/>
            <w:tcBorders>
              <w:top w:val="nil"/>
              <w:left w:val="nil"/>
              <w:bottom w:val="single" w:color="000000" w:sz="4" w:space="0"/>
              <w:right w:val="single" w:color="000000" w:sz="4" w:space="0"/>
            </w:tcBorders>
            <w:tcMar>
              <w:top w:w="0" w:type="dxa"/>
              <w:left w:w="105" w:type="dxa"/>
              <w:bottom w:w="0" w:type="dxa"/>
              <w:right w:w="105" w:type="dxa"/>
            </w:tcMar>
            <w:vAlign w:val="top"/>
          </w:tcPr>
          <w:p w14:paraId="79433021">
            <w:pPr>
              <w:pStyle w:val="6"/>
              <w:keepNext w:val="0"/>
              <w:keepLines w:val="0"/>
              <w:pageBreakBefore w:val="0"/>
              <w:widowControl/>
              <w:kinsoku/>
              <w:wordWrap/>
              <w:overflowPunct/>
              <w:topLinePunct w:val="0"/>
              <w:autoSpaceDE/>
              <w:autoSpaceDN/>
              <w:bidi w:val="0"/>
              <w:adjustRightInd/>
              <w:snapToGrid/>
              <w:spacing w:line="500" w:lineRule="exact"/>
              <w:ind w:firstLine="0"/>
              <w:jc w:val="both"/>
              <w:textAlignment w:val="auto"/>
              <w:rPr>
                <w:rFonts w:hint="eastAsia" w:ascii="宋体" w:hAnsi="宋体" w:eastAsia="宋体" w:cs="宋体"/>
                <w:sz w:val="24"/>
                <w:szCs w:val="24"/>
              </w:rPr>
            </w:pPr>
            <w:r>
              <w:rPr>
                <w:rFonts w:hint="eastAsia" w:ascii="宋体" w:hAnsi="宋体" w:eastAsia="宋体" w:cs="宋体"/>
                <w:color w:val="000000"/>
                <w:sz w:val="24"/>
                <w:szCs w:val="24"/>
              </w:rPr>
              <w:t>边缘计算设备</w:t>
            </w:r>
          </w:p>
        </w:tc>
        <w:tc>
          <w:tcPr>
            <w:tcW w:w="1455" w:type="dxa"/>
            <w:tcBorders>
              <w:top w:val="nil"/>
              <w:left w:val="nil"/>
              <w:bottom w:val="single" w:color="000000" w:sz="4" w:space="0"/>
              <w:right w:val="single" w:color="000000" w:sz="4" w:space="0"/>
            </w:tcBorders>
            <w:tcMar>
              <w:top w:w="0" w:type="dxa"/>
              <w:left w:w="105" w:type="dxa"/>
              <w:bottom w:w="0" w:type="dxa"/>
              <w:right w:w="105" w:type="dxa"/>
            </w:tcMar>
            <w:vAlign w:val="top"/>
          </w:tcPr>
          <w:p w14:paraId="22ECBFF1">
            <w:pPr>
              <w:pStyle w:val="6"/>
              <w:keepNext w:val="0"/>
              <w:keepLines w:val="0"/>
              <w:pageBreakBefore w:val="0"/>
              <w:widowControl/>
              <w:kinsoku/>
              <w:wordWrap/>
              <w:overflowPunct/>
              <w:topLinePunct w:val="0"/>
              <w:autoSpaceDE/>
              <w:autoSpaceDN/>
              <w:bidi w:val="0"/>
              <w:adjustRightInd/>
              <w:snapToGrid/>
              <w:spacing w:line="500" w:lineRule="exact"/>
              <w:ind w:firstLine="0"/>
              <w:jc w:val="center"/>
              <w:textAlignment w:val="auto"/>
              <w:rPr>
                <w:rFonts w:hint="eastAsia" w:ascii="宋体" w:hAnsi="宋体" w:eastAsia="宋体" w:cs="宋体"/>
                <w:sz w:val="24"/>
                <w:szCs w:val="24"/>
              </w:rPr>
            </w:pPr>
            <w:r>
              <w:rPr>
                <w:rFonts w:hint="eastAsia" w:ascii="宋体" w:hAnsi="宋体" w:eastAsia="宋体" w:cs="宋体"/>
                <w:color w:val="000000"/>
                <w:sz w:val="24"/>
                <w:szCs w:val="24"/>
              </w:rPr>
              <w:t>1台</w:t>
            </w:r>
          </w:p>
        </w:tc>
        <w:tc>
          <w:tcPr>
            <w:tcW w:w="2359" w:type="dxa"/>
            <w:tcBorders>
              <w:top w:val="nil"/>
              <w:left w:val="nil"/>
              <w:bottom w:val="single" w:color="000000" w:sz="4" w:space="0"/>
              <w:right w:val="single" w:color="000000" w:sz="4" w:space="0"/>
            </w:tcBorders>
            <w:tcMar>
              <w:top w:w="0" w:type="dxa"/>
              <w:left w:w="105" w:type="dxa"/>
              <w:bottom w:w="0" w:type="dxa"/>
              <w:right w:w="105" w:type="dxa"/>
            </w:tcMar>
            <w:vAlign w:val="top"/>
          </w:tcPr>
          <w:p w14:paraId="38BD309A">
            <w:pPr>
              <w:pStyle w:val="6"/>
              <w:keepNext w:val="0"/>
              <w:keepLines w:val="0"/>
              <w:pageBreakBefore w:val="0"/>
              <w:widowControl/>
              <w:kinsoku/>
              <w:wordWrap/>
              <w:overflowPunct/>
              <w:topLinePunct w:val="0"/>
              <w:autoSpaceDE/>
              <w:autoSpaceDN/>
              <w:bidi w:val="0"/>
              <w:adjustRightInd/>
              <w:snapToGrid/>
              <w:spacing w:line="500" w:lineRule="exact"/>
              <w:ind w:firstLine="0"/>
              <w:jc w:val="center"/>
              <w:textAlignment w:val="auto"/>
              <w:rPr>
                <w:rFonts w:hint="eastAsia" w:ascii="宋体" w:hAnsi="宋体" w:eastAsia="宋体" w:cs="宋体"/>
                <w:sz w:val="24"/>
                <w:szCs w:val="24"/>
              </w:rPr>
            </w:pPr>
            <w:r>
              <w:rPr>
                <w:rFonts w:hint="eastAsia" w:ascii="宋体" w:hAnsi="宋体" w:eastAsia="宋体" w:cs="宋体"/>
                <w:color w:val="000000"/>
                <w:sz w:val="24"/>
                <w:szCs w:val="24"/>
              </w:rPr>
              <w:t>4.000000</w:t>
            </w:r>
          </w:p>
        </w:tc>
      </w:tr>
      <w:tr w14:paraId="0F93B92E">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99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14517610">
            <w:pPr>
              <w:pStyle w:val="6"/>
              <w:keepNext w:val="0"/>
              <w:keepLines w:val="0"/>
              <w:pageBreakBefore w:val="0"/>
              <w:widowControl/>
              <w:kinsoku/>
              <w:wordWrap/>
              <w:overflowPunct/>
              <w:topLinePunct w:val="0"/>
              <w:autoSpaceDE/>
              <w:autoSpaceDN/>
              <w:bidi w:val="0"/>
              <w:adjustRightInd/>
              <w:snapToGrid/>
              <w:spacing w:line="500" w:lineRule="exact"/>
              <w:ind w:firstLine="0"/>
              <w:jc w:val="center"/>
              <w:textAlignment w:val="auto"/>
              <w:rPr>
                <w:rFonts w:hint="eastAsia" w:ascii="宋体" w:hAnsi="宋体" w:eastAsia="宋体" w:cs="宋体"/>
                <w:sz w:val="24"/>
                <w:szCs w:val="24"/>
              </w:rPr>
            </w:pPr>
            <w:r>
              <w:rPr>
                <w:rFonts w:hint="eastAsia" w:ascii="宋体" w:hAnsi="宋体" w:eastAsia="宋体" w:cs="宋体"/>
                <w:color w:val="000000"/>
                <w:sz w:val="24"/>
                <w:szCs w:val="24"/>
              </w:rPr>
              <w:t>2.27</w:t>
            </w:r>
          </w:p>
        </w:tc>
        <w:tc>
          <w:tcPr>
            <w:tcW w:w="3616" w:type="dxa"/>
            <w:tcBorders>
              <w:top w:val="nil"/>
              <w:left w:val="nil"/>
              <w:bottom w:val="single" w:color="000000" w:sz="4" w:space="0"/>
              <w:right w:val="single" w:color="000000" w:sz="4" w:space="0"/>
            </w:tcBorders>
            <w:tcMar>
              <w:top w:w="0" w:type="dxa"/>
              <w:left w:w="105" w:type="dxa"/>
              <w:bottom w:w="0" w:type="dxa"/>
              <w:right w:w="105" w:type="dxa"/>
            </w:tcMar>
            <w:vAlign w:val="top"/>
          </w:tcPr>
          <w:p w14:paraId="62079F78">
            <w:pPr>
              <w:pStyle w:val="6"/>
              <w:keepNext w:val="0"/>
              <w:keepLines w:val="0"/>
              <w:pageBreakBefore w:val="0"/>
              <w:widowControl/>
              <w:kinsoku/>
              <w:wordWrap/>
              <w:overflowPunct/>
              <w:topLinePunct w:val="0"/>
              <w:autoSpaceDE/>
              <w:autoSpaceDN/>
              <w:bidi w:val="0"/>
              <w:adjustRightInd/>
              <w:snapToGrid/>
              <w:spacing w:line="500" w:lineRule="exact"/>
              <w:ind w:firstLine="0"/>
              <w:jc w:val="both"/>
              <w:textAlignment w:val="auto"/>
              <w:rPr>
                <w:rFonts w:hint="eastAsia" w:ascii="宋体" w:hAnsi="宋体" w:eastAsia="宋体" w:cs="宋体"/>
                <w:sz w:val="24"/>
                <w:szCs w:val="24"/>
              </w:rPr>
            </w:pPr>
            <w:r>
              <w:rPr>
                <w:rFonts w:hint="eastAsia" w:ascii="宋体" w:hAnsi="宋体" w:eastAsia="宋体" w:cs="宋体"/>
                <w:color w:val="000000"/>
                <w:sz w:val="24"/>
                <w:szCs w:val="24"/>
              </w:rPr>
              <w:t>报警接入网关</w:t>
            </w:r>
          </w:p>
        </w:tc>
        <w:tc>
          <w:tcPr>
            <w:tcW w:w="1455" w:type="dxa"/>
            <w:tcBorders>
              <w:top w:val="nil"/>
              <w:left w:val="nil"/>
              <w:bottom w:val="single" w:color="000000" w:sz="4" w:space="0"/>
              <w:right w:val="single" w:color="000000" w:sz="4" w:space="0"/>
            </w:tcBorders>
            <w:tcMar>
              <w:top w:w="0" w:type="dxa"/>
              <w:left w:w="105" w:type="dxa"/>
              <w:bottom w:w="0" w:type="dxa"/>
              <w:right w:w="105" w:type="dxa"/>
            </w:tcMar>
            <w:vAlign w:val="top"/>
          </w:tcPr>
          <w:p w14:paraId="1264E5B3">
            <w:pPr>
              <w:pStyle w:val="6"/>
              <w:keepNext w:val="0"/>
              <w:keepLines w:val="0"/>
              <w:pageBreakBefore w:val="0"/>
              <w:widowControl/>
              <w:kinsoku/>
              <w:wordWrap/>
              <w:overflowPunct/>
              <w:topLinePunct w:val="0"/>
              <w:autoSpaceDE/>
              <w:autoSpaceDN/>
              <w:bidi w:val="0"/>
              <w:adjustRightInd/>
              <w:snapToGrid/>
              <w:spacing w:line="500" w:lineRule="exact"/>
              <w:ind w:firstLine="0"/>
              <w:jc w:val="center"/>
              <w:textAlignment w:val="auto"/>
              <w:rPr>
                <w:rFonts w:hint="eastAsia" w:ascii="宋体" w:hAnsi="宋体" w:eastAsia="宋体" w:cs="宋体"/>
                <w:sz w:val="24"/>
                <w:szCs w:val="24"/>
              </w:rPr>
            </w:pPr>
            <w:r>
              <w:rPr>
                <w:rFonts w:hint="eastAsia" w:ascii="宋体" w:hAnsi="宋体" w:eastAsia="宋体" w:cs="宋体"/>
                <w:color w:val="000000"/>
                <w:sz w:val="24"/>
                <w:szCs w:val="24"/>
              </w:rPr>
              <w:t>1台</w:t>
            </w:r>
          </w:p>
        </w:tc>
        <w:tc>
          <w:tcPr>
            <w:tcW w:w="2359" w:type="dxa"/>
            <w:tcBorders>
              <w:top w:val="nil"/>
              <w:left w:val="nil"/>
              <w:bottom w:val="single" w:color="000000" w:sz="4" w:space="0"/>
              <w:right w:val="single" w:color="000000" w:sz="4" w:space="0"/>
            </w:tcBorders>
            <w:tcMar>
              <w:top w:w="0" w:type="dxa"/>
              <w:left w:w="105" w:type="dxa"/>
              <w:bottom w:w="0" w:type="dxa"/>
              <w:right w:w="105" w:type="dxa"/>
            </w:tcMar>
            <w:vAlign w:val="top"/>
          </w:tcPr>
          <w:p w14:paraId="7740D977">
            <w:pPr>
              <w:pStyle w:val="6"/>
              <w:keepNext w:val="0"/>
              <w:keepLines w:val="0"/>
              <w:pageBreakBefore w:val="0"/>
              <w:widowControl/>
              <w:kinsoku/>
              <w:wordWrap/>
              <w:overflowPunct/>
              <w:topLinePunct w:val="0"/>
              <w:autoSpaceDE/>
              <w:autoSpaceDN/>
              <w:bidi w:val="0"/>
              <w:adjustRightInd/>
              <w:snapToGrid/>
              <w:spacing w:line="500" w:lineRule="exact"/>
              <w:ind w:firstLine="0"/>
              <w:jc w:val="center"/>
              <w:textAlignment w:val="auto"/>
              <w:rPr>
                <w:rFonts w:hint="eastAsia" w:ascii="宋体" w:hAnsi="宋体" w:eastAsia="宋体" w:cs="宋体"/>
                <w:sz w:val="24"/>
                <w:szCs w:val="24"/>
              </w:rPr>
            </w:pPr>
            <w:r>
              <w:rPr>
                <w:rFonts w:hint="eastAsia" w:ascii="宋体" w:hAnsi="宋体" w:eastAsia="宋体" w:cs="宋体"/>
                <w:color w:val="000000"/>
                <w:sz w:val="24"/>
                <w:szCs w:val="24"/>
              </w:rPr>
              <w:t>1.500000</w:t>
            </w:r>
          </w:p>
        </w:tc>
      </w:tr>
      <w:tr w14:paraId="2A22C7E6">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99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54AFD4D6">
            <w:pPr>
              <w:pStyle w:val="6"/>
              <w:keepNext w:val="0"/>
              <w:keepLines w:val="0"/>
              <w:pageBreakBefore w:val="0"/>
              <w:widowControl/>
              <w:kinsoku/>
              <w:wordWrap/>
              <w:overflowPunct/>
              <w:topLinePunct w:val="0"/>
              <w:autoSpaceDE/>
              <w:autoSpaceDN/>
              <w:bidi w:val="0"/>
              <w:adjustRightInd/>
              <w:snapToGrid/>
              <w:spacing w:line="500" w:lineRule="exact"/>
              <w:ind w:firstLine="0"/>
              <w:jc w:val="center"/>
              <w:textAlignment w:val="auto"/>
              <w:rPr>
                <w:rFonts w:hint="eastAsia" w:ascii="宋体" w:hAnsi="宋体" w:eastAsia="宋体" w:cs="宋体"/>
                <w:sz w:val="24"/>
                <w:szCs w:val="24"/>
              </w:rPr>
            </w:pPr>
            <w:r>
              <w:rPr>
                <w:rFonts w:hint="eastAsia" w:ascii="宋体" w:hAnsi="宋体" w:eastAsia="宋体" w:cs="宋体"/>
                <w:color w:val="000000"/>
                <w:sz w:val="24"/>
                <w:szCs w:val="24"/>
              </w:rPr>
              <w:t>2.28</w:t>
            </w:r>
          </w:p>
        </w:tc>
        <w:tc>
          <w:tcPr>
            <w:tcW w:w="3616" w:type="dxa"/>
            <w:tcBorders>
              <w:top w:val="nil"/>
              <w:left w:val="nil"/>
              <w:bottom w:val="single" w:color="000000" w:sz="4" w:space="0"/>
              <w:right w:val="single" w:color="000000" w:sz="4" w:space="0"/>
            </w:tcBorders>
            <w:tcMar>
              <w:top w:w="0" w:type="dxa"/>
              <w:left w:w="105" w:type="dxa"/>
              <w:bottom w:w="0" w:type="dxa"/>
              <w:right w:w="105" w:type="dxa"/>
            </w:tcMar>
            <w:vAlign w:val="top"/>
          </w:tcPr>
          <w:p w14:paraId="5D44D5D8">
            <w:pPr>
              <w:pStyle w:val="6"/>
              <w:keepNext w:val="0"/>
              <w:keepLines w:val="0"/>
              <w:pageBreakBefore w:val="0"/>
              <w:widowControl/>
              <w:kinsoku/>
              <w:wordWrap/>
              <w:overflowPunct/>
              <w:topLinePunct w:val="0"/>
              <w:autoSpaceDE/>
              <w:autoSpaceDN/>
              <w:bidi w:val="0"/>
              <w:adjustRightInd/>
              <w:snapToGrid/>
              <w:spacing w:line="500" w:lineRule="exact"/>
              <w:ind w:firstLine="0"/>
              <w:jc w:val="both"/>
              <w:textAlignment w:val="auto"/>
              <w:rPr>
                <w:rFonts w:hint="eastAsia" w:ascii="宋体" w:hAnsi="宋体" w:eastAsia="宋体" w:cs="宋体"/>
                <w:sz w:val="24"/>
                <w:szCs w:val="24"/>
              </w:rPr>
            </w:pPr>
            <w:r>
              <w:rPr>
                <w:rFonts w:hint="eastAsia" w:ascii="宋体" w:hAnsi="宋体" w:eastAsia="宋体" w:cs="宋体"/>
                <w:color w:val="000000"/>
                <w:sz w:val="24"/>
                <w:szCs w:val="24"/>
              </w:rPr>
              <w:t>解码器</w:t>
            </w:r>
          </w:p>
        </w:tc>
        <w:tc>
          <w:tcPr>
            <w:tcW w:w="1455" w:type="dxa"/>
            <w:tcBorders>
              <w:top w:val="nil"/>
              <w:left w:val="nil"/>
              <w:bottom w:val="single" w:color="000000" w:sz="4" w:space="0"/>
              <w:right w:val="single" w:color="000000" w:sz="4" w:space="0"/>
            </w:tcBorders>
            <w:tcMar>
              <w:top w:w="0" w:type="dxa"/>
              <w:left w:w="105" w:type="dxa"/>
              <w:bottom w:w="0" w:type="dxa"/>
              <w:right w:w="105" w:type="dxa"/>
            </w:tcMar>
            <w:vAlign w:val="top"/>
          </w:tcPr>
          <w:p w14:paraId="36FC8D28">
            <w:pPr>
              <w:pStyle w:val="6"/>
              <w:keepNext w:val="0"/>
              <w:keepLines w:val="0"/>
              <w:pageBreakBefore w:val="0"/>
              <w:widowControl/>
              <w:kinsoku/>
              <w:wordWrap/>
              <w:overflowPunct/>
              <w:topLinePunct w:val="0"/>
              <w:autoSpaceDE/>
              <w:autoSpaceDN/>
              <w:bidi w:val="0"/>
              <w:adjustRightInd/>
              <w:snapToGrid/>
              <w:spacing w:line="500" w:lineRule="exact"/>
              <w:ind w:firstLine="0"/>
              <w:jc w:val="center"/>
              <w:textAlignment w:val="auto"/>
              <w:rPr>
                <w:rFonts w:hint="eastAsia" w:ascii="宋体" w:hAnsi="宋体" w:eastAsia="宋体" w:cs="宋体"/>
                <w:sz w:val="24"/>
                <w:szCs w:val="24"/>
              </w:rPr>
            </w:pPr>
            <w:r>
              <w:rPr>
                <w:rFonts w:hint="eastAsia" w:ascii="宋体" w:hAnsi="宋体" w:eastAsia="宋体" w:cs="宋体"/>
                <w:color w:val="000000"/>
                <w:sz w:val="24"/>
                <w:szCs w:val="24"/>
              </w:rPr>
              <w:t>1台</w:t>
            </w:r>
          </w:p>
        </w:tc>
        <w:tc>
          <w:tcPr>
            <w:tcW w:w="2359" w:type="dxa"/>
            <w:tcBorders>
              <w:top w:val="nil"/>
              <w:left w:val="nil"/>
              <w:bottom w:val="single" w:color="000000" w:sz="4" w:space="0"/>
              <w:right w:val="single" w:color="000000" w:sz="4" w:space="0"/>
            </w:tcBorders>
            <w:tcMar>
              <w:top w:w="0" w:type="dxa"/>
              <w:left w:w="105" w:type="dxa"/>
              <w:bottom w:w="0" w:type="dxa"/>
              <w:right w:w="105" w:type="dxa"/>
            </w:tcMar>
            <w:vAlign w:val="top"/>
          </w:tcPr>
          <w:p w14:paraId="6F58CF12">
            <w:pPr>
              <w:pStyle w:val="6"/>
              <w:keepNext w:val="0"/>
              <w:keepLines w:val="0"/>
              <w:pageBreakBefore w:val="0"/>
              <w:widowControl/>
              <w:kinsoku/>
              <w:wordWrap/>
              <w:overflowPunct/>
              <w:topLinePunct w:val="0"/>
              <w:autoSpaceDE/>
              <w:autoSpaceDN/>
              <w:bidi w:val="0"/>
              <w:adjustRightInd/>
              <w:snapToGrid/>
              <w:spacing w:line="500" w:lineRule="exact"/>
              <w:ind w:firstLine="0"/>
              <w:jc w:val="center"/>
              <w:textAlignment w:val="auto"/>
              <w:rPr>
                <w:rFonts w:hint="eastAsia" w:ascii="宋体" w:hAnsi="宋体" w:eastAsia="宋体" w:cs="宋体"/>
                <w:sz w:val="24"/>
                <w:szCs w:val="24"/>
              </w:rPr>
            </w:pPr>
            <w:r>
              <w:rPr>
                <w:rFonts w:hint="eastAsia" w:ascii="宋体" w:hAnsi="宋体" w:eastAsia="宋体" w:cs="宋体"/>
                <w:color w:val="000000"/>
                <w:sz w:val="24"/>
                <w:szCs w:val="24"/>
              </w:rPr>
              <w:t>1.200000</w:t>
            </w:r>
          </w:p>
        </w:tc>
      </w:tr>
      <w:tr w14:paraId="279792F9">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99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C428FE2">
            <w:pPr>
              <w:pStyle w:val="6"/>
              <w:keepNext w:val="0"/>
              <w:keepLines w:val="0"/>
              <w:pageBreakBefore w:val="0"/>
              <w:widowControl/>
              <w:kinsoku/>
              <w:wordWrap/>
              <w:overflowPunct/>
              <w:topLinePunct w:val="0"/>
              <w:autoSpaceDE/>
              <w:autoSpaceDN/>
              <w:bidi w:val="0"/>
              <w:adjustRightInd/>
              <w:snapToGrid/>
              <w:spacing w:line="500" w:lineRule="exact"/>
              <w:ind w:firstLine="0"/>
              <w:jc w:val="center"/>
              <w:textAlignment w:val="auto"/>
              <w:rPr>
                <w:rFonts w:hint="eastAsia" w:ascii="宋体" w:hAnsi="宋体" w:eastAsia="宋体" w:cs="宋体"/>
                <w:sz w:val="24"/>
                <w:szCs w:val="24"/>
              </w:rPr>
            </w:pPr>
            <w:r>
              <w:rPr>
                <w:rFonts w:hint="eastAsia" w:ascii="宋体" w:hAnsi="宋体" w:eastAsia="宋体" w:cs="宋体"/>
                <w:color w:val="000000"/>
                <w:sz w:val="24"/>
                <w:szCs w:val="24"/>
              </w:rPr>
              <w:t>2.29</w:t>
            </w:r>
          </w:p>
        </w:tc>
        <w:tc>
          <w:tcPr>
            <w:tcW w:w="3616" w:type="dxa"/>
            <w:tcBorders>
              <w:top w:val="nil"/>
              <w:left w:val="nil"/>
              <w:bottom w:val="single" w:color="000000" w:sz="4" w:space="0"/>
              <w:right w:val="single" w:color="000000" w:sz="4" w:space="0"/>
            </w:tcBorders>
            <w:tcMar>
              <w:top w:w="0" w:type="dxa"/>
              <w:left w:w="105" w:type="dxa"/>
              <w:bottom w:w="0" w:type="dxa"/>
              <w:right w:w="105" w:type="dxa"/>
            </w:tcMar>
            <w:vAlign w:val="top"/>
          </w:tcPr>
          <w:p w14:paraId="5ADD8EDC">
            <w:pPr>
              <w:pStyle w:val="6"/>
              <w:keepNext w:val="0"/>
              <w:keepLines w:val="0"/>
              <w:pageBreakBefore w:val="0"/>
              <w:widowControl/>
              <w:kinsoku/>
              <w:wordWrap/>
              <w:overflowPunct/>
              <w:topLinePunct w:val="0"/>
              <w:autoSpaceDE/>
              <w:autoSpaceDN/>
              <w:bidi w:val="0"/>
              <w:adjustRightInd/>
              <w:snapToGrid/>
              <w:spacing w:line="500" w:lineRule="exact"/>
              <w:ind w:firstLine="0"/>
              <w:jc w:val="both"/>
              <w:textAlignment w:val="auto"/>
              <w:rPr>
                <w:rFonts w:hint="eastAsia" w:ascii="宋体" w:hAnsi="宋体" w:eastAsia="宋体" w:cs="宋体"/>
                <w:sz w:val="24"/>
                <w:szCs w:val="24"/>
              </w:rPr>
            </w:pPr>
            <w:r>
              <w:rPr>
                <w:rFonts w:hint="eastAsia" w:ascii="宋体" w:hAnsi="宋体" w:eastAsia="宋体" w:cs="宋体"/>
                <w:color w:val="000000"/>
                <w:sz w:val="24"/>
                <w:szCs w:val="24"/>
              </w:rPr>
              <w:t>汇聚交换机</w:t>
            </w:r>
          </w:p>
        </w:tc>
        <w:tc>
          <w:tcPr>
            <w:tcW w:w="1455" w:type="dxa"/>
            <w:tcBorders>
              <w:top w:val="nil"/>
              <w:left w:val="nil"/>
              <w:bottom w:val="single" w:color="000000" w:sz="4" w:space="0"/>
              <w:right w:val="single" w:color="000000" w:sz="4" w:space="0"/>
            </w:tcBorders>
            <w:tcMar>
              <w:top w:w="0" w:type="dxa"/>
              <w:left w:w="105" w:type="dxa"/>
              <w:bottom w:w="0" w:type="dxa"/>
              <w:right w:w="105" w:type="dxa"/>
            </w:tcMar>
            <w:vAlign w:val="top"/>
          </w:tcPr>
          <w:p w14:paraId="23D67927">
            <w:pPr>
              <w:pStyle w:val="6"/>
              <w:keepNext w:val="0"/>
              <w:keepLines w:val="0"/>
              <w:pageBreakBefore w:val="0"/>
              <w:widowControl/>
              <w:kinsoku/>
              <w:wordWrap/>
              <w:overflowPunct/>
              <w:topLinePunct w:val="0"/>
              <w:autoSpaceDE/>
              <w:autoSpaceDN/>
              <w:bidi w:val="0"/>
              <w:adjustRightInd/>
              <w:snapToGrid/>
              <w:spacing w:line="500" w:lineRule="exact"/>
              <w:ind w:firstLine="0"/>
              <w:jc w:val="center"/>
              <w:textAlignment w:val="auto"/>
              <w:rPr>
                <w:rFonts w:hint="eastAsia" w:ascii="宋体" w:hAnsi="宋体" w:eastAsia="宋体" w:cs="宋体"/>
                <w:sz w:val="24"/>
                <w:szCs w:val="24"/>
              </w:rPr>
            </w:pPr>
            <w:r>
              <w:rPr>
                <w:rFonts w:hint="eastAsia" w:ascii="宋体" w:hAnsi="宋体" w:eastAsia="宋体" w:cs="宋体"/>
                <w:color w:val="000000"/>
                <w:sz w:val="24"/>
                <w:szCs w:val="24"/>
              </w:rPr>
              <w:t>1台</w:t>
            </w:r>
          </w:p>
        </w:tc>
        <w:tc>
          <w:tcPr>
            <w:tcW w:w="2359" w:type="dxa"/>
            <w:tcBorders>
              <w:top w:val="nil"/>
              <w:left w:val="nil"/>
              <w:bottom w:val="single" w:color="000000" w:sz="4" w:space="0"/>
              <w:right w:val="single" w:color="000000" w:sz="4" w:space="0"/>
            </w:tcBorders>
            <w:tcMar>
              <w:top w:w="0" w:type="dxa"/>
              <w:left w:w="105" w:type="dxa"/>
              <w:bottom w:w="0" w:type="dxa"/>
              <w:right w:w="105" w:type="dxa"/>
            </w:tcMar>
            <w:vAlign w:val="top"/>
          </w:tcPr>
          <w:p w14:paraId="0E2D42A5">
            <w:pPr>
              <w:pStyle w:val="6"/>
              <w:keepNext w:val="0"/>
              <w:keepLines w:val="0"/>
              <w:pageBreakBefore w:val="0"/>
              <w:widowControl/>
              <w:kinsoku/>
              <w:wordWrap/>
              <w:overflowPunct/>
              <w:topLinePunct w:val="0"/>
              <w:autoSpaceDE/>
              <w:autoSpaceDN/>
              <w:bidi w:val="0"/>
              <w:adjustRightInd/>
              <w:snapToGrid/>
              <w:spacing w:line="500" w:lineRule="exact"/>
              <w:ind w:firstLine="0"/>
              <w:jc w:val="center"/>
              <w:textAlignment w:val="auto"/>
              <w:rPr>
                <w:rFonts w:hint="eastAsia" w:ascii="宋体" w:hAnsi="宋体" w:eastAsia="宋体" w:cs="宋体"/>
                <w:sz w:val="24"/>
                <w:szCs w:val="24"/>
              </w:rPr>
            </w:pPr>
            <w:r>
              <w:rPr>
                <w:rFonts w:hint="eastAsia" w:ascii="宋体" w:hAnsi="宋体" w:eastAsia="宋体" w:cs="宋体"/>
                <w:color w:val="000000"/>
                <w:sz w:val="24"/>
                <w:szCs w:val="24"/>
              </w:rPr>
              <w:t>0.500000</w:t>
            </w:r>
          </w:p>
        </w:tc>
      </w:tr>
      <w:tr w14:paraId="3F612756">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99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7B1EE7C6">
            <w:pPr>
              <w:pStyle w:val="6"/>
              <w:keepNext w:val="0"/>
              <w:keepLines w:val="0"/>
              <w:pageBreakBefore w:val="0"/>
              <w:widowControl/>
              <w:kinsoku/>
              <w:wordWrap/>
              <w:overflowPunct/>
              <w:topLinePunct w:val="0"/>
              <w:autoSpaceDE/>
              <w:autoSpaceDN/>
              <w:bidi w:val="0"/>
              <w:adjustRightInd/>
              <w:snapToGrid/>
              <w:spacing w:line="500" w:lineRule="exact"/>
              <w:ind w:firstLine="0"/>
              <w:jc w:val="center"/>
              <w:textAlignment w:val="auto"/>
              <w:rPr>
                <w:rFonts w:hint="eastAsia" w:ascii="宋体" w:hAnsi="宋体" w:eastAsia="宋体" w:cs="宋体"/>
                <w:sz w:val="24"/>
                <w:szCs w:val="24"/>
              </w:rPr>
            </w:pPr>
            <w:r>
              <w:rPr>
                <w:rFonts w:hint="eastAsia" w:ascii="宋体" w:hAnsi="宋体" w:eastAsia="宋体" w:cs="宋体"/>
                <w:color w:val="000000"/>
                <w:sz w:val="24"/>
                <w:szCs w:val="24"/>
              </w:rPr>
              <w:t>2.30</w:t>
            </w:r>
          </w:p>
        </w:tc>
        <w:tc>
          <w:tcPr>
            <w:tcW w:w="3616" w:type="dxa"/>
            <w:tcBorders>
              <w:top w:val="nil"/>
              <w:left w:val="nil"/>
              <w:bottom w:val="single" w:color="000000" w:sz="4" w:space="0"/>
              <w:right w:val="single" w:color="000000" w:sz="4" w:space="0"/>
            </w:tcBorders>
            <w:tcMar>
              <w:top w:w="0" w:type="dxa"/>
              <w:left w:w="105" w:type="dxa"/>
              <w:bottom w:w="0" w:type="dxa"/>
              <w:right w:w="105" w:type="dxa"/>
            </w:tcMar>
            <w:vAlign w:val="top"/>
          </w:tcPr>
          <w:p w14:paraId="6CCF24BD">
            <w:pPr>
              <w:pStyle w:val="6"/>
              <w:keepNext w:val="0"/>
              <w:keepLines w:val="0"/>
              <w:pageBreakBefore w:val="0"/>
              <w:widowControl/>
              <w:kinsoku/>
              <w:wordWrap/>
              <w:overflowPunct/>
              <w:topLinePunct w:val="0"/>
              <w:autoSpaceDE/>
              <w:autoSpaceDN/>
              <w:bidi w:val="0"/>
              <w:adjustRightInd/>
              <w:snapToGrid/>
              <w:spacing w:line="500" w:lineRule="exact"/>
              <w:ind w:firstLine="0"/>
              <w:jc w:val="both"/>
              <w:textAlignment w:val="auto"/>
              <w:rPr>
                <w:rFonts w:hint="eastAsia" w:ascii="宋体" w:hAnsi="宋体" w:eastAsia="宋体" w:cs="宋体"/>
                <w:sz w:val="24"/>
                <w:szCs w:val="24"/>
              </w:rPr>
            </w:pPr>
            <w:r>
              <w:rPr>
                <w:rFonts w:hint="eastAsia" w:ascii="宋体" w:hAnsi="宋体" w:eastAsia="宋体" w:cs="宋体"/>
                <w:color w:val="000000"/>
                <w:sz w:val="24"/>
                <w:szCs w:val="24"/>
              </w:rPr>
              <w:t>核心交换机</w:t>
            </w:r>
          </w:p>
        </w:tc>
        <w:tc>
          <w:tcPr>
            <w:tcW w:w="1455" w:type="dxa"/>
            <w:tcBorders>
              <w:top w:val="nil"/>
              <w:left w:val="nil"/>
              <w:bottom w:val="single" w:color="000000" w:sz="4" w:space="0"/>
              <w:right w:val="single" w:color="000000" w:sz="4" w:space="0"/>
            </w:tcBorders>
            <w:tcMar>
              <w:top w:w="0" w:type="dxa"/>
              <w:left w:w="105" w:type="dxa"/>
              <w:bottom w:w="0" w:type="dxa"/>
              <w:right w:w="105" w:type="dxa"/>
            </w:tcMar>
            <w:vAlign w:val="top"/>
          </w:tcPr>
          <w:p w14:paraId="166A198F">
            <w:pPr>
              <w:pStyle w:val="6"/>
              <w:keepNext w:val="0"/>
              <w:keepLines w:val="0"/>
              <w:pageBreakBefore w:val="0"/>
              <w:widowControl/>
              <w:kinsoku/>
              <w:wordWrap/>
              <w:overflowPunct/>
              <w:topLinePunct w:val="0"/>
              <w:autoSpaceDE/>
              <w:autoSpaceDN/>
              <w:bidi w:val="0"/>
              <w:adjustRightInd/>
              <w:snapToGrid/>
              <w:spacing w:line="500" w:lineRule="exact"/>
              <w:ind w:firstLine="0"/>
              <w:jc w:val="center"/>
              <w:textAlignment w:val="auto"/>
              <w:rPr>
                <w:rFonts w:hint="eastAsia" w:ascii="宋体" w:hAnsi="宋体" w:eastAsia="宋体" w:cs="宋体"/>
                <w:sz w:val="24"/>
                <w:szCs w:val="24"/>
              </w:rPr>
            </w:pPr>
            <w:r>
              <w:rPr>
                <w:rFonts w:hint="eastAsia" w:ascii="宋体" w:hAnsi="宋体" w:eastAsia="宋体" w:cs="宋体"/>
                <w:color w:val="000000"/>
                <w:sz w:val="24"/>
                <w:szCs w:val="24"/>
              </w:rPr>
              <w:t>2台</w:t>
            </w:r>
          </w:p>
        </w:tc>
        <w:tc>
          <w:tcPr>
            <w:tcW w:w="2359" w:type="dxa"/>
            <w:tcBorders>
              <w:top w:val="nil"/>
              <w:left w:val="nil"/>
              <w:bottom w:val="single" w:color="000000" w:sz="4" w:space="0"/>
              <w:right w:val="single" w:color="000000" w:sz="4" w:space="0"/>
            </w:tcBorders>
            <w:tcMar>
              <w:top w:w="0" w:type="dxa"/>
              <w:left w:w="105" w:type="dxa"/>
              <w:bottom w:w="0" w:type="dxa"/>
              <w:right w:w="105" w:type="dxa"/>
            </w:tcMar>
            <w:vAlign w:val="top"/>
          </w:tcPr>
          <w:p w14:paraId="77066465">
            <w:pPr>
              <w:pStyle w:val="6"/>
              <w:keepNext w:val="0"/>
              <w:keepLines w:val="0"/>
              <w:pageBreakBefore w:val="0"/>
              <w:widowControl/>
              <w:kinsoku/>
              <w:wordWrap/>
              <w:overflowPunct/>
              <w:topLinePunct w:val="0"/>
              <w:autoSpaceDE/>
              <w:autoSpaceDN/>
              <w:bidi w:val="0"/>
              <w:adjustRightInd/>
              <w:snapToGrid/>
              <w:spacing w:line="500" w:lineRule="exact"/>
              <w:ind w:firstLine="0"/>
              <w:jc w:val="center"/>
              <w:textAlignment w:val="auto"/>
              <w:rPr>
                <w:rFonts w:hint="eastAsia" w:ascii="宋体" w:hAnsi="宋体" w:eastAsia="宋体" w:cs="宋体"/>
                <w:sz w:val="24"/>
                <w:szCs w:val="24"/>
              </w:rPr>
            </w:pPr>
            <w:r>
              <w:rPr>
                <w:rFonts w:hint="eastAsia" w:ascii="宋体" w:hAnsi="宋体" w:eastAsia="宋体" w:cs="宋体"/>
                <w:color w:val="000000"/>
                <w:sz w:val="24"/>
                <w:szCs w:val="24"/>
              </w:rPr>
              <w:t>3.500000</w:t>
            </w:r>
          </w:p>
        </w:tc>
      </w:tr>
      <w:tr w14:paraId="53CF88A7">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99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7D892D7">
            <w:pPr>
              <w:pStyle w:val="6"/>
              <w:keepNext w:val="0"/>
              <w:keepLines w:val="0"/>
              <w:pageBreakBefore w:val="0"/>
              <w:widowControl/>
              <w:kinsoku/>
              <w:wordWrap/>
              <w:overflowPunct/>
              <w:topLinePunct w:val="0"/>
              <w:autoSpaceDE/>
              <w:autoSpaceDN/>
              <w:bidi w:val="0"/>
              <w:adjustRightInd/>
              <w:snapToGrid/>
              <w:spacing w:line="500" w:lineRule="exact"/>
              <w:ind w:firstLine="0"/>
              <w:jc w:val="center"/>
              <w:textAlignment w:val="auto"/>
              <w:rPr>
                <w:rFonts w:hint="eastAsia" w:ascii="宋体" w:hAnsi="宋体" w:eastAsia="宋体" w:cs="宋体"/>
                <w:sz w:val="24"/>
                <w:szCs w:val="24"/>
              </w:rPr>
            </w:pPr>
            <w:r>
              <w:rPr>
                <w:rFonts w:hint="eastAsia" w:ascii="宋体" w:hAnsi="宋体" w:eastAsia="宋体" w:cs="宋体"/>
                <w:color w:val="000000"/>
                <w:sz w:val="24"/>
                <w:szCs w:val="24"/>
              </w:rPr>
              <w:t>2.31</w:t>
            </w:r>
          </w:p>
        </w:tc>
        <w:tc>
          <w:tcPr>
            <w:tcW w:w="3616" w:type="dxa"/>
            <w:tcBorders>
              <w:top w:val="nil"/>
              <w:left w:val="nil"/>
              <w:bottom w:val="single" w:color="000000" w:sz="4" w:space="0"/>
              <w:right w:val="single" w:color="000000" w:sz="4" w:space="0"/>
            </w:tcBorders>
            <w:tcMar>
              <w:top w:w="0" w:type="dxa"/>
              <w:left w:w="105" w:type="dxa"/>
              <w:bottom w:w="0" w:type="dxa"/>
              <w:right w:w="105" w:type="dxa"/>
            </w:tcMar>
            <w:vAlign w:val="top"/>
          </w:tcPr>
          <w:p w14:paraId="29C709F0">
            <w:pPr>
              <w:pStyle w:val="6"/>
              <w:keepNext w:val="0"/>
              <w:keepLines w:val="0"/>
              <w:pageBreakBefore w:val="0"/>
              <w:widowControl/>
              <w:kinsoku/>
              <w:wordWrap/>
              <w:overflowPunct/>
              <w:topLinePunct w:val="0"/>
              <w:autoSpaceDE/>
              <w:autoSpaceDN/>
              <w:bidi w:val="0"/>
              <w:adjustRightInd/>
              <w:snapToGrid/>
              <w:spacing w:line="500" w:lineRule="exact"/>
              <w:ind w:firstLine="0"/>
              <w:jc w:val="both"/>
              <w:textAlignment w:val="auto"/>
              <w:rPr>
                <w:rFonts w:hint="eastAsia" w:ascii="宋体" w:hAnsi="宋体" w:eastAsia="宋体" w:cs="宋体"/>
                <w:sz w:val="24"/>
                <w:szCs w:val="24"/>
              </w:rPr>
            </w:pPr>
            <w:r>
              <w:rPr>
                <w:rFonts w:hint="eastAsia" w:ascii="宋体" w:hAnsi="宋体" w:eastAsia="宋体" w:cs="宋体"/>
                <w:color w:val="000000"/>
                <w:sz w:val="24"/>
                <w:szCs w:val="24"/>
              </w:rPr>
              <w:t>千兆光模块</w:t>
            </w:r>
          </w:p>
        </w:tc>
        <w:tc>
          <w:tcPr>
            <w:tcW w:w="1455" w:type="dxa"/>
            <w:tcBorders>
              <w:top w:val="nil"/>
              <w:left w:val="nil"/>
              <w:bottom w:val="single" w:color="000000" w:sz="4" w:space="0"/>
              <w:right w:val="single" w:color="000000" w:sz="4" w:space="0"/>
            </w:tcBorders>
            <w:tcMar>
              <w:top w:w="0" w:type="dxa"/>
              <w:left w:w="105" w:type="dxa"/>
              <w:bottom w:w="0" w:type="dxa"/>
              <w:right w:w="105" w:type="dxa"/>
            </w:tcMar>
            <w:vAlign w:val="top"/>
          </w:tcPr>
          <w:p w14:paraId="23949B65">
            <w:pPr>
              <w:pStyle w:val="6"/>
              <w:keepNext w:val="0"/>
              <w:keepLines w:val="0"/>
              <w:pageBreakBefore w:val="0"/>
              <w:widowControl/>
              <w:kinsoku/>
              <w:wordWrap/>
              <w:overflowPunct/>
              <w:topLinePunct w:val="0"/>
              <w:autoSpaceDE/>
              <w:autoSpaceDN/>
              <w:bidi w:val="0"/>
              <w:adjustRightInd/>
              <w:snapToGrid/>
              <w:spacing w:line="500" w:lineRule="exact"/>
              <w:ind w:firstLine="0"/>
              <w:jc w:val="center"/>
              <w:textAlignment w:val="auto"/>
              <w:rPr>
                <w:rFonts w:hint="eastAsia" w:ascii="宋体" w:hAnsi="宋体" w:eastAsia="宋体" w:cs="宋体"/>
                <w:sz w:val="24"/>
                <w:szCs w:val="24"/>
              </w:rPr>
            </w:pPr>
            <w:r>
              <w:rPr>
                <w:rFonts w:hint="eastAsia" w:ascii="宋体" w:hAnsi="宋体" w:eastAsia="宋体" w:cs="宋体"/>
                <w:color w:val="000000"/>
                <w:sz w:val="24"/>
                <w:szCs w:val="24"/>
              </w:rPr>
              <w:t>22个</w:t>
            </w:r>
          </w:p>
        </w:tc>
        <w:tc>
          <w:tcPr>
            <w:tcW w:w="2359" w:type="dxa"/>
            <w:tcBorders>
              <w:top w:val="nil"/>
              <w:left w:val="nil"/>
              <w:bottom w:val="single" w:color="000000" w:sz="4" w:space="0"/>
              <w:right w:val="single" w:color="000000" w:sz="4" w:space="0"/>
            </w:tcBorders>
            <w:tcMar>
              <w:top w:w="0" w:type="dxa"/>
              <w:left w:w="105" w:type="dxa"/>
              <w:bottom w:w="0" w:type="dxa"/>
              <w:right w:w="105" w:type="dxa"/>
            </w:tcMar>
            <w:vAlign w:val="top"/>
          </w:tcPr>
          <w:p w14:paraId="18DE9B6C">
            <w:pPr>
              <w:pStyle w:val="6"/>
              <w:keepNext w:val="0"/>
              <w:keepLines w:val="0"/>
              <w:pageBreakBefore w:val="0"/>
              <w:widowControl/>
              <w:kinsoku/>
              <w:wordWrap/>
              <w:overflowPunct/>
              <w:topLinePunct w:val="0"/>
              <w:autoSpaceDE/>
              <w:autoSpaceDN/>
              <w:bidi w:val="0"/>
              <w:adjustRightInd/>
              <w:snapToGrid/>
              <w:spacing w:line="500" w:lineRule="exact"/>
              <w:ind w:firstLine="0"/>
              <w:jc w:val="center"/>
              <w:textAlignment w:val="auto"/>
              <w:rPr>
                <w:rFonts w:hint="eastAsia" w:ascii="宋体" w:hAnsi="宋体" w:eastAsia="宋体" w:cs="宋体"/>
                <w:sz w:val="24"/>
                <w:szCs w:val="24"/>
              </w:rPr>
            </w:pPr>
            <w:r>
              <w:rPr>
                <w:rFonts w:hint="eastAsia" w:ascii="宋体" w:hAnsi="宋体" w:eastAsia="宋体" w:cs="宋体"/>
                <w:color w:val="000000"/>
                <w:sz w:val="24"/>
                <w:szCs w:val="24"/>
              </w:rPr>
              <w:t>0.352000</w:t>
            </w:r>
          </w:p>
        </w:tc>
      </w:tr>
      <w:tr w14:paraId="298D7995">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99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B6AA509">
            <w:pPr>
              <w:pStyle w:val="6"/>
              <w:keepNext w:val="0"/>
              <w:keepLines w:val="0"/>
              <w:pageBreakBefore w:val="0"/>
              <w:widowControl/>
              <w:kinsoku/>
              <w:wordWrap/>
              <w:overflowPunct/>
              <w:topLinePunct w:val="0"/>
              <w:autoSpaceDE/>
              <w:autoSpaceDN/>
              <w:bidi w:val="0"/>
              <w:adjustRightInd/>
              <w:snapToGrid/>
              <w:spacing w:line="500" w:lineRule="exact"/>
              <w:ind w:firstLine="0"/>
              <w:jc w:val="center"/>
              <w:textAlignment w:val="auto"/>
              <w:rPr>
                <w:rFonts w:hint="eastAsia" w:ascii="宋体" w:hAnsi="宋体" w:eastAsia="宋体" w:cs="宋体"/>
                <w:sz w:val="24"/>
                <w:szCs w:val="24"/>
              </w:rPr>
            </w:pPr>
            <w:r>
              <w:rPr>
                <w:rFonts w:hint="eastAsia" w:ascii="宋体" w:hAnsi="宋体" w:eastAsia="宋体" w:cs="宋体"/>
                <w:color w:val="000000"/>
                <w:sz w:val="24"/>
                <w:szCs w:val="24"/>
              </w:rPr>
              <w:t>2.32</w:t>
            </w:r>
          </w:p>
        </w:tc>
        <w:tc>
          <w:tcPr>
            <w:tcW w:w="3616" w:type="dxa"/>
            <w:tcBorders>
              <w:top w:val="nil"/>
              <w:left w:val="nil"/>
              <w:bottom w:val="single" w:color="000000" w:sz="4" w:space="0"/>
              <w:right w:val="single" w:color="000000" w:sz="4" w:space="0"/>
            </w:tcBorders>
            <w:tcMar>
              <w:top w:w="0" w:type="dxa"/>
              <w:left w:w="105" w:type="dxa"/>
              <w:bottom w:w="0" w:type="dxa"/>
              <w:right w:w="105" w:type="dxa"/>
            </w:tcMar>
            <w:vAlign w:val="top"/>
          </w:tcPr>
          <w:p w14:paraId="56D00CD3">
            <w:pPr>
              <w:pStyle w:val="6"/>
              <w:keepNext w:val="0"/>
              <w:keepLines w:val="0"/>
              <w:pageBreakBefore w:val="0"/>
              <w:widowControl/>
              <w:kinsoku/>
              <w:wordWrap/>
              <w:overflowPunct/>
              <w:topLinePunct w:val="0"/>
              <w:autoSpaceDE/>
              <w:autoSpaceDN/>
              <w:bidi w:val="0"/>
              <w:adjustRightInd/>
              <w:snapToGrid/>
              <w:spacing w:line="500" w:lineRule="exact"/>
              <w:ind w:firstLine="0"/>
              <w:jc w:val="both"/>
              <w:textAlignment w:val="auto"/>
              <w:rPr>
                <w:rFonts w:hint="eastAsia" w:ascii="宋体" w:hAnsi="宋体" w:eastAsia="宋体" w:cs="宋体"/>
                <w:sz w:val="24"/>
                <w:szCs w:val="24"/>
              </w:rPr>
            </w:pPr>
            <w:r>
              <w:rPr>
                <w:rFonts w:hint="eastAsia" w:ascii="宋体" w:hAnsi="宋体" w:eastAsia="宋体" w:cs="宋体"/>
                <w:color w:val="000000"/>
                <w:sz w:val="24"/>
                <w:szCs w:val="24"/>
              </w:rPr>
              <w:t>万兆光模块</w:t>
            </w:r>
          </w:p>
        </w:tc>
        <w:tc>
          <w:tcPr>
            <w:tcW w:w="1455" w:type="dxa"/>
            <w:tcBorders>
              <w:top w:val="nil"/>
              <w:left w:val="nil"/>
              <w:bottom w:val="single" w:color="000000" w:sz="4" w:space="0"/>
              <w:right w:val="single" w:color="000000" w:sz="4" w:space="0"/>
            </w:tcBorders>
            <w:tcMar>
              <w:top w:w="0" w:type="dxa"/>
              <w:left w:w="105" w:type="dxa"/>
              <w:bottom w:w="0" w:type="dxa"/>
              <w:right w:w="105" w:type="dxa"/>
            </w:tcMar>
            <w:vAlign w:val="top"/>
          </w:tcPr>
          <w:p w14:paraId="78C2D8D3">
            <w:pPr>
              <w:pStyle w:val="6"/>
              <w:keepNext w:val="0"/>
              <w:keepLines w:val="0"/>
              <w:pageBreakBefore w:val="0"/>
              <w:widowControl/>
              <w:kinsoku/>
              <w:wordWrap/>
              <w:overflowPunct/>
              <w:topLinePunct w:val="0"/>
              <w:autoSpaceDE/>
              <w:autoSpaceDN/>
              <w:bidi w:val="0"/>
              <w:adjustRightInd/>
              <w:snapToGrid/>
              <w:spacing w:line="500" w:lineRule="exact"/>
              <w:ind w:firstLine="0"/>
              <w:jc w:val="center"/>
              <w:textAlignment w:val="auto"/>
              <w:rPr>
                <w:rFonts w:hint="eastAsia" w:ascii="宋体" w:hAnsi="宋体" w:eastAsia="宋体" w:cs="宋体"/>
                <w:sz w:val="24"/>
                <w:szCs w:val="24"/>
              </w:rPr>
            </w:pPr>
            <w:r>
              <w:rPr>
                <w:rFonts w:hint="eastAsia" w:ascii="宋体" w:hAnsi="宋体" w:eastAsia="宋体" w:cs="宋体"/>
                <w:color w:val="000000"/>
                <w:sz w:val="24"/>
                <w:szCs w:val="24"/>
              </w:rPr>
              <w:t>4个</w:t>
            </w:r>
          </w:p>
        </w:tc>
        <w:tc>
          <w:tcPr>
            <w:tcW w:w="2359" w:type="dxa"/>
            <w:tcBorders>
              <w:top w:val="nil"/>
              <w:left w:val="nil"/>
              <w:bottom w:val="single" w:color="000000" w:sz="4" w:space="0"/>
              <w:right w:val="single" w:color="000000" w:sz="4" w:space="0"/>
            </w:tcBorders>
            <w:tcMar>
              <w:top w:w="0" w:type="dxa"/>
              <w:left w:w="105" w:type="dxa"/>
              <w:bottom w:w="0" w:type="dxa"/>
              <w:right w:w="105" w:type="dxa"/>
            </w:tcMar>
            <w:vAlign w:val="top"/>
          </w:tcPr>
          <w:p w14:paraId="5F4BA726">
            <w:pPr>
              <w:pStyle w:val="6"/>
              <w:keepNext w:val="0"/>
              <w:keepLines w:val="0"/>
              <w:pageBreakBefore w:val="0"/>
              <w:widowControl/>
              <w:kinsoku/>
              <w:wordWrap/>
              <w:overflowPunct/>
              <w:topLinePunct w:val="0"/>
              <w:autoSpaceDE/>
              <w:autoSpaceDN/>
              <w:bidi w:val="0"/>
              <w:adjustRightInd/>
              <w:snapToGrid/>
              <w:spacing w:line="500" w:lineRule="exact"/>
              <w:ind w:firstLine="0"/>
              <w:jc w:val="center"/>
              <w:textAlignment w:val="auto"/>
              <w:rPr>
                <w:rFonts w:hint="eastAsia" w:ascii="宋体" w:hAnsi="宋体" w:eastAsia="宋体" w:cs="宋体"/>
                <w:sz w:val="24"/>
                <w:szCs w:val="24"/>
              </w:rPr>
            </w:pPr>
            <w:r>
              <w:rPr>
                <w:rFonts w:hint="eastAsia" w:ascii="宋体" w:hAnsi="宋体" w:eastAsia="宋体" w:cs="宋体"/>
                <w:color w:val="000000"/>
                <w:sz w:val="24"/>
                <w:szCs w:val="24"/>
              </w:rPr>
              <w:t>0.128000</w:t>
            </w:r>
          </w:p>
        </w:tc>
      </w:tr>
      <w:tr w14:paraId="7B279CC0">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99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6D796807">
            <w:pPr>
              <w:pStyle w:val="6"/>
              <w:keepNext w:val="0"/>
              <w:keepLines w:val="0"/>
              <w:pageBreakBefore w:val="0"/>
              <w:widowControl/>
              <w:kinsoku/>
              <w:wordWrap/>
              <w:overflowPunct/>
              <w:topLinePunct w:val="0"/>
              <w:autoSpaceDE/>
              <w:autoSpaceDN/>
              <w:bidi w:val="0"/>
              <w:adjustRightInd/>
              <w:snapToGrid/>
              <w:spacing w:line="500" w:lineRule="exact"/>
              <w:ind w:firstLine="0"/>
              <w:jc w:val="center"/>
              <w:textAlignment w:val="auto"/>
              <w:rPr>
                <w:rFonts w:hint="eastAsia" w:ascii="宋体" w:hAnsi="宋体" w:eastAsia="宋体" w:cs="宋体"/>
                <w:sz w:val="24"/>
                <w:szCs w:val="24"/>
              </w:rPr>
            </w:pPr>
            <w:r>
              <w:rPr>
                <w:rFonts w:hint="eastAsia" w:ascii="宋体" w:hAnsi="宋体" w:eastAsia="宋体" w:cs="宋体"/>
                <w:color w:val="000000"/>
                <w:sz w:val="24"/>
                <w:szCs w:val="24"/>
              </w:rPr>
              <w:t>2.33</w:t>
            </w:r>
          </w:p>
        </w:tc>
        <w:tc>
          <w:tcPr>
            <w:tcW w:w="3616" w:type="dxa"/>
            <w:tcBorders>
              <w:top w:val="nil"/>
              <w:left w:val="nil"/>
              <w:bottom w:val="single" w:color="000000" w:sz="4" w:space="0"/>
              <w:right w:val="single" w:color="000000" w:sz="4" w:space="0"/>
            </w:tcBorders>
            <w:tcMar>
              <w:top w:w="0" w:type="dxa"/>
              <w:left w:w="105" w:type="dxa"/>
              <w:bottom w:w="0" w:type="dxa"/>
              <w:right w:w="105" w:type="dxa"/>
            </w:tcMar>
            <w:vAlign w:val="top"/>
          </w:tcPr>
          <w:p w14:paraId="31500048">
            <w:pPr>
              <w:pStyle w:val="6"/>
              <w:keepNext w:val="0"/>
              <w:keepLines w:val="0"/>
              <w:pageBreakBefore w:val="0"/>
              <w:widowControl/>
              <w:kinsoku/>
              <w:wordWrap/>
              <w:overflowPunct/>
              <w:topLinePunct w:val="0"/>
              <w:autoSpaceDE/>
              <w:autoSpaceDN/>
              <w:bidi w:val="0"/>
              <w:adjustRightInd/>
              <w:snapToGrid/>
              <w:spacing w:line="500" w:lineRule="exact"/>
              <w:ind w:firstLine="0"/>
              <w:jc w:val="both"/>
              <w:textAlignment w:val="auto"/>
              <w:rPr>
                <w:rFonts w:hint="eastAsia" w:ascii="宋体" w:hAnsi="宋体" w:eastAsia="宋体" w:cs="宋体"/>
                <w:sz w:val="24"/>
                <w:szCs w:val="24"/>
              </w:rPr>
            </w:pPr>
            <w:r>
              <w:rPr>
                <w:rFonts w:hint="eastAsia" w:ascii="宋体" w:hAnsi="宋体" w:eastAsia="宋体" w:cs="宋体"/>
                <w:color w:val="000000"/>
                <w:sz w:val="24"/>
                <w:szCs w:val="24"/>
              </w:rPr>
              <w:t>二合一防雷器</w:t>
            </w:r>
          </w:p>
        </w:tc>
        <w:tc>
          <w:tcPr>
            <w:tcW w:w="1455" w:type="dxa"/>
            <w:tcBorders>
              <w:top w:val="nil"/>
              <w:left w:val="nil"/>
              <w:bottom w:val="single" w:color="000000" w:sz="4" w:space="0"/>
              <w:right w:val="single" w:color="000000" w:sz="4" w:space="0"/>
            </w:tcBorders>
            <w:tcMar>
              <w:top w:w="0" w:type="dxa"/>
              <w:left w:w="105" w:type="dxa"/>
              <w:bottom w:w="0" w:type="dxa"/>
              <w:right w:w="105" w:type="dxa"/>
            </w:tcMar>
            <w:vAlign w:val="top"/>
          </w:tcPr>
          <w:p w14:paraId="0BA02557">
            <w:pPr>
              <w:pStyle w:val="6"/>
              <w:keepNext w:val="0"/>
              <w:keepLines w:val="0"/>
              <w:pageBreakBefore w:val="0"/>
              <w:widowControl/>
              <w:kinsoku/>
              <w:wordWrap/>
              <w:overflowPunct/>
              <w:topLinePunct w:val="0"/>
              <w:autoSpaceDE/>
              <w:autoSpaceDN/>
              <w:bidi w:val="0"/>
              <w:adjustRightInd/>
              <w:snapToGrid/>
              <w:spacing w:line="500" w:lineRule="exact"/>
              <w:ind w:firstLine="0"/>
              <w:jc w:val="center"/>
              <w:textAlignment w:val="auto"/>
              <w:rPr>
                <w:rFonts w:hint="eastAsia" w:ascii="宋体" w:hAnsi="宋体" w:eastAsia="宋体" w:cs="宋体"/>
                <w:sz w:val="24"/>
                <w:szCs w:val="24"/>
              </w:rPr>
            </w:pPr>
            <w:r>
              <w:rPr>
                <w:rFonts w:hint="eastAsia" w:ascii="宋体" w:hAnsi="宋体" w:eastAsia="宋体" w:cs="宋体"/>
                <w:color w:val="000000"/>
                <w:sz w:val="24"/>
                <w:szCs w:val="24"/>
              </w:rPr>
              <w:t>4台</w:t>
            </w:r>
          </w:p>
        </w:tc>
        <w:tc>
          <w:tcPr>
            <w:tcW w:w="2359" w:type="dxa"/>
            <w:tcBorders>
              <w:top w:val="nil"/>
              <w:left w:val="nil"/>
              <w:bottom w:val="single" w:color="000000" w:sz="4" w:space="0"/>
              <w:right w:val="single" w:color="000000" w:sz="4" w:space="0"/>
            </w:tcBorders>
            <w:tcMar>
              <w:top w:w="0" w:type="dxa"/>
              <w:left w:w="105" w:type="dxa"/>
              <w:bottom w:w="0" w:type="dxa"/>
              <w:right w:w="105" w:type="dxa"/>
            </w:tcMar>
            <w:vAlign w:val="top"/>
          </w:tcPr>
          <w:p w14:paraId="644422D7">
            <w:pPr>
              <w:pStyle w:val="6"/>
              <w:keepNext w:val="0"/>
              <w:keepLines w:val="0"/>
              <w:pageBreakBefore w:val="0"/>
              <w:widowControl/>
              <w:kinsoku/>
              <w:wordWrap/>
              <w:overflowPunct/>
              <w:topLinePunct w:val="0"/>
              <w:autoSpaceDE/>
              <w:autoSpaceDN/>
              <w:bidi w:val="0"/>
              <w:adjustRightInd/>
              <w:snapToGrid/>
              <w:spacing w:line="500" w:lineRule="exact"/>
              <w:ind w:firstLine="0"/>
              <w:jc w:val="center"/>
              <w:textAlignment w:val="auto"/>
              <w:rPr>
                <w:rFonts w:hint="eastAsia" w:ascii="宋体" w:hAnsi="宋体" w:eastAsia="宋体" w:cs="宋体"/>
                <w:sz w:val="24"/>
                <w:szCs w:val="24"/>
              </w:rPr>
            </w:pPr>
            <w:r>
              <w:rPr>
                <w:rFonts w:hint="eastAsia" w:ascii="宋体" w:hAnsi="宋体" w:eastAsia="宋体" w:cs="宋体"/>
                <w:color w:val="000000"/>
                <w:sz w:val="24"/>
                <w:szCs w:val="24"/>
              </w:rPr>
              <w:t>0.032000</w:t>
            </w:r>
          </w:p>
        </w:tc>
      </w:tr>
      <w:tr w14:paraId="00F8E501">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99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7AE80EB">
            <w:pPr>
              <w:pStyle w:val="6"/>
              <w:keepNext w:val="0"/>
              <w:keepLines w:val="0"/>
              <w:pageBreakBefore w:val="0"/>
              <w:widowControl/>
              <w:kinsoku/>
              <w:wordWrap/>
              <w:overflowPunct/>
              <w:topLinePunct w:val="0"/>
              <w:autoSpaceDE/>
              <w:autoSpaceDN/>
              <w:bidi w:val="0"/>
              <w:adjustRightInd/>
              <w:snapToGrid/>
              <w:spacing w:line="500" w:lineRule="exact"/>
              <w:ind w:firstLine="0"/>
              <w:jc w:val="center"/>
              <w:textAlignment w:val="auto"/>
              <w:rPr>
                <w:rFonts w:hint="eastAsia" w:ascii="宋体" w:hAnsi="宋体" w:eastAsia="宋体" w:cs="宋体"/>
                <w:sz w:val="24"/>
                <w:szCs w:val="24"/>
              </w:rPr>
            </w:pPr>
            <w:r>
              <w:rPr>
                <w:rFonts w:hint="eastAsia" w:ascii="宋体" w:hAnsi="宋体" w:eastAsia="宋体" w:cs="宋体"/>
                <w:color w:val="000000"/>
                <w:sz w:val="24"/>
                <w:szCs w:val="24"/>
              </w:rPr>
              <w:t>2.34</w:t>
            </w:r>
          </w:p>
        </w:tc>
        <w:tc>
          <w:tcPr>
            <w:tcW w:w="3616" w:type="dxa"/>
            <w:tcBorders>
              <w:top w:val="nil"/>
              <w:left w:val="nil"/>
              <w:bottom w:val="single" w:color="000000" w:sz="4" w:space="0"/>
              <w:right w:val="single" w:color="000000" w:sz="4" w:space="0"/>
            </w:tcBorders>
            <w:tcMar>
              <w:top w:w="0" w:type="dxa"/>
              <w:left w:w="105" w:type="dxa"/>
              <w:bottom w:w="0" w:type="dxa"/>
              <w:right w:w="105" w:type="dxa"/>
            </w:tcMar>
            <w:vAlign w:val="top"/>
          </w:tcPr>
          <w:p w14:paraId="63F0C4A2">
            <w:pPr>
              <w:pStyle w:val="6"/>
              <w:keepNext w:val="0"/>
              <w:keepLines w:val="0"/>
              <w:pageBreakBefore w:val="0"/>
              <w:widowControl/>
              <w:kinsoku/>
              <w:wordWrap/>
              <w:overflowPunct/>
              <w:topLinePunct w:val="0"/>
              <w:autoSpaceDE/>
              <w:autoSpaceDN/>
              <w:bidi w:val="0"/>
              <w:adjustRightInd/>
              <w:snapToGrid/>
              <w:spacing w:line="500" w:lineRule="exact"/>
              <w:ind w:firstLine="0"/>
              <w:jc w:val="both"/>
              <w:textAlignment w:val="auto"/>
              <w:rPr>
                <w:rFonts w:hint="eastAsia" w:ascii="宋体" w:hAnsi="宋体" w:eastAsia="宋体" w:cs="宋体"/>
                <w:sz w:val="24"/>
                <w:szCs w:val="24"/>
              </w:rPr>
            </w:pPr>
            <w:r>
              <w:rPr>
                <w:rFonts w:hint="eastAsia" w:ascii="宋体" w:hAnsi="宋体" w:eastAsia="宋体" w:cs="宋体"/>
                <w:color w:val="000000"/>
                <w:sz w:val="24"/>
                <w:szCs w:val="24"/>
              </w:rPr>
              <w:t>管理终端</w:t>
            </w:r>
          </w:p>
        </w:tc>
        <w:tc>
          <w:tcPr>
            <w:tcW w:w="1455" w:type="dxa"/>
            <w:tcBorders>
              <w:top w:val="nil"/>
              <w:left w:val="nil"/>
              <w:bottom w:val="single" w:color="000000" w:sz="4" w:space="0"/>
              <w:right w:val="single" w:color="000000" w:sz="4" w:space="0"/>
            </w:tcBorders>
            <w:tcMar>
              <w:top w:w="0" w:type="dxa"/>
              <w:left w:w="105" w:type="dxa"/>
              <w:bottom w:w="0" w:type="dxa"/>
              <w:right w:w="105" w:type="dxa"/>
            </w:tcMar>
            <w:vAlign w:val="top"/>
          </w:tcPr>
          <w:p w14:paraId="45DC37F1">
            <w:pPr>
              <w:pStyle w:val="6"/>
              <w:keepNext w:val="0"/>
              <w:keepLines w:val="0"/>
              <w:pageBreakBefore w:val="0"/>
              <w:widowControl/>
              <w:kinsoku/>
              <w:wordWrap/>
              <w:overflowPunct/>
              <w:topLinePunct w:val="0"/>
              <w:autoSpaceDE/>
              <w:autoSpaceDN/>
              <w:bidi w:val="0"/>
              <w:adjustRightInd/>
              <w:snapToGrid/>
              <w:spacing w:line="500" w:lineRule="exact"/>
              <w:ind w:firstLine="0"/>
              <w:jc w:val="center"/>
              <w:textAlignment w:val="auto"/>
              <w:rPr>
                <w:rFonts w:hint="eastAsia" w:ascii="宋体" w:hAnsi="宋体" w:eastAsia="宋体" w:cs="宋体"/>
                <w:sz w:val="24"/>
                <w:szCs w:val="24"/>
              </w:rPr>
            </w:pPr>
            <w:r>
              <w:rPr>
                <w:rFonts w:hint="eastAsia" w:ascii="宋体" w:hAnsi="宋体" w:eastAsia="宋体" w:cs="宋体"/>
                <w:color w:val="000000"/>
                <w:sz w:val="24"/>
                <w:szCs w:val="24"/>
              </w:rPr>
              <w:t>5台</w:t>
            </w:r>
          </w:p>
        </w:tc>
        <w:tc>
          <w:tcPr>
            <w:tcW w:w="2359" w:type="dxa"/>
            <w:tcBorders>
              <w:top w:val="nil"/>
              <w:left w:val="nil"/>
              <w:bottom w:val="single" w:color="000000" w:sz="4" w:space="0"/>
              <w:right w:val="single" w:color="000000" w:sz="4" w:space="0"/>
            </w:tcBorders>
            <w:tcMar>
              <w:top w:w="0" w:type="dxa"/>
              <w:left w:w="105" w:type="dxa"/>
              <w:bottom w:w="0" w:type="dxa"/>
              <w:right w:w="105" w:type="dxa"/>
            </w:tcMar>
            <w:vAlign w:val="top"/>
          </w:tcPr>
          <w:p w14:paraId="23152D2B">
            <w:pPr>
              <w:pStyle w:val="6"/>
              <w:keepNext w:val="0"/>
              <w:keepLines w:val="0"/>
              <w:pageBreakBefore w:val="0"/>
              <w:widowControl/>
              <w:kinsoku/>
              <w:wordWrap/>
              <w:overflowPunct/>
              <w:topLinePunct w:val="0"/>
              <w:autoSpaceDE/>
              <w:autoSpaceDN/>
              <w:bidi w:val="0"/>
              <w:adjustRightInd/>
              <w:snapToGrid/>
              <w:spacing w:line="500" w:lineRule="exact"/>
              <w:ind w:firstLine="0"/>
              <w:jc w:val="center"/>
              <w:textAlignment w:val="auto"/>
              <w:rPr>
                <w:rFonts w:hint="eastAsia" w:ascii="宋体" w:hAnsi="宋体" w:eastAsia="宋体" w:cs="宋体"/>
                <w:sz w:val="24"/>
                <w:szCs w:val="24"/>
              </w:rPr>
            </w:pPr>
            <w:r>
              <w:rPr>
                <w:rFonts w:hint="eastAsia" w:ascii="宋体" w:hAnsi="宋体" w:eastAsia="宋体" w:cs="宋体"/>
                <w:color w:val="000000"/>
                <w:sz w:val="24"/>
                <w:szCs w:val="24"/>
              </w:rPr>
              <w:t>2.650000</w:t>
            </w:r>
          </w:p>
        </w:tc>
      </w:tr>
      <w:tr w14:paraId="29C4EF8B">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99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218A0CD">
            <w:pPr>
              <w:pStyle w:val="6"/>
              <w:keepNext w:val="0"/>
              <w:keepLines w:val="0"/>
              <w:pageBreakBefore w:val="0"/>
              <w:widowControl/>
              <w:kinsoku/>
              <w:wordWrap/>
              <w:overflowPunct/>
              <w:topLinePunct w:val="0"/>
              <w:autoSpaceDE/>
              <w:autoSpaceDN/>
              <w:bidi w:val="0"/>
              <w:adjustRightInd/>
              <w:snapToGrid/>
              <w:spacing w:line="500" w:lineRule="exact"/>
              <w:ind w:firstLine="0"/>
              <w:jc w:val="center"/>
              <w:textAlignment w:val="auto"/>
              <w:rPr>
                <w:rFonts w:hint="eastAsia" w:ascii="宋体" w:hAnsi="宋体" w:eastAsia="宋体" w:cs="宋体"/>
                <w:sz w:val="24"/>
                <w:szCs w:val="24"/>
              </w:rPr>
            </w:pPr>
            <w:r>
              <w:rPr>
                <w:rFonts w:hint="eastAsia" w:ascii="宋体" w:hAnsi="宋体" w:eastAsia="宋体" w:cs="宋体"/>
                <w:color w:val="000000"/>
                <w:sz w:val="24"/>
                <w:szCs w:val="24"/>
              </w:rPr>
              <w:t>2.35</w:t>
            </w:r>
          </w:p>
        </w:tc>
        <w:tc>
          <w:tcPr>
            <w:tcW w:w="3616" w:type="dxa"/>
            <w:tcBorders>
              <w:top w:val="nil"/>
              <w:left w:val="nil"/>
              <w:bottom w:val="single" w:color="000000" w:sz="4" w:space="0"/>
              <w:right w:val="single" w:color="000000" w:sz="4" w:space="0"/>
            </w:tcBorders>
            <w:tcMar>
              <w:top w:w="0" w:type="dxa"/>
              <w:left w:w="105" w:type="dxa"/>
              <w:bottom w:w="0" w:type="dxa"/>
              <w:right w:w="105" w:type="dxa"/>
            </w:tcMar>
            <w:vAlign w:val="top"/>
          </w:tcPr>
          <w:p w14:paraId="2BD95400">
            <w:pPr>
              <w:pStyle w:val="6"/>
              <w:keepNext w:val="0"/>
              <w:keepLines w:val="0"/>
              <w:pageBreakBefore w:val="0"/>
              <w:widowControl/>
              <w:kinsoku/>
              <w:wordWrap/>
              <w:overflowPunct/>
              <w:topLinePunct w:val="0"/>
              <w:autoSpaceDE/>
              <w:autoSpaceDN/>
              <w:bidi w:val="0"/>
              <w:adjustRightInd/>
              <w:snapToGrid/>
              <w:spacing w:line="500" w:lineRule="exact"/>
              <w:ind w:firstLine="0"/>
              <w:jc w:val="both"/>
              <w:textAlignment w:val="auto"/>
              <w:rPr>
                <w:rFonts w:hint="eastAsia" w:ascii="宋体" w:hAnsi="宋体" w:eastAsia="宋体" w:cs="宋体"/>
                <w:sz w:val="24"/>
                <w:szCs w:val="24"/>
              </w:rPr>
            </w:pPr>
            <w:r>
              <w:rPr>
                <w:rFonts w:hint="eastAsia" w:ascii="宋体" w:hAnsi="宋体" w:eastAsia="宋体" w:cs="宋体"/>
                <w:color w:val="000000"/>
                <w:sz w:val="24"/>
                <w:szCs w:val="24"/>
              </w:rPr>
              <w:t>显示器</w:t>
            </w:r>
          </w:p>
        </w:tc>
        <w:tc>
          <w:tcPr>
            <w:tcW w:w="1455" w:type="dxa"/>
            <w:tcBorders>
              <w:top w:val="nil"/>
              <w:left w:val="nil"/>
              <w:bottom w:val="single" w:color="000000" w:sz="4" w:space="0"/>
              <w:right w:val="single" w:color="000000" w:sz="4" w:space="0"/>
            </w:tcBorders>
            <w:tcMar>
              <w:top w:w="0" w:type="dxa"/>
              <w:left w:w="105" w:type="dxa"/>
              <w:bottom w:w="0" w:type="dxa"/>
              <w:right w:w="105" w:type="dxa"/>
            </w:tcMar>
            <w:vAlign w:val="top"/>
          </w:tcPr>
          <w:p w14:paraId="5F69B2D1">
            <w:pPr>
              <w:pStyle w:val="6"/>
              <w:keepNext w:val="0"/>
              <w:keepLines w:val="0"/>
              <w:pageBreakBefore w:val="0"/>
              <w:widowControl/>
              <w:kinsoku/>
              <w:wordWrap/>
              <w:overflowPunct/>
              <w:topLinePunct w:val="0"/>
              <w:autoSpaceDE/>
              <w:autoSpaceDN/>
              <w:bidi w:val="0"/>
              <w:adjustRightInd/>
              <w:snapToGrid/>
              <w:spacing w:line="500" w:lineRule="exact"/>
              <w:ind w:firstLine="0"/>
              <w:jc w:val="center"/>
              <w:textAlignment w:val="auto"/>
              <w:rPr>
                <w:rFonts w:hint="eastAsia" w:ascii="宋体" w:hAnsi="宋体" w:eastAsia="宋体" w:cs="宋体"/>
                <w:sz w:val="24"/>
                <w:szCs w:val="24"/>
              </w:rPr>
            </w:pPr>
            <w:r>
              <w:rPr>
                <w:rFonts w:hint="eastAsia" w:ascii="宋体" w:hAnsi="宋体" w:eastAsia="宋体" w:cs="宋体"/>
                <w:color w:val="000000"/>
                <w:sz w:val="24"/>
                <w:szCs w:val="24"/>
              </w:rPr>
              <w:t>5台</w:t>
            </w:r>
          </w:p>
        </w:tc>
        <w:tc>
          <w:tcPr>
            <w:tcW w:w="2359" w:type="dxa"/>
            <w:tcBorders>
              <w:top w:val="nil"/>
              <w:left w:val="nil"/>
              <w:bottom w:val="single" w:color="000000" w:sz="4" w:space="0"/>
              <w:right w:val="single" w:color="000000" w:sz="4" w:space="0"/>
            </w:tcBorders>
            <w:tcMar>
              <w:top w:w="0" w:type="dxa"/>
              <w:left w:w="105" w:type="dxa"/>
              <w:bottom w:w="0" w:type="dxa"/>
              <w:right w:w="105" w:type="dxa"/>
            </w:tcMar>
            <w:vAlign w:val="top"/>
          </w:tcPr>
          <w:p w14:paraId="58E7AFFE">
            <w:pPr>
              <w:pStyle w:val="6"/>
              <w:keepNext w:val="0"/>
              <w:keepLines w:val="0"/>
              <w:pageBreakBefore w:val="0"/>
              <w:widowControl/>
              <w:kinsoku/>
              <w:wordWrap/>
              <w:overflowPunct/>
              <w:topLinePunct w:val="0"/>
              <w:autoSpaceDE/>
              <w:autoSpaceDN/>
              <w:bidi w:val="0"/>
              <w:adjustRightInd/>
              <w:snapToGrid/>
              <w:spacing w:line="500" w:lineRule="exact"/>
              <w:ind w:firstLine="0"/>
              <w:jc w:val="center"/>
              <w:textAlignment w:val="auto"/>
              <w:rPr>
                <w:rFonts w:hint="eastAsia" w:ascii="宋体" w:hAnsi="宋体" w:eastAsia="宋体" w:cs="宋体"/>
                <w:sz w:val="24"/>
                <w:szCs w:val="24"/>
              </w:rPr>
            </w:pPr>
            <w:r>
              <w:rPr>
                <w:rFonts w:hint="eastAsia" w:ascii="宋体" w:hAnsi="宋体" w:eastAsia="宋体" w:cs="宋体"/>
                <w:color w:val="000000"/>
                <w:sz w:val="24"/>
                <w:szCs w:val="24"/>
              </w:rPr>
              <w:t>0.225000</w:t>
            </w:r>
          </w:p>
        </w:tc>
      </w:tr>
      <w:tr w14:paraId="41DD09A9">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99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6DFDE22E">
            <w:pPr>
              <w:pStyle w:val="6"/>
              <w:keepNext w:val="0"/>
              <w:keepLines w:val="0"/>
              <w:pageBreakBefore w:val="0"/>
              <w:widowControl/>
              <w:kinsoku/>
              <w:wordWrap/>
              <w:overflowPunct/>
              <w:topLinePunct w:val="0"/>
              <w:autoSpaceDE/>
              <w:autoSpaceDN/>
              <w:bidi w:val="0"/>
              <w:adjustRightInd/>
              <w:snapToGrid/>
              <w:spacing w:line="500" w:lineRule="exact"/>
              <w:ind w:firstLine="0"/>
              <w:jc w:val="center"/>
              <w:textAlignment w:val="auto"/>
              <w:rPr>
                <w:rFonts w:hint="eastAsia" w:ascii="宋体" w:hAnsi="宋体" w:eastAsia="宋体" w:cs="宋体"/>
                <w:sz w:val="24"/>
                <w:szCs w:val="24"/>
              </w:rPr>
            </w:pPr>
            <w:r>
              <w:rPr>
                <w:rFonts w:hint="eastAsia" w:ascii="宋体" w:hAnsi="宋体" w:eastAsia="宋体" w:cs="宋体"/>
                <w:color w:val="000000"/>
                <w:sz w:val="24"/>
                <w:szCs w:val="24"/>
              </w:rPr>
              <w:t>2.36</w:t>
            </w:r>
          </w:p>
        </w:tc>
        <w:tc>
          <w:tcPr>
            <w:tcW w:w="3616" w:type="dxa"/>
            <w:tcBorders>
              <w:top w:val="nil"/>
              <w:left w:val="nil"/>
              <w:bottom w:val="single" w:color="000000" w:sz="4" w:space="0"/>
              <w:right w:val="single" w:color="000000" w:sz="4" w:space="0"/>
            </w:tcBorders>
            <w:tcMar>
              <w:top w:w="0" w:type="dxa"/>
              <w:left w:w="105" w:type="dxa"/>
              <w:bottom w:w="0" w:type="dxa"/>
              <w:right w:w="105" w:type="dxa"/>
            </w:tcMar>
            <w:vAlign w:val="top"/>
          </w:tcPr>
          <w:p w14:paraId="0765407E">
            <w:pPr>
              <w:pStyle w:val="6"/>
              <w:keepNext w:val="0"/>
              <w:keepLines w:val="0"/>
              <w:pageBreakBefore w:val="0"/>
              <w:widowControl/>
              <w:kinsoku/>
              <w:wordWrap/>
              <w:overflowPunct/>
              <w:topLinePunct w:val="0"/>
              <w:autoSpaceDE/>
              <w:autoSpaceDN/>
              <w:bidi w:val="0"/>
              <w:adjustRightInd/>
              <w:snapToGrid/>
              <w:spacing w:line="500" w:lineRule="exact"/>
              <w:ind w:firstLine="0"/>
              <w:jc w:val="both"/>
              <w:textAlignment w:val="auto"/>
              <w:rPr>
                <w:rFonts w:hint="eastAsia" w:ascii="宋体" w:hAnsi="宋体" w:eastAsia="宋体" w:cs="宋体"/>
                <w:sz w:val="24"/>
                <w:szCs w:val="24"/>
              </w:rPr>
            </w:pPr>
            <w:r>
              <w:rPr>
                <w:rFonts w:hint="eastAsia" w:ascii="宋体" w:hAnsi="宋体" w:eastAsia="宋体" w:cs="宋体"/>
                <w:color w:val="000000"/>
                <w:sz w:val="24"/>
                <w:szCs w:val="24"/>
              </w:rPr>
              <w:t>蓄电池</w:t>
            </w:r>
          </w:p>
        </w:tc>
        <w:tc>
          <w:tcPr>
            <w:tcW w:w="1455" w:type="dxa"/>
            <w:tcBorders>
              <w:top w:val="nil"/>
              <w:left w:val="nil"/>
              <w:bottom w:val="single" w:color="000000" w:sz="4" w:space="0"/>
              <w:right w:val="single" w:color="000000" w:sz="4" w:space="0"/>
            </w:tcBorders>
            <w:tcMar>
              <w:top w:w="0" w:type="dxa"/>
              <w:left w:w="105" w:type="dxa"/>
              <w:bottom w:w="0" w:type="dxa"/>
              <w:right w:w="105" w:type="dxa"/>
            </w:tcMar>
            <w:vAlign w:val="top"/>
          </w:tcPr>
          <w:p w14:paraId="5084F36F">
            <w:pPr>
              <w:pStyle w:val="6"/>
              <w:keepNext w:val="0"/>
              <w:keepLines w:val="0"/>
              <w:pageBreakBefore w:val="0"/>
              <w:widowControl/>
              <w:kinsoku/>
              <w:wordWrap/>
              <w:overflowPunct/>
              <w:topLinePunct w:val="0"/>
              <w:autoSpaceDE/>
              <w:autoSpaceDN/>
              <w:bidi w:val="0"/>
              <w:adjustRightInd/>
              <w:snapToGrid/>
              <w:spacing w:line="500" w:lineRule="exact"/>
              <w:ind w:firstLine="0"/>
              <w:jc w:val="center"/>
              <w:textAlignment w:val="auto"/>
              <w:rPr>
                <w:rFonts w:hint="eastAsia" w:ascii="宋体" w:hAnsi="宋体" w:eastAsia="宋体" w:cs="宋体"/>
                <w:sz w:val="24"/>
                <w:szCs w:val="24"/>
              </w:rPr>
            </w:pPr>
            <w:r>
              <w:rPr>
                <w:rFonts w:hint="eastAsia" w:ascii="宋体" w:hAnsi="宋体" w:eastAsia="宋体" w:cs="宋体"/>
                <w:color w:val="000000"/>
                <w:sz w:val="24"/>
                <w:szCs w:val="24"/>
              </w:rPr>
              <w:t>1套</w:t>
            </w:r>
          </w:p>
        </w:tc>
        <w:tc>
          <w:tcPr>
            <w:tcW w:w="2359" w:type="dxa"/>
            <w:tcBorders>
              <w:top w:val="nil"/>
              <w:left w:val="nil"/>
              <w:bottom w:val="single" w:color="000000" w:sz="4" w:space="0"/>
              <w:right w:val="single" w:color="000000" w:sz="4" w:space="0"/>
            </w:tcBorders>
            <w:tcMar>
              <w:top w:w="0" w:type="dxa"/>
              <w:left w:w="105" w:type="dxa"/>
              <w:bottom w:w="0" w:type="dxa"/>
              <w:right w:w="105" w:type="dxa"/>
            </w:tcMar>
            <w:vAlign w:val="top"/>
          </w:tcPr>
          <w:p w14:paraId="4F90E9AC">
            <w:pPr>
              <w:pStyle w:val="6"/>
              <w:keepNext w:val="0"/>
              <w:keepLines w:val="0"/>
              <w:pageBreakBefore w:val="0"/>
              <w:widowControl/>
              <w:kinsoku/>
              <w:wordWrap/>
              <w:overflowPunct/>
              <w:topLinePunct w:val="0"/>
              <w:autoSpaceDE/>
              <w:autoSpaceDN/>
              <w:bidi w:val="0"/>
              <w:adjustRightInd/>
              <w:snapToGrid/>
              <w:spacing w:line="500" w:lineRule="exact"/>
              <w:ind w:firstLine="0"/>
              <w:jc w:val="center"/>
              <w:textAlignment w:val="auto"/>
              <w:rPr>
                <w:rFonts w:hint="eastAsia" w:ascii="宋体" w:hAnsi="宋体" w:eastAsia="宋体" w:cs="宋体"/>
                <w:sz w:val="24"/>
                <w:szCs w:val="24"/>
              </w:rPr>
            </w:pPr>
            <w:r>
              <w:rPr>
                <w:rFonts w:hint="eastAsia" w:ascii="宋体" w:hAnsi="宋体" w:eastAsia="宋体" w:cs="宋体"/>
                <w:color w:val="000000"/>
                <w:sz w:val="24"/>
                <w:szCs w:val="24"/>
              </w:rPr>
              <w:t>1.800000</w:t>
            </w:r>
          </w:p>
        </w:tc>
      </w:tr>
      <w:tr w14:paraId="143E5529">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99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EA7ECFE">
            <w:pPr>
              <w:pStyle w:val="6"/>
              <w:keepNext w:val="0"/>
              <w:keepLines w:val="0"/>
              <w:pageBreakBefore w:val="0"/>
              <w:widowControl/>
              <w:kinsoku/>
              <w:wordWrap/>
              <w:overflowPunct/>
              <w:topLinePunct w:val="0"/>
              <w:autoSpaceDE/>
              <w:autoSpaceDN/>
              <w:bidi w:val="0"/>
              <w:adjustRightInd/>
              <w:snapToGrid/>
              <w:spacing w:line="500" w:lineRule="exact"/>
              <w:ind w:firstLine="0"/>
              <w:jc w:val="center"/>
              <w:textAlignment w:val="auto"/>
              <w:rPr>
                <w:rFonts w:hint="eastAsia" w:ascii="宋体" w:hAnsi="宋体" w:eastAsia="宋体" w:cs="宋体"/>
                <w:sz w:val="24"/>
                <w:szCs w:val="24"/>
              </w:rPr>
            </w:pPr>
            <w:r>
              <w:rPr>
                <w:rFonts w:hint="eastAsia" w:ascii="宋体" w:hAnsi="宋体" w:eastAsia="宋体" w:cs="宋体"/>
                <w:color w:val="000000"/>
                <w:sz w:val="24"/>
                <w:szCs w:val="24"/>
              </w:rPr>
              <w:t>2.37</w:t>
            </w:r>
          </w:p>
        </w:tc>
        <w:tc>
          <w:tcPr>
            <w:tcW w:w="3616" w:type="dxa"/>
            <w:tcBorders>
              <w:top w:val="nil"/>
              <w:left w:val="nil"/>
              <w:bottom w:val="single" w:color="000000" w:sz="4" w:space="0"/>
              <w:right w:val="single" w:color="000000" w:sz="4" w:space="0"/>
            </w:tcBorders>
            <w:tcMar>
              <w:top w:w="0" w:type="dxa"/>
              <w:left w:w="105" w:type="dxa"/>
              <w:bottom w:w="0" w:type="dxa"/>
              <w:right w:w="105" w:type="dxa"/>
            </w:tcMar>
            <w:vAlign w:val="top"/>
          </w:tcPr>
          <w:p w14:paraId="5111DDCA">
            <w:pPr>
              <w:pStyle w:val="6"/>
              <w:keepNext w:val="0"/>
              <w:keepLines w:val="0"/>
              <w:pageBreakBefore w:val="0"/>
              <w:widowControl/>
              <w:kinsoku/>
              <w:wordWrap/>
              <w:overflowPunct/>
              <w:topLinePunct w:val="0"/>
              <w:autoSpaceDE/>
              <w:autoSpaceDN/>
              <w:bidi w:val="0"/>
              <w:adjustRightInd/>
              <w:snapToGrid/>
              <w:spacing w:line="500" w:lineRule="exact"/>
              <w:ind w:firstLine="0"/>
              <w:jc w:val="both"/>
              <w:textAlignment w:val="auto"/>
              <w:rPr>
                <w:rFonts w:hint="eastAsia" w:ascii="宋体" w:hAnsi="宋体" w:eastAsia="宋体" w:cs="宋体"/>
                <w:sz w:val="24"/>
                <w:szCs w:val="24"/>
              </w:rPr>
            </w:pPr>
            <w:r>
              <w:rPr>
                <w:rFonts w:hint="eastAsia" w:ascii="宋体" w:hAnsi="宋体" w:eastAsia="宋体" w:cs="宋体"/>
                <w:color w:val="000000"/>
                <w:sz w:val="24"/>
                <w:szCs w:val="24"/>
              </w:rPr>
              <w:t>核心业务负载应急供电</w:t>
            </w:r>
          </w:p>
        </w:tc>
        <w:tc>
          <w:tcPr>
            <w:tcW w:w="1455" w:type="dxa"/>
            <w:tcBorders>
              <w:top w:val="nil"/>
              <w:left w:val="nil"/>
              <w:bottom w:val="single" w:color="000000" w:sz="4" w:space="0"/>
              <w:right w:val="single" w:color="000000" w:sz="4" w:space="0"/>
            </w:tcBorders>
            <w:tcMar>
              <w:top w:w="0" w:type="dxa"/>
              <w:left w:w="105" w:type="dxa"/>
              <w:bottom w:w="0" w:type="dxa"/>
              <w:right w:w="105" w:type="dxa"/>
            </w:tcMar>
            <w:vAlign w:val="top"/>
          </w:tcPr>
          <w:p w14:paraId="1454174D">
            <w:pPr>
              <w:pStyle w:val="6"/>
              <w:keepNext w:val="0"/>
              <w:keepLines w:val="0"/>
              <w:pageBreakBefore w:val="0"/>
              <w:widowControl/>
              <w:kinsoku/>
              <w:wordWrap/>
              <w:overflowPunct/>
              <w:topLinePunct w:val="0"/>
              <w:autoSpaceDE/>
              <w:autoSpaceDN/>
              <w:bidi w:val="0"/>
              <w:adjustRightInd/>
              <w:snapToGrid/>
              <w:spacing w:line="500" w:lineRule="exact"/>
              <w:ind w:firstLine="0"/>
              <w:jc w:val="center"/>
              <w:textAlignment w:val="auto"/>
              <w:rPr>
                <w:rFonts w:hint="eastAsia" w:ascii="宋体" w:hAnsi="宋体" w:eastAsia="宋体" w:cs="宋体"/>
                <w:sz w:val="24"/>
                <w:szCs w:val="24"/>
              </w:rPr>
            </w:pPr>
            <w:r>
              <w:rPr>
                <w:rFonts w:hint="eastAsia" w:ascii="宋体" w:hAnsi="宋体" w:eastAsia="宋体" w:cs="宋体"/>
                <w:color w:val="000000"/>
                <w:sz w:val="24"/>
                <w:szCs w:val="24"/>
              </w:rPr>
              <w:t>1套</w:t>
            </w:r>
          </w:p>
        </w:tc>
        <w:tc>
          <w:tcPr>
            <w:tcW w:w="2359" w:type="dxa"/>
            <w:tcBorders>
              <w:top w:val="nil"/>
              <w:left w:val="nil"/>
              <w:bottom w:val="single" w:color="000000" w:sz="4" w:space="0"/>
              <w:right w:val="single" w:color="000000" w:sz="4" w:space="0"/>
            </w:tcBorders>
            <w:tcMar>
              <w:top w:w="0" w:type="dxa"/>
              <w:left w:w="105" w:type="dxa"/>
              <w:bottom w:w="0" w:type="dxa"/>
              <w:right w:w="105" w:type="dxa"/>
            </w:tcMar>
            <w:vAlign w:val="top"/>
          </w:tcPr>
          <w:p w14:paraId="4864E2EA">
            <w:pPr>
              <w:pStyle w:val="6"/>
              <w:keepNext w:val="0"/>
              <w:keepLines w:val="0"/>
              <w:pageBreakBefore w:val="0"/>
              <w:widowControl/>
              <w:kinsoku/>
              <w:wordWrap/>
              <w:overflowPunct/>
              <w:topLinePunct w:val="0"/>
              <w:autoSpaceDE/>
              <w:autoSpaceDN/>
              <w:bidi w:val="0"/>
              <w:adjustRightInd/>
              <w:snapToGrid/>
              <w:spacing w:line="500" w:lineRule="exact"/>
              <w:ind w:firstLine="0"/>
              <w:jc w:val="center"/>
              <w:textAlignment w:val="auto"/>
              <w:rPr>
                <w:rFonts w:hint="eastAsia" w:ascii="宋体" w:hAnsi="宋体" w:eastAsia="宋体" w:cs="宋体"/>
                <w:sz w:val="24"/>
                <w:szCs w:val="24"/>
              </w:rPr>
            </w:pPr>
            <w:r>
              <w:rPr>
                <w:rFonts w:hint="eastAsia" w:ascii="宋体" w:hAnsi="宋体" w:eastAsia="宋体" w:cs="宋体"/>
                <w:color w:val="000000"/>
                <w:sz w:val="24"/>
                <w:szCs w:val="24"/>
              </w:rPr>
              <w:t>3.000000</w:t>
            </w:r>
          </w:p>
        </w:tc>
      </w:tr>
      <w:tr w14:paraId="74BEA196">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99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7A94C851">
            <w:pPr>
              <w:pStyle w:val="6"/>
              <w:keepNext w:val="0"/>
              <w:keepLines w:val="0"/>
              <w:pageBreakBefore w:val="0"/>
              <w:widowControl/>
              <w:kinsoku/>
              <w:wordWrap/>
              <w:overflowPunct/>
              <w:topLinePunct w:val="0"/>
              <w:autoSpaceDE/>
              <w:autoSpaceDN/>
              <w:bidi w:val="0"/>
              <w:adjustRightInd/>
              <w:snapToGrid/>
              <w:spacing w:line="500" w:lineRule="exact"/>
              <w:ind w:firstLine="0"/>
              <w:jc w:val="center"/>
              <w:textAlignment w:val="auto"/>
              <w:rPr>
                <w:rFonts w:hint="eastAsia" w:ascii="宋体" w:hAnsi="宋体" w:eastAsia="宋体" w:cs="宋体"/>
                <w:sz w:val="24"/>
                <w:szCs w:val="24"/>
              </w:rPr>
            </w:pPr>
            <w:r>
              <w:rPr>
                <w:rFonts w:hint="eastAsia" w:ascii="宋体" w:hAnsi="宋体" w:eastAsia="宋体" w:cs="宋体"/>
                <w:color w:val="000000"/>
                <w:sz w:val="24"/>
                <w:szCs w:val="24"/>
              </w:rPr>
              <w:t>2.38</w:t>
            </w:r>
          </w:p>
        </w:tc>
        <w:tc>
          <w:tcPr>
            <w:tcW w:w="3616" w:type="dxa"/>
            <w:tcBorders>
              <w:top w:val="nil"/>
              <w:left w:val="nil"/>
              <w:bottom w:val="single" w:color="000000" w:sz="4" w:space="0"/>
              <w:right w:val="single" w:color="000000" w:sz="4" w:space="0"/>
            </w:tcBorders>
            <w:tcMar>
              <w:top w:w="0" w:type="dxa"/>
              <w:left w:w="105" w:type="dxa"/>
              <w:bottom w:w="0" w:type="dxa"/>
              <w:right w:w="105" w:type="dxa"/>
            </w:tcMar>
            <w:vAlign w:val="top"/>
          </w:tcPr>
          <w:p w14:paraId="582CADC1">
            <w:pPr>
              <w:pStyle w:val="6"/>
              <w:keepNext w:val="0"/>
              <w:keepLines w:val="0"/>
              <w:pageBreakBefore w:val="0"/>
              <w:widowControl/>
              <w:kinsoku/>
              <w:wordWrap/>
              <w:overflowPunct/>
              <w:topLinePunct w:val="0"/>
              <w:autoSpaceDE/>
              <w:autoSpaceDN/>
              <w:bidi w:val="0"/>
              <w:adjustRightInd/>
              <w:snapToGrid/>
              <w:spacing w:line="500" w:lineRule="exact"/>
              <w:ind w:firstLine="0"/>
              <w:jc w:val="both"/>
              <w:textAlignment w:val="auto"/>
              <w:rPr>
                <w:rFonts w:hint="eastAsia" w:ascii="宋体" w:hAnsi="宋体" w:eastAsia="宋体" w:cs="宋体"/>
                <w:sz w:val="24"/>
                <w:szCs w:val="24"/>
              </w:rPr>
            </w:pPr>
            <w:r>
              <w:rPr>
                <w:rFonts w:hint="eastAsia" w:ascii="宋体" w:hAnsi="宋体" w:eastAsia="宋体" w:cs="宋体"/>
                <w:color w:val="000000"/>
                <w:sz w:val="24"/>
                <w:szCs w:val="24"/>
              </w:rPr>
              <w:t>温湿度传感器</w:t>
            </w:r>
          </w:p>
        </w:tc>
        <w:tc>
          <w:tcPr>
            <w:tcW w:w="1455" w:type="dxa"/>
            <w:tcBorders>
              <w:top w:val="nil"/>
              <w:left w:val="nil"/>
              <w:bottom w:val="single" w:color="000000" w:sz="4" w:space="0"/>
              <w:right w:val="single" w:color="000000" w:sz="4" w:space="0"/>
            </w:tcBorders>
            <w:tcMar>
              <w:top w:w="0" w:type="dxa"/>
              <w:left w:w="105" w:type="dxa"/>
              <w:bottom w:w="0" w:type="dxa"/>
              <w:right w:w="105" w:type="dxa"/>
            </w:tcMar>
            <w:vAlign w:val="top"/>
          </w:tcPr>
          <w:p w14:paraId="7A537ED9">
            <w:pPr>
              <w:pStyle w:val="6"/>
              <w:keepNext w:val="0"/>
              <w:keepLines w:val="0"/>
              <w:pageBreakBefore w:val="0"/>
              <w:widowControl/>
              <w:kinsoku/>
              <w:wordWrap/>
              <w:overflowPunct/>
              <w:topLinePunct w:val="0"/>
              <w:autoSpaceDE/>
              <w:autoSpaceDN/>
              <w:bidi w:val="0"/>
              <w:adjustRightInd/>
              <w:snapToGrid/>
              <w:spacing w:line="500" w:lineRule="exact"/>
              <w:ind w:firstLine="0"/>
              <w:jc w:val="center"/>
              <w:textAlignment w:val="auto"/>
              <w:rPr>
                <w:rFonts w:hint="eastAsia" w:ascii="宋体" w:hAnsi="宋体" w:eastAsia="宋体" w:cs="宋体"/>
                <w:sz w:val="24"/>
                <w:szCs w:val="24"/>
              </w:rPr>
            </w:pPr>
            <w:r>
              <w:rPr>
                <w:rFonts w:hint="eastAsia" w:ascii="宋体" w:hAnsi="宋体" w:eastAsia="宋体" w:cs="宋体"/>
                <w:color w:val="000000"/>
                <w:sz w:val="24"/>
                <w:szCs w:val="24"/>
              </w:rPr>
              <w:t>2台</w:t>
            </w:r>
          </w:p>
        </w:tc>
        <w:tc>
          <w:tcPr>
            <w:tcW w:w="2359" w:type="dxa"/>
            <w:tcBorders>
              <w:top w:val="nil"/>
              <w:left w:val="nil"/>
              <w:bottom w:val="single" w:color="000000" w:sz="4" w:space="0"/>
              <w:right w:val="single" w:color="000000" w:sz="4" w:space="0"/>
            </w:tcBorders>
            <w:tcMar>
              <w:top w:w="0" w:type="dxa"/>
              <w:left w:w="105" w:type="dxa"/>
              <w:bottom w:w="0" w:type="dxa"/>
              <w:right w:w="105" w:type="dxa"/>
            </w:tcMar>
            <w:vAlign w:val="top"/>
          </w:tcPr>
          <w:p w14:paraId="711118C6">
            <w:pPr>
              <w:pStyle w:val="6"/>
              <w:keepNext w:val="0"/>
              <w:keepLines w:val="0"/>
              <w:pageBreakBefore w:val="0"/>
              <w:widowControl/>
              <w:kinsoku/>
              <w:wordWrap/>
              <w:overflowPunct/>
              <w:topLinePunct w:val="0"/>
              <w:autoSpaceDE/>
              <w:autoSpaceDN/>
              <w:bidi w:val="0"/>
              <w:adjustRightInd/>
              <w:snapToGrid/>
              <w:spacing w:line="500" w:lineRule="exact"/>
              <w:ind w:firstLine="0"/>
              <w:jc w:val="center"/>
              <w:textAlignment w:val="auto"/>
              <w:rPr>
                <w:rFonts w:hint="eastAsia" w:ascii="宋体" w:hAnsi="宋体" w:eastAsia="宋体" w:cs="宋体"/>
                <w:sz w:val="24"/>
                <w:szCs w:val="24"/>
              </w:rPr>
            </w:pPr>
            <w:r>
              <w:rPr>
                <w:rFonts w:hint="eastAsia" w:ascii="宋体" w:hAnsi="宋体" w:eastAsia="宋体" w:cs="宋体"/>
                <w:color w:val="000000"/>
                <w:sz w:val="24"/>
                <w:szCs w:val="24"/>
              </w:rPr>
              <w:t>0.080000</w:t>
            </w:r>
          </w:p>
        </w:tc>
      </w:tr>
      <w:tr w14:paraId="773B272E">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99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CF6F63B">
            <w:pPr>
              <w:pStyle w:val="6"/>
              <w:keepNext w:val="0"/>
              <w:keepLines w:val="0"/>
              <w:pageBreakBefore w:val="0"/>
              <w:widowControl/>
              <w:kinsoku/>
              <w:wordWrap/>
              <w:overflowPunct/>
              <w:topLinePunct w:val="0"/>
              <w:autoSpaceDE/>
              <w:autoSpaceDN/>
              <w:bidi w:val="0"/>
              <w:adjustRightInd/>
              <w:snapToGrid/>
              <w:spacing w:line="500" w:lineRule="exact"/>
              <w:ind w:firstLine="0"/>
              <w:jc w:val="center"/>
              <w:textAlignment w:val="auto"/>
              <w:rPr>
                <w:rFonts w:hint="eastAsia" w:ascii="宋体" w:hAnsi="宋体" w:eastAsia="宋体" w:cs="宋体"/>
                <w:sz w:val="24"/>
                <w:szCs w:val="24"/>
              </w:rPr>
            </w:pPr>
            <w:r>
              <w:rPr>
                <w:rFonts w:hint="eastAsia" w:ascii="宋体" w:hAnsi="宋体" w:eastAsia="宋体" w:cs="宋体"/>
                <w:color w:val="000000"/>
                <w:sz w:val="24"/>
                <w:szCs w:val="24"/>
              </w:rPr>
              <w:t>2.39</w:t>
            </w:r>
          </w:p>
        </w:tc>
        <w:tc>
          <w:tcPr>
            <w:tcW w:w="3616" w:type="dxa"/>
            <w:tcBorders>
              <w:top w:val="nil"/>
              <w:left w:val="nil"/>
              <w:bottom w:val="single" w:color="000000" w:sz="4" w:space="0"/>
              <w:right w:val="single" w:color="000000" w:sz="4" w:space="0"/>
            </w:tcBorders>
            <w:tcMar>
              <w:top w:w="0" w:type="dxa"/>
              <w:left w:w="105" w:type="dxa"/>
              <w:bottom w:w="0" w:type="dxa"/>
              <w:right w:w="105" w:type="dxa"/>
            </w:tcMar>
            <w:vAlign w:val="top"/>
          </w:tcPr>
          <w:p w14:paraId="5B5A9133">
            <w:pPr>
              <w:pStyle w:val="6"/>
              <w:keepNext w:val="0"/>
              <w:keepLines w:val="0"/>
              <w:pageBreakBefore w:val="0"/>
              <w:widowControl/>
              <w:kinsoku/>
              <w:wordWrap/>
              <w:overflowPunct/>
              <w:topLinePunct w:val="0"/>
              <w:autoSpaceDE/>
              <w:autoSpaceDN/>
              <w:bidi w:val="0"/>
              <w:adjustRightInd/>
              <w:snapToGrid/>
              <w:spacing w:line="500" w:lineRule="exact"/>
              <w:ind w:firstLine="0"/>
              <w:jc w:val="both"/>
              <w:textAlignment w:val="auto"/>
              <w:rPr>
                <w:rFonts w:hint="eastAsia" w:ascii="宋体" w:hAnsi="宋体" w:eastAsia="宋体" w:cs="宋体"/>
                <w:sz w:val="24"/>
                <w:szCs w:val="24"/>
              </w:rPr>
            </w:pPr>
            <w:r>
              <w:rPr>
                <w:rFonts w:hint="eastAsia" w:ascii="宋体" w:hAnsi="宋体" w:eastAsia="宋体" w:cs="宋体"/>
                <w:color w:val="000000"/>
                <w:sz w:val="24"/>
                <w:szCs w:val="24"/>
              </w:rPr>
              <w:t>漏水传感器</w:t>
            </w:r>
          </w:p>
        </w:tc>
        <w:tc>
          <w:tcPr>
            <w:tcW w:w="1455" w:type="dxa"/>
            <w:tcBorders>
              <w:top w:val="nil"/>
              <w:left w:val="nil"/>
              <w:bottom w:val="single" w:color="000000" w:sz="4" w:space="0"/>
              <w:right w:val="single" w:color="000000" w:sz="4" w:space="0"/>
            </w:tcBorders>
            <w:tcMar>
              <w:top w:w="0" w:type="dxa"/>
              <w:left w:w="105" w:type="dxa"/>
              <w:bottom w:w="0" w:type="dxa"/>
              <w:right w:w="105" w:type="dxa"/>
            </w:tcMar>
            <w:vAlign w:val="top"/>
          </w:tcPr>
          <w:p w14:paraId="1C825F55">
            <w:pPr>
              <w:pStyle w:val="6"/>
              <w:keepNext w:val="0"/>
              <w:keepLines w:val="0"/>
              <w:pageBreakBefore w:val="0"/>
              <w:widowControl/>
              <w:kinsoku/>
              <w:wordWrap/>
              <w:overflowPunct/>
              <w:topLinePunct w:val="0"/>
              <w:autoSpaceDE/>
              <w:autoSpaceDN/>
              <w:bidi w:val="0"/>
              <w:adjustRightInd/>
              <w:snapToGrid/>
              <w:spacing w:line="500" w:lineRule="exact"/>
              <w:ind w:firstLine="0"/>
              <w:jc w:val="center"/>
              <w:textAlignment w:val="auto"/>
              <w:rPr>
                <w:rFonts w:hint="eastAsia" w:ascii="宋体" w:hAnsi="宋体" w:eastAsia="宋体" w:cs="宋体"/>
                <w:sz w:val="24"/>
                <w:szCs w:val="24"/>
              </w:rPr>
            </w:pPr>
            <w:r>
              <w:rPr>
                <w:rFonts w:hint="eastAsia" w:ascii="宋体" w:hAnsi="宋体" w:eastAsia="宋体" w:cs="宋体"/>
                <w:color w:val="000000"/>
                <w:sz w:val="24"/>
                <w:szCs w:val="24"/>
              </w:rPr>
              <w:t>2台</w:t>
            </w:r>
          </w:p>
        </w:tc>
        <w:tc>
          <w:tcPr>
            <w:tcW w:w="2359" w:type="dxa"/>
            <w:tcBorders>
              <w:top w:val="nil"/>
              <w:left w:val="nil"/>
              <w:bottom w:val="single" w:color="000000" w:sz="4" w:space="0"/>
              <w:right w:val="single" w:color="000000" w:sz="4" w:space="0"/>
            </w:tcBorders>
            <w:tcMar>
              <w:top w:w="0" w:type="dxa"/>
              <w:left w:w="105" w:type="dxa"/>
              <w:bottom w:w="0" w:type="dxa"/>
              <w:right w:w="105" w:type="dxa"/>
            </w:tcMar>
            <w:vAlign w:val="top"/>
          </w:tcPr>
          <w:p w14:paraId="1DAD8AD5">
            <w:pPr>
              <w:pStyle w:val="6"/>
              <w:keepNext w:val="0"/>
              <w:keepLines w:val="0"/>
              <w:pageBreakBefore w:val="0"/>
              <w:widowControl/>
              <w:kinsoku/>
              <w:wordWrap/>
              <w:overflowPunct/>
              <w:topLinePunct w:val="0"/>
              <w:autoSpaceDE/>
              <w:autoSpaceDN/>
              <w:bidi w:val="0"/>
              <w:adjustRightInd/>
              <w:snapToGrid/>
              <w:spacing w:line="500" w:lineRule="exact"/>
              <w:ind w:firstLine="0"/>
              <w:jc w:val="center"/>
              <w:textAlignment w:val="auto"/>
              <w:rPr>
                <w:rFonts w:hint="eastAsia" w:ascii="宋体" w:hAnsi="宋体" w:eastAsia="宋体" w:cs="宋体"/>
                <w:sz w:val="24"/>
                <w:szCs w:val="24"/>
              </w:rPr>
            </w:pPr>
            <w:r>
              <w:rPr>
                <w:rFonts w:hint="eastAsia" w:ascii="宋体" w:hAnsi="宋体" w:eastAsia="宋体" w:cs="宋体"/>
                <w:color w:val="000000"/>
                <w:sz w:val="24"/>
                <w:szCs w:val="24"/>
              </w:rPr>
              <w:t>0.060000</w:t>
            </w:r>
          </w:p>
        </w:tc>
      </w:tr>
      <w:tr w14:paraId="045723ED">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99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5C953F62">
            <w:pPr>
              <w:pStyle w:val="6"/>
              <w:keepNext w:val="0"/>
              <w:keepLines w:val="0"/>
              <w:pageBreakBefore w:val="0"/>
              <w:widowControl/>
              <w:kinsoku/>
              <w:wordWrap/>
              <w:overflowPunct/>
              <w:topLinePunct w:val="0"/>
              <w:autoSpaceDE/>
              <w:autoSpaceDN/>
              <w:bidi w:val="0"/>
              <w:adjustRightInd/>
              <w:snapToGrid/>
              <w:spacing w:line="500" w:lineRule="exact"/>
              <w:ind w:firstLine="0"/>
              <w:jc w:val="center"/>
              <w:textAlignment w:val="auto"/>
              <w:rPr>
                <w:rFonts w:hint="eastAsia" w:ascii="宋体" w:hAnsi="宋体" w:eastAsia="宋体" w:cs="宋体"/>
                <w:sz w:val="24"/>
                <w:szCs w:val="24"/>
              </w:rPr>
            </w:pPr>
            <w:r>
              <w:rPr>
                <w:rFonts w:hint="eastAsia" w:ascii="宋体" w:hAnsi="宋体" w:eastAsia="宋体" w:cs="宋体"/>
                <w:color w:val="000000"/>
                <w:sz w:val="24"/>
                <w:szCs w:val="24"/>
              </w:rPr>
              <w:t>2.40</w:t>
            </w:r>
          </w:p>
        </w:tc>
        <w:tc>
          <w:tcPr>
            <w:tcW w:w="3616" w:type="dxa"/>
            <w:tcBorders>
              <w:top w:val="nil"/>
              <w:left w:val="nil"/>
              <w:bottom w:val="single" w:color="000000" w:sz="4" w:space="0"/>
              <w:right w:val="single" w:color="000000" w:sz="4" w:space="0"/>
            </w:tcBorders>
            <w:tcMar>
              <w:top w:w="0" w:type="dxa"/>
              <w:left w:w="105" w:type="dxa"/>
              <w:bottom w:w="0" w:type="dxa"/>
              <w:right w:w="105" w:type="dxa"/>
            </w:tcMar>
            <w:vAlign w:val="top"/>
          </w:tcPr>
          <w:p w14:paraId="19A7BC54">
            <w:pPr>
              <w:pStyle w:val="6"/>
              <w:keepNext w:val="0"/>
              <w:keepLines w:val="0"/>
              <w:pageBreakBefore w:val="0"/>
              <w:widowControl/>
              <w:kinsoku/>
              <w:wordWrap/>
              <w:overflowPunct/>
              <w:topLinePunct w:val="0"/>
              <w:autoSpaceDE/>
              <w:autoSpaceDN/>
              <w:bidi w:val="0"/>
              <w:adjustRightInd/>
              <w:snapToGrid/>
              <w:spacing w:line="500" w:lineRule="exact"/>
              <w:ind w:firstLine="0"/>
              <w:jc w:val="both"/>
              <w:textAlignment w:val="auto"/>
              <w:rPr>
                <w:rFonts w:hint="eastAsia" w:ascii="宋体" w:hAnsi="宋体" w:eastAsia="宋体" w:cs="宋体"/>
                <w:sz w:val="24"/>
                <w:szCs w:val="24"/>
              </w:rPr>
            </w:pPr>
            <w:r>
              <w:rPr>
                <w:rFonts w:hint="eastAsia" w:ascii="宋体" w:hAnsi="宋体" w:eastAsia="宋体" w:cs="宋体"/>
                <w:color w:val="000000"/>
                <w:sz w:val="24"/>
                <w:szCs w:val="24"/>
              </w:rPr>
              <w:t>漏水线缆</w:t>
            </w:r>
          </w:p>
        </w:tc>
        <w:tc>
          <w:tcPr>
            <w:tcW w:w="1455" w:type="dxa"/>
            <w:tcBorders>
              <w:top w:val="nil"/>
              <w:left w:val="nil"/>
              <w:bottom w:val="single" w:color="000000" w:sz="4" w:space="0"/>
              <w:right w:val="single" w:color="000000" w:sz="4" w:space="0"/>
            </w:tcBorders>
            <w:tcMar>
              <w:top w:w="0" w:type="dxa"/>
              <w:left w:w="105" w:type="dxa"/>
              <w:bottom w:w="0" w:type="dxa"/>
              <w:right w:w="105" w:type="dxa"/>
            </w:tcMar>
            <w:vAlign w:val="top"/>
          </w:tcPr>
          <w:p w14:paraId="70BD1586">
            <w:pPr>
              <w:pStyle w:val="6"/>
              <w:keepNext w:val="0"/>
              <w:keepLines w:val="0"/>
              <w:pageBreakBefore w:val="0"/>
              <w:widowControl/>
              <w:kinsoku/>
              <w:wordWrap/>
              <w:overflowPunct/>
              <w:topLinePunct w:val="0"/>
              <w:autoSpaceDE/>
              <w:autoSpaceDN/>
              <w:bidi w:val="0"/>
              <w:adjustRightInd/>
              <w:snapToGrid/>
              <w:spacing w:line="500" w:lineRule="exact"/>
              <w:ind w:firstLine="0"/>
              <w:jc w:val="center"/>
              <w:textAlignment w:val="auto"/>
              <w:rPr>
                <w:rFonts w:hint="eastAsia" w:ascii="宋体" w:hAnsi="宋体" w:eastAsia="宋体" w:cs="宋体"/>
                <w:sz w:val="24"/>
                <w:szCs w:val="24"/>
              </w:rPr>
            </w:pPr>
            <w:r>
              <w:rPr>
                <w:rFonts w:hint="eastAsia" w:ascii="宋体" w:hAnsi="宋体" w:eastAsia="宋体" w:cs="宋体"/>
                <w:color w:val="000000"/>
                <w:sz w:val="24"/>
                <w:szCs w:val="24"/>
              </w:rPr>
              <w:t>2个</w:t>
            </w:r>
          </w:p>
        </w:tc>
        <w:tc>
          <w:tcPr>
            <w:tcW w:w="2359" w:type="dxa"/>
            <w:tcBorders>
              <w:top w:val="nil"/>
              <w:left w:val="nil"/>
              <w:bottom w:val="single" w:color="000000" w:sz="4" w:space="0"/>
              <w:right w:val="single" w:color="000000" w:sz="4" w:space="0"/>
            </w:tcBorders>
            <w:tcMar>
              <w:top w:w="0" w:type="dxa"/>
              <w:left w:w="105" w:type="dxa"/>
              <w:bottom w:w="0" w:type="dxa"/>
              <w:right w:w="105" w:type="dxa"/>
            </w:tcMar>
            <w:vAlign w:val="top"/>
          </w:tcPr>
          <w:p w14:paraId="4584272D">
            <w:pPr>
              <w:pStyle w:val="6"/>
              <w:keepNext w:val="0"/>
              <w:keepLines w:val="0"/>
              <w:pageBreakBefore w:val="0"/>
              <w:widowControl/>
              <w:kinsoku/>
              <w:wordWrap/>
              <w:overflowPunct/>
              <w:topLinePunct w:val="0"/>
              <w:autoSpaceDE/>
              <w:autoSpaceDN/>
              <w:bidi w:val="0"/>
              <w:adjustRightInd/>
              <w:snapToGrid/>
              <w:spacing w:line="500" w:lineRule="exact"/>
              <w:ind w:firstLine="0"/>
              <w:jc w:val="center"/>
              <w:textAlignment w:val="auto"/>
              <w:rPr>
                <w:rFonts w:hint="eastAsia" w:ascii="宋体" w:hAnsi="宋体" w:eastAsia="宋体" w:cs="宋体"/>
                <w:sz w:val="24"/>
                <w:szCs w:val="24"/>
              </w:rPr>
            </w:pPr>
            <w:r>
              <w:rPr>
                <w:rFonts w:hint="eastAsia" w:ascii="宋体" w:hAnsi="宋体" w:eastAsia="宋体" w:cs="宋体"/>
                <w:color w:val="000000"/>
                <w:sz w:val="24"/>
                <w:szCs w:val="24"/>
              </w:rPr>
              <w:t>0.050000</w:t>
            </w:r>
          </w:p>
        </w:tc>
      </w:tr>
      <w:tr w14:paraId="2F849798">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99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0039EEFF">
            <w:pPr>
              <w:pStyle w:val="6"/>
              <w:keepNext w:val="0"/>
              <w:keepLines w:val="0"/>
              <w:pageBreakBefore w:val="0"/>
              <w:widowControl/>
              <w:kinsoku/>
              <w:wordWrap/>
              <w:overflowPunct/>
              <w:topLinePunct w:val="0"/>
              <w:autoSpaceDE/>
              <w:autoSpaceDN/>
              <w:bidi w:val="0"/>
              <w:adjustRightInd/>
              <w:snapToGrid/>
              <w:spacing w:line="500" w:lineRule="exact"/>
              <w:ind w:firstLine="0"/>
              <w:jc w:val="center"/>
              <w:textAlignment w:val="auto"/>
              <w:rPr>
                <w:rFonts w:hint="eastAsia" w:ascii="宋体" w:hAnsi="宋体" w:eastAsia="宋体" w:cs="宋体"/>
                <w:sz w:val="24"/>
                <w:szCs w:val="24"/>
              </w:rPr>
            </w:pPr>
            <w:r>
              <w:rPr>
                <w:rFonts w:hint="eastAsia" w:ascii="宋体" w:hAnsi="宋体" w:eastAsia="宋体" w:cs="宋体"/>
                <w:color w:val="000000"/>
                <w:sz w:val="24"/>
                <w:szCs w:val="24"/>
              </w:rPr>
              <w:t>2.41</w:t>
            </w:r>
          </w:p>
        </w:tc>
        <w:tc>
          <w:tcPr>
            <w:tcW w:w="3616" w:type="dxa"/>
            <w:tcBorders>
              <w:top w:val="nil"/>
              <w:left w:val="nil"/>
              <w:bottom w:val="single" w:color="000000" w:sz="4" w:space="0"/>
              <w:right w:val="single" w:color="000000" w:sz="4" w:space="0"/>
            </w:tcBorders>
            <w:tcMar>
              <w:top w:w="0" w:type="dxa"/>
              <w:left w:w="105" w:type="dxa"/>
              <w:bottom w:w="0" w:type="dxa"/>
              <w:right w:w="105" w:type="dxa"/>
            </w:tcMar>
            <w:vAlign w:val="top"/>
          </w:tcPr>
          <w:p w14:paraId="70593583">
            <w:pPr>
              <w:pStyle w:val="6"/>
              <w:keepNext w:val="0"/>
              <w:keepLines w:val="0"/>
              <w:pageBreakBefore w:val="0"/>
              <w:widowControl/>
              <w:kinsoku/>
              <w:wordWrap/>
              <w:overflowPunct/>
              <w:topLinePunct w:val="0"/>
              <w:autoSpaceDE/>
              <w:autoSpaceDN/>
              <w:bidi w:val="0"/>
              <w:adjustRightInd/>
              <w:snapToGrid/>
              <w:spacing w:line="500" w:lineRule="exact"/>
              <w:ind w:firstLine="0"/>
              <w:jc w:val="both"/>
              <w:textAlignment w:val="auto"/>
              <w:rPr>
                <w:rFonts w:hint="eastAsia" w:ascii="宋体" w:hAnsi="宋体" w:eastAsia="宋体" w:cs="宋体"/>
                <w:sz w:val="24"/>
                <w:szCs w:val="24"/>
              </w:rPr>
            </w:pPr>
            <w:r>
              <w:rPr>
                <w:rFonts w:hint="eastAsia" w:ascii="宋体" w:hAnsi="宋体" w:eastAsia="宋体" w:cs="宋体"/>
                <w:color w:val="000000"/>
                <w:sz w:val="24"/>
                <w:szCs w:val="24"/>
              </w:rPr>
              <w:t>烟雾传感器</w:t>
            </w:r>
          </w:p>
        </w:tc>
        <w:tc>
          <w:tcPr>
            <w:tcW w:w="1455" w:type="dxa"/>
            <w:tcBorders>
              <w:top w:val="nil"/>
              <w:left w:val="nil"/>
              <w:bottom w:val="single" w:color="000000" w:sz="4" w:space="0"/>
              <w:right w:val="single" w:color="000000" w:sz="4" w:space="0"/>
            </w:tcBorders>
            <w:tcMar>
              <w:top w:w="0" w:type="dxa"/>
              <w:left w:w="105" w:type="dxa"/>
              <w:bottom w:w="0" w:type="dxa"/>
              <w:right w:w="105" w:type="dxa"/>
            </w:tcMar>
            <w:vAlign w:val="top"/>
          </w:tcPr>
          <w:p w14:paraId="060AE861">
            <w:pPr>
              <w:pStyle w:val="6"/>
              <w:keepNext w:val="0"/>
              <w:keepLines w:val="0"/>
              <w:pageBreakBefore w:val="0"/>
              <w:widowControl/>
              <w:kinsoku/>
              <w:wordWrap/>
              <w:overflowPunct/>
              <w:topLinePunct w:val="0"/>
              <w:autoSpaceDE/>
              <w:autoSpaceDN/>
              <w:bidi w:val="0"/>
              <w:adjustRightInd/>
              <w:snapToGrid/>
              <w:spacing w:line="500" w:lineRule="exact"/>
              <w:ind w:firstLine="0"/>
              <w:jc w:val="center"/>
              <w:textAlignment w:val="auto"/>
              <w:rPr>
                <w:rFonts w:hint="eastAsia" w:ascii="宋体" w:hAnsi="宋体" w:eastAsia="宋体" w:cs="宋体"/>
                <w:sz w:val="24"/>
                <w:szCs w:val="24"/>
              </w:rPr>
            </w:pPr>
            <w:r>
              <w:rPr>
                <w:rFonts w:hint="eastAsia" w:ascii="宋体" w:hAnsi="宋体" w:eastAsia="宋体" w:cs="宋体"/>
                <w:color w:val="000000"/>
                <w:sz w:val="24"/>
                <w:szCs w:val="24"/>
              </w:rPr>
              <w:t>1台</w:t>
            </w:r>
          </w:p>
        </w:tc>
        <w:tc>
          <w:tcPr>
            <w:tcW w:w="2359" w:type="dxa"/>
            <w:tcBorders>
              <w:top w:val="nil"/>
              <w:left w:val="nil"/>
              <w:bottom w:val="single" w:color="000000" w:sz="4" w:space="0"/>
              <w:right w:val="single" w:color="000000" w:sz="4" w:space="0"/>
            </w:tcBorders>
            <w:tcMar>
              <w:top w:w="0" w:type="dxa"/>
              <w:left w:w="105" w:type="dxa"/>
              <w:bottom w:w="0" w:type="dxa"/>
              <w:right w:w="105" w:type="dxa"/>
            </w:tcMar>
            <w:vAlign w:val="top"/>
          </w:tcPr>
          <w:p w14:paraId="2E639AEE">
            <w:pPr>
              <w:pStyle w:val="6"/>
              <w:keepNext w:val="0"/>
              <w:keepLines w:val="0"/>
              <w:pageBreakBefore w:val="0"/>
              <w:widowControl/>
              <w:kinsoku/>
              <w:wordWrap/>
              <w:overflowPunct/>
              <w:topLinePunct w:val="0"/>
              <w:autoSpaceDE/>
              <w:autoSpaceDN/>
              <w:bidi w:val="0"/>
              <w:adjustRightInd/>
              <w:snapToGrid/>
              <w:spacing w:line="500" w:lineRule="exact"/>
              <w:ind w:firstLine="0"/>
              <w:jc w:val="center"/>
              <w:textAlignment w:val="auto"/>
              <w:rPr>
                <w:rFonts w:hint="eastAsia" w:ascii="宋体" w:hAnsi="宋体" w:eastAsia="宋体" w:cs="宋体"/>
                <w:sz w:val="24"/>
                <w:szCs w:val="24"/>
              </w:rPr>
            </w:pPr>
            <w:r>
              <w:rPr>
                <w:rFonts w:hint="eastAsia" w:ascii="宋体" w:hAnsi="宋体" w:eastAsia="宋体" w:cs="宋体"/>
                <w:color w:val="000000"/>
                <w:sz w:val="24"/>
                <w:szCs w:val="24"/>
              </w:rPr>
              <w:t>0.015000</w:t>
            </w:r>
          </w:p>
        </w:tc>
      </w:tr>
      <w:tr w14:paraId="26863DE1">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99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5C13AD0F">
            <w:pPr>
              <w:pStyle w:val="6"/>
              <w:keepNext w:val="0"/>
              <w:keepLines w:val="0"/>
              <w:pageBreakBefore w:val="0"/>
              <w:widowControl/>
              <w:kinsoku/>
              <w:wordWrap/>
              <w:overflowPunct/>
              <w:topLinePunct w:val="0"/>
              <w:autoSpaceDE/>
              <w:autoSpaceDN/>
              <w:bidi w:val="0"/>
              <w:adjustRightInd/>
              <w:snapToGrid/>
              <w:spacing w:line="500" w:lineRule="exact"/>
              <w:ind w:firstLine="0"/>
              <w:jc w:val="center"/>
              <w:textAlignment w:val="auto"/>
              <w:rPr>
                <w:rFonts w:hint="eastAsia" w:ascii="宋体" w:hAnsi="宋体" w:eastAsia="宋体" w:cs="宋体"/>
                <w:sz w:val="24"/>
                <w:szCs w:val="24"/>
              </w:rPr>
            </w:pPr>
            <w:r>
              <w:rPr>
                <w:rFonts w:hint="eastAsia" w:ascii="宋体" w:hAnsi="宋体" w:eastAsia="宋体" w:cs="宋体"/>
                <w:color w:val="000000"/>
                <w:sz w:val="24"/>
                <w:szCs w:val="24"/>
              </w:rPr>
              <w:t>2.42</w:t>
            </w:r>
          </w:p>
        </w:tc>
        <w:tc>
          <w:tcPr>
            <w:tcW w:w="3616" w:type="dxa"/>
            <w:tcBorders>
              <w:top w:val="nil"/>
              <w:left w:val="nil"/>
              <w:bottom w:val="single" w:color="000000" w:sz="4" w:space="0"/>
              <w:right w:val="single" w:color="000000" w:sz="4" w:space="0"/>
            </w:tcBorders>
            <w:tcMar>
              <w:top w:w="0" w:type="dxa"/>
              <w:left w:w="105" w:type="dxa"/>
              <w:bottom w:w="0" w:type="dxa"/>
              <w:right w:w="105" w:type="dxa"/>
            </w:tcMar>
            <w:vAlign w:val="top"/>
          </w:tcPr>
          <w:p w14:paraId="405DA4A5">
            <w:pPr>
              <w:pStyle w:val="6"/>
              <w:keepNext w:val="0"/>
              <w:keepLines w:val="0"/>
              <w:pageBreakBefore w:val="0"/>
              <w:widowControl/>
              <w:kinsoku/>
              <w:wordWrap/>
              <w:overflowPunct/>
              <w:topLinePunct w:val="0"/>
              <w:autoSpaceDE/>
              <w:autoSpaceDN/>
              <w:bidi w:val="0"/>
              <w:adjustRightInd/>
              <w:snapToGrid/>
              <w:spacing w:line="500" w:lineRule="exact"/>
              <w:ind w:firstLine="0"/>
              <w:jc w:val="both"/>
              <w:textAlignment w:val="auto"/>
              <w:rPr>
                <w:rFonts w:hint="eastAsia" w:ascii="宋体" w:hAnsi="宋体" w:eastAsia="宋体" w:cs="宋体"/>
                <w:sz w:val="24"/>
                <w:szCs w:val="24"/>
              </w:rPr>
            </w:pPr>
            <w:r>
              <w:rPr>
                <w:rFonts w:hint="eastAsia" w:ascii="宋体" w:hAnsi="宋体" w:eastAsia="宋体" w:cs="宋体"/>
                <w:color w:val="000000"/>
                <w:sz w:val="24"/>
                <w:szCs w:val="24"/>
              </w:rPr>
              <w:t>负载应急供电、精密空调采集器</w:t>
            </w:r>
          </w:p>
        </w:tc>
        <w:tc>
          <w:tcPr>
            <w:tcW w:w="1455" w:type="dxa"/>
            <w:tcBorders>
              <w:top w:val="nil"/>
              <w:left w:val="nil"/>
              <w:bottom w:val="single" w:color="000000" w:sz="4" w:space="0"/>
              <w:right w:val="single" w:color="000000" w:sz="4" w:space="0"/>
            </w:tcBorders>
            <w:tcMar>
              <w:top w:w="0" w:type="dxa"/>
              <w:left w:w="105" w:type="dxa"/>
              <w:bottom w:w="0" w:type="dxa"/>
              <w:right w:w="105" w:type="dxa"/>
            </w:tcMar>
            <w:vAlign w:val="top"/>
          </w:tcPr>
          <w:p w14:paraId="66F3391E">
            <w:pPr>
              <w:pStyle w:val="6"/>
              <w:keepNext w:val="0"/>
              <w:keepLines w:val="0"/>
              <w:pageBreakBefore w:val="0"/>
              <w:widowControl/>
              <w:kinsoku/>
              <w:wordWrap/>
              <w:overflowPunct/>
              <w:topLinePunct w:val="0"/>
              <w:autoSpaceDE/>
              <w:autoSpaceDN/>
              <w:bidi w:val="0"/>
              <w:adjustRightInd/>
              <w:snapToGrid/>
              <w:spacing w:line="500" w:lineRule="exact"/>
              <w:ind w:firstLine="0"/>
              <w:jc w:val="center"/>
              <w:textAlignment w:val="auto"/>
              <w:rPr>
                <w:rFonts w:hint="eastAsia" w:ascii="宋体" w:hAnsi="宋体" w:eastAsia="宋体" w:cs="宋体"/>
                <w:sz w:val="24"/>
                <w:szCs w:val="24"/>
              </w:rPr>
            </w:pPr>
            <w:r>
              <w:rPr>
                <w:rFonts w:hint="eastAsia" w:ascii="宋体" w:hAnsi="宋体" w:eastAsia="宋体" w:cs="宋体"/>
                <w:color w:val="000000"/>
                <w:sz w:val="24"/>
                <w:szCs w:val="24"/>
              </w:rPr>
              <w:t>3台</w:t>
            </w:r>
          </w:p>
        </w:tc>
        <w:tc>
          <w:tcPr>
            <w:tcW w:w="2359" w:type="dxa"/>
            <w:tcBorders>
              <w:top w:val="nil"/>
              <w:left w:val="nil"/>
              <w:bottom w:val="single" w:color="000000" w:sz="4" w:space="0"/>
              <w:right w:val="single" w:color="000000" w:sz="4" w:space="0"/>
            </w:tcBorders>
            <w:tcMar>
              <w:top w:w="0" w:type="dxa"/>
              <w:left w:w="105" w:type="dxa"/>
              <w:bottom w:w="0" w:type="dxa"/>
              <w:right w:w="105" w:type="dxa"/>
            </w:tcMar>
            <w:vAlign w:val="top"/>
          </w:tcPr>
          <w:p w14:paraId="08B930D7">
            <w:pPr>
              <w:pStyle w:val="6"/>
              <w:keepNext w:val="0"/>
              <w:keepLines w:val="0"/>
              <w:pageBreakBefore w:val="0"/>
              <w:widowControl/>
              <w:kinsoku/>
              <w:wordWrap/>
              <w:overflowPunct/>
              <w:topLinePunct w:val="0"/>
              <w:autoSpaceDE/>
              <w:autoSpaceDN/>
              <w:bidi w:val="0"/>
              <w:adjustRightInd/>
              <w:snapToGrid/>
              <w:spacing w:line="500" w:lineRule="exact"/>
              <w:ind w:firstLine="0"/>
              <w:jc w:val="center"/>
              <w:textAlignment w:val="auto"/>
              <w:rPr>
                <w:rFonts w:hint="eastAsia" w:ascii="宋体" w:hAnsi="宋体" w:eastAsia="宋体" w:cs="宋体"/>
                <w:sz w:val="24"/>
                <w:szCs w:val="24"/>
              </w:rPr>
            </w:pPr>
            <w:r>
              <w:rPr>
                <w:rFonts w:hint="eastAsia" w:ascii="宋体" w:hAnsi="宋体" w:eastAsia="宋体" w:cs="宋体"/>
                <w:color w:val="000000"/>
                <w:sz w:val="24"/>
                <w:szCs w:val="24"/>
              </w:rPr>
              <w:t>0.225000</w:t>
            </w:r>
          </w:p>
        </w:tc>
      </w:tr>
      <w:tr w14:paraId="2045DB50">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99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6B5BE27E">
            <w:pPr>
              <w:pStyle w:val="6"/>
              <w:keepNext w:val="0"/>
              <w:keepLines w:val="0"/>
              <w:pageBreakBefore w:val="0"/>
              <w:widowControl/>
              <w:kinsoku/>
              <w:wordWrap/>
              <w:overflowPunct/>
              <w:topLinePunct w:val="0"/>
              <w:autoSpaceDE/>
              <w:autoSpaceDN/>
              <w:bidi w:val="0"/>
              <w:adjustRightInd/>
              <w:snapToGrid/>
              <w:spacing w:line="500" w:lineRule="exact"/>
              <w:ind w:firstLine="0"/>
              <w:jc w:val="center"/>
              <w:textAlignment w:val="auto"/>
              <w:rPr>
                <w:rFonts w:hint="eastAsia" w:ascii="宋体" w:hAnsi="宋体" w:eastAsia="宋体" w:cs="宋体"/>
                <w:sz w:val="24"/>
                <w:szCs w:val="24"/>
              </w:rPr>
            </w:pPr>
            <w:r>
              <w:rPr>
                <w:rFonts w:hint="eastAsia" w:ascii="宋体" w:hAnsi="宋体" w:eastAsia="宋体" w:cs="宋体"/>
                <w:color w:val="000000"/>
                <w:sz w:val="24"/>
                <w:szCs w:val="24"/>
              </w:rPr>
              <w:t>2.43</w:t>
            </w:r>
          </w:p>
        </w:tc>
        <w:tc>
          <w:tcPr>
            <w:tcW w:w="3616" w:type="dxa"/>
            <w:tcBorders>
              <w:top w:val="nil"/>
              <w:left w:val="nil"/>
              <w:bottom w:val="single" w:color="000000" w:sz="4" w:space="0"/>
              <w:right w:val="single" w:color="000000" w:sz="4" w:space="0"/>
            </w:tcBorders>
            <w:tcMar>
              <w:top w:w="0" w:type="dxa"/>
              <w:left w:w="105" w:type="dxa"/>
              <w:bottom w:w="0" w:type="dxa"/>
              <w:right w:w="105" w:type="dxa"/>
            </w:tcMar>
            <w:vAlign w:val="top"/>
          </w:tcPr>
          <w:p w14:paraId="39B666AE">
            <w:pPr>
              <w:pStyle w:val="6"/>
              <w:keepNext w:val="0"/>
              <w:keepLines w:val="0"/>
              <w:pageBreakBefore w:val="0"/>
              <w:widowControl/>
              <w:kinsoku/>
              <w:wordWrap/>
              <w:overflowPunct/>
              <w:topLinePunct w:val="0"/>
              <w:autoSpaceDE/>
              <w:autoSpaceDN/>
              <w:bidi w:val="0"/>
              <w:adjustRightInd/>
              <w:snapToGrid/>
              <w:spacing w:line="500" w:lineRule="exact"/>
              <w:ind w:firstLine="0"/>
              <w:jc w:val="both"/>
              <w:textAlignment w:val="auto"/>
              <w:rPr>
                <w:rFonts w:hint="eastAsia" w:ascii="宋体" w:hAnsi="宋体" w:eastAsia="宋体" w:cs="宋体"/>
                <w:sz w:val="24"/>
                <w:szCs w:val="24"/>
              </w:rPr>
            </w:pPr>
            <w:r>
              <w:rPr>
                <w:rFonts w:hint="eastAsia" w:ascii="宋体" w:hAnsi="宋体" w:eastAsia="宋体" w:cs="宋体"/>
                <w:color w:val="000000"/>
                <w:sz w:val="24"/>
                <w:szCs w:val="24"/>
              </w:rPr>
              <w:t>采集主机</w:t>
            </w:r>
          </w:p>
        </w:tc>
        <w:tc>
          <w:tcPr>
            <w:tcW w:w="1455" w:type="dxa"/>
            <w:tcBorders>
              <w:top w:val="nil"/>
              <w:left w:val="nil"/>
              <w:bottom w:val="single" w:color="000000" w:sz="4" w:space="0"/>
              <w:right w:val="single" w:color="000000" w:sz="4" w:space="0"/>
            </w:tcBorders>
            <w:tcMar>
              <w:top w:w="0" w:type="dxa"/>
              <w:left w:w="105" w:type="dxa"/>
              <w:bottom w:w="0" w:type="dxa"/>
              <w:right w:w="105" w:type="dxa"/>
            </w:tcMar>
            <w:vAlign w:val="top"/>
          </w:tcPr>
          <w:p w14:paraId="3C8DC54D">
            <w:pPr>
              <w:pStyle w:val="6"/>
              <w:keepNext w:val="0"/>
              <w:keepLines w:val="0"/>
              <w:pageBreakBefore w:val="0"/>
              <w:widowControl/>
              <w:kinsoku/>
              <w:wordWrap/>
              <w:overflowPunct/>
              <w:topLinePunct w:val="0"/>
              <w:autoSpaceDE/>
              <w:autoSpaceDN/>
              <w:bidi w:val="0"/>
              <w:adjustRightInd/>
              <w:snapToGrid/>
              <w:spacing w:line="500" w:lineRule="exact"/>
              <w:ind w:firstLine="0"/>
              <w:jc w:val="center"/>
              <w:textAlignment w:val="auto"/>
              <w:rPr>
                <w:rFonts w:hint="eastAsia" w:ascii="宋体" w:hAnsi="宋体" w:eastAsia="宋体" w:cs="宋体"/>
                <w:sz w:val="24"/>
                <w:szCs w:val="24"/>
              </w:rPr>
            </w:pPr>
            <w:r>
              <w:rPr>
                <w:rFonts w:hint="eastAsia" w:ascii="宋体" w:hAnsi="宋体" w:eastAsia="宋体" w:cs="宋体"/>
                <w:color w:val="000000"/>
                <w:sz w:val="24"/>
                <w:szCs w:val="24"/>
              </w:rPr>
              <w:t>1台</w:t>
            </w:r>
          </w:p>
        </w:tc>
        <w:tc>
          <w:tcPr>
            <w:tcW w:w="2359" w:type="dxa"/>
            <w:tcBorders>
              <w:top w:val="nil"/>
              <w:left w:val="nil"/>
              <w:bottom w:val="single" w:color="000000" w:sz="4" w:space="0"/>
              <w:right w:val="single" w:color="000000" w:sz="4" w:space="0"/>
            </w:tcBorders>
            <w:tcMar>
              <w:top w:w="0" w:type="dxa"/>
              <w:left w:w="105" w:type="dxa"/>
              <w:bottom w:w="0" w:type="dxa"/>
              <w:right w:w="105" w:type="dxa"/>
            </w:tcMar>
            <w:vAlign w:val="top"/>
          </w:tcPr>
          <w:p w14:paraId="62E6AD20">
            <w:pPr>
              <w:pStyle w:val="6"/>
              <w:keepNext w:val="0"/>
              <w:keepLines w:val="0"/>
              <w:pageBreakBefore w:val="0"/>
              <w:widowControl/>
              <w:kinsoku/>
              <w:wordWrap/>
              <w:overflowPunct/>
              <w:topLinePunct w:val="0"/>
              <w:autoSpaceDE/>
              <w:autoSpaceDN/>
              <w:bidi w:val="0"/>
              <w:adjustRightInd/>
              <w:snapToGrid/>
              <w:spacing w:line="500" w:lineRule="exact"/>
              <w:ind w:firstLine="0"/>
              <w:jc w:val="center"/>
              <w:textAlignment w:val="auto"/>
              <w:rPr>
                <w:rFonts w:hint="eastAsia" w:ascii="宋体" w:hAnsi="宋体" w:eastAsia="宋体" w:cs="宋体"/>
                <w:sz w:val="24"/>
                <w:szCs w:val="24"/>
              </w:rPr>
            </w:pPr>
            <w:r>
              <w:rPr>
                <w:rFonts w:hint="eastAsia" w:ascii="宋体" w:hAnsi="宋体" w:eastAsia="宋体" w:cs="宋体"/>
                <w:color w:val="000000"/>
                <w:sz w:val="24"/>
                <w:szCs w:val="24"/>
              </w:rPr>
              <w:t>0.500000</w:t>
            </w:r>
          </w:p>
        </w:tc>
      </w:tr>
      <w:tr w14:paraId="766DCBAF">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99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2EC180F3">
            <w:pPr>
              <w:pStyle w:val="6"/>
              <w:keepNext w:val="0"/>
              <w:keepLines w:val="0"/>
              <w:pageBreakBefore w:val="0"/>
              <w:widowControl/>
              <w:kinsoku/>
              <w:wordWrap/>
              <w:overflowPunct/>
              <w:topLinePunct w:val="0"/>
              <w:autoSpaceDE/>
              <w:autoSpaceDN/>
              <w:bidi w:val="0"/>
              <w:adjustRightInd/>
              <w:snapToGrid/>
              <w:spacing w:line="500" w:lineRule="exact"/>
              <w:ind w:firstLine="0"/>
              <w:jc w:val="center"/>
              <w:textAlignment w:val="auto"/>
              <w:rPr>
                <w:rFonts w:hint="eastAsia" w:ascii="宋体" w:hAnsi="宋体" w:eastAsia="宋体" w:cs="宋体"/>
                <w:sz w:val="24"/>
                <w:szCs w:val="24"/>
              </w:rPr>
            </w:pPr>
            <w:r>
              <w:rPr>
                <w:rFonts w:hint="eastAsia" w:ascii="宋体" w:hAnsi="宋体" w:eastAsia="宋体" w:cs="宋体"/>
                <w:color w:val="000000"/>
                <w:sz w:val="24"/>
                <w:szCs w:val="24"/>
              </w:rPr>
              <w:t>2.44</w:t>
            </w:r>
          </w:p>
        </w:tc>
        <w:tc>
          <w:tcPr>
            <w:tcW w:w="3616" w:type="dxa"/>
            <w:tcBorders>
              <w:top w:val="nil"/>
              <w:left w:val="nil"/>
              <w:bottom w:val="single" w:color="000000" w:sz="4" w:space="0"/>
              <w:right w:val="single" w:color="000000" w:sz="4" w:space="0"/>
            </w:tcBorders>
            <w:tcMar>
              <w:top w:w="0" w:type="dxa"/>
              <w:left w:w="105" w:type="dxa"/>
              <w:bottom w:w="0" w:type="dxa"/>
              <w:right w:w="105" w:type="dxa"/>
            </w:tcMar>
            <w:vAlign w:val="top"/>
          </w:tcPr>
          <w:p w14:paraId="773D85CB">
            <w:pPr>
              <w:pStyle w:val="6"/>
              <w:keepNext w:val="0"/>
              <w:keepLines w:val="0"/>
              <w:pageBreakBefore w:val="0"/>
              <w:widowControl/>
              <w:kinsoku/>
              <w:wordWrap/>
              <w:overflowPunct/>
              <w:topLinePunct w:val="0"/>
              <w:autoSpaceDE/>
              <w:autoSpaceDN/>
              <w:bidi w:val="0"/>
              <w:adjustRightInd/>
              <w:snapToGrid/>
              <w:spacing w:line="500" w:lineRule="exact"/>
              <w:ind w:firstLine="0"/>
              <w:jc w:val="both"/>
              <w:textAlignment w:val="auto"/>
              <w:rPr>
                <w:rFonts w:hint="eastAsia" w:ascii="宋体" w:hAnsi="宋体" w:eastAsia="宋体" w:cs="宋体"/>
                <w:sz w:val="24"/>
                <w:szCs w:val="24"/>
              </w:rPr>
            </w:pPr>
            <w:r>
              <w:rPr>
                <w:rFonts w:hint="eastAsia" w:ascii="宋体" w:hAnsi="宋体" w:eastAsia="宋体" w:cs="宋体"/>
                <w:color w:val="000000"/>
                <w:sz w:val="24"/>
                <w:szCs w:val="24"/>
              </w:rPr>
              <w:t>物联网控制器</w:t>
            </w:r>
          </w:p>
        </w:tc>
        <w:tc>
          <w:tcPr>
            <w:tcW w:w="1455" w:type="dxa"/>
            <w:tcBorders>
              <w:top w:val="nil"/>
              <w:left w:val="nil"/>
              <w:bottom w:val="single" w:color="000000" w:sz="4" w:space="0"/>
              <w:right w:val="single" w:color="000000" w:sz="4" w:space="0"/>
            </w:tcBorders>
            <w:tcMar>
              <w:top w:w="0" w:type="dxa"/>
              <w:left w:w="105" w:type="dxa"/>
              <w:bottom w:w="0" w:type="dxa"/>
              <w:right w:w="105" w:type="dxa"/>
            </w:tcMar>
            <w:vAlign w:val="top"/>
          </w:tcPr>
          <w:p w14:paraId="4796FA2E">
            <w:pPr>
              <w:pStyle w:val="6"/>
              <w:keepNext w:val="0"/>
              <w:keepLines w:val="0"/>
              <w:pageBreakBefore w:val="0"/>
              <w:widowControl/>
              <w:kinsoku/>
              <w:wordWrap/>
              <w:overflowPunct/>
              <w:topLinePunct w:val="0"/>
              <w:autoSpaceDE/>
              <w:autoSpaceDN/>
              <w:bidi w:val="0"/>
              <w:adjustRightInd/>
              <w:snapToGrid/>
              <w:spacing w:line="500" w:lineRule="exact"/>
              <w:ind w:firstLine="0"/>
              <w:jc w:val="center"/>
              <w:textAlignment w:val="auto"/>
              <w:rPr>
                <w:rFonts w:hint="eastAsia" w:ascii="宋体" w:hAnsi="宋体" w:eastAsia="宋体" w:cs="宋体"/>
                <w:sz w:val="24"/>
                <w:szCs w:val="24"/>
              </w:rPr>
            </w:pPr>
            <w:r>
              <w:rPr>
                <w:rFonts w:hint="eastAsia" w:ascii="宋体" w:hAnsi="宋体" w:eastAsia="宋体" w:cs="宋体"/>
                <w:color w:val="000000"/>
                <w:sz w:val="24"/>
                <w:szCs w:val="24"/>
              </w:rPr>
              <w:t>1台</w:t>
            </w:r>
          </w:p>
        </w:tc>
        <w:tc>
          <w:tcPr>
            <w:tcW w:w="2359" w:type="dxa"/>
            <w:tcBorders>
              <w:top w:val="nil"/>
              <w:left w:val="nil"/>
              <w:bottom w:val="single" w:color="000000" w:sz="4" w:space="0"/>
              <w:right w:val="single" w:color="000000" w:sz="4" w:space="0"/>
            </w:tcBorders>
            <w:tcMar>
              <w:top w:w="0" w:type="dxa"/>
              <w:left w:w="105" w:type="dxa"/>
              <w:bottom w:w="0" w:type="dxa"/>
              <w:right w:w="105" w:type="dxa"/>
            </w:tcMar>
            <w:vAlign w:val="top"/>
          </w:tcPr>
          <w:p w14:paraId="76947055">
            <w:pPr>
              <w:pStyle w:val="6"/>
              <w:keepNext w:val="0"/>
              <w:keepLines w:val="0"/>
              <w:pageBreakBefore w:val="0"/>
              <w:widowControl/>
              <w:kinsoku/>
              <w:wordWrap/>
              <w:overflowPunct/>
              <w:topLinePunct w:val="0"/>
              <w:autoSpaceDE/>
              <w:autoSpaceDN/>
              <w:bidi w:val="0"/>
              <w:adjustRightInd/>
              <w:snapToGrid/>
              <w:spacing w:line="500" w:lineRule="exact"/>
              <w:ind w:firstLine="0"/>
              <w:jc w:val="center"/>
              <w:textAlignment w:val="auto"/>
              <w:rPr>
                <w:rFonts w:hint="eastAsia" w:ascii="宋体" w:hAnsi="宋体" w:eastAsia="宋体" w:cs="宋体"/>
                <w:sz w:val="24"/>
                <w:szCs w:val="24"/>
              </w:rPr>
            </w:pPr>
            <w:r>
              <w:rPr>
                <w:rFonts w:hint="eastAsia" w:ascii="宋体" w:hAnsi="宋体" w:eastAsia="宋体" w:cs="宋体"/>
                <w:color w:val="000000"/>
                <w:sz w:val="24"/>
                <w:szCs w:val="24"/>
              </w:rPr>
              <w:t>2.500000</w:t>
            </w:r>
          </w:p>
        </w:tc>
      </w:tr>
      <w:tr w14:paraId="6F2B27B0">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99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0F262002">
            <w:pPr>
              <w:pStyle w:val="6"/>
              <w:keepNext w:val="0"/>
              <w:keepLines w:val="0"/>
              <w:pageBreakBefore w:val="0"/>
              <w:widowControl/>
              <w:kinsoku/>
              <w:wordWrap/>
              <w:overflowPunct/>
              <w:topLinePunct w:val="0"/>
              <w:autoSpaceDE/>
              <w:autoSpaceDN/>
              <w:bidi w:val="0"/>
              <w:adjustRightInd/>
              <w:snapToGrid/>
              <w:spacing w:line="500" w:lineRule="exact"/>
              <w:ind w:firstLine="0"/>
              <w:jc w:val="center"/>
              <w:textAlignment w:val="auto"/>
              <w:rPr>
                <w:rFonts w:hint="eastAsia" w:ascii="宋体" w:hAnsi="宋体" w:eastAsia="宋体" w:cs="宋体"/>
                <w:sz w:val="24"/>
                <w:szCs w:val="24"/>
              </w:rPr>
            </w:pPr>
            <w:r>
              <w:rPr>
                <w:rFonts w:hint="eastAsia" w:ascii="宋体" w:hAnsi="宋体" w:eastAsia="宋体" w:cs="宋体"/>
                <w:color w:val="000000"/>
                <w:sz w:val="24"/>
                <w:szCs w:val="24"/>
              </w:rPr>
              <w:t>2.45</w:t>
            </w:r>
          </w:p>
        </w:tc>
        <w:tc>
          <w:tcPr>
            <w:tcW w:w="3616" w:type="dxa"/>
            <w:tcBorders>
              <w:top w:val="nil"/>
              <w:left w:val="nil"/>
              <w:bottom w:val="single" w:color="000000" w:sz="4" w:space="0"/>
              <w:right w:val="single" w:color="000000" w:sz="4" w:space="0"/>
            </w:tcBorders>
            <w:tcMar>
              <w:top w:w="0" w:type="dxa"/>
              <w:left w:w="105" w:type="dxa"/>
              <w:bottom w:w="0" w:type="dxa"/>
              <w:right w:w="105" w:type="dxa"/>
            </w:tcMar>
            <w:vAlign w:val="top"/>
          </w:tcPr>
          <w:p w14:paraId="1E53C6C4">
            <w:pPr>
              <w:pStyle w:val="6"/>
              <w:keepNext w:val="0"/>
              <w:keepLines w:val="0"/>
              <w:pageBreakBefore w:val="0"/>
              <w:widowControl/>
              <w:kinsoku/>
              <w:wordWrap/>
              <w:overflowPunct/>
              <w:topLinePunct w:val="0"/>
              <w:autoSpaceDE/>
              <w:autoSpaceDN/>
              <w:bidi w:val="0"/>
              <w:adjustRightInd/>
              <w:snapToGrid/>
              <w:spacing w:line="500" w:lineRule="exact"/>
              <w:ind w:firstLine="0"/>
              <w:jc w:val="both"/>
              <w:textAlignment w:val="auto"/>
              <w:rPr>
                <w:rFonts w:hint="eastAsia" w:ascii="宋体" w:hAnsi="宋体" w:eastAsia="宋体" w:cs="宋体"/>
                <w:sz w:val="24"/>
                <w:szCs w:val="24"/>
              </w:rPr>
            </w:pPr>
            <w:r>
              <w:rPr>
                <w:rFonts w:hint="eastAsia" w:ascii="宋体" w:hAnsi="宋体" w:eastAsia="宋体" w:cs="宋体"/>
                <w:color w:val="000000"/>
                <w:sz w:val="24"/>
                <w:szCs w:val="24"/>
              </w:rPr>
              <w:t>显示系统</w:t>
            </w:r>
          </w:p>
        </w:tc>
        <w:tc>
          <w:tcPr>
            <w:tcW w:w="1455" w:type="dxa"/>
            <w:tcBorders>
              <w:top w:val="nil"/>
              <w:left w:val="nil"/>
              <w:bottom w:val="single" w:color="000000" w:sz="4" w:space="0"/>
              <w:right w:val="single" w:color="000000" w:sz="4" w:space="0"/>
            </w:tcBorders>
            <w:tcMar>
              <w:top w:w="0" w:type="dxa"/>
              <w:left w:w="105" w:type="dxa"/>
              <w:bottom w:w="0" w:type="dxa"/>
              <w:right w:w="105" w:type="dxa"/>
            </w:tcMar>
            <w:vAlign w:val="top"/>
          </w:tcPr>
          <w:p w14:paraId="35032C57">
            <w:pPr>
              <w:pStyle w:val="6"/>
              <w:keepNext w:val="0"/>
              <w:keepLines w:val="0"/>
              <w:pageBreakBefore w:val="0"/>
              <w:widowControl/>
              <w:kinsoku/>
              <w:wordWrap/>
              <w:overflowPunct/>
              <w:topLinePunct w:val="0"/>
              <w:autoSpaceDE/>
              <w:autoSpaceDN/>
              <w:bidi w:val="0"/>
              <w:adjustRightInd/>
              <w:snapToGrid/>
              <w:spacing w:line="500" w:lineRule="exact"/>
              <w:ind w:firstLine="0"/>
              <w:jc w:val="center"/>
              <w:textAlignment w:val="auto"/>
              <w:rPr>
                <w:rFonts w:hint="eastAsia" w:ascii="宋体" w:hAnsi="宋体" w:eastAsia="宋体" w:cs="宋体"/>
                <w:sz w:val="24"/>
                <w:szCs w:val="24"/>
              </w:rPr>
            </w:pPr>
            <w:r>
              <w:rPr>
                <w:rFonts w:hint="eastAsia" w:ascii="宋体" w:hAnsi="宋体" w:eastAsia="宋体" w:cs="宋体"/>
                <w:color w:val="000000"/>
                <w:sz w:val="24"/>
                <w:szCs w:val="24"/>
              </w:rPr>
              <w:t>1套</w:t>
            </w:r>
          </w:p>
        </w:tc>
        <w:tc>
          <w:tcPr>
            <w:tcW w:w="2359" w:type="dxa"/>
            <w:tcBorders>
              <w:top w:val="nil"/>
              <w:left w:val="nil"/>
              <w:bottom w:val="single" w:color="000000" w:sz="4" w:space="0"/>
              <w:right w:val="single" w:color="000000" w:sz="4" w:space="0"/>
            </w:tcBorders>
            <w:tcMar>
              <w:top w:w="0" w:type="dxa"/>
              <w:left w:w="105" w:type="dxa"/>
              <w:bottom w:w="0" w:type="dxa"/>
              <w:right w:w="105" w:type="dxa"/>
            </w:tcMar>
            <w:vAlign w:val="top"/>
          </w:tcPr>
          <w:p w14:paraId="4C2056B1">
            <w:pPr>
              <w:pStyle w:val="6"/>
              <w:keepNext w:val="0"/>
              <w:keepLines w:val="0"/>
              <w:pageBreakBefore w:val="0"/>
              <w:widowControl/>
              <w:kinsoku/>
              <w:wordWrap/>
              <w:overflowPunct/>
              <w:topLinePunct w:val="0"/>
              <w:autoSpaceDE/>
              <w:autoSpaceDN/>
              <w:bidi w:val="0"/>
              <w:adjustRightInd/>
              <w:snapToGrid/>
              <w:spacing w:line="500" w:lineRule="exact"/>
              <w:ind w:firstLine="0"/>
              <w:jc w:val="center"/>
              <w:textAlignment w:val="auto"/>
              <w:rPr>
                <w:rFonts w:hint="eastAsia" w:ascii="宋体" w:hAnsi="宋体" w:eastAsia="宋体" w:cs="宋体"/>
                <w:sz w:val="24"/>
                <w:szCs w:val="24"/>
              </w:rPr>
            </w:pPr>
            <w:r>
              <w:rPr>
                <w:rFonts w:hint="eastAsia" w:ascii="宋体" w:hAnsi="宋体" w:eastAsia="宋体" w:cs="宋体"/>
                <w:color w:val="000000"/>
                <w:sz w:val="24"/>
                <w:szCs w:val="24"/>
              </w:rPr>
              <w:t>0.240000</w:t>
            </w:r>
          </w:p>
        </w:tc>
      </w:tr>
      <w:tr w14:paraId="555A9A1B">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99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6FAF691A">
            <w:pPr>
              <w:pStyle w:val="6"/>
              <w:keepNext w:val="0"/>
              <w:keepLines w:val="0"/>
              <w:pageBreakBefore w:val="0"/>
              <w:widowControl/>
              <w:kinsoku/>
              <w:wordWrap/>
              <w:overflowPunct/>
              <w:topLinePunct w:val="0"/>
              <w:autoSpaceDE/>
              <w:autoSpaceDN/>
              <w:bidi w:val="0"/>
              <w:adjustRightInd/>
              <w:snapToGrid/>
              <w:spacing w:line="500" w:lineRule="exact"/>
              <w:ind w:firstLine="0"/>
              <w:jc w:val="center"/>
              <w:textAlignment w:val="auto"/>
              <w:rPr>
                <w:rFonts w:hint="eastAsia" w:ascii="宋体" w:hAnsi="宋体" w:eastAsia="宋体" w:cs="宋体"/>
                <w:sz w:val="24"/>
                <w:szCs w:val="24"/>
              </w:rPr>
            </w:pPr>
            <w:r>
              <w:rPr>
                <w:rFonts w:hint="eastAsia" w:ascii="宋体" w:hAnsi="宋体" w:eastAsia="宋体" w:cs="宋体"/>
                <w:color w:val="000000"/>
                <w:sz w:val="24"/>
                <w:szCs w:val="24"/>
              </w:rPr>
              <w:t>2.46</w:t>
            </w:r>
          </w:p>
        </w:tc>
        <w:tc>
          <w:tcPr>
            <w:tcW w:w="3616" w:type="dxa"/>
            <w:tcBorders>
              <w:top w:val="nil"/>
              <w:left w:val="nil"/>
              <w:bottom w:val="single" w:color="000000" w:sz="4" w:space="0"/>
              <w:right w:val="single" w:color="000000" w:sz="4" w:space="0"/>
            </w:tcBorders>
            <w:tcMar>
              <w:top w:w="0" w:type="dxa"/>
              <w:left w:w="105" w:type="dxa"/>
              <w:bottom w:w="0" w:type="dxa"/>
              <w:right w:w="105" w:type="dxa"/>
            </w:tcMar>
            <w:vAlign w:val="top"/>
          </w:tcPr>
          <w:p w14:paraId="1EF890E6">
            <w:pPr>
              <w:pStyle w:val="6"/>
              <w:keepNext w:val="0"/>
              <w:keepLines w:val="0"/>
              <w:pageBreakBefore w:val="0"/>
              <w:widowControl/>
              <w:kinsoku/>
              <w:wordWrap/>
              <w:overflowPunct/>
              <w:topLinePunct w:val="0"/>
              <w:autoSpaceDE/>
              <w:autoSpaceDN/>
              <w:bidi w:val="0"/>
              <w:adjustRightInd/>
              <w:snapToGrid/>
              <w:spacing w:line="500" w:lineRule="exact"/>
              <w:ind w:firstLine="0"/>
              <w:jc w:val="both"/>
              <w:textAlignment w:val="auto"/>
              <w:rPr>
                <w:rFonts w:hint="eastAsia" w:ascii="宋体" w:hAnsi="宋体" w:eastAsia="宋体" w:cs="宋体"/>
                <w:sz w:val="24"/>
                <w:szCs w:val="24"/>
              </w:rPr>
            </w:pPr>
            <w:r>
              <w:rPr>
                <w:rFonts w:hint="eastAsia" w:ascii="宋体" w:hAnsi="宋体" w:eastAsia="宋体" w:cs="宋体"/>
                <w:color w:val="000000"/>
                <w:sz w:val="24"/>
                <w:szCs w:val="24"/>
              </w:rPr>
              <w:t>火灾报警控制系统</w:t>
            </w:r>
          </w:p>
        </w:tc>
        <w:tc>
          <w:tcPr>
            <w:tcW w:w="1455" w:type="dxa"/>
            <w:tcBorders>
              <w:top w:val="nil"/>
              <w:left w:val="nil"/>
              <w:bottom w:val="single" w:color="000000" w:sz="4" w:space="0"/>
              <w:right w:val="single" w:color="000000" w:sz="4" w:space="0"/>
            </w:tcBorders>
            <w:tcMar>
              <w:top w:w="0" w:type="dxa"/>
              <w:left w:w="105" w:type="dxa"/>
              <w:bottom w:w="0" w:type="dxa"/>
              <w:right w:w="105" w:type="dxa"/>
            </w:tcMar>
            <w:vAlign w:val="top"/>
          </w:tcPr>
          <w:p w14:paraId="50F81AEB">
            <w:pPr>
              <w:pStyle w:val="6"/>
              <w:keepNext w:val="0"/>
              <w:keepLines w:val="0"/>
              <w:pageBreakBefore w:val="0"/>
              <w:widowControl/>
              <w:kinsoku/>
              <w:wordWrap/>
              <w:overflowPunct/>
              <w:topLinePunct w:val="0"/>
              <w:autoSpaceDE/>
              <w:autoSpaceDN/>
              <w:bidi w:val="0"/>
              <w:adjustRightInd/>
              <w:snapToGrid/>
              <w:spacing w:line="500" w:lineRule="exact"/>
              <w:ind w:firstLine="0"/>
              <w:jc w:val="center"/>
              <w:textAlignment w:val="auto"/>
              <w:rPr>
                <w:rFonts w:hint="eastAsia" w:ascii="宋体" w:hAnsi="宋体" w:eastAsia="宋体" w:cs="宋体"/>
                <w:sz w:val="24"/>
                <w:szCs w:val="24"/>
              </w:rPr>
            </w:pPr>
            <w:r>
              <w:rPr>
                <w:rFonts w:hint="eastAsia" w:ascii="宋体" w:hAnsi="宋体" w:eastAsia="宋体" w:cs="宋体"/>
                <w:color w:val="000000"/>
                <w:sz w:val="24"/>
                <w:szCs w:val="24"/>
              </w:rPr>
              <w:t>1套</w:t>
            </w:r>
          </w:p>
        </w:tc>
        <w:tc>
          <w:tcPr>
            <w:tcW w:w="2359" w:type="dxa"/>
            <w:tcBorders>
              <w:top w:val="nil"/>
              <w:left w:val="nil"/>
              <w:bottom w:val="single" w:color="000000" w:sz="4" w:space="0"/>
              <w:right w:val="single" w:color="000000" w:sz="4" w:space="0"/>
            </w:tcBorders>
            <w:tcMar>
              <w:top w:w="0" w:type="dxa"/>
              <w:left w:w="105" w:type="dxa"/>
              <w:bottom w:w="0" w:type="dxa"/>
              <w:right w:w="105" w:type="dxa"/>
            </w:tcMar>
            <w:vAlign w:val="top"/>
          </w:tcPr>
          <w:p w14:paraId="1087B8DD">
            <w:pPr>
              <w:pStyle w:val="6"/>
              <w:keepNext w:val="0"/>
              <w:keepLines w:val="0"/>
              <w:pageBreakBefore w:val="0"/>
              <w:widowControl/>
              <w:kinsoku/>
              <w:wordWrap/>
              <w:overflowPunct/>
              <w:topLinePunct w:val="0"/>
              <w:autoSpaceDE/>
              <w:autoSpaceDN/>
              <w:bidi w:val="0"/>
              <w:adjustRightInd/>
              <w:snapToGrid/>
              <w:spacing w:line="500" w:lineRule="exact"/>
              <w:ind w:firstLine="0"/>
              <w:jc w:val="center"/>
              <w:textAlignment w:val="auto"/>
              <w:rPr>
                <w:rFonts w:hint="eastAsia" w:ascii="宋体" w:hAnsi="宋体" w:eastAsia="宋体" w:cs="宋体"/>
                <w:sz w:val="24"/>
                <w:szCs w:val="24"/>
              </w:rPr>
            </w:pPr>
            <w:r>
              <w:rPr>
                <w:rFonts w:hint="eastAsia" w:ascii="宋体" w:hAnsi="宋体" w:eastAsia="宋体" w:cs="宋体"/>
                <w:color w:val="000000"/>
                <w:sz w:val="24"/>
                <w:szCs w:val="24"/>
              </w:rPr>
              <w:t>0.400000</w:t>
            </w:r>
          </w:p>
        </w:tc>
      </w:tr>
      <w:tr w14:paraId="109C3F85">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99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BF1B3EB">
            <w:pPr>
              <w:pStyle w:val="6"/>
              <w:keepNext w:val="0"/>
              <w:keepLines w:val="0"/>
              <w:pageBreakBefore w:val="0"/>
              <w:widowControl/>
              <w:kinsoku/>
              <w:wordWrap/>
              <w:overflowPunct/>
              <w:topLinePunct w:val="0"/>
              <w:autoSpaceDE/>
              <w:autoSpaceDN/>
              <w:bidi w:val="0"/>
              <w:adjustRightInd/>
              <w:snapToGrid/>
              <w:spacing w:line="500" w:lineRule="exact"/>
              <w:ind w:firstLine="0"/>
              <w:jc w:val="center"/>
              <w:textAlignment w:val="auto"/>
              <w:rPr>
                <w:rFonts w:hint="eastAsia" w:ascii="宋体" w:hAnsi="宋体" w:eastAsia="宋体" w:cs="宋体"/>
                <w:sz w:val="24"/>
                <w:szCs w:val="24"/>
              </w:rPr>
            </w:pPr>
            <w:r>
              <w:rPr>
                <w:rFonts w:hint="eastAsia" w:ascii="宋体" w:hAnsi="宋体" w:eastAsia="宋体" w:cs="宋体"/>
                <w:color w:val="000000"/>
                <w:sz w:val="24"/>
                <w:szCs w:val="24"/>
              </w:rPr>
              <w:t>2.47</w:t>
            </w:r>
          </w:p>
        </w:tc>
        <w:tc>
          <w:tcPr>
            <w:tcW w:w="3616" w:type="dxa"/>
            <w:tcBorders>
              <w:top w:val="nil"/>
              <w:left w:val="nil"/>
              <w:bottom w:val="single" w:color="000000" w:sz="4" w:space="0"/>
              <w:right w:val="single" w:color="000000" w:sz="4" w:space="0"/>
            </w:tcBorders>
            <w:tcMar>
              <w:top w:w="0" w:type="dxa"/>
              <w:left w:w="105" w:type="dxa"/>
              <w:bottom w:w="0" w:type="dxa"/>
              <w:right w:w="105" w:type="dxa"/>
            </w:tcMar>
            <w:vAlign w:val="top"/>
          </w:tcPr>
          <w:p w14:paraId="4AAFDA7E">
            <w:pPr>
              <w:pStyle w:val="6"/>
              <w:keepNext w:val="0"/>
              <w:keepLines w:val="0"/>
              <w:pageBreakBefore w:val="0"/>
              <w:widowControl/>
              <w:kinsoku/>
              <w:wordWrap/>
              <w:overflowPunct/>
              <w:topLinePunct w:val="0"/>
              <w:autoSpaceDE/>
              <w:autoSpaceDN/>
              <w:bidi w:val="0"/>
              <w:adjustRightInd/>
              <w:snapToGrid/>
              <w:spacing w:line="500" w:lineRule="exact"/>
              <w:ind w:firstLine="0"/>
              <w:jc w:val="both"/>
              <w:textAlignment w:val="auto"/>
              <w:rPr>
                <w:rFonts w:hint="eastAsia" w:ascii="宋体" w:hAnsi="宋体" w:eastAsia="宋体" w:cs="宋体"/>
                <w:sz w:val="24"/>
                <w:szCs w:val="24"/>
              </w:rPr>
            </w:pPr>
            <w:r>
              <w:rPr>
                <w:rFonts w:hint="eastAsia" w:ascii="宋体" w:hAnsi="宋体" w:eastAsia="宋体" w:cs="宋体"/>
                <w:color w:val="000000"/>
                <w:sz w:val="24"/>
                <w:szCs w:val="24"/>
              </w:rPr>
              <w:t>负载应急供电</w:t>
            </w:r>
          </w:p>
        </w:tc>
        <w:tc>
          <w:tcPr>
            <w:tcW w:w="1455" w:type="dxa"/>
            <w:tcBorders>
              <w:top w:val="nil"/>
              <w:left w:val="nil"/>
              <w:bottom w:val="single" w:color="000000" w:sz="4" w:space="0"/>
              <w:right w:val="single" w:color="000000" w:sz="4" w:space="0"/>
            </w:tcBorders>
            <w:tcMar>
              <w:top w:w="0" w:type="dxa"/>
              <w:left w:w="105" w:type="dxa"/>
              <w:bottom w:w="0" w:type="dxa"/>
              <w:right w:w="105" w:type="dxa"/>
            </w:tcMar>
            <w:vAlign w:val="top"/>
          </w:tcPr>
          <w:p w14:paraId="7BA64A24">
            <w:pPr>
              <w:pStyle w:val="6"/>
              <w:keepNext w:val="0"/>
              <w:keepLines w:val="0"/>
              <w:pageBreakBefore w:val="0"/>
              <w:widowControl/>
              <w:kinsoku/>
              <w:wordWrap/>
              <w:overflowPunct/>
              <w:topLinePunct w:val="0"/>
              <w:autoSpaceDE/>
              <w:autoSpaceDN/>
              <w:bidi w:val="0"/>
              <w:adjustRightInd/>
              <w:snapToGrid/>
              <w:spacing w:line="500" w:lineRule="exact"/>
              <w:ind w:firstLine="0"/>
              <w:jc w:val="center"/>
              <w:textAlignment w:val="auto"/>
              <w:rPr>
                <w:rFonts w:hint="eastAsia" w:ascii="宋体" w:hAnsi="宋体" w:eastAsia="宋体" w:cs="宋体"/>
                <w:sz w:val="24"/>
                <w:szCs w:val="24"/>
              </w:rPr>
            </w:pPr>
            <w:r>
              <w:rPr>
                <w:rFonts w:hint="eastAsia" w:ascii="宋体" w:hAnsi="宋体" w:eastAsia="宋体" w:cs="宋体"/>
                <w:color w:val="000000"/>
                <w:sz w:val="24"/>
                <w:szCs w:val="24"/>
              </w:rPr>
              <w:t>1套</w:t>
            </w:r>
          </w:p>
        </w:tc>
        <w:tc>
          <w:tcPr>
            <w:tcW w:w="2359" w:type="dxa"/>
            <w:tcBorders>
              <w:top w:val="nil"/>
              <w:left w:val="nil"/>
              <w:bottom w:val="single" w:color="000000" w:sz="4" w:space="0"/>
              <w:right w:val="single" w:color="000000" w:sz="4" w:space="0"/>
            </w:tcBorders>
            <w:tcMar>
              <w:top w:w="0" w:type="dxa"/>
              <w:left w:w="105" w:type="dxa"/>
              <w:bottom w:w="0" w:type="dxa"/>
              <w:right w:w="105" w:type="dxa"/>
            </w:tcMar>
            <w:vAlign w:val="top"/>
          </w:tcPr>
          <w:p w14:paraId="4F6BEBE2">
            <w:pPr>
              <w:pStyle w:val="6"/>
              <w:keepNext w:val="0"/>
              <w:keepLines w:val="0"/>
              <w:pageBreakBefore w:val="0"/>
              <w:widowControl/>
              <w:kinsoku/>
              <w:wordWrap/>
              <w:overflowPunct/>
              <w:topLinePunct w:val="0"/>
              <w:autoSpaceDE/>
              <w:autoSpaceDN/>
              <w:bidi w:val="0"/>
              <w:adjustRightInd/>
              <w:snapToGrid/>
              <w:spacing w:line="500" w:lineRule="exact"/>
              <w:ind w:firstLine="0"/>
              <w:jc w:val="center"/>
              <w:textAlignment w:val="auto"/>
              <w:rPr>
                <w:rFonts w:hint="eastAsia" w:ascii="宋体" w:hAnsi="宋体" w:eastAsia="宋体" w:cs="宋体"/>
                <w:sz w:val="24"/>
                <w:szCs w:val="24"/>
              </w:rPr>
            </w:pPr>
            <w:r>
              <w:rPr>
                <w:rFonts w:hint="eastAsia" w:ascii="宋体" w:hAnsi="宋体" w:eastAsia="宋体" w:cs="宋体"/>
                <w:color w:val="000000"/>
                <w:sz w:val="24"/>
                <w:szCs w:val="24"/>
              </w:rPr>
              <w:t>0.800000</w:t>
            </w:r>
          </w:p>
        </w:tc>
      </w:tr>
      <w:tr w14:paraId="76F8E317">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99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8CC2A8F">
            <w:pPr>
              <w:pStyle w:val="6"/>
              <w:keepNext w:val="0"/>
              <w:keepLines w:val="0"/>
              <w:pageBreakBefore w:val="0"/>
              <w:widowControl/>
              <w:kinsoku/>
              <w:wordWrap/>
              <w:overflowPunct/>
              <w:topLinePunct w:val="0"/>
              <w:autoSpaceDE/>
              <w:autoSpaceDN/>
              <w:bidi w:val="0"/>
              <w:adjustRightInd/>
              <w:snapToGrid/>
              <w:spacing w:line="500" w:lineRule="exact"/>
              <w:ind w:firstLine="0"/>
              <w:jc w:val="center"/>
              <w:textAlignment w:val="auto"/>
              <w:rPr>
                <w:rFonts w:hint="eastAsia" w:ascii="宋体" w:hAnsi="宋体" w:eastAsia="宋体" w:cs="宋体"/>
                <w:sz w:val="24"/>
                <w:szCs w:val="24"/>
              </w:rPr>
            </w:pPr>
            <w:r>
              <w:rPr>
                <w:rFonts w:hint="eastAsia" w:ascii="宋体" w:hAnsi="宋体" w:eastAsia="宋体" w:cs="宋体"/>
                <w:color w:val="000000"/>
                <w:sz w:val="24"/>
                <w:szCs w:val="24"/>
              </w:rPr>
              <w:t>2.48</w:t>
            </w:r>
          </w:p>
        </w:tc>
        <w:tc>
          <w:tcPr>
            <w:tcW w:w="3616" w:type="dxa"/>
            <w:tcBorders>
              <w:top w:val="nil"/>
              <w:left w:val="nil"/>
              <w:bottom w:val="single" w:color="000000" w:sz="4" w:space="0"/>
              <w:right w:val="single" w:color="000000" w:sz="4" w:space="0"/>
            </w:tcBorders>
            <w:tcMar>
              <w:top w:w="0" w:type="dxa"/>
              <w:left w:w="105" w:type="dxa"/>
              <w:bottom w:w="0" w:type="dxa"/>
              <w:right w:w="105" w:type="dxa"/>
            </w:tcMar>
            <w:vAlign w:val="top"/>
          </w:tcPr>
          <w:p w14:paraId="4929070D">
            <w:pPr>
              <w:pStyle w:val="6"/>
              <w:keepNext w:val="0"/>
              <w:keepLines w:val="0"/>
              <w:pageBreakBefore w:val="0"/>
              <w:widowControl/>
              <w:kinsoku/>
              <w:wordWrap/>
              <w:overflowPunct/>
              <w:topLinePunct w:val="0"/>
              <w:autoSpaceDE/>
              <w:autoSpaceDN/>
              <w:bidi w:val="0"/>
              <w:adjustRightInd/>
              <w:snapToGrid/>
              <w:spacing w:line="500" w:lineRule="exact"/>
              <w:ind w:firstLine="0"/>
              <w:jc w:val="both"/>
              <w:textAlignment w:val="auto"/>
              <w:rPr>
                <w:rFonts w:hint="eastAsia" w:ascii="宋体" w:hAnsi="宋体" w:eastAsia="宋体" w:cs="宋体"/>
                <w:sz w:val="24"/>
                <w:szCs w:val="24"/>
              </w:rPr>
            </w:pPr>
            <w:r>
              <w:rPr>
                <w:rFonts w:hint="eastAsia" w:ascii="宋体" w:hAnsi="宋体" w:eastAsia="宋体" w:cs="宋体"/>
                <w:color w:val="000000"/>
                <w:sz w:val="24"/>
                <w:szCs w:val="24"/>
              </w:rPr>
              <w:t>动环管线材</w:t>
            </w:r>
          </w:p>
        </w:tc>
        <w:tc>
          <w:tcPr>
            <w:tcW w:w="1455" w:type="dxa"/>
            <w:tcBorders>
              <w:top w:val="nil"/>
              <w:left w:val="nil"/>
              <w:bottom w:val="single" w:color="000000" w:sz="4" w:space="0"/>
              <w:right w:val="single" w:color="000000" w:sz="4" w:space="0"/>
            </w:tcBorders>
            <w:tcMar>
              <w:top w:w="0" w:type="dxa"/>
              <w:left w:w="105" w:type="dxa"/>
              <w:bottom w:w="0" w:type="dxa"/>
              <w:right w:w="105" w:type="dxa"/>
            </w:tcMar>
            <w:vAlign w:val="top"/>
          </w:tcPr>
          <w:p w14:paraId="36C994B6">
            <w:pPr>
              <w:pStyle w:val="6"/>
              <w:keepNext w:val="0"/>
              <w:keepLines w:val="0"/>
              <w:pageBreakBefore w:val="0"/>
              <w:widowControl/>
              <w:kinsoku/>
              <w:wordWrap/>
              <w:overflowPunct/>
              <w:topLinePunct w:val="0"/>
              <w:autoSpaceDE/>
              <w:autoSpaceDN/>
              <w:bidi w:val="0"/>
              <w:adjustRightInd/>
              <w:snapToGrid/>
              <w:spacing w:line="500" w:lineRule="exact"/>
              <w:ind w:firstLine="0"/>
              <w:jc w:val="center"/>
              <w:textAlignment w:val="auto"/>
              <w:rPr>
                <w:rFonts w:hint="eastAsia" w:ascii="宋体" w:hAnsi="宋体" w:eastAsia="宋体" w:cs="宋体"/>
                <w:sz w:val="24"/>
                <w:szCs w:val="24"/>
              </w:rPr>
            </w:pPr>
            <w:r>
              <w:rPr>
                <w:rFonts w:hint="eastAsia" w:ascii="宋体" w:hAnsi="宋体" w:eastAsia="宋体" w:cs="宋体"/>
                <w:color w:val="000000"/>
                <w:sz w:val="24"/>
                <w:szCs w:val="24"/>
              </w:rPr>
              <w:t>1项</w:t>
            </w:r>
          </w:p>
        </w:tc>
        <w:tc>
          <w:tcPr>
            <w:tcW w:w="2359" w:type="dxa"/>
            <w:tcBorders>
              <w:top w:val="nil"/>
              <w:left w:val="nil"/>
              <w:bottom w:val="single" w:color="000000" w:sz="4" w:space="0"/>
              <w:right w:val="single" w:color="000000" w:sz="4" w:space="0"/>
            </w:tcBorders>
            <w:tcMar>
              <w:top w:w="0" w:type="dxa"/>
              <w:left w:w="105" w:type="dxa"/>
              <w:bottom w:w="0" w:type="dxa"/>
              <w:right w:w="105" w:type="dxa"/>
            </w:tcMar>
            <w:vAlign w:val="top"/>
          </w:tcPr>
          <w:p w14:paraId="0C671F5F">
            <w:pPr>
              <w:pStyle w:val="6"/>
              <w:keepNext w:val="0"/>
              <w:keepLines w:val="0"/>
              <w:pageBreakBefore w:val="0"/>
              <w:widowControl/>
              <w:kinsoku/>
              <w:wordWrap/>
              <w:overflowPunct/>
              <w:topLinePunct w:val="0"/>
              <w:autoSpaceDE/>
              <w:autoSpaceDN/>
              <w:bidi w:val="0"/>
              <w:adjustRightInd/>
              <w:snapToGrid/>
              <w:spacing w:line="500" w:lineRule="exact"/>
              <w:ind w:firstLine="0"/>
              <w:jc w:val="center"/>
              <w:textAlignment w:val="auto"/>
              <w:rPr>
                <w:rFonts w:hint="eastAsia" w:ascii="宋体" w:hAnsi="宋体" w:eastAsia="宋体" w:cs="宋体"/>
                <w:sz w:val="24"/>
                <w:szCs w:val="24"/>
              </w:rPr>
            </w:pPr>
            <w:r>
              <w:rPr>
                <w:rFonts w:hint="eastAsia" w:ascii="宋体" w:hAnsi="宋体" w:eastAsia="宋体" w:cs="宋体"/>
                <w:color w:val="000000"/>
                <w:sz w:val="24"/>
                <w:szCs w:val="24"/>
              </w:rPr>
              <w:t>0.150000</w:t>
            </w:r>
          </w:p>
        </w:tc>
      </w:tr>
      <w:tr w14:paraId="028A3E35">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99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1218C30C">
            <w:pPr>
              <w:pStyle w:val="6"/>
              <w:keepNext w:val="0"/>
              <w:keepLines w:val="0"/>
              <w:pageBreakBefore w:val="0"/>
              <w:widowControl/>
              <w:kinsoku/>
              <w:wordWrap/>
              <w:overflowPunct/>
              <w:topLinePunct w:val="0"/>
              <w:autoSpaceDE/>
              <w:autoSpaceDN/>
              <w:bidi w:val="0"/>
              <w:adjustRightInd/>
              <w:snapToGrid/>
              <w:spacing w:line="500" w:lineRule="exact"/>
              <w:ind w:firstLine="0"/>
              <w:jc w:val="center"/>
              <w:textAlignment w:val="auto"/>
              <w:rPr>
                <w:rFonts w:hint="eastAsia" w:ascii="宋体" w:hAnsi="宋体" w:eastAsia="宋体" w:cs="宋体"/>
                <w:sz w:val="24"/>
                <w:szCs w:val="24"/>
              </w:rPr>
            </w:pPr>
            <w:r>
              <w:rPr>
                <w:rFonts w:hint="eastAsia" w:ascii="宋体" w:hAnsi="宋体" w:eastAsia="宋体" w:cs="宋体"/>
                <w:b/>
                <w:color w:val="000000"/>
                <w:sz w:val="24"/>
                <w:szCs w:val="24"/>
              </w:rPr>
              <w:t>四</w:t>
            </w:r>
          </w:p>
        </w:tc>
        <w:tc>
          <w:tcPr>
            <w:tcW w:w="3616" w:type="dxa"/>
            <w:tcBorders>
              <w:top w:val="nil"/>
              <w:left w:val="nil"/>
              <w:bottom w:val="single" w:color="000000" w:sz="4" w:space="0"/>
              <w:right w:val="single" w:color="000000" w:sz="4" w:space="0"/>
            </w:tcBorders>
            <w:tcMar>
              <w:top w:w="0" w:type="dxa"/>
              <w:left w:w="105" w:type="dxa"/>
              <w:bottom w:w="0" w:type="dxa"/>
              <w:right w:w="105" w:type="dxa"/>
            </w:tcMar>
            <w:vAlign w:val="top"/>
          </w:tcPr>
          <w:p w14:paraId="2058D498">
            <w:pPr>
              <w:pStyle w:val="6"/>
              <w:keepNext w:val="0"/>
              <w:keepLines w:val="0"/>
              <w:pageBreakBefore w:val="0"/>
              <w:widowControl/>
              <w:kinsoku/>
              <w:wordWrap/>
              <w:overflowPunct/>
              <w:topLinePunct w:val="0"/>
              <w:autoSpaceDE/>
              <w:autoSpaceDN/>
              <w:bidi w:val="0"/>
              <w:adjustRightInd/>
              <w:snapToGrid/>
              <w:spacing w:line="500" w:lineRule="exact"/>
              <w:ind w:firstLine="0"/>
              <w:jc w:val="both"/>
              <w:textAlignment w:val="auto"/>
              <w:rPr>
                <w:rFonts w:hint="eastAsia" w:ascii="宋体" w:hAnsi="宋体" w:eastAsia="宋体" w:cs="宋体"/>
                <w:sz w:val="24"/>
                <w:szCs w:val="24"/>
              </w:rPr>
            </w:pPr>
            <w:r>
              <w:rPr>
                <w:rFonts w:hint="eastAsia" w:ascii="宋体" w:hAnsi="宋体" w:eastAsia="宋体" w:cs="宋体"/>
                <w:b/>
                <w:color w:val="000000"/>
                <w:sz w:val="24"/>
                <w:szCs w:val="24"/>
              </w:rPr>
              <w:t>网络安全设备</w:t>
            </w:r>
          </w:p>
        </w:tc>
        <w:tc>
          <w:tcPr>
            <w:tcW w:w="1455" w:type="dxa"/>
            <w:tcBorders>
              <w:top w:val="nil"/>
              <w:left w:val="nil"/>
              <w:bottom w:val="single" w:color="000000" w:sz="4" w:space="0"/>
              <w:right w:val="single" w:color="000000" w:sz="4" w:space="0"/>
            </w:tcBorders>
            <w:tcMar>
              <w:top w:w="0" w:type="dxa"/>
              <w:left w:w="105" w:type="dxa"/>
              <w:bottom w:w="0" w:type="dxa"/>
              <w:right w:w="105" w:type="dxa"/>
            </w:tcMar>
            <w:vAlign w:val="top"/>
          </w:tcPr>
          <w:p w14:paraId="2A81E373">
            <w:pPr>
              <w:pStyle w:val="6"/>
              <w:keepNext w:val="0"/>
              <w:keepLines w:val="0"/>
              <w:pageBreakBefore w:val="0"/>
              <w:widowControl/>
              <w:kinsoku/>
              <w:wordWrap/>
              <w:overflowPunct/>
              <w:topLinePunct w:val="0"/>
              <w:autoSpaceDE/>
              <w:autoSpaceDN/>
              <w:bidi w:val="0"/>
              <w:adjustRightInd/>
              <w:snapToGrid/>
              <w:spacing w:line="500" w:lineRule="exact"/>
              <w:ind w:firstLine="0"/>
              <w:jc w:val="center"/>
              <w:textAlignment w:val="auto"/>
              <w:rPr>
                <w:rFonts w:hint="eastAsia" w:ascii="宋体" w:hAnsi="宋体" w:eastAsia="宋体" w:cs="宋体"/>
                <w:sz w:val="24"/>
                <w:szCs w:val="24"/>
              </w:rPr>
            </w:pPr>
          </w:p>
        </w:tc>
        <w:tc>
          <w:tcPr>
            <w:tcW w:w="2359" w:type="dxa"/>
            <w:tcBorders>
              <w:top w:val="nil"/>
              <w:left w:val="nil"/>
              <w:bottom w:val="single" w:color="000000" w:sz="4" w:space="0"/>
              <w:right w:val="single" w:color="000000" w:sz="4" w:space="0"/>
            </w:tcBorders>
            <w:tcMar>
              <w:top w:w="0" w:type="dxa"/>
              <w:left w:w="105" w:type="dxa"/>
              <w:bottom w:w="0" w:type="dxa"/>
              <w:right w:w="105" w:type="dxa"/>
            </w:tcMar>
            <w:vAlign w:val="top"/>
          </w:tcPr>
          <w:p w14:paraId="7CBCBDEF">
            <w:pPr>
              <w:pStyle w:val="6"/>
              <w:keepNext w:val="0"/>
              <w:keepLines w:val="0"/>
              <w:pageBreakBefore w:val="0"/>
              <w:widowControl/>
              <w:kinsoku/>
              <w:wordWrap/>
              <w:overflowPunct/>
              <w:topLinePunct w:val="0"/>
              <w:autoSpaceDE/>
              <w:autoSpaceDN/>
              <w:bidi w:val="0"/>
              <w:adjustRightInd/>
              <w:snapToGrid/>
              <w:spacing w:line="500" w:lineRule="exact"/>
              <w:ind w:firstLine="0"/>
              <w:jc w:val="center"/>
              <w:textAlignment w:val="auto"/>
              <w:rPr>
                <w:rFonts w:hint="eastAsia" w:ascii="宋体" w:hAnsi="宋体" w:eastAsia="宋体" w:cs="宋体"/>
                <w:sz w:val="24"/>
                <w:szCs w:val="24"/>
              </w:rPr>
            </w:pPr>
            <w:r>
              <w:rPr>
                <w:rFonts w:hint="eastAsia" w:ascii="宋体" w:hAnsi="宋体" w:eastAsia="宋体" w:cs="宋体"/>
                <w:b/>
                <w:color w:val="000000"/>
                <w:sz w:val="24"/>
                <w:szCs w:val="24"/>
              </w:rPr>
              <w:t>271.850000</w:t>
            </w:r>
          </w:p>
        </w:tc>
      </w:tr>
      <w:tr w14:paraId="2805F535">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99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60214505">
            <w:pPr>
              <w:pStyle w:val="6"/>
              <w:keepNext w:val="0"/>
              <w:keepLines w:val="0"/>
              <w:pageBreakBefore w:val="0"/>
              <w:widowControl/>
              <w:kinsoku/>
              <w:wordWrap/>
              <w:overflowPunct/>
              <w:topLinePunct w:val="0"/>
              <w:autoSpaceDE/>
              <w:autoSpaceDN/>
              <w:bidi w:val="0"/>
              <w:adjustRightInd/>
              <w:snapToGrid/>
              <w:spacing w:line="500" w:lineRule="exact"/>
              <w:ind w:firstLine="0"/>
              <w:jc w:val="center"/>
              <w:textAlignment w:val="auto"/>
              <w:rPr>
                <w:rFonts w:hint="eastAsia" w:ascii="宋体" w:hAnsi="宋体" w:eastAsia="宋体" w:cs="宋体"/>
                <w:sz w:val="24"/>
                <w:szCs w:val="24"/>
              </w:rPr>
            </w:pPr>
            <w:r>
              <w:rPr>
                <w:rFonts w:hint="eastAsia" w:ascii="宋体" w:hAnsi="宋体" w:eastAsia="宋体" w:cs="宋体"/>
                <w:b/>
                <w:color w:val="000000"/>
                <w:sz w:val="24"/>
                <w:szCs w:val="24"/>
              </w:rPr>
              <w:t>1</w:t>
            </w:r>
          </w:p>
        </w:tc>
        <w:tc>
          <w:tcPr>
            <w:tcW w:w="3616" w:type="dxa"/>
            <w:tcBorders>
              <w:top w:val="nil"/>
              <w:left w:val="nil"/>
              <w:bottom w:val="single" w:color="000000" w:sz="4" w:space="0"/>
              <w:right w:val="single" w:color="000000" w:sz="4" w:space="0"/>
            </w:tcBorders>
            <w:tcMar>
              <w:top w:w="0" w:type="dxa"/>
              <w:left w:w="105" w:type="dxa"/>
              <w:bottom w:w="0" w:type="dxa"/>
              <w:right w:w="105" w:type="dxa"/>
            </w:tcMar>
            <w:vAlign w:val="top"/>
          </w:tcPr>
          <w:p w14:paraId="40DF8EE8">
            <w:pPr>
              <w:pStyle w:val="6"/>
              <w:keepNext w:val="0"/>
              <w:keepLines w:val="0"/>
              <w:pageBreakBefore w:val="0"/>
              <w:widowControl/>
              <w:kinsoku/>
              <w:wordWrap/>
              <w:overflowPunct/>
              <w:topLinePunct w:val="0"/>
              <w:autoSpaceDE/>
              <w:autoSpaceDN/>
              <w:bidi w:val="0"/>
              <w:adjustRightInd/>
              <w:snapToGrid/>
              <w:spacing w:line="500" w:lineRule="exact"/>
              <w:ind w:firstLine="0"/>
              <w:jc w:val="both"/>
              <w:textAlignment w:val="auto"/>
              <w:rPr>
                <w:rFonts w:hint="eastAsia" w:ascii="宋体" w:hAnsi="宋体" w:eastAsia="宋体" w:cs="宋体"/>
                <w:sz w:val="24"/>
                <w:szCs w:val="24"/>
              </w:rPr>
            </w:pPr>
            <w:r>
              <w:rPr>
                <w:rFonts w:hint="eastAsia" w:ascii="宋体" w:hAnsi="宋体" w:eastAsia="宋体" w:cs="宋体"/>
                <w:b/>
                <w:color w:val="000000"/>
                <w:sz w:val="24"/>
                <w:szCs w:val="24"/>
              </w:rPr>
              <w:t>网络安全</w:t>
            </w:r>
          </w:p>
        </w:tc>
        <w:tc>
          <w:tcPr>
            <w:tcW w:w="1455" w:type="dxa"/>
            <w:tcBorders>
              <w:top w:val="nil"/>
              <w:left w:val="nil"/>
              <w:bottom w:val="single" w:color="000000" w:sz="4" w:space="0"/>
              <w:right w:val="single" w:color="000000" w:sz="4" w:space="0"/>
            </w:tcBorders>
            <w:tcMar>
              <w:top w:w="0" w:type="dxa"/>
              <w:left w:w="105" w:type="dxa"/>
              <w:bottom w:w="0" w:type="dxa"/>
              <w:right w:w="105" w:type="dxa"/>
            </w:tcMar>
            <w:vAlign w:val="top"/>
          </w:tcPr>
          <w:p w14:paraId="74CFF851">
            <w:pPr>
              <w:pStyle w:val="6"/>
              <w:keepNext w:val="0"/>
              <w:keepLines w:val="0"/>
              <w:pageBreakBefore w:val="0"/>
              <w:widowControl/>
              <w:kinsoku/>
              <w:wordWrap/>
              <w:overflowPunct/>
              <w:topLinePunct w:val="0"/>
              <w:autoSpaceDE/>
              <w:autoSpaceDN/>
              <w:bidi w:val="0"/>
              <w:adjustRightInd/>
              <w:snapToGrid/>
              <w:spacing w:line="500" w:lineRule="exact"/>
              <w:ind w:firstLine="0"/>
              <w:jc w:val="center"/>
              <w:textAlignment w:val="auto"/>
              <w:rPr>
                <w:rFonts w:hint="eastAsia" w:ascii="宋体" w:hAnsi="宋体" w:eastAsia="宋体" w:cs="宋体"/>
                <w:sz w:val="24"/>
                <w:szCs w:val="24"/>
              </w:rPr>
            </w:pPr>
          </w:p>
        </w:tc>
        <w:tc>
          <w:tcPr>
            <w:tcW w:w="2359" w:type="dxa"/>
            <w:tcBorders>
              <w:top w:val="nil"/>
              <w:left w:val="nil"/>
              <w:bottom w:val="single" w:color="000000" w:sz="4" w:space="0"/>
              <w:right w:val="single" w:color="000000" w:sz="4" w:space="0"/>
            </w:tcBorders>
            <w:tcMar>
              <w:top w:w="0" w:type="dxa"/>
              <w:left w:w="105" w:type="dxa"/>
              <w:bottom w:w="0" w:type="dxa"/>
              <w:right w:w="105" w:type="dxa"/>
            </w:tcMar>
            <w:vAlign w:val="top"/>
          </w:tcPr>
          <w:p w14:paraId="748A267B">
            <w:pPr>
              <w:pStyle w:val="6"/>
              <w:keepNext w:val="0"/>
              <w:keepLines w:val="0"/>
              <w:pageBreakBefore w:val="0"/>
              <w:widowControl/>
              <w:kinsoku/>
              <w:wordWrap/>
              <w:overflowPunct/>
              <w:topLinePunct w:val="0"/>
              <w:autoSpaceDE/>
              <w:autoSpaceDN/>
              <w:bidi w:val="0"/>
              <w:adjustRightInd/>
              <w:snapToGrid/>
              <w:spacing w:line="500" w:lineRule="exact"/>
              <w:ind w:firstLine="0"/>
              <w:jc w:val="center"/>
              <w:textAlignment w:val="auto"/>
              <w:rPr>
                <w:rFonts w:hint="eastAsia" w:ascii="宋体" w:hAnsi="宋体" w:eastAsia="宋体" w:cs="宋体"/>
                <w:sz w:val="24"/>
                <w:szCs w:val="24"/>
              </w:rPr>
            </w:pPr>
            <w:r>
              <w:rPr>
                <w:rFonts w:hint="eastAsia" w:ascii="宋体" w:hAnsi="宋体" w:eastAsia="宋体" w:cs="宋体"/>
                <w:b/>
                <w:color w:val="000000"/>
                <w:sz w:val="24"/>
                <w:szCs w:val="24"/>
              </w:rPr>
              <w:t>195.900000</w:t>
            </w:r>
          </w:p>
        </w:tc>
      </w:tr>
      <w:tr w14:paraId="4CF692B7">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99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20FEA056">
            <w:pPr>
              <w:pStyle w:val="6"/>
              <w:keepNext w:val="0"/>
              <w:keepLines w:val="0"/>
              <w:pageBreakBefore w:val="0"/>
              <w:widowControl/>
              <w:kinsoku/>
              <w:wordWrap/>
              <w:overflowPunct/>
              <w:topLinePunct w:val="0"/>
              <w:autoSpaceDE/>
              <w:autoSpaceDN/>
              <w:bidi w:val="0"/>
              <w:adjustRightInd/>
              <w:snapToGrid/>
              <w:spacing w:line="500" w:lineRule="exact"/>
              <w:ind w:firstLine="0"/>
              <w:jc w:val="center"/>
              <w:textAlignment w:val="auto"/>
              <w:rPr>
                <w:rFonts w:hint="eastAsia" w:ascii="宋体" w:hAnsi="宋体" w:eastAsia="宋体" w:cs="宋体"/>
                <w:sz w:val="24"/>
                <w:szCs w:val="24"/>
              </w:rPr>
            </w:pPr>
            <w:r>
              <w:rPr>
                <w:rFonts w:hint="eastAsia" w:ascii="宋体" w:hAnsi="宋体" w:eastAsia="宋体" w:cs="宋体"/>
                <w:color w:val="000000"/>
                <w:sz w:val="24"/>
                <w:szCs w:val="24"/>
              </w:rPr>
              <w:t>1.2</w:t>
            </w:r>
          </w:p>
        </w:tc>
        <w:tc>
          <w:tcPr>
            <w:tcW w:w="3616" w:type="dxa"/>
            <w:tcBorders>
              <w:top w:val="nil"/>
              <w:left w:val="nil"/>
              <w:bottom w:val="single" w:color="000000" w:sz="4" w:space="0"/>
              <w:right w:val="single" w:color="000000" w:sz="4" w:space="0"/>
            </w:tcBorders>
            <w:tcMar>
              <w:top w:w="0" w:type="dxa"/>
              <w:left w:w="105" w:type="dxa"/>
              <w:bottom w:w="0" w:type="dxa"/>
              <w:right w:w="105" w:type="dxa"/>
            </w:tcMar>
            <w:vAlign w:val="top"/>
          </w:tcPr>
          <w:p w14:paraId="5E003DCD">
            <w:pPr>
              <w:pStyle w:val="6"/>
              <w:keepNext w:val="0"/>
              <w:keepLines w:val="0"/>
              <w:pageBreakBefore w:val="0"/>
              <w:widowControl/>
              <w:kinsoku/>
              <w:wordWrap/>
              <w:overflowPunct/>
              <w:topLinePunct w:val="0"/>
              <w:autoSpaceDE/>
              <w:autoSpaceDN/>
              <w:bidi w:val="0"/>
              <w:adjustRightInd/>
              <w:snapToGrid/>
              <w:spacing w:line="500" w:lineRule="exact"/>
              <w:ind w:firstLine="0"/>
              <w:jc w:val="both"/>
              <w:textAlignment w:val="auto"/>
              <w:rPr>
                <w:rFonts w:hint="eastAsia" w:ascii="宋体" w:hAnsi="宋体" w:eastAsia="宋体" w:cs="宋体"/>
                <w:sz w:val="24"/>
                <w:szCs w:val="24"/>
              </w:rPr>
            </w:pPr>
            <w:r>
              <w:rPr>
                <w:rFonts w:hint="eastAsia" w:ascii="宋体" w:hAnsi="宋体" w:eastAsia="宋体" w:cs="宋体"/>
                <w:color w:val="000000"/>
                <w:sz w:val="24"/>
                <w:szCs w:val="24"/>
              </w:rPr>
              <w:t>外网互联网接入区抗DDOS</w:t>
            </w:r>
          </w:p>
        </w:tc>
        <w:tc>
          <w:tcPr>
            <w:tcW w:w="1455" w:type="dxa"/>
            <w:tcBorders>
              <w:top w:val="nil"/>
              <w:left w:val="nil"/>
              <w:bottom w:val="single" w:color="000000" w:sz="4" w:space="0"/>
              <w:right w:val="single" w:color="000000" w:sz="4" w:space="0"/>
            </w:tcBorders>
            <w:tcMar>
              <w:top w:w="0" w:type="dxa"/>
              <w:left w:w="105" w:type="dxa"/>
              <w:bottom w:w="0" w:type="dxa"/>
              <w:right w:w="105" w:type="dxa"/>
            </w:tcMar>
            <w:vAlign w:val="top"/>
          </w:tcPr>
          <w:p w14:paraId="4672E59D">
            <w:pPr>
              <w:pStyle w:val="6"/>
              <w:keepNext w:val="0"/>
              <w:keepLines w:val="0"/>
              <w:pageBreakBefore w:val="0"/>
              <w:widowControl/>
              <w:kinsoku/>
              <w:wordWrap/>
              <w:overflowPunct/>
              <w:topLinePunct w:val="0"/>
              <w:autoSpaceDE/>
              <w:autoSpaceDN/>
              <w:bidi w:val="0"/>
              <w:adjustRightInd/>
              <w:snapToGrid/>
              <w:spacing w:line="500" w:lineRule="exact"/>
              <w:ind w:firstLine="0"/>
              <w:jc w:val="center"/>
              <w:textAlignment w:val="auto"/>
              <w:rPr>
                <w:rFonts w:hint="eastAsia" w:ascii="宋体" w:hAnsi="宋体" w:eastAsia="宋体" w:cs="宋体"/>
                <w:sz w:val="24"/>
                <w:szCs w:val="24"/>
              </w:rPr>
            </w:pPr>
            <w:r>
              <w:rPr>
                <w:rFonts w:hint="eastAsia" w:ascii="宋体" w:hAnsi="宋体" w:eastAsia="宋体" w:cs="宋体"/>
                <w:color w:val="000000"/>
                <w:sz w:val="24"/>
                <w:szCs w:val="24"/>
              </w:rPr>
              <w:t>2套</w:t>
            </w:r>
          </w:p>
        </w:tc>
        <w:tc>
          <w:tcPr>
            <w:tcW w:w="2359" w:type="dxa"/>
            <w:tcBorders>
              <w:top w:val="nil"/>
              <w:left w:val="nil"/>
              <w:bottom w:val="single" w:color="000000" w:sz="4" w:space="0"/>
              <w:right w:val="single" w:color="000000" w:sz="4" w:space="0"/>
            </w:tcBorders>
            <w:tcMar>
              <w:top w:w="0" w:type="dxa"/>
              <w:left w:w="105" w:type="dxa"/>
              <w:bottom w:w="0" w:type="dxa"/>
              <w:right w:w="105" w:type="dxa"/>
            </w:tcMar>
            <w:vAlign w:val="top"/>
          </w:tcPr>
          <w:p w14:paraId="05182A64">
            <w:pPr>
              <w:pStyle w:val="6"/>
              <w:keepNext w:val="0"/>
              <w:keepLines w:val="0"/>
              <w:pageBreakBefore w:val="0"/>
              <w:widowControl/>
              <w:kinsoku/>
              <w:wordWrap/>
              <w:overflowPunct/>
              <w:topLinePunct w:val="0"/>
              <w:autoSpaceDE/>
              <w:autoSpaceDN/>
              <w:bidi w:val="0"/>
              <w:adjustRightInd/>
              <w:snapToGrid/>
              <w:spacing w:line="500" w:lineRule="exact"/>
              <w:ind w:firstLine="0"/>
              <w:jc w:val="center"/>
              <w:textAlignment w:val="auto"/>
              <w:rPr>
                <w:rFonts w:hint="eastAsia" w:ascii="宋体" w:hAnsi="宋体" w:eastAsia="宋体" w:cs="宋体"/>
                <w:sz w:val="24"/>
                <w:szCs w:val="24"/>
              </w:rPr>
            </w:pPr>
            <w:r>
              <w:rPr>
                <w:rFonts w:hint="eastAsia" w:ascii="宋体" w:hAnsi="宋体" w:eastAsia="宋体" w:cs="宋体"/>
                <w:color w:val="000000"/>
                <w:sz w:val="24"/>
                <w:szCs w:val="24"/>
              </w:rPr>
              <w:t>20.000000</w:t>
            </w:r>
          </w:p>
        </w:tc>
      </w:tr>
      <w:tr w14:paraId="6F770029">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99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27EB00D2">
            <w:pPr>
              <w:pStyle w:val="6"/>
              <w:keepNext w:val="0"/>
              <w:keepLines w:val="0"/>
              <w:pageBreakBefore w:val="0"/>
              <w:widowControl/>
              <w:kinsoku/>
              <w:wordWrap/>
              <w:overflowPunct/>
              <w:topLinePunct w:val="0"/>
              <w:autoSpaceDE/>
              <w:autoSpaceDN/>
              <w:bidi w:val="0"/>
              <w:adjustRightInd/>
              <w:snapToGrid/>
              <w:spacing w:line="500" w:lineRule="exact"/>
              <w:ind w:firstLine="0"/>
              <w:jc w:val="center"/>
              <w:textAlignment w:val="auto"/>
              <w:rPr>
                <w:rFonts w:hint="eastAsia" w:ascii="宋体" w:hAnsi="宋体" w:eastAsia="宋体" w:cs="宋体"/>
                <w:sz w:val="24"/>
                <w:szCs w:val="24"/>
              </w:rPr>
            </w:pPr>
            <w:r>
              <w:rPr>
                <w:rFonts w:hint="eastAsia" w:ascii="宋体" w:hAnsi="宋体" w:eastAsia="宋体" w:cs="宋体"/>
                <w:color w:val="000000"/>
                <w:sz w:val="24"/>
                <w:szCs w:val="24"/>
              </w:rPr>
              <w:t>1.1</w:t>
            </w:r>
          </w:p>
        </w:tc>
        <w:tc>
          <w:tcPr>
            <w:tcW w:w="3616" w:type="dxa"/>
            <w:tcBorders>
              <w:top w:val="nil"/>
              <w:left w:val="nil"/>
              <w:bottom w:val="single" w:color="000000" w:sz="4" w:space="0"/>
              <w:right w:val="single" w:color="000000" w:sz="4" w:space="0"/>
            </w:tcBorders>
            <w:tcMar>
              <w:top w:w="0" w:type="dxa"/>
              <w:left w:w="105" w:type="dxa"/>
              <w:bottom w:w="0" w:type="dxa"/>
              <w:right w:w="105" w:type="dxa"/>
            </w:tcMar>
            <w:vAlign w:val="top"/>
          </w:tcPr>
          <w:p w14:paraId="43491059">
            <w:pPr>
              <w:pStyle w:val="6"/>
              <w:keepNext w:val="0"/>
              <w:keepLines w:val="0"/>
              <w:pageBreakBefore w:val="0"/>
              <w:widowControl/>
              <w:kinsoku/>
              <w:wordWrap/>
              <w:overflowPunct/>
              <w:topLinePunct w:val="0"/>
              <w:autoSpaceDE/>
              <w:autoSpaceDN/>
              <w:bidi w:val="0"/>
              <w:adjustRightInd/>
              <w:snapToGrid/>
              <w:spacing w:line="500" w:lineRule="exact"/>
              <w:ind w:firstLine="0"/>
              <w:jc w:val="both"/>
              <w:textAlignment w:val="auto"/>
              <w:rPr>
                <w:rFonts w:hint="eastAsia" w:ascii="宋体" w:hAnsi="宋体" w:eastAsia="宋体" w:cs="宋体"/>
                <w:sz w:val="24"/>
                <w:szCs w:val="24"/>
              </w:rPr>
            </w:pPr>
            <w:r>
              <w:rPr>
                <w:rFonts w:hint="eastAsia" w:ascii="宋体" w:hAnsi="宋体" w:eastAsia="宋体" w:cs="宋体"/>
                <w:color w:val="000000"/>
                <w:sz w:val="24"/>
                <w:szCs w:val="24"/>
              </w:rPr>
              <w:t>外网出口防火墙</w:t>
            </w:r>
          </w:p>
        </w:tc>
        <w:tc>
          <w:tcPr>
            <w:tcW w:w="1455" w:type="dxa"/>
            <w:tcBorders>
              <w:top w:val="nil"/>
              <w:left w:val="nil"/>
              <w:bottom w:val="single" w:color="000000" w:sz="4" w:space="0"/>
              <w:right w:val="single" w:color="000000" w:sz="4" w:space="0"/>
            </w:tcBorders>
            <w:tcMar>
              <w:top w:w="0" w:type="dxa"/>
              <w:left w:w="105" w:type="dxa"/>
              <w:bottom w:w="0" w:type="dxa"/>
              <w:right w:w="105" w:type="dxa"/>
            </w:tcMar>
            <w:vAlign w:val="top"/>
          </w:tcPr>
          <w:p w14:paraId="3DC304C5">
            <w:pPr>
              <w:pStyle w:val="6"/>
              <w:keepNext w:val="0"/>
              <w:keepLines w:val="0"/>
              <w:pageBreakBefore w:val="0"/>
              <w:widowControl/>
              <w:kinsoku/>
              <w:wordWrap/>
              <w:overflowPunct/>
              <w:topLinePunct w:val="0"/>
              <w:autoSpaceDE/>
              <w:autoSpaceDN/>
              <w:bidi w:val="0"/>
              <w:adjustRightInd/>
              <w:snapToGrid/>
              <w:spacing w:line="500" w:lineRule="exact"/>
              <w:ind w:firstLine="0"/>
              <w:jc w:val="center"/>
              <w:textAlignment w:val="auto"/>
              <w:rPr>
                <w:rFonts w:hint="eastAsia" w:ascii="宋体" w:hAnsi="宋体" w:eastAsia="宋体" w:cs="宋体"/>
                <w:sz w:val="24"/>
                <w:szCs w:val="24"/>
              </w:rPr>
            </w:pPr>
            <w:r>
              <w:rPr>
                <w:rFonts w:hint="eastAsia" w:ascii="宋体" w:hAnsi="宋体" w:eastAsia="宋体" w:cs="宋体"/>
                <w:color w:val="000000"/>
                <w:sz w:val="24"/>
                <w:szCs w:val="24"/>
              </w:rPr>
              <w:t>2套</w:t>
            </w:r>
          </w:p>
        </w:tc>
        <w:tc>
          <w:tcPr>
            <w:tcW w:w="2359" w:type="dxa"/>
            <w:tcBorders>
              <w:top w:val="nil"/>
              <w:left w:val="nil"/>
              <w:bottom w:val="single" w:color="000000" w:sz="4" w:space="0"/>
              <w:right w:val="single" w:color="000000" w:sz="4" w:space="0"/>
            </w:tcBorders>
            <w:tcMar>
              <w:top w:w="0" w:type="dxa"/>
              <w:left w:w="105" w:type="dxa"/>
              <w:bottom w:w="0" w:type="dxa"/>
              <w:right w:w="105" w:type="dxa"/>
            </w:tcMar>
            <w:vAlign w:val="top"/>
          </w:tcPr>
          <w:p w14:paraId="3D0BEF2D">
            <w:pPr>
              <w:pStyle w:val="6"/>
              <w:keepNext w:val="0"/>
              <w:keepLines w:val="0"/>
              <w:pageBreakBefore w:val="0"/>
              <w:widowControl/>
              <w:kinsoku/>
              <w:wordWrap/>
              <w:overflowPunct/>
              <w:topLinePunct w:val="0"/>
              <w:autoSpaceDE/>
              <w:autoSpaceDN/>
              <w:bidi w:val="0"/>
              <w:adjustRightInd/>
              <w:snapToGrid/>
              <w:spacing w:line="500" w:lineRule="exact"/>
              <w:ind w:firstLine="0"/>
              <w:jc w:val="center"/>
              <w:textAlignment w:val="auto"/>
              <w:rPr>
                <w:rFonts w:hint="eastAsia" w:ascii="宋体" w:hAnsi="宋体" w:eastAsia="宋体" w:cs="宋体"/>
                <w:sz w:val="24"/>
                <w:szCs w:val="24"/>
              </w:rPr>
            </w:pPr>
            <w:r>
              <w:rPr>
                <w:rFonts w:hint="eastAsia" w:ascii="宋体" w:hAnsi="宋体" w:eastAsia="宋体" w:cs="宋体"/>
                <w:color w:val="000000"/>
                <w:sz w:val="24"/>
                <w:szCs w:val="24"/>
              </w:rPr>
              <w:t>12.800000</w:t>
            </w:r>
          </w:p>
        </w:tc>
      </w:tr>
      <w:tr w14:paraId="4D02E479">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99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087C1920">
            <w:pPr>
              <w:pStyle w:val="6"/>
              <w:keepNext w:val="0"/>
              <w:keepLines w:val="0"/>
              <w:pageBreakBefore w:val="0"/>
              <w:widowControl/>
              <w:kinsoku/>
              <w:wordWrap/>
              <w:overflowPunct/>
              <w:topLinePunct w:val="0"/>
              <w:autoSpaceDE/>
              <w:autoSpaceDN/>
              <w:bidi w:val="0"/>
              <w:adjustRightInd/>
              <w:snapToGrid/>
              <w:spacing w:line="500" w:lineRule="exact"/>
              <w:ind w:firstLine="0"/>
              <w:jc w:val="center"/>
              <w:textAlignment w:val="auto"/>
              <w:rPr>
                <w:rFonts w:hint="eastAsia" w:ascii="宋体" w:hAnsi="宋体" w:eastAsia="宋体" w:cs="宋体"/>
                <w:sz w:val="24"/>
                <w:szCs w:val="24"/>
              </w:rPr>
            </w:pPr>
            <w:r>
              <w:rPr>
                <w:rFonts w:hint="eastAsia" w:ascii="宋体" w:hAnsi="宋体" w:eastAsia="宋体" w:cs="宋体"/>
                <w:color w:val="000000"/>
                <w:sz w:val="24"/>
                <w:szCs w:val="24"/>
              </w:rPr>
              <w:t>1.2</w:t>
            </w:r>
          </w:p>
        </w:tc>
        <w:tc>
          <w:tcPr>
            <w:tcW w:w="3616" w:type="dxa"/>
            <w:tcBorders>
              <w:top w:val="nil"/>
              <w:left w:val="nil"/>
              <w:bottom w:val="single" w:color="000000" w:sz="4" w:space="0"/>
              <w:right w:val="single" w:color="000000" w:sz="4" w:space="0"/>
            </w:tcBorders>
            <w:tcMar>
              <w:top w:w="0" w:type="dxa"/>
              <w:left w:w="105" w:type="dxa"/>
              <w:bottom w:w="0" w:type="dxa"/>
              <w:right w:w="105" w:type="dxa"/>
            </w:tcMar>
            <w:vAlign w:val="top"/>
          </w:tcPr>
          <w:p w14:paraId="35333F86">
            <w:pPr>
              <w:pStyle w:val="6"/>
              <w:keepNext w:val="0"/>
              <w:keepLines w:val="0"/>
              <w:pageBreakBefore w:val="0"/>
              <w:widowControl/>
              <w:kinsoku/>
              <w:wordWrap/>
              <w:overflowPunct/>
              <w:topLinePunct w:val="0"/>
              <w:autoSpaceDE/>
              <w:autoSpaceDN/>
              <w:bidi w:val="0"/>
              <w:adjustRightInd/>
              <w:snapToGrid/>
              <w:spacing w:line="500" w:lineRule="exact"/>
              <w:ind w:firstLine="0"/>
              <w:jc w:val="both"/>
              <w:textAlignment w:val="auto"/>
              <w:rPr>
                <w:rFonts w:hint="eastAsia" w:ascii="宋体" w:hAnsi="宋体" w:eastAsia="宋体" w:cs="宋体"/>
                <w:sz w:val="24"/>
                <w:szCs w:val="24"/>
              </w:rPr>
            </w:pPr>
            <w:r>
              <w:rPr>
                <w:rFonts w:hint="eastAsia" w:ascii="宋体" w:hAnsi="宋体" w:eastAsia="宋体" w:cs="宋体"/>
                <w:color w:val="000000"/>
                <w:sz w:val="24"/>
                <w:szCs w:val="24"/>
              </w:rPr>
              <w:t>上网行为管理</w:t>
            </w:r>
          </w:p>
        </w:tc>
        <w:tc>
          <w:tcPr>
            <w:tcW w:w="1455" w:type="dxa"/>
            <w:tcBorders>
              <w:top w:val="nil"/>
              <w:left w:val="nil"/>
              <w:bottom w:val="single" w:color="000000" w:sz="4" w:space="0"/>
              <w:right w:val="single" w:color="000000" w:sz="4" w:space="0"/>
            </w:tcBorders>
            <w:tcMar>
              <w:top w:w="0" w:type="dxa"/>
              <w:left w:w="105" w:type="dxa"/>
              <w:bottom w:w="0" w:type="dxa"/>
              <w:right w:w="105" w:type="dxa"/>
            </w:tcMar>
            <w:vAlign w:val="top"/>
          </w:tcPr>
          <w:p w14:paraId="58B148C9">
            <w:pPr>
              <w:pStyle w:val="6"/>
              <w:keepNext w:val="0"/>
              <w:keepLines w:val="0"/>
              <w:pageBreakBefore w:val="0"/>
              <w:widowControl/>
              <w:kinsoku/>
              <w:wordWrap/>
              <w:overflowPunct/>
              <w:topLinePunct w:val="0"/>
              <w:autoSpaceDE/>
              <w:autoSpaceDN/>
              <w:bidi w:val="0"/>
              <w:adjustRightInd/>
              <w:snapToGrid/>
              <w:spacing w:line="500" w:lineRule="exact"/>
              <w:ind w:firstLine="0"/>
              <w:jc w:val="center"/>
              <w:textAlignment w:val="auto"/>
              <w:rPr>
                <w:rFonts w:hint="eastAsia" w:ascii="宋体" w:hAnsi="宋体" w:eastAsia="宋体" w:cs="宋体"/>
                <w:sz w:val="24"/>
                <w:szCs w:val="24"/>
              </w:rPr>
            </w:pPr>
            <w:r>
              <w:rPr>
                <w:rFonts w:hint="eastAsia" w:ascii="宋体" w:hAnsi="宋体" w:eastAsia="宋体" w:cs="宋体"/>
                <w:color w:val="000000"/>
                <w:sz w:val="24"/>
                <w:szCs w:val="24"/>
              </w:rPr>
              <w:t>2套</w:t>
            </w:r>
          </w:p>
        </w:tc>
        <w:tc>
          <w:tcPr>
            <w:tcW w:w="2359" w:type="dxa"/>
            <w:tcBorders>
              <w:top w:val="nil"/>
              <w:left w:val="nil"/>
              <w:bottom w:val="single" w:color="000000" w:sz="4" w:space="0"/>
              <w:right w:val="single" w:color="000000" w:sz="4" w:space="0"/>
            </w:tcBorders>
            <w:tcMar>
              <w:top w:w="0" w:type="dxa"/>
              <w:left w:w="105" w:type="dxa"/>
              <w:bottom w:w="0" w:type="dxa"/>
              <w:right w:w="105" w:type="dxa"/>
            </w:tcMar>
            <w:vAlign w:val="top"/>
          </w:tcPr>
          <w:p w14:paraId="3C6B6099">
            <w:pPr>
              <w:pStyle w:val="6"/>
              <w:keepNext w:val="0"/>
              <w:keepLines w:val="0"/>
              <w:pageBreakBefore w:val="0"/>
              <w:widowControl/>
              <w:kinsoku/>
              <w:wordWrap/>
              <w:overflowPunct/>
              <w:topLinePunct w:val="0"/>
              <w:autoSpaceDE/>
              <w:autoSpaceDN/>
              <w:bidi w:val="0"/>
              <w:adjustRightInd/>
              <w:snapToGrid/>
              <w:spacing w:line="500" w:lineRule="exact"/>
              <w:ind w:firstLine="0"/>
              <w:jc w:val="center"/>
              <w:textAlignment w:val="auto"/>
              <w:rPr>
                <w:rFonts w:hint="eastAsia" w:ascii="宋体" w:hAnsi="宋体" w:eastAsia="宋体" w:cs="宋体"/>
                <w:sz w:val="24"/>
                <w:szCs w:val="24"/>
              </w:rPr>
            </w:pPr>
            <w:r>
              <w:rPr>
                <w:rFonts w:hint="eastAsia" w:ascii="宋体" w:hAnsi="宋体" w:eastAsia="宋体" w:cs="宋体"/>
                <w:color w:val="000000"/>
                <w:sz w:val="24"/>
                <w:szCs w:val="24"/>
              </w:rPr>
              <w:t>12.400000</w:t>
            </w:r>
          </w:p>
        </w:tc>
      </w:tr>
      <w:tr w14:paraId="4D1FF5D2">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99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6A0DE7AF">
            <w:pPr>
              <w:pStyle w:val="6"/>
              <w:keepNext w:val="0"/>
              <w:keepLines w:val="0"/>
              <w:pageBreakBefore w:val="0"/>
              <w:widowControl/>
              <w:kinsoku/>
              <w:wordWrap/>
              <w:overflowPunct/>
              <w:topLinePunct w:val="0"/>
              <w:autoSpaceDE/>
              <w:autoSpaceDN/>
              <w:bidi w:val="0"/>
              <w:adjustRightInd/>
              <w:snapToGrid/>
              <w:spacing w:line="500" w:lineRule="exact"/>
              <w:ind w:firstLine="0"/>
              <w:jc w:val="center"/>
              <w:textAlignment w:val="auto"/>
              <w:rPr>
                <w:rFonts w:hint="eastAsia" w:ascii="宋体" w:hAnsi="宋体" w:eastAsia="宋体" w:cs="宋体"/>
                <w:sz w:val="24"/>
                <w:szCs w:val="24"/>
              </w:rPr>
            </w:pPr>
            <w:r>
              <w:rPr>
                <w:rFonts w:hint="eastAsia" w:ascii="宋体" w:hAnsi="宋体" w:eastAsia="宋体" w:cs="宋体"/>
                <w:color w:val="000000"/>
                <w:sz w:val="24"/>
                <w:szCs w:val="24"/>
              </w:rPr>
              <w:t>1.3</w:t>
            </w:r>
          </w:p>
        </w:tc>
        <w:tc>
          <w:tcPr>
            <w:tcW w:w="3616" w:type="dxa"/>
            <w:tcBorders>
              <w:top w:val="nil"/>
              <w:left w:val="nil"/>
              <w:bottom w:val="single" w:color="000000" w:sz="4" w:space="0"/>
              <w:right w:val="single" w:color="000000" w:sz="4" w:space="0"/>
            </w:tcBorders>
            <w:tcMar>
              <w:top w:w="0" w:type="dxa"/>
              <w:left w:w="105" w:type="dxa"/>
              <w:bottom w:w="0" w:type="dxa"/>
              <w:right w:w="105" w:type="dxa"/>
            </w:tcMar>
            <w:vAlign w:val="top"/>
          </w:tcPr>
          <w:p w14:paraId="0CC88F0C">
            <w:pPr>
              <w:pStyle w:val="6"/>
              <w:keepNext w:val="0"/>
              <w:keepLines w:val="0"/>
              <w:pageBreakBefore w:val="0"/>
              <w:widowControl/>
              <w:kinsoku/>
              <w:wordWrap/>
              <w:overflowPunct/>
              <w:topLinePunct w:val="0"/>
              <w:autoSpaceDE/>
              <w:autoSpaceDN/>
              <w:bidi w:val="0"/>
              <w:adjustRightInd/>
              <w:snapToGrid/>
              <w:spacing w:line="500" w:lineRule="exact"/>
              <w:ind w:firstLine="0"/>
              <w:jc w:val="both"/>
              <w:textAlignment w:val="auto"/>
              <w:rPr>
                <w:rFonts w:hint="eastAsia" w:ascii="宋体" w:hAnsi="宋体" w:eastAsia="宋体" w:cs="宋体"/>
                <w:sz w:val="24"/>
                <w:szCs w:val="24"/>
              </w:rPr>
            </w:pPr>
            <w:r>
              <w:rPr>
                <w:rFonts w:hint="eastAsia" w:ascii="宋体" w:hAnsi="宋体" w:eastAsia="宋体" w:cs="宋体"/>
                <w:color w:val="000000"/>
                <w:sz w:val="24"/>
                <w:szCs w:val="24"/>
              </w:rPr>
              <w:t>外网日志审计系统</w:t>
            </w:r>
          </w:p>
        </w:tc>
        <w:tc>
          <w:tcPr>
            <w:tcW w:w="1455" w:type="dxa"/>
            <w:tcBorders>
              <w:top w:val="nil"/>
              <w:left w:val="nil"/>
              <w:bottom w:val="single" w:color="000000" w:sz="4" w:space="0"/>
              <w:right w:val="single" w:color="000000" w:sz="4" w:space="0"/>
            </w:tcBorders>
            <w:tcMar>
              <w:top w:w="0" w:type="dxa"/>
              <w:left w:w="105" w:type="dxa"/>
              <w:bottom w:w="0" w:type="dxa"/>
              <w:right w:w="105" w:type="dxa"/>
            </w:tcMar>
            <w:vAlign w:val="top"/>
          </w:tcPr>
          <w:p w14:paraId="56F144B1">
            <w:pPr>
              <w:pStyle w:val="6"/>
              <w:keepNext w:val="0"/>
              <w:keepLines w:val="0"/>
              <w:pageBreakBefore w:val="0"/>
              <w:widowControl/>
              <w:kinsoku/>
              <w:wordWrap/>
              <w:overflowPunct/>
              <w:topLinePunct w:val="0"/>
              <w:autoSpaceDE/>
              <w:autoSpaceDN/>
              <w:bidi w:val="0"/>
              <w:adjustRightInd/>
              <w:snapToGrid/>
              <w:spacing w:line="500" w:lineRule="exact"/>
              <w:ind w:firstLine="0"/>
              <w:jc w:val="center"/>
              <w:textAlignment w:val="auto"/>
              <w:rPr>
                <w:rFonts w:hint="eastAsia" w:ascii="宋体" w:hAnsi="宋体" w:eastAsia="宋体" w:cs="宋体"/>
                <w:sz w:val="24"/>
                <w:szCs w:val="24"/>
              </w:rPr>
            </w:pPr>
            <w:r>
              <w:rPr>
                <w:rFonts w:hint="eastAsia" w:ascii="宋体" w:hAnsi="宋体" w:eastAsia="宋体" w:cs="宋体"/>
                <w:color w:val="000000"/>
                <w:sz w:val="24"/>
                <w:szCs w:val="24"/>
              </w:rPr>
              <w:t>1套</w:t>
            </w:r>
          </w:p>
        </w:tc>
        <w:tc>
          <w:tcPr>
            <w:tcW w:w="2359" w:type="dxa"/>
            <w:tcBorders>
              <w:top w:val="nil"/>
              <w:left w:val="nil"/>
              <w:bottom w:val="single" w:color="000000" w:sz="4" w:space="0"/>
              <w:right w:val="single" w:color="000000" w:sz="4" w:space="0"/>
            </w:tcBorders>
            <w:tcMar>
              <w:top w:w="0" w:type="dxa"/>
              <w:left w:w="105" w:type="dxa"/>
              <w:bottom w:w="0" w:type="dxa"/>
              <w:right w:w="105" w:type="dxa"/>
            </w:tcMar>
            <w:vAlign w:val="top"/>
          </w:tcPr>
          <w:p w14:paraId="51EC36EE">
            <w:pPr>
              <w:pStyle w:val="6"/>
              <w:keepNext w:val="0"/>
              <w:keepLines w:val="0"/>
              <w:pageBreakBefore w:val="0"/>
              <w:widowControl/>
              <w:kinsoku/>
              <w:wordWrap/>
              <w:overflowPunct/>
              <w:topLinePunct w:val="0"/>
              <w:autoSpaceDE/>
              <w:autoSpaceDN/>
              <w:bidi w:val="0"/>
              <w:adjustRightInd/>
              <w:snapToGrid/>
              <w:spacing w:line="500" w:lineRule="exact"/>
              <w:ind w:firstLine="0"/>
              <w:jc w:val="center"/>
              <w:textAlignment w:val="auto"/>
              <w:rPr>
                <w:rFonts w:hint="eastAsia" w:ascii="宋体" w:hAnsi="宋体" w:eastAsia="宋体" w:cs="宋体"/>
                <w:sz w:val="24"/>
                <w:szCs w:val="24"/>
              </w:rPr>
            </w:pPr>
            <w:r>
              <w:rPr>
                <w:rFonts w:hint="eastAsia" w:ascii="宋体" w:hAnsi="宋体" w:eastAsia="宋体" w:cs="宋体"/>
                <w:color w:val="000000"/>
                <w:sz w:val="24"/>
                <w:szCs w:val="24"/>
              </w:rPr>
              <w:t>8.200000</w:t>
            </w:r>
          </w:p>
        </w:tc>
      </w:tr>
      <w:tr w14:paraId="0E73A4C4">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99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7E47A636">
            <w:pPr>
              <w:pStyle w:val="6"/>
              <w:keepNext w:val="0"/>
              <w:keepLines w:val="0"/>
              <w:pageBreakBefore w:val="0"/>
              <w:widowControl/>
              <w:kinsoku/>
              <w:wordWrap/>
              <w:overflowPunct/>
              <w:topLinePunct w:val="0"/>
              <w:autoSpaceDE/>
              <w:autoSpaceDN/>
              <w:bidi w:val="0"/>
              <w:adjustRightInd/>
              <w:snapToGrid/>
              <w:spacing w:line="500" w:lineRule="exact"/>
              <w:ind w:firstLine="0"/>
              <w:jc w:val="center"/>
              <w:textAlignment w:val="auto"/>
              <w:rPr>
                <w:rFonts w:hint="eastAsia" w:ascii="宋体" w:hAnsi="宋体" w:eastAsia="宋体" w:cs="宋体"/>
                <w:sz w:val="24"/>
                <w:szCs w:val="24"/>
              </w:rPr>
            </w:pPr>
            <w:r>
              <w:rPr>
                <w:rFonts w:hint="eastAsia" w:ascii="宋体" w:hAnsi="宋体" w:eastAsia="宋体" w:cs="宋体"/>
                <w:color w:val="000000"/>
                <w:sz w:val="24"/>
                <w:szCs w:val="24"/>
              </w:rPr>
              <w:t>1.4</w:t>
            </w:r>
          </w:p>
        </w:tc>
        <w:tc>
          <w:tcPr>
            <w:tcW w:w="3616" w:type="dxa"/>
            <w:tcBorders>
              <w:top w:val="nil"/>
              <w:left w:val="nil"/>
              <w:bottom w:val="single" w:color="000000" w:sz="4" w:space="0"/>
              <w:right w:val="single" w:color="000000" w:sz="4" w:space="0"/>
            </w:tcBorders>
            <w:tcMar>
              <w:top w:w="0" w:type="dxa"/>
              <w:left w:w="105" w:type="dxa"/>
              <w:bottom w:w="0" w:type="dxa"/>
              <w:right w:w="105" w:type="dxa"/>
            </w:tcMar>
            <w:vAlign w:val="top"/>
          </w:tcPr>
          <w:p w14:paraId="649D0721">
            <w:pPr>
              <w:pStyle w:val="6"/>
              <w:keepNext w:val="0"/>
              <w:keepLines w:val="0"/>
              <w:pageBreakBefore w:val="0"/>
              <w:widowControl/>
              <w:kinsoku/>
              <w:wordWrap/>
              <w:overflowPunct/>
              <w:topLinePunct w:val="0"/>
              <w:autoSpaceDE/>
              <w:autoSpaceDN/>
              <w:bidi w:val="0"/>
              <w:adjustRightInd/>
              <w:snapToGrid/>
              <w:spacing w:line="500" w:lineRule="exact"/>
              <w:ind w:firstLine="0"/>
              <w:jc w:val="both"/>
              <w:textAlignment w:val="auto"/>
              <w:rPr>
                <w:rFonts w:hint="eastAsia" w:ascii="宋体" w:hAnsi="宋体" w:eastAsia="宋体" w:cs="宋体"/>
                <w:sz w:val="24"/>
                <w:szCs w:val="24"/>
              </w:rPr>
            </w:pPr>
            <w:r>
              <w:rPr>
                <w:rFonts w:hint="eastAsia" w:ascii="宋体" w:hAnsi="宋体" w:eastAsia="宋体" w:cs="宋体"/>
                <w:color w:val="000000"/>
                <w:sz w:val="24"/>
                <w:szCs w:val="24"/>
              </w:rPr>
              <w:t>外网WAF</w:t>
            </w:r>
          </w:p>
        </w:tc>
        <w:tc>
          <w:tcPr>
            <w:tcW w:w="1455" w:type="dxa"/>
            <w:tcBorders>
              <w:top w:val="nil"/>
              <w:left w:val="nil"/>
              <w:bottom w:val="single" w:color="000000" w:sz="4" w:space="0"/>
              <w:right w:val="single" w:color="000000" w:sz="4" w:space="0"/>
            </w:tcBorders>
            <w:tcMar>
              <w:top w:w="0" w:type="dxa"/>
              <w:left w:w="105" w:type="dxa"/>
              <w:bottom w:w="0" w:type="dxa"/>
              <w:right w:w="105" w:type="dxa"/>
            </w:tcMar>
            <w:vAlign w:val="top"/>
          </w:tcPr>
          <w:p w14:paraId="5CB61AE7">
            <w:pPr>
              <w:pStyle w:val="6"/>
              <w:keepNext w:val="0"/>
              <w:keepLines w:val="0"/>
              <w:pageBreakBefore w:val="0"/>
              <w:widowControl/>
              <w:kinsoku/>
              <w:wordWrap/>
              <w:overflowPunct/>
              <w:topLinePunct w:val="0"/>
              <w:autoSpaceDE/>
              <w:autoSpaceDN/>
              <w:bidi w:val="0"/>
              <w:adjustRightInd/>
              <w:snapToGrid/>
              <w:spacing w:line="500" w:lineRule="exact"/>
              <w:ind w:firstLine="0"/>
              <w:jc w:val="center"/>
              <w:textAlignment w:val="auto"/>
              <w:rPr>
                <w:rFonts w:hint="eastAsia" w:ascii="宋体" w:hAnsi="宋体" w:eastAsia="宋体" w:cs="宋体"/>
                <w:sz w:val="24"/>
                <w:szCs w:val="24"/>
              </w:rPr>
            </w:pPr>
            <w:r>
              <w:rPr>
                <w:rFonts w:hint="eastAsia" w:ascii="宋体" w:hAnsi="宋体" w:eastAsia="宋体" w:cs="宋体"/>
                <w:color w:val="000000"/>
                <w:sz w:val="24"/>
                <w:szCs w:val="24"/>
              </w:rPr>
              <w:t>2套</w:t>
            </w:r>
          </w:p>
        </w:tc>
        <w:tc>
          <w:tcPr>
            <w:tcW w:w="2359" w:type="dxa"/>
            <w:tcBorders>
              <w:top w:val="nil"/>
              <w:left w:val="nil"/>
              <w:bottom w:val="single" w:color="000000" w:sz="4" w:space="0"/>
              <w:right w:val="single" w:color="000000" w:sz="4" w:space="0"/>
            </w:tcBorders>
            <w:tcMar>
              <w:top w:w="0" w:type="dxa"/>
              <w:left w:w="105" w:type="dxa"/>
              <w:bottom w:w="0" w:type="dxa"/>
              <w:right w:w="105" w:type="dxa"/>
            </w:tcMar>
            <w:vAlign w:val="top"/>
          </w:tcPr>
          <w:p w14:paraId="59757921">
            <w:pPr>
              <w:pStyle w:val="6"/>
              <w:keepNext w:val="0"/>
              <w:keepLines w:val="0"/>
              <w:pageBreakBefore w:val="0"/>
              <w:widowControl/>
              <w:kinsoku/>
              <w:wordWrap/>
              <w:overflowPunct/>
              <w:topLinePunct w:val="0"/>
              <w:autoSpaceDE/>
              <w:autoSpaceDN/>
              <w:bidi w:val="0"/>
              <w:adjustRightInd/>
              <w:snapToGrid/>
              <w:spacing w:line="500" w:lineRule="exact"/>
              <w:ind w:firstLine="0"/>
              <w:jc w:val="center"/>
              <w:textAlignment w:val="auto"/>
              <w:rPr>
                <w:rFonts w:hint="eastAsia" w:ascii="宋体" w:hAnsi="宋体" w:eastAsia="宋体" w:cs="宋体"/>
                <w:sz w:val="24"/>
                <w:szCs w:val="24"/>
              </w:rPr>
            </w:pPr>
            <w:r>
              <w:rPr>
                <w:rFonts w:hint="eastAsia" w:ascii="宋体" w:hAnsi="宋体" w:eastAsia="宋体" w:cs="宋体"/>
                <w:color w:val="000000"/>
                <w:sz w:val="24"/>
                <w:szCs w:val="24"/>
              </w:rPr>
              <w:t>18.400000</w:t>
            </w:r>
          </w:p>
        </w:tc>
      </w:tr>
      <w:tr w14:paraId="3E2EBD0E">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99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7E2113A5">
            <w:pPr>
              <w:pStyle w:val="6"/>
              <w:keepNext w:val="0"/>
              <w:keepLines w:val="0"/>
              <w:pageBreakBefore w:val="0"/>
              <w:widowControl/>
              <w:kinsoku/>
              <w:wordWrap/>
              <w:overflowPunct/>
              <w:topLinePunct w:val="0"/>
              <w:autoSpaceDE/>
              <w:autoSpaceDN/>
              <w:bidi w:val="0"/>
              <w:adjustRightInd/>
              <w:snapToGrid/>
              <w:spacing w:line="500" w:lineRule="exact"/>
              <w:ind w:firstLine="0"/>
              <w:jc w:val="center"/>
              <w:textAlignment w:val="auto"/>
              <w:rPr>
                <w:rFonts w:hint="eastAsia" w:ascii="宋体" w:hAnsi="宋体" w:eastAsia="宋体" w:cs="宋体"/>
                <w:sz w:val="24"/>
                <w:szCs w:val="24"/>
              </w:rPr>
            </w:pPr>
            <w:r>
              <w:rPr>
                <w:rFonts w:hint="eastAsia" w:ascii="宋体" w:hAnsi="宋体" w:eastAsia="宋体" w:cs="宋体"/>
                <w:color w:val="000000"/>
                <w:sz w:val="24"/>
                <w:szCs w:val="24"/>
              </w:rPr>
              <w:t>1.5</w:t>
            </w:r>
          </w:p>
        </w:tc>
        <w:tc>
          <w:tcPr>
            <w:tcW w:w="3616" w:type="dxa"/>
            <w:tcBorders>
              <w:top w:val="nil"/>
              <w:left w:val="nil"/>
              <w:bottom w:val="single" w:color="000000" w:sz="4" w:space="0"/>
              <w:right w:val="single" w:color="000000" w:sz="4" w:space="0"/>
            </w:tcBorders>
            <w:tcMar>
              <w:top w:w="0" w:type="dxa"/>
              <w:left w:w="105" w:type="dxa"/>
              <w:bottom w:w="0" w:type="dxa"/>
              <w:right w:w="105" w:type="dxa"/>
            </w:tcMar>
            <w:vAlign w:val="top"/>
          </w:tcPr>
          <w:p w14:paraId="7DAC20DD">
            <w:pPr>
              <w:pStyle w:val="6"/>
              <w:keepNext w:val="0"/>
              <w:keepLines w:val="0"/>
              <w:pageBreakBefore w:val="0"/>
              <w:widowControl/>
              <w:kinsoku/>
              <w:wordWrap/>
              <w:overflowPunct/>
              <w:topLinePunct w:val="0"/>
              <w:autoSpaceDE/>
              <w:autoSpaceDN/>
              <w:bidi w:val="0"/>
              <w:adjustRightInd/>
              <w:snapToGrid/>
              <w:spacing w:line="500" w:lineRule="exact"/>
              <w:ind w:firstLine="0"/>
              <w:jc w:val="both"/>
              <w:textAlignment w:val="auto"/>
              <w:rPr>
                <w:rFonts w:hint="eastAsia" w:ascii="宋体" w:hAnsi="宋体" w:eastAsia="宋体" w:cs="宋体"/>
                <w:sz w:val="24"/>
                <w:szCs w:val="24"/>
              </w:rPr>
            </w:pPr>
            <w:r>
              <w:rPr>
                <w:rFonts w:hint="eastAsia" w:ascii="宋体" w:hAnsi="宋体" w:eastAsia="宋体" w:cs="宋体"/>
                <w:color w:val="000000"/>
                <w:sz w:val="24"/>
                <w:szCs w:val="24"/>
              </w:rPr>
              <w:t>外网前端接入区边界隔离防火墙</w:t>
            </w:r>
          </w:p>
        </w:tc>
        <w:tc>
          <w:tcPr>
            <w:tcW w:w="1455" w:type="dxa"/>
            <w:tcBorders>
              <w:top w:val="nil"/>
              <w:left w:val="nil"/>
              <w:bottom w:val="single" w:color="000000" w:sz="4" w:space="0"/>
              <w:right w:val="single" w:color="000000" w:sz="4" w:space="0"/>
            </w:tcBorders>
            <w:tcMar>
              <w:top w:w="0" w:type="dxa"/>
              <w:left w:w="105" w:type="dxa"/>
              <w:bottom w:w="0" w:type="dxa"/>
              <w:right w:w="105" w:type="dxa"/>
            </w:tcMar>
            <w:vAlign w:val="top"/>
          </w:tcPr>
          <w:p w14:paraId="5830BEBE">
            <w:pPr>
              <w:pStyle w:val="6"/>
              <w:keepNext w:val="0"/>
              <w:keepLines w:val="0"/>
              <w:pageBreakBefore w:val="0"/>
              <w:widowControl/>
              <w:kinsoku/>
              <w:wordWrap/>
              <w:overflowPunct/>
              <w:topLinePunct w:val="0"/>
              <w:autoSpaceDE/>
              <w:autoSpaceDN/>
              <w:bidi w:val="0"/>
              <w:adjustRightInd/>
              <w:snapToGrid/>
              <w:spacing w:line="500" w:lineRule="exact"/>
              <w:ind w:firstLine="0"/>
              <w:jc w:val="center"/>
              <w:textAlignment w:val="auto"/>
              <w:rPr>
                <w:rFonts w:hint="eastAsia" w:ascii="宋体" w:hAnsi="宋体" w:eastAsia="宋体" w:cs="宋体"/>
                <w:sz w:val="24"/>
                <w:szCs w:val="24"/>
              </w:rPr>
            </w:pPr>
            <w:r>
              <w:rPr>
                <w:rFonts w:hint="eastAsia" w:ascii="宋体" w:hAnsi="宋体" w:eastAsia="宋体" w:cs="宋体"/>
                <w:color w:val="000000"/>
                <w:sz w:val="24"/>
                <w:szCs w:val="24"/>
              </w:rPr>
              <w:t>2套</w:t>
            </w:r>
          </w:p>
        </w:tc>
        <w:tc>
          <w:tcPr>
            <w:tcW w:w="2359" w:type="dxa"/>
            <w:tcBorders>
              <w:top w:val="nil"/>
              <w:left w:val="nil"/>
              <w:bottom w:val="single" w:color="000000" w:sz="4" w:space="0"/>
              <w:right w:val="single" w:color="000000" w:sz="4" w:space="0"/>
            </w:tcBorders>
            <w:tcMar>
              <w:top w:w="0" w:type="dxa"/>
              <w:left w:w="105" w:type="dxa"/>
              <w:bottom w:w="0" w:type="dxa"/>
              <w:right w:w="105" w:type="dxa"/>
            </w:tcMar>
            <w:vAlign w:val="top"/>
          </w:tcPr>
          <w:p w14:paraId="71784425">
            <w:pPr>
              <w:pStyle w:val="6"/>
              <w:keepNext w:val="0"/>
              <w:keepLines w:val="0"/>
              <w:pageBreakBefore w:val="0"/>
              <w:widowControl/>
              <w:kinsoku/>
              <w:wordWrap/>
              <w:overflowPunct/>
              <w:topLinePunct w:val="0"/>
              <w:autoSpaceDE/>
              <w:autoSpaceDN/>
              <w:bidi w:val="0"/>
              <w:adjustRightInd/>
              <w:snapToGrid/>
              <w:spacing w:line="500" w:lineRule="exact"/>
              <w:ind w:firstLine="0"/>
              <w:jc w:val="center"/>
              <w:textAlignment w:val="auto"/>
              <w:rPr>
                <w:rFonts w:hint="eastAsia" w:ascii="宋体" w:hAnsi="宋体" w:eastAsia="宋体" w:cs="宋体"/>
                <w:sz w:val="24"/>
                <w:szCs w:val="24"/>
              </w:rPr>
            </w:pPr>
            <w:r>
              <w:rPr>
                <w:rFonts w:hint="eastAsia" w:ascii="宋体" w:hAnsi="宋体" w:eastAsia="宋体" w:cs="宋体"/>
                <w:color w:val="000000"/>
                <w:sz w:val="24"/>
                <w:szCs w:val="24"/>
              </w:rPr>
              <w:t>10.000000</w:t>
            </w:r>
          </w:p>
        </w:tc>
      </w:tr>
      <w:tr w14:paraId="34D42D85">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99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0B78B422">
            <w:pPr>
              <w:pStyle w:val="6"/>
              <w:keepNext w:val="0"/>
              <w:keepLines w:val="0"/>
              <w:pageBreakBefore w:val="0"/>
              <w:widowControl/>
              <w:kinsoku/>
              <w:wordWrap/>
              <w:overflowPunct/>
              <w:topLinePunct w:val="0"/>
              <w:autoSpaceDE/>
              <w:autoSpaceDN/>
              <w:bidi w:val="0"/>
              <w:adjustRightInd/>
              <w:snapToGrid/>
              <w:spacing w:line="500" w:lineRule="exact"/>
              <w:ind w:firstLine="0"/>
              <w:jc w:val="center"/>
              <w:textAlignment w:val="auto"/>
              <w:rPr>
                <w:rFonts w:hint="eastAsia" w:ascii="宋体" w:hAnsi="宋体" w:eastAsia="宋体" w:cs="宋体"/>
                <w:sz w:val="24"/>
                <w:szCs w:val="24"/>
              </w:rPr>
            </w:pPr>
            <w:r>
              <w:rPr>
                <w:rFonts w:hint="eastAsia" w:ascii="宋体" w:hAnsi="宋体" w:eastAsia="宋体" w:cs="宋体"/>
                <w:color w:val="000000"/>
                <w:sz w:val="24"/>
                <w:szCs w:val="24"/>
              </w:rPr>
              <w:t>1.6</w:t>
            </w:r>
          </w:p>
        </w:tc>
        <w:tc>
          <w:tcPr>
            <w:tcW w:w="3616" w:type="dxa"/>
            <w:tcBorders>
              <w:top w:val="nil"/>
              <w:left w:val="nil"/>
              <w:bottom w:val="single" w:color="000000" w:sz="4" w:space="0"/>
              <w:right w:val="single" w:color="000000" w:sz="4" w:space="0"/>
            </w:tcBorders>
            <w:tcMar>
              <w:top w:w="0" w:type="dxa"/>
              <w:left w:w="105" w:type="dxa"/>
              <w:bottom w:w="0" w:type="dxa"/>
              <w:right w:w="105" w:type="dxa"/>
            </w:tcMar>
            <w:vAlign w:val="top"/>
          </w:tcPr>
          <w:p w14:paraId="6F7764A4">
            <w:pPr>
              <w:pStyle w:val="6"/>
              <w:keepNext w:val="0"/>
              <w:keepLines w:val="0"/>
              <w:pageBreakBefore w:val="0"/>
              <w:widowControl/>
              <w:kinsoku/>
              <w:wordWrap/>
              <w:overflowPunct/>
              <w:topLinePunct w:val="0"/>
              <w:autoSpaceDE/>
              <w:autoSpaceDN/>
              <w:bidi w:val="0"/>
              <w:adjustRightInd/>
              <w:snapToGrid/>
              <w:spacing w:line="500" w:lineRule="exact"/>
              <w:ind w:firstLine="0"/>
              <w:jc w:val="both"/>
              <w:textAlignment w:val="auto"/>
              <w:rPr>
                <w:rFonts w:hint="eastAsia" w:ascii="宋体" w:hAnsi="宋体" w:eastAsia="宋体" w:cs="宋体"/>
                <w:sz w:val="24"/>
                <w:szCs w:val="24"/>
              </w:rPr>
            </w:pPr>
            <w:r>
              <w:rPr>
                <w:rFonts w:hint="eastAsia" w:ascii="宋体" w:hAnsi="宋体" w:eastAsia="宋体" w:cs="宋体"/>
                <w:color w:val="000000"/>
                <w:sz w:val="24"/>
                <w:szCs w:val="24"/>
              </w:rPr>
              <w:t>外网态势感知</w:t>
            </w:r>
          </w:p>
        </w:tc>
        <w:tc>
          <w:tcPr>
            <w:tcW w:w="1455" w:type="dxa"/>
            <w:tcBorders>
              <w:top w:val="nil"/>
              <w:left w:val="nil"/>
              <w:bottom w:val="single" w:color="000000" w:sz="4" w:space="0"/>
              <w:right w:val="single" w:color="000000" w:sz="4" w:space="0"/>
            </w:tcBorders>
            <w:tcMar>
              <w:top w:w="0" w:type="dxa"/>
              <w:left w:w="105" w:type="dxa"/>
              <w:bottom w:w="0" w:type="dxa"/>
              <w:right w:w="105" w:type="dxa"/>
            </w:tcMar>
            <w:vAlign w:val="top"/>
          </w:tcPr>
          <w:p w14:paraId="7C54F20A">
            <w:pPr>
              <w:pStyle w:val="6"/>
              <w:keepNext w:val="0"/>
              <w:keepLines w:val="0"/>
              <w:pageBreakBefore w:val="0"/>
              <w:widowControl/>
              <w:kinsoku/>
              <w:wordWrap/>
              <w:overflowPunct/>
              <w:topLinePunct w:val="0"/>
              <w:autoSpaceDE/>
              <w:autoSpaceDN/>
              <w:bidi w:val="0"/>
              <w:adjustRightInd/>
              <w:snapToGrid/>
              <w:spacing w:line="500" w:lineRule="exact"/>
              <w:ind w:firstLine="0"/>
              <w:jc w:val="center"/>
              <w:textAlignment w:val="auto"/>
              <w:rPr>
                <w:rFonts w:hint="eastAsia" w:ascii="宋体" w:hAnsi="宋体" w:eastAsia="宋体" w:cs="宋体"/>
                <w:sz w:val="24"/>
                <w:szCs w:val="24"/>
              </w:rPr>
            </w:pPr>
            <w:r>
              <w:rPr>
                <w:rFonts w:hint="eastAsia" w:ascii="宋体" w:hAnsi="宋体" w:eastAsia="宋体" w:cs="宋体"/>
                <w:color w:val="000000"/>
                <w:sz w:val="24"/>
                <w:szCs w:val="24"/>
              </w:rPr>
              <w:t>1套</w:t>
            </w:r>
          </w:p>
        </w:tc>
        <w:tc>
          <w:tcPr>
            <w:tcW w:w="2359" w:type="dxa"/>
            <w:tcBorders>
              <w:top w:val="nil"/>
              <w:left w:val="nil"/>
              <w:bottom w:val="single" w:color="000000" w:sz="4" w:space="0"/>
              <w:right w:val="single" w:color="000000" w:sz="4" w:space="0"/>
            </w:tcBorders>
            <w:tcMar>
              <w:top w:w="0" w:type="dxa"/>
              <w:left w:w="105" w:type="dxa"/>
              <w:bottom w:w="0" w:type="dxa"/>
              <w:right w:w="105" w:type="dxa"/>
            </w:tcMar>
            <w:vAlign w:val="top"/>
          </w:tcPr>
          <w:p w14:paraId="65E3985E">
            <w:pPr>
              <w:pStyle w:val="6"/>
              <w:keepNext w:val="0"/>
              <w:keepLines w:val="0"/>
              <w:pageBreakBefore w:val="0"/>
              <w:widowControl/>
              <w:kinsoku/>
              <w:wordWrap/>
              <w:overflowPunct/>
              <w:topLinePunct w:val="0"/>
              <w:autoSpaceDE/>
              <w:autoSpaceDN/>
              <w:bidi w:val="0"/>
              <w:adjustRightInd/>
              <w:snapToGrid/>
              <w:spacing w:line="500" w:lineRule="exact"/>
              <w:ind w:firstLine="0"/>
              <w:jc w:val="center"/>
              <w:textAlignment w:val="auto"/>
              <w:rPr>
                <w:rFonts w:hint="eastAsia" w:ascii="宋体" w:hAnsi="宋体" w:eastAsia="宋体" w:cs="宋体"/>
                <w:sz w:val="24"/>
                <w:szCs w:val="24"/>
              </w:rPr>
            </w:pPr>
            <w:r>
              <w:rPr>
                <w:rFonts w:hint="eastAsia" w:ascii="宋体" w:hAnsi="宋体" w:eastAsia="宋体" w:cs="宋体"/>
                <w:color w:val="000000"/>
                <w:sz w:val="24"/>
                <w:szCs w:val="24"/>
              </w:rPr>
              <w:t>16.800000</w:t>
            </w:r>
          </w:p>
        </w:tc>
      </w:tr>
      <w:tr w14:paraId="7A3A7DF3">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99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1E0D875A">
            <w:pPr>
              <w:pStyle w:val="6"/>
              <w:keepNext w:val="0"/>
              <w:keepLines w:val="0"/>
              <w:pageBreakBefore w:val="0"/>
              <w:widowControl/>
              <w:kinsoku/>
              <w:wordWrap/>
              <w:overflowPunct/>
              <w:topLinePunct w:val="0"/>
              <w:autoSpaceDE/>
              <w:autoSpaceDN/>
              <w:bidi w:val="0"/>
              <w:adjustRightInd/>
              <w:snapToGrid/>
              <w:spacing w:line="500" w:lineRule="exact"/>
              <w:ind w:firstLine="0"/>
              <w:jc w:val="center"/>
              <w:textAlignment w:val="auto"/>
              <w:rPr>
                <w:rFonts w:hint="eastAsia" w:ascii="宋体" w:hAnsi="宋体" w:eastAsia="宋体" w:cs="宋体"/>
                <w:sz w:val="24"/>
                <w:szCs w:val="24"/>
              </w:rPr>
            </w:pPr>
            <w:r>
              <w:rPr>
                <w:rFonts w:hint="eastAsia" w:ascii="宋体" w:hAnsi="宋体" w:eastAsia="宋体" w:cs="宋体"/>
                <w:color w:val="000000"/>
                <w:sz w:val="24"/>
                <w:szCs w:val="24"/>
              </w:rPr>
              <w:t>1.7</w:t>
            </w:r>
          </w:p>
        </w:tc>
        <w:tc>
          <w:tcPr>
            <w:tcW w:w="3616" w:type="dxa"/>
            <w:tcBorders>
              <w:top w:val="nil"/>
              <w:left w:val="nil"/>
              <w:bottom w:val="single" w:color="000000" w:sz="4" w:space="0"/>
              <w:right w:val="single" w:color="000000" w:sz="4" w:space="0"/>
            </w:tcBorders>
            <w:tcMar>
              <w:top w:w="0" w:type="dxa"/>
              <w:left w:w="105" w:type="dxa"/>
              <w:bottom w:w="0" w:type="dxa"/>
              <w:right w:w="105" w:type="dxa"/>
            </w:tcMar>
            <w:vAlign w:val="top"/>
          </w:tcPr>
          <w:p w14:paraId="7645FC66">
            <w:pPr>
              <w:pStyle w:val="6"/>
              <w:keepNext w:val="0"/>
              <w:keepLines w:val="0"/>
              <w:pageBreakBefore w:val="0"/>
              <w:widowControl/>
              <w:kinsoku/>
              <w:wordWrap/>
              <w:overflowPunct/>
              <w:topLinePunct w:val="0"/>
              <w:autoSpaceDE/>
              <w:autoSpaceDN/>
              <w:bidi w:val="0"/>
              <w:adjustRightInd/>
              <w:snapToGrid/>
              <w:spacing w:line="500" w:lineRule="exact"/>
              <w:ind w:firstLine="0"/>
              <w:jc w:val="both"/>
              <w:textAlignment w:val="auto"/>
              <w:rPr>
                <w:rFonts w:hint="eastAsia" w:ascii="宋体" w:hAnsi="宋体" w:eastAsia="宋体" w:cs="宋体"/>
                <w:sz w:val="24"/>
                <w:szCs w:val="24"/>
              </w:rPr>
            </w:pPr>
            <w:r>
              <w:rPr>
                <w:rFonts w:hint="eastAsia" w:ascii="宋体" w:hAnsi="宋体" w:eastAsia="宋体" w:cs="宋体"/>
                <w:color w:val="000000"/>
                <w:sz w:val="24"/>
                <w:szCs w:val="24"/>
              </w:rPr>
              <w:t>网闸</w:t>
            </w:r>
          </w:p>
        </w:tc>
        <w:tc>
          <w:tcPr>
            <w:tcW w:w="1455" w:type="dxa"/>
            <w:tcBorders>
              <w:top w:val="nil"/>
              <w:left w:val="nil"/>
              <w:bottom w:val="single" w:color="000000" w:sz="4" w:space="0"/>
              <w:right w:val="single" w:color="000000" w:sz="4" w:space="0"/>
            </w:tcBorders>
            <w:tcMar>
              <w:top w:w="0" w:type="dxa"/>
              <w:left w:w="105" w:type="dxa"/>
              <w:bottom w:w="0" w:type="dxa"/>
              <w:right w:w="105" w:type="dxa"/>
            </w:tcMar>
            <w:vAlign w:val="top"/>
          </w:tcPr>
          <w:p w14:paraId="6AE60FB9">
            <w:pPr>
              <w:pStyle w:val="6"/>
              <w:keepNext w:val="0"/>
              <w:keepLines w:val="0"/>
              <w:pageBreakBefore w:val="0"/>
              <w:widowControl/>
              <w:kinsoku/>
              <w:wordWrap/>
              <w:overflowPunct/>
              <w:topLinePunct w:val="0"/>
              <w:autoSpaceDE/>
              <w:autoSpaceDN/>
              <w:bidi w:val="0"/>
              <w:adjustRightInd/>
              <w:snapToGrid/>
              <w:spacing w:line="500" w:lineRule="exact"/>
              <w:ind w:firstLine="0"/>
              <w:jc w:val="center"/>
              <w:textAlignment w:val="auto"/>
              <w:rPr>
                <w:rFonts w:hint="eastAsia" w:ascii="宋体" w:hAnsi="宋体" w:eastAsia="宋体" w:cs="宋体"/>
                <w:sz w:val="24"/>
                <w:szCs w:val="24"/>
              </w:rPr>
            </w:pPr>
            <w:r>
              <w:rPr>
                <w:rFonts w:hint="eastAsia" w:ascii="宋体" w:hAnsi="宋体" w:eastAsia="宋体" w:cs="宋体"/>
                <w:color w:val="000000"/>
                <w:sz w:val="24"/>
                <w:szCs w:val="24"/>
              </w:rPr>
              <w:t>2套</w:t>
            </w:r>
          </w:p>
        </w:tc>
        <w:tc>
          <w:tcPr>
            <w:tcW w:w="2359" w:type="dxa"/>
            <w:tcBorders>
              <w:top w:val="nil"/>
              <w:left w:val="nil"/>
              <w:bottom w:val="single" w:color="000000" w:sz="4" w:space="0"/>
              <w:right w:val="single" w:color="000000" w:sz="4" w:space="0"/>
            </w:tcBorders>
            <w:tcMar>
              <w:top w:w="0" w:type="dxa"/>
              <w:left w:w="105" w:type="dxa"/>
              <w:bottom w:w="0" w:type="dxa"/>
              <w:right w:w="105" w:type="dxa"/>
            </w:tcMar>
            <w:vAlign w:val="top"/>
          </w:tcPr>
          <w:p w14:paraId="2868E28B">
            <w:pPr>
              <w:pStyle w:val="6"/>
              <w:keepNext w:val="0"/>
              <w:keepLines w:val="0"/>
              <w:pageBreakBefore w:val="0"/>
              <w:widowControl/>
              <w:kinsoku/>
              <w:wordWrap/>
              <w:overflowPunct/>
              <w:topLinePunct w:val="0"/>
              <w:autoSpaceDE/>
              <w:autoSpaceDN/>
              <w:bidi w:val="0"/>
              <w:adjustRightInd/>
              <w:snapToGrid/>
              <w:spacing w:line="500" w:lineRule="exact"/>
              <w:ind w:firstLine="0"/>
              <w:jc w:val="center"/>
              <w:textAlignment w:val="auto"/>
              <w:rPr>
                <w:rFonts w:hint="eastAsia" w:ascii="宋体" w:hAnsi="宋体" w:eastAsia="宋体" w:cs="宋体"/>
                <w:sz w:val="24"/>
                <w:szCs w:val="24"/>
              </w:rPr>
            </w:pPr>
            <w:r>
              <w:rPr>
                <w:rFonts w:hint="eastAsia" w:ascii="宋体" w:hAnsi="宋体" w:eastAsia="宋体" w:cs="宋体"/>
                <w:color w:val="000000"/>
                <w:sz w:val="24"/>
                <w:szCs w:val="24"/>
              </w:rPr>
              <w:t>15.600000</w:t>
            </w:r>
          </w:p>
        </w:tc>
      </w:tr>
      <w:tr w14:paraId="3850175E">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99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1B474320">
            <w:pPr>
              <w:pStyle w:val="6"/>
              <w:keepNext w:val="0"/>
              <w:keepLines w:val="0"/>
              <w:pageBreakBefore w:val="0"/>
              <w:widowControl/>
              <w:kinsoku/>
              <w:wordWrap/>
              <w:overflowPunct/>
              <w:topLinePunct w:val="0"/>
              <w:autoSpaceDE/>
              <w:autoSpaceDN/>
              <w:bidi w:val="0"/>
              <w:adjustRightInd/>
              <w:snapToGrid/>
              <w:spacing w:line="500" w:lineRule="exact"/>
              <w:ind w:firstLine="0"/>
              <w:jc w:val="center"/>
              <w:textAlignment w:val="auto"/>
              <w:rPr>
                <w:rFonts w:hint="eastAsia" w:ascii="宋体" w:hAnsi="宋体" w:eastAsia="宋体" w:cs="宋体"/>
                <w:sz w:val="24"/>
                <w:szCs w:val="24"/>
              </w:rPr>
            </w:pPr>
            <w:r>
              <w:rPr>
                <w:rFonts w:hint="eastAsia" w:ascii="宋体" w:hAnsi="宋体" w:eastAsia="宋体" w:cs="宋体"/>
                <w:color w:val="000000"/>
                <w:sz w:val="24"/>
                <w:szCs w:val="24"/>
              </w:rPr>
              <w:t>1.8</w:t>
            </w:r>
          </w:p>
        </w:tc>
        <w:tc>
          <w:tcPr>
            <w:tcW w:w="3616" w:type="dxa"/>
            <w:tcBorders>
              <w:top w:val="nil"/>
              <w:left w:val="nil"/>
              <w:bottom w:val="single" w:color="000000" w:sz="4" w:space="0"/>
              <w:right w:val="single" w:color="000000" w:sz="4" w:space="0"/>
            </w:tcBorders>
            <w:tcMar>
              <w:top w:w="0" w:type="dxa"/>
              <w:left w:w="105" w:type="dxa"/>
              <w:bottom w:w="0" w:type="dxa"/>
              <w:right w:w="105" w:type="dxa"/>
            </w:tcMar>
            <w:vAlign w:val="top"/>
          </w:tcPr>
          <w:p w14:paraId="5765F4A7">
            <w:pPr>
              <w:pStyle w:val="6"/>
              <w:keepNext w:val="0"/>
              <w:keepLines w:val="0"/>
              <w:pageBreakBefore w:val="0"/>
              <w:widowControl/>
              <w:kinsoku/>
              <w:wordWrap/>
              <w:overflowPunct/>
              <w:topLinePunct w:val="0"/>
              <w:autoSpaceDE/>
              <w:autoSpaceDN/>
              <w:bidi w:val="0"/>
              <w:adjustRightInd/>
              <w:snapToGrid/>
              <w:spacing w:line="500" w:lineRule="exact"/>
              <w:ind w:firstLine="0"/>
              <w:jc w:val="both"/>
              <w:textAlignment w:val="auto"/>
              <w:rPr>
                <w:rFonts w:hint="eastAsia" w:ascii="宋体" w:hAnsi="宋体" w:eastAsia="宋体" w:cs="宋体"/>
                <w:sz w:val="24"/>
                <w:szCs w:val="24"/>
              </w:rPr>
            </w:pPr>
            <w:r>
              <w:rPr>
                <w:rFonts w:hint="eastAsia" w:ascii="宋体" w:hAnsi="宋体" w:eastAsia="宋体" w:cs="宋体"/>
                <w:color w:val="000000"/>
                <w:sz w:val="24"/>
                <w:szCs w:val="24"/>
              </w:rPr>
              <w:t>内网出口防火墙</w:t>
            </w:r>
          </w:p>
        </w:tc>
        <w:tc>
          <w:tcPr>
            <w:tcW w:w="1455" w:type="dxa"/>
            <w:tcBorders>
              <w:top w:val="nil"/>
              <w:left w:val="nil"/>
              <w:bottom w:val="single" w:color="000000" w:sz="4" w:space="0"/>
              <w:right w:val="single" w:color="000000" w:sz="4" w:space="0"/>
            </w:tcBorders>
            <w:tcMar>
              <w:top w:w="0" w:type="dxa"/>
              <w:left w:w="105" w:type="dxa"/>
              <w:bottom w:w="0" w:type="dxa"/>
              <w:right w:w="105" w:type="dxa"/>
            </w:tcMar>
            <w:vAlign w:val="top"/>
          </w:tcPr>
          <w:p w14:paraId="73F0F293">
            <w:pPr>
              <w:pStyle w:val="6"/>
              <w:keepNext w:val="0"/>
              <w:keepLines w:val="0"/>
              <w:pageBreakBefore w:val="0"/>
              <w:widowControl/>
              <w:kinsoku/>
              <w:wordWrap/>
              <w:overflowPunct/>
              <w:topLinePunct w:val="0"/>
              <w:autoSpaceDE/>
              <w:autoSpaceDN/>
              <w:bidi w:val="0"/>
              <w:adjustRightInd/>
              <w:snapToGrid/>
              <w:spacing w:line="500" w:lineRule="exact"/>
              <w:ind w:firstLine="0"/>
              <w:jc w:val="center"/>
              <w:textAlignment w:val="auto"/>
              <w:rPr>
                <w:rFonts w:hint="eastAsia" w:ascii="宋体" w:hAnsi="宋体" w:eastAsia="宋体" w:cs="宋体"/>
                <w:sz w:val="24"/>
                <w:szCs w:val="24"/>
              </w:rPr>
            </w:pPr>
            <w:r>
              <w:rPr>
                <w:rFonts w:hint="eastAsia" w:ascii="宋体" w:hAnsi="宋体" w:eastAsia="宋体" w:cs="宋体"/>
                <w:color w:val="000000"/>
                <w:sz w:val="24"/>
                <w:szCs w:val="24"/>
              </w:rPr>
              <w:t>2套</w:t>
            </w:r>
          </w:p>
        </w:tc>
        <w:tc>
          <w:tcPr>
            <w:tcW w:w="2359" w:type="dxa"/>
            <w:tcBorders>
              <w:top w:val="nil"/>
              <w:left w:val="nil"/>
              <w:bottom w:val="single" w:color="000000" w:sz="4" w:space="0"/>
              <w:right w:val="single" w:color="000000" w:sz="4" w:space="0"/>
            </w:tcBorders>
            <w:tcMar>
              <w:top w:w="0" w:type="dxa"/>
              <w:left w:w="105" w:type="dxa"/>
              <w:bottom w:w="0" w:type="dxa"/>
              <w:right w:w="105" w:type="dxa"/>
            </w:tcMar>
            <w:vAlign w:val="top"/>
          </w:tcPr>
          <w:p w14:paraId="61989F94">
            <w:pPr>
              <w:pStyle w:val="6"/>
              <w:keepNext w:val="0"/>
              <w:keepLines w:val="0"/>
              <w:pageBreakBefore w:val="0"/>
              <w:widowControl/>
              <w:kinsoku/>
              <w:wordWrap/>
              <w:overflowPunct/>
              <w:topLinePunct w:val="0"/>
              <w:autoSpaceDE/>
              <w:autoSpaceDN/>
              <w:bidi w:val="0"/>
              <w:adjustRightInd/>
              <w:snapToGrid/>
              <w:spacing w:line="500" w:lineRule="exact"/>
              <w:ind w:firstLine="0"/>
              <w:jc w:val="center"/>
              <w:textAlignment w:val="auto"/>
              <w:rPr>
                <w:rFonts w:hint="eastAsia" w:ascii="宋体" w:hAnsi="宋体" w:eastAsia="宋体" w:cs="宋体"/>
                <w:sz w:val="24"/>
                <w:szCs w:val="24"/>
              </w:rPr>
            </w:pPr>
            <w:r>
              <w:rPr>
                <w:rFonts w:hint="eastAsia" w:ascii="宋体" w:hAnsi="宋体" w:eastAsia="宋体" w:cs="宋体"/>
                <w:color w:val="000000"/>
                <w:sz w:val="24"/>
                <w:szCs w:val="24"/>
              </w:rPr>
              <w:t>6.200000</w:t>
            </w:r>
          </w:p>
        </w:tc>
      </w:tr>
      <w:tr w14:paraId="55622433">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99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1A922DA4">
            <w:pPr>
              <w:pStyle w:val="6"/>
              <w:keepNext w:val="0"/>
              <w:keepLines w:val="0"/>
              <w:pageBreakBefore w:val="0"/>
              <w:widowControl/>
              <w:kinsoku/>
              <w:wordWrap/>
              <w:overflowPunct/>
              <w:topLinePunct w:val="0"/>
              <w:autoSpaceDE/>
              <w:autoSpaceDN/>
              <w:bidi w:val="0"/>
              <w:adjustRightInd/>
              <w:snapToGrid/>
              <w:spacing w:line="500" w:lineRule="exact"/>
              <w:ind w:firstLine="0"/>
              <w:jc w:val="center"/>
              <w:textAlignment w:val="auto"/>
              <w:rPr>
                <w:rFonts w:hint="eastAsia" w:ascii="宋体" w:hAnsi="宋体" w:eastAsia="宋体" w:cs="宋体"/>
                <w:sz w:val="24"/>
                <w:szCs w:val="24"/>
              </w:rPr>
            </w:pPr>
            <w:r>
              <w:rPr>
                <w:rFonts w:hint="eastAsia" w:ascii="宋体" w:hAnsi="宋体" w:eastAsia="宋体" w:cs="宋体"/>
                <w:color w:val="000000"/>
                <w:sz w:val="24"/>
                <w:szCs w:val="24"/>
              </w:rPr>
              <w:t>1.9</w:t>
            </w:r>
          </w:p>
        </w:tc>
        <w:tc>
          <w:tcPr>
            <w:tcW w:w="3616" w:type="dxa"/>
            <w:tcBorders>
              <w:top w:val="nil"/>
              <w:left w:val="nil"/>
              <w:bottom w:val="single" w:color="000000" w:sz="4" w:space="0"/>
              <w:right w:val="single" w:color="000000" w:sz="4" w:space="0"/>
            </w:tcBorders>
            <w:tcMar>
              <w:top w:w="0" w:type="dxa"/>
              <w:left w:w="105" w:type="dxa"/>
              <w:bottom w:w="0" w:type="dxa"/>
              <w:right w:w="105" w:type="dxa"/>
            </w:tcMar>
            <w:vAlign w:val="top"/>
          </w:tcPr>
          <w:p w14:paraId="47008DFB">
            <w:pPr>
              <w:pStyle w:val="6"/>
              <w:keepNext w:val="0"/>
              <w:keepLines w:val="0"/>
              <w:pageBreakBefore w:val="0"/>
              <w:widowControl/>
              <w:kinsoku/>
              <w:wordWrap/>
              <w:overflowPunct/>
              <w:topLinePunct w:val="0"/>
              <w:autoSpaceDE/>
              <w:autoSpaceDN/>
              <w:bidi w:val="0"/>
              <w:adjustRightInd/>
              <w:snapToGrid/>
              <w:spacing w:line="500" w:lineRule="exact"/>
              <w:ind w:firstLine="0"/>
              <w:jc w:val="both"/>
              <w:textAlignment w:val="auto"/>
              <w:rPr>
                <w:rFonts w:hint="eastAsia" w:ascii="宋体" w:hAnsi="宋体" w:eastAsia="宋体" w:cs="宋体"/>
                <w:sz w:val="24"/>
                <w:szCs w:val="24"/>
              </w:rPr>
            </w:pPr>
            <w:r>
              <w:rPr>
                <w:rFonts w:hint="eastAsia" w:ascii="宋体" w:hAnsi="宋体" w:eastAsia="宋体" w:cs="宋体"/>
                <w:color w:val="000000"/>
                <w:sz w:val="24"/>
                <w:szCs w:val="24"/>
              </w:rPr>
              <w:t>内网数据中心防火墙</w:t>
            </w:r>
          </w:p>
        </w:tc>
        <w:tc>
          <w:tcPr>
            <w:tcW w:w="1455" w:type="dxa"/>
            <w:tcBorders>
              <w:top w:val="nil"/>
              <w:left w:val="nil"/>
              <w:bottom w:val="single" w:color="000000" w:sz="4" w:space="0"/>
              <w:right w:val="single" w:color="000000" w:sz="4" w:space="0"/>
            </w:tcBorders>
            <w:tcMar>
              <w:top w:w="0" w:type="dxa"/>
              <w:left w:w="105" w:type="dxa"/>
              <w:bottom w:w="0" w:type="dxa"/>
              <w:right w:w="105" w:type="dxa"/>
            </w:tcMar>
            <w:vAlign w:val="top"/>
          </w:tcPr>
          <w:p w14:paraId="4442F4F7">
            <w:pPr>
              <w:pStyle w:val="6"/>
              <w:keepNext w:val="0"/>
              <w:keepLines w:val="0"/>
              <w:pageBreakBefore w:val="0"/>
              <w:widowControl/>
              <w:kinsoku/>
              <w:wordWrap/>
              <w:overflowPunct/>
              <w:topLinePunct w:val="0"/>
              <w:autoSpaceDE/>
              <w:autoSpaceDN/>
              <w:bidi w:val="0"/>
              <w:adjustRightInd/>
              <w:snapToGrid/>
              <w:spacing w:line="500" w:lineRule="exact"/>
              <w:ind w:firstLine="0"/>
              <w:jc w:val="center"/>
              <w:textAlignment w:val="auto"/>
              <w:rPr>
                <w:rFonts w:hint="eastAsia" w:ascii="宋体" w:hAnsi="宋体" w:eastAsia="宋体" w:cs="宋体"/>
                <w:sz w:val="24"/>
                <w:szCs w:val="24"/>
              </w:rPr>
            </w:pPr>
            <w:r>
              <w:rPr>
                <w:rFonts w:hint="eastAsia" w:ascii="宋体" w:hAnsi="宋体" w:eastAsia="宋体" w:cs="宋体"/>
                <w:color w:val="000000"/>
                <w:sz w:val="24"/>
                <w:szCs w:val="24"/>
              </w:rPr>
              <w:t>2套</w:t>
            </w:r>
          </w:p>
        </w:tc>
        <w:tc>
          <w:tcPr>
            <w:tcW w:w="2359" w:type="dxa"/>
            <w:tcBorders>
              <w:top w:val="nil"/>
              <w:left w:val="nil"/>
              <w:bottom w:val="single" w:color="000000" w:sz="4" w:space="0"/>
              <w:right w:val="single" w:color="000000" w:sz="4" w:space="0"/>
            </w:tcBorders>
            <w:tcMar>
              <w:top w:w="0" w:type="dxa"/>
              <w:left w:w="105" w:type="dxa"/>
              <w:bottom w:w="0" w:type="dxa"/>
              <w:right w:w="105" w:type="dxa"/>
            </w:tcMar>
            <w:vAlign w:val="top"/>
          </w:tcPr>
          <w:p w14:paraId="50DDE522">
            <w:pPr>
              <w:pStyle w:val="6"/>
              <w:keepNext w:val="0"/>
              <w:keepLines w:val="0"/>
              <w:pageBreakBefore w:val="0"/>
              <w:widowControl/>
              <w:kinsoku/>
              <w:wordWrap/>
              <w:overflowPunct/>
              <w:topLinePunct w:val="0"/>
              <w:autoSpaceDE/>
              <w:autoSpaceDN/>
              <w:bidi w:val="0"/>
              <w:adjustRightInd/>
              <w:snapToGrid/>
              <w:spacing w:line="500" w:lineRule="exact"/>
              <w:ind w:firstLine="0"/>
              <w:jc w:val="center"/>
              <w:textAlignment w:val="auto"/>
              <w:rPr>
                <w:rFonts w:hint="eastAsia" w:ascii="宋体" w:hAnsi="宋体" w:eastAsia="宋体" w:cs="宋体"/>
                <w:sz w:val="24"/>
                <w:szCs w:val="24"/>
              </w:rPr>
            </w:pPr>
            <w:r>
              <w:rPr>
                <w:rFonts w:hint="eastAsia" w:ascii="宋体" w:hAnsi="宋体" w:eastAsia="宋体" w:cs="宋体"/>
                <w:color w:val="000000"/>
                <w:sz w:val="24"/>
                <w:szCs w:val="24"/>
              </w:rPr>
              <w:t>19.800000</w:t>
            </w:r>
          </w:p>
        </w:tc>
      </w:tr>
      <w:tr w14:paraId="5412C1E7">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99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27A10853">
            <w:pPr>
              <w:pStyle w:val="6"/>
              <w:keepNext w:val="0"/>
              <w:keepLines w:val="0"/>
              <w:pageBreakBefore w:val="0"/>
              <w:widowControl/>
              <w:kinsoku/>
              <w:wordWrap/>
              <w:overflowPunct/>
              <w:topLinePunct w:val="0"/>
              <w:autoSpaceDE/>
              <w:autoSpaceDN/>
              <w:bidi w:val="0"/>
              <w:adjustRightInd/>
              <w:snapToGrid/>
              <w:spacing w:line="500" w:lineRule="exact"/>
              <w:ind w:firstLine="0"/>
              <w:jc w:val="center"/>
              <w:textAlignment w:val="auto"/>
              <w:rPr>
                <w:rFonts w:hint="eastAsia" w:ascii="宋体" w:hAnsi="宋体" w:eastAsia="宋体" w:cs="宋体"/>
                <w:sz w:val="24"/>
                <w:szCs w:val="24"/>
              </w:rPr>
            </w:pPr>
            <w:r>
              <w:rPr>
                <w:rFonts w:hint="eastAsia" w:ascii="宋体" w:hAnsi="宋体" w:eastAsia="宋体" w:cs="宋体"/>
                <w:color w:val="000000"/>
                <w:sz w:val="24"/>
                <w:szCs w:val="24"/>
              </w:rPr>
              <w:t>1.10</w:t>
            </w:r>
          </w:p>
        </w:tc>
        <w:tc>
          <w:tcPr>
            <w:tcW w:w="3616" w:type="dxa"/>
            <w:tcBorders>
              <w:top w:val="nil"/>
              <w:left w:val="nil"/>
              <w:bottom w:val="single" w:color="000000" w:sz="4" w:space="0"/>
              <w:right w:val="single" w:color="000000" w:sz="4" w:space="0"/>
            </w:tcBorders>
            <w:tcMar>
              <w:top w:w="0" w:type="dxa"/>
              <w:left w:w="105" w:type="dxa"/>
              <w:bottom w:w="0" w:type="dxa"/>
              <w:right w:w="105" w:type="dxa"/>
            </w:tcMar>
            <w:vAlign w:val="top"/>
          </w:tcPr>
          <w:p w14:paraId="24628874">
            <w:pPr>
              <w:pStyle w:val="6"/>
              <w:keepNext w:val="0"/>
              <w:keepLines w:val="0"/>
              <w:pageBreakBefore w:val="0"/>
              <w:widowControl/>
              <w:kinsoku/>
              <w:wordWrap/>
              <w:overflowPunct/>
              <w:topLinePunct w:val="0"/>
              <w:autoSpaceDE/>
              <w:autoSpaceDN/>
              <w:bidi w:val="0"/>
              <w:adjustRightInd/>
              <w:snapToGrid/>
              <w:spacing w:line="500" w:lineRule="exact"/>
              <w:ind w:firstLine="0"/>
              <w:jc w:val="both"/>
              <w:textAlignment w:val="auto"/>
              <w:rPr>
                <w:rFonts w:hint="eastAsia" w:ascii="宋体" w:hAnsi="宋体" w:eastAsia="宋体" w:cs="宋体"/>
                <w:sz w:val="24"/>
                <w:szCs w:val="24"/>
              </w:rPr>
            </w:pPr>
            <w:r>
              <w:rPr>
                <w:rFonts w:hint="eastAsia" w:ascii="宋体" w:hAnsi="宋体" w:eastAsia="宋体" w:cs="宋体"/>
                <w:color w:val="000000"/>
                <w:sz w:val="24"/>
                <w:szCs w:val="24"/>
              </w:rPr>
              <w:t>内网日志审计</w:t>
            </w:r>
          </w:p>
        </w:tc>
        <w:tc>
          <w:tcPr>
            <w:tcW w:w="1455" w:type="dxa"/>
            <w:tcBorders>
              <w:top w:val="nil"/>
              <w:left w:val="nil"/>
              <w:bottom w:val="single" w:color="000000" w:sz="4" w:space="0"/>
              <w:right w:val="single" w:color="000000" w:sz="4" w:space="0"/>
            </w:tcBorders>
            <w:tcMar>
              <w:top w:w="0" w:type="dxa"/>
              <w:left w:w="105" w:type="dxa"/>
              <w:bottom w:w="0" w:type="dxa"/>
              <w:right w:w="105" w:type="dxa"/>
            </w:tcMar>
            <w:vAlign w:val="top"/>
          </w:tcPr>
          <w:p w14:paraId="192B7CC5">
            <w:pPr>
              <w:pStyle w:val="6"/>
              <w:keepNext w:val="0"/>
              <w:keepLines w:val="0"/>
              <w:pageBreakBefore w:val="0"/>
              <w:widowControl/>
              <w:kinsoku/>
              <w:wordWrap/>
              <w:overflowPunct/>
              <w:topLinePunct w:val="0"/>
              <w:autoSpaceDE/>
              <w:autoSpaceDN/>
              <w:bidi w:val="0"/>
              <w:adjustRightInd/>
              <w:snapToGrid/>
              <w:spacing w:line="500" w:lineRule="exact"/>
              <w:ind w:firstLine="0"/>
              <w:jc w:val="center"/>
              <w:textAlignment w:val="auto"/>
              <w:rPr>
                <w:rFonts w:hint="eastAsia" w:ascii="宋体" w:hAnsi="宋体" w:eastAsia="宋体" w:cs="宋体"/>
                <w:sz w:val="24"/>
                <w:szCs w:val="24"/>
              </w:rPr>
            </w:pPr>
            <w:r>
              <w:rPr>
                <w:rFonts w:hint="eastAsia" w:ascii="宋体" w:hAnsi="宋体" w:eastAsia="宋体" w:cs="宋体"/>
                <w:color w:val="000000"/>
                <w:sz w:val="24"/>
                <w:szCs w:val="24"/>
              </w:rPr>
              <w:t>1套</w:t>
            </w:r>
          </w:p>
        </w:tc>
        <w:tc>
          <w:tcPr>
            <w:tcW w:w="2359" w:type="dxa"/>
            <w:tcBorders>
              <w:top w:val="nil"/>
              <w:left w:val="nil"/>
              <w:bottom w:val="single" w:color="000000" w:sz="4" w:space="0"/>
              <w:right w:val="single" w:color="000000" w:sz="4" w:space="0"/>
            </w:tcBorders>
            <w:tcMar>
              <w:top w:w="0" w:type="dxa"/>
              <w:left w:w="105" w:type="dxa"/>
              <w:bottom w:w="0" w:type="dxa"/>
              <w:right w:w="105" w:type="dxa"/>
            </w:tcMar>
            <w:vAlign w:val="top"/>
          </w:tcPr>
          <w:p w14:paraId="610A47E3">
            <w:pPr>
              <w:pStyle w:val="6"/>
              <w:keepNext w:val="0"/>
              <w:keepLines w:val="0"/>
              <w:pageBreakBefore w:val="0"/>
              <w:widowControl/>
              <w:kinsoku/>
              <w:wordWrap/>
              <w:overflowPunct/>
              <w:topLinePunct w:val="0"/>
              <w:autoSpaceDE/>
              <w:autoSpaceDN/>
              <w:bidi w:val="0"/>
              <w:adjustRightInd/>
              <w:snapToGrid/>
              <w:spacing w:line="500" w:lineRule="exact"/>
              <w:ind w:firstLine="0"/>
              <w:jc w:val="center"/>
              <w:textAlignment w:val="auto"/>
              <w:rPr>
                <w:rFonts w:hint="eastAsia" w:ascii="宋体" w:hAnsi="宋体" w:eastAsia="宋体" w:cs="宋体"/>
                <w:sz w:val="24"/>
                <w:szCs w:val="24"/>
              </w:rPr>
            </w:pPr>
            <w:r>
              <w:rPr>
                <w:rFonts w:hint="eastAsia" w:ascii="宋体" w:hAnsi="宋体" w:eastAsia="宋体" w:cs="宋体"/>
                <w:color w:val="000000"/>
                <w:sz w:val="24"/>
                <w:szCs w:val="24"/>
              </w:rPr>
              <w:t>8.200000</w:t>
            </w:r>
          </w:p>
        </w:tc>
      </w:tr>
      <w:tr w14:paraId="49605573">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99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6762CBBF">
            <w:pPr>
              <w:pStyle w:val="6"/>
              <w:keepNext w:val="0"/>
              <w:keepLines w:val="0"/>
              <w:pageBreakBefore w:val="0"/>
              <w:widowControl/>
              <w:kinsoku/>
              <w:wordWrap/>
              <w:overflowPunct/>
              <w:topLinePunct w:val="0"/>
              <w:autoSpaceDE/>
              <w:autoSpaceDN/>
              <w:bidi w:val="0"/>
              <w:adjustRightInd/>
              <w:snapToGrid/>
              <w:spacing w:line="500" w:lineRule="exact"/>
              <w:ind w:firstLine="0"/>
              <w:jc w:val="center"/>
              <w:textAlignment w:val="auto"/>
              <w:rPr>
                <w:rFonts w:hint="eastAsia" w:ascii="宋体" w:hAnsi="宋体" w:eastAsia="宋体" w:cs="宋体"/>
                <w:sz w:val="24"/>
                <w:szCs w:val="24"/>
              </w:rPr>
            </w:pPr>
            <w:r>
              <w:rPr>
                <w:rFonts w:hint="eastAsia" w:ascii="宋体" w:hAnsi="宋体" w:eastAsia="宋体" w:cs="宋体"/>
                <w:color w:val="000000"/>
                <w:sz w:val="24"/>
                <w:szCs w:val="24"/>
              </w:rPr>
              <w:t>1.11</w:t>
            </w:r>
          </w:p>
        </w:tc>
        <w:tc>
          <w:tcPr>
            <w:tcW w:w="3616" w:type="dxa"/>
            <w:tcBorders>
              <w:top w:val="nil"/>
              <w:left w:val="nil"/>
              <w:bottom w:val="single" w:color="000000" w:sz="4" w:space="0"/>
              <w:right w:val="single" w:color="000000" w:sz="4" w:space="0"/>
            </w:tcBorders>
            <w:tcMar>
              <w:top w:w="0" w:type="dxa"/>
              <w:left w:w="105" w:type="dxa"/>
              <w:bottom w:w="0" w:type="dxa"/>
              <w:right w:w="105" w:type="dxa"/>
            </w:tcMar>
            <w:vAlign w:val="top"/>
          </w:tcPr>
          <w:p w14:paraId="26B2DA80">
            <w:pPr>
              <w:pStyle w:val="6"/>
              <w:keepNext w:val="0"/>
              <w:keepLines w:val="0"/>
              <w:pageBreakBefore w:val="0"/>
              <w:widowControl/>
              <w:kinsoku/>
              <w:wordWrap/>
              <w:overflowPunct/>
              <w:topLinePunct w:val="0"/>
              <w:autoSpaceDE/>
              <w:autoSpaceDN/>
              <w:bidi w:val="0"/>
              <w:adjustRightInd/>
              <w:snapToGrid/>
              <w:spacing w:line="500" w:lineRule="exact"/>
              <w:ind w:firstLine="0"/>
              <w:jc w:val="both"/>
              <w:textAlignment w:val="auto"/>
              <w:rPr>
                <w:rFonts w:hint="eastAsia" w:ascii="宋体" w:hAnsi="宋体" w:eastAsia="宋体" w:cs="宋体"/>
                <w:sz w:val="24"/>
                <w:szCs w:val="24"/>
              </w:rPr>
            </w:pPr>
            <w:r>
              <w:rPr>
                <w:rFonts w:hint="eastAsia" w:ascii="宋体" w:hAnsi="宋体" w:eastAsia="宋体" w:cs="宋体"/>
                <w:color w:val="000000"/>
                <w:sz w:val="24"/>
                <w:szCs w:val="24"/>
              </w:rPr>
              <w:t>内网数据库审计</w:t>
            </w:r>
          </w:p>
        </w:tc>
        <w:tc>
          <w:tcPr>
            <w:tcW w:w="1455" w:type="dxa"/>
            <w:tcBorders>
              <w:top w:val="nil"/>
              <w:left w:val="nil"/>
              <w:bottom w:val="single" w:color="000000" w:sz="4" w:space="0"/>
              <w:right w:val="single" w:color="000000" w:sz="4" w:space="0"/>
            </w:tcBorders>
            <w:tcMar>
              <w:top w:w="0" w:type="dxa"/>
              <w:left w:w="105" w:type="dxa"/>
              <w:bottom w:w="0" w:type="dxa"/>
              <w:right w:w="105" w:type="dxa"/>
            </w:tcMar>
            <w:vAlign w:val="top"/>
          </w:tcPr>
          <w:p w14:paraId="2FFB08EB">
            <w:pPr>
              <w:pStyle w:val="6"/>
              <w:keepNext w:val="0"/>
              <w:keepLines w:val="0"/>
              <w:pageBreakBefore w:val="0"/>
              <w:widowControl/>
              <w:kinsoku/>
              <w:wordWrap/>
              <w:overflowPunct/>
              <w:topLinePunct w:val="0"/>
              <w:autoSpaceDE/>
              <w:autoSpaceDN/>
              <w:bidi w:val="0"/>
              <w:adjustRightInd/>
              <w:snapToGrid/>
              <w:spacing w:line="500" w:lineRule="exact"/>
              <w:ind w:firstLine="0"/>
              <w:jc w:val="center"/>
              <w:textAlignment w:val="auto"/>
              <w:rPr>
                <w:rFonts w:hint="eastAsia" w:ascii="宋体" w:hAnsi="宋体" w:eastAsia="宋体" w:cs="宋体"/>
                <w:sz w:val="24"/>
                <w:szCs w:val="24"/>
              </w:rPr>
            </w:pPr>
            <w:r>
              <w:rPr>
                <w:rFonts w:hint="eastAsia" w:ascii="宋体" w:hAnsi="宋体" w:eastAsia="宋体" w:cs="宋体"/>
                <w:color w:val="000000"/>
                <w:sz w:val="24"/>
                <w:szCs w:val="24"/>
              </w:rPr>
              <w:t>1套</w:t>
            </w:r>
          </w:p>
        </w:tc>
        <w:tc>
          <w:tcPr>
            <w:tcW w:w="2359" w:type="dxa"/>
            <w:tcBorders>
              <w:top w:val="nil"/>
              <w:left w:val="nil"/>
              <w:bottom w:val="single" w:color="000000" w:sz="4" w:space="0"/>
              <w:right w:val="single" w:color="000000" w:sz="4" w:space="0"/>
            </w:tcBorders>
            <w:tcMar>
              <w:top w:w="0" w:type="dxa"/>
              <w:left w:w="105" w:type="dxa"/>
              <w:bottom w:w="0" w:type="dxa"/>
              <w:right w:w="105" w:type="dxa"/>
            </w:tcMar>
            <w:vAlign w:val="top"/>
          </w:tcPr>
          <w:p w14:paraId="72043995">
            <w:pPr>
              <w:pStyle w:val="6"/>
              <w:keepNext w:val="0"/>
              <w:keepLines w:val="0"/>
              <w:pageBreakBefore w:val="0"/>
              <w:widowControl/>
              <w:kinsoku/>
              <w:wordWrap/>
              <w:overflowPunct/>
              <w:topLinePunct w:val="0"/>
              <w:autoSpaceDE/>
              <w:autoSpaceDN/>
              <w:bidi w:val="0"/>
              <w:adjustRightInd/>
              <w:snapToGrid/>
              <w:spacing w:line="500" w:lineRule="exact"/>
              <w:ind w:firstLine="0"/>
              <w:jc w:val="center"/>
              <w:textAlignment w:val="auto"/>
              <w:rPr>
                <w:rFonts w:hint="eastAsia" w:ascii="宋体" w:hAnsi="宋体" w:eastAsia="宋体" w:cs="宋体"/>
                <w:sz w:val="24"/>
                <w:szCs w:val="24"/>
              </w:rPr>
            </w:pPr>
            <w:r>
              <w:rPr>
                <w:rFonts w:hint="eastAsia" w:ascii="宋体" w:hAnsi="宋体" w:eastAsia="宋体" w:cs="宋体"/>
                <w:color w:val="000000"/>
                <w:sz w:val="24"/>
                <w:szCs w:val="24"/>
              </w:rPr>
              <w:t>8.200000</w:t>
            </w:r>
          </w:p>
        </w:tc>
      </w:tr>
      <w:tr w14:paraId="59E2184B">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99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E3375DA">
            <w:pPr>
              <w:pStyle w:val="6"/>
              <w:keepNext w:val="0"/>
              <w:keepLines w:val="0"/>
              <w:pageBreakBefore w:val="0"/>
              <w:widowControl/>
              <w:kinsoku/>
              <w:wordWrap/>
              <w:overflowPunct/>
              <w:topLinePunct w:val="0"/>
              <w:autoSpaceDE/>
              <w:autoSpaceDN/>
              <w:bidi w:val="0"/>
              <w:adjustRightInd/>
              <w:snapToGrid/>
              <w:spacing w:line="500" w:lineRule="exact"/>
              <w:ind w:firstLine="0"/>
              <w:jc w:val="center"/>
              <w:textAlignment w:val="auto"/>
              <w:rPr>
                <w:rFonts w:hint="eastAsia" w:ascii="宋体" w:hAnsi="宋体" w:eastAsia="宋体" w:cs="宋体"/>
                <w:sz w:val="24"/>
                <w:szCs w:val="24"/>
              </w:rPr>
            </w:pPr>
            <w:r>
              <w:rPr>
                <w:rFonts w:hint="eastAsia" w:ascii="宋体" w:hAnsi="宋体" w:eastAsia="宋体" w:cs="宋体"/>
                <w:color w:val="000000"/>
                <w:sz w:val="24"/>
                <w:szCs w:val="24"/>
              </w:rPr>
              <w:t>1.12</w:t>
            </w:r>
          </w:p>
        </w:tc>
        <w:tc>
          <w:tcPr>
            <w:tcW w:w="3616" w:type="dxa"/>
            <w:tcBorders>
              <w:top w:val="nil"/>
              <w:left w:val="nil"/>
              <w:bottom w:val="single" w:color="000000" w:sz="4" w:space="0"/>
              <w:right w:val="single" w:color="000000" w:sz="4" w:space="0"/>
            </w:tcBorders>
            <w:tcMar>
              <w:top w:w="0" w:type="dxa"/>
              <w:left w:w="105" w:type="dxa"/>
              <w:bottom w:w="0" w:type="dxa"/>
              <w:right w:w="105" w:type="dxa"/>
            </w:tcMar>
            <w:vAlign w:val="top"/>
          </w:tcPr>
          <w:p w14:paraId="61339ED2">
            <w:pPr>
              <w:pStyle w:val="6"/>
              <w:keepNext w:val="0"/>
              <w:keepLines w:val="0"/>
              <w:pageBreakBefore w:val="0"/>
              <w:widowControl/>
              <w:kinsoku/>
              <w:wordWrap/>
              <w:overflowPunct/>
              <w:topLinePunct w:val="0"/>
              <w:autoSpaceDE/>
              <w:autoSpaceDN/>
              <w:bidi w:val="0"/>
              <w:adjustRightInd/>
              <w:snapToGrid/>
              <w:spacing w:line="500" w:lineRule="exact"/>
              <w:ind w:firstLine="0"/>
              <w:jc w:val="both"/>
              <w:textAlignment w:val="auto"/>
              <w:rPr>
                <w:rFonts w:hint="eastAsia" w:ascii="宋体" w:hAnsi="宋体" w:eastAsia="宋体" w:cs="宋体"/>
                <w:sz w:val="24"/>
                <w:szCs w:val="24"/>
              </w:rPr>
            </w:pPr>
            <w:r>
              <w:rPr>
                <w:rFonts w:hint="eastAsia" w:ascii="宋体" w:hAnsi="宋体" w:eastAsia="宋体" w:cs="宋体"/>
                <w:color w:val="000000"/>
                <w:sz w:val="24"/>
                <w:szCs w:val="24"/>
              </w:rPr>
              <w:t>内网主机杀毒软件</w:t>
            </w:r>
          </w:p>
        </w:tc>
        <w:tc>
          <w:tcPr>
            <w:tcW w:w="1455" w:type="dxa"/>
            <w:tcBorders>
              <w:top w:val="nil"/>
              <w:left w:val="nil"/>
              <w:bottom w:val="single" w:color="000000" w:sz="4" w:space="0"/>
              <w:right w:val="single" w:color="000000" w:sz="4" w:space="0"/>
            </w:tcBorders>
            <w:tcMar>
              <w:top w:w="0" w:type="dxa"/>
              <w:left w:w="105" w:type="dxa"/>
              <w:bottom w:w="0" w:type="dxa"/>
              <w:right w:w="105" w:type="dxa"/>
            </w:tcMar>
            <w:vAlign w:val="top"/>
          </w:tcPr>
          <w:p w14:paraId="51C6EDCC">
            <w:pPr>
              <w:pStyle w:val="6"/>
              <w:keepNext w:val="0"/>
              <w:keepLines w:val="0"/>
              <w:pageBreakBefore w:val="0"/>
              <w:widowControl/>
              <w:kinsoku/>
              <w:wordWrap/>
              <w:overflowPunct/>
              <w:topLinePunct w:val="0"/>
              <w:autoSpaceDE/>
              <w:autoSpaceDN/>
              <w:bidi w:val="0"/>
              <w:adjustRightInd/>
              <w:snapToGrid/>
              <w:spacing w:line="500" w:lineRule="exact"/>
              <w:ind w:firstLine="0"/>
              <w:jc w:val="center"/>
              <w:textAlignment w:val="auto"/>
              <w:rPr>
                <w:rFonts w:hint="eastAsia" w:ascii="宋体" w:hAnsi="宋体" w:eastAsia="宋体" w:cs="宋体"/>
                <w:sz w:val="24"/>
                <w:szCs w:val="24"/>
              </w:rPr>
            </w:pPr>
            <w:r>
              <w:rPr>
                <w:rFonts w:hint="eastAsia" w:ascii="宋体" w:hAnsi="宋体" w:eastAsia="宋体" w:cs="宋体"/>
                <w:color w:val="000000"/>
                <w:sz w:val="24"/>
                <w:szCs w:val="24"/>
              </w:rPr>
              <w:t>1套</w:t>
            </w:r>
          </w:p>
        </w:tc>
        <w:tc>
          <w:tcPr>
            <w:tcW w:w="2359" w:type="dxa"/>
            <w:tcBorders>
              <w:top w:val="nil"/>
              <w:left w:val="nil"/>
              <w:bottom w:val="single" w:color="000000" w:sz="4" w:space="0"/>
              <w:right w:val="single" w:color="000000" w:sz="4" w:space="0"/>
            </w:tcBorders>
            <w:tcMar>
              <w:top w:w="0" w:type="dxa"/>
              <w:left w:w="105" w:type="dxa"/>
              <w:bottom w:w="0" w:type="dxa"/>
              <w:right w:w="105" w:type="dxa"/>
            </w:tcMar>
            <w:vAlign w:val="top"/>
          </w:tcPr>
          <w:p w14:paraId="186C5987">
            <w:pPr>
              <w:pStyle w:val="6"/>
              <w:keepNext w:val="0"/>
              <w:keepLines w:val="0"/>
              <w:pageBreakBefore w:val="0"/>
              <w:widowControl/>
              <w:kinsoku/>
              <w:wordWrap/>
              <w:overflowPunct/>
              <w:topLinePunct w:val="0"/>
              <w:autoSpaceDE/>
              <w:autoSpaceDN/>
              <w:bidi w:val="0"/>
              <w:adjustRightInd/>
              <w:snapToGrid/>
              <w:spacing w:line="500" w:lineRule="exact"/>
              <w:ind w:firstLine="0"/>
              <w:jc w:val="center"/>
              <w:textAlignment w:val="auto"/>
              <w:rPr>
                <w:rFonts w:hint="eastAsia" w:ascii="宋体" w:hAnsi="宋体" w:eastAsia="宋体" w:cs="宋体"/>
                <w:sz w:val="24"/>
                <w:szCs w:val="24"/>
              </w:rPr>
            </w:pPr>
            <w:r>
              <w:rPr>
                <w:rFonts w:hint="eastAsia" w:ascii="宋体" w:hAnsi="宋体" w:eastAsia="宋体" w:cs="宋体"/>
                <w:color w:val="000000"/>
                <w:sz w:val="24"/>
                <w:szCs w:val="24"/>
              </w:rPr>
              <w:t>10.300000</w:t>
            </w:r>
          </w:p>
        </w:tc>
      </w:tr>
      <w:tr w14:paraId="55DE212E">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99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0127BAC2">
            <w:pPr>
              <w:pStyle w:val="6"/>
              <w:keepNext w:val="0"/>
              <w:keepLines w:val="0"/>
              <w:pageBreakBefore w:val="0"/>
              <w:widowControl/>
              <w:kinsoku/>
              <w:wordWrap/>
              <w:overflowPunct/>
              <w:topLinePunct w:val="0"/>
              <w:autoSpaceDE/>
              <w:autoSpaceDN/>
              <w:bidi w:val="0"/>
              <w:adjustRightInd/>
              <w:snapToGrid/>
              <w:spacing w:line="500" w:lineRule="exact"/>
              <w:ind w:firstLine="0"/>
              <w:jc w:val="center"/>
              <w:textAlignment w:val="auto"/>
              <w:rPr>
                <w:rFonts w:hint="eastAsia" w:ascii="宋体" w:hAnsi="宋体" w:eastAsia="宋体" w:cs="宋体"/>
                <w:sz w:val="24"/>
                <w:szCs w:val="24"/>
              </w:rPr>
            </w:pPr>
            <w:r>
              <w:rPr>
                <w:rFonts w:hint="eastAsia" w:ascii="宋体" w:hAnsi="宋体" w:eastAsia="宋体" w:cs="宋体"/>
                <w:color w:val="000000"/>
                <w:sz w:val="24"/>
                <w:szCs w:val="24"/>
              </w:rPr>
              <w:t>1.13</w:t>
            </w:r>
          </w:p>
        </w:tc>
        <w:tc>
          <w:tcPr>
            <w:tcW w:w="3616" w:type="dxa"/>
            <w:tcBorders>
              <w:top w:val="nil"/>
              <w:left w:val="nil"/>
              <w:bottom w:val="single" w:color="000000" w:sz="4" w:space="0"/>
              <w:right w:val="single" w:color="000000" w:sz="4" w:space="0"/>
            </w:tcBorders>
            <w:tcMar>
              <w:top w:w="0" w:type="dxa"/>
              <w:left w:w="105" w:type="dxa"/>
              <w:bottom w:w="0" w:type="dxa"/>
              <w:right w:w="105" w:type="dxa"/>
            </w:tcMar>
            <w:vAlign w:val="top"/>
          </w:tcPr>
          <w:p w14:paraId="34DCCDFC">
            <w:pPr>
              <w:pStyle w:val="6"/>
              <w:keepNext w:val="0"/>
              <w:keepLines w:val="0"/>
              <w:pageBreakBefore w:val="0"/>
              <w:widowControl/>
              <w:kinsoku/>
              <w:wordWrap/>
              <w:overflowPunct/>
              <w:topLinePunct w:val="0"/>
              <w:autoSpaceDE/>
              <w:autoSpaceDN/>
              <w:bidi w:val="0"/>
              <w:adjustRightInd/>
              <w:snapToGrid/>
              <w:spacing w:line="500" w:lineRule="exact"/>
              <w:ind w:firstLine="0"/>
              <w:jc w:val="both"/>
              <w:textAlignment w:val="auto"/>
              <w:rPr>
                <w:rFonts w:hint="eastAsia" w:ascii="宋体" w:hAnsi="宋体" w:eastAsia="宋体" w:cs="宋体"/>
                <w:sz w:val="24"/>
                <w:szCs w:val="24"/>
              </w:rPr>
            </w:pPr>
            <w:r>
              <w:rPr>
                <w:rFonts w:hint="eastAsia" w:ascii="宋体" w:hAnsi="宋体" w:eastAsia="宋体" w:cs="宋体"/>
                <w:color w:val="000000"/>
                <w:sz w:val="24"/>
                <w:szCs w:val="24"/>
              </w:rPr>
              <w:t>漏洞扫描系统</w:t>
            </w:r>
          </w:p>
        </w:tc>
        <w:tc>
          <w:tcPr>
            <w:tcW w:w="1455" w:type="dxa"/>
            <w:tcBorders>
              <w:top w:val="nil"/>
              <w:left w:val="nil"/>
              <w:bottom w:val="single" w:color="000000" w:sz="4" w:space="0"/>
              <w:right w:val="single" w:color="000000" w:sz="4" w:space="0"/>
            </w:tcBorders>
            <w:tcMar>
              <w:top w:w="0" w:type="dxa"/>
              <w:left w:w="105" w:type="dxa"/>
              <w:bottom w:w="0" w:type="dxa"/>
              <w:right w:w="105" w:type="dxa"/>
            </w:tcMar>
            <w:vAlign w:val="top"/>
          </w:tcPr>
          <w:p w14:paraId="19260811">
            <w:pPr>
              <w:pStyle w:val="6"/>
              <w:keepNext w:val="0"/>
              <w:keepLines w:val="0"/>
              <w:pageBreakBefore w:val="0"/>
              <w:widowControl/>
              <w:kinsoku/>
              <w:wordWrap/>
              <w:overflowPunct/>
              <w:topLinePunct w:val="0"/>
              <w:autoSpaceDE/>
              <w:autoSpaceDN/>
              <w:bidi w:val="0"/>
              <w:adjustRightInd/>
              <w:snapToGrid/>
              <w:spacing w:line="500" w:lineRule="exact"/>
              <w:ind w:firstLine="0"/>
              <w:jc w:val="center"/>
              <w:textAlignment w:val="auto"/>
              <w:rPr>
                <w:rFonts w:hint="eastAsia" w:ascii="宋体" w:hAnsi="宋体" w:eastAsia="宋体" w:cs="宋体"/>
                <w:sz w:val="24"/>
                <w:szCs w:val="24"/>
              </w:rPr>
            </w:pPr>
            <w:r>
              <w:rPr>
                <w:rFonts w:hint="eastAsia" w:ascii="宋体" w:hAnsi="宋体" w:eastAsia="宋体" w:cs="宋体"/>
                <w:color w:val="000000"/>
                <w:sz w:val="24"/>
                <w:szCs w:val="24"/>
              </w:rPr>
              <w:t>1套</w:t>
            </w:r>
          </w:p>
        </w:tc>
        <w:tc>
          <w:tcPr>
            <w:tcW w:w="2359" w:type="dxa"/>
            <w:tcBorders>
              <w:top w:val="nil"/>
              <w:left w:val="nil"/>
              <w:bottom w:val="single" w:color="000000" w:sz="4" w:space="0"/>
              <w:right w:val="single" w:color="000000" w:sz="4" w:space="0"/>
            </w:tcBorders>
            <w:tcMar>
              <w:top w:w="0" w:type="dxa"/>
              <w:left w:w="105" w:type="dxa"/>
              <w:bottom w:w="0" w:type="dxa"/>
              <w:right w:w="105" w:type="dxa"/>
            </w:tcMar>
            <w:vAlign w:val="top"/>
          </w:tcPr>
          <w:p w14:paraId="04F1FBEC">
            <w:pPr>
              <w:pStyle w:val="6"/>
              <w:keepNext w:val="0"/>
              <w:keepLines w:val="0"/>
              <w:pageBreakBefore w:val="0"/>
              <w:widowControl/>
              <w:kinsoku/>
              <w:wordWrap/>
              <w:overflowPunct/>
              <w:topLinePunct w:val="0"/>
              <w:autoSpaceDE/>
              <w:autoSpaceDN/>
              <w:bidi w:val="0"/>
              <w:adjustRightInd/>
              <w:snapToGrid/>
              <w:spacing w:line="500" w:lineRule="exact"/>
              <w:ind w:firstLine="0"/>
              <w:jc w:val="center"/>
              <w:textAlignment w:val="auto"/>
              <w:rPr>
                <w:rFonts w:hint="eastAsia" w:ascii="宋体" w:hAnsi="宋体" w:eastAsia="宋体" w:cs="宋体"/>
                <w:sz w:val="24"/>
                <w:szCs w:val="24"/>
              </w:rPr>
            </w:pPr>
            <w:r>
              <w:rPr>
                <w:rFonts w:hint="eastAsia" w:ascii="宋体" w:hAnsi="宋体" w:eastAsia="宋体" w:cs="宋体"/>
                <w:color w:val="000000"/>
                <w:sz w:val="24"/>
                <w:szCs w:val="24"/>
              </w:rPr>
              <w:t>6.000000</w:t>
            </w:r>
          </w:p>
        </w:tc>
      </w:tr>
      <w:tr w14:paraId="7C1DD450">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99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1AC817FF">
            <w:pPr>
              <w:pStyle w:val="6"/>
              <w:keepNext w:val="0"/>
              <w:keepLines w:val="0"/>
              <w:pageBreakBefore w:val="0"/>
              <w:widowControl/>
              <w:kinsoku/>
              <w:wordWrap/>
              <w:overflowPunct/>
              <w:topLinePunct w:val="0"/>
              <w:autoSpaceDE/>
              <w:autoSpaceDN/>
              <w:bidi w:val="0"/>
              <w:adjustRightInd/>
              <w:snapToGrid/>
              <w:spacing w:line="500" w:lineRule="exact"/>
              <w:ind w:firstLine="0"/>
              <w:jc w:val="center"/>
              <w:textAlignment w:val="auto"/>
              <w:rPr>
                <w:rFonts w:hint="eastAsia" w:ascii="宋体" w:hAnsi="宋体" w:eastAsia="宋体" w:cs="宋体"/>
                <w:sz w:val="24"/>
                <w:szCs w:val="24"/>
              </w:rPr>
            </w:pPr>
            <w:r>
              <w:rPr>
                <w:rFonts w:hint="eastAsia" w:ascii="宋体" w:hAnsi="宋体" w:eastAsia="宋体" w:cs="宋体"/>
                <w:color w:val="000000"/>
                <w:sz w:val="24"/>
                <w:szCs w:val="24"/>
              </w:rPr>
              <w:t>1.14</w:t>
            </w:r>
          </w:p>
        </w:tc>
        <w:tc>
          <w:tcPr>
            <w:tcW w:w="3616" w:type="dxa"/>
            <w:tcBorders>
              <w:top w:val="nil"/>
              <w:left w:val="nil"/>
              <w:bottom w:val="single" w:color="000000" w:sz="4" w:space="0"/>
              <w:right w:val="single" w:color="000000" w:sz="4" w:space="0"/>
            </w:tcBorders>
            <w:tcMar>
              <w:top w:w="0" w:type="dxa"/>
              <w:left w:w="105" w:type="dxa"/>
              <w:bottom w:w="0" w:type="dxa"/>
              <w:right w:w="105" w:type="dxa"/>
            </w:tcMar>
            <w:vAlign w:val="top"/>
          </w:tcPr>
          <w:p w14:paraId="18400EC4">
            <w:pPr>
              <w:pStyle w:val="6"/>
              <w:keepNext w:val="0"/>
              <w:keepLines w:val="0"/>
              <w:pageBreakBefore w:val="0"/>
              <w:widowControl/>
              <w:kinsoku/>
              <w:wordWrap/>
              <w:overflowPunct/>
              <w:topLinePunct w:val="0"/>
              <w:autoSpaceDE/>
              <w:autoSpaceDN/>
              <w:bidi w:val="0"/>
              <w:adjustRightInd/>
              <w:snapToGrid/>
              <w:spacing w:line="500" w:lineRule="exact"/>
              <w:ind w:firstLine="0"/>
              <w:jc w:val="both"/>
              <w:textAlignment w:val="auto"/>
              <w:rPr>
                <w:rFonts w:hint="eastAsia" w:ascii="宋体" w:hAnsi="宋体" w:eastAsia="宋体" w:cs="宋体"/>
                <w:sz w:val="24"/>
                <w:szCs w:val="24"/>
              </w:rPr>
            </w:pPr>
            <w:r>
              <w:rPr>
                <w:rFonts w:hint="eastAsia" w:ascii="宋体" w:hAnsi="宋体" w:eastAsia="宋体" w:cs="宋体"/>
                <w:color w:val="000000"/>
                <w:sz w:val="24"/>
                <w:szCs w:val="24"/>
              </w:rPr>
              <w:t>内网态势感知系统</w:t>
            </w:r>
          </w:p>
        </w:tc>
        <w:tc>
          <w:tcPr>
            <w:tcW w:w="1455" w:type="dxa"/>
            <w:tcBorders>
              <w:top w:val="nil"/>
              <w:left w:val="nil"/>
              <w:bottom w:val="single" w:color="000000" w:sz="4" w:space="0"/>
              <w:right w:val="single" w:color="000000" w:sz="4" w:space="0"/>
            </w:tcBorders>
            <w:tcMar>
              <w:top w:w="0" w:type="dxa"/>
              <w:left w:w="105" w:type="dxa"/>
              <w:bottom w:w="0" w:type="dxa"/>
              <w:right w:w="105" w:type="dxa"/>
            </w:tcMar>
            <w:vAlign w:val="top"/>
          </w:tcPr>
          <w:p w14:paraId="0155CDB4">
            <w:pPr>
              <w:pStyle w:val="6"/>
              <w:keepNext w:val="0"/>
              <w:keepLines w:val="0"/>
              <w:pageBreakBefore w:val="0"/>
              <w:widowControl/>
              <w:kinsoku/>
              <w:wordWrap/>
              <w:overflowPunct/>
              <w:topLinePunct w:val="0"/>
              <w:autoSpaceDE/>
              <w:autoSpaceDN/>
              <w:bidi w:val="0"/>
              <w:adjustRightInd/>
              <w:snapToGrid/>
              <w:spacing w:line="500" w:lineRule="exact"/>
              <w:ind w:firstLine="0"/>
              <w:jc w:val="center"/>
              <w:textAlignment w:val="auto"/>
              <w:rPr>
                <w:rFonts w:hint="eastAsia" w:ascii="宋体" w:hAnsi="宋体" w:eastAsia="宋体" w:cs="宋体"/>
                <w:sz w:val="24"/>
                <w:szCs w:val="24"/>
              </w:rPr>
            </w:pPr>
            <w:r>
              <w:rPr>
                <w:rFonts w:hint="eastAsia" w:ascii="宋体" w:hAnsi="宋体" w:eastAsia="宋体" w:cs="宋体"/>
                <w:color w:val="000000"/>
                <w:sz w:val="24"/>
                <w:szCs w:val="24"/>
              </w:rPr>
              <w:t>1套</w:t>
            </w:r>
          </w:p>
        </w:tc>
        <w:tc>
          <w:tcPr>
            <w:tcW w:w="2359" w:type="dxa"/>
            <w:tcBorders>
              <w:top w:val="nil"/>
              <w:left w:val="nil"/>
              <w:bottom w:val="single" w:color="000000" w:sz="4" w:space="0"/>
              <w:right w:val="single" w:color="000000" w:sz="4" w:space="0"/>
            </w:tcBorders>
            <w:tcMar>
              <w:top w:w="0" w:type="dxa"/>
              <w:left w:w="105" w:type="dxa"/>
              <w:bottom w:w="0" w:type="dxa"/>
              <w:right w:w="105" w:type="dxa"/>
            </w:tcMar>
            <w:vAlign w:val="top"/>
          </w:tcPr>
          <w:p w14:paraId="0AB0DF32">
            <w:pPr>
              <w:pStyle w:val="6"/>
              <w:keepNext w:val="0"/>
              <w:keepLines w:val="0"/>
              <w:pageBreakBefore w:val="0"/>
              <w:widowControl/>
              <w:kinsoku/>
              <w:wordWrap/>
              <w:overflowPunct/>
              <w:topLinePunct w:val="0"/>
              <w:autoSpaceDE/>
              <w:autoSpaceDN/>
              <w:bidi w:val="0"/>
              <w:adjustRightInd/>
              <w:snapToGrid/>
              <w:spacing w:line="500" w:lineRule="exact"/>
              <w:ind w:firstLine="0"/>
              <w:jc w:val="center"/>
              <w:textAlignment w:val="auto"/>
              <w:rPr>
                <w:rFonts w:hint="eastAsia" w:ascii="宋体" w:hAnsi="宋体" w:eastAsia="宋体" w:cs="宋体"/>
                <w:sz w:val="24"/>
                <w:szCs w:val="24"/>
              </w:rPr>
            </w:pPr>
            <w:r>
              <w:rPr>
                <w:rFonts w:hint="eastAsia" w:ascii="宋体" w:hAnsi="宋体" w:eastAsia="宋体" w:cs="宋体"/>
                <w:color w:val="000000"/>
                <w:sz w:val="24"/>
                <w:szCs w:val="24"/>
              </w:rPr>
              <w:t>16.800000</w:t>
            </w:r>
          </w:p>
        </w:tc>
      </w:tr>
      <w:tr w14:paraId="61F21CF5">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99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579D12AD">
            <w:pPr>
              <w:pStyle w:val="6"/>
              <w:keepNext w:val="0"/>
              <w:keepLines w:val="0"/>
              <w:pageBreakBefore w:val="0"/>
              <w:widowControl/>
              <w:kinsoku/>
              <w:wordWrap/>
              <w:overflowPunct/>
              <w:topLinePunct w:val="0"/>
              <w:autoSpaceDE/>
              <w:autoSpaceDN/>
              <w:bidi w:val="0"/>
              <w:adjustRightInd/>
              <w:snapToGrid/>
              <w:spacing w:line="500" w:lineRule="exact"/>
              <w:ind w:firstLine="0"/>
              <w:jc w:val="center"/>
              <w:textAlignment w:val="auto"/>
              <w:rPr>
                <w:rFonts w:hint="eastAsia" w:ascii="宋体" w:hAnsi="宋体" w:eastAsia="宋体" w:cs="宋体"/>
                <w:sz w:val="24"/>
                <w:szCs w:val="24"/>
              </w:rPr>
            </w:pPr>
            <w:r>
              <w:rPr>
                <w:rFonts w:hint="eastAsia" w:ascii="宋体" w:hAnsi="宋体" w:eastAsia="宋体" w:cs="宋体"/>
                <w:color w:val="000000"/>
                <w:sz w:val="24"/>
                <w:szCs w:val="24"/>
              </w:rPr>
              <w:t>1.15</w:t>
            </w:r>
          </w:p>
        </w:tc>
        <w:tc>
          <w:tcPr>
            <w:tcW w:w="3616" w:type="dxa"/>
            <w:tcBorders>
              <w:top w:val="nil"/>
              <w:left w:val="nil"/>
              <w:bottom w:val="single" w:color="000000" w:sz="4" w:space="0"/>
              <w:right w:val="single" w:color="000000" w:sz="4" w:space="0"/>
            </w:tcBorders>
            <w:tcMar>
              <w:top w:w="0" w:type="dxa"/>
              <w:left w:w="105" w:type="dxa"/>
              <w:bottom w:w="0" w:type="dxa"/>
              <w:right w:w="105" w:type="dxa"/>
            </w:tcMar>
            <w:vAlign w:val="top"/>
          </w:tcPr>
          <w:p w14:paraId="234E627A">
            <w:pPr>
              <w:pStyle w:val="6"/>
              <w:keepNext w:val="0"/>
              <w:keepLines w:val="0"/>
              <w:pageBreakBefore w:val="0"/>
              <w:widowControl/>
              <w:kinsoku/>
              <w:wordWrap/>
              <w:overflowPunct/>
              <w:topLinePunct w:val="0"/>
              <w:autoSpaceDE/>
              <w:autoSpaceDN/>
              <w:bidi w:val="0"/>
              <w:adjustRightInd/>
              <w:snapToGrid/>
              <w:spacing w:line="500" w:lineRule="exact"/>
              <w:ind w:firstLine="0"/>
              <w:jc w:val="both"/>
              <w:textAlignment w:val="auto"/>
              <w:rPr>
                <w:rFonts w:hint="eastAsia" w:ascii="宋体" w:hAnsi="宋体" w:eastAsia="宋体" w:cs="宋体"/>
                <w:sz w:val="24"/>
                <w:szCs w:val="24"/>
              </w:rPr>
            </w:pPr>
            <w:r>
              <w:rPr>
                <w:rFonts w:hint="eastAsia" w:ascii="宋体" w:hAnsi="宋体" w:eastAsia="宋体" w:cs="宋体"/>
                <w:color w:val="000000"/>
                <w:sz w:val="24"/>
                <w:szCs w:val="24"/>
              </w:rPr>
              <w:t>上网行为管理</w:t>
            </w:r>
          </w:p>
        </w:tc>
        <w:tc>
          <w:tcPr>
            <w:tcW w:w="1455" w:type="dxa"/>
            <w:tcBorders>
              <w:top w:val="nil"/>
              <w:left w:val="nil"/>
              <w:bottom w:val="single" w:color="000000" w:sz="4" w:space="0"/>
              <w:right w:val="single" w:color="000000" w:sz="4" w:space="0"/>
            </w:tcBorders>
            <w:tcMar>
              <w:top w:w="0" w:type="dxa"/>
              <w:left w:w="105" w:type="dxa"/>
              <w:bottom w:w="0" w:type="dxa"/>
              <w:right w:w="105" w:type="dxa"/>
            </w:tcMar>
            <w:vAlign w:val="top"/>
          </w:tcPr>
          <w:p w14:paraId="043C1AD2">
            <w:pPr>
              <w:pStyle w:val="6"/>
              <w:keepNext w:val="0"/>
              <w:keepLines w:val="0"/>
              <w:pageBreakBefore w:val="0"/>
              <w:widowControl/>
              <w:kinsoku/>
              <w:wordWrap/>
              <w:overflowPunct/>
              <w:topLinePunct w:val="0"/>
              <w:autoSpaceDE/>
              <w:autoSpaceDN/>
              <w:bidi w:val="0"/>
              <w:adjustRightInd/>
              <w:snapToGrid/>
              <w:spacing w:line="500" w:lineRule="exact"/>
              <w:ind w:firstLine="0"/>
              <w:jc w:val="center"/>
              <w:textAlignment w:val="auto"/>
              <w:rPr>
                <w:rFonts w:hint="eastAsia" w:ascii="宋体" w:hAnsi="宋体" w:eastAsia="宋体" w:cs="宋体"/>
                <w:sz w:val="24"/>
                <w:szCs w:val="24"/>
              </w:rPr>
            </w:pPr>
            <w:r>
              <w:rPr>
                <w:rFonts w:hint="eastAsia" w:ascii="宋体" w:hAnsi="宋体" w:eastAsia="宋体" w:cs="宋体"/>
                <w:color w:val="000000"/>
                <w:sz w:val="24"/>
                <w:szCs w:val="24"/>
              </w:rPr>
              <w:t>1套</w:t>
            </w:r>
          </w:p>
        </w:tc>
        <w:tc>
          <w:tcPr>
            <w:tcW w:w="2359" w:type="dxa"/>
            <w:tcBorders>
              <w:top w:val="nil"/>
              <w:left w:val="nil"/>
              <w:bottom w:val="single" w:color="000000" w:sz="4" w:space="0"/>
              <w:right w:val="single" w:color="000000" w:sz="4" w:space="0"/>
            </w:tcBorders>
            <w:tcMar>
              <w:top w:w="0" w:type="dxa"/>
              <w:left w:w="105" w:type="dxa"/>
              <w:bottom w:w="0" w:type="dxa"/>
              <w:right w:w="105" w:type="dxa"/>
            </w:tcMar>
            <w:vAlign w:val="top"/>
          </w:tcPr>
          <w:p w14:paraId="457BA179">
            <w:pPr>
              <w:pStyle w:val="6"/>
              <w:keepNext w:val="0"/>
              <w:keepLines w:val="0"/>
              <w:pageBreakBefore w:val="0"/>
              <w:widowControl/>
              <w:kinsoku/>
              <w:wordWrap/>
              <w:overflowPunct/>
              <w:topLinePunct w:val="0"/>
              <w:autoSpaceDE/>
              <w:autoSpaceDN/>
              <w:bidi w:val="0"/>
              <w:adjustRightInd/>
              <w:snapToGrid/>
              <w:spacing w:line="500" w:lineRule="exact"/>
              <w:ind w:firstLine="0"/>
              <w:jc w:val="center"/>
              <w:textAlignment w:val="auto"/>
              <w:rPr>
                <w:rFonts w:hint="eastAsia" w:ascii="宋体" w:hAnsi="宋体" w:eastAsia="宋体" w:cs="宋体"/>
                <w:sz w:val="24"/>
                <w:szCs w:val="24"/>
              </w:rPr>
            </w:pPr>
            <w:r>
              <w:rPr>
                <w:rFonts w:hint="eastAsia" w:ascii="宋体" w:hAnsi="宋体" w:eastAsia="宋体" w:cs="宋体"/>
                <w:color w:val="000000"/>
                <w:sz w:val="24"/>
                <w:szCs w:val="24"/>
              </w:rPr>
              <w:t>6.200000</w:t>
            </w:r>
          </w:p>
        </w:tc>
      </w:tr>
      <w:tr w14:paraId="466D2DA4">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99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2521771">
            <w:pPr>
              <w:pStyle w:val="6"/>
              <w:keepNext w:val="0"/>
              <w:keepLines w:val="0"/>
              <w:pageBreakBefore w:val="0"/>
              <w:widowControl/>
              <w:kinsoku/>
              <w:wordWrap/>
              <w:overflowPunct/>
              <w:topLinePunct w:val="0"/>
              <w:autoSpaceDE/>
              <w:autoSpaceDN/>
              <w:bidi w:val="0"/>
              <w:adjustRightInd/>
              <w:snapToGrid/>
              <w:spacing w:line="500" w:lineRule="exact"/>
              <w:ind w:firstLine="0"/>
              <w:jc w:val="center"/>
              <w:textAlignment w:val="auto"/>
              <w:rPr>
                <w:rFonts w:hint="eastAsia" w:ascii="宋体" w:hAnsi="宋体" w:eastAsia="宋体" w:cs="宋体"/>
                <w:sz w:val="24"/>
                <w:szCs w:val="24"/>
              </w:rPr>
            </w:pPr>
            <w:r>
              <w:rPr>
                <w:rFonts w:hint="eastAsia" w:ascii="宋体" w:hAnsi="宋体" w:eastAsia="宋体" w:cs="宋体"/>
                <w:b/>
                <w:color w:val="000000"/>
                <w:sz w:val="24"/>
                <w:szCs w:val="24"/>
              </w:rPr>
              <w:t>2</w:t>
            </w:r>
          </w:p>
        </w:tc>
        <w:tc>
          <w:tcPr>
            <w:tcW w:w="3616" w:type="dxa"/>
            <w:tcBorders>
              <w:top w:val="nil"/>
              <w:left w:val="nil"/>
              <w:bottom w:val="single" w:color="000000" w:sz="4" w:space="0"/>
              <w:right w:val="single" w:color="000000" w:sz="4" w:space="0"/>
            </w:tcBorders>
            <w:tcMar>
              <w:top w:w="0" w:type="dxa"/>
              <w:left w:w="105" w:type="dxa"/>
              <w:bottom w:w="0" w:type="dxa"/>
              <w:right w:w="105" w:type="dxa"/>
            </w:tcMar>
            <w:vAlign w:val="top"/>
          </w:tcPr>
          <w:p w14:paraId="7FDDC177">
            <w:pPr>
              <w:pStyle w:val="6"/>
              <w:keepNext w:val="0"/>
              <w:keepLines w:val="0"/>
              <w:pageBreakBefore w:val="0"/>
              <w:widowControl/>
              <w:kinsoku/>
              <w:wordWrap/>
              <w:overflowPunct/>
              <w:topLinePunct w:val="0"/>
              <w:autoSpaceDE/>
              <w:autoSpaceDN/>
              <w:bidi w:val="0"/>
              <w:adjustRightInd/>
              <w:snapToGrid/>
              <w:spacing w:line="500" w:lineRule="exact"/>
              <w:ind w:firstLine="0"/>
              <w:jc w:val="both"/>
              <w:textAlignment w:val="auto"/>
              <w:rPr>
                <w:rFonts w:hint="eastAsia" w:ascii="宋体" w:hAnsi="宋体" w:eastAsia="宋体" w:cs="宋体"/>
                <w:sz w:val="24"/>
                <w:szCs w:val="24"/>
              </w:rPr>
            </w:pPr>
            <w:r>
              <w:rPr>
                <w:rFonts w:hint="eastAsia" w:ascii="宋体" w:hAnsi="宋体" w:eastAsia="宋体" w:cs="宋体"/>
                <w:b/>
                <w:color w:val="000000"/>
                <w:sz w:val="24"/>
                <w:szCs w:val="24"/>
              </w:rPr>
              <w:t>密码安全</w:t>
            </w:r>
          </w:p>
        </w:tc>
        <w:tc>
          <w:tcPr>
            <w:tcW w:w="1455" w:type="dxa"/>
            <w:tcBorders>
              <w:top w:val="nil"/>
              <w:left w:val="nil"/>
              <w:bottom w:val="single" w:color="000000" w:sz="4" w:space="0"/>
              <w:right w:val="single" w:color="000000" w:sz="4" w:space="0"/>
            </w:tcBorders>
            <w:tcMar>
              <w:top w:w="0" w:type="dxa"/>
              <w:left w:w="105" w:type="dxa"/>
              <w:bottom w:w="0" w:type="dxa"/>
              <w:right w:w="105" w:type="dxa"/>
            </w:tcMar>
            <w:vAlign w:val="top"/>
          </w:tcPr>
          <w:p w14:paraId="42646742">
            <w:pPr>
              <w:pStyle w:val="6"/>
              <w:keepNext w:val="0"/>
              <w:keepLines w:val="0"/>
              <w:pageBreakBefore w:val="0"/>
              <w:widowControl/>
              <w:kinsoku/>
              <w:wordWrap/>
              <w:overflowPunct/>
              <w:topLinePunct w:val="0"/>
              <w:autoSpaceDE/>
              <w:autoSpaceDN/>
              <w:bidi w:val="0"/>
              <w:adjustRightInd/>
              <w:snapToGrid/>
              <w:spacing w:line="500" w:lineRule="exact"/>
              <w:ind w:firstLine="0"/>
              <w:jc w:val="center"/>
              <w:textAlignment w:val="auto"/>
              <w:rPr>
                <w:rFonts w:hint="eastAsia" w:ascii="宋体" w:hAnsi="宋体" w:eastAsia="宋体" w:cs="宋体"/>
                <w:sz w:val="24"/>
                <w:szCs w:val="24"/>
              </w:rPr>
            </w:pPr>
          </w:p>
        </w:tc>
        <w:tc>
          <w:tcPr>
            <w:tcW w:w="2359" w:type="dxa"/>
            <w:tcBorders>
              <w:top w:val="nil"/>
              <w:left w:val="nil"/>
              <w:bottom w:val="single" w:color="000000" w:sz="4" w:space="0"/>
              <w:right w:val="single" w:color="000000" w:sz="4" w:space="0"/>
            </w:tcBorders>
            <w:tcMar>
              <w:top w:w="0" w:type="dxa"/>
              <w:left w:w="105" w:type="dxa"/>
              <w:bottom w:w="0" w:type="dxa"/>
              <w:right w:w="105" w:type="dxa"/>
            </w:tcMar>
            <w:vAlign w:val="top"/>
          </w:tcPr>
          <w:p w14:paraId="0FCB83D1">
            <w:pPr>
              <w:pStyle w:val="6"/>
              <w:keepNext w:val="0"/>
              <w:keepLines w:val="0"/>
              <w:pageBreakBefore w:val="0"/>
              <w:widowControl/>
              <w:kinsoku/>
              <w:wordWrap/>
              <w:overflowPunct/>
              <w:topLinePunct w:val="0"/>
              <w:autoSpaceDE/>
              <w:autoSpaceDN/>
              <w:bidi w:val="0"/>
              <w:adjustRightInd/>
              <w:snapToGrid/>
              <w:spacing w:line="500" w:lineRule="exact"/>
              <w:ind w:firstLine="0"/>
              <w:jc w:val="center"/>
              <w:textAlignment w:val="auto"/>
              <w:rPr>
                <w:rFonts w:hint="eastAsia" w:ascii="宋体" w:hAnsi="宋体" w:eastAsia="宋体" w:cs="宋体"/>
                <w:sz w:val="24"/>
                <w:szCs w:val="24"/>
              </w:rPr>
            </w:pPr>
            <w:r>
              <w:rPr>
                <w:rFonts w:hint="eastAsia" w:ascii="宋体" w:hAnsi="宋体" w:eastAsia="宋体" w:cs="宋体"/>
                <w:b/>
                <w:color w:val="000000"/>
                <w:sz w:val="24"/>
                <w:szCs w:val="24"/>
              </w:rPr>
              <w:t>75.950000</w:t>
            </w:r>
          </w:p>
        </w:tc>
      </w:tr>
      <w:tr w14:paraId="11DE1375">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99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18B1697A">
            <w:pPr>
              <w:pStyle w:val="6"/>
              <w:keepNext w:val="0"/>
              <w:keepLines w:val="0"/>
              <w:pageBreakBefore w:val="0"/>
              <w:widowControl/>
              <w:kinsoku/>
              <w:wordWrap/>
              <w:overflowPunct/>
              <w:topLinePunct w:val="0"/>
              <w:autoSpaceDE/>
              <w:autoSpaceDN/>
              <w:bidi w:val="0"/>
              <w:adjustRightInd/>
              <w:snapToGrid/>
              <w:spacing w:line="500" w:lineRule="exact"/>
              <w:ind w:firstLine="0"/>
              <w:jc w:val="center"/>
              <w:textAlignment w:val="auto"/>
              <w:rPr>
                <w:rFonts w:hint="eastAsia" w:ascii="宋体" w:hAnsi="宋体" w:eastAsia="宋体" w:cs="宋体"/>
                <w:sz w:val="24"/>
                <w:szCs w:val="24"/>
              </w:rPr>
            </w:pPr>
            <w:r>
              <w:rPr>
                <w:rFonts w:hint="eastAsia" w:ascii="宋体" w:hAnsi="宋体" w:eastAsia="宋体" w:cs="宋体"/>
                <w:color w:val="000000"/>
                <w:sz w:val="24"/>
                <w:szCs w:val="24"/>
              </w:rPr>
              <w:t>2.1</w:t>
            </w:r>
          </w:p>
        </w:tc>
        <w:tc>
          <w:tcPr>
            <w:tcW w:w="3616" w:type="dxa"/>
            <w:tcBorders>
              <w:top w:val="nil"/>
              <w:left w:val="nil"/>
              <w:bottom w:val="single" w:color="000000" w:sz="4" w:space="0"/>
              <w:right w:val="single" w:color="000000" w:sz="4" w:space="0"/>
            </w:tcBorders>
            <w:tcMar>
              <w:top w:w="0" w:type="dxa"/>
              <w:left w:w="105" w:type="dxa"/>
              <w:bottom w:w="0" w:type="dxa"/>
              <w:right w:w="105" w:type="dxa"/>
            </w:tcMar>
            <w:vAlign w:val="top"/>
          </w:tcPr>
          <w:p w14:paraId="5AACEF59">
            <w:pPr>
              <w:pStyle w:val="6"/>
              <w:keepNext w:val="0"/>
              <w:keepLines w:val="0"/>
              <w:pageBreakBefore w:val="0"/>
              <w:widowControl/>
              <w:kinsoku/>
              <w:wordWrap/>
              <w:overflowPunct/>
              <w:topLinePunct w:val="0"/>
              <w:autoSpaceDE/>
              <w:autoSpaceDN/>
              <w:bidi w:val="0"/>
              <w:adjustRightInd/>
              <w:snapToGrid/>
              <w:spacing w:line="500" w:lineRule="exact"/>
              <w:ind w:firstLine="0"/>
              <w:jc w:val="both"/>
              <w:textAlignment w:val="auto"/>
              <w:rPr>
                <w:rFonts w:hint="eastAsia" w:ascii="宋体" w:hAnsi="宋体" w:eastAsia="宋体" w:cs="宋体"/>
                <w:sz w:val="24"/>
                <w:szCs w:val="24"/>
              </w:rPr>
            </w:pPr>
            <w:r>
              <w:rPr>
                <w:rFonts w:hint="eastAsia" w:ascii="宋体" w:hAnsi="宋体" w:eastAsia="宋体" w:cs="宋体"/>
                <w:color w:val="000000"/>
                <w:sz w:val="24"/>
                <w:szCs w:val="24"/>
              </w:rPr>
              <w:t>综合安全网关</w:t>
            </w:r>
          </w:p>
        </w:tc>
        <w:tc>
          <w:tcPr>
            <w:tcW w:w="1455" w:type="dxa"/>
            <w:tcBorders>
              <w:top w:val="nil"/>
              <w:left w:val="nil"/>
              <w:bottom w:val="single" w:color="000000" w:sz="4" w:space="0"/>
              <w:right w:val="single" w:color="000000" w:sz="4" w:space="0"/>
            </w:tcBorders>
            <w:tcMar>
              <w:top w:w="0" w:type="dxa"/>
              <w:left w:w="105" w:type="dxa"/>
              <w:bottom w:w="0" w:type="dxa"/>
              <w:right w:w="105" w:type="dxa"/>
            </w:tcMar>
            <w:vAlign w:val="top"/>
          </w:tcPr>
          <w:p w14:paraId="6C8D7216">
            <w:pPr>
              <w:pStyle w:val="6"/>
              <w:keepNext w:val="0"/>
              <w:keepLines w:val="0"/>
              <w:pageBreakBefore w:val="0"/>
              <w:widowControl/>
              <w:kinsoku/>
              <w:wordWrap/>
              <w:overflowPunct/>
              <w:topLinePunct w:val="0"/>
              <w:autoSpaceDE/>
              <w:autoSpaceDN/>
              <w:bidi w:val="0"/>
              <w:adjustRightInd/>
              <w:snapToGrid/>
              <w:spacing w:line="500" w:lineRule="exact"/>
              <w:ind w:firstLine="0"/>
              <w:jc w:val="center"/>
              <w:textAlignment w:val="auto"/>
              <w:rPr>
                <w:rFonts w:hint="eastAsia" w:ascii="宋体" w:hAnsi="宋体" w:eastAsia="宋体" w:cs="宋体"/>
                <w:sz w:val="24"/>
                <w:szCs w:val="24"/>
              </w:rPr>
            </w:pPr>
            <w:r>
              <w:rPr>
                <w:rFonts w:hint="eastAsia" w:ascii="宋体" w:hAnsi="宋体" w:eastAsia="宋体" w:cs="宋体"/>
                <w:color w:val="000000"/>
                <w:sz w:val="24"/>
                <w:szCs w:val="24"/>
              </w:rPr>
              <w:t>1台</w:t>
            </w:r>
          </w:p>
        </w:tc>
        <w:tc>
          <w:tcPr>
            <w:tcW w:w="2359" w:type="dxa"/>
            <w:tcBorders>
              <w:top w:val="nil"/>
              <w:left w:val="nil"/>
              <w:bottom w:val="single" w:color="000000" w:sz="4" w:space="0"/>
              <w:right w:val="single" w:color="000000" w:sz="4" w:space="0"/>
            </w:tcBorders>
            <w:tcMar>
              <w:top w:w="0" w:type="dxa"/>
              <w:left w:w="105" w:type="dxa"/>
              <w:bottom w:w="0" w:type="dxa"/>
              <w:right w:w="105" w:type="dxa"/>
            </w:tcMar>
            <w:vAlign w:val="top"/>
          </w:tcPr>
          <w:p w14:paraId="63523EEB">
            <w:pPr>
              <w:pStyle w:val="6"/>
              <w:keepNext w:val="0"/>
              <w:keepLines w:val="0"/>
              <w:pageBreakBefore w:val="0"/>
              <w:widowControl/>
              <w:kinsoku/>
              <w:wordWrap/>
              <w:overflowPunct/>
              <w:topLinePunct w:val="0"/>
              <w:autoSpaceDE/>
              <w:autoSpaceDN/>
              <w:bidi w:val="0"/>
              <w:adjustRightInd/>
              <w:snapToGrid/>
              <w:spacing w:line="500" w:lineRule="exact"/>
              <w:ind w:firstLine="0"/>
              <w:jc w:val="center"/>
              <w:textAlignment w:val="auto"/>
              <w:rPr>
                <w:rFonts w:hint="eastAsia" w:ascii="宋体" w:hAnsi="宋体" w:eastAsia="宋体" w:cs="宋体"/>
                <w:sz w:val="24"/>
                <w:szCs w:val="24"/>
              </w:rPr>
            </w:pPr>
            <w:r>
              <w:rPr>
                <w:rFonts w:hint="eastAsia" w:ascii="宋体" w:hAnsi="宋体" w:eastAsia="宋体" w:cs="宋体"/>
                <w:color w:val="000000"/>
                <w:sz w:val="24"/>
                <w:szCs w:val="24"/>
              </w:rPr>
              <w:t>6.500000</w:t>
            </w:r>
          </w:p>
        </w:tc>
      </w:tr>
      <w:tr w14:paraId="1D4C80DF">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99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68F830F5">
            <w:pPr>
              <w:pStyle w:val="6"/>
              <w:keepNext w:val="0"/>
              <w:keepLines w:val="0"/>
              <w:pageBreakBefore w:val="0"/>
              <w:widowControl/>
              <w:kinsoku/>
              <w:wordWrap/>
              <w:overflowPunct/>
              <w:topLinePunct w:val="0"/>
              <w:autoSpaceDE/>
              <w:autoSpaceDN/>
              <w:bidi w:val="0"/>
              <w:adjustRightInd/>
              <w:snapToGrid/>
              <w:spacing w:line="500" w:lineRule="exact"/>
              <w:ind w:firstLine="0"/>
              <w:jc w:val="center"/>
              <w:textAlignment w:val="auto"/>
              <w:rPr>
                <w:rFonts w:hint="eastAsia" w:ascii="宋体" w:hAnsi="宋体" w:eastAsia="宋体" w:cs="宋体"/>
                <w:sz w:val="24"/>
                <w:szCs w:val="24"/>
              </w:rPr>
            </w:pPr>
            <w:r>
              <w:rPr>
                <w:rFonts w:hint="eastAsia" w:ascii="宋体" w:hAnsi="宋体" w:eastAsia="宋体" w:cs="宋体"/>
                <w:color w:val="000000"/>
                <w:sz w:val="24"/>
                <w:szCs w:val="24"/>
              </w:rPr>
              <w:t>2.2</w:t>
            </w:r>
          </w:p>
        </w:tc>
        <w:tc>
          <w:tcPr>
            <w:tcW w:w="3616" w:type="dxa"/>
            <w:tcBorders>
              <w:top w:val="nil"/>
              <w:left w:val="nil"/>
              <w:bottom w:val="single" w:color="000000" w:sz="4" w:space="0"/>
              <w:right w:val="single" w:color="000000" w:sz="4" w:space="0"/>
            </w:tcBorders>
            <w:tcMar>
              <w:top w:w="0" w:type="dxa"/>
              <w:left w:w="105" w:type="dxa"/>
              <w:bottom w:w="0" w:type="dxa"/>
              <w:right w:w="105" w:type="dxa"/>
            </w:tcMar>
            <w:vAlign w:val="top"/>
          </w:tcPr>
          <w:p w14:paraId="5239EF6C">
            <w:pPr>
              <w:pStyle w:val="6"/>
              <w:keepNext w:val="0"/>
              <w:keepLines w:val="0"/>
              <w:pageBreakBefore w:val="0"/>
              <w:widowControl/>
              <w:kinsoku/>
              <w:wordWrap/>
              <w:overflowPunct/>
              <w:topLinePunct w:val="0"/>
              <w:autoSpaceDE/>
              <w:autoSpaceDN/>
              <w:bidi w:val="0"/>
              <w:adjustRightInd/>
              <w:snapToGrid/>
              <w:spacing w:line="500" w:lineRule="exact"/>
              <w:ind w:firstLine="0"/>
              <w:jc w:val="both"/>
              <w:textAlignment w:val="auto"/>
              <w:rPr>
                <w:rFonts w:hint="eastAsia" w:ascii="宋体" w:hAnsi="宋体" w:eastAsia="宋体" w:cs="宋体"/>
                <w:sz w:val="24"/>
                <w:szCs w:val="24"/>
              </w:rPr>
            </w:pPr>
            <w:r>
              <w:rPr>
                <w:rFonts w:hint="eastAsia" w:ascii="宋体" w:hAnsi="宋体" w:eastAsia="宋体" w:cs="宋体"/>
                <w:color w:val="000000"/>
                <w:sz w:val="24"/>
                <w:szCs w:val="24"/>
              </w:rPr>
              <w:t>商密VPN</w:t>
            </w:r>
          </w:p>
        </w:tc>
        <w:tc>
          <w:tcPr>
            <w:tcW w:w="1455" w:type="dxa"/>
            <w:tcBorders>
              <w:top w:val="nil"/>
              <w:left w:val="nil"/>
              <w:bottom w:val="single" w:color="000000" w:sz="4" w:space="0"/>
              <w:right w:val="single" w:color="000000" w:sz="4" w:space="0"/>
            </w:tcBorders>
            <w:tcMar>
              <w:top w:w="0" w:type="dxa"/>
              <w:left w:w="105" w:type="dxa"/>
              <w:bottom w:w="0" w:type="dxa"/>
              <w:right w:w="105" w:type="dxa"/>
            </w:tcMar>
            <w:vAlign w:val="top"/>
          </w:tcPr>
          <w:p w14:paraId="6A869160">
            <w:pPr>
              <w:pStyle w:val="6"/>
              <w:keepNext w:val="0"/>
              <w:keepLines w:val="0"/>
              <w:pageBreakBefore w:val="0"/>
              <w:widowControl/>
              <w:kinsoku/>
              <w:wordWrap/>
              <w:overflowPunct/>
              <w:topLinePunct w:val="0"/>
              <w:autoSpaceDE/>
              <w:autoSpaceDN/>
              <w:bidi w:val="0"/>
              <w:adjustRightInd/>
              <w:snapToGrid/>
              <w:spacing w:line="500" w:lineRule="exact"/>
              <w:ind w:firstLine="0"/>
              <w:jc w:val="center"/>
              <w:textAlignment w:val="auto"/>
              <w:rPr>
                <w:rFonts w:hint="eastAsia" w:ascii="宋体" w:hAnsi="宋体" w:eastAsia="宋体" w:cs="宋体"/>
                <w:sz w:val="24"/>
                <w:szCs w:val="24"/>
              </w:rPr>
            </w:pPr>
            <w:r>
              <w:rPr>
                <w:rFonts w:hint="eastAsia" w:ascii="宋体" w:hAnsi="宋体" w:eastAsia="宋体" w:cs="宋体"/>
                <w:color w:val="000000"/>
                <w:sz w:val="24"/>
                <w:szCs w:val="24"/>
              </w:rPr>
              <w:t>1台</w:t>
            </w:r>
          </w:p>
        </w:tc>
        <w:tc>
          <w:tcPr>
            <w:tcW w:w="2359" w:type="dxa"/>
            <w:tcBorders>
              <w:top w:val="nil"/>
              <w:left w:val="nil"/>
              <w:bottom w:val="single" w:color="000000" w:sz="4" w:space="0"/>
              <w:right w:val="single" w:color="000000" w:sz="4" w:space="0"/>
            </w:tcBorders>
            <w:tcMar>
              <w:top w:w="0" w:type="dxa"/>
              <w:left w:w="105" w:type="dxa"/>
              <w:bottom w:w="0" w:type="dxa"/>
              <w:right w:w="105" w:type="dxa"/>
            </w:tcMar>
            <w:vAlign w:val="top"/>
          </w:tcPr>
          <w:p w14:paraId="11DA111B">
            <w:pPr>
              <w:pStyle w:val="6"/>
              <w:keepNext w:val="0"/>
              <w:keepLines w:val="0"/>
              <w:pageBreakBefore w:val="0"/>
              <w:widowControl/>
              <w:kinsoku/>
              <w:wordWrap/>
              <w:overflowPunct/>
              <w:topLinePunct w:val="0"/>
              <w:autoSpaceDE/>
              <w:autoSpaceDN/>
              <w:bidi w:val="0"/>
              <w:adjustRightInd/>
              <w:snapToGrid/>
              <w:spacing w:line="500" w:lineRule="exact"/>
              <w:ind w:firstLine="0"/>
              <w:jc w:val="center"/>
              <w:textAlignment w:val="auto"/>
              <w:rPr>
                <w:rFonts w:hint="eastAsia" w:ascii="宋体" w:hAnsi="宋体" w:eastAsia="宋体" w:cs="宋体"/>
                <w:sz w:val="24"/>
                <w:szCs w:val="24"/>
              </w:rPr>
            </w:pPr>
            <w:r>
              <w:rPr>
                <w:rFonts w:hint="eastAsia" w:ascii="宋体" w:hAnsi="宋体" w:eastAsia="宋体" w:cs="宋体"/>
                <w:color w:val="000000"/>
                <w:sz w:val="24"/>
                <w:szCs w:val="24"/>
              </w:rPr>
              <w:t>5.200000</w:t>
            </w:r>
          </w:p>
        </w:tc>
      </w:tr>
      <w:tr w14:paraId="10E7B287">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99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ECE88AE">
            <w:pPr>
              <w:pStyle w:val="6"/>
              <w:keepNext w:val="0"/>
              <w:keepLines w:val="0"/>
              <w:pageBreakBefore w:val="0"/>
              <w:widowControl/>
              <w:kinsoku/>
              <w:wordWrap/>
              <w:overflowPunct/>
              <w:topLinePunct w:val="0"/>
              <w:autoSpaceDE/>
              <w:autoSpaceDN/>
              <w:bidi w:val="0"/>
              <w:adjustRightInd/>
              <w:snapToGrid/>
              <w:spacing w:line="500" w:lineRule="exact"/>
              <w:ind w:firstLine="0"/>
              <w:jc w:val="center"/>
              <w:textAlignment w:val="auto"/>
              <w:rPr>
                <w:rFonts w:hint="eastAsia" w:ascii="宋体" w:hAnsi="宋体" w:eastAsia="宋体" w:cs="宋体"/>
                <w:sz w:val="24"/>
                <w:szCs w:val="24"/>
              </w:rPr>
            </w:pPr>
            <w:r>
              <w:rPr>
                <w:rFonts w:hint="eastAsia" w:ascii="宋体" w:hAnsi="宋体" w:eastAsia="宋体" w:cs="宋体"/>
                <w:color w:val="000000"/>
                <w:sz w:val="24"/>
                <w:szCs w:val="24"/>
              </w:rPr>
              <w:t>2.3</w:t>
            </w:r>
          </w:p>
        </w:tc>
        <w:tc>
          <w:tcPr>
            <w:tcW w:w="3616" w:type="dxa"/>
            <w:tcBorders>
              <w:top w:val="nil"/>
              <w:left w:val="nil"/>
              <w:bottom w:val="single" w:color="000000" w:sz="4" w:space="0"/>
              <w:right w:val="single" w:color="000000" w:sz="4" w:space="0"/>
            </w:tcBorders>
            <w:tcMar>
              <w:top w:w="0" w:type="dxa"/>
              <w:left w:w="105" w:type="dxa"/>
              <w:bottom w:w="0" w:type="dxa"/>
              <w:right w:w="105" w:type="dxa"/>
            </w:tcMar>
            <w:vAlign w:val="top"/>
          </w:tcPr>
          <w:p w14:paraId="00E00913">
            <w:pPr>
              <w:pStyle w:val="6"/>
              <w:keepNext w:val="0"/>
              <w:keepLines w:val="0"/>
              <w:pageBreakBefore w:val="0"/>
              <w:widowControl/>
              <w:kinsoku/>
              <w:wordWrap/>
              <w:overflowPunct/>
              <w:topLinePunct w:val="0"/>
              <w:autoSpaceDE/>
              <w:autoSpaceDN/>
              <w:bidi w:val="0"/>
              <w:adjustRightInd/>
              <w:snapToGrid/>
              <w:spacing w:line="500" w:lineRule="exact"/>
              <w:ind w:firstLine="0"/>
              <w:jc w:val="both"/>
              <w:textAlignment w:val="auto"/>
              <w:rPr>
                <w:rFonts w:hint="eastAsia" w:ascii="宋体" w:hAnsi="宋体" w:eastAsia="宋体" w:cs="宋体"/>
                <w:sz w:val="24"/>
                <w:szCs w:val="24"/>
              </w:rPr>
            </w:pPr>
            <w:r>
              <w:rPr>
                <w:rFonts w:hint="eastAsia" w:ascii="宋体" w:hAnsi="宋体" w:eastAsia="宋体" w:cs="宋体"/>
                <w:color w:val="000000"/>
                <w:sz w:val="24"/>
                <w:szCs w:val="24"/>
              </w:rPr>
              <w:t>签名验签及时间戳服务器</w:t>
            </w:r>
          </w:p>
        </w:tc>
        <w:tc>
          <w:tcPr>
            <w:tcW w:w="1455" w:type="dxa"/>
            <w:tcBorders>
              <w:top w:val="nil"/>
              <w:left w:val="nil"/>
              <w:bottom w:val="single" w:color="000000" w:sz="4" w:space="0"/>
              <w:right w:val="single" w:color="000000" w:sz="4" w:space="0"/>
            </w:tcBorders>
            <w:tcMar>
              <w:top w:w="0" w:type="dxa"/>
              <w:left w:w="105" w:type="dxa"/>
              <w:bottom w:w="0" w:type="dxa"/>
              <w:right w:w="105" w:type="dxa"/>
            </w:tcMar>
            <w:vAlign w:val="top"/>
          </w:tcPr>
          <w:p w14:paraId="2C4C0C76">
            <w:pPr>
              <w:pStyle w:val="6"/>
              <w:keepNext w:val="0"/>
              <w:keepLines w:val="0"/>
              <w:pageBreakBefore w:val="0"/>
              <w:widowControl/>
              <w:kinsoku/>
              <w:wordWrap/>
              <w:overflowPunct/>
              <w:topLinePunct w:val="0"/>
              <w:autoSpaceDE/>
              <w:autoSpaceDN/>
              <w:bidi w:val="0"/>
              <w:adjustRightInd/>
              <w:snapToGrid/>
              <w:spacing w:line="500" w:lineRule="exact"/>
              <w:ind w:firstLine="0"/>
              <w:jc w:val="center"/>
              <w:textAlignment w:val="auto"/>
              <w:rPr>
                <w:rFonts w:hint="eastAsia" w:ascii="宋体" w:hAnsi="宋体" w:eastAsia="宋体" w:cs="宋体"/>
                <w:sz w:val="24"/>
                <w:szCs w:val="24"/>
              </w:rPr>
            </w:pPr>
            <w:r>
              <w:rPr>
                <w:rFonts w:hint="eastAsia" w:ascii="宋体" w:hAnsi="宋体" w:eastAsia="宋体" w:cs="宋体"/>
                <w:color w:val="000000"/>
                <w:sz w:val="24"/>
                <w:szCs w:val="24"/>
              </w:rPr>
              <w:t>2台</w:t>
            </w:r>
          </w:p>
        </w:tc>
        <w:tc>
          <w:tcPr>
            <w:tcW w:w="2359" w:type="dxa"/>
            <w:tcBorders>
              <w:top w:val="nil"/>
              <w:left w:val="nil"/>
              <w:bottom w:val="single" w:color="000000" w:sz="4" w:space="0"/>
              <w:right w:val="single" w:color="000000" w:sz="4" w:space="0"/>
            </w:tcBorders>
            <w:tcMar>
              <w:top w:w="0" w:type="dxa"/>
              <w:left w:w="105" w:type="dxa"/>
              <w:bottom w:w="0" w:type="dxa"/>
              <w:right w:w="105" w:type="dxa"/>
            </w:tcMar>
            <w:vAlign w:val="top"/>
          </w:tcPr>
          <w:p w14:paraId="5A7917B2">
            <w:pPr>
              <w:pStyle w:val="6"/>
              <w:keepNext w:val="0"/>
              <w:keepLines w:val="0"/>
              <w:pageBreakBefore w:val="0"/>
              <w:widowControl/>
              <w:kinsoku/>
              <w:wordWrap/>
              <w:overflowPunct/>
              <w:topLinePunct w:val="0"/>
              <w:autoSpaceDE/>
              <w:autoSpaceDN/>
              <w:bidi w:val="0"/>
              <w:adjustRightInd/>
              <w:snapToGrid/>
              <w:spacing w:line="500" w:lineRule="exact"/>
              <w:ind w:firstLine="0"/>
              <w:jc w:val="center"/>
              <w:textAlignment w:val="auto"/>
              <w:rPr>
                <w:rFonts w:hint="eastAsia" w:ascii="宋体" w:hAnsi="宋体" w:eastAsia="宋体" w:cs="宋体"/>
                <w:sz w:val="24"/>
                <w:szCs w:val="24"/>
              </w:rPr>
            </w:pPr>
            <w:r>
              <w:rPr>
                <w:rFonts w:hint="eastAsia" w:ascii="宋体" w:hAnsi="宋体" w:eastAsia="宋体" w:cs="宋体"/>
                <w:color w:val="000000"/>
                <w:sz w:val="24"/>
                <w:szCs w:val="24"/>
              </w:rPr>
              <w:t>13.000000</w:t>
            </w:r>
          </w:p>
        </w:tc>
      </w:tr>
      <w:tr w14:paraId="3522D156">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99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5C71311D">
            <w:pPr>
              <w:pStyle w:val="6"/>
              <w:keepNext w:val="0"/>
              <w:keepLines w:val="0"/>
              <w:pageBreakBefore w:val="0"/>
              <w:widowControl/>
              <w:kinsoku/>
              <w:wordWrap/>
              <w:overflowPunct/>
              <w:topLinePunct w:val="0"/>
              <w:autoSpaceDE/>
              <w:autoSpaceDN/>
              <w:bidi w:val="0"/>
              <w:adjustRightInd/>
              <w:snapToGrid/>
              <w:spacing w:line="500" w:lineRule="exact"/>
              <w:ind w:firstLine="0"/>
              <w:jc w:val="center"/>
              <w:textAlignment w:val="auto"/>
              <w:rPr>
                <w:rFonts w:hint="eastAsia" w:ascii="宋体" w:hAnsi="宋体" w:eastAsia="宋体" w:cs="宋体"/>
                <w:sz w:val="24"/>
                <w:szCs w:val="24"/>
              </w:rPr>
            </w:pPr>
            <w:r>
              <w:rPr>
                <w:rFonts w:hint="eastAsia" w:ascii="宋体" w:hAnsi="宋体" w:eastAsia="宋体" w:cs="宋体"/>
                <w:color w:val="000000"/>
                <w:sz w:val="24"/>
                <w:szCs w:val="24"/>
              </w:rPr>
              <w:t>2.4</w:t>
            </w:r>
          </w:p>
        </w:tc>
        <w:tc>
          <w:tcPr>
            <w:tcW w:w="3616" w:type="dxa"/>
            <w:tcBorders>
              <w:top w:val="nil"/>
              <w:left w:val="nil"/>
              <w:bottom w:val="single" w:color="000000" w:sz="4" w:space="0"/>
              <w:right w:val="single" w:color="000000" w:sz="4" w:space="0"/>
            </w:tcBorders>
            <w:tcMar>
              <w:top w:w="0" w:type="dxa"/>
              <w:left w:w="105" w:type="dxa"/>
              <w:bottom w:w="0" w:type="dxa"/>
              <w:right w:w="105" w:type="dxa"/>
            </w:tcMar>
            <w:vAlign w:val="top"/>
          </w:tcPr>
          <w:p w14:paraId="4DA73F73">
            <w:pPr>
              <w:pStyle w:val="6"/>
              <w:keepNext w:val="0"/>
              <w:keepLines w:val="0"/>
              <w:pageBreakBefore w:val="0"/>
              <w:widowControl/>
              <w:kinsoku/>
              <w:wordWrap/>
              <w:overflowPunct/>
              <w:topLinePunct w:val="0"/>
              <w:autoSpaceDE/>
              <w:autoSpaceDN/>
              <w:bidi w:val="0"/>
              <w:adjustRightInd/>
              <w:snapToGrid/>
              <w:spacing w:line="500" w:lineRule="exact"/>
              <w:ind w:firstLine="0"/>
              <w:jc w:val="both"/>
              <w:textAlignment w:val="auto"/>
              <w:rPr>
                <w:rFonts w:hint="eastAsia" w:ascii="宋体" w:hAnsi="宋体" w:eastAsia="宋体" w:cs="宋体"/>
                <w:sz w:val="24"/>
                <w:szCs w:val="24"/>
              </w:rPr>
            </w:pPr>
            <w:r>
              <w:rPr>
                <w:rFonts w:hint="eastAsia" w:ascii="宋体" w:hAnsi="宋体" w:eastAsia="宋体" w:cs="宋体"/>
                <w:color w:val="000000"/>
                <w:sz w:val="24"/>
                <w:szCs w:val="24"/>
              </w:rPr>
              <w:t>安全浏览器</w:t>
            </w:r>
          </w:p>
        </w:tc>
        <w:tc>
          <w:tcPr>
            <w:tcW w:w="1455" w:type="dxa"/>
            <w:tcBorders>
              <w:top w:val="nil"/>
              <w:left w:val="nil"/>
              <w:bottom w:val="single" w:color="000000" w:sz="4" w:space="0"/>
              <w:right w:val="single" w:color="000000" w:sz="4" w:space="0"/>
            </w:tcBorders>
            <w:tcMar>
              <w:top w:w="0" w:type="dxa"/>
              <w:left w:w="105" w:type="dxa"/>
              <w:bottom w:w="0" w:type="dxa"/>
              <w:right w:w="105" w:type="dxa"/>
            </w:tcMar>
            <w:vAlign w:val="top"/>
          </w:tcPr>
          <w:p w14:paraId="068A7031">
            <w:pPr>
              <w:pStyle w:val="6"/>
              <w:keepNext w:val="0"/>
              <w:keepLines w:val="0"/>
              <w:pageBreakBefore w:val="0"/>
              <w:widowControl/>
              <w:kinsoku/>
              <w:wordWrap/>
              <w:overflowPunct/>
              <w:topLinePunct w:val="0"/>
              <w:autoSpaceDE/>
              <w:autoSpaceDN/>
              <w:bidi w:val="0"/>
              <w:adjustRightInd/>
              <w:snapToGrid/>
              <w:spacing w:line="500" w:lineRule="exact"/>
              <w:ind w:firstLine="0"/>
              <w:jc w:val="center"/>
              <w:textAlignment w:val="auto"/>
              <w:rPr>
                <w:rFonts w:hint="eastAsia" w:ascii="宋体" w:hAnsi="宋体" w:eastAsia="宋体" w:cs="宋体"/>
                <w:sz w:val="24"/>
                <w:szCs w:val="24"/>
              </w:rPr>
            </w:pPr>
            <w:r>
              <w:rPr>
                <w:rFonts w:hint="eastAsia" w:ascii="宋体" w:hAnsi="宋体" w:eastAsia="宋体" w:cs="宋体"/>
                <w:color w:val="000000"/>
                <w:sz w:val="24"/>
                <w:szCs w:val="24"/>
              </w:rPr>
              <w:t>350套</w:t>
            </w:r>
          </w:p>
        </w:tc>
        <w:tc>
          <w:tcPr>
            <w:tcW w:w="2359" w:type="dxa"/>
            <w:tcBorders>
              <w:top w:val="nil"/>
              <w:left w:val="nil"/>
              <w:bottom w:val="single" w:color="000000" w:sz="4" w:space="0"/>
              <w:right w:val="single" w:color="000000" w:sz="4" w:space="0"/>
            </w:tcBorders>
            <w:tcMar>
              <w:top w:w="0" w:type="dxa"/>
              <w:left w:w="105" w:type="dxa"/>
              <w:bottom w:w="0" w:type="dxa"/>
              <w:right w:w="105" w:type="dxa"/>
            </w:tcMar>
            <w:vAlign w:val="top"/>
          </w:tcPr>
          <w:p w14:paraId="7E0E7F06">
            <w:pPr>
              <w:pStyle w:val="6"/>
              <w:keepNext w:val="0"/>
              <w:keepLines w:val="0"/>
              <w:pageBreakBefore w:val="0"/>
              <w:widowControl/>
              <w:kinsoku/>
              <w:wordWrap/>
              <w:overflowPunct/>
              <w:topLinePunct w:val="0"/>
              <w:autoSpaceDE/>
              <w:autoSpaceDN/>
              <w:bidi w:val="0"/>
              <w:adjustRightInd/>
              <w:snapToGrid/>
              <w:spacing w:line="500" w:lineRule="exact"/>
              <w:ind w:firstLine="0"/>
              <w:jc w:val="center"/>
              <w:textAlignment w:val="auto"/>
              <w:rPr>
                <w:rFonts w:hint="eastAsia" w:ascii="宋体" w:hAnsi="宋体" w:eastAsia="宋体" w:cs="宋体"/>
                <w:sz w:val="24"/>
                <w:szCs w:val="24"/>
              </w:rPr>
            </w:pPr>
            <w:r>
              <w:rPr>
                <w:rFonts w:hint="eastAsia" w:ascii="宋体" w:hAnsi="宋体" w:eastAsia="宋体" w:cs="宋体"/>
                <w:color w:val="000000"/>
                <w:sz w:val="24"/>
                <w:szCs w:val="24"/>
              </w:rPr>
              <w:t>5.250000</w:t>
            </w:r>
          </w:p>
        </w:tc>
      </w:tr>
      <w:tr w14:paraId="4CC50916">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99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2C82C57F">
            <w:pPr>
              <w:pStyle w:val="6"/>
              <w:keepNext w:val="0"/>
              <w:keepLines w:val="0"/>
              <w:pageBreakBefore w:val="0"/>
              <w:widowControl/>
              <w:kinsoku/>
              <w:wordWrap/>
              <w:overflowPunct/>
              <w:topLinePunct w:val="0"/>
              <w:autoSpaceDE/>
              <w:autoSpaceDN/>
              <w:bidi w:val="0"/>
              <w:adjustRightInd/>
              <w:snapToGrid/>
              <w:spacing w:line="500" w:lineRule="exact"/>
              <w:ind w:firstLine="0"/>
              <w:jc w:val="center"/>
              <w:textAlignment w:val="auto"/>
              <w:rPr>
                <w:rFonts w:hint="eastAsia" w:ascii="宋体" w:hAnsi="宋体" w:eastAsia="宋体" w:cs="宋体"/>
                <w:sz w:val="24"/>
                <w:szCs w:val="24"/>
              </w:rPr>
            </w:pPr>
            <w:r>
              <w:rPr>
                <w:rFonts w:hint="eastAsia" w:ascii="宋体" w:hAnsi="宋体" w:eastAsia="宋体" w:cs="宋体"/>
                <w:color w:val="000000"/>
                <w:sz w:val="24"/>
                <w:szCs w:val="24"/>
              </w:rPr>
              <w:t>2.5</w:t>
            </w:r>
          </w:p>
        </w:tc>
        <w:tc>
          <w:tcPr>
            <w:tcW w:w="3616" w:type="dxa"/>
            <w:tcBorders>
              <w:top w:val="nil"/>
              <w:left w:val="nil"/>
              <w:bottom w:val="single" w:color="000000" w:sz="4" w:space="0"/>
              <w:right w:val="single" w:color="000000" w:sz="4" w:space="0"/>
            </w:tcBorders>
            <w:tcMar>
              <w:top w:w="0" w:type="dxa"/>
              <w:left w:w="105" w:type="dxa"/>
              <w:bottom w:w="0" w:type="dxa"/>
              <w:right w:w="105" w:type="dxa"/>
            </w:tcMar>
            <w:vAlign w:val="top"/>
          </w:tcPr>
          <w:p w14:paraId="79D3D9EA">
            <w:pPr>
              <w:pStyle w:val="6"/>
              <w:keepNext w:val="0"/>
              <w:keepLines w:val="0"/>
              <w:pageBreakBefore w:val="0"/>
              <w:widowControl/>
              <w:kinsoku/>
              <w:wordWrap/>
              <w:overflowPunct/>
              <w:topLinePunct w:val="0"/>
              <w:autoSpaceDE/>
              <w:autoSpaceDN/>
              <w:bidi w:val="0"/>
              <w:adjustRightInd/>
              <w:snapToGrid/>
              <w:spacing w:line="500" w:lineRule="exact"/>
              <w:ind w:firstLine="0"/>
              <w:jc w:val="left"/>
              <w:textAlignment w:val="auto"/>
              <w:rPr>
                <w:rFonts w:hint="eastAsia" w:ascii="宋体" w:hAnsi="宋体" w:eastAsia="宋体" w:cs="宋体"/>
                <w:sz w:val="24"/>
                <w:szCs w:val="24"/>
              </w:rPr>
            </w:pPr>
            <w:r>
              <w:rPr>
                <w:rFonts w:hint="eastAsia" w:ascii="宋体" w:hAnsi="宋体" w:eastAsia="宋体" w:cs="宋体"/>
                <w:color w:val="000000"/>
                <w:sz w:val="24"/>
                <w:szCs w:val="24"/>
              </w:rPr>
              <w:t>个人证书（含USBKEY）</w:t>
            </w:r>
          </w:p>
        </w:tc>
        <w:tc>
          <w:tcPr>
            <w:tcW w:w="1455" w:type="dxa"/>
            <w:tcBorders>
              <w:top w:val="nil"/>
              <w:left w:val="nil"/>
              <w:bottom w:val="single" w:color="000000" w:sz="4" w:space="0"/>
              <w:right w:val="single" w:color="000000" w:sz="4" w:space="0"/>
            </w:tcBorders>
            <w:tcMar>
              <w:top w:w="0" w:type="dxa"/>
              <w:left w:w="105" w:type="dxa"/>
              <w:bottom w:w="0" w:type="dxa"/>
              <w:right w:w="105" w:type="dxa"/>
            </w:tcMar>
            <w:vAlign w:val="top"/>
          </w:tcPr>
          <w:p w14:paraId="64756D9B">
            <w:pPr>
              <w:pStyle w:val="6"/>
              <w:keepNext w:val="0"/>
              <w:keepLines w:val="0"/>
              <w:pageBreakBefore w:val="0"/>
              <w:widowControl/>
              <w:kinsoku/>
              <w:wordWrap/>
              <w:overflowPunct/>
              <w:topLinePunct w:val="0"/>
              <w:autoSpaceDE/>
              <w:autoSpaceDN/>
              <w:bidi w:val="0"/>
              <w:adjustRightInd/>
              <w:snapToGrid/>
              <w:spacing w:line="500" w:lineRule="exact"/>
              <w:ind w:firstLine="0"/>
              <w:jc w:val="center"/>
              <w:textAlignment w:val="auto"/>
              <w:rPr>
                <w:rFonts w:hint="eastAsia" w:ascii="宋体" w:hAnsi="宋体" w:eastAsia="宋体" w:cs="宋体"/>
                <w:sz w:val="24"/>
                <w:szCs w:val="24"/>
              </w:rPr>
            </w:pPr>
            <w:r>
              <w:rPr>
                <w:rFonts w:hint="eastAsia" w:ascii="宋体" w:hAnsi="宋体" w:eastAsia="宋体" w:cs="宋体"/>
                <w:color w:val="000000"/>
                <w:sz w:val="24"/>
                <w:szCs w:val="24"/>
              </w:rPr>
              <w:t>3000套</w:t>
            </w:r>
          </w:p>
        </w:tc>
        <w:tc>
          <w:tcPr>
            <w:tcW w:w="2359" w:type="dxa"/>
            <w:tcBorders>
              <w:top w:val="nil"/>
              <w:left w:val="nil"/>
              <w:bottom w:val="single" w:color="000000" w:sz="4" w:space="0"/>
              <w:right w:val="single" w:color="000000" w:sz="4" w:space="0"/>
            </w:tcBorders>
            <w:tcMar>
              <w:top w:w="0" w:type="dxa"/>
              <w:left w:w="105" w:type="dxa"/>
              <w:bottom w:w="0" w:type="dxa"/>
              <w:right w:w="105" w:type="dxa"/>
            </w:tcMar>
            <w:vAlign w:val="top"/>
          </w:tcPr>
          <w:p w14:paraId="541042E9">
            <w:pPr>
              <w:pStyle w:val="6"/>
              <w:keepNext w:val="0"/>
              <w:keepLines w:val="0"/>
              <w:pageBreakBefore w:val="0"/>
              <w:widowControl/>
              <w:kinsoku/>
              <w:wordWrap/>
              <w:overflowPunct/>
              <w:topLinePunct w:val="0"/>
              <w:autoSpaceDE/>
              <w:autoSpaceDN/>
              <w:bidi w:val="0"/>
              <w:adjustRightInd/>
              <w:snapToGrid/>
              <w:spacing w:line="500" w:lineRule="exact"/>
              <w:ind w:firstLine="0"/>
              <w:jc w:val="center"/>
              <w:textAlignment w:val="auto"/>
              <w:rPr>
                <w:rFonts w:hint="eastAsia" w:ascii="宋体" w:hAnsi="宋体" w:eastAsia="宋体" w:cs="宋体"/>
                <w:sz w:val="24"/>
                <w:szCs w:val="24"/>
              </w:rPr>
            </w:pPr>
            <w:r>
              <w:rPr>
                <w:rFonts w:hint="eastAsia" w:ascii="宋体" w:hAnsi="宋体" w:eastAsia="宋体" w:cs="宋体"/>
                <w:color w:val="000000"/>
                <w:sz w:val="24"/>
                <w:szCs w:val="24"/>
              </w:rPr>
              <w:t>19.500000</w:t>
            </w:r>
          </w:p>
        </w:tc>
      </w:tr>
      <w:tr w14:paraId="3CD62295">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99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1A7E4AFE">
            <w:pPr>
              <w:pStyle w:val="6"/>
              <w:keepNext w:val="0"/>
              <w:keepLines w:val="0"/>
              <w:pageBreakBefore w:val="0"/>
              <w:widowControl/>
              <w:kinsoku/>
              <w:wordWrap/>
              <w:overflowPunct/>
              <w:topLinePunct w:val="0"/>
              <w:autoSpaceDE/>
              <w:autoSpaceDN/>
              <w:bidi w:val="0"/>
              <w:adjustRightInd/>
              <w:snapToGrid/>
              <w:spacing w:line="500" w:lineRule="exact"/>
              <w:ind w:firstLine="0"/>
              <w:jc w:val="center"/>
              <w:textAlignment w:val="auto"/>
              <w:rPr>
                <w:rFonts w:hint="eastAsia" w:ascii="宋体" w:hAnsi="宋体" w:eastAsia="宋体" w:cs="宋体"/>
                <w:sz w:val="24"/>
                <w:szCs w:val="24"/>
              </w:rPr>
            </w:pPr>
            <w:r>
              <w:rPr>
                <w:rFonts w:hint="eastAsia" w:ascii="宋体" w:hAnsi="宋体" w:eastAsia="宋体" w:cs="宋体"/>
                <w:color w:val="000000"/>
                <w:sz w:val="24"/>
                <w:szCs w:val="24"/>
              </w:rPr>
              <w:t>2.6</w:t>
            </w:r>
          </w:p>
        </w:tc>
        <w:tc>
          <w:tcPr>
            <w:tcW w:w="3616" w:type="dxa"/>
            <w:tcBorders>
              <w:top w:val="nil"/>
              <w:left w:val="nil"/>
              <w:bottom w:val="single" w:color="000000" w:sz="4" w:space="0"/>
              <w:right w:val="single" w:color="000000" w:sz="4" w:space="0"/>
            </w:tcBorders>
            <w:tcMar>
              <w:top w:w="0" w:type="dxa"/>
              <w:left w:w="105" w:type="dxa"/>
              <w:bottom w:w="0" w:type="dxa"/>
              <w:right w:w="105" w:type="dxa"/>
            </w:tcMar>
            <w:vAlign w:val="top"/>
          </w:tcPr>
          <w:p w14:paraId="067FA5B6">
            <w:pPr>
              <w:pStyle w:val="6"/>
              <w:keepNext w:val="0"/>
              <w:keepLines w:val="0"/>
              <w:pageBreakBefore w:val="0"/>
              <w:widowControl/>
              <w:kinsoku/>
              <w:wordWrap/>
              <w:overflowPunct/>
              <w:topLinePunct w:val="0"/>
              <w:autoSpaceDE/>
              <w:autoSpaceDN/>
              <w:bidi w:val="0"/>
              <w:adjustRightInd/>
              <w:snapToGrid/>
              <w:spacing w:line="500" w:lineRule="exact"/>
              <w:ind w:firstLine="0"/>
              <w:jc w:val="both"/>
              <w:textAlignment w:val="auto"/>
              <w:rPr>
                <w:rFonts w:hint="eastAsia" w:ascii="宋体" w:hAnsi="宋体" w:eastAsia="宋体" w:cs="宋体"/>
                <w:sz w:val="24"/>
                <w:szCs w:val="24"/>
              </w:rPr>
            </w:pPr>
            <w:r>
              <w:rPr>
                <w:rFonts w:hint="eastAsia" w:ascii="宋体" w:hAnsi="宋体" w:eastAsia="宋体" w:cs="宋体"/>
                <w:color w:val="000000"/>
                <w:sz w:val="24"/>
                <w:szCs w:val="24"/>
              </w:rPr>
              <w:t>国密SSL证书</w:t>
            </w:r>
          </w:p>
        </w:tc>
        <w:tc>
          <w:tcPr>
            <w:tcW w:w="1455" w:type="dxa"/>
            <w:tcBorders>
              <w:top w:val="nil"/>
              <w:left w:val="nil"/>
              <w:bottom w:val="single" w:color="000000" w:sz="4" w:space="0"/>
              <w:right w:val="single" w:color="000000" w:sz="4" w:space="0"/>
            </w:tcBorders>
            <w:tcMar>
              <w:top w:w="0" w:type="dxa"/>
              <w:left w:w="105" w:type="dxa"/>
              <w:bottom w:w="0" w:type="dxa"/>
              <w:right w:w="105" w:type="dxa"/>
            </w:tcMar>
            <w:vAlign w:val="top"/>
          </w:tcPr>
          <w:p w14:paraId="192C1812">
            <w:pPr>
              <w:pStyle w:val="6"/>
              <w:keepNext w:val="0"/>
              <w:keepLines w:val="0"/>
              <w:pageBreakBefore w:val="0"/>
              <w:widowControl/>
              <w:kinsoku/>
              <w:wordWrap/>
              <w:overflowPunct/>
              <w:topLinePunct w:val="0"/>
              <w:autoSpaceDE/>
              <w:autoSpaceDN/>
              <w:bidi w:val="0"/>
              <w:adjustRightInd/>
              <w:snapToGrid/>
              <w:spacing w:line="500" w:lineRule="exact"/>
              <w:ind w:firstLine="0"/>
              <w:jc w:val="center"/>
              <w:textAlignment w:val="auto"/>
              <w:rPr>
                <w:rFonts w:hint="eastAsia" w:ascii="宋体" w:hAnsi="宋体" w:eastAsia="宋体" w:cs="宋体"/>
                <w:sz w:val="24"/>
                <w:szCs w:val="24"/>
              </w:rPr>
            </w:pPr>
            <w:r>
              <w:rPr>
                <w:rFonts w:hint="eastAsia" w:ascii="宋体" w:hAnsi="宋体" w:eastAsia="宋体" w:cs="宋体"/>
                <w:color w:val="000000"/>
                <w:sz w:val="24"/>
                <w:szCs w:val="24"/>
              </w:rPr>
              <w:t>30个</w:t>
            </w:r>
          </w:p>
        </w:tc>
        <w:tc>
          <w:tcPr>
            <w:tcW w:w="2359" w:type="dxa"/>
            <w:tcBorders>
              <w:top w:val="nil"/>
              <w:left w:val="nil"/>
              <w:bottom w:val="single" w:color="000000" w:sz="4" w:space="0"/>
              <w:right w:val="single" w:color="000000" w:sz="4" w:space="0"/>
            </w:tcBorders>
            <w:tcMar>
              <w:top w:w="0" w:type="dxa"/>
              <w:left w:w="105" w:type="dxa"/>
              <w:bottom w:w="0" w:type="dxa"/>
              <w:right w:w="105" w:type="dxa"/>
            </w:tcMar>
            <w:vAlign w:val="top"/>
          </w:tcPr>
          <w:p w14:paraId="1AEA1B99">
            <w:pPr>
              <w:pStyle w:val="6"/>
              <w:keepNext w:val="0"/>
              <w:keepLines w:val="0"/>
              <w:pageBreakBefore w:val="0"/>
              <w:widowControl/>
              <w:kinsoku/>
              <w:wordWrap/>
              <w:overflowPunct/>
              <w:topLinePunct w:val="0"/>
              <w:autoSpaceDE/>
              <w:autoSpaceDN/>
              <w:bidi w:val="0"/>
              <w:adjustRightInd/>
              <w:snapToGrid/>
              <w:spacing w:line="500" w:lineRule="exact"/>
              <w:ind w:firstLine="0"/>
              <w:jc w:val="center"/>
              <w:textAlignment w:val="auto"/>
              <w:rPr>
                <w:rFonts w:hint="eastAsia" w:ascii="宋体" w:hAnsi="宋体" w:eastAsia="宋体" w:cs="宋体"/>
                <w:sz w:val="24"/>
                <w:szCs w:val="24"/>
              </w:rPr>
            </w:pPr>
            <w:r>
              <w:rPr>
                <w:rFonts w:hint="eastAsia" w:ascii="宋体" w:hAnsi="宋体" w:eastAsia="宋体" w:cs="宋体"/>
                <w:color w:val="000000"/>
                <w:sz w:val="24"/>
                <w:szCs w:val="24"/>
              </w:rPr>
              <w:t>19.500000</w:t>
            </w:r>
          </w:p>
        </w:tc>
      </w:tr>
      <w:tr w14:paraId="58ADC0DC">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99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7936D22D">
            <w:pPr>
              <w:pStyle w:val="6"/>
              <w:keepNext w:val="0"/>
              <w:keepLines w:val="0"/>
              <w:pageBreakBefore w:val="0"/>
              <w:widowControl/>
              <w:kinsoku/>
              <w:wordWrap/>
              <w:overflowPunct/>
              <w:topLinePunct w:val="0"/>
              <w:autoSpaceDE/>
              <w:autoSpaceDN/>
              <w:bidi w:val="0"/>
              <w:adjustRightInd/>
              <w:snapToGrid/>
              <w:spacing w:line="500" w:lineRule="exact"/>
              <w:ind w:firstLine="0"/>
              <w:jc w:val="center"/>
              <w:textAlignment w:val="auto"/>
              <w:rPr>
                <w:rFonts w:hint="eastAsia" w:ascii="宋体" w:hAnsi="宋体" w:eastAsia="宋体" w:cs="宋体"/>
                <w:sz w:val="24"/>
                <w:szCs w:val="24"/>
              </w:rPr>
            </w:pPr>
            <w:r>
              <w:rPr>
                <w:rFonts w:hint="eastAsia" w:ascii="宋体" w:hAnsi="宋体" w:eastAsia="宋体" w:cs="宋体"/>
                <w:color w:val="000000"/>
                <w:sz w:val="24"/>
                <w:szCs w:val="24"/>
              </w:rPr>
              <w:t>2.7</w:t>
            </w:r>
          </w:p>
        </w:tc>
        <w:tc>
          <w:tcPr>
            <w:tcW w:w="3616" w:type="dxa"/>
            <w:tcBorders>
              <w:top w:val="nil"/>
              <w:left w:val="nil"/>
              <w:bottom w:val="single" w:color="000000" w:sz="4" w:space="0"/>
              <w:right w:val="single" w:color="000000" w:sz="4" w:space="0"/>
            </w:tcBorders>
            <w:tcMar>
              <w:top w:w="0" w:type="dxa"/>
              <w:left w:w="105" w:type="dxa"/>
              <w:bottom w:w="0" w:type="dxa"/>
              <w:right w:w="105" w:type="dxa"/>
            </w:tcMar>
            <w:vAlign w:val="top"/>
          </w:tcPr>
          <w:p w14:paraId="56A5F479">
            <w:pPr>
              <w:pStyle w:val="6"/>
              <w:keepNext w:val="0"/>
              <w:keepLines w:val="0"/>
              <w:pageBreakBefore w:val="0"/>
              <w:widowControl/>
              <w:kinsoku/>
              <w:wordWrap/>
              <w:overflowPunct/>
              <w:topLinePunct w:val="0"/>
              <w:autoSpaceDE/>
              <w:autoSpaceDN/>
              <w:bidi w:val="0"/>
              <w:adjustRightInd/>
              <w:snapToGrid/>
              <w:spacing w:line="500" w:lineRule="exact"/>
              <w:ind w:firstLine="0"/>
              <w:jc w:val="both"/>
              <w:textAlignment w:val="auto"/>
              <w:rPr>
                <w:rFonts w:hint="eastAsia" w:ascii="宋体" w:hAnsi="宋体" w:eastAsia="宋体" w:cs="宋体"/>
                <w:sz w:val="24"/>
                <w:szCs w:val="24"/>
              </w:rPr>
            </w:pPr>
            <w:r>
              <w:rPr>
                <w:rFonts w:hint="eastAsia" w:ascii="宋体" w:hAnsi="宋体" w:eastAsia="宋体" w:cs="宋体"/>
                <w:color w:val="000000"/>
                <w:sz w:val="24"/>
                <w:szCs w:val="24"/>
              </w:rPr>
              <w:t>安全视频监控管理一体化平台</w:t>
            </w:r>
          </w:p>
        </w:tc>
        <w:tc>
          <w:tcPr>
            <w:tcW w:w="1455" w:type="dxa"/>
            <w:tcBorders>
              <w:top w:val="nil"/>
              <w:left w:val="nil"/>
              <w:bottom w:val="single" w:color="000000" w:sz="4" w:space="0"/>
              <w:right w:val="single" w:color="000000" w:sz="4" w:space="0"/>
            </w:tcBorders>
            <w:tcMar>
              <w:top w:w="0" w:type="dxa"/>
              <w:left w:w="105" w:type="dxa"/>
              <w:bottom w:w="0" w:type="dxa"/>
              <w:right w:w="105" w:type="dxa"/>
            </w:tcMar>
            <w:vAlign w:val="top"/>
          </w:tcPr>
          <w:p w14:paraId="377B5878">
            <w:pPr>
              <w:pStyle w:val="6"/>
              <w:keepNext w:val="0"/>
              <w:keepLines w:val="0"/>
              <w:pageBreakBefore w:val="0"/>
              <w:widowControl/>
              <w:kinsoku/>
              <w:wordWrap/>
              <w:overflowPunct/>
              <w:topLinePunct w:val="0"/>
              <w:autoSpaceDE/>
              <w:autoSpaceDN/>
              <w:bidi w:val="0"/>
              <w:adjustRightInd/>
              <w:snapToGrid/>
              <w:spacing w:line="500" w:lineRule="exact"/>
              <w:ind w:firstLine="0"/>
              <w:jc w:val="center"/>
              <w:textAlignment w:val="auto"/>
              <w:rPr>
                <w:rFonts w:hint="eastAsia" w:ascii="宋体" w:hAnsi="宋体" w:eastAsia="宋体" w:cs="宋体"/>
                <w:sz w:val="24"/>
                <w:szCs w:val="24"/>
              </w:rPr>
            </w:pPr>
            <w:r>
              <w:rPr>
                <w:rFonts w:hint="eastAsia" w:ascii="宋体" w:hAnsi="宋体" w:eastAsia="宋体" w:cs="宋体"/>
                <w:color w:val="000000"/>
                <w:sz w:val="24"/>
                <w:szCs w:val="24"/>
              </w:rPr>
              <w:t>1套</w:t>
            </w:r>
          </w:p>
        </w:tc>
        <w:tc>
          <w:tcPr>
            <w:tcW w:w="2359" w:type="dxa"/>
            <w:tcBorders>
              <w:top w:val="nil"/>
              <w:left w:val="nil"/>
              <w:bottom w:val="single" w:color="000000" w:sz="4" w:space="0"/>
              <w:right w:val="single" w:color="000000" w:sz="4" w:space="0"/>
            </w:tcBorders>
            <w:tcMar>
              <w:top w:w="0" w:type="dxa"/>
              <w:left w:w="105" w:type="dxa"/>
              <w:bottom w:w="0" w:type="dxa"/>
              <w:right w:w="105" w:type="dxa"/>
            </w:tcMar>
            <w:vAlign w:val="top"/>
          </w:tcPr>
          <w:p w14:paraId="3DF8C59D">
            <w:pPr>
              <w:pStyle w:val="6"/>
              <w:keepNext w:val="0"/>
              <w:keepLines w:val="0"/>
              <w:pageBreakBefore w:val="0"/>
              <w:widowControl/>
              <w:kinsoku/>
              <w:wordWrap/>
              <w:overflowPunct/>
              <w:topLinePunct w:val="0"/>
              <w:autoSpaceDE/>
              <w:autoSpaceDN/>
              <w:bidi w:val="0"/>
              <w:adjustRightInd/>
              <w:snapToGrid/>
              <w:spacing w:line="500" w:lineRule="exact"/>
              <w:ind w:firstLine="0"/>
              <w:jc w:val="center"/>
              <w:textAlignment w:val="auto"/>
              <w:rPr>
                <w:rFonts w:hint="eastAsia" w:ascii="宋体" w:hAnsi="宋体" w:eastAsia="宋体" w:cs="宋体"/>
                <w:sz w:val="24"/>
                <w:szCs w:val="24"/>
              </w:rPr>
            </w:pPr>
            <w:r>
              <w:rPr>
                <w:rFonts w:hint="eastAsia" w:ascii="宋体" w:hAnsi="宋体" w:eastAsia="宋体" w:cs="宋体"/>
                <w:color w:val="000000"/>
                <w:sz w:val="24"/>
                <w:szCs w:val="24"/>
              </w:rPr>
              <w:t>3.800000</w:t>
            </w:r>
          </w:p>
        </w:tc>
      </w:tr>
      <w:tr w14:paraId="5B8AC16A">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99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6B7DB47D">
            <w:pPr>
              <w:pStyle w:val="6"/>
              <w:keepNext w:val="0"/>
              <w:keepLines w:val="0"/>
              <w:pageBreakBefore w:val="0"/>
              <w:widowControl/>
              <w:kinsoku/>
              <w:wordWrap/>
              <w:overflowPunct/>
              <w:topLinePunct w:val="0"/>
              <w:autoSpaceDE/>
              <w:autoSpaceDN/>
              <w:bidi w:val="0"/>
              <w:adjustRightInd/>
              <w:snapToGrid/>
              <w:spacing w:line="500" w:lineRule="exact"/>
              <w:ind w:firstLine="0"/>
              <w:jc w:val="center"/>
              <w:textAlignment w:val="auto"/>
              <w:rPr>
                <w:rFonts w:hint="eastAsia" w:ascii="宋体" w:hAnsi="宋体" w:eastAsia="宋体" w:cs="宋体"/>
                <w:sz w:val="24"/>
                <w:szCs w:val="24"/>
              </w:rPr>
            </w:pPr>
            <w:r>
              <w:rPr>
                <w:rFonts w:hint="eastAsia" w:ascii="宋体" w:hAnsi="宋体" w:eastAsia="宋体" w:cs="宋体"/>
                <w:color w:val="000000"/>
                <w:sz w:val="24"/>
                <w:szCs w:val="24"/>
              </w:rPr>
              <w:t>2.8</w:t>
            </w:r>
          </w:p>
        </w:tc>
        <w:tc>
          <w:tcPr>
            <w:tcW w:w="3616" w:type="dxa"/>
            <w:tcBorders>
              <w:top w:val="nil"/>
              <w:left w:val="nil"/>
              <w:bottom w:val="single" w:color="000000" w:sz="4" w:space="0"/>
              <w:right w:val="single" w:color="000000" w:sz="4" w:space="0"/>
            </w:tcBorders>
            <w:tcMar>
              <w:top w:w="0" w:type="dxa"/>
              <w:left w:w="105" w:type="dxa"/>
              <w:bottom w:w="0" w:type="dxa"/>
              <w:right w:w="105" w:type="dxa"/>
            </w:tcMar>
            <w:vAlign w:val="top"/>
          </w:tcPr>
          <w:p w14:paraId="29F34DF5">
            <w:pPr>
              <w:pStyle w:val="6"/>
              <w:keepNext w:val="0"/>
              <w:keepLines w:val="0"/>
              <w:pageBreakBefore w:val="0"/>
              <w:widowControl/>
              <w:kinsoku/>
              <w:wordWrap/>
              <w:overflowPunct/>
              <w:topLinePunct w:val="0"/>
              <w:autoSpaceDE/>
              <w:autoSpaceDN/>
              <w:bidi w:val="0"/>
              <w:adjustRightInd/>
              <w:snapToGrid/>
              <w:spacing w:line="500" w:lineRule="exact"/>
              <w:ind w:firstLine="0"/>
              <w:jc w:val="both"/>
              <w:textAlignment w:val="auto"/>
              <w:rPr>
                <w:rFonts w:hint="eastAsia" w:ascii="宋体" w:hAnsi="宋体" w:eastAsia="宋体" w:cs="宋体"/>
                <w:sz w:val="24"/>
                <w:szCs w:val="24"/>
              </w:rPr>
            </w:pPr>
            <w:r>
              <w:rPr>
                <w:rFonts w:hint="eastAsia" w:ascii="宋体" w:hAnsi="宋体" w:eastAsia="宋体" w:cs="宋体"/>
                <w:color w:val="000000"/>
                <w:sz w:val="24"/>
                <w:szCs w:val="24"/>
              </w:rPr>
              <w:t>国密门禁</w:t>
            </w:r>
          </w:p>
        </w:tc>
        <w:tc>
          <w:tcPr>
            <w:tcW w:w="1455" w:type="dxa"/>
            <w:tcBorders>
              <w:top w:val="nil"/>
              <w:left w:val="nil"/>
              <w:bottom w:val="single" w:color="000000" w:sz="4" w:space="0"/>
              <w:right w:val="single" w:color="000000" w:sz="4" w:space="0"/>
            </w:tcBorders>
            <w:tcMar>
              <w:top w:w="0" w:type="dxa"/>
              <w:left w:w="105" w:type="dxa"/>
              <w:bottom w:w="0" w:type="dxa"/>
              <w:right w:w="105" w:type="dxa"/>
            </w:tcMar>
            <w:vAlign w:val="top"/>
          </w:tcPr>
          <w:p w14:paraId="70A9BF3B">
            <w:pPr>
              <w:pStyle w:val="6"/>
              <w:keepNext w:val="0"/>
              <w:keepLines w:val="0"/>
              <w:pageBreakBefore w:val="0"/>
              <w:widowControl/>
              <w:kinsoku/>
              <w:wordWrap/>
              <w:overflowPunct/>
              <w:topLinePunct w:val="0"/>
              <w:autoSpaceDE/>
              <w:autoSpaceDN/>
              <w:bidi w:val="0"/>
              <w:adjustRightInd/>
              <w:snapToGrid/>
              <w:spacing w:line="500" w:lineRule="exact"/>
              <w:ind w:firstLine="0"/>
              <w:jc w:val="center"/>
              <w:textAlignment w:val="auto"/>
              <w:rPr>
                <w:rFonts w:hint="eastAsia" w:ascii="宋体" w:hAnsi="宋体" w:eastAsia="宋体" w:cs="宋体"/>
                <w:sz w:val="24"/>
                <w:szCs w:val="24"/>
              </w:rPr>
            </w:pPr>
            <w:r>
              <w:rPr>
                <w:rFonts w:hint="eastAsia" w:ascii="宋体" w:hAnsi="宋体" w:eastAsia="宋体" w:cs="宋体"/>
                <w:color w:val="000000"/>
                <w:sz w:val="24"/>
                <w:szCs w:val="24"/>
              </w:rPr>
              <w:t>2台</w:t>
            </w:r>
          </w:p>
        </w:tc>
        <w:tc>
          <w:tcPr>
            <w:tcW w:w="2359" w:type="dxa"/>
            <w:tcBorders>
              <w:top w:val="nil"/>
              <w:left w:val="nil"/>
              <w:bottom w:val="single" w:color="000000" w:sz="4" w:space="0"/>
              <w:right w:val="single" w:color="000000" w:sz="4" w:space="0"/>
            </w:tcBorders>
            <w:tcMar>
              <w:top w:w="0" w:type="dxa"/>
              <w:left w:w="105" w:type="dxa"/>
              <w:bottom w:w="0" w:type="dxa"/>
              <w:right w:w="105" w:type="dxa"/>
            </w:tcMar>
            <w:vAlign w:val="top"/>
          </w:tcPr>
          <w:p w14:paraId="4EA759E1">
            <w:pPr>
              <w:pStyle w:val="6"/>
              <w:keepNext w:val="0"/>
              <w:keepLines w:val="0"/>
              <w:pageBreakBefore w:val="0"/>
              <w:widowControl/>
              <w:kinsoku/>
              <w:wordWrap/>
              <w:overflowPunct/>
              <w:topLinePunct w:val="0"/>
              <w:autoSpaceDE/>
              <w:autoSpaceDN/>
              <w:bidi w:val="0"/>
              <w:adjustRightInd/>
              <w:snapToGrid/>
              <w:spacing w:line="500" w:lineRule="exact"/>
              <w:ind w:firstLine="0"/>
              <w:jc w:val="center"/>
              <w:textAlignment w:val="auto"/>
              <w:rPr>
                <w:rFonts w:hint="eastAsia" w:ascii="宋体" w:hAnsi="宋体" w:eastAsia="宋体" w:cs="宋体"/>
                <w:sz w:val="24"/>
                <w:szCs w:val="24"/>
              </w:rPr>
            </w:pPr>
            <w:r>
              <w:rPr>
                <w:rFonts w:hint="eastAsia" w:ascii="宋体" w:hAnsi="宋体" w:eastAsia="宋体" w:cs="宋体"/>
                <w:color w:val="000000"/>
                <w:sz w:val="24"/>
                <w:szCs w:val="24"/>
              </w:rPr>
              <w:t>0.080000</w:t>
            </w:r>
          </w:p>
        </w:tc>
      </w:tr>
      <w:tr w14:paraId="063184AD">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99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7E95A92">
            <w:pPr>
              <w:pStyle w:val="6"/>
              <w:keepNext w:val="0"/>
              <w:keepLines w:val="0"/>
              <w:pageBreakBefore w:val="0"/>
              <w:widowControl/>
              <w:kinsoku/>
              <w:wordWrap/>
              <w:overflowPunct/>
              <w:topLinePunct w:val="0"/>
              <w:autoSpaceDE/>
              <w:autoSpaceDN/>
              <w:bidi w:val="0"/>
              <w:adjustRightInd/>
              <w:snapToGrid/>
              <w:spacing w:line="500" w:lineRule="exact"/>
              <w:ind w:firstLine="0"/>
              <w:jc w:val="center"/>
              <w:textAlignment w:val="auto"/>
              <w:rPr>
                <w:rFonts w:hint="eastAsia" w:ascii="宋体" w:hAnsi="宋体" w:eastAsia="宋体" w:cs="宋体"/>
                <w:sz w:val="24"/>
                <w:szCs w:val="24"/>
              </w:rPr>
            </w:pPr>
            <w:r>
              <w:rPr>
                <w:rFonts w:hint="eastAsia" w:ascii="宋体" w:hAnsi="宋体" w:eastAsia="宋体" w:cs="宋体"/>
                <w:color w:val="000000"/>
                <w:sz w:val="24"/>
                <w:szCs w:val="24"/>
              </w:rPr>
              <w:t>2.9</w:t>
            </w:r>
          </w:p>
        </w:tc>
        <w:tc>
          <w:tcPr>
            <w:tcW w:w="3616" w:type="dxa"/>
            <w:tcBorders>
              <w:top w:val="nil"/>
              <w:left w:val="nil"/>
              <w:bottom w:val="single" w:color="000000" w:sz="4" w:space="0"/>
              <w:right w:val="single" w:color="000000" w:sz="4" w:space="0"/>
            </w:tcBorders>
            <w:tcMar>
              <w:top w:w="0" w:type="dxa"/>
              <w:left w:w="105" w:type="dxa"/>
              <w:bottom w:w="0" w:type="dxa"/>
              <w:right w:w="105" w:type="dxa"/>
            </w:tcMar>
            <w:vAlign w:val="top"/>
          </w:tcPr>
          <w:p w14:paraId="4A8C761A">
            <w:pPr>
              <w:pStyle w:val="6"/>
              <w:keepNext w:val="0"/>
              <w:keepLines w:val="0"/>
              <w:pageBreakBefore w:val="0"/>
              <w:widowControl/>
              <w:kinsoku/>
              <w:wordWrap/>
              <w:overflowPunct/>
              <w:topLinePunct w:val="0"/>
              <w:autoSpaceDE/>
              <w:autoSpaceDN/>
              <w:bidi w:val="0"/>
              <w:adjustRightInd/>
              <w:snapToGrid/>
              <w:spacing w:line="500" w:lineRule="exact"/>
              <w:ind w:firstLine="0"/>
              <w:jc w:val="both"/>
              <w:textAlignment w:val="auto"/>
              <w:rPr>
                <w:rFonts w:hint="eastAsia" w:ascii="宋体" w:hAnsi="宋体" w:eastAsia="宋体" w:cs="宋体"/>
                <w:sz w:val="24"/>
                <w:szCs w:val="24"/>
              </w:rPr>
            </w:pPr>
            <w:r>
              <w:rPr>
                <w:rFonts w:hint="eastAsia" w:ascii="宋体" w:hAnsi="宋体" w:eastAsia="宋体" w:cs="宋体"/>
                <w:color w:val="000000"/>
                <w:sz w:val="24"/>
                <w:szCs w:val="24"/>
              </w:rPr>
              <w:t>国密安防接入网关</w:t>
            </w:r>
          </w:p>
        </w:tc>
        <w:tc>
          <w:tcPr>
            <w:tcW w:w="1455" w:type="dxa"/>
            <w:tcBorders>
              <w:top w:val="nil"/>
              <w:left w:val="nil"/>
              <w:bottom w:val="single" w:color="000000" w:sz="4" w:space="0"/>
              <w:right w:val="single" w:color="000000" w:sz="4" w:space="0"/>
            </w:tcBorders>
            <w:tcMar>
              <w:top w:w="0" w:type="dxa"/>
              <w:left w:w="105" w:type="dxa"/>
              <w:bottom w:w="0" w:type="dxa"/>
              <w:right w:w="105" w:type="dxa"/>
            </w:tcMar>
            <w:vAlign w:val="top"/>
          </w:tcPr>
          <w:p w14:paraId="4973FF87">
            <w:pPr>
              <w:pStyle w:val="6"/>
              <w:keepNext w:val="0"/>
              <w:keepLines w:val="0"/>
              <w:pageBreakBefore w:val="0"/>
              <w:widowControl/>
              <w:kinsoku/>
              <w:wordWrap/>
              <w:overflowPunct/>
              <w:topLinePunct w:val="0"/>
              <w:autoSpaceDE/>
              <w:autoSpaceDN/>
              <w:bidi w:val="0"/>
              <w:adjustRightInd/>
              <w:snapToGrid/>
              <w:spacing w:line="500" w:lineRule="exact"/>
              <w:ind w:firstLine="0"/>
              <w:jc w:val="center"/>
              <w:textAlignment w:val="auto"/>
              <w:rPr>
                <w:rFonts w:hint="eastAsia" w:ascii="宋体" w:hAnsi="宋体" w:eastAsia="宋体" w:cs="宋体"/>
                <w:sz w:val="24"/>
                <w:szCs w:val="24"/>
              </w:rPr>
            </w:pPr>
            <w:r>
              <w:rPr>
                <w:rFonts w:hint="eastAsia" w:ascii="宋体" w:hAnsi="宋体" w:eastAsia="宋体" w:cs="宋体"/>
                <w:color w:val="000000"/>
                <w:sz w:val="24"/>
                <w:szCs w:val="24"/>
              </w:rPr>
              <w:t>1台</w:t>
            </w:r>
          </w:p>
        </w:tc>
        <w:tc>
          <w:tcPr>
            <w:tcW w:w="2359" w:type="dxa"/>
            <w:tcBorders>
              <w:top w:val="nil"/>
              <w:left w:val="nil"/>
              <w:bottom w:val="single" w:color="000000" w:sz="4" w:space="0"/>
              <w:right w:val="single" w:color="000000" w:sz="4" w:space="0"/>
            </w:tcBorders>
            <w:tcMar>
              <w:top w:w="0" w:type="dxa"/>
              <w:left w:w="105" w:type="dxa"/>
              <w:bottom w:w="0" w:type="dxa"/>
              <w:right w:w="105" w:type="dxa"/>
            </w:tcMar>
            <w:vAlign w:val="top"/>
          </w:tcPr>
          <w:p w14:paraId="1C6A2DD8">
            <w:pPr>
              <w:pStyle w:val="6"/>
              <w:keepNext w:val="0"/>
              <w:keepLines w:val="0"/>
              <w:pageBreakBefore w:val="0"/>
              <w:widowControl/>
              <w:kinsoku/>
              <w:wordWrap/>
              <w:overflowPunct/>
              <w:topLinePunct w:val="0"/>
              <w:autoSpaceDE/>
              <w:autoSpaceDN/>
              <w:bidi w:val="0"/>
              <w:adjustRightInd/>
              <w:snapToGrid/>
              <w:spacing w:line="500" w:lineRule="exact"/>
              <w:ind w:firstLine="0"/>
              <w:jc w:val="center"/>
              <w:textAlignment w:val="auto"/>
              <w:rPr>
                <w:rFonts w:hint="eastAsia" w:ascii="宋体" w:hAnsi="宋体" w:eastAsia="宋体" w:cs="宋体"/>
                <w:sz w:val="24"/>
                <w:szCs w:val="24"/>
              </w:rPr>
            </w:pPr>
            <w:r>
              <w:rPr>
                <w:rFonts w:hint="eastAsia" w:ascii="宋体" w:hAnsi="宋体" w:eastAsia="宋体" w:cs="宋体"/>
                <w:color w:val="000000"/>
                <w:sz w:val="24"/>
                <w:szCs w:val="24"/>
              </w:rPr>
              <w:t>0.060000</w:t>
            </w:r>
          </w:p>
        </w:tc>
      </w:tr>
      <w:tr w14:paraId="4F957773">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99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72F35257">
            <w:pPr>
              <w:pStyle w:val="6"/>
              <w:keepNext w:val="0"/>
              <w:keepLines w:val="0"/>
              <w:pageBreakBefore w:val="0"/>
              <w:widowControl/>
              <w:kinsoku/>
              <w:wordWrap/>
              <w:overflowPunct/>
              <w:topLinePunct w:val="0"/>
              <w:autoSpaceDE/>
              <w:autoSpaceDN/>
              <w:bidi w:val="0"/>
              <w:adjustRightInd/>
              <w:snapToGrid/>
              <w:spacing w:line="500" w:lineRule="exact"/>
              <w:ind w:firstLine="0"/>
              <w:jc w:val="center"/>
              <w:textAlignment w:val="auto"/>
              <w:rPr>
                <w:rFonts w:hint="eastAsia" w:ascii="宋体" w:hAnsi="宋体" w:eastAsia="宋体" w:cs="宋体"/>
                <w:sz w:val="24"/>
                <w:szCs w:val="24"/>
              </w:rPr>
            </w:pPr>
            <w:r>
              <w:rPr>
                <w:rFonts w:hint="eastAsia" w:ascii="宋体" w:hAnsi="宋体" w:eastAsia="宋体" w:cs="宋体"/>
                <w:color w:val="000000"/>
                <w:sz w:val="24"/>
                <w:szCs w:val="24"/>
              </w:rPr>
              <w:t>2.10</w:t>
            </w:r>
          </w:p>
        </w:tc>
        <w:tc>
          <w:tcPr>
            <w:tcW w:w="3616" w:type="dxa"/>
            <w:tcBorders>
              <w:top w:val="nil"/>
              <w:left w:val="nil"/>
              <w:bottom w:val="single" w:color="000000" w:sz="4" w:space="0"/>
              <w:right w:val="single" w:color="000000" w:sz="4" w:space="0"/>
            </w:tcBorders>
            <w:tcMar>
              <w:top w:w="0" w:type="dxa"/>
              <w:left w:w="105" w:type="dxa"/>
              <w:bottom w:w="0" w:type="dxa"/>
              <w:right w:w="105" w:type="dxa"/>
            </w:tcMar>
            <w:vAlign w:val="top"/>
          </w:tcPr>
          <w:p w14:paraId="08B2B976">
            <w:pPr>
              <w:pStyle w:val="6"/>
              <w:keepNext w:val="0"/>
              <w:keepLines w:val="0"/>
              <w:pageBreakBefore w:val="0"/>
              <w:widowControl/>
              <w:kinsoku/>
              <w:wordWrap/>
              <w:overflowPunct/>
              <w:topLinePunct w:val="0"/>
              <w:autoSpaceDE/>
              <w:autoSpaceDN/>
              <w:bidi w:val="0"/>
              <w:adjustRightInd/>
              <w:snapToGrid/>
              <w:spacing w:line="500" w:lineRule="exact"/>
              <w:ind w:firstLine="0"/>
              <w:jc w:val="both"/>
              <w:textAlignment w:val="auto"/>
              <w:rPr>
                <w:rFonts w:hint="eastAsia" w:ascii="宋体" w:hAnsi="宋体" w:eastAsia="宋体" w:cs="宋体"/>
                <w:sz w:val="24"/>
                <w:szCs w:val="24"/>
              </w:rPr>
            </w:pPr>
            <w:r>
              <w:rPr>
                <w:rFonts w:hint="eastAsia" w:ascii="宋体" w:hAnsi="宋体" w:eastAsia="宋体" w:cs="宋体"/>
                <w:color w:val="000000"/>
                <w:sz w:val="24"/>
                <w:szCs w:val="24"/>
              </w:rPr>
              <w:t>国密PSAM卡</w:t>
            </w:r>
          </w:p>
        </w:tc>
        <w:tc>
          <w:tcPr>
            <w:tcW w:w="1455" w:type="dxa"/>
            <w:tcBorders>
              <w:top w:val="nil"/>
              <w:left w:val="nil"/>
              <w:bottom w:val="single" w:color="000000" w:sz="4" w:space="0"/>
              <w:right w:val="single" w:color="000000" w:sz="4" w:space="0"/>
            </w:tcBorders>
            <w:tcMar>
              <w:top w:w="0" w:type="dxa"/>
              <w:left w:w="105" w:type="dxa"/>
              <w:bottom w:w="0" w:type="dxa"/>
              <w:right w:w="105" w:type="dxa"/>
            </w:tcMar>
            <w:vAlign w:val="top"/>
          </w:tcPr>
          <w:p w14:paraId="7B8D5B4F">
            <w:pPr>
              <w:pStyle w:val="6"/>
              <w:keepNext w:val="0"/>
              <w:keepLines w:val="0"/>
              <w:pageBreakBefore w:val="0"/>
              <w:widowControl/>
              <w:kinsoku/>
              <w:wordWrap/>
              <w:overflowPunct/>
              <w:topLinePunct w:val="0"/>
              <w:autoSpaceDE/>
              <w:autoSpaceDN/>
              <w:bidi w:val="0"/>
              <w:adjustRightInd/>
              <w:snapToGrid/>
              <w:spacing w:line="500" w:lineRule="exact"/>
              <w:ind w:firstLine="0"/>
              <w:jc w:val="center"/>
              <w:textAlignment w:val="auto"/>
              <w:rPr>
                <w:rFonts w:hint="eastAsia" w:ascii="宋体" w:hAnsi="宋体" w:eastAsia="宋体" w:cs="宋体"/>
                <w:sz w:val="24"/>
                <w:szCs w:val="24"/>
              </w:rPr>
            </w:pPr>
            <w:r>
              <w:rPr>
                <w:rFonts w:hint="eastAsia" w:ascii="宋体" w:hAnsi="宋体" w:eastAsia="宋体" w:cs="宋体"/>
                <w:color w:val="000000"/>
                <w:sz w:val="24"/>
                <w:szCs w:val="24"/>
              </w:rPr>
              <w:t>1个</w:t>
            </w:r>
          </w:p>
        </w:tc>
        <w:tc>
          <w:tcPr>
            <w:tcW w:w="2359" w:type="dxa"/>
            <w:tcBorders>
              <w:top w:val="nil"/>
              <w:left w:val="nil"/>
              <w:bottom w:val="single" w:color="000000" w:sz="4" w:space="0"/>
              <w:right w:val="single" w:color="000000" w:sz="4" w:space="0"/>
            </w:tcBorders>
            <w:tcMar>
              <w:top w:w="0" w:type="dxa"/>
              <w:left w:w="105" w:type="dxa"/>
              <w:bottom w:w="0" w:type="dxa"/>
              <w:right w:w="105" w:type="dxa"/>
            </w:tcMar>
            <w:vAlign w:val="top"/>
          </w:tcPr>
          <w:p w14:paraId="41DFA5C2">
            <w:pPr>
              <w:pStyle w:val="6"/>
              <w:keepNext w:val="0"/>
              <w:keepLines w:val="0"/>
              <w:pageBreakBefore w:val="0"/>
              <w:widowControl/>
              <w:kinsoku/>
              <w:wordWrap/>
              <w:overflowPunct/>
              <w:topLinePunct w:val="0"/>
              <w:autoSpaceDE/>
              <w:autoSpaceDN/>
              <w:bidi w:val="0"/>
              <w:adjustRightInd/>
              <w:snapToGrid/>
              <w:spacing w:line="500" w:lineRule="exact"/>
              <w:ind w:firstLine="0"/>
              <w:jc w:val="center"/>
              <w:textAlignment w:val="auto"/>
              <w:rPr>
                <w:rFonts w:hint="eastAsia" w:ascii="宋体" w:hAnsi="宋体" w:eastAsia="宋体" w:cs="宋体"/>
                <w:sz w:val="24"/>
                <w:szCs w:val="24"/>
              </w:rPr>
            </w:pPr>
            <w:r>
              <w:rPr>
                <w:rFonts w:hint="eastAsia" w:ascii="宋体" w:hAnsi="宋体" w:eastAsia="宋体" w:cs="宋体"/>
                <w:color w:val="000000"/>
                <w:sz w:val="24"/>
                <w:szCs w:val="24"/>
              </w:rPr>
              <w:t>0.060000</w:t>
            </w:r>
          </w:p>
        </w:tc>
      </w:tr>
      <w:tr w14:paraId="5E888A1A">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99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21617BC3">
            <w:pPr>
              <w:pStyle w:val="6"/>
              <w:keepNext w:val="0"/>
              <w:keepLines w:val="0"/>
              <w:pageBreakBefore w:val="0"/>
              <w:widowControl/>
              <w:kinsoku/>
              <w:wordWrap/>
              <w:overflowPunct/>
              <w:topLinePunct w:val="0"/>
              <w:autoSpaceDE/>
              <w:autoSpaceDN/>
              <w:bidi w:val="0"/>
              <w:adjustRightInd/>
              <w:snapToGrid/>
              <w:spacing w:line="500" w:lineRule="exact"/>
              <w:ind w:firstLine="0"/>
              <w:jc w:val="center"/>
              <w:textAlignment w:val="auto"/>
              <w:rPr>
                <w:rFonts w:hint="eastAsia" w:ascii="宋体" w:hAnsi="宋体" w:eastAsia="宋体" w:cs="宋体"/>
                <w:sz w:val="24"/>
                <w:szCs w:val="24"/>
              </w:rPr>
            </w:pPr>
            <w:r>
              <w:rPr>
                <w:rFonts w:hint="eastAsia" w:ascii="宋体" w:hAnsi="宋体" w:eastAsia="宋体" w:cs="宋体"/>
                <w:color w:val="000000"/>
                <w:sz w:val="24"/>
                <w:szCs w:val="24"/>
              </w:rPr>
              <w:t>2.11</w:t>
            </w:r>
          </w:p>
        </w:tc>
        <w:tc>
          <w:tcPr>
            <w:tcW w:w="3616" w:type="dxa"/>
            <w:tcBorders>
              <w:top w:val="nil"/>
              <w:left w:val="nil"/>
              <w:bottom w:val="single" w:color="000000" w:sz="4" w:space="0"/>
              <w:right w:val="single" w:color="000000" w:sz="4" w:space="0"/>
            </w:tcBorders>
            <w:tcMar>
              <w:top w:w="0" w:type="dxa"/>
              <w:left w:w="105" w:type="dxa"/>
              <w:bottom w:w="0" w:type="dxa"/>
              <w:right w:w="105" w:type="dxa"/>
            </w:tcMar>
            <w:vAlign w:val="top"/>
          </w:tcPr>
          <w:p w14:paraId="0FFBBDCF">
            <w:pPr>
              <w:pStyle w:val="6"/>
              <w:keepNext w:val="0"/>
              <w:keepLines w:val="0"/>
              <w:pageBreakBefore w:val="0"/>
              <w:widowControl/>
              <w:kinsoku/>
              <w:wordWrap/>
              <w:overflowPunct/>
              <w:topLinePunct w:val="0"/>
              <w:autoSpaceDE/>
              <w:autoSpaceDN/>
              <w:bidi w:val="0"/>
              <w:adjustRightInd/>
              <w:snapToGrid/>
              <w:spacing w:line="500" w:lineRule="exact"/>
              <w:ind w:firstLine="0"/>
              <w:jc w:val="both"/>
              <w:textAlignment w:val="auto"/>
              <w:rPr>
                <w:rFonts w:hint="eastAsia" w:ascii="宋体" w:hAnsi="宋体" w:eastAsia="宋体" w:cs="宋体"/>
                <w:sz w:val="24"/>
                <w:szCs w:val="24"/>
              </w:rPr>
            </w:pPr>
            <w:r>
              <w:rPr>
                <w:rFonts w:hint="eastAsia" w:ascii="宋体" w:hAnsi="宋体" w:eastAsia="宋体" w:cs="宋体"/>
                <w:color w:val="000000"/>
                <w:sz w:val="24"/>
                <w:szCs w:val="24"/>
              </w:rPr>
              <w:t>国密监控</w:t>
            </w:r>
          </w:p>
        </w:tc>
        <w:tc>
          <w:tcPr>
            <w:tcW w:w="1455" w:type="dxa"/>
            <w:tcBorders>
              <w:top w:val="nil"/>
              <w:left w:val="nil"/>
              <w:bottom w:val="single" w:color="000000" w:sz="4" w:space="0"/>
              <w:right w:val="single" w:color="000000" w:sz="4" w:space="0"/>
            </w:tcBorders>
            <w:tcMar>
              <w:top w:w="0" w:type="dxa"/>
              <w:left w:w="105" w:type="dxa"/>
              <w:bottom w:w="0" w:type="dxa"/>
              <w:right w:w="105" w:type="dxa"/>
            </w:tcMar>
            <w:vAlign w:val="top"/>
          </w:tcPr>
          <w:p w14:paraId="09F6B7EF">
            <w:pPr>
              <w:pStyle w:val="6"/>
              <w:keepNext w:val="0"/>
              <w:keepLines w:val="0"/>
              <w:pageBreakBefore w:val="0"/>
              <w:widowControl/>
              <w:kinsoku/>
              <w:wordWrap/>
              <w:overflowPunct/>
              <w:topLinePunct w:val="0"/>
              <w:autoSpaceDE/>
              <w:autoSpaceDN/>
              <w:bidi w:val="0"/>
              <w:adjustRightInd/>
              <w:snapToGrid/>
              <w:spacing w:line="500" w:lineRule="exact"/>
              <w:ind w:firstLine="0"/>
              <w:jc w:val="center"/>
              <w:textAlignment w:val="auto"/>
              <w:rPr>
                <w:rFonts w:hint="eastAsia" w:ascii="宋体" w:hAnsi="宋体" w:eastAsia="宋体" w:cs="宋体"/>
                <w:sz w:val="24"/>
                <w:szCs w:val="24"/>
              </w:rPr>
            </w:pPr>
            <w:r>
              <w:rPr>
                <w:rFonts w:hint="eastAsia" w:ascii="宋体" w:hAnsi="宋体" w:eastAsia="宋体" w:cs="宋体"/>
                <w:color w:val="000000"/>
                <w:sz w:val="24"/>
                <w:szCs w:val="24"/>
              </w:rPr>
              <w:t>5台</w:t>
            </w:r>
          </w:p>
        </w:tc>
        <w:tc>
          <w:tcPr>
            <w:tcW w:w="2359" w:type="dxa"/>
            <w:tcBorders>
              <w:top w:val="nil"/>
              <w:left w:val="nil"/>
              <w:bottom w:val="single" w:color="000000" w:sz="4" w:space="0"/>
              <w:right w:val="single" w:color="000000" w:sz="4" w:space="0"/>
            </w:tcBorders>
            <w:tcMar>
              <w:top w:w="0" w:type="dxa"/>
              <w:left w:w="105" w:type="dxa"/>
              <w:bottom w:w="0" w:type="dxa"/>
              <w:right w:w="105" w:type="dxa"/>
            </w:tcMar>
            <w:vAlign w:val="top"/>
          </w:tcPr>
          <w:p w14:paraId="771BB341">
            <w:pPr>
              <w:pStyle w:val="6"/>
              <w:keepNext w:val="0"/>
              <w:keepLines w:val="0"/>
              <w:pageBreakBefore w:val="0"/>
              <w:widowControl/>
              <w:kinsoku/>
              <w:wordWrap/>
              <w:overflowPunct/>
              <w:topLinePunct w:val="0"/>
              <w:autoSpaceDE/>
              <w:autoSpaceDN/>
              <w:bidi w:val="0"/>
              <w:adjustRightInd/>
              <w:snapToGrid/>
              <w:spacing w:line="500" w:lineRule="exact"/>
              <w:ind w:firstLine="0"/>
              <w:jc w:val="center"/>
              <w:textAlignment w:val="auto"/>
              <w:rPr>
                <w:rFonts w:hint="eastAsia" w:ascii="宋体" w:hAnsi="宋体" w:eastAsia="宋体" w:cs="宋体"/>
                <w:sz w:val="24"/>
                <w:szCs w:val="24"/>
              </w:rPr>
            </w:pPr>
            <w:r>
              <w:rPr>
                <w:rFonts w:hint="eastAsia" w:ascii="宋体" w:hAnsi="宋体" w:eastAsia="宋体" w:cs="宋体"/>
                <w:color w:val="000000"/>
                <w:sz w:val="24"/>
                <w:szCs w:val="24"/>
              </w:rPr>
              <w:t>3.000000</w:t>
            </w:r>
          </w:p>
        </w:tc>
      </w:tr>
      <w:tr w14:paraId="219E54FE">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067" w:type="dxa"/>
            <w:gridSpan w:val="3"/>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411D3018">
            <w:pPr>
              <w:pStyle w:val="6"/>
              <w:keepNext w:val="0"/>
              <w:keepLines w:val="0"/>
              <w:pageBreakBefore w:val="0"/>
              <w:widowControl/>
              <w:kinsoku/>
              <w:wordWrap/>
              <w:overflowPunct/>
              <w:topLinePunct w:val="0"/>
              <w:autoSpaceDE/>
              <w:autoSpaceDN/>
              <w:bidi w:val="0"/>
              <w:adjustRightInd/>
              <w:snapToGrid/>
              <w:spacing w:line="500" w:lineRule="exact"/>
              <w:ind w:firstLine="0"/>
              <w:jc w:val="center"/>
              <w:textAlignment w:val="auto"/>
              <w:rPr>
                <w:rFonts w:hint="eastAsia" w:ascii="宋体" w:hAnsi="宋体" w:eastAsia="宋体" w:cs="宋体"/>
                <w:sz w:val="24"/>
                <w:szCs w:val="24"/>
              </w:rPr>
            </w:pPr>
            <w:r>
              <w:rPr>
                <w:rFonts w:hint="eastAsia" w:ascii="宋体" w:hAnsi="宋体" w:eastAsia="宋体" w:cs="宋体"/>
                <w:b/>
                <w:color w:val="000000"/>
                <w:sz w:val="24"/>
                <w:szCs w:val="24"/>
              </w:rPr>
              <w:t>总计</w:t>
            </w:r>
          </w:p>
        </w:tc>
        <w:tc>
          <w:tcPr>
            <w:tcW w:w="2359" w:type="dxa"/>
            <w:tcBorders>
              <w:top w:val="nil"/>
              <w:left w:val="nil"/>
              <w:bottom w:val="single" w:color="000000" w:sz="4" w:space="0"/>
              <w:right w:val="single" w:color="000000" w:sz="4" w:space="0"/>
            </w:tcBorders>
            <w:shd w:val="clear" w:color="auto" w:fill="FFFFFF"/>
            <w:tcMar>
              <w:top w:w="0" w:type="dxa"/>
              <w:left w:w="105" w:type="dxa"/>
              <w:bottom w:w="0" w:type="dxa"/>
              <w:right w:w="105" w:type="dxa"/>
            </w:tcMar>
            <w:vAlign w:val="top"/>
          </w:tcPr>
          <w:p w14:paraId="1DB08500">
            <w:pPr>
              <w:pStyle w:val="6"/>
              <w:keepNext w:val="0"/>
              <w:keepLines w:val="0"/>
              <w:pageBreakBefore w:val="0"/>
              <w:widowControl/>
              <w:kinsoku/>
              <w:wordWrap/>
              <w:overflowPunct/>
              <w:topLinePunct w:val="0"/>
              <w:autoSpaceDE/>
              <w:autoSpaceDN/>
              <w:bidi w:val="0"/>
              <w:adjustRightInd/>
              <w:snapToGrid/>
              <w:spacing w:line="500" w:lineRule="exact"/>
              <w:ind w:firstLine="0"/>
              <w:jc w:val="center"/>
              <w:textAlignment w:val="auto"/>
              <w:rPr>
                <w:rFonts w:hint="eastAsia" w:ascii="宋体" w:hAnsi="宋体" w:eastAsia="宋体" w:cs="宋体"/>
                <w:sz w:val="24"/>
                <w:szCs w:val="24"/>
              </w:rPr>
            </w:pPr>
            <w:r>
              <w:rPr>
                <w:rFonts w:hint="eastAsia" w:ascii="宋体" w:hAnsi="宋体" w:eastAsia="宋体" w:cs="宋体"/>
                <w:b/>
                <w:color w:val="000000"/>
                <w:sz w:val="24"/>
                <w:szCs w:val="24"/>
              </w:rPr>
              <w:t>751.404000</w:t>
            </w:r>
          </w:p>
        </w:tc>
      </w:tr>
    </w:tbl>
    <w:p w14:paraId="5BC8A25A">
      <w:pPr>
        <w:pStyle w:val="6"/>
        <w:keepNext w:val="0"/>
        <w:keepLines w:val="0"/>
        <w:pageBreakBefore w:val="0"/>
        <w:kinsoku/>
        <w:wordWrap/>
        <w:overflowPunct/>
        <w:topLinePunct w:val="0"/>
        <w:autoSpaceDE/>
        <w:autoSpaceDN/>
        <w:bidi w:val="0"/>
        <w:adjustRightInd/>
        <w:snapToGrid/>
        <w:spacing w:line="500" w:lineRule="exact"/>
        <w:ind w:left="570"/>
        <w:jc w:val="both"/>
        <w:textAlignment w:val="auto"/>
        <w:rPr>
          <w:rFonts w:hint="eastAsia" w:ascii="宋体" w:hAnsi="宋体" w:eastAsia="宋体" w:cs="宋体"/>
          <w:sz w:val="24"/>
          <w:szCs w:val="24"/>
        </w:rPr>
      </w:pPr>
      <w:r>
        <w:rPr>
          <w:rFonts w:hint="eastAsia" w:ascii="宋体" w:hAnsi="宋体" w:eastAsia="宋体" w:cs="宋体"/>
          <w:b/>
          <w:color w:val="000000"/>
          <w:sz w:val="24"/>
          <w:szCs w:val="24"/>
        </w:rPr>
        <w:t>注意：投标人须针对以上“1.3.1.2硬件部分明细要求”提供分项报价表，并在价格扣除节能、环境标志产品节点上传该分项报价表。</w:t>
      </w:r>
    </w:p>
    <w:p w14:paraId="5D18DDD4">
      <w:pPr>
        <w:pStyle w:val="6"/>
        <w:keepNext w:val="0"/>
        <w:keepLines w:val="0"/>
        <w:pageBreakBefore w:val="0"/>
        <w:kinsoku/>
        <w:wordWrap/>
        <w:overflowPunct/>
        <w:topLinePunct w:val="0"/>
        <w:autoSpaceDE/>
        <w:autoSpaceDN/>
        <w:bidi w:val="0"/>
        <w:adjustRightInd/>
        <w:snapToGrid/>
        <w:spacing w:line="500" w:lineRule="exact"/>
        <w:ind w:left="570"/>
        <w:jc w:val="both"/>
        <w:textAlignment w:val="auto"/>
        <w:rPr>
          <w:rFonts w:hint="eastAsia" w:ascii="宋体" w:hAnsi="宋体" w:eastAsia="宋体" w:cs="宋体"/>
          <w:sz w:val="24"/>
          <w:szCs w:val="24"/>
        </w:rPr>
      </w:pPr>
      <w:r>
        <w:rPr>
          <w:rFonts w:hint="eastAsia" w:ascii="宋体" w:hAnsi="宋体" w:eastAsia="宋体" w:cs="宋体"/>
          <w:b/>
          <w:color w:val="000000"/>
          <w:sz w:val="24"/>
          <w:szCs w:val="24"/>
        </w:rPr>
        <w:t>1.3.2应用软件开发要求</w:t>
      </w:r>
    </w:p>
    <w:p w14:paraId="75C494CF">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1.系统开发中贯彻全面质量管理，实行工程化的开发方法，实行阶段性冻结与改动控制，验证阶段成果并及时纠正错误。</w:t>
      </w:r>
    </w:p>
    <w:p w14:paraId="49E2ABE9">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sz w:val="24"/>
          <w:szCs w:val="24"/>
        </w:rPr>
        <w:t>2.采用微服务架构设计体系，“围绕业务领域组件来创建应用，让应用可以独立的开发、管理和加速”。微服务（或微服务架构）是一种云原生架构方法，其中单个应用程序由许多松散耦合且可独立部署的较小组件或服务组成。微服务有自己的堆栈，包括数据库和数据模型；通过REST API，事件流和消息代理的组合相互通信；它们是按业务能力组织的，分隔服务的线通常称为有界上下文。微服务可以更轻松地更新代码；微服务开发可以为不同的组件使用不同的堆栈；微服务架构下，组件可以彼此独立地进行缩放，从而减少了因必须缩放整个应用程序而产生的浪费和成本，因为单个功能可能面临过多的负载。</w:t>
      </w:r>
    </w:p>
    <w:p w14:paraId="62B0EACC">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color w:val="000000"/>
          <w:sz w:val="24"/>
          <w:szCs w:val="24"/>
        </w:rPr>
        <w:t>3.投标人规范开发本项目，开发文档规范齐全，同时提交书面和电子文档，及时转交采购人。</w:t>
      </w:r>
    </w:p>
    <w:p w14:paraId="68899E88">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color w:val="000000"/>
          <w:sz w:val="24"/>
          <w:szCs w:val="24"/>
        </w:rPr>
        <w:t>4.软件应安全、准确、可靠，具有高可用性功能(或容错功能)，能够长时间不间断运行，能够防止不良侵害发生、降低故障发生率，确保安全生产。</w:t>
      </w:r>
    </w:p>
    <w:p w14:paraId="728A025C">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color w:val="000000"/>
          <w:sz w:val="24"/>
          <w:szCs w:val="24"/>
        </w:rPr>
        <w:t>5.软件要具有较强的硬件规模扩展能力。</w:t>
      </w:r>
    </w:p>
    <w:p w14:paraId="1F959FDA">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color w:val="000000"/>
          <w:sz w:val="24"/>
          <w:szCs w:val="24"/>
        </w:rPr>
        <w:t>6.软件对硬件要具有相对独立性。</w:t>
      </w:r>
    </w:p>
    <w:p w14:paraId="3C03DEA9">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color w:val="000000"/>
          <w:sz w:val="24"/>
          <w:szCs w:val="24"/>
        </w:rPr>
        <w:t>7.软件本身要具有良好的扩展能力，具备高度的可伸缩扩充能力。</w:t>
      </w:r>
    </w:p>
    <w:p w14:paraId="7D4FC5D7">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color w:val="000000"/>
          <w:sz w:val="24"/>
          <w:szCs w:val="24"/>
        </w:rPr>
        <w:t>8.软件要具有良好的负载均衡能力。</w:t>
      </w:r>
    </w:p>
    <w:p w14:paraId="272A0641">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color w:val="000000"/>
          <w:sz w:val="24"/>
          <w:szCs w:val="24"/>
        </w:rPr>
        <w:t>9.软件具有可维护性，系统设置要方便灵活。</w:t>
      </w:r>
    </w:p>
    <w:p w14:paraId="28408DB5">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color w:val="000000"/>
          <w:sz w:val="24"/>
          <w:szCs w:val="24"/>
        </w:rPr>
        <w:t>10.软件以支持简体中文，以中文界面为主。</w:t>
      </w:r>
    </w:p>
    <w:p w14:paraId="61C3500F">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color w:val="000000"/>
          <w:sz w:val="24"/>
          <w:szCs w:val="24"/>
        </w:rPr>
        <w:t>11.软件应提供符合业务规范的数据接口，以实现与其他系统的连接，支持一致性数据模型，保证数据的一致性、完整性。</w:t>
      </w:r>
    </w:p>
    <w:p w14:paraId="41EE639B">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color w:val="000000"/>
          <w:sz w:val="24"/>
          <w:szCs w:val="24"/>
        </w:rPr>
        <w:t>12.软件设计面向数据，而不是面向流程，易于系统的构造和重组织。</w:t>
      </w:r>
    </w:p>
    <w:p w14:paraId="3878BB3E">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color w:val="000000"/>
          <w:sz w:val="24"/>
          <w:szCs w:val="24"/>
        </w:rPr>
        <w:t>13.软件应能实现数据和处理结果的备份和管理。</w:t>
      </w:r>
    </w:p>
    <w:p w14:paraId="6245D62D">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color w:val="000000"/>
          <w:sz w:val="24"/>
          <w:szCs w:val="24"/>
        </w:rPr>
        <w:t>14.能够在不同的管理层次和领域具备互操作能力。</w:t>
      </w:r>
    </w:p>
    <w:p w14:paraId="413EF371">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color w:val="000000"/>
          <w:sz w:val="24"/>
          <w:szCs w:val="24"/>
        </w:rPr>
        <w:t>15.软件能够保护投资，前后期的投资有效衔接。</w:t>
      </w:r>
    </w:p>
    <w:p w14:paraId="42EFB3EC">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color w:val="000000"/>
          <w:sz w:val="24"/>
          <w:szCs w:val="24"/>
        </w:rPr>
        <w:t>16.基于平台软件可快速构建和开展行业应用，并可快速构建扩展功能模块。</w:t>
      </w:r>
    </w:p>
    <w:p w14:paraId="7859FC29">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color w:val="000000"/>
          <w:sz w:val="24"/>
          <w:szCs w:val="24"/>
        </w:rPr>
        <w:t>17.系统设计要做到代码标准化、模块标准化、文档标准化、测试标准化和信息标准化。</w:t>
      </w:r>
    </w:p>
    <w:p w14:paraId="03F7267B">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18.本项目相关系统的建设应对标《严重精神障碍管理治疗工作规范（2018年版）》《关于加强严重精神障碍信息系统管理工作的通知》《全国社会心理服务体系建设试点工作方案》《国家卫生健康委关于应用“12356”全国统一心理援助热线电话号码的通知》《国家卫生健康委办公厅关于印发心理援助热线技术指南（试行）的通知》《健全社会心理服务体系和危机干预机制实施方案》等相关政策文件要求进行开发建设，核心业务系统满足《信息安全技术网络安全等级保护基本要求》第三级测评要求、商用密码应用安全性评估要求、信创符合性测试要求。</w:t>
      </w:r>
    </w:p>
    <w:p w14:paraId="53AA8E1B">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19.投标人积极配合福州市第二总医院神经精神病防治院对标相关政策要求对本项目建设的相关信息系统具体功能实现水平与评价标准进行差异化分析，若系统功能与政策要求存在差距，投标人应对照政策要求完成系统改造，以保证建设工作的完整性。若项目建设期内国家发布新的精神卫生医疗行业相关标准，投标人应按照新标准要求完成系统改造，以达到相应的政策要求。</w:t>
      </w:r>
    </w:p>
    <w:p w14:paraId="284461FD">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color w:val="000000"/>
          <w:sz w:val="24"/>
          <w:szCs w:val="24"/>
        </w:rPr>
        <w:t>20.本次建设严格遵守国家有关规定，本项目所有软硬件产品均需符合国家信创要求。</w:t>
      </w:r>
    </w:p>
    <w:p w14:paraId="08B26D0D">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color w:val="000000"/>
          <w:sz w:val="24"/>
          <w:szCs w:val="24"/>
        </w:rPr>
        <w:t>1.4.投标人应根据招标文件所提出的技术规格、服务要求，选择具有最佳性价比的服务来投标，以充分显示各投标人的竞争实力，投标人务必仔细阅读招标文件中所规定的，其中包括技术规格在内的所有细则。</w:t>
      </w:r>
    </w:p>
    <w:p w14:paraId="1495492F">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color w:val="000000"/>
          <w:sz w:val="24"/>
          <w:szCs w:val="24"/>
        </w:rPr>
        <w:t>1.5.投标人必须保证提供的所有产品具有在中国境内的合法使用权和用户保护权且为全新原装品牌产品，若国家有CCC强制性规定的产品还必须符合国家CCC强制性认证规定。投标人所提供的服务应符合国家相关法律法规，软件必须是正版的合法的产品。如因产品违反国家相关规定而产生的纠纷和责任，均由投标人负全责。若因此给采购人造成损失的，投标人还要负赔偿责任。</w:t>
      </w:r>
    </w:p>
    <w:p w14:paraId="170D2197">
      <w:pPr>
        <w:pStyle w:val="6"/>
        <w:keepNext w:val="0"/>
        <w:keepLines w:val="0"/>
        <w:pageBreakBefore w:val="0"/>
        <w:kinsoku/>
        <w:wordWrap/>
        <w:overflowPunct/>
        <w:topLinePunct w:val="0"/>
        <w:autoSpaceDE/>
        <w:autoSpaceDN/>
        <w:bidi w:val="0"/>
        <w:adjustRightInd/>
        <w:snapToGrid/>
        <w:spacing w:line="500" w:lineRule="exact"/>
        <w:jc w:val="both"/>
        <w:textAlignment w:val="auto"/>
        <w:outlineLvl w:val="2"/>
        <w:rPr>
          <w:rFonts w:hint="eastAsia" w:ascii="宋体" w:hAnsi="宋体" w:eastAsia="宋体" w:cs="宋体"/>
          <w:sz w:val="24"/>
          <w:szCs w:val="24"/>
        </w:rPr>
      </w:pPr>
      <w:r>
        <w:rPr>
          <w:rFonts w:hint="eastAsia" w:ascii="宋体" w:hAnsi="宋体" w:eastAsia="宋体" w:cs="宋体"/>
          <w:b/>
          <w:sz w:val="24"/>
          <w:szCs w:val="24"/>
        </w:rPr>
        <w:t>二、技术和服务要求（以“★”标示的内容为不允许负偏离的实质性要求）</w:t>
      </w:r>
    </w:p>
    <w:p w14:paraId="7A6ADFA0">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b/>
          <w:sz w:val="24"/>
          <w:szCs w:val="24"/>
        </w:rPr>
        <w:t>2.1.省级精神卫生综合服务软件平台</w:t>
      </w:r>
    </w:p>
    <w:p w14:paraId="7F06C034">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2.1.1.数据中台(评审项1)</w:t>
      </w:r>
    </w:p>
    <w:p w14:paraId="5ADADFD3">
      <w:pPr>
        <w:pStyle w:val="6"/>
        <w:keepNext w:val="0"/>
        <w:keepLines w:val="0"/>
        <w:pageBreakBefore w:val="0"/>
        <w:kinsoku/>
        <w:wordWrap/>
        <w:overflowPunct/>
        <w:topLinePunct w:val="0"/>
        <w:autoSpaceDE/>
        <w:autoSpaceDN/>
        <w:bidi w:val="0"/>
        <w:adjustRightInd/>
        <w:snapToGrid/>
        <w:spacing w:line="500" w:lineRule="exact"/>
        <w:ind w:firstLine="480"/>
        <w:jc w:val="left"/>
        <w:textAlignment w:val="auto"/>
        <w:rPr>
          <w:rFonts w:hint="eastAsia" w:ascii="宋体" w:hAnsi="宋体" w:eastAsia="宋体" w:cs="宋体"/>
          <w:sz w:val="24"/>
          <w:szCs w:val="24"/>
        </w:rPr>
      </w:pPr>
      <w:r>
        <w:rPr>
          <w:rFonts w:hint="eastAsia" w:ascii="宋体" w:hAnsi="宋体" w:eastAsia="宋体" w:cs="宋体"/>
          <w:sz w:val="24"/>
          <w:szCs w:val="24"/>
        </w:rPr>
        <w:t>围绕数据采、存、通、治、用、管全链路，构建统一技术底座、数据标准与治理体系，汇聚整合精神卫生服务的多源异构数据，形成标准化、可共享的数据资产，通过数据服务化能力对外提供精神卫生服务的接口、标签、报表等能力，同时配套安全、权限、运维机制，实现数据统一管理、高效复用、安全可控，为全省精神卫生业务决策、智能应用和数字化运营提供稳定可靠的数据支撑。</w:t>
      </w:r>
    </w:p>
    <w:p w14:paraId="4D7F8B2B">
      <w:pPr>
        <w:pStyle w:val="6"/>
        <w:keepNext w:val="0"/>
        <w:keepLines w:val="0"/>
        <w:pageBreakBefore w:val="0"/>
        <w:kinsoku/>
        <w:wordWrap/>
        <w:overflowPunct/>
        <w:topLinePunct w:val="0"/>
        <w:autoSpaceDE/>
        <w:autoSpaceDN/>
        <w:bidi w:val="0"/>
        <w:adjustRightInd/>
        <w:snapToGrid/>
        <w:spacing w:line="500" w:lineRule="exact"/>
        <w:ind w:left="870"/>
        <w:jc w:val="both"/>
        <w:textAlignment w:val="auto"/>
        <w:rPr>
          <w:rFonts w:hint="eastAsia" w:ascii="宋体" w:hAnsi="宋体" w:eastAsia="宋体" w:cs="宋体"/>
          <w:sz w:val="24"/>
          <w:szCs w:val="24"/>
        </w:rPr>
      </w:pPr>
      <w:r>
        <w:rPr>
          <w:rFonts w:hint="eastAsia" w:ascii="宋体" w:hAnsi="宋体" w:eastAsia="宋体" w:cs="宋体"/>
          <w:b/>
          <w:sz w:val="24"/>
          <w:szCs w:val="24"/>
        </w:rPr>
        <w:t>2.1.1.1.数据采集系统(评审项2)</w:t>
      </w:r>
    </w:p>
    <w:p w14:paraId="57B9CC17">
      <w:pPr>
        <w:pStyle w:val="6"/>
        <w:keepNext w:val="0"/>
        <w:keepLines w:val="0"/>
        <w:pageBreakBefore w:val="0"/>
        <w:kinsoku/>
        <w:wordWrap/>
        <w:overflowPunct/>
        <w:topLinePunct w:val="0"/>
        <w:autoSpaceDE/>
        <w:autoSpaceDN/>
        <w:bidi w:val="0"/>
        <w:adjustRightInd/>
        <w:snapToGrid/>
        <w:spacing w:line="500" w:lineRule="exact"/>
        <w:ind w:left="855"/>
        <w:jc w:val="both"/>
        <w:textAlignment w:val="auto"/>
        <w:rPr>
          <w:rFonts w:hint="eastAsia" w:ascii="宋体" w:hAnsi="宋体" w:eastAsia="宋体" w:cs="宋体"/>
          <w:sz w:val="24"/>
          <w:szCs w:val="24"/>
        </w:rPr>
      </w:pPr>
      <w:r>
        <w:rPr>
          <w:rFonts w:hint="eastAsia" w:ascii="宋体" w:hAnsi="宋体" w:eastAsia="宋体" w:cs="宋体"/>
          <w:b/>
          <w:sz w:val="24"/>
          <w:szCs w:val="24"/>
        </w:rPr>
        <w:t>2.1.1.1.1.数据源管理</w:t>
      </w:r>
    </w:p>
    <w:p w14:paraId="08299451">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对前置数据库连接进行集中管理，可视化配置以及数据是否连接成功进行一键测试。主要功能包括：</w:t>
      </w:r>
    </w:p>
    <w:p w14:paraId="7283B743">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（1）新增、删除、修改数据源，对数据源名称、数据库类型、实例名、数据库IP、端口、用户名、业务名称等项目进行填写配置，同时可删除和修改已建立的数据源。</w:t>
      </w:r>
    </w:p>
    <w:p w14:paraId="14AADC0D">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（2）测试数据源是否可用，编辑数据源后可测试数据源是否可用。</w:t>
      </w:r>
    </w:p>
    <w:p w14:paraId="68C2189F">
      <w:pPr>
        <w:pStyle w:val="6"/>
        <w:keepNext w:val="0"/>
        <w:keepLines w:val="0"/>
        <w:pageBreakBefore w:val="0"/>
        <w:kinsoku/>
        <w:wordWrap/>
        <w:overflowPunct/>
        <w:topLinePunct w:val="0"/>
        <w:autoSpaceDE/>
        <w:autoSpaceDN/>
        <w:bidi w:val="0"/>
        <w:adjustRightInd/>
        <w:snapToGrid/>
        <w:spacing w:line="500" w:lineRule="exact"/>
        <w:ind w:left="855"/>
        <w:jc w:val="both"/>
        <w:textAlignment w:val="auto"/>
        <w:rPr>
          <w:rFonts w:hint="eastAsia" w:ascii="宋体" w:hAnsi="宋体" w:eastAsia="宋体" w:cs="宋体"/>
          <w:sz w:val="24"/>
          <w:szCs w:val="24"/>
        </w:rPr>
      </w:pPr>
      <w:r>
        <w:rPr>
          <w:rFonts w:hint="eastAsia" w:ascii="宋体" w:hAnsi="宋体" w:eastAsia="宋体" w:cs="宋体"/>
          <w:b/>
          <w:sz w:val="24"/>
          <w:szCs w:val="24"/>
        </w:rPr>
        <w:t>2.1.1.1.2.采集业务管理</w:t>
      </w:r>
    </w:p>
    <w:p w14:paraId="3EC53F7C">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采集业务管理是维护系统的运营业务内容，维护采集涉及的业务名称、编码、业务说明及业务是否启用等信息。主要功能包括：</w:t>
      </w:r>
    </w:p>
    <w:p w14:paraId="6E0BA2C6">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（1）可自定义添加业务名称，业务名称、编码、说明、创建时间、启用状态；</w:t>
      </w:r>
    </w:p>
    <w:p w14:paraId="2CA4B59B">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（2）可对业务进行编辑、停用、删除操作。</w:t>
      </w:r>
    </w:p>
    <w:p w14:paraId="5D9BD6D5">
      <w:pPr>
        <w:pStyle w:val="6"/>
        <w:keepNext w:val="0"/>
        <w:keepLines w:val="0"/>
        <w:pageBreakBefore w:val="0"/>
        <w:kinsoku/>
        <w:wordWrap/>
        <w:overflowPunct/>
        <w:topLinePunct w:val="0"/>
        <w:autoSpaceDE/>
        <w:autoSpaceDN/>
        <w:bidi w:val="0"/>
        <w:adjustRightInd/>
        <w:snapToGrid/>
        <w:spacing w:line="500" w:lineRule="exact"/>
        <w:ind w:left="855"/>
        <w:jc w:val="both"/>
        <w:textAlignment w:val="auto"/>
        <w:rPr>
          <w:rFonts w:hint="eastAsia" w:ascii="宋体" w:hAnsi="宋体" w:eastAsia="宋体" w:cs="宋体"/>
          <w:sz w:val="24"/>
          <w:szCs w:val="24"/>
        </w:rPr>
      </w:pPr>
      <w:r>
        <w:rPr>
          <w:rFonts w:hint="eastAsia" w:ascii="宋体" w:hAnsi="宋体" w:eastAsia="宋体" w:cs="宋体"/>
          <w:b/>
          <w:sz w:val="24"/>
          <w:szCs w:val="24"/>
        </w:rPr>
        <w:t>2.1.1.1.3.采集任务管理</w:t>
      </w:r>
    </w:p>
    <w:p w14:paraId="55F146A2">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采集任务指对不同数据源及数采集业务进行不同的采集配置，根据所要采集的数据配置采集作业任务及字段映射。主要功能包括：</w:t>
      </w:r>
    </w:p>
    <w:p w14:paraId="71545456">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创建采集任务，关联数据源及对应的采集业务目标表。</w:t>
      </w:r>
    </w:p>
    <w:p w14:paraId="650DB9B1">
      <w:pPr>
        <w:pStyle w:val="6"/>
        <w:keepNext w:val="0"/>
        <w:keepLines w:val="0"/>
        <w:pageBreakBefore w:val="0"/>
        <w:kinsoku/>
        <w:wordWrap/>
        <w:overflowPunct/>
        <w:topLinePunct w:val="0"/>
        <w:autoSpaceDE/>
        <w:autoSpaceDN/>
        <w:bidi w:val="0"/>
        <w:adjustRightInd/>
        <w:snapToGrid/>
        <w:spacing w:line="500" w:lineRule="exact"/>
        <w:ind w:left="855"/>
        <w:jc w:val="both"/>
        <w:textAlignment w:val="auto"/>
        <w:rPr>
          <w:rFonts w:hint="eastAsia" w:ascii="宋体" w:hAnsi="宋体" w:eastAsia="宋体" w:cs="宋体"/>
          <w:sz w:val="24"/>
          <w:szCs w:val="24"/>
        </w:rPr>
      </w:pPr>
      <w:r>
        <w:rPr>
          <w:rFonts w:hint="eastAsia" w:ascii="宋体" w:hAnsi="宋体" w:eastAsia="宋体" w:cs="宋体"/>
          <w:b/>
          <w:sz w:val="24"/>
          <w:szCs w:val="24"/>
        </w:rPr>
        <w:t>2.1.1.1.4.调度计划管理</w:t>
      </w:r>
    </w:p>
    <w:p w14:paraId="70368C02">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为采集任务设置调度执行计划，支持对每个调度计划的采集主任务进行灵活配置。主要功能包括：</w:t>
      </w:r>
    </w:p>
    <w:p w14:paraId="62CEFDA5">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（1）调度任务管理：可自定义创建调度任务，关联采集任务。</w:t>
      </w:r>
    </w:p>
    <w:p w14:paraId="37F08487">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（2）调度计划维护，包括其计划任务、计划状态、任务机构、启动时间、停用时间以及任务模板选择。</w:t>
      </w:r>
    </w:p>
    <w:p w14:paraId="05F4ED7B">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（3）停启用：可对现有调度计划进行维护，包含一键启用、一键停用。</w:t>
      </w:r>
    </w:p>
    <w:p w14:paraId="109C10D4">
      <w:pPr>
        <w:pStyle w:val="6"/>
        <w:keepNext w:val="0"/>
        <w:keepLines w:val="0"/>
        <w:pageBreakBefore w:val="0"/>
        <w:kinsoku/>
        <w:wordWrap/>
        <w:overflowPunct/>
        <w:topLinePunct w:val="0"/>
        <w:autoSpaceDE/>
        <w:autoSpaceDN/>
        <w:bidi w:val="0"/>
        <w:adjustRightInd/>
        <w:snapToGrid/>
        <w:spacing w:line="500" w:lineRule="exact"/>
        <w:ind w:left="855"/>
        <w:jc w:val="both"/>
        <w:textAlignment w:val="auto"/>
        <w:rPr>
          <w:rFonts w:hint="eastAsia" w:ascii="宋体" w:hAnsi="宋体" w:eastAsia="宋体" w:cs="宋体"/>
          <w:sz w:val="24"/>
          <w:szCs w:val="24"/>
        </w:rPr>
      </w:pPr>
      <w:r>
        <w:rPr>
          <w:rFonts w:hint="eastAsia" w:ascii="宋体" w:hAnsi="宋体" w:eastAsia="宋体" w:cs="宋体"/>
          <w:b/>
          <w:sz w:val="24"/>
          <w:szCs w:val="24"/>
        </w:rPr>
        <w:t>2.1.1.1.5.调度监控中心</w:t>
      </w:r>
    </w:p>
    <w:p w14:paraId="364FEDA9">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调度监控中心对各采集任务的运行状态进行实时监控，可以对采集整个采集过程的日志信息进行查看，方便用户掌握采集任务的运行情况以及具体的错误信息以便做出整改。主要功能包括：</w:t>
      </w:r>
    </w:p>
    <w:p w14:paraId="43692C56">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（1）可显示前置数据源、平台库采集状态，显示数据采集步骤和数据同步步骤，并在这两个步骤中可查看数据详情，并可下载日志。</w:t>
      </w:r>
    </w:p>
    <w:p w14:paraId="7FF44589">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（2）可显示执行状态。</w:t>
      </w:r>
    </w:p>
    <w:p w14:paraId="1CC6D032">
      <w:pPr>
        <w:pStyle w:val="6"/>
        <w:keepNext w:val="0"/>
        <w:keepLines w:val="0"/>
        <w:pageBreakBefore w:val="0"/>
        <w:kinsoku/>
        <w:wordWrap/>
        <w:overflowPunct/>
        <w:topLinePunct w:val="0"/>
        <w:autoSpaceDE/>
        <w:autoSpaceDN/>
        <w:bidi w:val="0"/>
        <w:adjustRightInd/>
        <w:snapToGrid/>
        <w:spacing w:line="500" w:lineRule="exact"/>
        <w:ind w:left="855"/>
        <w:jc w:val="both"/>
        <w:textAlignment w:val="auto"/>
        <w:rPr>
          <w:rFonts w:hint="eastAsia" w:ascii="宋体" w:hAnsi="宋体" w:eastAsia="宋体" w:cs="宋体"/>
          <w:sz w:val="24"/>
          <w:szCs w:val="24"/>
        </w:rPr>
      </w:pPr>
      <w:r>
        <w:rPr>
          <w:rFonts w:hint="eastAsia" w:ascii="宋体" w:hAnsi="宋体" w:eastAsia="宋体" w:cs="宋体"/>
          <w:b/>
          <w:sz w:val="24"/>
          <w:szCs w:val="24"/>
        </w:rPr>
        <w:t>2.1.1.1.6.采集统计日报</w:t>
      </w:r>
    </w:p>
    <w:p w14:paraId="538935D9">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对采集任务的每日任务数量、抽取率、清洗率、转换率、加载率进行统计展示，方便用户掌握当天数据的采集与加载情况。</w:t>
      </w:r>
    </w:p>
    <w:p w14:paraId="69AAF027">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主要功能包括：</w:t>
      </w:r>
    </w:p>
    <w:p w14:paraId="5FC2CF1F">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（1）调度计划统计：查看当日系统调度计划数、采集数据量、采集用时。</w:t>
      </w:r>
    </w:p>
    <w:p w14:paraId="13F9BFDC">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（2）调度任务统计：查看某一调度计划的采集任务个数、计划抽取量、实际抽取量、计划加载量、实际加载量。</w:t>
      </w:r>
    </w:p>
    <w:p w14:paraId="4CCD01B1">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（3）前置机库和平台库传输统计：中应传数据表（个）、应传数据量（行）、已传数据表（个）、已传数据量（行）进行统计展示。</w:t>
      </w:r>
    </w:p>
    <w:p w14:paraId="20A2DCE0">
      <w:pPr>
        <w:pStyle w:val="6"/>
        <w:keepNext w:val="0"/>
        <w:keepLines w:val="0"/>
        <w:pageBreakBefore w:val="0"/>
        <w:kinsoku/>
        <w:wordWrap/>
        <w:overflowPunct/>
        <w:topLinePunct w:val="0"/>
        <w:autoSpaceDE/>
        <w:autoSpaceDN/>
        <w:bidi w:val="0"/>
        <w:adjustRightInd/>
        <w:snapToGrid/>
        <w:spacing w:line="500" w:lineRule="exact"/>
        <w:ind w:left="870"/>
        <w:jc w:val="both"/>
        <w:textAlignment w:val="auto"/>
        <w:rPr>
          <w:rFonts w:hint="eastAsia" w:ascii="宋体" w:hAnsi="宋体" w:eastAsia="宋体" w:cs="宋体"/>
          <w:sz w:val="24"/>
          <w:szCs w:val="24"/>
        </w:rPr>
      </w:pPr>
      <w:r>
        <w:rPr>
          <w:rFonts w:hint="eastAsia" w:ascii="宋体" w:hAnsi="宋体" w:eastAsia="宋体" w:cs="宋体"/>
          <w:b/>
          <w:sz w:val="24"/>
          <w:szCs w:val="24"/>
        </w:rPr>
        <w:t>2.1.1.2.数据质控与治理管理系统(评审项3)</w:t>
      </w:r>
    </w:p>
    <w:p w14:paraId="6482410A">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数据质控与治理管理是指对数据进行校验评价和治理转换的过程。其中，校验质控是通过面向源数据配置校验规则、评分规则、报告模板后，系统自动生成相应的校验报告和评分报告，持续促进、改善源数据质量。治理转换则是对数据结构进行转换、修复等规则的配置。完成校验规则及治理规则编辑后，已编辑的规则支持定时、手动的任务配置，以完成数据评价、转换的闭环管理过程。</w:t>
      </w:r>
    </w:p>
    <w:p w14:paraId="3896E1F0">
      <w:pPr>
        <w:pStyle w:val="6"/>
        <w:keepNext w:val="0"/>
        <w:keepLines w:val="0"/>
        <w:pageBreakBefore w:val="0"/>
        <w:kinsoku/>
        <w:wordWrap/>
        <w:overflowPunct/>
        <w:topLinePunct w:val="0"/>
        <w:autoSpaceDE/>
        <w:autoSpaceDN/>
        <w:bidi w:val="0"/>
        <w:adjustRightInd/>
        <w:snapToGrid/>
        <w:spacing w:line="500" w:lineRule="exact"/>
        <w:ind w:left="855"/>
        <w:jc w:val="both"/>
        <w:textAlignment w:val="auto"/>
        <w:rPr>
          <w:rFonts w:hint="eastAsia" w:ascii="宋体" w:hAnsi="宋体" w:eastAsia="宋体" w:cs="宋体"/>
          <w:sz w:val="24"/>
          <w:szCs w:val="24"/>
        </w:rPr>
      </w:pPr>
      <w:r>
        <w:rPr>
          <w:rFonts w:hint="eastAsia" w:ascii="宋体" w:hAnsi="宋体" w:eastAsia="宋体" w:cs="宋体"/>
          <w:b/>
          <w:sz w:val="24"/>
          <w:szCs w:val="24"/>
        </w:rPr>
        <w:t>2.1.1.2.1.质控规则管理</w:t>
      </w:r>
    </w:p>
    <w:p w14:paraId="177BE31B">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质控规则管理维护数据的校验规则，系统根据区域全民健康信息互联互通成熟的测评方案将数据质控分为完整性质控、规范性质控、一致性质控、准确性质控、及时性质控。</w:t>
      </w:r>
    </w:p>
    <w:p w14:paraId="0CD10B4A">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此外，系统将数据校验结果作为参数进行计算得出一组有效数字作为数据质量评分，可以将数据质量情况直观的展示给用户。系统定义了完整性、规范性、一致性、准确性和及时性五个维度的评分计算公式和权重形成五个一级评分指标，通过该模型能够实现数据质控的精确评价。</w:t>
      </w:r>
    </w:p>
    <w:p w14:paraId="49062ECB">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2.1.1.2.1.1.质控表管理</w:t>
      </w:r>
    </w:p>
    <w:p w14:paraId="6E27FC6E">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用于管理质控过程中涉及的各个业务表的信息，主要包括功能：</w:t>
      </w:r>
    </w:p>
    <w:p w14:paraId="3C121CF2">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用户可以手动添加和修改业务表信息；</w:t>
      </w:r>
    </w:p>
    <w:p w14:paraId="30E657D3">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为质控业务表添加字段信息，并设置校验条件及评分标准；</w:t>
      </w:r>
    </w:p>
    <w:p w14:paraId="3691CFD3">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设置该表的关联表信息及评分规则；</w:t>
      </w:r>
    </w:p>
    <w:p w14:paraId="799345A2">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对不同的校验规则版本进行管理。</w:t>
      </w:r>
    </w:p>
    <w:p w14:paraId="5DEB1AA9">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2.1.1.2.1.2.质控调度流水</w:t>
      </w:r>
    </w:p>
    <w:p w14:paraId="00822786">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展示质控作业执行的结果以日志的形式在前端进行展示，用户可根据机构、时间、业务表名称、验证结果进行查询。</w:t>
      </w:r>
    </w:p>
    <w:p w14:paraId="5C54DA38">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2.1.1.2.1.3.校验模板</w:t>
      </w:r>
    </w:p>
    <w:p w14:paraId="0C9CAD75">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用于维护业务表字段校验的规则模板，支持非空、字典项值域匹配、正则匹配等多种方式，并设置异常信息提示。</w:t>
      </w:r>
    </w:p>
    <w:p w14:paraId="1D211F53">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2.1.1.2.1.4.质控统计报表</w:t>
      </w:r>
    </w:p>
    <w:p w14:paraId="79AAC2CE">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将数据传输过程的质量情况进行自动汇总，对辖区内各个医疗机构上传数据的质量评估结果进行综合的展示，包括关联性、规范性等各个质量评估标准下所有评估的日志。支持以Excel的形式展示数据质量评估的详细日志，供各个医疗机构查看与整改。</w:t>
      </w:r>
    </w:p>
    <w:p w14:paraId="4AA50BE6">
      <w:pPr>
        <w:pStyle w:val="6"/>
        <w:keepNext w:val="0"/>
        <w:keepLines w:val="0"/>
        <w:pageBreakBefore w:val="0"/>
        <w:kinsoku/>
        <w:wordWrap/>
        <w:overflowPunct/>
        <w:topLinePunct w:val="0"/>
        <w:autoSpaceDE/>
        <w:autoSpaceDN/>
        <w:bidi w:val="0"/>
        <w:adjustRightInd/>
        <w:snapToGrid/>
        <w:spacing w:line="500" w:lineRule="exact"/>
        <w:ind w:left="855"/>
        <w:jc w:val="both"/>
        <w:textAlignment w:val="auto"/>
        <w:rPr>
          <w:rFonts w:hint="eastAsia" w:ascii="宋体" w:hAnsi="宋体" w:eastAsia="宋体" w:cs="宋体"/>
          <w:sz w:val="24"/>
          <w:szCs w:val="24"/>
        </w:rPr>
      </w:pPr>
      <w:r>
        <w:rPr>
          <w:rFonts w:hint="eastAsia" w:ascii="宋体" w:hAnsi="宋体" w:eastAsia="宋体" w:cs="宋体"/>
          <w:b/>
          <w:sz w:val="24"/>
          <w:szCs w:val="24"/>
        </w:rPr>
        <w:t>2.1.1.2.2.数据转换管理</w:t>
      </w:r>
    </w:p>
    <w:p w14:paraId="124B5A59">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在业务应用过程中，数据校验完成后，为进行业务应用还需要根据源数据内容，将源数据转换为目标数据/标准数据的格式，数据转换模块支持根据用户需求自定义数据转换规则。转换规则支持数据从一种格式或结构转化为另一种格式或结构，包括合并、拆分、字典转换、特定格式字段转换等。</w:t>
      </w:r>
    </w:p>
    <w:p w14:paraId="4857CDBE">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2.1.1.2.2.1.配置转换</w:t>
      </w:r>
    </w:p>
    <w:p w14:paraId="4698B869">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根据具体需求，选择好需要建立规则的目标表，设定所需要建立的规则名称与规则说明，选择源表与目标表进行关联，可以进行具体表与字段的筛选。完成表关系对应与相应筛选后，进行左外链接、内连接和右外连接三种关系选择，也可进行多表配置。将所有关系配置完成后生成对应的数据映射视图，将目标表与源表进行映射关系关联，完成具体表达式输出，形成一套完整的可视化配置。规则建立完成后，相应规则归纳在目标表规则管理列表中。</w:t>
      </w:r>
    </w:p>
    <w:p w14:paraId="46C38F58">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1.转换设计器</w:t>
      </w:r>
    </w:p>
    <w:p w14:paraId="152DFC5F">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提供可视化界面工具，用于创建、编辑和管理数据转换规则。</w:t>
      </w:r>
    </w:p>
    <w:p w14:paraId="196B4DB2">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2.源数据输入表配置管理</w:t>
      </w:r>
    </w:p>
    <w:p w14:paraId="785CE040">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配置和管理转换规则中使用的源表及字段信息。</w:t>
      </w:r>
    </w:p>
    <w:p w14:paraId="27D7F9F5">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3.源数据输出表配置管理</w:t>
      </w:r>
    </w:p>
    <w:p w14:paraId="766B41C3">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配置和管理转换规则中生成的目标表及字段信息。</w:t>
      </w:r>
    </w:p>
    <w:p w14:paraId="5C3A7298">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2.1.1.2.2.2.字典转换</w:t>
      </w:r>
    </w:p>
    <w:p w14:paraId="45229650">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管理和配置字典映射规则，将源数据中的编码或枚举值转换为目标数据标准值。</w:t>
      </w:r>
    </w:p>
    <w:p w14:paraId="3F994B09">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2.1.1.2.2.3.结构转换</w:t>
      </w:r>
    </w:p>
    <w:p w14:paraId="3F52C3A7">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配置数据结构的转换规则，如字段处理，实现数据结构的标准化。</w:t>
      </w:r>
    </w:p>
    <w:p w14:paraId="099964AC">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对转换规则进行编辑、修改或删除操作，保证规则的准确性与更新。</w:t>
      </w:r>
    </w:p>
    <w:p w14:paraId="426493F7">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2.1.1.2.2.4.任务调度</w:t>
      </w:r>
    </w:p>
    <w:p w14:paraId="7F648D5D">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主要用于治理任务的创建、编辑以及查看，治理任务支持根据转换规则配置数据治理执行任务，任务配置可以根据不同场景配置相应的任务，支持定时任务配置，也可进行循环任务配置。用户可查看具体执行任务、执行状态、执行日志。在任务调度管理中可查看具体任务的状态，也可对任务进行停、启用操作。</w:t>
      </w:r>
    </w:p>
    <w:p w14:paraId="67005A15">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1.新增转换任务</w:t>
      </w:r>
    </w:p>
    <w:p w14:paraId="0E1FAFD6">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新增数据转换任务，选择任务后配置相关信息。</w:t>
      </w:r>
    </w:p>
    <w:p w14:paraId="68ED3C1D">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2.转换任务运行</w:t>
      </w:r>
    </w:p>
    <w:p w14:paraId="76202F18">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支持对已创建的转换任务进行运行控制。</w:t>
      </w:r>
    </w:p>
    <w:p w14:paraId="7647F5A7">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3.转换任务下次运行时间</w:t>
      </w:r>
    </w:p>
    <w:p w14:paraId="43BFBDA3">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显示转换任务的下次计划运行时间，方便用户了解任务调度周期。</w:t>
      </w:r>
    </w:p>
    <w:p w14:paraId="1A977D89">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4.转换任务查询</w:t>
      </w:r>
    </w:p>
    <w:p w14:paraId="469E4667">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支持转换任务调度名称进行检索查询。</w:t>
      </w:r>
    </w:p>
    <w:p w14:paraId="1BC99F53">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5.转换任务列表</w:t>
      </w:r>
    </w:p>
    <w:p w14:paraId="39B68B89">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以列表形式展示所有已创建的转换任务，包含任务调度名称、生命周期、触发方式、执行频率、启用状态。</w:t>
      </w:r>
    </w:p>
    <w:p w14:paraId="1918F13C">
      <w:pPr>
        <w:pStyle w:val="6"/>
        <w:keepNext w:val="0"/>
        <w:keepLines w:val="0"/>
        <w:pageBreakBefore w:val="0"/>
        <w:kinsoku/>
        <w:wordWrap/>
        <w:overflowPunct/>
        <w:topLinePunct w:val="0"/>
        <w:autoSpaceDE/>
        <w:autoSpaceDN/>
        <w:bidi w:val="0"/>
        <w:adjustRightInd/>
        <w:snapToGrid/>
        <w:spacing w:line="500" w:lineRule="exact"/>
        <w:ind w:left="855"/>
        <w:jc w:val="both"/>
        <w:textAlignment w:val="auto"/>
        <w:rPr>
          <w:rFonts w:hint="eastAsia" w:ascii="宋体" w:hAnsi="宋体" w:eastAsia="宋体" w:cs="宋体"/>
          <w:sz w:val="24"/>
          <w:szCs w:val="24"/>
        </w:rPr>
      </w:pPr>
      <w:r>
        <w:rPr>
          <w:rFonts w:hint="eastAsia" w:ascii="宋体" w:hAnsi="宋体" w:eastAsia="宋体" w:cs="宋体"/>
          <w:b/>
          <w:sz w:val="24"/>
          <w:szCs w:val="24"/>
        </w:rPr>
        <w:t>2.1.1.2.3.基础信息管理</w:t>
      </w:r>
    </w:p>
    <w:p w14:paraId="30663500">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基础信息管理主要用于对系统运行所涉及相关方及通知信息进行管理。</w:t>
      </w:r>
    </w:p>
    <w:p w14:paraId="5D7BD505">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2.1.1.2.3.1.厂商管理</w:t>
      </w:r>
    </w:p>
    <w:p w14:paraId="60025CC4">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用于管理接入平台的业务系统厂商进行管理，主要包括：</w:t>
      </w:r>
    </w:p>
    <w:p w14:paraId="3266FC24">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（1）厂商信息维护：新增、删除、修改厂商信息。</w:t>
      </w:r>
    </w:p>
    <w:p w14:paraId="1B906EC5">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（2）对接表管理：可维护该厂商服务的医疗机构，并关联数据采集的表新信息。</w:t>
      </w:r>
    </w:p>
    <w:p w14:paraId="168AC71B">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2.1.1.2.3.2.机构管理</w:t>
      </w:r>
    </w:p>
    <w:p w14:paraId="4C954DDF">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用于管理接入医疗机构进行管理，主要包括：</w:t>
      </w:r>
    </w:p>
    <w:p w14:paraId="73130FC1">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机构信息维护：新增、删除、修改厂商信息；</w:t>
      </w:r>
    </w:p>
    <w:p w14:paraId="4FF4A18E">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对接表查询：可查看该机构的所有厂商的数据采集范围。</w:t>
      </w:r>
    </w:p>
    <w:p w14:paraId="255F3357">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2.1.1.2.3.3.通知任务管理</w:t>
      </w:r>
    </w:p>
    <w:p w14:paraId="67A1512B">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系统支持通过邮件的方式向机构或者厂商的对接人发送数据质量报告，便于及时了解数据上传情况及质量情况。</w:t>
      </w:r>
    </w:p>
    <w:p w14:paraId="0369393E">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2.1.1.2.3.4.常量管理</w:t>
      </w:r>
    </w:p>
    <w:p w14:paraId="6306A317">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用于对系统质控过程涉及常量参数和异常量进行管理，用户可以自定义添加，并对参数进行配置。</w:t>
      </w:r>
    </w:p>
    <w:p w14:paraId="1C9AC31F">
      <w:pPr>
        <w:pStyle w:val="6"/>
        <w:keepNext w:val="0"/>
        <w:keepLines w:val="0"/>
        <w:pageBreakBefore w:val="0"/>
        <w:kinsoku/>
        <w:wordWrap/>
        <w:overflowPunct/>
        <w:topLinePunct w:val="0"/>
        <w:autoSpaceDE/>
        <w:autoSpaceDN/>
        <w:bidi w:val="0"/>
        <w:adjustRightInd/>
        <w:snapToGrid/>
        <w:spacing w:line="500" w:lineRule="exact"/>
        <w:ind w:left="870"/>
        <w:jc w:val="both"/>
        <w:textAlignment w:val="auto"/>
        <w:rPr>
          <w:rFonts w:hint="eastAsia" w:ascii="宋体" w:hAnsi="宋体" w:eastAsia="宋体" w:cs="宋体"/>
          <w:sz w:val="24"/>
          <w:szCs w:val="24"/>
        </w:rPr>
      </w:pPr>
      <w:r>
        <w:rPr>
          <w:rFonts w:hint="eastAsia" w:ascii="宋体" w:hAnsi="宋体" w:eastAsia="宋体" w:cs="宋体"/>
          <w:b/>
          <w:sz w:val="24"/>
          <w:szCs w:val="24"/>
        </w:rPr>
        <w:t>2.1.1.3.数据资源管理系统(评审项4)</w:t>
      </w:r>
    </w:p>
    <w:p w14:paraId="1F5A7AC0">
      <w:pPr>
        <w:pStyle w:val="6"/>
        <w:keepNext w:val="0"/>
        <w:keepLines w:val="0"/>
        <w:pageBreakBefore w:val="0"/>
        <w:kinsoku/>
        <w:wordWrap/>
        <w:overflowPunct/>
        <w:topLinePunct w:val="0"/>
        <w:autoSpaceDE/>
        <w:autoSpaceDN/>
        <w:bidi w:val="0"/>
        <w:adjustRightInd/>
        <w:snapToGrid/>
        <w:spacing w:line="500" w:lineRule="exact"/>
        <w:ind w:left="855"/>
        <w:jc w:val="both"/>
        <w:textAlignment w:val="auto"/>
        <w:rPr>
          <w:rFonts w:hint="eastAsia" w:ascii="宋体" w:hAnsi="宋体" w:eastAsia="宋体" w:cs="宋体"/>
          <w:sz w:val="24"/>
          <w:szCs w:val="24"/>
        </w:rPr>
      </w:pPr>
      <w:r>
        <w:rPr>
          <w:rFonts w:hint="eastAsia" w:ascii="宋体" w:hAnsi="宋体" w:eastAsia="宋体" w:cs="宋体"/>
          <w:b/>
          <w:sz w:val="24"/>
          <w:szCs w:val="24"/>
        </w:rPr>
        <w:t>2.1.1.3.1.首页(评审项5)</w:t>
      </w:r>
    </w:p>
    <w:p w14:paraId="1B1AC456">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首页包含数据资源目录概况、热门服务和通知公告三个模块。</w:t>
      </w:r>
    </w:p>
    <w:p w14:paraId="301E91E2">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数据资源目录概况：可查看系统中维护的资源目录分类及数量。</w:t>
      </w:r>
    </w:p>
    <w:p w14:paraId="62B08FE9">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热门服务：展示统一系统中维护的热门服务列表，展示前五下载热门资源。</w:t>
      </w:r>
    </w:p>
    <w:p w14:paraId="47BC370B">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帮助与公告：按发布时间倒序取前四条通知公告内容进行列表展示。</w:t>
      </w:r>
    </w:p>
    <w:p w14:paraId="2977B0C3">
      <w:pPr>
        <w:pStyle w:val="6"/>
        <w:keepNext w:val="0"/>
        <w:keepLines w:val="0"/>
        <w:pageBreakBefore w:val="0"/>
        <w:kinsoku/>
        <w:wordWrap/>
        <w:overflowPunct/>
        <w:topLinePunct w:val="0"/>
        <w:autoSpaceDE/>
        <w:autoSpaceDN/>
        <w:bidi w:val="0"/>
        <w:adjustRightInd/>
        <w:snapToGrid/>
        <w:spacing w:line="500" w:lineRule="exact"/>
        <w:ind w:left="855"/>
        <w:jc w:val="both"/>
        <w:textAlignment w:val="auto"/>
        <w:rPr>
          <w:rFonts w:hint="eastAsia" w:ascii="宋体" w:hAnsi="宋体" w:eastAsia="宋体" w:cs="宋体"/>
          <w:sz w:val="24"/>
          <w:szCs w:val="24"/>
        </w:rPr>
      </w:pPr>
      <w:r>
        <w:rPr>
          <w:rFonts w:hint="eastAsia" w:ascii="宋体" w:hAnsi="宋体" w:eastAsia="宋体" w:cs="宋体"/>
          <w:b/>
          <w:sz w:val="24"/>
          <w:szCs w:val="24"/>
        </w:rPr>
        <w:t>2.1.1.3.2.系统管理(评审项6)</w:t>
      </w:r>
    </w:p>
    <w:p w14:paraId="790E61FA">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2.1.1.3.2.1.数据源管理</w:t>
      </w:r>
    </w:p>
    <w:p w14:paraId="33B5CC7B">
      <w:pPr>
        <w:pStyle w:val="6"/>
        <w:keepNext w:val="0"/>
        <w:keepLines w:val="0"/>
        <w:pageBreakBefore w:val="0"/>
        <w:kinsoku/>
        <w:wordWrap/>
        <w:overflowPunct/>
        <w:topLinePunct w:val="0"/>
        <w:autoSpaceDE/>
        <w:autoSpaceDN/>
        <w:bidi w:val="0"/>
        <w:adjustRightInd/>
        <w:snapToGrid/>
        <w:spacing w:line="500" w:lineRule="exact"/>
        <w:ind w:firstLine="480"/>
        <w:jc w:val="left"/>
        <w:textAlignment w:val="auto"/>
        <w:rPr>
          <w:rFonts w:hint="eastAsia" w:ascii="宋体" w:hAnsi="宋体" w:eastAsia="宋体" w:cs="宋体"/>
          <w:sz w:val="24"/>
          <w:szCs w:val="24"/>
        </w:rPr>
      </w:pPr>
      <w:r>
        <w:rPr>
          <w:rFonts w:hint="eastAsia" w:ascii="宋体" w:hAnsi="宋体" w:eastAsia="宋体" w:cs="宋体"/>
          <w:sz w:val="24"/>
          <w:szCs w:val="24"/>
        </w:rPr>
        <w:t>基于资源目录管理维护所形成的资源目录（树）所进行的对资源的维护。可新建、编辑、删除数据源。查看数据源连通性。</w:t>
      </w:r>
    </w:p>
    <w:p w14:paraId="44472808">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2.1.1.3.2.2.资源目录管理</w:t>
      </w:r>
    </w:p>
    <w:p w14:paraId="652A86AE">
      <w:pPr>
        <w:pStyle w:val="6"/>
        <w:keepNext w:val="0"/>
        <w:keepLines w:val="0"/>
        <w:pageBreakBefore w:val="0"/>
        <w:kinsoku/>
        <w:wordWrap/>
        <w:overflowPunct/>
        <w:topLinePunct w:val="0"/>
        <w:autoSpaceDE/>
        <w:autoSpaceDN/>
        <w:bidi w:val="0"/>
        <w:adjustRightInd/>
        <w:snapToGrid/>
        <w:spacing w:line="500" w:lineRule="exact"/>
        <w:ind w:firstLine="480"/>
        <w:jc w:val="left"/>
        <w:textAlignment w:val="auto"/>
        <w:rPr>
          <w:rFonts w:hint="eastAsia" w:ascii="宋体" w:hAnsi="宋体" w:eastAsia="宋体" w:cs="宋体"/>
          <w:sz w:val="24"/>
          <w:szCs w:val="24"/>
        </w:rPr>
      </w:pPr>
      <w:r>
        <w:rPr>
          <w:rFonts w:hint="eastAsia" w:ascii="宋体" w:hAnsi="宋体" w:eastAsia="宋体" w:cs="宋体"/>
          <w:sz w:val="24"/>
          <w:szCs w:val="24"/>
        </w:rPr>
        <w:t>可维护资源目录名称，新建、编辑、删除资源目录名称、目录编码、目录标签等。</w:t>
      </w:r>
    </w:p>
    <w:p w14:paraId="6CF0194D">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2.1.1.3.2.3.脱敏授权管理</w:t>
      </w:r>
    </w:p>
    <w:p w14:paraId="7704E5CE">
      <w:pPr>
        <w:pStyle w:val="6"/>
        <w:keepNext w:val="0"/>
        <w:keepLines w:val="0"/>
        <w:pageBreakBefore w:val="0"/>
        <w:kinsoku/>
        <w:wordWrap/>
        <w:overflowPunct/>
        <w:topLinePunct w:val="0"/>
        <w:autoSpaceDE/>
        <w:autoSpaceDN/>
        <w:bidi w:val="0"/>
        <w:adjustRightInd/>
        <w:snapToGrid/>
        <w:spacing w:line="500" w:lineRule="exact"/>
        <w:ind w:firstLine="480"/>
        <w:jc w:val="left"/>
        <w:textAlignment w:val="auto"/>
        <w:rPr>
          <w:rFonts w:hint="eastAsia" w:ascii="宋体" w:hAnsi="宋体" w:eastAsia="宋体" w:cs="宋体"/>
          <w:sz w:val="24"/>
          <w:szCs w:val="24"/>
        </w:rPr>
      </w:pPr>
      <w:r>
        <w:rPr>
          <w:rFonts w:hint="eastAsia" w:ascii="宋体" w:hAnsi="宋体" w:eastAsia="宋体" w:cs="宋体"/>
          <w:sz w:val="24"/>
          <w:szCs w:val="24"/>
        </w:rPr>
        <w:t>可维护五级数据脱敏角色。新增、编辑、删除、停用、启用脱敏角色。</w:t>
      </w:r>
    </w:p>
    <w:p w14:paraId="290925E4">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2.1.1.3.2.4.帮助与公告管理</w:t>
      </w:r>
    </w:p>
    <w:p w14:paraId="7CF68AD6">
      <w:pPr>
        <w:pStyle w:val="6"/>
        <w:keepNext w:val="0"/>
        <w:keepLines w:val="0"/>
        <w:pageBreakBefore w:val="0"/>
        <w:kinsoku/>
        <w:wordWrap/>
        <w:overflowPunct/>
        <w:topLinePunct w:val="0"/>
        <w:autoSpaceDE/>
        <w:autoSpaceDN/>
        <w:bidi w:val="0"/>
        <w:adjustRightInd/>
        <w:snapToGrid/>
        <w:spacing w:line="500" w:lineRule="exact"/>
        <w:ind w:firstLine="480"/>
        <w:jc w:val="left"/>
        <w:textAlignment w:val="auto"/>
        <w:rPr>
          <w:rFonts w:hint="eastAsia" w:ascii="宋体" w:hAnsi="宋体" w:eastAsia="宋体" w:cs="宋体"/>
          <w:sz w:val="24"/>
          <w:szCs w:val="24"/>
        </w:rPr>
      </w:pPr>
      <w:r>
        <w:rPr>
          <w:rFonts w:hint="eastAsia" w:ascii="宋体" w:hAnsi="宋体" w:eastAsia="宋体" w:cs="宋体"/>
          <w:sz w:val="24"/>
          <w:szCs w:val="24"/>
        </w:rPr>
        <w:t>本功能维护帮助中心和最新公告的内容。通过系统的门户向访问本系统的所有类型用户展示。完成对公告的一系列管理，帮助与公告的新建、发布、删除等。</w:t>
      </w:r>
    </w:p>
    <w:p w14:paraId="636A7897">
      <w:pPr>
        <w:pStyle w:val="6"/>
        <w:keepNext w:val="0"/>
        <w:keepLines w:val="0"/>
        <w:pageBreakBefore w:val="0"/>
        <w:kinsoku/>
        <w:wordWrap/>
        <w:overflowPunct/>
        <w:topLinePunct w:val="0"/>
        <w:autoSpaceDE/>
        <w:autoSpaceDN/>
        <w:bidi w:val="0"/>
        <w:adjustRightInd/>
        <w:snapToGrid/>
        <w:spacing w:line="500" w:lineRule="exact"/>
        <w:ind w:left="855"/>
        <w:jc w:val="both"/>
        <w:textAlignment w:val="auto"/>
        <w:rPr>
          <w:rFonts w:hint="eastAsia" w:ascii="宋体" w:hAnsi="宋体" w:eastAsia="宋体" w:cs="宋体"/>
          <w:sz w:val="24"/>
          <w:szCs w:val="24"/>
        </w:rPr>
      </w:pPr>
      <w:r>
        <w:rPr>
          <w:rFonts w:hint="eastAsia" w:ascii="宋体" w:hAnsi="宋体" w:eastAsia="宋体" w:cs="宋体"/>
          <w:b/>
          <w:sz w:val="24"/>
          <w:szCs w:val="24"/>
        </w:rPr>
        <w:t>2.1.1.3.3.资源浏览(评审项7)</w:t>
      </w:r>
    </w:p>
    <w:p w14:paraId="33510491">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2.1.1.3.3.1.资源检索</w:t>
      </w:r>
    </w:p>
    <w:p w14:paraId="3E12D1A5">
      <w:pPr>
        <w:pStyle w:val="6"/>
        <w:keepNext w:val="0"/>
        <w:keepLines w:val="0"/>
        <w:pageBreakBefore w:val="0"/>
        <w:kinsoku/>
        <w:wordWrap/>
        <w:overflowPunct/>
        <w:topLinePunct w:val="0"/>
        <w:autoSpaceDE/>
        <w:autoSpaceDN/>
        <w:bidi w:val="0"/>
        <w:adjustRightInd/>
        <w:snapToGrid/>
        <w:spacing w:line="500" w:lineRule="exact"/>
        <w:ind w:firstLine="480"/>
        <w:jc w:val="left"/>
        <w:textAlignment w:val="auto"/>
        <w:rPr>
          <w:rFonts w:hint="eastAsia" w:ascii="宋体" w:hAnsi="宋体" w:eastAsia="宋体" w:cs="宋体"/>
          <w:sz w:val="24"/>
          <w:szCs w:val="24"/>
        </w:rPr>
      </w:pPr>
      <w:r>
        <w:rPr>
          <w:rFonts w:hint="eastAsia" w:ascii="宋体" w:hAnsi="宋体" w:eastAsia="宋体" w:cs="宋体"/>
          <w:sz w:val="24"/>
          <w:szCs w:val="24"/>
        </w:rPr>
        <w:t>可查看资源资源管理中启用的资源；根据不同筛选条件检索资源。</w:t>
      </w:r>
    </w:p>
    <w:p w14:paraId="7CE1A0D5">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2.1.1.3.3.2.资源查看</w:t>
      </w:r>
    </w:p>
    <w:p w14:paraId="5906DFAA">
      <w:pPr>
        <w:pStyle w:val="6"/>
        <w:keepNext w:val="0"/>
        <w:keepLines w:val="0"/>
        <w:pageBreakBefore w:val="0"/>
        <w:kinsoku/>
        <w:wordWrap/>
        <w:overflowPunct/>
        <w:topLinePunct w:val="0"/>
        <w:autoSpaceDE/>
        <w:autoSpaceDN/>
        <w:bidi w:val="0"/>
        <w:adjustRightInd/>
        <w:snapToGrid/>
        <w:spacing w:line="500" w:lineRule="exact"/>
        <w:ind w:firstLine="480"/>
        <w:jc w:val="left"/>
        <w:textAlignment w:val="auto"/>
        <w:rPr>
          <w:rFonts w:hint="eastAsia" w:ascii="宋体" w:hAnsi="宋体" w:eastAsia="宋体" w:cs="宋体"/>
          <w:sz w:val="24"/>
          <w:szCs w:val="24"/>
        </w:rPr>
      </w:pPr>
      <w:r>
        <w:rPr>
          <w:rFonts w:hint="eastAsia" w:ascii="宋体" w:hAnsi="宋体" w:eastAsia="宋体" w:cs="宋体"/>
          <w:sz w:val="24"/>
          <w:szCs w:val="24"/>
        </w:rPr>
        <w:t>可查看资源基本信息、元数据信息、数据信息，</w:t>
      </w:r>
    </w:p>
    <w:p w14:paraId="7F212F0E">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2.1.1.3.3.3.资源下载申请</w:t>
      </w:r>
    </w:p>
    <w:p w14:paraId="22742B8C">
      <w:pPr>
        <w:pStyle w:val="6"/>
        <w:keepNext w:val="0"/>
        <w:keepLines w:val="0"/>
        <w:pageBreakBefore w:val="0"/>
        <w:kinsoku/>
        <w:wordWrap/>
        <w:overflowPunct/>
        <w:topLinePunct w:val="0"/>
        <w:autoSpaceDE/>
        <w:autoSpaceDN/>
        <w:bidi w:val="0"/>
        <w:adjustRightInd/>
        <w:snapToGrid/>
        <w:spacing w:line="500" w:lineRule="exact"/>
        <w:ind w:firstLine="480"/>
        <w:jc w:val="left"/>
        <w:textAlignment w:val="auto"/>
        <w:rPr>
          <w:rFonts w:hint="eastAsia" w:ascii="宋体" w:hAnsi="宋体" w:eastAsia="宋体" w:cs="宋体"/>
          <w:sz w:val="24"/>
          <w:szCs w:val="24"/>
        </w:rPr>
      </w:pPr>
      <w:r>
        <w:rPr>
          <w:rFonts w:hint="eastAsia" w:ascii="宋体" w:hAnsi="宋体" w:eastAsia="宋体" w:cs="宋体"/>
          <w:sz w:val="24"/>
          <w:szCs w:val="24"/>
        </w:rPr>
        <w:t>可资源进行下载申请，可灵活申请不同元数据的数据源类资源</w:t>
      </w:r>
    </w:p>
    <w:p w14:paraId="14C6F3C1">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2.1.1.3.3.4.资源二次脱敏设置</w:t>
      </w:r>
    </w:p>
    <w:p w14:paraId="54EB864C">
      <w:pPr>
        <w:pStyle w:val="6"/>
        <w:keepNext w:val="0"/>
        <w:keepLines w:val="0"/>
        <w:pageBreakBefore w:val="0"/>
        <w:kinsoku/>
        <w:wordWrap/>
        <w:overflowPunct/>
        <w:topLinePunct w:val="0"/>
        <w:autoSpaceDE/>
        <w:autoSpaceDN/>
        <w:bidi w:val="0"/>
        <w:adjustRightInd/>
        <w:snapToGrid/>
        <w:spacing w:line="500" w:lineRule="exact"/>
        <w:ind w:firstLine="480"/>
        <w:jc w:val="left"/>
        <w:textAlignment w:val="auto"/>
        <w:rPr>
          <w:rFonts w:hint="eastAsia" w:ascii="宋体" w:hAnsi="宋体" w:eastAsia="宋体" w:cs="宋体"/>
          <w:sz w:val="24"/>
          <w:szCs w:val="24"/>
        </w:rPr>
      </w:pPr>
      <w:r>
        <w:rPr>
          <w:rFonts w:hint="eastAsia" w:ascii="宋体" w:hAnsi="宋体" w:eastAsia="宋体" w:cs="宋体"/>
          <w:sz w:val="24"/>
          <w:szCs w:val="24"/>
        </w:rPr>
        <w:t>根据用户脱敏权限，对申请数据进行二次脱敏设置。</w:t>
      </w:r>
    </w:p>
    <w:p w14:paraId="38C4FDE8">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2.1.1.3.3.5.资源秘钥设置</w:t>
      </w:r>
    </w:p>
    <w:p w14:paraId="7DDD8F20">
      <w:pPr>
        <w:pStyle w:val="6"/>
        <w:keepNext w:val="0"/>
        <w:keepLines w:val="0"/>
        <w:pageBreakBefore w:val="0"/>
        <w:kinsoku/>
        <w:wordWrap/>
        <w:overflowPunct/>
        <w:topLinePunct w:val="0"/>
        <w:autoSpaceDE/>
        <w:autoSpaceDN/>
        <w:bidi w:val="0"/>
        <w:adjustRightInd/>
        <w:snapToGrid/>
        <w:spacing w:line="500" w:lineRule="exact"/>
        <w:ind w:firstLine="480"/>
        <w:jc w:val="left"/>
        <w:textAlignment w:val="auto"/>
        <w:rPr>
          <w:rFonts w:hint="eastAsia" w:ascii="宋体" w:hAnsi="宋体" w:eastAsia="宋体" w:cs="宋体"/>
          <w:sz w:val="24"/>
          <w:szCs w:val="24"/>
        </w:rPr>
      </w:pPr>
      <w:r>
        <w:rPr>
          <w:rFonts w:hint="eastAsia" w:ascii="宋体" w:hAnsi="宋体" w:eastAsia="宋体" w:cs="宋体"/>
          <w:sz w:val="24"/>
          <w:szCs w:val="24"/>
        </w:rPr>
        <w:t>对申请的资源进行资源秘钥加密设置。</w:t>
      </w:r>
    </w:p>
    <w:p w14:paraId="1B024D01">
      <w:pPr>
        <w:pStyle w:val="6"/>
        <w:keepNext w:val="0"/>
        <w:keepLines w:val="0"/>
        <w:pageBreakBefore w:val="0"/>
        <w:kinsoku/>
        <w:wordWrap/>
        <w:overflowPunct/>
        <w:topLinePunct w:val="0"/>
        <w:autoSpaceDE/>
        <w:autoSpaceDN/>
        <w:bidi w:val="0"/>
        <w:adjustRightInd/>
        <w:snapToGrid/>
        <w:spacing w:line="500" w:lineRule="exact"/>
        <w:ind w:left="855"/>
        <w:jc w:val="both"/>
        <w:textAlignment w:val="auto"/>
        <w:rPr>
          <w:rFonts w:hint="eastAsia" w:ascii="宋体" w:hAnsi="宋体" w:eastAsia="宋体" w:cs="宋体"/>
          <w:sz w:val="24"/>
          <w:szCs w:val="24"/>
        </w:rPr>
      </w:pPr>
      <w:r>
        <w:rPr>
          <w:rFonts w:hint="eastAsia" w:ascii="宋体" w:hAnsi="宋体" w:eastAsia="宋体" w:cs="宋体"/>
          <w:b/>
          <w:sz w:val="24"/>
          <w:szCs w:val="24"/>
        </w:rPr>
        <w:t>2.1.1.3.4.资源申请(评审项8)</w:t>
      </w:r>
    </w:p>
    <w:p w14:paraId="3F495FB6">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2.1.1.3.4.1.申请检索</w:t>
      </w:r>
    </w:p>
    <w:p w14:paraId="49C32EA5">
      <w:pPr>
        <w:pStyle w:val="6"/>
        <w:keepNext w:val="0"/>
        <w:keepLines w:val="0"/>
        <w:pageBreakBefore w:val="0"/>
        <w:kinsoku/>
        <w:wordWrap/>
        <w:overflowPunct/>
        <w:topLinePunct w:val="0"/>
        <w:autoSpaceDE/>
        <w:autoSpaceDN/>
        <w:bidi w:val="0"/>
        <w:adjustRightInd/>
        <w:snapToGrid/>
        <w:spacing w:line="500" w:lineRule="exact"/>
        <w:ind w:firstLine="480"/>
        <w:jc w:val="left"/>
        <w:textAlignment w:val="auto"/>
        <w:rPr>
          <w:rFonts w:hint="eastAsia" w:ascii="宋体" w:hAnsi="宋体" w:eastAsia="宋体" w:cs="宋体"/>
          <w:sz w:val="24"/>
          <w:szCs w:val="24"/>
        </w:rPr>
      </w:pPr>
      <w:r>
        <w:rPr>
          <w:rFonts w:hint="eastAsia" w:ascii="宋体" w:hAnsi="宋体" w:eastAsia="宋体" w:cs="宋体"/>
          <w:sz w:val="24"/>
          <w:szCs w:val="24"/>
        </w:rPr>
        <w:t>根据不同筛选条件检索申请的资源。</w:t>
      </w:r>
    </w:p>
    <w:p w14:paraId="62A4CD63">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2.1.1.3.4.2.资源审批</w:t>
      </w:r>
    </w:p>
    <w:p w14:paraId="56E322A5">
      <w:pPr>
        <w:pStyle w:val="6"/>
        <w:keepNext w:val="0"/>
        <w:keepLines w:val="0"/>
        <w:pageBreakBefore w:val="0"/>
        <w:kinsoku/>
        <w:wordWrap/>
        <w:overflowPunct/>
        <w:topLinePunct w:val="0"/>
        <w:autoSpaceDE/>
        <w:autoSpaceDN/>
        <w:bidi w:val="0"/>
        <w:adjustRightInd/>
        <w:snapToGrid/>
        <w:spacing w:line="500" w:lineRule="exact"/>
        <w:ind w:firstLine="480"/>
        <w:jc w:val="left"/>
        <w:textAlignment w:val="auto"/>
        <w:rPr>
          <w:rFonts w:hint="eastAsia" w:ascii="宋体" w:hAnsi="宋体" w:eastAsia="宋体" w:cs="宋体"/>
          <w:sz w:val="24"/>
          <w:szCs w:val="24"/>
        </w:rPr>
      </w:pPr>
      <w:r>
        <w:rPr>
          <w:rFonts w:hint="eastAsia" w:ascii="宋体" w:hAnsi="宋体" w:eastAsia="宋体" w:cs="宋体"/>
          <w:sz w:val="24"/>
          <w:szCs w:val="24"/>
        </w:rPr>
        <w:t>可对申请的资源进行审批处理。</w:t>
      </w:r>
    </w:p>
    <w:p w14:paraId="12F0C72E">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2.1.1.3.4.3.自动生成数据源类资源</w:t>
      </w:r>
    </w:p>
    <w:p w14:paraId="5B114554">
      <w:pPr>
        <w:pStyle w:val="6"/>
        <w:keepNext w:val="0"/>
        <w:keepLines w:val="0"/>
        <w:pageBreakBefore w:val="0"/>
        <w:kinsoku/>
        <w:wordWrap/>
        <w:overflowPunct/>
        <w:topLinePunct w:val="0"/>
        <w:autoSpaceDE/>
        <w:autoSpaceDN/>
        <w:bidi w:val="0"/>
        <w:adjustRightInd/>
        <w:snapToGrid/>
        <w:spacing w:line="500" w:lineRule="exact"/>
        <w:ind w:firstLine="480"/>
        <w:jc w:val="left"/>
        <w:textAlignment w:val="auto"/>
        <w:rPr>
          <w:rFonts w:hint="eastAsia" w:ascii="宋体" w:hAnsi="宋体" w:eastAsia="宋体" w:cs="宋体"/>
          <w:sz w:val="24"/>
          <w:szCs w:val="24"/>
        </w:rPr>
      </w:pPr>
      <w:r>
        <w:rPr>
          <w:rFonts w:hint="eastAsia" w:ascii="宋体" w:hAnsi="宋体" w:eastAsia="宋体" w:cs="宋体"/>
          <w:sz w:val="24"/>
          <w:szCs w:val="24"/>
        </w:rPr>
        <w:t>可自动生成审批通过的资源申请数据源数据并根据输入的秘钥进行加密打包处理。</w:t>
      </w:r>
    </w:p>
    <w:p w14:paraId="539AD840">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2.1.1.3.4.4.日志审计</w:t>
      </w:r>
    </w:p>
    <w:p w14:paraId="7E97A044">
      <w:pPr>
        <w:pStyle w:val="6"/>
        <w:keepNext w:val="0"/>
        <w:keepLines w:val="0"/>
        <w:pageBreakBefore w:val="0"/>
        <w:kinsoku/>
        <w:wordWrap/>
        <w:overflowPunct/>
        <w:topLinePunct w:val="0"/>
        <w:autoSpaceDE/>
        <w:autoSpaceDN/>
        <w:bidi w:val="0"/>
        <w:adjustRightInd/>
        <w:snapToGrid/>
        <w:spacing w:line="500" w:lineRule="exact"/>
        <w:ind w:firstLine="480"/>
        <w:jc w:val="left"/>
        <w:textAlignment w:val="auto"/>
        <w:rPr>
          <w:rFonts w:hint="eastAsia" w:ascii="宋体" w:hAnsi="宋体" w:eastAsia="宋体" w:cs="宋体"/>
          <w:sz w:val="24"/>
          <w:szCs w:val="24"/>
        </w:rPr>
      </w:pPr>
      <w:r>
        <w:rPr>
          <w:rFonts w:hint="eastAsia" w:ascii="宋体" w:hAnsi="宋体" w:eastAsia="宋体" w:cs="宋体"/>
          <w:sz w:val="24"/>
          <w:szCs w:val="24"/>
        </w:rPr>
        <w:t>可查看审批通过资源下载总量，下载用户信息前十列表。</w:t>
      </w:r>
    </w:p>
    <w:p w14:paraId="58E42AE2">
      <w:pPr>
        <w:pStyle w:val="6"/>
        <w:keepNext w:val="0"/>
        <w:keepLines w:val="0"/>
        <w:pageBreakBefore w:val="0"/>
        <w:kinsoku/>
        <w:wordWrap/>
        <w:overflowPunct/>
        <w:topLinePunct w:val="0"/>
        <w:autoSpaceDE/>
        <w:autoSpaceDN/>
        <w:bidi w:val="0"/>
        <w:adjustRightInd/>
        <w:snapToGrid/>
        <w:spacing w:line="500" w:lineRule="exact"/>
        <w:ind w:left="855"/>
        <w:jc w:val="both"/>
        <w:textAlignment w:val="auto"/>
        <w:rPr>
          <w:rFonts w:hint="eastAsia" w:ascii="宋体" w:hAnsi="宋体" w:eastAsia="宋体" w:cs="宋体"/>
          <w:sz w:val="24"/>
          <w:szCs w:val="24"/>
        </w:rPr>
      </w:pPr>
      <w:r>
        <w:rPr>
          <w:rFonts w:hint="eastAsia" w:ascii="宋体" w:hAnsi="宋体" w:eastAsia="宋体" w:cs="宋体"/>
          <w:b/>
          <w:sz w:val="24"/>
          <w:szCs w:val="24"/>
        </w:rPr>
        <w:t>2.1.1.3.5.资源管理(评审项9)</w:t>
      </w:r>
    </w:p>
    <w:p w14:paraId="1C30F5A9">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2.1.1.3.5.1.新建资源检索</w:t>
      </w:r>
    </w:p>
    <w:p w14:paraId="2AD639BA">
      <w:pPr>
        <w:pStyle w:val="6"/>
        <w:keepNext w:val="0"/>
        <w:keepLines w:val="0"/>
        <w:pageBreakBefore w:val="0"/>
        <w:kinsoku/>
        <w:wordWrap/>
        <w:overflowPunct/>
        <w:topLinePunct w:val="0"/>
        <w:autoSpaceDE/>
        <w:autoSpaceDN/>
        <w:bidi w:val="0"/>
        <w:adjustRightInd/>
        <w:snapToGrid/>
        <w:spacing w:line="500" w:lineRule="exact"/>
        <w:ind w:firstLine="480"/>
        <w:jc w:val="left"/>
        <w:textAlignment w:val="auto"/>
        <w:rPr>
          <w:rFonts w:hint="eastAsia" w:ascii="宋体" w:hAnsi="宋体" w:eastAsia="宋体" w:cs="宋体"/>
          <w:sz w:val="24"/>
          <w:szCs w:val="24"/>
        </w:rPr>
      </w:pPr>
      <w:r>
        <w:rPr>
          <w:rFonts w:hint="eastAsia" w:ascii="宋体" w:hAnsi="宋体" w:eastAsia="宋体" w:cs="宋体"/>
          <w:sz w:val="24"/>
          <w:szCs w:val="24"/>
        </w:rPr>
        <w:t>根据不同筛选条件检索新建的资源信息。</w:t>
      </w:r>
    </w:p>
    <w:p w14:paraId="17B6B685">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2.1.1.3.5.2.资源类型管理</w:t>
      </w:r>
    </w:p>
    <w:p w14:paraId="58F7C689">
      <w:pPr>
        <w:pStyle w:val="6"/>
        <w:keepNext w:val="0"/>
        <w:keepLines w:val="0"/>
        <w:pageBreakBefore w:val="0"/>
        <w:kinsoku/>
        <w:wordWrap/>
        <w:overflowPunct/>
        <w:topLinePunct w:val="0"/>
        <w:autoSpaceDE/>
        <w:autoSpaceDN/>
        <w:bidi w:val="0"/>
        <w:adjustRightInd/>
        <w:snapToGrid/>
        <w:spacing w:line="500" w:lineRule="exact"/>
        <w:ind w:firstLine="480"/>
        <w:jc w:val="left"/>
        <w:textAlignment w:val="auto"/>
        <w:rPr>
          <w:rFonts w:hint="eastAsia" w:ascii="宋体" w:hAnsi="宋体" w:eastAsia="宋体" w:cs="宋体"/>
          <w:sz w:val="24"/>
          <w:szCs w:val="24"/>
        </w:rPr>
      </w:pPr>
      <w:r>
        <w:rPr>
          <w:rFonts w:hint="eastAsia" w:ascii="宋体" w:hAnsi="宋体" w:eastAsia="宋体" w:cs="宋体"/>
          <w:sz w:val="24"/>
          <w:szCs w:val="24"/>
        </w:rPr>
        <w:t>可新建、编辑、删除、启用、停用数据源类资源、文件类资源、服务类资源。</w:t>
      </w:r>
    </w:p>
    <w:p w14:paraId="2348E211">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2.1.1.3.5.3.基本信息编辑</w:t>
      </w:r>
    </w:p>
    <w:p w14:paraId="16CE2B62">
      <w:pPr>
        <w:pStyle w:val="6"/>
        <w:keepNext w:val="0"/>
        <w:keepLines w:val="0"/>
        <w:pageBreakBefore w:val="0"/>
        <w:kinsoku/>
        <w:wordWrap/>
        <w:overflowPunct/>
        <w:topLinePunct w:val="0"/>
        <w:autoSpaceDE/>
        <w:autoSpaceDN/>
        <w:bidi w:val="0"/>
        <w:adjustRightInd/>
        <w:snapToGrid/>
        <w:spacing w:line="500" w:lineRule="exact"/>
        <w:ind w:firstLine="480"/>
        <w:jc w:val="left"/>
        <w:textAlignment w:val="auto"/>
        <w:rPr>
          <w:rFonts w:hint="eastAsia" w:ascii="宋体" w:hAnsi="宋体" w:eastAsia="宋体" w:cs="宋体"/>
          <w:sz w:val="24"/>
          <w:szCs w:val="24"/>
        </w:rPr>
      </w:pPr>
      <w:r>
        <w:rPr>
          <w:rFonts w:hint="eastAsia" w:ascii="宋体" w:hAnsi="宋体" w:eastAsia="宋体" w:cs="宋体"/>
          <w:sz w:val="24"/>
          <w:szCs w:val="24"/>
        </w:rPr>
        <w:t>可对新建的资源进行分级分类、共享类型设置、更新频率设置等</w:t>
      </w:r>
    </w:p>
    <w:p w14:paraId="30F4E535">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2.1.1.3.5.4.脚本信息</w:t>
      </w:r>
    </w:p>
    <w:p w14:paraId="3AC270CE">
      <w:pPr>
        <w:pStyle w:val="6"/>
        <w:keepNext w:val="0"/>
        <w:keepLines w:val="0"/>
        <w:pageBreakBefore w:val="0"/>
        <w:kinsoku/>
        <w:wordWrap/>
        <w:overflowPunct/>
        <w:topLinePunct w:val="0"/>
        <w:autoSpaceDE/>
        <w:autoSpaceDN/>
        <w:bidi w:val="0"/>
        <w:adjustRightInd/>
        <w:snapToGrid/>
        <w:spacing w:line="500" w:lineRule="exact"/>
        <w:ind w:firstLine="480"/>
        <w:jc w:val="left"/>
        <w:textAlignment w:val="auto"/>
        <w:rPr>
          <w:rFonts w:hint="eastAsia" w:ascii="宋体" w:hAnsi="宋体" w:eastAsia="宋体" w:cs="宋体"/>
          <w:sz w:val="24"/>
          <w:szCs w:val="24"/>
        </w:rPr>
      </w:pPr>
      <w:r>
        <w:rPr>
          <w:rFonts w:hint="eastAsia" w:ascii="宋体" w:hAnsi="宋体" w:eastAsia="宋体" w:cs="宋体"/>
          <w:sz w:val="24"/>
          <w:szCs w:val="24"/>
        </w:rPr>
        <w:t>可对数据源类资源进行设置，选择不同的数据源，列表条目数设置、检索条件设置、SQL灵活编写。</w:t>
      </w:r>
    </w:p>
    <w:p w14:paraId="3CAB5C1C">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2.1.1.3.5.5.元数据信息管理</w:t>
      </w:r>
    </w:p>
    <w:p w14:paraId="72528171">
      <w:pPr>
        <w:pStyle w:val="6"/>
        <w:keepNext w:val="0"/>
        <w:keepLines w:val="0"/>
        <w:pageBreakBefore w:val="0"/>
        <w:kinsoku/>
        <w:wordWrap/>
        <w:overflowPunct/>
        <w:topLinePunct w:val="0"/>
        <w:autoSpaceDE/>
        <w:autoSpaceDN/>
        <w:bidi w:val="0"/>
        <w:adjustRightInd/>
        <w:snapToGrid/>
        <w:spacing w:line="500" w:lineRule="exact"/>
        <w:ind w:firstLine="480"/>
        <w:jc w:val="left"/>
        <w:textAlignment w:val="auto"/>
        <w:rPr>
          <w:rFonts w:hint="eastAsia" w:ascii="宋体" w:hAnsi="宋体" w:eastAsia="宋体" w:cs="宋体"/>
          <w:sz w:val="24"/>
          <w:szCs w:val="24"/>
        </w:rPr>
      </w:pPr>
      <w:r>
        <w:rPr>
          <w:rFonts w:hint="eastAsia" w:ascii="宋体" w:hAnsi="宋体" w:eastAsia="宋体" w:cs="宋体"/>
          <w:sz w:val="24"/>
          <w:szCs w:val="24"/>
        </w:rPr>
        <w:t>可根据脚本信息中配置的SQL，对元数据列表进行管理配置，可查、编辑、删除、上移、下移元数据。</w:t>
      </w:r>
    </w:p>
    <w:p w14:paraId="56F60C4C">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2.1.1.3.5.6.元数据信息配置</w:t>
      </w:r>
    </w:p>
    <w:p w14:paraId="0600FC31">
      <w:pPr>
        <w:pStyle w:val="6"/>
        <w:keepNext w:val="0"/>
        <w:keepLines w:val="0"/>
        <w:pageBreakBefore w:val="0"/>
        <w:kinsoku/>
        <w:wordWrap/>
        <w:overflowPunct/>
        <w:topLinePunct w:val="0"/>
        <w:autoSpaceDE/>
        <w:autoSpaceDN/>
        <w:bidi w:val="0"/>
        <w:adjustRightInd/>
        <w:snapToGrid/>
        <w:spacing w:line="500" w:lineRule="exact"/>
        <w:ind w:firstLine="480"/>
        <w:jc w:val="left"/>
        <w:textAlignment w:val="auto"/>
        <w:rPr>
          <w:rFonts w:hint="eastAsia" w:ascii="宋体" w:hAnsi="宋体" w:eastAsia="宋体" w:cs="宋体"/>
          <w:sz w:val="24"/>
          <w:szCs w:val="24"/>
        </w:rPr>
      </w:pPr>
      <w:r>
        <w:rPr>
          <w:rFonts w:hint="eastAsia" w:ascii="宋体" w:hAnsi="宋体" w:eastAsia="宋体" w:cs="宋体"/>
          <w:sz w:val="24"/>
          <w:szCs w:val="24"/>
        </w:rPr>
        <w:t>可对具体元数据进行配置管理。设置元数据名称、元数据类型、元数据编码、值域字典、值域解密、值域脱敏、列表宽度设置、参考数据元等。</w:t>
      </w:r>
    </w:p>
    <w:p w14:paraId="1BC1099A">
      <w:pPr>
        <w:pStyle w:val="6"/>
        <w:keepNext w:val="0"/>
        <w:keepLines w:val="0"/>
        <w:pageBreakBefore w:val="0"/>
        <w:kinsoku/>
        <w:wordWrap/>
        <w:overflowPunct/>
        <w:topLinePunct w:val="0"/>
        <w:autoSpaceDE/>
        <w:autoSpaceDN/>
        <w:bidi w:val="0"/>
        <w:adjustRightInd/>
        <w:snapToGrid/>
        <w:spacing w:line="500" w:lineRule="exact"/>
        <w:ind w:left="870"/>
        <w:jc w:val="both"/>
        <w:textAlignment w:val="auto"/>
        <w:rPr>
          <w:rFonts w:hint="eastAsia" w:ascii="宋体" w:hAnsi="宋体" w:eastAsia="宋体" w:cs="宋体"/>
          <w:sz w:val="24"/>
          <w:szCs w:val="24"/>
        </w:rPr>
      </w:pPr>
      <w:r>
        <w:rPr>
          <w:rFonts w:hint="eastAsia" w:ascii="宋体" w:hAnsi="宋体" w:eastAsia="宋体" w:cs="宋体"/>
          <w:b/>
          <w:sz w:val="24"/>
          <w:szCs w:val="24"/>
        </w:rPr>
        <w:t>2.1.1.4.智能问数</w:t>
      </w:r>
    </w:p>
    <w:p w14:paraId="2FE5D598">
      <w:pPr>
        <w:pStyle w:val="6"/>
        <w:keepNext w:val="0"/>
        <w:keepLines w:val="0"/>
        <w:pageBreakBefore w:val="0"/>
        <w:kinsoku/>
        <w:wordWrap/>
        <w:overflowPunct/>
        <w:topLinePunct w:val="0"/>
        <w:autoSpaceDE/>
        <w:autoSpaceDN/>
        <w:bidi w:val="0"/>
        <w:adjustRightInd/>
        <w:snapToGrid/>
        <w:spacing w:line="500" w:lineRule="exact"/>
        <w:ind w:left="855"/>
        <w:jc w:val="both"/>
        <w:textAlignment w:val="auto"/>
        <w:rPr>
          <w:rFonts w:hint="eastAsia" w:ascii="宋体" w:hAnsi="宋体" w:eastAsia="宋体" w:cs="宋体"/>
          <w:sz w:val="24"/>
          <w:szCs w:val="24"/>
        </w:rPr>
      </w:pPr>
      <w:r>
        <w:rPr>
          <w:rFonts w:hint="eastAsia" w:ascii="宋体" w:hAnsi="宋体" w:eastAsia="宋体" w:cs="宋体"/>
          <w:b/>
          <w:sz w:val="24"/>
          <w:szCs w:val="24"/>
        </w:rPr>
        <w:t>2.1.1.4.1.智能体对话(评审项10)</w:t>
      </w:r>
    </w:p>
    <w:p w14:paraId="52839173">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2.1.1.4.1.1.语音输入</w:t>
      </w:r>
    </w:p>
    <w:p w14:paraId="722D9335">
      <w:pPr>
        <w:pStyle w:val="6"/>
        <w:keepNext w:val="0"/>
        <w:keepLines w:val="0"/>
        <w:pageBreakBefore w:val="0"/>
        <w:kinsoku/>
        <w:wordWrap/>
        <w:overflowPunct/>
        <w:topLinePunct w:val="0"/>
        <w:autoSpaceDE/>
        <w:autoSpaceDN/>
        <w:bidi w:val="0"/>
        <w:adjustRightInd/>
        <w:snapToGrid/>
        <w:spacing w:line="500" w:lineRule="exact"/>
        <w:ind w:firstLine="480"/>
        <w:jc w:val="left"/>
        <w:textAlignment w:val="auto"/>
        <w:rPr>
          <w:rFonts w:hint="eastAsia" w:ascii="宋体" w:hAnsi="宋体" w:eastAsia="宋体" w:cs="宋体"/>
          <w:sz w:val="24"/>
          <w:szCs w:val="24"/>
        </w:rPr>
      </w:pPr>
      <w:r>
        <w:rPr>
          <w:rFonts w:hint="eastAsia" w:ascii="宋体" w:hAnsi="宋体" w:eastAsia="宋体" w:cs="宋体"/>
          <w:sz w:val="24"/>
          <w:szCs w:val="24"/>
        </w:rPr>
        <w:t>支持用户通过麦克风进行语音输入提问，系统自动识别语音内容并转换为文本格式，提升输入便捷性。</w:t>
      </w:r>
    </w:p>
    <w:p w14:paraId="1AA93EE2">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2.1.1.4.1.2.文本输入</w:t>
      </w:r>
    </w:p>
    <w:p w14:paraId="4FA13555">
      <w:pPr>
        <w:pStyle w:val="6"/>
        <w:keepNext w:val="0"/>
        <w:keepLines w:val="0"/>
        <w:pageBreakBefore w:val="0"/>
        <w:kinsoku/>
        <w:wordWrap/>
        <w:overflowPunct/>
        <w:topLinePunct w:val="0"/>
        <w:autoSpaceDE/>
        <w:autoSpaceDN/>
        <w:bidi w:val="0"/>
        <w:adjustRightInd/>
        <w:snapToGrid/>
        <w:spacing w:line="500" w:lineRule="exact"/>
        <w:ind w:firstLine="480"/>
        <w:jc w:val="left"/>
        <w:textAlignment w:val="auto"/>
        <w:rPr>
          <w:rFonts w:hint="eastAsia" w:ascii="宋体" w:hAnsi="宋体" w:eastAsia="宋体" w:cs="宋体"/>
          <w:sz w:val="24"/>
          <w:szCs w:val="24"/>
        </w:rPr>
      </w:pPr>
      <w:r>
        <w:rPr>
          <w:rFonts w:hint="eastAsia" w:ascii="宋体" w:hAnsi="宋体" w:eastAsia="宋体" w:cs="宋体"/>
          <w:sz w:val="24"/>
          <w:szCs w:val="24"/>
        </w:rPr>
        <w:t>提供文本输入框，支持用户直接输入文字形式的查询问题，支持换行、特殊符号输入等基础文本编辑功能。</w:t>
      </w:r>
    </w:p>
    <w:p w14:paraId="4CF499EA">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2.1.1.4.1.3.意图识别</w:t>
      </w:r>
    </w:p>
    <w:p w14:paraId="6FDDF4E7">
      <w:pPr>
        <w:pStyle w:val="6"/>
        <w:keepNext w:val="0"/>
        <w:keepLines w:val="0"/>
        <w:pageBreakBefore w:val="0"/>
        <w:kinsoku/>
        <w:wordWrap/>
        <w:overflowPunct/>
        <w:topLinePunct w:val="0"/>
        <w:autoSpaceDE/>
        <w:autoSpaceDN/>
        <w:bidi w:val="0"/>
        <w:adjustRightInd/>
        <w:snapToGrid/>
        <w:spacing w:line="500" w:lineRule="exact"/>
        <w:ind w:firstLine="480"/>
        <w:jc w:val="left"/>
        <w:textAlignment w:val="auto"/>
        <w:rPr>
          <w:rFonts w:hint="eastAsia" w:ascii="宋体" w:hAnsi="宋体" w:eastAsia="宋体" w:cs="宋体"/>
          <w:sz w:val="24"/>
          <w:szCs w:val="24"/>
        </w:rPr>
      </w:pPr>
      <w:r>
        <w:rPr>
          <w:rFonts w:hint="eastAsia" w:ascii="宋体" w:hAnsi="宋体" w:eastAsia="宋体" w:cs="宋体"/>
          <w:sz w:val="24"/>
          <w:szCs w:val="24"/>
        </w:rPr>
        <w:t>（1）识别数据集：自动分析用户问题中的数据集相关信息，精准定位用户需要查询的目标数据集，避免数据集选择错误。</w:t>
      </w:r>
    </w:p>
    <w:p w14:paraId="564EF9F4">
      <w:pPr>
        <w:pStyle w:val="6"/>
        <w:keepNext w:val="0"/>
        <w:keepLines w:val="0"/>
        <w:pageBreakBefore w:val="0"/>
        <w:kinsoku/>
        <w:wordWrap/>
        <w:overflowPunct/>
        <w:topLinePunct w:val="0"/>
        <w:autoSpaceDE/>
        <w:autoSpaceDN/>
        <w:bidi w:val="0"/>
        <w:adjustRightInd/>
        <w:snapToGrid/>
        <w:spacing w:line="500" w:lineRule="exact"/>
        <w:ind w:firstLine="480"/>
        <w:jc w:val="left"/>
        <w:textAlignment w:val="auto"/>
        <w:rPr>
          <w:rFonts w:hint="eastAsia" w:ascii="宋体" w:hAnsi="宋体" w:eastAsia="宋体" w:cs="宋体"/>
          <w:sz w:val="24"/>
          <w:szCs w:val="24"/>
        </w:rPr>
      </w:pPr>
      <w:r>
        <w:rPr>
          <w:rFonts w:hint="eastAsia" w:ascii="宋体" w:hAnsi="宋体" w:eastAsia="宋体" w:cs="宋体"/>
          <w:sz w:val="24"/>
          <w:szCs w:val="24"/>
        </w:rPr>
        <w:t>（2）查询模式：识别用户查询的模式类型，为后续SQL生成提供模式指导。</w:t>
      </w:r>
    </w:p>
    <w:p w14:paraId="0FDA7C74">
      <w:pPr>
        <w:pStyle w:val="6"/>
        <w:keepNext w:val="0"/>
        <w:keepLines w:val="0"/>
        <w:pageBreakBefore w:val="0"/>
        <w:kinsoku/>
        <w:wordWrap/>
        <w:overflowPunct/>
        <w:topLinePunct w:val="0"/>
        <w:autoSpaceDE/>
        <w:autoSpaceDN/>
        <w:bidi w:val="0"/>
        <w:adjustRightInd/>
        <w:snapToGrid/>
        <w:spacing w:line="500" w:lineRule="exact"/>
        <w:ind w:firstLine="480"/>
        <w:jc w:val="left"/>
        <w:textAlignment w:val="auto"/>
        <w:rPr>
          <w:rFonts w:hint="eastAsia" w:ascii="宋体" w:hAnsi="宋体" w:eastAsia="宋体" w:cs="宋体"/>
          <w:sz w:val="24"/>
          <w:szCs w:val="24"/>
        </w:rPr>
      </w:pPr>
      <w:r>
        <w:rPr>
          <w:rFonts w:hint="eastAsia" w:ascii="宋体" w:hAnsi="宋体" w:eastAsia="宋体" w:cs="宋体"/>
          <w:sz w:val="24"/>
          <w:szCs w:val="24"/>
        </w:rPr>
        <w:t>（3）指标识别：从用户自然语言中提取关键业务指标，确保查询目标的准确性。</w:t>
      </w:r>
    </w:p>
    <w:p w14:paraId="7875FF92">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2.1.1.4.1.4.SQL生成</w:t>
      </w:r>
    </w:p>
    <w:p w14:paraId="71BB0864">
      <w:pPr>
        <w:pStyle w:val="6"/>
        <w:keepNext w:val="0"/>
        <w:keepLines w:val="0"/>
        <w:pageBreakBefore w:val="0"/>
        <w:kinsoku/>
        <w:wordWrap/>
        <w:overflowPunct/>
        <w:topLinePunct w:val="0"/>
        <w:autoSpaceDE/>
        <w:autoSpaceDN/>
        <w:bidi w:val="0"/>
        <w:adjustRightInd/>
        <w:snapToGrid/>
        <w:spacing w:line="500" w:lineRule="exact"/>
        <w:ind w:firstLine="480"/>
        <w:jc w:val="left"/>
        <w:textAlignment w:val="auto"/>
        <w:rPr>
          <w:rFonts w:hint="eastAsia" w:ascii="宋体" w:hAnsi="宋体" w:eastAsia="宋体" w:cs="宋体"/>
          <w:sz w:val="24"/>
          <w:szCs w:val="24"/>
        </w:rPr>
      </w:pPr>
      <w:r>
        <w:rPr>
          <w:rFonts w:hint="eastAsia" w:ascii="宋体" w:hAnsi="宋体" w:eastAsia="宋体" w:cs="宋体"/>
          <w:sz w:val="24"/>
          <w:szCs w:val="24"/>
        </w:rPr>
        <w:t>（1）Rule解析S2SQL：基于预设规则引擎，将用户自然语言查询解析为结构化SQL语句，确保基础查询逻辑的正确性。</w:t>
      </w:r>
    </w:p>
    <w:p w14:paraId="712DF5A6">
      <w:pPr>
        <w:pStyle w:val="6"/>
        <w:keepNext w:val="0"/>
        <w:keepLines w:val="0"/>
        <w:pageBreakBefore w:val="0"/>
        <w:kinsoku/>
        <w:wordWrap/>
        <w:overflowPunct/>
        <w:topLinePunct w:val="0"/>
        <w:autoSpaceDE/>
        <w:autoSpaceDN/>
        <w:bidi w:val="0"/>
        <w:adjustRightInd/>
        <w:snapToGrid/>
        <w:spacing w:line="500" w:lineRule="exact"/>
        <w:ind w:firstLine="480"/>
        <w:jc w:val="left"/>
        <w:textAlignment w:val="auto"/>
        <w:rPr>
          <w:rFonts w:hint="eastAsia" w:ascii="宋体" w:hAnsi="宋体" w:eastAsia="宋体" w:cs="宋体"/>
          <w:sz w:val="24"/>
          <w:szCs w:val="24"/>
        </w:rPr>
      </w:pPr>
      <w:r>
        <w:rPr>
          <w:rFonts w:hint="eastAsia" w:ascii="宋体" w:hAnsi="宋体" w:eastAsia="宋体" w:cs="宋体"/>
          <w:sz w:val="24"/>
          <w:szCs w:val="24"/>
        </w:rPr>
        <w:t>（2）修正S2SQL对：初始生成的SQL语句进行语法校验和逻辑优化，修复潜在的语法错误和逻辑漏洞，提升查询准确性。</w:t>
      </w:r>
    </w:p>
    <w:p w14:paraId="01912A51">
      <w:pPr>
        <w:pStyle w:val="6"/>
        <w:keepNext w:val="0"/>
        <w:keepLines w:val="0"/>
        <w:pageBreakBefore w:val="0"/>
        <w:kinsoku/>
        <w:wordWrap/>
        <w:overflowPunct/>
        <w:topLinePunct w:val="0"/>
        <w:autoSpaceDE/>
        <w:autoSpaceDN/>
        <w:bidi w:val="0"/>
        <w:adjustRightInd/>
        <w:snapToGrid/>
        <w:spacing w:line="500" w:lineRule="exact"/>
        <w:ind w:firstLine="480"/>
        <w:jc w:val="left"/>
        <w:textAlignment w:val="auto"/>
        <w:rPr>
          <w:rFonts w:hint="eastAsia" w:ascii="宋体" w:hAnsi="宋体" w:eastAsia="宋体" w:cs="宋体"/>
          <w:sz w:val="24"/>
          <w:szCs w:val="24"/>
        </w:rPr>
      </w:pPr>
      <w:r>
        <w:rPr>
          <w:rFonts w:hint="eastAsia" w:ascii="宋体" w:hAnsi="宋体" w:eastAsia="宋体" w:cs="宋体"/>
          <w:sz w:val="24"/>
          <w:szCs w:val="24"/>
        </w:rPr>
        <w:t>（3）最终执行SQL：生成可直接在目标数据库中执行的标准SQL语句，包含完整的查询条件、字段选择和表关联逻辑。</w:t>
      </w:r>
    </w:p>
    <w:p w14:paraId="3785D4C8">
      <w:pPr>
        <w:pStyle w:val="6"/>
        <w:keepNext w:val="0"/>
        <w:keepLines w:val="0"/>
        <w:pageBreakBefore w:val="0"/>
        <w:kinsoku/>
        <w:wordWrap/>
        <w:overflowPunct/>
        <w:topLinePunct w:val="0"/>
        <w:autoSpaceDE/>
        <w:autoSpaceDN/>
        <w:bidi w:val="0"/>
        <w:adjustRightInd/>
        <w:snapToGrid/>
        <w:spacing w:line="500" w:lineRule="exact"/>
        <w:ind w:firstLine="480"/>
        <w:jc w:val="left"/>
        <w:textAlignment w:val="auto"/>
        <w:rPr>
          <w:rFonts w:hint="eastAsia" w:ascii="宋体" w:hAnsi="宋体" w:eastAsia="宋体" w:cs="宋体"/>
          <w:sz w:val="24"/>
          <w:szCs w:val="24"/>
        </w:rPr>
      </w:pPr>
      <w:r>
        <w:rPr>
          <w:rFonts w:hint="eastAsia" w:ascii="宋体" w:hAnsi="宋体" w:eastAsia="宋体" w:cs="宋体"/>
          <w:sz w:val="24"/>
          <w:szCs w:val="24"/>
        </w:rPr>
        <w:t>（4）问题和SQL导出：支持将用户原始问题与生成的SQL语句以文档形式导出，便于存档和二次编辑。</w:t>
      </w:r>
    </w:p>
    <w:p w14:paraId="326F561D">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2.1.1.4.1.5.SQL执行</w:t>
      </w:r>
    </w:p>
    <w:p w14:paraId="38CFF20D">
      <w:pPr>
        <w:pStyle w:val="6"/>
        <w:keepNext w:val="0"/>
        <w:keepLines w:val="0"/>
        <w:pageBreakBefore w:val="0"/>
        <w:kinsoku/>
        <w:wordWrap/>
        <w:overflowPunct/>
        <w:topLinePunct w:val="0"/>
        <w:autoSpaceDE/>
        <w:autoSpaceDN/>
        <w:bidi w:val="0"/>
        <w:adjustRightInd/>
        <w:snapToGrid/>
        <w:spacing w:line="500" w:lineRule="exact"/>
        <w:ind w:firstLine="480"/>
        <w:jc w:val="left"/>
        <w:textAlignment w:val="auto"/>
        <w:rPr>
          <w:rFonts w:hint="eastAsia" w:ascii="宋体" w:hAnsi="宋体" w:eastAsia="宋体" w:cs="宋体"/>
          <w:sz w:val="24"/>
          <w:szCs w:val="24"/>
        </w:rPr>
      </w:pPr>
      <w:r>
        <w:rPr>
          <w:rFonts w:hint="eastAsia" w:ascii="宋体" w:hAnsi="宋体" w:eastAsia="宋体" w:cs="宋体"/>
          <w:sz w:val="24"/>
          <w:szCs w:val="24"/>
        </w:rPr>
        <w:t>（1）错误导出：当SQL执行失败时，自动捕获错误信息，并支持导出错误日志用于问题排查。</w:t>
      </w:r>
    </w:p>
    <w:p w14:paraId="5C57B7EE">
      <w:pPr>
        <w:pStyle w:val="6"/>
        <w:keepNext w:val="0"/>
        <w:keepLines w:val="0"/>
        <w:pageBreakBefore w:val="0"/>
        <w:kinsoku/>
        <w:wordWrap/>
        <w:overflowPunct/>
        <w:topLinePunct w:val="0"/>
        <w:autoSpaceDE/>
        <w:autoSpaceDN/>
        <w:bidi w:val="0"/>
        <w:adjustRightInd/>
        <w:snapToGrid/>
        <w:spacing w:line="500" w:lineRule="exact"/>
        <w:ind w:firstLine="480"/>
        <w:jc w:val="left"/>
        <w:textAlignment w:val="auto"/>
        <w:rPr>
          <w:rFonts w:hint="eastAsia" w:ascii="宋体" w:hAnsi="宋体" w:eastAsia="宋体" w:cs="宋体"/>
          <w:sz w:val="24"/>
          <w:szCs w:val="24"/>
        </w:rPr>
      </w:pPr>
      <w:r>
        <w:rPr>
          <w:rFonts w:hint="eastAsia" w:ascii="宋体" w:hAnsi="宋体" w:eastAsia="宋体" w:cs="宋体"/>
          <w:sz w:val="24"/>
          <w:szCs w:val="24"/>
        </w:rPr>
        <w:t>（2）结果输出：将SQL执行结果以结构化形式在页面展示，支持分页查看、关键词搜索和结果排序功能。</w:t>
      </w:r>
    </w:p>
    <w:p w14:paraId="0D9DE901">
      <w:pPr>
        <w:pStyle w:val="6"/>
        <w:keepNext w:val="0"/>
        <w:keepLines w:val="0"/>
        <w:pageBreakBefore w:val="0"/>
        <w:kinsoku/>
        <w:wordWrap/>
        <w:overflowPunct/>
        <w:topLinePunct w:val="0"/>
        <w:autoSpaceDE/>
        <w:autoSpaceDN/>
        <w:bidi w:val="0"/>
        <w:adjustRightInd/>
        <w:snapToGrid/>
        <w:spacing w:line="500" w:lineRule="exact"/>
        <w:ind w:firstLine="480"/>
        <w:jc w:val="left"/>
        <w:textAlignment w:val="auto"/>
        <w:rPr>
          <w:rFonts w:hint="eastAsia" w:ascii="宋体" w:hAnsi="宋体" w:eastAsia="宋体" w:cs="宋体"/>
          <w:sz w:val="24"/>
          <w:szCs w:val="24"/>
        </w:rPr>
      </w:pPr>
      <w:r>
        <w:rPr>
          <w:rFonts w:hint="eastAsia" w:ascii="宋体" w:hAnsi="宋体" w:eastAsia="宋体" w:cs="宋体"/>
          <w:sz w:val="24"/>
          <w:szCs w:val="24"/>
        </w:rPr>
        <w:t>（3）编辑SQL：提供SQL在线编辑功能，支持语法高亮、代码提示和手动修改，满足个性化查询需求。</w:t>
      </w:r>
    </w:p>
    <w:p w14:paraId="75ABDB62">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2.1.1.4.1.6.结果展示</w:t>
      </w:r>
    </w:p>
    <w:p w14:paraId="0709B920">
      <w:pPr>
        <w:pStyle w:val="6"/>
        <w:keepNext w:val="0"/>
        <w:keepLines w:val="0"/>
        <w:pageBreakBefore w:val="0"/>
        <w:kinsoku/>
        <w:wordWrap/>
        <w:overflowPunct/>
        <w:topLinePunct w:val="0"/>
        <w:autoSpaceDE/>
        <w:autoSpaceDN/>
        <w:bidi w:val="0"/>
        <w:adjustRightInd/>
        <w:snapToGrid/>
        <w:spacing w:line="500" w:lineRule="exact"/>
        <w:ind w:firstLine="480"/>
        <w:jc w:val="left"/>
        <w:textAlignment w:val="auto"/>
        <w:rPr>
          <w:rFonts w:hint="eastAsia" w:ascii="宋体" w:hAnsi="宋体" w:eastAsia="宋体" w:cs="宋体"/>
          <w:sz w:val="24"/>
          <w:szCs w:val="24"/>
        </w:rPr>
      </w:pPr>
      <w:r>
        <w:rPr>
          <w:rFonts w:hint="eastAsia" w:ascii="宋体" w:hAnsi="宋体" w:eastAsia="宋体" w:cs="宋体"/>
          <w:sz w:val="24"/>
          <w:szCs w:val="24"/>
        </w:rPr>
        <w:t>（1）统计图表：根据查询结果自动生成多种可视化图表，支持图表类型切换和样式自定义。</w:t>
      </w:r>
    </w:p>
    <w:p w14:paraId="4BD372F7">
      <w:pPr>
        <w:pStyle w:val="6"/>
        <w:keepNext w:val="0"/>
        <w:keepLines w:val="0"/>
        <w:pageBreakBefore w:val="0"/>
        <w:kinsoku/>
        <w:wordWrap/>
        <w:overflowPunct/>
        <w:topLinePunct w:val="0"/>
        <w:autoSpaceDE/>
        <w:autoSpaceDN/>
        <w:bidi w:val="0"/>
        <w:adjustRightInd/>
        <w:snapToGrid/>
        <w:spacing w:line="500" w:lineRule="exact"/>
        <w:ind w:firstLine="480"/>
        <w:jc w:val="left"/>
        <w:textAlignment w:val="auto"/>
        <w:rPr>
          <w:rFonts w:hint="eastAsia" w:ascii="宋体" w:hAnsi="宋体" w:eastAsia="宋体" w:cs="宋体"/>
          <w:sz w:val="24"/>
          <w:szCs w:val="24"/>
        </w:rPr>
      </w:pPr>
      <w:r>
        <w:rPr>
          <w:rFonts w:hint="eastAsia" w:ascii="宋体" w:hAnsi="宋体" w:eastAsia="宋体" w:cs="宋体"/>
          <w:sz w:val="24"/>
          <w:szCs w:val="24"/>
        </w:rPr>
        <w:t>（2）表格输出：以表格形式展示详细查询结果，支持列宽调整、字段筛选和数据排序，便于精细化查看。</w:t>
      </w:r>
    </w:p>
    <w:p w14:paraId="62948AC1">
      <w:pPr>
        <w:pStyle w:val="6"/>
        <w:keepNext w:val="0"/>
        <w:keepLines w:val="0"/>
        <w:pageBreakBefore w:val="0"/>
        <w:kinsoku/>
        <w:wordWrap/>
        <w:overflowPunct/>
        <w:topLinePunct w:val="0"/>
        <w:autoSpaceDE/>
        <w:autoSpaceDN/>
        <w:bidi w:val="0"/>
        <w:adjustRightInd/>
        <w:snapToGrid/>
        <w:spacing w:line="500" w:lineRule="exact"/>
        <w:ind w:firstLine="480"/>
        <w:jc w:val="left"/>
        <w:textAlignment w:val="auto"/>
        <w:rPr>
          <w:rFonts w:hint="eastAsia" w:ascii="宋体" w:hAnsi="宋体" w:eastAsia="宋体" w:cs="宋体"/>
          <w:sz w:val="24"/>
          <w:szCs w:val="24"/>
        </w:rPr>
      </w:pPr>
      <w:r>
        <w:rPr>
          <w:rFonts w:hint="eastAsia" w:ascii="宋体" w:hAnsi="宋体" w:eastAsia="宋体" w:cs="宋体"/>
          <w:sz w:val="24"/>
          <w:szCs w:val="24"/>
        </w:rPr>
        <w:t>（3）导出数据：支持将查询结果数据导出为Excel、CSV等格式文件，便于离线分析和数据共享。</w:t>
      </w:r>
    </w:p>
    <w:p w14:paraId="6B19BF16">
      <w:pPr>
        <w:pStyle w:val="6"/>
        <w:keepNext w:val="0"/>
        <w:keepLines w:val="0"/>
        <w:pageBreakBefore w:val="0"/>
        <w:kinsoku/>
        <w:wordWrap/>
        <w:overflowPunct/>
        <w:topLinePunct w:val="0"/>
        <w:autoSpaceDE/>
        <w:autoSpaceDN/>
        <w:bidi w:val="0"/>
        <w:adjustRightInd/>
        <w:snapToGrid/>
        <w:spacing w:line="500" w:lineRule="exact"/>
        <w:ind w:firstLine="480"/>
        <w:jc w:val="left"/>
        <w:textAlignment w:val="auto"/>
        <w:rPr>
          <w:rFonts w:hint="eastAsia" w:ascii="宋体" w:hAnsi="宋体" w:eastAsia="宋体" w:cs="宋体"/>
          <w:sz w:val="24"/>
          <w:szCs w:val="24"/>
        </w:rPr>
      </w:pPr>
      <w:r>
        <w:rPr>
          <w:rFonts w:hint="eastAsia" w:ascii="宋体" w:hAnsi="宋体" w:eastAsia="宋体" w:cs="宋体"/>
          <w:sz w:val="24"/>
          <w:szCs w:val="24"/>
        </w:rPr>
        <w:t>（4）导出图片：将生成的统计图表导出为PNG、JPG等图片格式，支持高清分辨率设置，便于报告制作。</w:t>
      </w:r>
    </w:p>
    <w:p w14:paraId="2CFECA23">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2.1.1.4.1.7.新对话</w:t>
      </w:r>
    </w:p>
    <w:p w14:paraId="5D7804E8">
      <w:pPr>
        <w:pStyle w:val="6"/>
        <w:keepNext w:val="0"/>
        <w:keepLines w:val="0"/>
        <w:pageBreakBefore w:val="0"/>
        <w:kinsoku/>
        <w:wordWrap/>
        <w:overflowPunct/>
        <w:topLinePunct w:val="0"/>
        <w:autoSpaceDE/>
        <w:autoSpaceDN/>
        <w:bidi w:val="0"/>
        <w:adjustRightInd/>
        <w:snapToGrid/>
        <w:spacing w:line="500" w:lineRule="exact"/>
        <w:ind w:firstLine="480"/>
        <w:jc w:val="left"/>
        <w:textAlignment w:val="auto"/>
        <w:rPr>
          <w:rFonts w:hint="eastAsia" w:ascii="宋体" w:hAnsi="宋体" w:eastAsia="宋体" w:cs="宋体"/>
          <w:sz w:val="24"/>
          <w:szCs w:val="24"/>
        </w:rPr>
      </w:pPr>
      <w:r>
        <w:rPr>
          <w:rFonts w:hint="eastAsia" w:ascii="宋体" w:hAnsi="宋体" w:eastAsia="宋体" w:cs="宋体"/>
          <w:sz w:val="24"/>
          <w:szCs w:val="24"/>
        </w:rPr>
        <w:t>提供创建新对话会话的功能，清空当前对话上下文，支持用户开启全新的查询任务。</w:t>
      </w:r>
    </w:p>
    <w:p w14:paraId="3D75C9E1">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2.1.1.4.1.8.历史对话</w:t>
      </w:r>
    </w:p>
    <w:p w14:paraId="5E5D06A0">
      <w:pPr>
        <w:pStyle w:val="6"/>
        <w:keepNext w:val="0"/>
        <w:keepLines w:val="0"/>
        <w:pageBreakBefore w:val="0"/>
        <w:kinsoku/>
        <w:wordWrap/>
        <w:overflowPunct/>
        <w:topLinePunct w:val="0"/>
        <w:autoSpaceDE/>
        <w:autoSpaceDN/>
        <w:bidi w:val="0"/>
        <w:adjustRightInd/>
        <w:snapToGrid/>
        <w:spacing w:line="500" w:lineRule="exact"/>
        <w:ind w:firstLine="480"/>
        <w:jc w:val="left"/>
        <w:textAlignment w:val="auto"/>
        <w:rPr>
          <w:rFonts w:hint="eastAsia" w:ascii="宋体" w:hAnsi="宋体" w:eastAsia="宋体" w:cs="宋体"/>
          <w:sz w:val="24"/>
          <w:szCs w:val="24"/>
        </w:rPr>
      </w:pPr>
      <w:r>
        <w:rPr>
          <w:rFonts w:hint="eastAsia" w:ascii="宋体" w:hAnsi="宋体" w:eastAsia="宋体" w:cs="宋体"/>
          <w:sz w:val="24"/>
          <w:szCs w:val="24"/>
        </w:rPr>
        <w:t>记录并展示用户过往的对话记录，支持按时间筛选、关键词搜索和重新加载历史对话内容。</w:t>
      </w:r>
    </w:p>
    <w:p w14:paraId="5A511807">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2.1.1.4.1.9.推荐相似问题</w:t>
      </w:r>
    </w:p>
    <w:p w14:paraId="0A1120FA">
      <w:pPr>
        <w:pStyle w:val="6"/>
        <w:keepNext w:val="0"/>
        <w:keepLines w:val="0"/>
        <w:pageBreakBefore w:val="0"/>
        <w:kinsoku/>
        <w:wordWrap/>
        <w:overflowPunct/>
        <w:topLinePunct w:val="0"/>
        <w:autoSpaceDE/>
        <w:autoSpaceDN/>
        <w:bidi w:val="0"/>
        <w:adjustRightInd/>
        <w:snapToGrid/>
        <w:spacing w:line="500" w:lineRule="exact"/>
        <w:ind w:firstLine="480"/>
        <w:jc w:val="left"/>
        <w:textAlignment w:val="auto"/>
        <w:rPr>
          <w:rFonts w:hint="eastAsia" w:ascii="宋体" w:hAnsi="宋体" w:eastAsia="宋体" w:cs="宋体"/>
          <w:sz w:val="24"/>
          <w:szCs w:val="24"/>
        </w:rPr>
      </w:pPr>
      <w:r>
        <w:rPr>
          <w:rFonts w:hint="eastAsia" w:ascii="宋体" w:hAnsi="宋体" w:eastAsia="宋体" w:cs="宋体"/>
          <w:sz w:val="24"/>
          <w:szCs w:val="24"/>
        </w:rPr>
        <w:t>基于用户当前输入的查询问题，通过语义相似度算法和历史对话数据分析，自动推荐系统中相似的历史查询问题，帮助用户快速找到所需答案，提升查询效率。用户点击推荐的相似问题后，系统会自动加载该问题的查询结果，避免重复提问和等待。支持推荐结果的反馈功能，用户可标记推荐结果为“有用”或“无用”，系统根据用户反馈持续优化推荐算法。对于热门的相似问题，系统会标注“热门”标签，帮助用户快速识别常用查询。</w:t>
      </w:r>
    </w:p>
    <w:p w14:paraId="0329817F">
      <w:pPr>
        <w:pStyle w:val="6"/>
        <w:keepNext w:val="0"/>
        <w:keepLines w:val="0"/>
        <w:pageBreakBefore w:val="0"/>
        <w:kinsoku/>
        <w:wordWrap/>
        <w:overflowPunct/>
        <w:topLinePunct w:val="0"/>
        <w:autoSpaceDE/>
        <w:autoSpaceDN/>
        <w:bidi w:val="0"/>
        <w:adjustRightInd/>
        <w:snapToGrid/>
        <w:spacing w:line="500" w:lineRule="exact"/>
        <w:ind w:left="855"/>
        <w:jc w:val="both"/>
        <w:textAlignment w:val="auto"/>
        <w:rPr>
          <w:rFonts w:hint="eastAsia" w:ascii="宋体" w:hAnsi="宋体" w:eastAsia="宋体" w:cs="宋体"/>
          <w:sz w:val="24"/>
          <w:szCs w:val="24"/>
        </w:rPr>
      </w:pPr>
      <w:r>
        <w:rPr>
          <w:rFonts w:hint="eastAsia" w:ascii="宋体" w:hAnsi="宋体" w:eastAsia="宋体" w:cs="宋体"/>
          <w:b/>
          <w:sz w:val="24"/>
          <w:szCs w:val="24"/>
        </w:rPr>
        <w:t>2.1.1.4.2.助手管理(评审项11)</w:t>
      </w:r>
    </w:p>
    <w:p w14:paraId="0E308167">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2.1.1.4.2.1.新建助手</w:t>
      </w:r>
    </w:p>
    <w:p w14:paraId="507264AA">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支持管理员创建新的智能问数助手，配置助手名称、所属业务域和基础功能权限等参数。</w:t>
      </w:r>
    </w:p>
    <w:p w14:paraId="720B64AA">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2.1.1.4.2.2.修改助手</w:t>
      </w:r>
    </w:p>
    <w:p w14:paraId="7ACF5CCF">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允许管理员编辑已创建助手的配置信息，包括功能权限调整、基础信息更新等操作。</w:t>
      </w:r>
    </w:p>
    <w:p w14:paraId="7D607D12">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2.1.1.4.2.3.删除助手</w:t>
      </w:r>
    </w:p>
    <w:p w14:paraId="03822C20">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提供助手删除功能，支持批量删除或单个删除，删除前需二次确认以防止误操作。</w:t>
      </w:r>
    </w:p>
    <w:p w14:paraId="6DA67DB4">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2.1.1.4.2.4.应用场景提示词管理</w:t>
      </w:r>
    </w:p>
    <w:p w14:paraId="5B473CE2">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管理不同应用场景下的大模型提示词模板，支持新增、编辑、删除提示词，提升模型理解准确性。</w:t>
      </w:r>
    </w:p>
    <w:p w14:paraId="11837D5B">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2.1.1.4.2.5.大模型选择</w:t>
      </w:r>
    </w:p>
    <w:p w14:paraId="18BBB1D9">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支持为智能助手选择不同的大语言模型，并配置模型调用参数。</w:t>
      </w:r>
    </w:p>
    <w:p w14:paraId="529DF872">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2.1.1.4.2.6.第三方插件</w:t>
      </w:r>
    </w:p>
    <w:p w14:paraId="284C8F9D">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集成并管理第三方工具插件，支持插件的启用/禁用和参数配置。</w:t>
      </w:r>
    </w:p>
    <w:p w14:paraId="03264128">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2.1.1.4.2.7.数据集</w:t>
      </w:r>
    </w:p>
    <w:p w14:paraId="5D6071EF">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为智能助手配置可访问的数据集范围，支持批量添加/移除数据集，控制数据访问权限。</w:t>
      </w:r>
    </w:p>
    <w:p w14:paraId="68A88EB9">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2.1.1.4.2.8.推理过程记忆</w:t>
      </w:r>
    </w:p>
    <w:p w14:paraId="6962D83F">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记录智能助手的推理思考过程，包括意图分析、SQL生成的关键决策，支持查看和导出推理日志。</w:t>
      </w:r>
    </w:p>
    <w:p w14:paraId="54F4F270">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2.1.1.4.2.9.推理历史查询</w:t>
      </w:r>
    </w:p>
    <w:p w14:paraId="1038942E">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提供推理历史记录的查询功能，支持按时间、助手名称、问题关键词等多维度筛选。</w:t>
      </w:r>
    </w:p>
    <w:p w14:paraId="705966DC">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2.1.1.4.2.10.按照部门授权</w:t>
      </w:r>
    </w:p>
    <w:p w14:paraId="72F4C9E8">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支持基于部门组织架构进行权限分配，为不同部门配置专属的智能助手和数据访问权限。</w:t>
      </w:r>
    </w:p>
    <w:p w14:paraId="2C13A119">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2.1.1.4.2.11.按照人员授权</w:t>
      </w:r>
    </w:p>
    <w:p w14:paraId="17BEE730">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支持针对单个用户进行精细化权限控制，配置用户可使用的助手功能和可访问的数据集。</w:t>
      </w:r>
    </w:p>
    <w:p w14:paraId="15A4DF2A">
      <w:pPr>
        <w:pStyle w:val="6"/>
        <w:keepNext w:val="0"/>
        <w:keepLines w:val="0"/>
        <w:pageBreakBefore w:val="0"/>
        <w:kinsoku/>
        <w:wordWrap/>
        <w:overflowPunct/>
        <w:topLinePunct w:val="0"/>
        <w:autoSpaceDE/>
        <w:autoSpaceDN/>
        <w:bidi w:val="0"/>
        <w:adjustRightInd/>
        <w:snapToGrid/>
        <w:spacing w:line="500" w:lineRule="exact"/>
        <w:ind w:left="855"/>
        <w:jc w:val="both"/>
        <w:textAlignment w:val="auto"/>
        <w:rPr>
          <w:rFonts w:hint="eastAsia" w:ascii="宋体" w:hAnsi="宋体" w:eastAsia="宋体" w:cs="宋体"/>
          <w:sz w:val="24"/>
          <w:szCs w:val="24"/>
        </w:rPr>
      </w:pPr>
      <w:r>
        <w:rPr>
          <w:rFonts w:hint="eastAsia" w:ascii="宋体" w:hAnsi="宋体" w:eastAsia="宋体" w:cs="宋体"/>
          <w:b/>
          <w:sz w:val="24"/>
          <w:szCs w:val="24"/>
        </w:rPr>
        <w:t>2.1.1.4.3.插件管理(评审项12)</w:t>
      </w:r>
    </w:p>
    <w:p w14:paraId="4242778F">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2.1.1.4.3.1.插件查询</w:t>
      </w:r>
    </w:p>
    <w:p w14:paraId="1AC59FC2">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提供插件库的查询功能，支持按插件类型、功能描述、状态等条件筛选插件，查看插件详情。</w:t>
      </w:r>
    </w:p>
    <w:p w14:paraId="5E265CF0">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2.1.1.4.3.2.新建插件</w:t>
      </w:r>
    </w:p>
    <w:p w14:paraId="1C050684">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支持开发人员创建自定义插件，配置插件的功能接口、参数定义和调用规则，扩展系统能力。</w:t>
      </w:r>
    </w:p>
    <w:p w14:paraId="64321F52">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2.1.1.4.3.3.修改插件</w:t>
      </w:r>
    </w:p>
    <w:p w14:paraId="6312CA81">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允许编辑已创建插件的配置信息，包括功能逻辑调整、参数优化和界面展示设置等。</w:t>
      </w:r>
    </w:p>
    <w:p w14:paraId="570CD3DC">
      <w:pPr>
        <w:pStyle w:val="6"/>
        <w:keepNext w:val="0"/>
        <w:keepLines w:val="0"/>
        <w:pageBreakBefore w:val="0"/>
        <w:kinsoku/>
        <w:wordWrap/>
        <w:overflowPunct/>
        <w:topLinePunct w:val="0"/>
        <w:autoSpaceDE/>
        <w:autoSpaceDN/>
        <w:bidi w:val="0"/>
        <w:adjustRightInd/>
        <w:snapToGrid/>
        <w:spacing w:line="500" w:lineRule="exact"/>
        <w:ind w:left="855"/>
        <w:jc w:val="both"/>
        <w:textAlignment w:val="auto"/>
        <w:rPr>
          <w:rFonts w:hint="eastAsia" w:ascii="宋体" w:hAnsi="宋体" w:eastAsia="宋体" w:cs="宋体"/>
          <w:sz w:val="24"/>
          <w:szCs w:val="24"/>
        </w:rPr>
      </w:pPr>
      <w:r>
        <w:rPr>
          <w:rFonts w:hint="eastAsia" w:ascii="宋体" w:hAnsi="宋体" w:eastAsia="宋体" w:cs="宋体"/>
          <w:b/>
          <w:sz w:val="24"/>
          <w:szCs w:val="24"/>
        </w:rPr>
        <w:t>2.1.1.4.4.主题域管理(评审项13)</w:t>
      </w:r>
    </w:p>
    <w:p w14:paraId="2ED4F8A0">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2.1.1.4.4.1.创建主题域</w:t>
      </w:r>
    </w:p>
    <w:p w14:paraId="0864F263">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根据业务场景创建主题域，划分数据分类维度，便于语义管理。</w:t>
      </w:r>
    </w:p>
    <w:p w14:paraId="35DD472D">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2.1.1.4.4.2.删除主题域</w:t>
      </w:r>
    </w:p>
    <w:p w14:paraId="66AEA1FF">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支持删除不再使用的主题域，删除前需检查关联的数据集和模型，确保数据完整性。</w:t>
      </w:r>
    </w:p>
    <w:p w14:paraId="0CB30B0F">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2.1.1.4.4.3.修改主题域</w:t>
      </w:r>
    </w:p>
    <w:p w14:paraId="0BEF9B29">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允许编辑主题域的基本信息，包括名称、描述、所属业务线等，支持主题域的合并与拆分。</w:t>
      </w:r>
    </w:p>
    <w:p w14:paraId="202B722B">
      <w:pPr>
        <w:pStyle w:val="6"/>
        <w:keepNext w:val="0"/>
        <w:keepLines w:val="0"/>
        <w:pageBreakBefore w:val="0"/>
        <w:kinsoku/>
        <w:wordWrap/>
        <w:overflowPunct/>
        <w:topLinePunct w:val="0"/>
        <w:autoSpaceDE/>
        <w:autoSpaceDN/>
        <w:bidi w:val="0"/>
        <w:adjustRightInd/>
        <w:snapToGrid/>
        <w:spacing w:line="500" w:lineRule="exact"/>
        <w:ind w:left="855"/>
        <w:jc w:val="both"/>
        <w:textAlignment w:val="auto"/>
        <w:rPr>
          <w:rFonts w:hint="eastAsia" w:ascii="宋体" w:hAnsi="宋体" w:eastAsia="宋体" w:cs="宋体"/>
          <w:sz w:val="24"/>
          <w:szCs w:val="24"/>
        </w:rPr>
      </w:pPr>
      <w:r>
        <w:rPr>
          <w:rFonts w:hint="eastAsia" w:ascii="宋体" w:hAnsi="宋体" w:eastAsia="宋体" w:cs="宋体"/>
          <w:b/>
          <w:sz w:val="24"/>
          <w:szCs w:val="24"/>
        </w:rPr>
        <w:t>2.1.1.4.5.数据集(评审项14)</w:t>
      </w:r>
    </w:p>
    <w:p w14:paraId="0FC65941">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新建数据集：在指定主题域下创建数据集，配置数据来源、更新频率、字段映射关系等，建立语义化数据模型。</w:t>
      </w:r>
    </w:p>
    <w:p w14:paraId="0D6D3D73">
      <w:pPr>
        <w:pStyle w:val="6"/>
        <w:keepNext w:val="0"/>
        <w:keepLines w:val="0"/>
        <w:pageBreakBefore w:val="0"/>
        <w:kinsoku/>
        <w:wordWrap/>
        <w:overflowPunct/>
        <w:topLinePunct w:val="0"/>
        <w:autoSpaceDE/>
        <w:autoSpaceDN/>
        <w:bidi w:val="0"/>
        <w:adjustRightInd/>
        <w:snapToGrid/>
        <w:spacing w:line="500" w:lineRule="exact"/>
        <w:ind w:left="855"/>
        <w:jc w:val="both"/>
        <w:textAlignment w:val="auto"/>
        <w:rPr>
          <w:rFonts w:hint="eastAsia" w:ascii="宋体" w:hAnsi="宋体" w:eastAsia="宋体" w:cs="宋体"/>
          <w:sz w:val="24"/>
          <w:szCs w:val="24"/>
        </w:rPr>
      </w:pPr>
      <w:r>
        <w:rPr>
          <w:rFonts w:hint="eastAsia" w:ascii="宋体" w:hAnsi="宋体" w:eastAsia="宋体" w:cs="宋体"/>
          <w:b/>
          <w:sz w:val="24"/>
          <w:szCs w:val="24"/>
        </w:rPr>
        <w:t>2.1.1.4.6.模型管理(评审项15)</w:t>
      </w:r>
    </w:p>
    <w:p w14:paraId="1D00C13F">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2.1.1.4.6.1.字段管理</w:t>
      </w:r>
    </w:p>
    <w:p w14:paraId="3C2E4E87">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管理数据模型中的字段信息，支持新增字段、编辑字段属性、设置字段关联关系。</w:t>
      </w:r>
    </w:p>
    <w:p w14:paraId="1E63EEAD">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2.1.1.4.6.2.维度管理</w:t>
      </w:r>
    </w:p>
    <w:p w14:paraId="1DE5F68C">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定义数据分析的维度，配置维度层级结构和维度成员，支持多维度分析。</w:t>
      </w:r>
    </w:p>
    <w:p w14:paraId="0242556C">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2.1.1.4.6.3.指标管理</w:t>
      </w:r>
    </w:p>
    <w:p w14:paraId="0A920CD9">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创建和管理业务指标，定义指标计算逻辑、统计口径和数据来源，确保指标一致性。</w:t>
      </w:r>
    </w:p>
    <w:p w14:paraId="7B48A67C">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2.1.1.4.6.4.权限管理</w:t>
      </w:r>
    </w:p>
    <w:p w14:paraId="50E7A692">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配置不同角色对数据模型的访问权限，控制模型的查看、编辑、使用权限，保障数据安全。</w:t>
      </w:r>
    </w:p>
    <w:p w14:paraId="33EC495F">
      <w:pPr>
        <w:pStyle w:val="6"/>
        <w:keepNext w:val="0"/>
        <w:keepLines w:val="0"/>
        <w:pageBreakBefore w:val="0"/>
        <w:kinsoku/>
        <w:wordWrap/>
        <w:overflowPunct/>
        <w:topLinePunct w:val="0"/>
        <w:autoSpaceDE/>
        <w:autoSpaceDN/>
        <w:bidi w:val="0"/>
        <w:adjustRightInd/>
        <w:snapToGrid/>
        <w:spacing w:line="500" w:lineRule="exact"/>
        <w:ind w:left="855"/>
        <w:jc w:val="both"/>
        <w:textAlignment w:val="auto"/>
        <w:rPr>
          <w:rFonts w:hint="eastAsia" w:ascii="宋体" w:hAnsi="宋体" w:eastAsia="宋体" w:cs="宋体"/>
          <w:sz w:val="24"/>
          <w:szCs w:val="24"/>
        </w:rPr>
      </w:pPr>
      <w:r>
        <w:rPr>
          <w:rFonts w:hint="eastAsia" w:ascii="宋体" w:hAnsi="宋体" w:eastAsia="宋体" w:cs="宋体"/>
          <w:b/>
          <w:sz w:val="24"/>
          <w:szCs w:val="24"/>
        </w:rPr>
        <w:t>2.1.1.4.7.术语管理(评审项16)</w:t>
      </w:r>
    </w:p>
    <w:p w14:paraId="07D11028">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同义词管理：管理业务术语的同义词库，建立术语映射关系，提升意图识别准确性。</w:t>
      </w:r>
    </w:p>
    <w:p w14:paraId="0EE1A5FA">
      <w:pPr>
        <w:pStyle w:val="6"/>
        <w:keepNext w:val="0"/>
        <w:keepLines w:val="0"/>
        <w:pageBreakBefore w:val="0"/>
        <w:kinsoku/>
        <w:wordWrap/>
        <w:overflowPunct/>
        <w:topLinePunct w:val="0"/>
        <w:autoSpaceDE/>
        <w:autoSpaceDN/>
        <w:bidi w:val="0"/>
        <w:adjustRightInd/>
        <w:snapToGrid/>
        <w:spacing w:line="500" w:lineRule="exact"/>
        <w:ind w:left="855"/>
        <w:jc w:val="both"/>
        <w:textAlignment w:val="auto"/>
        <w:rPr>
          <w:rFonts w:hint="eastAsia" w:ascii="宋体" w:hAnsi="宋体" w:eastAsia="宋体" w:cs="宋体"/>
          <w:sz w:val="24"/>
          <w:szCs w:val="24"/>
        </w:rPr>
      </w:pPr>
      <w:r>
        <w:rPr>
          <w:rFonts w:hint="eastAsia" w:ascii="宋体" w:hAnsi="宋体" w:eastAsia="宋体" w:cs="宋体"/>
          <w:b/>
          <w:sz w:val="24"/>
          <w:szCs w:val="24"/>
        </w:rPr>
        <w:t>2.1.1.4.8.指标市场(评审项17)</w:t>
      </w:r>
    </w:p>
    <w:p w14:paraId="6223D1EC">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2.1.1.4.8.1.创建</w:t>
      </w:r>
    </w:p>
    <w:p w14:paraId="4511D03F">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在指标市场中创建新的业务指标，填写指标定义、计算逻辑、数据来源等信息，提交审核后上线。</w:t>
      </w:r>
    </w:p>
    <w:p w14:paraId="3F90A2FD">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2.1.1.4.8.2.下架</w:t>
      </w:r>
    </w:p>
    <w:p w14:paraId="1200C03E">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将指标市场中的指标暂时下架，下架后用户无法查看和使用该指标，支持重新上架操作。</w:t>
      </w:r>
    </w:p>
    <w:p w14:paraId="7DDB44D1">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2.1.1.4.8.3.上架</w:t>
      </w:r>
    </w:p>
    <w:p w14:paraId="218D48E8">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将审核通过或已下架的指标正式上架到指标市场，供用户查询和使用，支持设置上架有效期。</w:t>
      </w:r>
    </w:p>
    <w:p w14:paraId="20192D3D">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2.1.1.4.8.4.删除</w:t>
      </w:r>
    </w:p>
    <w:p w14:paraId="4543926D">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从指标市场中永久删除指标，删除前需确认指标无关联依赖，支持回收站功能防止误删。</w:t>
      </w:r>
    </w:p>
    <w:p w14:paraId="4831C3B9">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2.1.1.4.8.5.编辑</w:t>
      </w:r>
    </w:p>
    <w:p w14:paraId="6CF166D3">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修改指标市场中指标的相关信息，包括计算逻辑调整、描述更新等，编辑后需重新审核。</w:t>
      </w:r>
    </w:p>
    <w:p w14:paraId="55055EFC">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2.1.1.4.8.6.收藏</w:t>
      </w:r>
    </w:p>
    <w:p w14:paraId="61F1800F">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支持用户收藏常用指标，添加到个人收藏夹，便于快速查找和重复使用。</w:t>
      </w:r>
    </w:p>
    <w:p w14:paraId="1701C09A">
      <w:pPr>
        <w:pStyle w:val="6"/>
        <w:keepNext w:val="0"/>
        <w:keepLines w:val="0"/>
        <w:pageBreakBefore w:val="0"/>
        <w:kinsoku/>
        <w:wordWrap/>
        <w:overflowPunct/>
        <w:topLinePunct w:val="0"/>
        <w:autoSpaceDE/>
        <w:autoSpaceDN/>
        <w:bidi w:val="0"/>
        <w:adjustRightInd/>
        <w:snapToGrid/>
        <w:spacing w:line="500" w:lineRule="exact"/>
        <w:ind w:left="855"/>
        <w:jc w:val="both"/>
        <w:textAlignment w:val="auto"/>
        <w:rPr>
          <w:rFonts w:hint="eastAsia" w:ascii="宋体" w:hAnsi="宋体" w:eastAsia="宋体" w:cs="宋体"/>
          <w:sz w:val="24"/>
          <w:szCs w:val="24"/>
        </w:rPr>
      </w:pPr>
      <w:r>
        <w:rPr>
          <w:rFonts w:hint="eastAsia" w:ascii="宋体" w:hAnsi="宋体" w:eastAsia="宋体" w:cs="宋体"/>
          <w:b/>
          <w:sz w:val="24"/>
          <w:szCs w:val="24"/>
        </w:rPr>
        <w:t>2.1.1.4.9.数据源管理(评审项18)</w:t>
      </w:r>
    </w:p>
    <w:p w14:paraId="3E3CE7B7">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数据库支持：配置数据库连接信息，建立系统与目标数据库的连接，支持连接测试。</w:t>
      </w:r>
    </w:p>
    <w:p w14:paraId="4269344D">
      <w:pPr>
        <w:pStyle w:val="6"/>
        <w:keepNext w:val="0"/>
        <w:keepLines w:val="0"/>
        <w:pageBreakBefore w:val="0"/>
        <w:kinsoku/>
        <w:wordWrap/>
        <w:overflowPunct/>
        <w:topLinePunct w:val="0"/>
        <w:autoSpaceDE/>
        <w:autoSpaceDN/>
        <w:bidi w:val="0"/>
        <w:adjustRightInd/>
        <w:snapToGrid/>
        <w:spacing w:line="500" w:lineRule="exact"/>
        <w:ind w:left="855"/>
        <w:jc w:val="both"/>
        <w:textAlignment w:val="auto"/>
        <w:rPr>
          <w:rFonts w:hint="eastAsia" w:ascii="宋体" w:hAnsi="宋体" w:eastAsia="宋体" w:cs="宋体"/>
          <w:sz w:val="24"/>
          <w:szCs w:val="24"/>
        </w:rPr>
      </w:pPr>
      <w:r>
        <w:rPr>
          <w:rFonts w:hint="eastAsia" w:ascii="宋体" w:hAnsi="宋体" w:eastAsia="宋体" w:cs="宋体"/>
          <w:b/>
          <w:sz w:val="24"/>
          <w:szCs w:val="24"/>
        </w:rPr>
        <w:t>2.1.1.4.10.大模型管理(评审项19)</w:t>
      </w:r>
    </w:p>
    <w:p w14:paraId="1FEC90F8">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大模型服务：配置大语言模型的服务地址、API密钥、调用参数，管理模型服务状态。</w:t>
      </w:r>
    </w:p>
    <w:p w14:paraId="6EE36819">
      <w:pPr>
        <w:pStyle w:val="6"/>
        <w:keepNext w:val="0"/>
        <w:keepLines w:val="0"/>
        <w:pageBreakBefore w:val="0"/>
        <w:kinsoku/>
        <w:wordWrap/>
        <w:overflowPunct/>
        <w:topLinePunct w:val="0"/>
        <w:autoSpaceDE/>
        <w:autoSpaceDN/>
        <w:bidi w:val="0"/>
        <w:adjustRightInd/>
        <w:snapToGrid/>
        <w:spacing w:line="500" w:lineRule="exact"/>
        <w:ind w:left="855"/>
        <w:jc w:val="both"/>
        <w:textAlignment w:val="auto"/>
        <w:rPr>
          <w:rFonts w:hint="eastAsia" w:ascii="宋体" w:hAnsi="宋体" w:eastAsia="宋体" w:cs="宋体"/>
          <w:sz w:val="24"/>
          <w:szCs w:val="24"/>
        </w:rPr>
      </w:pPr>
      <w:r>
        <w:rPr>
          <w:rFonts w:hint="eastAsia" w:ascii="宋体" w:hAnsi="宋体" w:eastAsia="宋体" w:cs="宋体"/>
          <w:b/>
          <w:sz w:val="24"/>
          <w:szCs w:val="24"/>
        </w:rPr>
        <w:t>2.1.1.4.11.系统配置(评审项20)</w:t>
      </w:r>
    </w:p>
    <w:p w14:paraId="021E3FB0">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2.1.1.4.11.1.嵌入模型配置</w:t>
      </w:r>
    </w:p>
    <w:p w14:paraId="5783A382">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配置嵌入模型的相关参数，包括模型选择、向量维度、调用超时设置等，优化语义理解效果。</w:t>
      </w:r>
    </w:p>
    <w:p w14:paraId="79BE3336">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2.1.1.4.11.2.向量数据库配置</w:t>
      </w:r>
    </w:p>
    <w:p w14:paraId="197BE9DA">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配置向量数据库的连接信息和存储参数，管理向量数据的索引策略和过期清理规则，保障语义检索性能。</w:t>
      </w:r>
    </w:p>
    <w:p w14:paraId="4C77F4ED">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2.1.1.4.11.3.语义解析配置</w:t>
      </w:r>
    </w:p>
    <w:p w14:paraId="5BD57B87">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配置语义解析引擎的相关参数，包括解析精度、规则优先级、错误处理策略等，提升自然语言理解准确性。</w:t>
      </w:r>
    </w:p>
    <w:p w14:paraId="736AC527">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2.1.1.4.11.4.语义翻译配置</w:t>
      </w:r>
    </w:p>
    <w:p w14:paraId="0F27397E">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配置语义翻译模块的参数，支持多语言问题的翻译处理，设置翻译精度和术语映射规则，适配国际化需求。</w:t>
      </w:r>
    </w:p>
    <w:p w14:paraId="7EA0D553">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2.1.2.数据迁移(评审项21)</w:t>
      </w:r>
    </w:p>
    <w:p w14:paraId="766F3FEB">
      <w:pPr>
        <w:pStyle w:val="6"/>
        <w:keepNext w:val="0"/>
        <w:keepLines w:val="0"/>
        <w:pageBreakBefore w:val="0"/>
        <w:kinsoku/>
        <w:wordWrap/>
        <w:overflowPunct/>
        <w:topLinePunct w:val="0"/>
        <w:autoSpaceDE/>
        <w:autoSpaceDN/>
        <w:bidi w:val="0"/>
        <w:adjustRightInd/>
        <w:snapToGrid/>
        <w:spacing w:line="500" w:lineRule="exact"/>
        <w:ind w:left="855"/>
        <w:jc w:val="both"/>
        <w:textAlignment w:val="auto"/>
        <w:rPr>
          <w:rFonts w:hint="eastAsia" w:ascii="宋体" w:hAnsi="宋体" w:eastAsia="宋体" w:cs="宋体"/>
          <w:sz w:val="24"/>
          <w:szCs w:val="24"/>
        </w:rPr>
      </w:pPr>
      <w:r>
        <w:rPr>
          <w:rFonts w:hint="eastAsia" w:ascii="宋体" w:hAnsi="宋体" w:eastAsia="宋体" w:cs="宋体"/>
          <w:b/>
          <w:sz w:val="24"/>
          <w:szCs w:val="24"/>
        </w:rPr>
        <w:t>2.1.2.1.精神卫生质控中心管理平台数据迁移</w:t>
      </w:r>
    </w:p>
    <w:p w14:paraId="145C51BF">
      <w:pPr>
        <w:pStyle w:val="6"/>
        <w:keepNext w:val="0"/>
        <w:keepLines w:val="0"/>
        <w:pageBreakBefore w:val="0"/>
        <w:kinsoku/>
        <w:wordWrap/>
        <w:overflowPunct/>
        <w:topLinePunct w:val="0"/>
        <w:autoSpaceDE/>
        <w:autoSpaceDN/>
        <w:bidi w:val="0"/>
        <w:adjustRightInd/>
        <w:snapToGrid/>
        <w:spacing w:line="500" w:lineRule="exact"/>
        <w:ind w:left="855"/>
        <w:jc w:val="both"/>
        <w:textAlignment w:val="auto"/>
        <w:rPr>
          <w:rFonts w:hint="eastAsia" w:ascii="宋体" w:hAnsi="宋体" w:eastAsia="宋体" w:cs="宋体"/>
          <w:sz w:val="24"/>
          <w:szCs w:val="24"/>
        </w:rPr>
      </w:pPr>
      <w:r>
        <w:rPr>
          <w:rFonts w:hint="eastAsia" w:ascii="宋体" w:hAnsi="宋体" w:eastAsia="宋体" w:cs="宋体"/>
          <w:b/>
          <w:sz w:val="24"/>
          <w:szCs w:val="24"/>
        </w:rPr>
        <w:t>2.1.2.1.1.数据迁移目标</w:t>
      </w:r>
    </w:p>
    <w:p w14:paraId="7724C538">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本项目需完成精神卫生质控中心管理平台的数据迁移工作。</w:t>
      </w:r>
    </w:p>
    <w:p w14:paraId="6165B7EF">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1.系统迁移后，系统能够正常使用</w:t>
      </w:r>
    </w:p>
    <w:p w14:paraId="7962A461">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使用人员能够正常使用应用系统。</w:t>
      </w:r>
    </w:p>
    <w:p w14:paraId="15F56301">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2.系统迁移对用户透明，保证业务数据延续性</w:t>
      </w:r>
    </w:p>
    <w:p w14:paraId="47CBEE27">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系统迁移范围，包括对原系统中业务数据的迁移。迁移过程，要制定相应策略，保证业务范围完整、数据准确、权限控制。使得新、原环境业务数据保持一致，对于用户来讲系统迁移为透明状态，业务操作时感受不到系统迁移，可以继续延续原环境中的业务流程操作。</w:t>
      </w:r>
    </w:p>
    <w:p w14:paraId="45B891DE">
      <w:pPr>
        <w:pStyle w:val="6"/>
        <w:keepNext w:val="0"/>
        <w:keepLines w:val="0"/>
        <w:pageBreakBefore w:val="0"/>
        <w:kinsoku/>
        <w:wordWrap/>
        <w:overflowPunct/>
        <w:topLinePunct w:val="0"/>
        <w:autoSpaceDE/>
        <w:autoSpaceDN/>
        <w:bidi w:val="0"/>
        <w:adjustRightInd/>
        <w:snapToGrid/>
        <w:spacing w:line="500" w:lineRule="exact"/>
        <w:ind w:left="855"/>
        <w:jc w:val="both"/>
        <w:textAlignment w:val="auto"/>
        <w:rPr>
          <w:rFonts w:hint="eastAsia" w:ascii="宋体" w:hAnsi="宋体" w:eastAsia="宋体" w:cs="宋体"/>
          <w:sz w:val="24"/>
          <w:szCs w:val="24"/>
        </w:rPr>
      </w:pPr>
      <w:r>
        <w:rPr>
          <w:rFonts w:hint="eastAsia" w:ascii="宋体" w:hAnsi="宋体" w:eastAsia="宋体" w:cs="宋体"/>
          <w:b/>
          <w:sz w:val="24"/>
          <w:szCs w:val="24"/>
        </w:rPr>
        <w:t>2.1.2.1.2.数据迁移原则</w:t>
      </w:r>
    </w:p>
    <w:p w14:paraId="33DC1FB6">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在实施过程中应注意数据迁移的重点与策略，主要应注意数据零丢失、业务零中断、数据完整性以及规范化、标准化四个原则。</w:t>
      </w:r>
    </w:p>
    <w:p w14:paraId="52F2DD7D">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1.数据零丢失</w:t>
      </w:r>
    </w:p>
    <w:p w14:paraId="671A67FA">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数据迁移应保证支持本项目的业务数据一致性，数据迁移需要保障新老系统之间在同步运行的阶段系统数据交互通畅，数据集成完整；保障改造或新建的系统之间业务功能数据衔接完整一致；迁移的核心业务数据满足决策统计数据要求。</w:t>
      </w:r>
    </w:p>
    <w:p w14:paraId="0EC09054">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2.工作时间业务零中断</w:t>
      </w:r>
    </w:p>
    <w:p w14:paraId="02F3AE7B">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业务中断对时间敏感型数据和数据完整性业务造成很大的影响，对生产环境还是测试环境均存在较大的恢复风险，因此，在迁移过程中需要考虑到如何将停机时间最小，保障工作时间上业务零中断的建设目标。对数据库设计、迁移开发、数据环境部署等方面的优化，提高迁移的性能。</w:t>
      </w:r>
    </w:p>
    <w:p w14:paraId="0850E129">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3.数据完整性</w:t>
      </w:r>
    </w:p>
    <w:p w14:paraId="21F15A46">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数据迁移的数据主要为精神卫生质控中心管理平台的各种业务数据。</w:t>
      </w:r>
    </w:p>
    <w:p w14:paraId="38E86597">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4.标准化、规范化</w:t>
      </w:r>
    </w:p>
    <w:p w14:paraId="394F7053">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数据迁移应设定对应标准，如数据对照标准、数据的转换标准和中间文本的标准，在迁移过程中严格依据标准实施，保障迁移过程高效有序进行。此外，还需要制定数据问题解决机制及流程，规范数据清理、数据问题反馈机制，有效提高数据迁移质量。</w:t>
      </w:r>
    </w:p>
    <w:p w14:paraId="5B8A14A9">
      <w:pPr>
        <w:pStyle w:val="6"/>
        <w:keepNext w:val="0"/>
        <w:keepLines w:val="0"/>
        <w:pageBreakBefore w:val="0"/>
        <w:kinsoku/>
        <w:wordWrap/>
        <w:overflowPunct/>
        <w:topLinePunct w:val="0"/>
        <w:autoSpaceDE/>
        <w:autoSpaceDN/>
        <w:bidi w:val="0"/>
        <w:adjustRightInd/>
        <w:snapToGrid/>
        <w:spacing w:line="500" w:lineRule="exact"/>
        <w:ind w:left="855"/>
        <w:jc w:val="both"/>
        <w:textAlignment w:val="auto"/>
        <w:rPr>
          <w:rFonts w:hint="eastAsia" w:ascii="宋体" w:hAnsi="宋体" w:eastAsia="宋体" w:cs="宋体"/>
          <w:sz w:val="24"/>
          <w:szCs w:val="24"/>
        </w:rPr>
      </w:pPr>
      <w:r>
        <w:rPr>
          <w:rFonts w:hint="eastAsia" w:ascii="宋体" w:hAnsi="宋体" w:eastAsia="宋体" w:cs="宋体"/>
          <w:b/>
          <w:sz w:val="24"/>
          <w:szCs w:val="24"/>
        </w:rPr>
        <w:t>2.1.2.1.3.数据迁移范围</w:t>
      </w:r>
    </w:p>
    <w:p w14:paraId="31137E72">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针对精神卫生质控中心管理平台原数据库中的业务数据迁移至国产服务器中，实现精神卫生质控中心管理平台系统在国产化环境上部署使用。</w:t>
      </w:r>
    </w:p>
    <w:p w14:paraId="27536126">
      <w:pPr>
        <w:pStyle w:val="6"/>
        <w:keepNext w:val="0"/>
        <w:keepLines w:val="0"/>
        <w:pageBreakBefore w:val="0"/>
        <w:kinsoku/>
        <w:wordWrap/>
        <w:overflowPunct/>
        <w:topLinePunct w:val="0"/>
        <w:autoSpaceDE/>
        <w:autoSpaceDN/>
        <w:bidi w:val="0"/>
        <w:adjustRightInd/>
        <w:snapToGrid/>
        <w:spacing w:line="500" w:lineRule="exact"/>
        <w:ind w:left="855"/>
        <w:jc w:val="both"/>
        <w:textAlignment w:val="auto"/>
        <w:rPr>
          <w:rFonts w:hint="eastAsia" w:ascii="宋体" w:hAnsi="宋体" w:eastAsia="宋体" w:cs="宋体"/>
          <w:sz w:val="24"/>
          <w:szCs w:val="24"/>
        </w:rPr>
      </w:pPr>
      <w:r>
        <w:rPr>
          <w:rFonts w:hint="eastAsia" w:ascii="宋体" w:hAnsi="宋体" w:eastAsia="宋体" w:cs="宋体"/>
          <w:b/>
          <w:sz w:val="24"/>
          <w:szCs w:val="24"/>
        </w:rPr>
        <w:t>2.1.2.1.4.数据迁移工作量</w:t>
      </w:r>
    </w:p>
    <w:p w14:paraId="4CF3CE08">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针对不同信息系统的数据现状不同，评估每个信息系统的数据迁移工作量，包括数据迁移的库表数量、结构化数据量大小、数据迁移时长等。具体数据迁移工作量如下表：</w:t>
      </w:r>
    </w:p>
    <w:p w14:paraId="431596DC">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表2</w:t>
      </w:r>
      <w:r>
        <w:rPr>
          <w:rFonts w:hint="eastAsia" w:ascii="宋体" w:hAnsi="宋体" w:eastAsia="宋体" w:cs="宋体"/>
          <w:sz w:val="24"/>
          <w:szCs w:val="24"/>
          <w:lang w:val="en-US" w:eastAsia="zh-CN"/>
        </w:rPr>
        <w:t>-</w:t>
      </w:r>
      <w:r>
        <w:rPr>
          <w:rFonts w:hint="eastAsia" w:ascii="宋体" w:hAnsi="宋体" w:eastAsia="宋体" w:cs="宋体"/>
          <w:sz w:val="24"/>
          <w:szCs w:val="24"/>
        </w:rPr>
        <w:t>1迁移数据工作量清单表</w:t>
      </w:r>
    </w:p>
    <w:tbl>
      <w:tblPr>
        <w:tblStyle w:val="4"/>
        <w:tblW w:w="0" w:type="auto"/>
        <w:tblInd w:w="0" w:type="dxa"/>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autofit"/>
        <w:tblCellMar>
          <w:top w:w="0" w:type="dxa"/>
          <w:left w:w="108" w:type="dxa"/>
          <w:bottom w:w="0" w:type="dxa"/>
          <w:right w:w="108" w:type="dxa"/>
        </w:tblCellMar>
      </w:tblPr>
      <w:tblGrid>
        <w:gridCol w:w="301"/>
        <w:gridCol w:w="1099"/>
        <w:gridCol w:w="854"/>
        <w:gridCol w:w="682"/>
        <w:gridCol w:w="765"/>
        <w:gridCol w:w="539"/>
        <w:gridCol w:w="734"/>
        <w:gridCol w:w="933"/>
        <w:gridCol w:w="1639"/>
        <w:gridCol w:w="790"/>
      </w:tblGrid>
      <w:tr w14:paraId="224C66E1">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301" w:type="dxa"/>
            <w:vMerge w:val="restart"/>
            <w:tcBorders>
              <w:top w:val="double" w:color="000000" w:sz="4" w:space="0"/>
              <w:left w:val="double" w:color="000000" w:sz="4" w:space="0"/>
              <w:bottom w:val="single" w:color="000000" w:sz="4" w:space="0"/>
              <w:right w:val="single" w:color="000000" w:sz="4" w:space="0"/>
            </w:tcBorders>
            <w:shd w:val="clear" w:color="auto" w:fill="BEBEBE"/>
            <w:tcMar>
              <w:top w:w="0" w:type="dxa"/>
              <w:left w:w="0" w:type="dxa"/>
              <w:bottom w:w="0" w:type="dxa"/>
              <w:right w:w="0" w:type="dxa"/>
            </w:tcMar>
            <w:vAlign w:val="top"/>
          </w:tcPr>
          <w:p w14:paraId="520181DB">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b/>
                <w:sz w:val="24"/>
                <w:szCs w:val="24"/>
              </w:rPr>
              <w:t>序号</w:t>
            </w:r>
          </w:p>
        </w:tc>
        <w:tc>
          <w:tcPr>
            <w:tcW w:w="1107" w:type="dxa"/>
            <w:vMerge w:val="restart"/>
            <w:tcBorders>
              <w:top w:val="double" w:color="000000" w:sz="4" w:space="0"/>
              <w:left w:val="nil"/>
              <w:bottom w:val="single" w:color="000000" w:sz="4" w:space="0"/>
              <w:right w:val="single" w:color="000000" w:sz="4" w:space="0"/>
            </w:tcBorders>
            <w:shd w:val="clear" w:color="auto" w:fill="BEBEBE"/>
            <w:tcMar>
              <w:top w:w="0" w:type="dxa"/>
              <w:left w:w="0" w:type="dxa"/>
              <w:bottom w:w="0" w:type="dxa"/>
              <w:right w:w="0" w:type="dxa"/>
            </w:tcMar>
            <w:vAlign w:val="top"/>
          </w:tcPr>
          <w:p w14:paraId="28423C4B">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b/>
                <w:sz w:val="24"/>
                <w:szCs w:val="24"/>
              </w:rPr>
              <w:t>系统名称</w:t>
            </w:r>
          </w:p>
        </w:tc>
        <w:tc>
          <w:tcPr>
            <w:tcW w:w="855" w:type="dxa"/>
            <w:vMerge w:val="restart"/>
            <w:tcBorders>
              <w:top w:val="double" w:color="000000" w:sz="4" w:space="0"/>
              <w:left w:val="nil"/>
              <w:bottom w:val="single" w:color="000000" w:sz="4" w:space="0"/>
              <w:right w:val="single" w:color="000000" w:sz="4" w:space="0"/>
            </w:tcBorders>
            <w:shd w:val="clear" w:color="auto" w:fill="BEBEBE"/>
            <w:tcMar>
              <w:top w:w="0" w:type="dxa"/>
              <w:left w:w="0" w:type="dxa"/>
              <w:bottom w:w="0" w:type="dxa"/>
              <w:right w:w="0" w:type="dxa"/>
            </w:tcMar>
            <w:vAlign w:val="top"/>
          </w:tcPr>
          <w:p w14:paraId="70B05382">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b/>
                <w:sz w:val="24"/>
                <w:szCs w:val="24"/>
              </w:rPr>
              <w:t>库表数量（张）</w:t>
            </w:r>
          </w:p>
        </w:tc>
        <w:tc>
          <w:tcPr>
            <w:tcW w:w="686" w:type="dxa"/>
            <w:vMerge w:val="restart"/>
            <w:tcBorders>
              <w:top w:val="double" w:color="000000" w:sz="4" w:space="0"/>
              <w:left w:val="nil"/>
              <w:bottom w:val="single" w:color="000000" w:sz="4" w:space="0"/>
              <w:right w:val="single" w:color="000000" w:sz="4" w:space="0"/>
            </w:tcBorders>
            <w:shd w:val="clear" w:color="auto" w:fill="BEBEBE"/>
            <w:tcMar>
              <w:top w:w="0" w:type="dxa"/>
              <w:left w:w="0" w:type="dxa"/>
              <w:bottom w:w="0" w:type="dxa"/>
              <w:right w:w="0" w:type="dxa"/>
            </w:tcMar>
            <w:vAlign w:val="top"/>
          </w:tcPr>
          <w:p w14:paraId="102E3DEE">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b/>
                <w:sz w:val="24"/>
                <w:szCs w:val="24"/>
              </w:rPr>
              <w:t>组成内容</w:t>
            </w:r>
          </w:p>
        </w:tc>
        <w:tc>
          <w:tcPr>
            <w:tcW w:w="770" w:type="dxa"/>
            <w:vMerge w:val="restart"/>
            <w:tcBorders>
              <w:top w:val="double" w:color="000000" w:sz="4" w:space="0"/>
              <w:left w:val="nil"/>
              <w:bottom w:val="single" w:color="000000" w:sz="4" w:space="0"/>
              <w:right w:val="single" w:color="000000" w:sz="4" w:space="0"/>
            </w:tcBorders>
            <w:shd w:val="clear" w:color="auto" w:fill="BEBEBE"/>
            <w:tcMar>
              <w:top w:w="0" w:type="dxa"/>
              <w:left w:w="0" w:type="dxa"/>
              <w:bottom w:w="0" w:type="dxa"/>
              <w:right w:w="0" w:type="dxa"/>
            </w:tcMar>
            <w:vAlign w:val="top"/>
          </w:tcPr>
          <w:p w14:paraId="2DDA1A75">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b/>
                <w:sz w:val="24"/>
                <w:szCs w:val="24"/>
              </w:rPr>
              <w:t>数据库</w:t>
            </w:r>
          </w:p>
          <w:p w14:paraId="72DF7D9A">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b/>
                <w:sz w:val="24"/>
                <w:szCs w:val="24"/>
              </w:rPr>
              <w:t>类型</w:t>
            </w:r>
          </w:p>
        </w:tc>
        <w:tc>
          <w:tcPr>
            <w:tcW w:w="1204" w:type="dxa"/>
            <w:gridSpan w:val="2"/>
            <w:tcBorders>
              <w:top w:val="double" w:color="000000" w:sz="4" w:space="0"/>
              <w:left w:val="nil"/>
              <w:bottom w:val="single" w:color="000000" w:sz="4" w:space="0"/>
              <w:right w:val="single" w:color="000000" w:sz="4" w:space="0"/>
            </w:tcBorders>
            <w:shd w:val="clear" w:color="auto" w:fill="BEBEBE"/>
            <w:tcMar>
              <w:top w:w="0" w:type="dxa"/>
              <w:left w:w="0" w:type="dxa"/>
              <w:bottom w:w="0" w:type="dxa"/>
              <w:right w:w="0" w:type="dxa"/>
            </w:tcMar>
            <w:vAlign w:val="top"/>
          </w:tcPr>
          <w:p w14:paraId="1059A0D4">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b/>
                <w:sz w:val="24"/>
                <w:szCs w:val="24"/>
              </w:rPr>
              <w:t>数据量</w:t>
            </w:r>
          </w:p>
        </w:tc>
        <w:tc>
          <w:tcPr>
            <w:tcW w:w="939" w:type="dxa"/>
            <w:vMerge w:val="restart"/>
            <w:tcBorders>
              <w:top w:val="double" w:color="000000" w:sz="4" w:space="0"/>
              <w:left w:val="nil"/>
              <w:bottom w:val="single" w:color="000000" w:sz="4" w:space="0"/>
              <w:right w:val="single" w:color="000000" w:sz="4" w:space="0"/>
            </w:tcBorders>
            <w:shd w:val="clear" w:color="auto" w:fill="BEBEBE"/>
            <w:tcMar>
              <w:top w:w="0" w:type="dxa"/>
              <w:left w:w="0" w:type="dxa"/>
              <w:bottom w:w="0" w:type="dxa"/>
              <w:right w:w="0" w:type="dxa"/>
            </w:tcMar>
            <w:vAlign w:val="top"/>
          </w:tcPr>
          <w:p w14:paraId="69696A66">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b/>
                <w:sz w:val="24"/>
                <w:szCs w:val="24"/>
              </w:rPr>
              <w:t>数据库迁移时长</w:t>
            </w:r>
          </w:p>
        </w:tc>
        <w:tc>
          <w:tcPr>
            <w:tcW w:w="1649" w:type="dxa"/>
            <w:vMerge w:val="restart"/>
            <w:tcBorders>
              <w:top w:val="double" w:color="000000" w:sz="4" w:space="0"/>
              <w:left w:val="nil"/>
              <w:bottom w:val="single" w:color="000000" w:sz="4" w:space="0"/>
              <w:right w:val="single" w:color="000000" w:sz="4" w:space="0"/>
            </w:tcBorders>
            <w:shd w:val="clear" w:color="auto" w:fill="BEBEBE"/>
            <w:tcMar>
              <w:top w:w="0" w:type="dxa"/>
              <w:left w:w="0" w:type="dxa"/>
              <w:bottom w:w="0" w:type="dxa"/>
              <w:right w:w="0" w:type="dxa"/>
            </w:tcMar>
            <w:vAlign w:val="top"/>
          </w:tcPr>
          <w:p w14:paraId="641D87A2">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b/>
                <w:sz w:val="24"/>
                <w:szCs w:val="24"/>
              </w:rPr>
              <w:t>数据类型说明</w:t>
            </w:r>
          </w:p>
        </w:tc>
        <w:tc>
          <w:tcPr>
            <w:tcW w:w="794" w:type="dxa"/>
            <w:vMerge w:val="restart"/>
            <w:tcBorders>
              <w:top w:val="double" w:color="000000" w:sz="4" w:space="0"/>
              <w:left w:val="nil"/>
              <w:bottom w:val="single" w:color="000000" w:sz="4" w:space="0"/>
              <w:right w:val="double" w:color="000000" w:sz="4" w:space="0"/>
            </w:tcBorders>
            <w:shd w:val="clear" w:color="auto" w:fill="BEBEBE"/>
            <w:tcMar>
              <w:top w:w="0" w:type="dxa"/>
              <w:left w:w="0" w:type="dxa"/>
              <w:bottom w:w="0" w:type="dxa"/>
              <w:right w:w="0" w:type="dxa"/>
            </w:tcMar>
            <w:vAlign w:val="top"/>
          </w:tcPr>
          <w:p w14:paraId="7413E199">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b/>
                <w:sz w:val="24"/>
                <w:szCs w:val="24"/>
              </w:rPr>
              <w:t>数据敏感级别</w:t>
            </w:r>
          </w:p>
        </w:tc>
      </w:tr>
      <w:tr w14:paraId="7615BCAB">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301" w:type="dxa"/>
            <w:vMerge w:val="continue"/>
            <w:tcBorders>
              <w:top w:val="double" w:color="000000" w:sz="4" w:space="0"/>
              <w:left w:val="double" w:color="000000" w:sz="4" w:space="0"/>
              <w:bottom w:val="single" w:color="000000" w:sz="4" w:space="0"/>
              <w:right w:val="single" w:color="000000" w:sz="4" w:space="0"/>
            </w:tcBorders>
          </w:tcPr>
          <w:p w14:paraId="593FB908">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hAnsi="宋体" w:eastAsia="宋体" w:cs="宋体"/>
                <w:sz w:val="24"/>
                <w:szCs w:val="24"/>
              </w:rPr>
            </w:pPr>
          </w:p>
        </w:tc>
        <w:tc>
          <w:tcPr>
            <w:tcW w:w="1107" w:type="dxa"/>
            <w:vMerge w:val="continue"/>
            <w:tcBorders>
              <w:top w:val="double" w:color="000000" w:sz="4" w:space="0"/>
              <w:left w:val="nil"/>
              <w:bottom w:val="single" w:color="000000" w:sz="4" w:space="0"/>
              <w:right w:val="single" w:color="000000" w:sz="4" w:space="0"/>
            </w:tcBorders>
          </w:tcPr>
          <w:p w14:paraId="050C8B5B">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hAnsi="宋体" w:eastAsia="宋体" w:cs="宋体"/>
                <w:sz w:val="24"/>
                <w:szCs w:val="24"/>
              </w:rPr>
            </w:pPr>
          </w:p>
        </w:tc>
        <w:tc>
          <w:tcPr>
            <w:tcW w:w="855" w:type="dxa"/>
            <w:vMerge w:val="continue"/>
            <w:tcBorders>
              <w:top w:val="double" w:color="000000" w:sz="4" w:space="0"/>
              <w:left w:val="nil"/>
              <w:bottom w:val="single" w:color="000000" w:sz="4" w:space="0"/>
              <w:right w:val="single" w:color="000000" w:sz="4" w:space="0"/>
            </w:tcBorders>
          </w:tcPr>
          <w:p w14:paraId="6E8786EE">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hAnsi="宋体" w:eastAsia="宋体" w:cs="宋体"/>
                <w:sz w:val="24"/>
                <w:szCs w:val="24"/>
              </w:rPr>
            </w:pPr>
          </w:p>
        </w:tc>
        <w:tc>
          <w:tcPr>
            <w:tcW w:w="686" w:type="dxa"/>
            <w:vMerge w:val="continue"/>
            <w:tcBorders>
              <w:top w:val="double" w:color="000000" w:sz="4" w:space="0"/>
              <w:left w:val="nil"/>
              <w:bottom w:val="single" w:color="000000" w:sz="4" w:space="0"/>
              <w:right w:val="single" w:color="000000" w:sz="4" w:space="0"/>
            </w:tcBorders>
          </w:tcPr>
          <w:p w14:paraId="5D1AA3E4">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hAnsi="宋体" w:eastAsia="宋体" w:cs="宋体"/>
                <w:sz w:val="24"/>
                <w:szCs w:val="24"/>
              </w:rPr>
            </w:pPr>
          </w:p>
        </w:tc>
        <w:tc>
          <w:tcPr>
            <w:tcW w:w="770" w:type="dxa"/>
            <w:vMerge w:val="continue"/>
            <w:tcBorders>
              <w:top w:val="double" w:color="000000" w:sz="4" w:space="0"/>
              <w:left w:val="nil"/>
              <w:bottom w:val="single" w:color="000000" w:sz="4" w:space="0"/>
              <w:right w:val="single" w:color="000000" w:sz="4" w:space="0"/>
            </w:tcBorders>
          </w:tcPr>
          <w:p w14:paraId="7A80F486">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hAnsi="宋体" w:eastAsia="宋体" w:cs="宋体"/>
                <w:sz w:val="24"/>
                <w:szCs w:val="24"/>
              </w:rPr>
            </w:pPr>
          </w:p>
        </w:tc>
        <w:tc>
          <w:tcPr>
            <w:tcW w:w="542" w:type="dxa"/>
            <w:tcBorders>
              <w:top w:val="nil"/>
              <w:left w:val="single" w:color="000000" w:sz="4" w:space="0"/>
              <w:bottom w:val="single" w:color="000000" w:sz="4" w:space="0"/>
              <w:right w:val="single" w:color="000000" w:sz="4" w:space="0"/>
            </w:tcBorders>
            <w:shd w:val="clear" w:color="auto" w:fill="BEBEBE"/>
            <w:tcMar>
              <w:top w:w="0" w:type="dxa"/>
              <w:left w:w="0" w:type="dxa"/>
              <w:bottom w:w="0" w:type="dxa"/>
              <w:right w:w="0" w:type="dxa"/>
            </w:tcMar>
            <w:vAlign w:val="top"/>
          </w:tcPr>
          <w:p w14:paraId="5928C528">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b/>
                <w:sz w:val="24"/>
                <w:szCs w:val="24"/>
              </w:rPr>
              <w:t>表现形式</w:t>
            </w:r>
          </w:p>
        </w:tc>
        <w:tc>
          <w:tcPr>
            <w:tcW w:w="662" w:type="dxa"/>
            <w:tcBorders>
              <w:top w:val="nil"/>
              <w:left w:val="single" w:color="000000" w:sz="4" w:space="0"/>
              <w:bottom w:val="single" w:color="000000" w:sz="4" w:space="0"/>
              <w:right w:val="single" w:color="000000" w:sz="4" w:space="0"/>
            </w:tcBorders>
            <w:shd w:val="clear" w:color="auto" w:fill="BEBEBE"/>
            <w:tcMar>
              <w:top w:w="0" w:type="dxa"/>
              <w:left w:w="0" w:type="dxa"/>
              <w:bottom w:w="0" w:type="dxa"/>
              <w:right w:w="0" w:type="dxa"/>
            </w:tcMar>
            <w:vAlign w:val="top"/>
          </w:tcPr>
          <w:p w14:paraId="2013DC03">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b/>
                <w:sz w:val="24"/>
                <w:szCs w:val="24"/>
              </w:rPr>
              <w:t>数据量（GB）</w:t>
            </w:r>
          </w:p>
        </w:tc>
        <w:tc>
          <w:tcPr>
            <w:tcW w:w="939" w:type="dxa"/>
            <w:vMerge w:val="continue"/>
            <w:tcBorders>
              <w:top w:val="double" w:color="000000" w:sz="4" w:space="0"/>
              <w:left w:val="nil"/>
              <w:bottom w:val="single" w:color="000000" w:sz="4" w:space="0"/>
              <w:right w:val="single" w:color="000000" w:sz="4" w:space="0"/>
            </w:tcBorders>
          </w:tcPr>
          <w:p w14:paraId="4265B3AD">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hAnsi="宋体" w:eastAsia="宋体" w:cs="宋体"/>
                <w:sz w:val="24"/>
                <w:szCs w:val="24"/>
              </w:rPr>
            </w:pPr>
          </w:p>
        </w:tc>
        <w:tc>
          <w:tcPr>
            <w:tcW w:w="1649" w:type="dxa"/>
            <w:vMerge w:val="continue"/>
            <w:tcBorders>
              <w:top w:val="double" w:color="000000" w:sz="4" w:space="0"/>
              <w:left w:val="nil"/>
              <w:bottom w:val="single" w:color="000000" w:sz="4" w:space="0"/>
              <w:right w:val="single" w:color="000000" w:sz="4" w:space="0"/>
            </w:tcBorders>
          </w:tcPr>
          <w:p w14:paraId="4F2CDC14">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hAnsi="宋体" w:eastAsia="宋体" w:cs="宋体"/>
                <w:sz w:val="24"/>
                <w:szCs w:val="24"/>
              </w:rPr>
            </w:pPr>
          </w:p>
        </w:tc>
        <w:tc>
          <w:tcPr>
            <w:tcW w:w="794" w:type="dxa"/>
            <w:vMerge w:val="continue"/>
            <w:tcBorders>
              <w:top w:val="double" w:color="000000" w:sz="4" w:space="0"/>
              <w:left w:val="nil"/>
              <w:bottom w:val="single" w:color="000000" w:sz="4" w:space="0"/>
              <w:right w:val="double" w:color="000000" w:sz="4" w:space="0"/>
            </w:tcBorders>
          </w:tcPr>
          <w:p w14:paraId="7ED78788">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hAnsi="宋体" w:eastAsia="宋体" w:cs="宋体"/>
                <w:sz w:val="24"/>
                <w:szCs w:val="24"/>
              </w:rPr>
            </w:pPr>
          </w:p>
        </w:tc>
      </w:tr>
      <w:tr w14:paraId="4E2D2EE4">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301" w:type="dxa"/>
            <w:tcBorders>
              <w:top w:val="single" w:color="000000" w:sz="4" w:space="0"/>
              <w:left w:val="double" w:color="000000" w:sz="4" w:space="0"/>
              <w:bottom w:val="single" w:color="000000" w:sz="4" w:space="0"/>
              <w:right w:val="single" w:color="000000" w:sz="4" w:space="0"/>
            </w:tcBorders>
            <w:tcMar>
              <w:top w:w="0" w:type="dxa"/>
              <w:left w:w="0" w:type="dxa"/>
              <w:bottom w:w="0" w:type="dxa"/>
              <w:right w:w="0" w:type="dxa"/>
            </w:tcMar>
            <w:vAlign w:val="top"/>
          </w:tcPr>
          <w:p w14:paraId="159D5A48">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1</w:t>
            </w:r>
          </w:p>
        </w:tc>
        <w:tc>
          <w:tcPr>
            <w:tcW w:w="1107" w:type="dxa"/>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top"/>
          </w:tcPr>
          <w:p w14:paraId="77EBC817">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精神卫生质控中心管理平台</w:t>
            </w:r>
          </w:p>
        </w:tc>
        <w:tc>
          <w:tcPr>
            <w:tcW w:w="855" w:type="dxa"/>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top"/>
          </w:tcPr>
          <w:p w14:paraId="3B84FCBE">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6</w:t>
            </w:r>
          </w:p>
        </w:tc>
        <w:tc>
          <w:tcPr>
            <w:tcW w:w="686" w:type="dxa"/>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top"/>
          </w:tcPr>
          <w:p w14:paraId="0846C7DC">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业务数据</w:t>
            </w:r>
          </w:p>
        </w:tc>
        <w:tc>
          <w:tcPr>
            <w:tcW w:w="770" w:type="dxa"/>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top"/>
          </w:tcPr>
          <w:p w14:paraId="1AF6338B">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DM数据库</w:t>
            </w:r>
          </w:p>
        </w:tc>
        <w:tc>
          <w:tcPr>
            <w:tcW w:w="542" w:type="dxa"/>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top"/>
          </w:tcPr>
          <w:p w14:paraId="22DFFF5A">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结构化数据</w:t>
            </w:r>
          </w:p>
        </w:tc>
        <w:tc>
          <w:tcPr>
            <w:tcW w:w="662" w:type="dxa"/>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top"/>
          </w:tcPr>
          <w:p w14:paraId="64DF9145">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2</w:t>
            </w:r>
          </w:p>
        </w:tc>
        <w:tc>
          <w:tcPr>
            <w:tcW w:w="939" w:type="dxa"/>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top"/>
          </w:tcPr>
          <w:p w14:paraId="419A478F">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预计2周</w:t>
            </w:r>
          </w:p>
        </w:tc>
        <w:tc>
          <w:tcPr>
            <w:tcW w:w="1649" w:type="dxa"/>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top"/>
          </w:tcPr>
          <w:p w14:paraId="7A46FF25">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sz w:val="24"/>
                <w:szCs w:val="24"/>
              </w:rPr>
              <w:t>结构化数据：含机构信息表、患者信息表、评估记录表、质控指标表、用户权限表、系统日志表</w:t>
            </w:r>
          </w:p>
        </w:tc>
        <w:tc>
          <w:tcPr>
            <w:tcW w:w="794" w:type="dxa"/>
            <w:tcBorders>
              <w:top w:val="single" w:color="000000" w:sz="4" w:space="0"/>
              <w:left w:val="single" w:color="000000" w:sz="4" w:space="0"/>
              <w:bottom w:val="single" w:color="000000" w:sz="4" w:space="0"/>
              <w:right w:val="double" w:color="000000" w:sz="4" w:space="0"/>
            </w:tcBorders>
            <w:tcMar>
              <w:top w:w="0" w:type="dxa"/>
              <w:left w:w="0" w:type="dxa"/>
              <w:bottom w:w="0" w:type="dxa"/>
              <w:right w:w="0" w:type="dxa"/>
            </w:tcMar>
            <w:vAlign w:val="top"/>
          </w:tcPr>
          <w:p w14:paraId="09B8F98F">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内部敏感</w:t>
            </w:r>
          </w:p>
        </w:tc>
      </w:tr>
      <w:tr w14:paraId="11CC980E">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1408" w:type="dxa"/>
            <w:gridSpan w:val="2"/>
            <w:tcBorders>
              <w:top w:val="single" w:color="000000" w:sz="4" w:space="0"/>
              <w:left w:val="double" w:color="000000" w:sz="4" w:space="0"/>
              <w:bottom w:val="double" w:color="000000" w:sz="4" w:space="0"/>
              <w:right w:val="single" w:color="000000" w:sz="4" w:space="0"/>
            </w:tcBorders>
            <w:tcMar>
              <w:top w:w="0" w:type="dxa"/>
              <w:left w:w="0" w:type="dxa"/>
              <w:bottom w:w="0" w:type="dxa"/>
              <w:right w:w="0" w:type="dxa"/>
            </w:tcMar>
            <w:vAlign w:val="top"/>
          </w:tcPr>
          <w:p w14:paraId="2909DB6A">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b/>
                <w:sz w:val="24"/>
                <w:szCs w:val="24"/>
              </w:rPr>
              <w:t>合计</w:t>
            </w:r>
          </w:p>
        </w:tc>
        <w:tc>
          <w:tcPr>
            <w:tcW w:w="855" w:type="dxa"/>
            <w:tcBorders>
              <w:top w:val="single" w:color="000000" w:sz="4" w:space="0"/>
              <w:left w:val="single" w:color="000000" w:sz="4" w:space="0"/>
              <w:bottom w:val="double" w:color="000000" w:sz="4" w:space="0"/>
              <w:right w:val="single" w:color="000000" w:sz="4" w:space="0"/>
            </w:tcBorders>
            <w:tcMar>
              <w:top w:w="0" w:type="dxa"/>
              <w:left w:w="0" w:type="dxa"/>
              <w:bottom w:w="0" w:type="dxa"/>
              <w:right w:w="0" w:type="dxa"/>
            </w:tcMar>
            <w:vAlign w:val="top"/>
          </w:tcPr>
          <w:p w14:paraId="224E22D5">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b/>
                <w:sz w:val="24"/>
                <w:szCs w:val="24"/>
              </w:rPr>
              <w:t>6</w:t>
            </w:r>
          </w:p>
        </w:tc>
        <w:tc>
          <w:tcPr>
            <w:tcW w:w="686" w:type="dxa"/>
            <w:tcBorders>
              <w:top w:val="single" w:color="000000" w:sz="4" w:space="0"/>
              <w:left w:val="single" w:color="000000" w:sz="4" w:space="0"/>
              <w:bottom w:val="double" w:color="000000" w:sz="4" w:space="0"/>
              <w:right w:val="single" w:color="000000" w:sz="4" w:space="0"/>
            </w:tcBorders>
            <w:tcMar>
              <w:top w:w="0" w:type="dxa"/>
              <w:left w:w="0" w:type="dxa"/>
              <w:bottom w:w="0" w:type="dxa"/>
              <w:right w:w="0" w:type="dxa"/>
            </w:tcMar>
            <w:vAlign w:val="top"/>
          </w:tcPr>
          <w:p w14:paraId="683E789E">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p>
        </w:tc>
        <w:tc>
          <w:tcPr>
            <w:tcW w:w="770" w:type="dxa"/>
            <w:tcBorders>
              <w:top w:val="single" w:color="000000" w:sz="4" w:space="0"/>
              <w:left w:val="single" w:color="000000" w:sz="4" w:space="0"/>
              <w:bottom w:val="double" w:color="000000" w:sz="4" w:space="0"/>
              <w:right w:val="single" w:color="000000" w:sz="4" w:space="0"/>
            </w:tcBorders>
            <w:tcMar>
              <w:top w:w="0" w:type="dxa"/>
              <w:left w:w="0" w:type="dxa"/>
              <w:bottom w:w="0" w:type="dxa"/>
              <w:right w:w="0" w:type="dxa"/>
            </w:tcMar>
            <w:vAlign w:val="top"/>
          </w:tcPr>
          <w:p w14:paraId="042BF921">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hAnsi="宋体" w:eastAsia="宋体" w:cs="宋体"/>
                <w:sz w:val="24"/>
                <w:szCs w:val="24"/>
              </w:rPr>
            </w:pPr>
          </w:p>
        </w:tc>
        <w:tc>
          <w:tcPr>
            <w:tcW w:w="542" w:type="dxa"/>
            <w:tcBorders>
              <w:top w:val="single" w:color="000000" w:sz="4" w:space="0"/>
              <w:left w:val="single" w:color="000000" w:sz="4" w:space="0"/>
              <w:bottom w:val="double" w:color="000000" w:sz="4" w:space="0"/>
              <w:right w:val="single" w:color="000000" w:sz="4" w:space="0"/>
            </w:tcBorders>
            <w:tcMar>
              <w:top w:w="0" w:type="dxa"/>
              <w:left w:w="0" w:type="dxa"/>
              <w:bottom w:w="0" w:type="dxa"/>
              <w:right w:w="0" w:type="dxa"/>
            </w:tcMar>
            <w:vAlign w:val="top"/>
          </w:tcPr>
          <w:p w14:paraId="0271E405">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hAnsi="宋体" w:eastAsia="宋体" w:cs="宋体"/>
                <w:sz w:val="24"/>
                <w:szCs w:val="24"/>
              </w:rPr>
            </w:pPr>
          </w:p>
        </w:tc>
        <w:tc>
          <w:tcPr>
            <w:tcW w:w="662" w:type="dxa"/>
            <w:tcBorders>
              <w:top w:val="single" w:color="000000" w:sz="4" w:space="0"/>
              <w:left w:val="single" w:color="000000" w:sz="4" w:space="0"/>
              <w:bottom w:val="double" w:color="000000" w:sz="4" w:space="0"/>
              <w:right w:val="single" w:color="000000" w:sz="4" w:space="0"/>
            </w:tcBorders>
            <w:tcMar>
              <w:top w:w="0" w:type="dxa"/>
              <w:left w:w="0" w:type="dxa"/>
              <w:bottom w:w="0" w:type="dxa"/>
              <w:right w:w="0" w:type="dxa"/>
            </w:tcMar>
            <w:vAlign w:val="top"/>
          </w:tcPr>
          <w:p w14:paraId="1019217D">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b/>
                <w:sz w:val="24"/>
                <w:szCs w:val="24"/>
              </w:rPr>
              <w:t>2</w:t>
            </w:r>
          </w:p>
        </w:tc>
        <w:tc>
          <w:tcPr>
            <w:tcW w:w="939" w:type="dxa"/>
            <w:tcBorders>
              <w:top w:val="single" w:color="000000" w:sz="4" w:space="0"/>
              <w:left w:val="single" w:color="000000" w:sz="4" w:space="0"/>
              <w:bottom w:val="double" w:color="000000" w:sz="4" w:space="0"/>
              <w:right w:val="single" w:color="000000" w:sz="4" w:space="0"/>
            </w:tcBorders>
            <w:tcMar>
              <w:top w:w="0" w:type="dxa"/>
              <w:left w:w="0" w:type="dxa"/>
              <w:bottom w:w="0" w:type="dxa"/>
              <w:right w:w="0" w:type="dxa"/>
            </w:tcMar>
            <w:vAlign w:val="top"/>
          </w:tcPr>
          <w:p w14:paraId="54211134">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p>
        </w:tc>
        <w:tc>
          <w:tcPr>
            <w:tcW w:w="1649" w:type="dxa"/>
            <w:tcBorders>
              <w:top w:val="single" w:color="000000" w:sz="4" w:space="0"/>
              <w:left w:val="single" w:color="000000" w:sz="4" w:space="0"/>
              <w:bottom w:val="double" w:color="000000" w:sz="4" w:space="0"/>
              <w:right w:val="single" w:color="000000" w:sz="4" w:space="0"/>
            </w:tcBorders>
            <w:tcMar>
              <w:top w:w="0" w:type="dxa"/>
              <w:left w:w="0" w:type="dxa"/>
              <w:bottom w:w="0" w:type="dxa"/>
              <w:right w:w="0" w:type="dxa"/>
            </w:tcMar>
            <w:vAlign w:val="top"/>
          </w:tcPr>
          <w:p w14:paraId="2B0962CB">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hAnsi="宋体" w:eastAsia="宋体" w:cs="宋体"/>
                <w:sz w:val="24"/>
                <w:szCs w:val="24"/>
              </w:rPr>
            </w:pPr>
          </w:p>
        </w:tc>
        <w:tc>
          <w:tcPr>
            <w:tcW w:w="794" w:type="dxa"/>
            <w:tcBorders>
              <w:top w:val="single" w:color="000000" w:sz="4" w:space="0"/>
              <w:left w:val="single" w:color="000000" w:sz="4" w:space="0"/>
              <w:bottom w:val="double" w:color="000000" w:sz="4" w:space="0"/>
              <w:right w:val="double" w:color="000000" w:sz="4" w:space="0"/>
            </w:tcBorders>
            <w:tcMar>
              <w:top w:w="0" w:type="dxa"/>
              <w:left w:w="0" w:type="dxa"/>
              <w:bottom w:w="0" w:type="dxa"/>
              <w:right w:w="0" w:type="dxa"/>
            </w:tcMar>
            <w:vAlign w:val="top"/>
          </w:tcPr>
          <w:p w14:paraId="5F90A874">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hAnsi="宋体" w:eastAsia="宋体" w:cs="宋体"/>
                <w:sz w:val="24"/>
                <w:szCs w:val="24"/>
              </w:rPr>
            </w:pPr>
          </w:p>
        </w:tc>
      </w:tr>
    </w:tbl>
    <w:p w14:paraId="3AA162BD">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2.1.2.1.5.数据迁移工作内容</w:t>
      </w:r>
    </w:p>
    <w:p w14:paraId="7621676F">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数据迁移工作主要包括迁移准备工作、迁移业务梳理、制定数据迁移脚本、新旧系统映射对接、数据清理、数据试迁移、数据迁移实施、数据迁移问题处理、迁移数据验证等内容。</w:t>
      </w:r>
    </w:p>
    <w:p w14:paraId="7C0E9A81">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2.1.2.1.5.1.迁移准备工作</w:t>
      </w:r>
    </w:p>
    <w:p w14:paraId="72E31ED1">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数据迁移工作的开展，必须得到各个方面的重视，各参与方要全面配合与支持，保证项目人员的素质和迁移环境的搭建。数据迁移准备阶段的工作主要包括成立数据迁移工作小组，搭建数据迁移工作的硬件、软件环境，召开数据迁移启动会议，形成迁移实施的详细计划。</w:t>
      </w:r>
    </w:p>
    <w:p w14:paraId="4B7A908E">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2.1.2.1.5.2.迁移业务梳理</w:t>
      </w:r>
    </w:p>
    <w:p w14:paraId="7CCE747E">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（1）了解迁移环境的业务情况，梳理出需要迁移的数据对象情况，形成数据迁移清单。</w:t>
      </w:r>
    </w:p>
    <w:p w14:paraId="6087B756">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2）制定数据迁移脚本：对数据迁移清单中需要迁移的数据内容进行验证，确认需要迁移的数据是否存在。针对没有问题的数据，基于跨平台迁移工具的命令行编写数据迁移脚本，并对脚本进行验证，确保其正确性。</w:t>
      </w:r>
    </w:p>
    <w:p w14:paraId="32CB957F">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2.1.2.1.5.3.新旧系统映射转换</w:t>
      </w:r>
    </w:p>
    <w:p w14:paraId="4FE31481">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对新旧系统数据差异进行分析，建立数据字典，描述所有表的中文名称，主要用途，以及字段的属性描述。将数据差异分析报告进行整理，转化为数据映射关系表，如果原数据库中的字段无法在新数据库中映射到对应的字段，则分情况对原系统数据库字段分别处理。</w:t>
      </w:r>
    </w:p>
    <w:p w14:paraId="7BFCDBE3">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2.1.2.1.5.4.迁移数据清理</w:t>
      </w:r>
    </w:p>
    <w:p w14:paraId="2C4A5CAB">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1.数据清理标准</w:t>
      </w:r>
    </w:p>
    <w:p w14:paraId="6CE05356">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（1）迁移程序涉及的老系统数据需要满足自身的业务逻辑。例如引用的数据在被引用的表中不存在。</w:t>
      </w:r>
    </w:p>
    <w:p w14:paraId="044EDBC3">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（2）迁移程序涉及的老系统数据需要满足正确性。例如有些日期数据是1900年。</w:t>
      </w:r>
    </w:p>
    <w:p w14:paraId="74C938DB">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（3）迁移程序涉及的老系统数据需要满足新系统的业务逻辑。例如根据一个条件应该只能查到唯一一条记录，但实际返回多条或0条。</w:t>
      </w:r>
    </w:p>
    <w:p w14:paraId="560893A9">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（4）迁移程序涉及的老系统数据需要满足新系统的正确性。例如新系统要求该列不为空，但老系统中个别的数据存在空值。</w:t>
      </w:r>
    </w:p>
    <w:p w14:paraId="102A11A5">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（5）迁移程序涉及的老系统数据需要满足新系统的数据格式标准。</w:t>
      </w:r>
    </w:p>
    <w:p w14:paraId="3C46789A">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2.数据清洗检查</w:t>
      </w:r>
    </w:p>
    <w:p w14:paraId="1D46BC2C">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为了保证迁移到新系统后的数据质量，在数据迁移过程中，必然要涉及数据的清洗。数据清洗主要是针对源系统中，违反规范性或合法性的数据，根据实际情况进行相应的清洗操作。而数据清洗的前提，是对待迁移数据的质量进行充分、详细的分析，否则将不能有针对性的编写数据清洗程序。同时，在数据迁移之后，也需要对结果数据进行质量检查，以确保新系统的正常运转。对数据进行质量分析，需要分析到每条记录的每个字段。</w:t>
      </w:r>
    </w:p>
    <w:p w14:paraId="2A4A92B6">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（1）数据规范性检查</w:t>
      </w:r>
    </w:p>
    <w:p w14:paraId="64B0C20E">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数据格式检查：检查数据的格式是否一致和可用。如源数据中存储的电话号码可能包含010-62142255、01062142255或01062142255几种形式，而目标数据要求为number型。</w:t>
      </w:r>
    </w:p>
    <w:p w14:paraId="7E370C05">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数据长度检查：检查数据的有效长度。对于char类型的字段转换到字符类型中，需要特别关注。</w:t>
      </w:r>
    </w:p>
    <w:p w14:paraId="0AEAFD0D">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（2）数据合法性检查</w:t>
      </w:r>
    </w:p>
    <w:p w14:paraId="16A9451A">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1）区间范围检查：检查数据是否包含在定义的最大值和最小值的区间中；例如年龄为300，或录入日期在4000-1-1。</w:t>
      </w:r>
    </w:p>
    <w:p w14:paraId="3C205A49">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2）空值、默认值检查：检查新旧系统定义的空值、默认值是否相同。</w:t>
      </w:r>
    </w:p>
    <w:p w14:paraId="0A242694">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3）数据完整一致性检查。</w:t>
      </w:r>
    </w:p>
    <w:p w14:paraId="27666C1E">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4）完整性检查：检查数据的关联完整性。如该记录引用的代码值是否代码存在。</w:t>
      </w:r>
    </w:p>
    <w:p w14:paraId="17220E01">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2.1.2.1.5.5.数据迁移模拟</w:t>
      </w:r>
    </w:p>
    <w:p w14:paraId="66BDD9AC">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在生产环境数据迁移前，需进行模拟生产环境数据进行迁移，模拟数据迁移要评估整个迁移过程所需的步骤及时间，以便测算出数据迁移后所需的时间，因生产环境数据较大，模拟数据采用开发环境数据库进行迁移，如条件允许可以将生产环境的数据库拷贝到模板环境中进行模拟数据迁移，数据迁移模拟通过后部署到生产环境进行数据迁移。</w:t>
      </w:r>
    </w:p>
    <w:p w14:paraId="6779911B">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测试数据脱敏要求：在数据迁移模拟及后续测试验证阶段，严禁直接使用未经任何处理的源系统生产原始数据用于功能、性能或安全性测试。所有用于测试的数据须经过脱敏处理后方可使用。脱敏范围须覆盖所有敏感字段，包括但不限于：姓名、身份证号、手机号码、账号信息、业务关键数据等。脱敏规则应保持数据关联一致性（如关联字段同步脱敏），确保测试数据逻辑可用。初期测试验证仅迁移数据库架构，不迁移生产数据；涉及数据内容的测试须使用脱敏数据集。模拟迁移验证采取分步方式：先进行表结构迁移测试（无数据），再进行脱敏数据迁移测试，最后经审批后执行生产数据正式迁移。若确需使用生产数据（含脱敏后数据）进行测试，须按照数据安全管理办法提交申请，经数据安全负责人审批通过后方可实施。</w:t>
      </w:r>
    </w:p>
    <w:p w14:paraId="0E1B5D47">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2.1.2.1.5.6.数据试迁移</w:t>
      </w:r>
    </w:p>
    <w:p w14:paraId="5078EF83">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数据试迁移阶段是使用数据迁移工具将原有系统中的部分数据迁移到数据验证测试环境中，对迁移过程和方法进行测试，验证迁移程序的稳定性、容错性和正确性，并根据试迁移的结果对数据迁移工具进行调整，最后对迁移的数据与原有数据进行对比，根据对比的结果调整迁移程序并重复测试直到达到原定的质量要求为止。</w:t>
      </w:r>
    </w:p>
    <w:p w14:paraId="31C4F282">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在数据试迁移阶段对迁移结果进行比对调整，对迁移方法和迁移程序的正确性进行校验，采取两个方法进行，分别是原有系统数据比对方法和办公系统运行校验方法。</w:t>
      </w:r>
    </w:p>
    <w:p w14:paraId="5DF876C6">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测试数据脱敏要求：试迁移阶段所使用的数据同样须满足本方案“数据迁移模拟”小节中规定的脱敏要求，不得使用未经脱敏处理的生产原始数据。试迁移环境中的测试数据须与模拟阶段使用同一套脱敏规则，确保测试结果的可比性和一致性。</w:t>
      </w:r>
    </w:p>
    <w:p w14:paraId="4D2E8B42">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1.原系统数据比对</w:t>
      </w:r>
    </w:p>
    <w:p w14:paraId="5DE028B4">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将两个系统的数据进行比对，检验数据是否完整准确地迁移办公系统中，校验的方法包括简单的数据量对比，数据统计报表对比。</w:t>
      </w:r>
    </w:p>
    <w:p w14:paraId="038894C3">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首先进行数据量对比，对新旧系统中同样信息的数据量进行对比，从数量上保证数据的一致性。</w:t>
      </w:r>
    </w:p>
    <w:p w14:paraId="102D91F0">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然后分别利用新旧两套数据生成相同的报表数据，对比报表数据的一致性，对于发现的不一致数据进行逐个的对比，分析数据不一致发生的原因，并修改迁移程序，继续测试并对比调整，直到所有数据一致性比对通过。</w:t>
      </w:r>
    </w:p>
    <w:p w14:paraId="2534AAA5">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2.办公系统运行校验</w:t>
      </w:r>
    </w:p>
    <w:p w14:paraId="7D6DE90C">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在数据一致性比对通过后，可以保证新数据与原有数据一致，但新数据还需要在办公系统中使用，还需要保证数据符合新系统的功能和规范。为了保证办公系统顺利上线运行，需要基于新数据试运行办公系统，保证数据可以正常显示，并被正常的操作，各种数据状态正常，新系统的各项功能完整正常。</w:t>
      </w:r>
    </w:p>
    <w:p w14:paraId="39C9312C">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如果发现系统功能不正常是由于数据造成的，就需要调整迁移程序，并重新进行比对测试和运行校验测试，直到所有比对结果符合系统要求，所有系统功能正常。</w:t>
      </w:r>
    </w:p>
    <w:p w14:paraId="241C1F5F">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2.1.2.1.5.7.数据迁移执行</w:t>
      </w:r>
    </w:p>
    <w:p w14:paraId="4FFE3509">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根据迁移方案执行数据迁移，如条件允许数据迁移过程增加迁移临时库，即将原系统数据抽取到临时数据库。再由临时数据库导入到新系统数据库，临时数据库表结构与目标数据库的表结构相同，原系统数据抽取到临时数据库后，先对数据进行验证，之后导入到新系统，数据迁移过程中需要产生相应的日志信息，日志信息最少保存一年。</w:t>
      </w:r>
    </w:p>
    <w:p w14:paraId="0D6DBCC8">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2.1.2.1.5.8.数据迁移风险回退</w:t>
      </w:r>
    </w:p>
    <w:p w14:paraId="112F775F">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数据迁移前先对原系统数据进行备份，如果数据迁移失败，或者在运行监察中发现迁移的数据存在问题，可将数据库恢复到被迁移状态前进行再次迁移。</w:t>
      </w:r>
    </w:p>
    <w:p w14:paraId="64CDC22F">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2.1.2.1.5.9.数据迁移实施</w:t>
      </w:r>
    </w:p>
    <w:p w14:paraId="7C7982B5">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此阶段的重点是保证新旧系统的平稳过渡，无缝对接，保证业务人员的工作不受影响。数据正式迁移阶段分成三个步骤，分别是：原有系统停机、数据正式迁移和新系统开机。</w:t>
      </w:r>
    </w:p>
    <w:p w14:paraId="0B8B41C4">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1.原有系统停机</w:t>
      </w:r>
    </w:p>
    <w:p w14:paraId="7D991171">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在进行数据正式迁移之前需要首先将原有系统停机，否则将不能保证数据完整地迁移到新系统中，原有系统的停机时间应该选择在非工作时间，尽量减小对业务办理的影响，同时要求在原有系统停机前业务人员将所有正在办理的业务完成办理，保证业务流程都是完整的，以免造成办理过程中的业务无法继续办理的问题。</w:t>
      </w:r>
    </w:p>
    <w:p w14:paraId="743294C8">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2.数据正式迁移</w:t>
      </w:r>
    </w:p>
    <w:p w14:paraId="7319DE11">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在原有系统停机、保证业务数据已经不再变换后，运行数据迁移工具，将原有系统数据分批迁移到新环境中，完成后再次运行迁移验证程序，比对数据迁移一致性功能完整性。</w:t>
      </w:r>
    </w:p>
    <w:p w14:paraId="7040381D">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3.新系统开机</w:t>
      </w:r>
    </w:p>
    <w:p w14:paraId="4B6FFB84">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数据正式迁移完成并比对测试通过后，启动新系统。</w:t>
      </w:r>
    </w:p>
    <w:p w14:paraId="20B54F95">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shd w:val="clear" w:fill="FFFFFF"/>
        </w:rPr>
        <w:t>非信创环境达梦数据库迁移至信创环境达梦数据库</w:t>
      </w:r>
      <w:r>
        <w:rPr>
          <w:rFonts w:hint="eastAsia" w:ascii="宋体" w:hAnsi="宋体" w:eastAsia="宋体" w:cs="宋体"/>
          <w:sz w:val="24"/>
          <w:szCs w:val="24"/>
        </w:rPr>
        <w:t>，数据迁移主要由移植确认和正式切换两方面进行。</w:t>
      </w:r>
    </w:p>
    <w:p w14:paraId="6F136B9C">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（1）移植确认</w:t>
      </w:r>
    </w:p>
    <w:p w14:paraId="49BEB29F">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1）移植分析：对待移植系统进行分析，确定需要移植的数据库对象。包括：统计数据库基础信息、统计数据中的对象以及表数据量等。</w:t>
      </w:r>
    </w:p>
    <w:p w14:paraId="52CC0632">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2）准备移植环境：</w:t>
      </w:r>
      <w:r>
        <w:rPr>
          <w:rFonts w:hint="eastAsia" w:ascii="宋体" w:hAnsi="宋体" w:eastAsia="宋体" w:cs="宋体"/>
          <w:sz w:val="24"/>
          <w:szCs w:val="24"/>
          <w:shd w:val="clear" w:fill="FFFFFF"/>
        </w:rPr>
        <w:t>为信创环境达梦数据库上线运行进行正式移植</w:t>
      </w:r>
      <w:r>
        <w:rPr>
          <w:rFonts w:hint="eastAsia" w:ascii="宋体" w:hAnsi="宋体" w:eastAsia="宋体" w:cs="宋体"/>
          <w:sz w:val="24"/>
          <w:szCs w:val="24"/>
        </w:rPr>
        <w:t>。在这种情况下，移植完成后，会对应用进行产品级全方位的功能点测试、性能测试、压力测试以及稳定性测试等集成测试。</w:t>
      </w:r>
    </w:p>
    <w:p w14:paraId="5BC04A20">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3）常规对象及数据迁移：常规对象指的是序列、表和视图，都可以</w:t>
      </w:r>
      <w:r>
        <w:rPr>
          <w:rFonts w:hint="eastAsia" w:ascii="宋体" w:hAnsi="宋体" w:eastAsia="宋体" w:cs="宋体"/>
          <w:sz w:val="24"/>
          <w:szCs w:val="24"/>
          <w:shd w:val="clear" w:fill="FFFFFF"/>
        </w:rPr>
        <w:t>通过达梦数据迁移工具（dts）或逻辑导出导入工具（dexp/dimp）从非信创环境达梦数据库完整迁移至信创环境达梦数据库</w:t>
      </w:r>
      <w:r>
        <w:rPr>
          <w:rFonts w:hint="eastAsia" w:ascii="宋体" w:hAnsi="宋体" w:eastAsia="宋体" w:cs="宋体"/>
          <w:sz w:val="24"/>
          <w:szCs w:val="24"/>
        </w:rPr>
        <w:t>。包括：序列对象迁移、表对象迁移、视图对象迁移等。</w:t>
      </w:r>
    </w:p>
    <w:p w14:paraId="4EF643E5">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4）数据库移植：对自定义类型、存储过程、函数、触发器进行移植，可以使用数据迁移工具进行迁移。</w:t>
      </w:r>
    </w:p>
    <w:p w14:paraId="235BA19A">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5）核对数据库移植结果：</w:t>
      </w:r>
      <w:r>
        <w:rPr>
          <w:rFonts w:hint="eastAsia" w:ascii="宋体" w:hAnsi="宋体" w:eastAsia="宋体" w:cs="宋体"/>
          <w:sz w:val="24"/>
          <w:szCs w:val="24"/>
          <w:shd w:val="clear" w:fill="FFFFFF"/>
        </w:rPr>
        <w:t>统计信创环境达梦数据库数据基础信息、统计信创环境达梦数据库数据中的对象以及表数据量和对比信创环境达梦数据库与非信创环境达梦数据库中的对象以及数据量差异。</w:t>
      </w:r>
    </w:p>
    <w:p w14:paraId="5A7F7166">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6）系统测试与优化：数据库和应用系统移植完毕后开启日志，对系统进行全面测试，排除移植过程中错误的地方。</w:t>
      </w:r>
    </w:p>
    <w:p w14:paraId="753DFA1D">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（2）正式切换</w:t>
      </w:r>
    </w:p>
    <w:p w14:paraId="212D8694">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第一阶段：包括但不限于：国产数据库新环境确认部署、</w:t>
      </w:r>
      <w:r>
        <w:rPr>
          <w:rFonts w:hint="eastAsia" w:ascii="宋体" w:hAnsi="宋体" w:eastAsia="宋体" w:cs="宋体"/>
          <w:sz w:val="24"/>
          <w:szCs w:val="24"/>
          <w:shd w:val="clear" w:fill="FFFFFF"/>
        </w:rPr>
        <w:t>源端与目标端网络连通性确认、基量数据全量迁移、索引重建与验证</w:t>
      </w:r>
      <w:r>
        <w:rPr>
          <w:rFonts w:hint="eastAsia" w:ascii="宋体" w:hAnsi="宋体" w:eastAsia="宋体" w:cs="宋体"/>
          <w:sz w:val="24"/>
          <w:szCs w:val="24"/>
        </w:rPr>
        <w:t>、统计信息更新。</w:t>
      </w:r>
    </w:p>
    <w:p w14:paraId="4FAAABB5">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第二阶段：包括但不限于：配置和测试反向同步、持续跟进优化。</w:t>
      </w:r>
    </w:p>
    <w:p w14:paraId="29725834">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应急处理：如果在第一阶段出现问题，则可能需要分析问题，重新开始第一阶段。如果在第二阶段出现问题，我们具备准实时回切的能力。可以把应用系统迁移到原生产环境。如果后续问题被解决，则可以从第一阶段再次开始。如果目的端实例数据完整性没有被破坏，以及增量迁移未曾中断，则继续在第二阶段，进行排解问题后的应用系统迁移即可。</w:t>
      </w:r>
    </w:p>
    <w:p w14:paraId="3D69EF9D">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2.1.2.1.5.10.数据迁移问题处理</w:t>
      </w:r>
    </w:p>
    <w:p w14:paraId="66D49319">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数据迁移后可能会出现多种问题，如数据完整性问题、格式不兼容、性能下降、安全措施不到位、业务中断等，针对不同问题应设置相应的处理措施。</w:t>
      </w:r>
    </w:p>
    <w:p w14:paraId="02DA11F4">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1.数据完整性问题</w:t>
      </w:r>
    </w:p>
    <w:p w14:paraId="7EB5F3A4">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数据迁移过程中可能会出现数据损坏、丢失或不一致的情况。这通常是由于数据传输错误、转换错误或存储介质故障导致的。</w:t>
      </w:r>
    </w:p>
    <w:p w14:paraId="02CAA488">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针对这类问题，在迁移前进行充分的数据备份，确保有原始数据的完整副本可供恢复；使用校验和或哈希值等技术在迁移前后对数据进行比对，确保数据的一致性；迁移过程中使用事务管理，确保数据迁移的原子性，即要么全部迁移成功，要么全部回滚到迁移前的状态。</w:t>
      </w:r>
    </w:p>
    <w:p w14:paraId="0D434E0D">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2.数据格式不兼容</w:t>
      </w:r>
    </w:p>
    <w:p w14:paraId="4D655263">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不同的系统或平台可能采用不同的数据格式，这可能导致数据迁移后出现格式错误或无法识别的情况。</w:t>
      </w:r>
    </w:p>
    <w:p w14:paraId="798F1069">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针对这类问题，在迁移前进行充分的数据格式分析和转换测试，确保目标系统能够正确解析迁移后的数据；使用数据转换工具或编写自定义脚本来处理数据格式的转换；在迁移后对数据进行验证和测试，确保数据的准确性和可用性。</w:t>
      </w:r>
    </w:p>
    <w:p w14:paraId="29F87EA4">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3.性能下降</w:t>
      </w:r>
    </w:p>
    <w:p w14:paraId="439D5233">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数据迁移后，新系统或平台可能由于数据量增大、索引缺失或配置不当等原因导致性能下降。</w:t>
      </w:r>
    </w:p>
    <w:p w14:paraId="560774F8">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针对这类问题，在迁移前进行性能评估和优化，确保新系统或平台能够满足业务的需求；对新系统进行索引重建和优化配置，提高查询和处理性能；监控新系统的性能指标，及时发现并解决性能瓶颈问题。</w:t>
      </w:r>
    </w:p>
    <w:p w14:paraId="098AC6F8">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4.安全问题</w:t>
      </w:r>
    </w:p>
    <w:p w14:paraId="1FFB6F6A">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数据迁移过程中可能涉及敏感数据的传输和存储，如果安全措施不到位，可能导致数据泄露或被篡改。</w:t>
      </w:r>
    </w:p>
    <w:p w14:paraId="5EDD9953">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针对这类问题，在迁移过程中使用加密传输协议和安全存储方案，保护数据的安全性；对迁移后的数据进行访问控制和权限管理，确保只有授权用户能够访问敏感数据；定期进行安全审计和漏洞扫描，及时发现并修复潜在的安全隐患。</w:t>
      </w:r>
    </w:p>
    <w:p w14:paraId="4E46F329">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5.业务中断</w:t>
      </w:r>
    </w:p>
    <w:p w14:paraId="3C197618">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数据迁移可能需要对系统进行停机或重启等操作，这可能导致业务的中断或延迟。</w:t>
      </w:r>
    </w:p>
    <w:p w14:paraId="2CBEF198">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针对这类问题，在迁移前制定详细的迁移计划和应急预案，确保迁移过程能够顺利进行；在迁移过程中尽量减少对业务的影响，例如选择业务低谷时段进行迁移操作；在迁移后及时进行业务验证和测试，确保业务的正常运行。</w:t>
      </w:r>
    </w:p>
    <w:p w14:paraId="0FD5B766">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2.1.2.1.5.11.迁移数据验证</w:t>
      </w:r>
    </w:p>
    <w:p w14:paraId="0CDE34B0">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数据迁移后，可通过数据一致性验证法、数据回滚验证法、业务测试、数据一致性检查法、用户测试法等多种方式对迁移数据进行验证。</w:t>
      </w:r>
    </w:p>
    <w:p w14:paraId="572E4BC6">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1.数据抽样验证法</w:t>
      </w:r>
    </w:p>
    <w:p w14:paraId="127C8DCC">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数据抽样验证是通过抽取源数据和目标数据的一小部分数据进行对比，来验证整体数据的准确性。抽样验证可以节省时间和资源，并且能够发现大部分可能存在的问题。抽样时应该选择具有代表性的数据，并且要保证抽取的数据能够覆盖源数据和目标数据的各个方面。从源系统和目标系统中随机选取一部分数据进行抽样检查。抽样数据应该代表整体数据的特征和分布，通过比较抽样数据的准确性来评估整体数据的质量。如果抽样数据的对比结果正常，那么可以认为整体数据的迁移是正确的。通过验证源数据和目标数据在迁移过程中的一致性来验证数据迁移的正确性。</w:t>
      </w:r>
    </w:p>
    <w:p w14:paraId="38851A18">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在数据迁移的各个环节（如数据提取、数据转换、数据加载等）都进行验证，确保数据在整个迁移过程中保持一致。</w:t>
      </w:r>
    </w:p>
    <w:p w14:paraId="5A3F4D4A">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常用的验证方式包括数据校验和数据重复检测，前者可以验证数据的完整性和准确性，后者可以检测数据是否存在重复记录。</w:t>
      </w:r>
    </w:p>
    <w:p w14:paraId="1C252F31">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2.数据一致性检查法</w:t>
      </w:r>
    </w:p>
    <w:p w14:paraId="6C233C45">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数据一致性验证是通过验证源数据和目标数据在迁移过程中的一致性来验证数据迁移的正确性。在数据迁移过程中，可能会涉及到多个环节如数据提取、数据转换、数据加载等。</w:t>
      </w:r>
    </w:p>
    <w:p w14:paraId="2946D4C1">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数据一致性验证要求在每个环节都进行验证，确保数据在整个迁移过程中保持一致。常用的验证方式有数据校验和数据重复检测。数据校验可以验证数据的完整性和准确性，数据重复检测可以检测数据是否存在重复记录。</w:t>
      </w:r>
    </w:p>
    <w:p w14:paraId="5A41A6B9">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3.数据回滚验证法</w:t>
      </w:r>
    </w:p>
    <w:p w14:paraId="2B566916">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数据回滚验证法是为了确保在数据迁移出现问题时能够及时恢复到迁移前的状态。在进行数据迁移之前，应该先备份源数据，以便在出现问题时可以进行数据回滚。在数据迁移过程中，可以定期进行数据回滚测试，这种方法用于确保在数据迁移出现问题时能够及时恢复到迁移前的状态。</w:t>
      </w:r>
    </w:p>
    <w:p w14:paraId="3714B1E5">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在数据迁移过程中，定期进行数据回滚测试，验证数据回滚的可行性和正确性。</w:t>
      </w:r>
    </w:p>
    <w:p w14:paraId="5CD2E2DF">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数据回滚测试包括恢复数据的时间、恢复数据的完整性等方面的验证。</w:t>
      </w:r>
    </w:p>
    <w:p w14:paraId="64CB1258">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4.用户测试法</w:t>
      </w:r>
    </w:p>
    <w:p w14:paraId="3146C357">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用户测试法可以通过问卷调查和用户采访的方式，在用户使用新系统后，调查其满意度和发现软件的可用性问题。</w:t>
      </w:r>
    </w:p>
    <w:p w14:paraId="5D11BF69">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通过用户反馈，可以了解数据迁移后的实际效果，以及是否存在需要进一步优化或调整的地方。</w:t>
      </w:r>
    </w:p>
    <w:p w14:paraId="0B051954">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2.1.2.1.5.12.源端数据处置</w:t>
      </w:r>
    </w:p>
    <w:p w14:paraId="2E09700A">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1.分类处置策略</w:t>
      </w:r>
    </w:p>
    <w:p w14:paraId="6EEDF17F">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迁移完成并验证通过后，对原系统数据库中的历史留存数据分类处置：敏感业务数据采用不可逆销毁方式，使用数据擦除工具对存储介质进行多次覆写，确保数据无法还原；非敏感历史数据经评估后可采用脱敏归档方式，转移至离线存储介质按保密要求保管。处置前须经业务方确认并填写《数据处置审批单》。</w:t>
      </w:r>
    </w:p>
    <w:p w14:paraId="6242E839">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2.数据销毁规程</w:t>
      </w:r>
    </w:p>
    <w:p w14:paraId="7D52207D">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按照《数据要素管理规范通用要求》中“建立数据要素销毁与删除规程，明确销毁场景、方式及审批制度，记录销毁操作过程”的要求执行，使用规范工具确保数据不可还原。</w:t>
      </w:r>
    </w:p>
    <w:p w14:paraId="75258793">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3.资产台账更新</w:t>
      </w:r>
    </w:p>
    <w:p w14:paraId="6E327E02">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数据处置完成后，在数据资产台账中标注源系统数据状态（“已销毁”/“已归档”）、处置时间、处置方式、责任人；在新系统资产台账中同步登记已迁移数据范围、数据量、迁移完成时间，确保系统间数据状态清晰、可追溯。</w:t>
      </w:r>
    </w:p>
    <w:p w14:paraId="6FDCDD7E">
      <w:pPr>
        <w:pStyle w:val="6"/>
        <w:keepNext w:val="0"/>
        <w:keepLines w:val="0"/>
        <w:pageBreakBefore w:val="0"/>
        <w:kinsoku/>
        <w:wordWrap/>
        <w:overflowPunct/>
        <w:topLinePunct w:val="0"/>
        <w:autoSpaceDE/>
        <w:autoSpaceDN/>
        <w:bidi w:val="0"/>
        <w:adjustRightInd/>
        <w:snapToGrid/>
        <w:spacing w:line="500" w:lineRule="exact"/>
        <w:ind w:left="870"/>
        <w:jc w:val="both"/>
        <w:textAlignment w:val="auto"/>
        <w:rPr>
          <w:rFonts w:hint="eastAsia" w:ascii="宋体" w:hAnsi="宋体" w:eastAsia="宋体" w:cs="宋体"/>
          <w:sz w:val="24"/>
          <w:szCs w:val="24"/>
        </w:rPr>
      </w:pPr>
      <w:r>
        <w:rPr>
          <w:rFonts w:hint="eastAsia" w:ascii="宋体" w:hAnsi="宋体" w:eastAsia="宋体" w:cs="宋体"/>
          <w:b/>
          <w:sz w:val="24"/>
          <w:szCs w:val="24"/>
        </w:rPr>
        <w:t>2.1.2.2.国家精神卫生信息系统（福建省业务数据）数据迁移</w:t>
      </w:r>
    </w:p>
    <w:p w14:paraId="54926DE0">
      <w:pPr>
        <w:pStyle w:val="6"/>
        <w:keepNext w:val="0"/>
        <w:keepLines w:val="0"/>
        <w:pageBreakBefore w:val="0"/>
        <w:kinsoku/>
        <w:wordWrap/>
        <w:overflowPunct/>
        <w:topLinePunct w:val="0"/>
        <w:autoSpaceDE/>
        <w:autoSpaceDN/>
        <w:bidi w:val="0"/>
        <w:adjustRightInd/>
        <w:snapToGrid/>
        <w:spacing w:line="500" w:lineRule="exact"/>
        <w:ind w:left="855"/>
        <w:jc w:val="both"/>
        <w:textAlignment w:val="auto"/>
        <w:rPr>
          <w:rFonts w:hint="eastAsia" w:ascii="宋体" w:hAnsi="宋体" w:eastAsia="宋体" w:cs="宋体"/>
          <w:sz w:val="24"/>
          <w:szCs w:val="24"/>
        </w:rPr>
      </w:pPr>
      <w:r>
        <w:rPr>
          <w:rFonts w:hint="eastAsia" w:ascii="宋体" w:hAnsi="宋体" w:eastAsia="宋体" w:cs="宋体"/>
          <w:b/>
          <w:sz w:val="24"/>
          <w:szCs w:val="24"/>
        </w:rPr>
        <w:t>2.1.2.2.1.数据迁移目标</w:t>
      </w:r>
    </w:p>
    <w:p w14:paraId="71E1E27E">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系统正式上线前，需要将现有国家精神卫生信息系统中福建省的业务数据完整、准确地迁移至本项目建设的省级精神卫生综合服务平台（严重精神障碍管理系统）中，确保历史业务数据的连续性，保障全省精神卫生管理工作的平稳过渡。</w:t>
      </w:r>
    </w:p>
    <w:p w14:paraId="2228FE75">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本次历史数据迁移工作的核心目标如下：</w:t>
      </w:r>
    </w:p>
    <w:p w14:paraId="73784095">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1）完整性目标：确保国家系统中福建省所有需要迁移的业务数据完整迁移至新系统，不遗漏任何有效数据记录。具体而言，迁移完成后的数据量应与源系统数据量一致，剔除测试数据等明确不迁移的数据后，差异率控制在0.1%以内。对于每一类数据，都需要建立迁移前后记录数的对照关系，确保可追溯、可验证。完整性目标的实现需要从多个维度进行保障。首先是范围完整性，即所有计划迁移的数据类型都必须覆盖到位，不能有任何遗漏。其次是记录完整性，即每种数据类型内的每条有效记录都必须迁移，不能有丢失。第三是字段完整性，即每条记录的每个字段值都必须正确迁移，不能有字段遗漏。第四是关系完整性，即数据之间的关联关系必须保持，不能因迁移而断裂。</w:t>
      </w:r>
    </w:p>
    <w:p w14:paraId="5D378FD8">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2）准确性目标：确保迁移后的数据内容与源数据一致，字段值准确无误，不发生数据变形、截断、乱码等问题。关键字段如身份证号、诊断编码、随访日期等的准确率达到100%，全字段准确率达到99.5%以上。数据转换过程中应用的映射规则、清洗规则、计算规则必须经过充分验证，确保转换结果正确。准确性目标的实现依赖于严格的转换规则定义和充分的测试验证。所有转换规则都需要经过业务部门的确认，所有转换逻辑都需要在演练中得到验证。对于存在歧义的转换场景，需要制定明确的处理策略。对于无法自动转换的情况，需要建立人工处理流程。</w:t>
      </w:r>
    </w:p>
    <w:p w14:paraId="4C7D4E68">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3）一致性目标：确保迁移后数据之间的关联关系保持一致。患者与随访记录的关联、患者与应急处置记录的关联、患者与流转记录的关联等业务关联关系在迁移后保持完整有效，关联完整率达到99%以上。同时，数据的时间顺序、业务状态流转等逻辑关系也应保持一致。一致性目标的实现难度较大，因为源系统中的数据质量问题可能导致关联关系无法重建。例如，随访记录中关联的患者ID可能指向了不存在的患者档案。对于这种情况，需要制定专门的孤儿数据处理策略，尽可能通过其他字段匹配重建关联，或标记为待处理。</w:t>
      </w:r>
    </w:p>
    <w:p w14:paraId="609CF089">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4）时效性目标：在规定的迁移时间窗口内完成全部数据迁移工作。正式迁移在约定的停机窗口内完成，增量数据同步在日常运行中高效执行，不影响业务正常开展。迁移过程中对源系统和目标系统的性能影响控制在可接受范围内。时效性目标的实现需要对迁移过程进行精细的时间规划。每个阶段的耗时需要进行准确预估，关键路径上的任务需要重点保障。同时需要预留足够的缓冲时间应对意外情况。上线切换窗口的选择应充分考虑业务影响，尽可能选择业务最低谷时段。</w:t>
      </w:r>
    </w:p>
    <w:p w14:paraId="4B45AAFC">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5）可用性目标：迁移后的数据能够在新系统中正常使用，支持患者查询、随访管理、统计分析等各项业务功能。迁移数据经过新系统业务逻辑校验，不产生业务异常，确保精防人员能够正常开展工作。数据展示格式符合用户习惯，查询响应时间满足性能要求。可用性目标的实现需要通过充分的业务验证。仅靠数据层面的对比是不够的，必须在真实业务场景中验证迁移数据的可用性。需要设计覆盖核心业务流程的业务验证用例，由业务人员参与验证，确保迁移数据能够支撑日常工作的正常开展。</w:t>
      </w:r>
    </w:p>
    <w:p w14:paraId="39818404">
      <w:pPr>
        <w:pStyle w:val="6"/>
        <w:keepNext w:val="0"/>
        <w:keepLines w:val="0"/>
        <w:pageBreakBefore w:val="0"/>
        <w:kinsoku/>
        <w:wordWrap/>
        <w:overflowPunct/>
        <w:topLinePunct w:val="0"/>
        <w:autoSpaceDE/>
        <w:autoSpaceDN/>
        <w:bidi w:val="0"/>
        <w:adjustRightInd/>
        <w:snapToGrid/>
        <w:spacing w:line="500" w:lineRule="exact"/>
        <w:ind w:left="855"/>
        <w:jc w:val="both"/>
        <w:textAlignment w:val="auto"/>
        <w:rPr>
          <w:rFonts w:hint="eastAsia" w:ascii="宋体" w:hAnsi="宋体" w:eastAsia="宋体" w:cs="宋体"/>
          <w:sz w:val="24"/>
          <w:szCs w:val="24"/>
        </w:rPr>
      </w:pPr>
      <w:r>
        <w:rPr>
          <w:rFonts w:hint="eastAsia" w:ascii="宋体" w:hAnsi="宋体" w:eastAsia="宋体" w:cs="宋体"/>
          <w:b/>
          <w:sz w:val="24"/>
          <w:szCs w:val="24"/>
        </w:rPr>
        <w:t>2.1.2.2.2.数据迁移范围</w:t>
      </w:r>
    </w:p>
    <w:p w14:paraId="1C2C5CD3">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本次数据迁移的范围涵盖福建省在国家精神卫生信息系统中产生的全部业务数据。按照数据类型和业务重要性，将迁移范围分为以下三个层次进行详细说明。</w:t>
      </w:r>
    </w:p>
    <w:p w14:paraId="3FA11F3B">
      <w:pPr>
        <w:pStyle w:val="6"/>
        <w:keepNext w:val="0"/>
        <w:keepLines w:val="0"/>
        <w:pageBreakBefore w:val="0"/>
        <w:kinsoku/>
        <w:wordWrap/>
        <w:overflowPunct/>
        <w:topLinePunct w:val="0"/>
        <w:autoSpaceDE/>
        <w:autoSpaceDN/>
        <w:bidi w:val="0"/>
        <w:adjustRightInd/>
        <w:snapToGrid/>
        <w:spacing w:line="500" w:lineRule="exact"/>
        <w:ind w:firstLine="482"/>
        <w:jc w:val="both"/>
        <w:textAlignment w:val="auto"/>
        <w:rPr>
          <w:rFonts w:hint="eastAsia" w:ascii="宋体" w:hAnsi="宋体" w:eastAsia="宋体" w:cs="宋体"/>
          <w:sz w:val="24"/>
          <w:szCs w:val="24"/>
        </w:rPr>
      </w:pPr>
      <w:r>
        <w:rPr>
          <w:rFonts w:hint="eastAsia" w:ascii="宋体" w:hAnsi="宋体" w:eastAsia="宋体" w:cs="宋体"/>
          <w:b/>
          <w:sz w:val="24"/>
          <w:szCs w:val="24"/>
        </w:rPr>
        <w:t>1.基础数据类</w:t>
      </w:r>
    </w:p>
    <w:p w14:paraId="5D50ABA2">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基础数据类是其他所有业务数据能够正确归属和授权访问的前提，迁移优先级最高，必须首先完成迁移。</w:t>
      </w:r>
    </w:p>
    <w:p w14:paraId="16F4FE4D">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1）精防机构信息涵盖全省省、市、县、乡4级精防机构的基本信息。具体包括机构代码、机构名称、机构级别、机构类别、所属行政区划代码、详细地址、联系电话、负责人姓名、负责人联系方式、成立日期、机构状态等字段。机构信息是患者档案归属、用户权限分配的基础，如果机构信息迁移不完整，将导致患者无法正确分配到对应的管理机构，用户无法登录系统开展业务。预估数据量约3000条。</w:t>
      </w:r>
    </w:p>
    <w:p w14:paraId="4317A9D0">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机构信息的迁移需要特别注意的是机构代码的一致性。国家系统中的机构代码与新系统中的机构代码可能存在差异，需要建立映射关系。对于已经撤销或合并的机构，需要明确其历史数据的归属如何处理。对于新增的机构，需要确保其信息完整准确。</w:t>
      </w:r>
    </w:p>
    <w:p w14:paraId="35958ACF">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2）用户信息涵盖系统用户的账号信息和权限关联信息。具体包括用户账号、用户姓名、所属机构代码、角色类型、联系电话、电子邮箱、账号状态、创建时间、最后登录时间等字段。用户信息是精防人员登录系统、执行业务操作的基础。用户与机构的关联关系、用户与角色的分配关系必须在迁移过程中正确重建。预估用户量约300条。</w:t>
      </w:r>
    </w:p>
    <w:p w14:paraId="27F2503E">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用户信息的迁移需要特别关注账号的安全性和权限的准确性。密码等敏感信息不能明文迁移，需要采用安全的处理方式。对于已离职或调岗的用户，需要明确其账号状态。用户的角色权限需要与新系统的权限模型匹配，可能需要进行映射转换。</w:t>
      </w:r>
    </w:p>
    <w:p w14:paraId="426B5CD4">
      <w:pPr>
        <w:pStyle w:val="6"/>
        <w:keepNext w:val="0"/>
        <w:keepLines w:val="0"/>
        <w:pageBreakBefore w:val="0"/>
        <w:kinsoku/>
        <w:wordWrap/>
        <w:overflowPunct/>
        <w:topLinePunct w:val="0"/>
        <w:autoSpaceDE/>
        <w:autoSpaceDN/>
        <w:bidi w:val="0"/>
        <w:adjustRightInd/>
        <w:snapToGrid/>
        <w:spacing w:line="500" w:lineRule="exact"/>
        <w:ind w:firstLine="482"/>
        <w:jc w:val="both"/>
        <w:textAlignment w:val="auto"/>
        <w:rPr>
          <w:rFonts w:hint="eastAsia" w:ascii="宋体" w:hAnsi="宋体" w:eastAsia="宋体" w:cs="宋体"/>
          <w:sz w:val="24"/>
          <w:szCs w:val="24"/>
        </w:rPr>
      </w:pPr>
      <w:r>
        <w:rPr>
          <w:rFonts w:hint="eastAsia" w:ascii="宋体" w:hAnsi="宋体" w:eastAsia="宋体" w:cs="宋体"/>
          <w:b/>
          <w:sz w:val="24"/>
          <w:szCs w:val="24"/>
        </w:rPr>
        <w:t>2.核心业务数据类</w:t>
      </w:r>
    </w:p>
    <w:p w14:paraId="6A02AB0E">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核心业务数据类是精神卫生管理工作的主体内容，反映了患者的基本情况和发病报告情况，迁移优先级为最高。</w:t>
      </w:r>
    </w:p>
    <w:p w14:paraId="4C82AA16">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1）患者档案信息涵盖患者的基本信息、疾病诊断信息、监护人信息、建档信息等，是新系统的核心实体。具体包括患者姓名、身份证号、性别、出生日期、民族、婚姻状况、文化程度、职业、联系电话、现住址、户籍地址、监护人姓名、监护人与患者关系、监护人联系电话、诊断名称、诊断编码ICD-10、确诊日期、首次发病日期、建档机构代码、建档医生、建档日期、患者状态等在管、失访、死亡、迁出等字段。患者档案是所有动态业务数据的主体，随访记录、应急处置记录、流转记录等都必须关联到具体的患者档案。预估数据量约30万条。</w:t>
      </w:r>
    </w:p>
    <w:p w14:paraId="55397ED1">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患者档案信息的迁移是本次迁移工作的重中之重。患者档案的质量直接影响所有其他业务数据的可用性。迁移过程中需要对患者档案进行重点清洗，确保身份证号、姓名等关键信息的准确性。对于重复的患者档案，需要进行合并处理，这需要谨慎设计合并规则，避免错误合并。</w:t>
      </w:r>
    </w:p>
    <w:p w14:paraId="57C77522">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2）发病报告卡信息涵盖医疗机构上报的患者发病报告记录。具体包括报告卡编号、报告机构代码、报告医生姓名、报告日期、患者基本信息、疾病诊断信息、诊断依据、既往精神疾病史、家族史等字段。报告卡是患者进入管理体系的入口，对于追溯患者的首次发现时间、首次诊断信息具有重要意义。预估数据量约20万条。</w:t>
      </w:r>
    </w:p>
    <w:p w14:paraId="19BA8E40">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发病报告卡信息与患者档案信息存在关联关系。一张报告卡通常对应一个患者，同一个患者可能有多个报告卡。迁移时需要保持这种关联。如果报告卡关联的患者尚未建档，需要决定如何处理。通常的处理方式是先创建患者档案再关联报告卡。</w:t>
      </w:r>
    </w:p>
    <w:p w14:paraId="4EAF6FCD">
      <w:pPr>
        <w:pStyle w:val="6"/>
        <w:keepNext w:val="0"/>
        <w:keepLines w:val="0"/>
        <w:pageBreakBefore w:val="0"/>
        <w:kinsoku/>
        <w:wordWrap/>
        <w:overflowPunct/>
        <w:topLinePunct w:val="0"/>
        <w:autoSpaceDE/>
        <w:autoSpaceDN/>
        <w:bidi w:val="0"/>
        <w:adjustRightInd/>
        <w:snapToGrid/>
        <w:spacing w:line="500" w:lineRule="exact"/>
        <w:ind w:firstLine="482"/>
        <w:jc w:val="both"/>
        <w:textAlignment w:val="auto"/>
        <w:rPr>
          <w:rFonts w:hint="eastAsia" w:ascii="宋体" w:hAnsi="宋体" w:eastAsia="宋体" w:cs="宋体"/>
          <w:sz w:val="24"/>
          <w:szCs w:val="24"/>
        </w:rPr>
      </w:pPr>
      <w:r>
        <w:rPr>
          <w:rFonts w:hint="eastAsia" w:ascii="宋体" w:hAnsi="宋体" w:eastAsia="宋体" w:cs="宋体"/>
          <w:b/>
          <w:sz w:val="24"/>
          <w:szCs w:val="24"/>
        </w:rPr>
        <w:t>3.动态业务数据类</w:t>
      </w:r>
    </w:p>
    <w:p w14:paraId="20C49C6B">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动态业务数据类反映了精神卫生管理工作的持续开展情况，记录了患者在管理过程中的各类动态事件，迁移优先级为高。</w:t>
      </w:r>
    </w:p>
    <w:p w14:paraId="6B9E7018">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1）出院信息单信息涵盖精神卫生医疗机构患者住院出院记录。具体包括出院单编号、患者基本信息、入院日期、出院日期、住院天数、入院诊断、出院诊断、住院期间危险性评估、出院医嘱、随访建议等字段。出院信息对于了解患者的住院治疗情况和出院后管理需求具有重要参考价值。预估数据量约25万条。</w:t>
      </w:r>
    </w:p>
    <w:p w14:paraId="224CDBFA">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出院信息单信息的迁移需要关注日期逻辑的合理性。入院日期应早于出院日期，出院日期不应晚于当前日期。对于日期逻辑错误的记录，需要标记为可疑并进行人工核实。出院医嘱和随访建议等文本字段需要注意字符编码问题，避免乱码。</w:t>
      </w:r>
    </w:p>
    <w:p w14:paraId="42E96FAE">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2）随访管理信息是数据量最大的业务类型，涵盖精防医生对患者的随访评估记录。具体包括随访记录编号、患者基本信息、随访日期、随访方式面访或电话、本次随访危险性评估等级0至5级、病情稳定性稳定、基本稳定或不稳定、服药情况规律服药、间断服药或不服务、药物不良反应有或无、是否转诊、转诊去向、随访结论、下次随访日期、随访医生等字段。随访记录是评估患者病情变化和管理效果的核心数据，也是统计分析的重要数据来源。预估约3000万条。</w:t>
      </w:r>
    </w:p>
    <w:p w14:paraId="49A1E971">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随访管理信息的迁移是本次迁移工作中技术难度最大、耗时最长的部分。2000万条记录的迁移需要精细的分批策略和充分的性能优化。随访记录与患者的关联必须准确无误，否则随访记录将成为无法使用的孤儿数据。随访日期的顺序需要保持，最新的随访记录对于评估患者当前状态最为重要。</w:t>
      </w:r>
    </w:p>
    <w:p w14:paraId="22041C6D">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3）应急处置信息涵盖患者肇事肇祸等应急事件的处置记录。具体包括事件编号、患者基本信息、事件发生时间、事件发生地点、事件类型肇事、肇祸、自伤、他伤或其他、事件简要描述、处置机构、处置人员、处置措施、处置结果、是否送医等字段。应急处置信息对于评估患者风险等级和制定防范措施具有重要价值。预估约3000条。</w:t>
      </w:r>
    </w:p>
    <w:p w14:paraId="2F6676A3">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4）流转记录信息涵盖患者在省内省外流转的历史记录。具体包括流转记录编号、患者基本信息、转出机构、转入机构、流转类型省内流转、跨省迁出或跨省迁入、流转申请日期、流转批准日期、流转原因、流转状态等字段。流转记录反映了患者管理责任的转移过程，确保人户分离患者不脱管。预估约44万条。</w:t>
      </w:r>
    </w:p>
    <w:p w14:paraId="052E3E02">
      <w:pPr>
        <w:pStyle w:val="6"/>
        <w:keepNext w:val="0"/>
        <w:keepLines w:val="0"/>
        <w:pageBreakBefore w:val="0"/>
        <w:kinsoku/>
        <w:wordWrap/>
        <w:overflowPunct/>
        <w:topLinePunct w:val="0"/>
        <w:autoSpaceDE/>
        <w:autoSpaceDN/>
        <w:bidi w:val="0"/>
        <w:adjustRightInd/>
        <w:snapToGrid/>
        <w:spacing w:line="500" w:lineRule="exact"/>
        <w:ind w:left="855"/>
        <w:jc w:val="both"/>
        <w:textAlignment w:val="auto"/>
        <w:rPr>
          <w:rFonts w:hint="eastAsia" w:ascii="宋体" w:hAnsi="宋体" w:eastAsia="宋体" w:cs="宋体"/>
          <w:sz w:val="24"/>
          <w:szCs w:val="24"/>
        </w:rPr>
      </w:pPr>
      <w:r>
        <w:rPr>
          <w:rFonts w:hint="eastAsia" w:ascii="宋体" w:hAnsi="宋体" w:eastAsia="宋体" w:cs="宋体"/>
          <w:b/>
          <w:sz w:val="24"/>
          <w:szCs w:val="24"/>
        </w:rPr>
        <w:t>2.1.2.2.3.数据迁移流程</w:t>
      </w:r>
    </w:p>
    <w:p w14:paraId="08D8170F">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全量迁移阶段在正式上线前的准备期执行。将国家系统中福建省的绝大部分历史数据经过抽取、清洗、转换后加载至新系统。全量迁移在后台进行，此阶段优先迁移机构信息和用户信息等基础数据，建立新系统的基础框架；随后迁移患者档案等核心业务数据，建立数据主体；最后迁移随访记录等动态业务数据，完善业务全貌。全量迁移分批分步执行，每完成一批就进行一次数据校验，确保数据质量。</w:t>
      </w:r>
    </w:p>
    <w:p w14:paraId="7464255F">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增量同步阶段在全量迁移完成后至正式切换前持续执行。定时将国家系统中新增和变更的数据同步至新系统，保持新系统数据与国家系统的准实时一致。增量同步同样在后台进行，每批次同步的数据量小、处理时间短，对系统运行和网络带宽的影响控制在可接受范围内。增量同步的频率可根据数据变化量设置，建议每小时执行1次，核心业务数据可缩短至每15分钟1次。</w:t>
      </w:r>
    </w:p>
    <w:p w14:paraId="50F368F5">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正式切换阶段在约定的上线切换窗口内执行。停止国家系统福建省用户的写入操作，执行最后一次增量同步，确保新系统数据与国家系统达到最终一致。完成数据一致性校验后，将全省精防业务正式切换至新系统运行。切换窗口预计在周末夜间进行，最大限度减少业务影响。</w:t>
      </w:r>
    </w:p>
    <w:p w14:paraId="3F42D3E3">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在迁移全过程建立数据质量保障机制。迁移前进行源数据质量分析，识别问题类型和规模，制定清洗规则。迁移中进行数据校验伴随，每批次迁移后立即验证数据量和关键字段。迁移后进行多维度数据对账，包括总量对账、抽样对账、业务逻辑对账等。对账发现的问题按照分级机制处理，确保最终迁移质量达标。</w:t>
      </w:r>
    </w:p>
    <w:p w14:paraId="1FD6194A">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在正式迁移前进行至少2轮完整的迁移演练。第1轮演练验证迁移流程的可行性，发现流程和工具问题。第2轮演练验证优化后的迁移方案，确认迁移质量达标。演练覆盖数据清洗、全量迁移、增量同步、上线切换全过程，演练结果作为正式迁移的质量基准。通过演练，可以提前发现并解决潜在问题，确保正式迁移能够1次成功。</w:t>
      </w:r>
    </w:p>
    <w:p w14:paraId="312A74F9">
      <w:pPr>
        <w:pStyle w:val="6"/>
        <w:keepNext w:val="0"/>
        <w:keepLines w:val="0"/>
        <w:pageBreakBefore w:val="0"/>
        <w:kinsoku/>
        <w:wordWrap/>
        <w:overflowPunct/>
        <w:topLinePunct w:val="0"/>
        <w:autoSpaceDE/>
        <w:autoSpaceDN/>
        <w:bidi w:val="0"/>
        <w:adjustRightInd/>
        <w:snapToGrid/>
        <w:spacing w:line="500" w:lineRule="exact"/>
        <w:ind w:left="855"/>
        <w:jc w:val="both"/>
        <w:textAlignment w:val="auto"/>
        <w:rPr>
          <w:rFonts w:hint="eastAsia" w:ascii="宋体" w:hAnsi="宋体" w:eastAsia="宋体" w:cs="宋体"/>
          <w:sz w:val="24"/>
          <w:szCs w:val="24"/>
        </w:rPr>
      </w:pPr>
      <w:r>
        <w:rPr>
          <w:rFonts w:hint="eastAsia" w:ascii="宋体" w:hAnsi="宋体" w:eastAsia="宋体" w:cs="宋体"/>
          <w:b/>
          <w:sz w:val="24"/>
          <w:szCs w:val="24"/>
        </w:rPr>
        <w:t>2.1.2.2.4.数据迁移保障措施</w:t>
      </w:r>
    </w:p>
    <w:p w14:paraId="6557A55E">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2.1.2.2.4.1.源数据备份</w:t>
      </w:r>
    </w:p>
    <w:p w14:paraId="18089B4D">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在开始任何数据操作之前，对源数据进行完整备份。备份的范围包括所有待迁移的数据表完整导出、数据表结构定义即DDL语句、索引约束视图存储过程等数据库对象定义、数据字典和元数据信息。备份操作必须在确认源数据稳定、无正在进行的大规模数据变更的情况下进行，以确保备份数据的一致性。</w:t>
      </w:r>
    </w:p>
    <w:p w14:paraId="152C5EAF">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备份数据以加密压缩包形式存储于安全位置。加密采用SM4国密算法，压缩采用GZIP格式。备份数据保留至项目终验后3个月，以备不时之需。备份数据的MD5或SM3哈希值记录存档，用于后续完整性校验。当需要验证备份数据的完整性时，可以重新计算哈希值并与存档值比对。</w:t>
      </w:r>
    </w:p>
    <w:p w14:paraId="0340482C">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2.1.2.2.4.2.迁移前数据质量检查</w:t>
      </w:r>
    </w:p>
    <w:p w14:paraId="0BF02E1B">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在数据清洗前对源数据进行全面的质量检查，识别可能影响完整性的问题。</w:t>
      </w:r>
    </w:p>
    <w:p w14:paraId="0C675618">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数据量基线建立是指逐表统计源数据记录数，建立数据量基线。基线数据包括每个数据表的记录总数、按年份统计的记录分布、按机构统计的记录分布等。基线数据作为后续各阶段数据量对比的基准。统计结果记录在《数据量基线表》中，由采购人确认。</w:t>
      </w:r>
    </w:p>
    <w:p w14:paraId="078F250C">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关键字段空值率检查是指检查患者姓名、身份证号、诊断编码等关键字段的空值率。对于空值率超过5%的字段，分析原因并与业务部门确认处理方案。例如，如果身份证号空值率较高，需要了解是否早期系统未强制校验身份证号，是否可以通过其他方式补全。</w:t>
      </w:r>
    </w:p>
    <w:p w14:paraId="4F60DB14">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主键唯一性检查是指检查各表主键是否存在重复。如果发现主键重复，说明存在数据质量问题，需要分析重复产生的原因，是否需要合并，合并规则是什么。制定去重规则时需要考虑业务影响，不能简单删除。</w:t>
      </w:r>
    </w:p>
    <w:p w14:paraId="2454064B">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外键关联完整性检查是指检查主表与子表之间的外键关联是否存在孤儿记录，即子表记录关联的主表记录不存在的情况。例如，检查随访记录表中有没有patient_id对应的患者档案不存在的情况。对于孤儿记录，分析产生原因。如果主表记录后续可补充则暂时保留，如果无法补充则标记为异常数据。</w:t>
      </w:r>
    </w:p>
    <w:p w14:paraId="67810B19">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2.1.2.2.4.3.迁移规则验证</w:t>
      </w:r>
    </w:p>
    <w:p w14:paraId="2FDC3C88">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在正式迁移前对迁移规则进行充分验证。在测试环境中执行完整的数据迁移演练，验证迁移规则的正确性。演练环境的数据规模可以采用全量数据或抽样数据。建议使用全量数据，因为只有全量数据才能暴露性能问题和数据质量问题。</w:t>
      </w:r>
    </w:p>
    <w:p w14:paraId="7EBBA317">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对比演练迁移结果与源数据，确认数据完整性和准确性。对比的方法包括记录数对比、关键字段抽样对比、核心指标对比等。根据演练结果调整优化迁移规则和参数配置，例如批量提交大小的调整、分区策略的优化、索引重建时机的选择等。</w:t>
      </w:r>
    </w:p>
    <w:p w14:paraId="24CE316F">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2.1.2.2.4.4.事务一致性保障</w:t>
      </w:r>
    </w:p>
    <w:p w14:paraId="2039BC5A">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对于存在关联关系的主表和子表，采用先主后子、同批提交的策略。同一患者的档案及其关联的随访记录等子数据，在主表数据迁移成功后再进行子表数据迁移。这样做的好处是，子表数据迁移时可以依赖主表已成功迁移并建立了ID映射。</w:t>
      </w:r>
    </w:p>
    <w:p w14:paraId="39FA6694">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每批次迁移作为一个事务单元。批次内全部记录成功才提交事务，任一条失败则整批回滚。批次内事务的隔离级别设置为读已提交，避免脏读和不可重复读，同时保持较好的并发性能。批次大小的选择需要在事务大小和执行效率之间取得平衡。批次太小会导致大量小事务，增加系统开销；批次太大会导致单次事务时间过长，增加锁冲突的概率和事务日志膨胀的风险。</w:t>
      </w:r>
    </w:p>
    <w:p w14:paraId="529D0DD9">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2.1.2.2.4.5.迁移过程监控</w:t>
      </w:r>
    </w:p>
    <w:p w14:paraId="48C63496">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迁移过程中建立实时监控体系，对关键指标进行持续监控，一旦出现异常能够及时发现和响应。</w:t>
      </w:r>
    </w:p>
    <w:p w14:paraId="52A6DCD4">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迁移进度监控每5分钟检查1次已完成的批次数量和已迁移的记录数，计算整体进度百分比。如果进度停滞超过30分钟，说明可能遇到了问题，需要调查原因。进度停滞可能的原因包括迁移任务卡死、数据库响应缓慢、网络中断等。</w:t>
      </w:r>
    </w:p>
    <w:p w14:paraId="69B180A5">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迁移成功率监控每批次检查，计算本批次的成功率即成功记录数除以本批次总记录数。如果成功率低于99%，说明本批次存在较多的失败记录，需要关注失败原因。成功率持续偏低可能说明数据质量问题严重或转换逻辑存在系统性错误。</w:t>
      </w:r>
    </w:p>
    <w:p w14:paraId="5AA4E1EA">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失败记录数监控每批次检查，记录本批次的失败记录数量并按失败原因分类统计。如果单批次失败超过100条，触发告警，需要人工介入分析。失败记录集中在某些类型的问题，如特定格式的日期无法解析、特定编码无法映射等。</w:t>
      </w:r>
    </w:p>
    <w:p w14:paraId="126EB195">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数据库连接状态监控每分钟通过心跳查询检查数据库连接状态。如果连接断开，立即触发告警，并尝试自动重连。连接断开的原因可能包括网络故障、数据库服务重启、防火墙策略变化等。</w:t>
      </w:r>
    </w:p>
    <w:p w14:paraId="34D5B2E1">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服务器资源使用监控每分钟检查CPU使用率、内存使用率、磁盘IO、网络IO等指标。如果CPU超过80%、内存超过80%、磁盘可用空间低于20%，触发告警。资源使用过高可能导致迁移性能下降甚至迁移失败，需要及时采取措施如降低并发度、扩容资源等。</w:t>
      </w:r>
    </w:p>
    <w:p w14:paraId="137FC58F">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2.1.2.2.4.6.多维度数据对账</w:t>
      </w:r>
    </w:p>
    <w:p w14:paraId="74C4B4E3">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迁移完成后从多个维度进行数据对账，确保迁移数据的完整性和准确性。</w:t>
      </w:r>
    </w:p>
    <w:p w14:paraId="3354D219">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总量对账逐表对比源系统和目标系统的记录总数。对比维度包括总记录数、按年份统计记录数、按机构统计记录数、按状态统计记录数。差异率超过0.1%的表需进行详细排查。对每一类数据的差异原因进行分析，可能是测试数据被剔除，可能是重复数据被合并，可能是部分记录因质量问题被排除。</w:t>
      </w:r>
    </w:p>
    <w:p w14:paraId="45617F2E">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关键指标对账对比迁移前后的核心业务指标。核心指标包括在管患者总数、各危险性等级患者数0至5级各有多少、各诊断类型患者数、年度随访总人次、年度应急处置总次数、累计流转患者数等。指标偏差超过1%需进行详细排查。指标对账采用双向对比，既从源系统统计数据，也从目标系统统计数据，避免因统计口径不同导致的偏差。</w:t>
      </w:r>
    </w:p>
    <w:p w14:paraId="3A1CCE4B">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抽样对账随机抽取不低于总记录数1%的样本进行逐字段对比。抽样时重点抽取近1年内的活跃数据，因为这些数据是用户最关心的，也最能反映迁移质量。逐字段对比源数据与目标数据的一致性，记录每个字段的对比结果。抽样对账准确率应达到99.5%以上。</w:t>
      </w:r>
    </w:p>
    <w:p w14:paraId="7C276696">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业务逻辑对账按照业务规则校验迁移后数据的逻辑一致性。校验规则包括患者状态与随访记录的匹配度检查、随访日期与建档日期的先后顺序检查、流转记录的时间连续性检查等。例如，患者状态为失访的记录，其最近一次随访日期应该在一定时间之前；流转记录中迁出后的日期应该在迁出申请日期之后。发现逻辑不一致的记录后分析原因并修正。</w:t>
      </w:r>
    </w:p>
    <w:p w14:paraId="5340A730">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2.1.2.2.4.7.数据一致性校验</w:t>
      </w:r>
    </w:p>
    <w:p w14:paraId="5CB7E94E">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开发专门的数据一致性校验脚本，对迁移后的数据进行自动化校验。校验脚本使用SQL编写，可以在数据库层面直接执行，效率高、结果准确。以下提供几个典型的校验脚本示例。</w:t>
      </w:r>
    </w:p>
    <w:p w14:paraId="1D4B4687">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患者档案与随访记录关联完整性校验脚本如下。检查是否存在随访记录关联了不存在的患者，如果关联不存在的患者，说明关联关系丢失。SQL逻辑为从随访记录表左连接患者档案表，查找患者档案表主键为空的记录。</w:t>
      </w:r>
    </w:p>
    <w:p w14:paraId="5009DB38">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随访日期与建档日期逻辑校验脚本如下。检查是否存在随访日期早于建档日期的记录，如果存在这样的记录，说明日期逻辑有问题。SQL逻辑为关联随访记录表和患者档案表，筛选随访日期小于建档日期的记录。</w:t>
      </w:r>
    </w:p>
    <w:p w14:paraId="2F31076E">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患者状态与死亡日期一致性校验脚本如下。检查患者状态为死亡时是否填写了死亡日期，如果没有填写，说明数据不完整。SQL逻辑为筛选患者状态为死亡且死亡日期为空的记录。</w:t>
      </w:r>
    </w:p>
    <w:p w14:paraId="1D887C40">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随访记录时间连续性校验脚本如下。检查同一患者的随访记录时间顺序是否正确，是否存在后一次随访日期早于前一次随访日期的情况。使用窗口函数LAG获取前一次随访日期进行比较。</w:t>
      </w:r>
    </w:p>
    <w:p w14:paraId="4BCB3653">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校验脚本覆盖所有关键业务规则，迁移后自动执行并输出校验报告。校验报告的格式为每个校验规则对应的记录数，以及前10条异常记录的详细信息。对于发现的逻辑不一致，标记为需要人工处理的数据质量问题。</w:t>
      </w:r>
    </w:p>
    <w:p w14:paraId="14D8B913">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2.1.3.省级精神卫生综合服务平台</w:t>
      </w:r>
    </w:p>
    <w:p w14:paraId="2AEBE8DB">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构建全省统一、功能完备、用户友好的精神卫生服务门户。该平台将整合所有精神卫生相关服务资源，借鉴心理援助热线平台的成功经验，并结合本地特色，立足于构建面向未来的“智慧心卫”生态体系。它将充分利用生成式AI、预测性分析、多模态交互等前沿技术，打造覆盖全省、线上线下融合、一体化、全生命周期的精神卫生服务平台。</w:t>
      </w:r>
    </w:p>
    <w:p w14:paraId="451C4D4A">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该平台不仅是信息发布和获取的渠道，更是实现以下目标的核心枢纽：</w:t>
      </w:r>
    </w:p>
    <w:p w14:paraId="07FEF5CE">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（1）智慧服务中枢：运用AI技术，实现服务的智能化匹配、个性化推荐和主动干预，从“被动响应”向“主动服务”转变，提升服务温度和效率。</w:t>
      </w:r>
    </w:p>
    <w:p w14:paraId="5E04F9D8">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（2）数据驱动决策引擎：聚合全省精神卫生大数据，通过深度分析和预测模型，为政府部门提供科学、精准的决策支持，优化资源配置，提升公共卫生治理能力。</w:t>
      </w:r>
    </w:p>
    <w:p w14:paraId="2985423C">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（3）协同共治生态圈：打破医疗机构、社区、家庭、教育、公安等多部门之间的信息壁垒，构建高效协同的线上线下服务网络，实现精神卫生服务的全链条管理和协同共治。</w:t>
      </w:r>
    </w:p>
    <w:p w14:paraId="406ECF9A">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（4）普惠可及保障：借助AI的24/7在线服务能力和无障碍交互设计，确保偏远地区、行动不便人群也能便捷获取高质量的精神卫生服务，实现服务的公平性和普惠性。</w:t>
      </w:r>
    </w:p>
    <w:p w14:paraId="3EF3BA91">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（5）持续创新孵化器：平台将作为新理念、新技术、新模式在精神卫生领域应用的试验田和孵化器，持续引入和验证前沿AI技术，推动精神卫生服务的迭代升级和可持续发展。</w:t>
      </w:r>
    </w:p>
    <w:p w14:paraId="2FED7152">
      <w:pPr>
        <w:pStyle w:val="6"/>
        <w:keepNext w:val="0"/>
        <w:keepLines w:val="0"/>
        <w:pageBreakBefore w:val="0"/>
        <w:kinsoku/>
        <w:wordWrap/>
        <w:overflowPunct/>
        <w:topLinePunct w:val="0"/>
        <w:autoSpaceDE/>
        <w:autoSpaceDN/>
        <w:bidi w:val="0"/>
        <w:adjustRightInd/>
        <w:snapToGrid/>
        <w:spacing w:line="500" w:lineRule="exact"/>
        <w:ind w:left="870"/>
        <w:jc w:val="both"/>
        <w:textAlignment w:val="auto"/>
        <w:rPr>
          <w:rFonts w:hint="eastAsia" w:ascii="宋体" w:hAnsi="宋体" w:eastAsia="宋体" w:cs="宋体"/>
          <w:sz w:val="24"/>
          <w:szCs w:val="24"/>
        </w:rPr>
      </w:pPr>
      <w:r>
        <w:rPr>
          <w:rFonts w:hint="eastAsia" w:ascii="宋体" w:hAnsi="宋体" w:eastAsia="宋体" w:cs="宋体"/>
          <w:b/>
          <w:sz w:val="24"/>
          <w:szCs w:val="24"/>
        </w:rPr>
        <w:t>2.1.3.1.严重精神障碍管理系统</w:t>
      </w:r>
    </w:p>
    <w:p w14:paraId="5B276C28">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按照严重精神障碍治疗管理工作规范及相关政策要求，结合当前最新要求和管理实际需求，进行严重精神障碍患者管理和服务应用建设，覆盖“患者筛查-疾病报告-建档管理-随访评估-康复管理-应急处置-流转管理-质控分析”等一系列基础业务环节的闭环管理流程，建设业务管理端应用、精防人员移动端应用、患者/监护人端应用三方部分内容。</w:t>
      </w:r>
    </w:p>
    <w:p w14:paraId="5290D35E">
      <w:pPr>
        <w:pStyle w:val="6"/>
        <w:keepNext w:val="0"/>
        <w:keepLines w:val="0"/>
        <w:pageBreakBefore w:val="0"/>
        <w:kinsoku/>
        <w:wordWrap/>
        <w:overflowPunct/>
        <w:topLinePunct w:val="0"/>
        <w:autoSpaceDE/>
        <w:autoSpaceDN/>
        <w:bidi w:val="0"/>
        <w:adjustRightInd/>
        <w:snapToGrid/>
        <w:spacing w:line="500" w:lineRule="exact"/>
        <w:ind w:left="855"/>
        <w:jc w:val="both"/>
        <w:textAlignment w:val="auto"/>
        <w:rPr>
          <w:rFonts w:hint="eastAsia" w:ascii="宋体" w:hAnsi="宋体" w:eastAsia="宋体" w:cs="宋体"/>
          <w:sz w:val="24"/>
          <w:szCs w:val="24"/>
        </w:rPr>
      </w:pPr>
      <w:r>
        <w:rPr>
          <w:rFonts w:hint="eastAsia" w:ascii="宋体" w:hAnsi="宋体" w:eastAsia="宋体" w:cs="宋体"/>
          <w:b/>
          <w:sz w:val="24"/>
          <w:szCs w:val="24"/>
        </w:rPr>
        <w:t>2.1.3.1.1.业务管理端应用(评审项22)</w:t>
      </w:r>
    </w:p>
    <w:p w14:paraId="562891D1">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参考国家、福建省精神卫生系统功能设置进行严重精神障碍管理信息系统建设，覆盖患者发病报告-建档管理-随访评估-应急处置-流转管理-统计分析等一系列业务环节的闭环管理流程。在基础业务管理功能的基础上，结合本市业务开展情况进行功能扩展，增加长效针剂管理、扩大统计报表覆盖范围、增强数据质控等功能。</w:t>
      </w:r>
    </w:p>
    <w:p w14:paraId="15B3BCAD">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2.1.3.1.1.1.患者报告卡管理</w:t>
      </w:r>
    </w:p>
    <w:p w14:paraId="2A6F6C44">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2.1.3.1.1.1.1.报告卡信息维护</w:t>
      </w:r>
    </w:p>
    <w:p w14:paraId="247BFE4C">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医院直报用户可以对确诊的精神障碍患者的患者报告卡信息进行管理，包括查询已录入的患者报告卡记录信息，录入新的患者报告卡信息并流转的社区，对于未流转或未接收的报告卡信息可以进行修改，删除已填写的报告卡信息；用户可以批量导入/导出报告卡记录信息。</w:t>
      </w:r>
    </w:p>
    <w:p w14:paraId="3055D2A6">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2.1.3.1.1.1.2.报告卡信息管理</w:t>
      </w:r>
    </w:p>
    <w:p w14:paraId="483D754C">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区县质控用户对本辖区内的患者报告卡数据可以按照地区、时间等维度进行查询、查看，可以对医院直报用户的删除操作进行审核。</w:t>
      </w:r>
    </w:p>
    <w:p w14:paraId="5F7979E9">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2.1.3.1.1.2.出院信息单管理</w:t>
      </w:r>
    </w:p>
    <w:p w14:paraId="0307FA26">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2.1.3.1.1.2.1.出院单信息维护</w:t>
      </w:r>
    </w:p>
    <w:p w14:paraId="5DC46A52">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医院直报用户可以对出院严重精神障碍患者的出院信息单信息进行管理，包括查询出院信息单记录信息，录入新的出院单并关联报告卡，修改或删除已填写的出院单信息、批量导入/导出出院单记录信息。</w:t>
      </w:r>
    </w:p>
    <w:p w14:paraId="193327D8">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2.1.3.1.1.2.2.出院单信息管理</w:t>
      </w:r>
    </w:p>
    <w:p w14:paraId="3C704143">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区县质控用户对本辖区内的出院单数据可以按照地区、时间等维度进行查询、查看，可以对医院直报用户的删除操作进行审核。</w:t>
      </w:r>
    </w:p>
    <w:p w14:paraId="024594AD">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2.1.3.1.1.3.患者信息管理</w:t>
      </w:r>
    </w:p>
    <w:p w14:paraId="7903128D">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2.1.3.1.1.3.1.患者建档</w:t>
      </w:r>
    </w:p>
    <w:p w14:paraId="04535F7C">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社区直报用户可通过接收医疗机构上报的报告卡建档，也可直接自行建档。对患者进行建档管理，填写信息为个人基本信息表和个人信息补充表完成建档操作。</w:t>
      </w:r>
    </w:p>
    <w:p w14:paraId="3753936F">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在录入患者信息过程中根据患者身份证件号系统后台自动调用后台系统接口进行查重操作，只有未建档患者才能新增患者信息，否则给出提示进入重复患者迁移流程。</w:t>
      </w:r>
    </w:p>
    <w:p w14:paraId="2B49E599">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2.1.3.1.1.3.2.患者信息列表</w:t>
      </w:r>
    </w:p>
    <w:p w14:paraId="6ED7DC46">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本模块主要对不同类型（在管、失访、死亡、非在管）患者信息进行综合查询，用户可以利用查询条件查询检索各类患者信息，并进行相应的业务操作。</w:t>
      </w:r>
    </w:p>
    <w:p w14:paraId="508FC4DC">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2.1.3.1.1.3.3.在管患者库</w:t>
      </w:r>
    </w:p>
    <w:p w14:paraId="001A1354">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对在管患者信息进行管理，用户可以利用查询条件浏览在管患者基本信息，可删除在管患者信息，可导出在管患者信息，可对在管患者进行迁出，在管患者转死亡等操作。</w:t>
      </w:r>
    </w:p>
    <w:p w14:paraId="459CD68E">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在管患者信息查询界面包含患者信息查询浏览功能。各级用户登录后，只能查看本级数据。用户可以将查询结果导出为数据文件，其中数据质控员用户导出的数据对患者基本信息进行信息去标识化处理。</w:t>
      </w:r>
    </w:p>
    <w:p w14:paraId="0D20EB2D">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2.1.3.1.1.3.4.失访患者库</w:t>
      </w:r>
    </w:p>
    <w:p w14:paraId="10C59C52">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对失访患者信息进行管理，用户可以利用查询条件浏览失访患者基本信息，可删除失访患者信息，可导出失访患者信息，失访患者转死亡等操作。</w:t>
      </w:r>
    </w:p>
    <w:p w14:paraId="3B82E44E">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失访患者信息查询界面包含患者信息查询浏览功能。各级用户登录后，只能查看本级数据。用户可以将查询结果导出为数据文件，其中数据质控员用户导出的数据对患者基本信息进行信息去标识化处理。</w:t>
      </w:r>
    </w:p>
    <w:p w14:paraId="51629FAD">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2.1.3.1.1.3.5.死亡患者库</w:t>
      </w:r>
    </w:p>
    <w:p w14:paraId="124E2E6E">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对死亡患者信息进行管理，用户可以利用查询条件浏览死亡患者基本信息，可删除死亡患者信息，可导出死亡患者信息，死亡患者转非死亡等操作。</w:t>
      </w:r>
    </w:p>
    <w:p w14:paraId="0D647198">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死亡患者信息查询界面包含患者信息查询浏览功能。各级用户登录后，只能查看本级数据。用户可以将查询结果导出为数据文件，其中数据质控员用户导出的数据对患者基本信息进行信息去标识化处理。</w:t>
      </w:r>
    </w:p>
    <w:p w14:paraId="2B25F1E6">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2.1.3.1.1.3.6.非在管患者库</w:t>
      </w:r>
    </w:p>
    <w:p w14:paraId="2BF4D578">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对非在管患者信息进行管理，用户可以利用查询条件浏览非在管患者基本信息，可删除非在管患者信息，可导出非在管患者信息，非在管患者转死亡等操作。</w:t>
      </w:r>
    </w:p>
    <w:p w14:paraId="54073391">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非在管患者信息查询界面包含患者信息查询浏览功能。各级用户登录后，只能查看本级数据。用户可以将查询结果导出为数据文件，其中数据质控员用户导出的数据对患者基本信息进行信息去标识化处理。</w:t>
      </w:r>
    </w:p>
    <w:p w14:paraId="63A0A6AB">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2.1.3.1.1.3.7.非死亡记录</w:t>
      </w:r>
    </w:p>
    <w:p w14:paraId="4CC3602C">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用户可以查询和管理患者转非死亡时操作时填写的转非死亡记录。</w:t>
      </w:r>
    </w:p>
    <w:p w14:paraId="0DA43056">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2.1.3.1.1.3.8.患者分类标识</w:t>
      </w:r>
    </w:p>
    <w:p w14:paraId="2053E07B">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通过系统采集的患者综合动态信息，基于风险评估算法模型动态实时计算生成患者风险分级预警信息，根据不同的风险级别在系统对患者进行分类标识，通过不同颜色进行标识。</w:t>
      </w:r>
    </w:p>
    <w:p w14:paraId="535348BA">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用户可以根据风险级别进行患者分类查询。</w:t>
      </w:r>
    </w:p>
    <w:p w14:paraId="584C0F24">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2.1.3.1.1.3.9.自定义分组管理</w:t>
      </w:r>
    </w:p>
    <w:p w14:paraId="3BB8E3FB">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社区直报用户可以在本模块中维护自定义患者管理标签。</w:t>
      </w:r>
    </w:p>
    <w:p w14:paraId="64097BD9">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用户在患者档案信息中绑定自定义标签信息后，可以根据标签进行分类查询。</w:t>
      </w:r>
    </w:p>
    <w:p w14:paraId="33CC52C5">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2.1.3.1.1.4.患者档案管理</w:t>
      </w:r>
    </w:p>
    <w:p w14:paraId="55CC2EF3">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2.1.3.1.1.4.1.患者档案信息维护</w:t>
      </w:r>
    </w:p>
    <w:p w14:paraId="6C46009F">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社区直报用户通过患者管理对本机构的患者个人基本信息进行管理，包括：</w:t>
      </w:r>
    </w:p>
    <w:p w14:paraId="7A394E75">
      <w:pPr>
        <w:pStyle w:val="6"/>
        <w:keepNext w:val="0"/>
        <w:keepLines w:val="0"/>
        <w:pageBreakBefore w:val="0"/>
        <w:kinsoku/>
        <w:wordWrap/>
        <w:overflowPunct/>
        <w:topLinePunct w:val="0"/>
        <w:autoSpaceDE/>
        <w:autoSpaceDN/>
        <w:bidi w:val="0"/>
        <w:adjustRightInd/>
        <w:snapToGrid/>
        <w:spacing w:line="500" w:lineRule="exact"/>
        <w:ind w:left="1440"/>
        <w:jc w:val="both"/>
        <w:textAlignment w:val="auto"/>
        <w:rPr>
          <w:rFonts w:hint="eastAsia" w:ascii="宋体" w:hAnsi="宋体" w:eastAsia="宋体" w:cs="宋体"/>
          <w:sz w:val="24"/>
          <w:szCs w:val="24"/>
        </w:rPr>
      </w:pPr>
      <w:r>
        <w:rPr>
          <w:rFonts w:hint="eastAsia" w:ascii="宋体" w:hAnsi="宋体" w:eastAsia="宋体" w:cs="宋体"/>
          <w:b/>
          <w:sz w:val="24"/>
          <w:szCs w:val="24"/>
        </w:rPr>
        <w:t>2.1.3.1.1.4.1.1.患者个人基本信息维护</w:t>
      </w:r>
    </w:p>
    <w:p w14:paraId="3A37BFE8">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患者个人基本信息维护。查看患者档案中的个人基本信息内容。社区直报用户可以对患者档案中的个人基本信息进行修改、导出。</w:t>
      </w:r>
    </w:p>
    <w:p w14:paraId="51DF08E8">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上述信息维护过程中，系统根据修改信息内容自动计算并调整患者相关管理状态及管理标识，并记录关键信息修改痕迹。</w:t>
      </w:r>
    </w:p>
    <w:p w14:paraId="503F61BB">
      <w:pPr>
        <w:pStyle w:val="6"/>
        <w:keepNext w:val="0"/>
        <w:keepLines w:val="0"/>
        <w:pageBreakBefore w:val="0"/>
        <w:kinsoku/>
        <w:wordWrap/>
        <w:overflowPunct/>
        <w:topLinePunct w:val="0"/>
        <w:autoSpaceDE/>
        <w:autoSpaceDN/>
        <w:bidi w:val="0"/>
        <w:adjustRightInd/>
        <w:snapToGrid/>
        <w:spacing w:line="500" w:lineRule="exact"/>
        <w:ind w:left="1440"/>
        <w:jc w:val="both"/>
        <w:textAlignment w:val="auto"/>
        <w:rPr>
          <w:rFonts w:hint="eastAsia" w:ascii="宋体" w:hAnsi="宋体" w:eastAsia="宋体" w:cs="宋体"/>
          <w:sz w:val="24"/>
          <w:szCs w:val="24"/>
        </w:rPr>
      </w:pPr>
      <w:r>
        <w:rPr>
          <w:rFonts w:hint="eastAsia" w:ascii="宋体" w:hAnsi="宋体" w:eastAsia="宋体" w:cs="宋体"/>
          <w:b/>
          <w:sz w:val="24"/>
          <w:szCs w:val="24"/>
        </w:rPr>
        <w:t>2.1.3.1.1.4.1.2.患者个人基本信息补充表维护</w:t>
      </w:r>
    </w:p>
    <w:p w14:paraId="0F02946D">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患者个人基本信息补充表维护。查看患者档案中的个人基本信息补充表内容。社区直报用户可以对患者档案中的个人基本信息补充表进行修改、导出。</w:t>
      </w:r>
    </w:p>
    <w:p w14:paraId="551A13EF">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上述信息维护过程中，系统根据修改信息内容自动计算并调整患者相关管理状态及管理标识，并记录关键信息修改痕迹。</w:t>
      </w:r>
    </w:p>
    <w:p w14:paraId="33C610AE">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2.1.3.1.1.4.2.患者信息全景视图</w:t>
      </w:r>
    </w:p>
    <w:p w14:paraId="3B6CF7DB">
      <w:pPr>
        <w:pStyle w:val="6"/>
        <w:keepNext w:val="0"/>
        <w:keepLines w:val="0"/>
        <w:pageBreakBefore w:val="0"/>
        <w:kinsoku/>
        <w:wordWrap/>
        <w:overflowPunct/>
        <w:topLinePunct w:val="0"/>
        <w:autoSpaceDE/>
        <w:autoSpaceDN/>
        <w:bidi w:val="0"/>
        <w:adjustRightInd/>
        <w:snapToGrid/>
        <w:spacing w:line="500" w:lineRule="exact"/>
        <w:ind w:left="1440"/>
        <w:jc w:val="both"/>
        <w:textAlignment w:val="auto"/>
        <w:rPr>
          <w:rFonts w:hint="eastAsia" w:ascii="宋体" w:hAnsi="宋体" w:eastAsia="宋体" w:cs="宋体"/>
          <w:sz w:val="24"/>
          <w:szCs w:val="24"/>
        </w:rPr>
      </w:pPr>
      <w:r>
        <w:rPr>
          <w:rFonts w:hint="eastAsia" w:ascii="宋体" w:hAnsi="宋体" w:eastAsia="宋体" w:cs="宋体"/>
          <w:b/>
          <w:sz w:val="24"/>
          <w:szCs w:val="24"/>
        </w:rPr>
        <w:t>2.1.3.1.1.4.2.1.患者信息集成视图</w:t>
      </w:r>
    </w:p>
    <w:p w14:paraId="27F8273A">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在患者档案信息管理模块中提供患者相关各类信息的集成视图展示和分析，可以关联查看患者个人基本信息以及所有相关的报告卡、出院单、随访、应急医疗处置、流转记录等信息。如果有需要，系统要关联患者全民健保系统。</w:t>
      </w:r>
    </w:p>
    <w:p w14:paraId="689C8E6B">
      <w:pPr>
        <w:pStyle w:val="6"/>
        <w:keepNext w:val="0"/>
        <w:keepLines w:val="0"/>
        <w:pageBreakBefore w:val="0"/>
        <w:kinsoku/>
        <w:wordWrap/>
        <w:overflowPunct/>
        <w:topLinePunct w:val="0"/>
        <w:autoSpaceDE/>
        <w:autoSpaceDN/>
        <w:bidi w:val="0"/>
        <w:adjustRightInd/>
        <w:snapToGrid/>
        <w:spacing w:line="500" w:lineRule="exact"/>
        <w:ind w:left="1440"/>
        <w:jc w:val="both"/>
        <w:textAlignment w:val="auto"/>
        <w:rPr>
          <w:rFonts w:hint="eastAsia" w:ascii="宋体" w:hAnsi="宋体" w:eastAsia="宋体" w:cs="宋体"/>
          <w:sz w:val="24"/>
          <w:szCs w:val="24"/>
        </w:rPr>
      </w:pPr>
      <w:r>
        <w:rPr>
          <w:rFonts w:hint="eastAsia" w:ascii="宋体" w:hAnsi="宋体" w:eastAsia="宋体" w:cs="宋体"/>
          <w:b/>
          <w:sz w:val="24"/>
          <w:szCs w:val="24"/>
        </w:rPr>
        <w:t>2.1.3.1.1.4.2.2.事件索引视图</w:t>
      </w:r>
    </w:p>
    <w:p w14:paraId="0BDF8151">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提供按时间轴、事件索引等方式进行患者管理全景信息查看和多维检索功能。</w:t>
      </w:r>
    </w:p>
    <w:p w14:paraId="444FD08E">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2.1.3.1.1.5.随访记录管理</w:t>
      </w:r>
    </w:p>
    <w:p w14:paraId="3B6D9E4A">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2.1.3.1.1.5.1.随访记录维护</w:t>
      </w:r>
    </w:p>
    <w:p w14:paraId="0DD68B22">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社区直报用户对建档患者随访信息进行管理，可以查看、新增、修改、删除随访记录信息。</w:t>
      </w:r>
    </w:p>
    <w:p w14:paraId="182D0CC5">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各级数据质控员只可查看患者随访记录，不可修改；社区直报用户可对患者随访记录表进行新增（录入随访记录时，可以上传随访照片），未超过3个自然月的随访可进行修改或删除，超过3个自然月的随访信息无法进行操作。</w:t>
      </w:r>
    </w:p>
    <w:p w14:paraId="051779BB">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系统根据本次随访情况（随访日期、住院情况、管理效果、风险评估等）自动计算出下次随访日期并提醒用户。并根据随访记内容进行关联管理状态、治疗指标的自动计算。</w:t>
      </w:r>
    </w:p>
    <w:p w14:paraId="2B81E9FE">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2.1.3.1.1.5.2.随访记录查询</w:t>
      </w:r>
    </w:p>
    <w:p w14:paraId="21DE3B4F">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各级数据质控员、社区直报用户可在患者随访记录功能模块中可查看和导出患者全部历史随访记录。导出的信息需对患者关键信息进行处理。</w:t>
      </w:r>
    </w:p>
    <w:p w14:paraId="050F1FAF">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各级数据质控员可查看和导出辖区内全部患者最近一次随访记录。</w:t>
      </w:r>
    </w:p>
    <w:p w14:paraId="7C746728">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2.1.3.1.1.6.应急处置管理</w:t>
      </w:r>
    </w:p>
    <w:p w14:paraId="0454C232">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2.1.3.1.1.6.1.应急处置记录维护</w:t>
      </w:r>
    </w:p>
    <w:p w14:paraId="4AAE90CC">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社区直报用户对严重精神障碍患者应急医疗处置记录信息进行管理，可以查看、新增、修改、删除应急医疗处置记录信息，记录自动与患者档案进行关联。</w:t>
      </w:r>
    </w:p>
    <w:p w14:paraId="0ABBF837">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2.1.3.1.1.6.2.应急处置记录查询</w:t>
      </w:r>
    </w:p>
    <w:p w14:paraId="6F1EA985">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各级数据质控员可以查看和导出辖区内患者全部历史应急处置记录。</w:t>
      </w:r>
    </w:p>
    <w:p w14:paraId="09C6E84E">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2.1.3.1.1.7.疑似患者筛查管理</w:t>
      </w:r>
    </w:p>
    <w:p w14:paraId="3AA2FC96">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结合社区线索调查及疑似患者排查工作，对疑似患者筛查过程进行管理。主要功能包括：</w:t>
      </w:r>
    </w:p>
    <w:p w14:paraId="4E65330B">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2.1.3.1.1.7.1.疑似患者清单管理</w:t>
      </w:r>
    </w:p>
    <w:p w14:paraId="73DFD561">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数据质控员通过新建或导入疑似患者信息，形成患者筛查列表；可以将疑似患者分配到社区机构进行核查。</w:t>
      </w:r>
    </w:p>
    <w:p w14:paraId="0623629C">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2.1.3.1.1.7.2.患者筛查记录管理</w:t>
      </w:r>
    </w:p>
    <w:p w14:paraId="2B6FB48A">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社区直报用户根据筛查患者列表进行疑似患者筛查工作。查看疑似患者信息，填写筛查记录。对于已确诊的疑似患者进行建档管理。</w:t>
      </w:r>
    </w:p>
    <w:p w14:paraId="128C07BA">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2.1.3.1.1.7.3.患者筛查信息统计</w:t>
      </w:r>
    </w:p>
    <w:p w14:paraId="7312EF8A">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对患者筛查相关工作情况进行统计汇总。</w:t>
      </w:r>
    </w:p>
    <w:p w14:paraId="52DC3737">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2.1.3.1.1.8.长效针剂使用管理</w:t>
      </w:r>
    </w:p>
    <w:p w14:paraId="37C05C41">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对使用长效针剂的患者进行管理。主要功能包括：</w:t>
      </w:r>
    </w:p>
    <w:p w14:paraId="15FF5BB9">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2.1.3.1.1.8.1.患者入组管理</w:t>
      </w:r>
    </w:p>
    <w:p w14:paraId="45610ABC">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对符合长效针剂使用条件的患者进行入组管理，通过系统提交患者个人基本信息，由区县级进行审核。</w:t>
      </w:r>
    </w:p>
    <w:p w14:paraId="2DED0E5D">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2.1.3.1.1.8.2.患者评估管理</w:t>
      </w:r>
    </w:p>
    <w:p w14:paraId="5A19B6F0">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针对患者入组申请结果，医疗机构对患者进行长效针用针评估，并填写长效针评估报告，得出评估结论纳入长效针使用管理。</w:t>
      </w:r>
    </w:p>
    <w:p w14:paraId="35F266C3">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2.1.3.1.1.8.3.注射记录管理</w:t>
      </w:r>
    </w:p>
    <w:p w14:paraId="014D1755">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社区用户通过系统进行长效针用针/脱敏记录的管理和维护。根据用针时间计算下次用针时间，提醒社区精防指导患者及时用针，对未及时用针进行补打和脱落记录。注射记录与患者档案相关联。</w:t>
      </w:r>
    </w:p>
    <w:p w14:paraId="13CAF240">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2.1.3.1.1.8.4.患者跟踪评估记录</w:t>
      </w:r>
    </w:p>
    <w:p w14:paraId="3ACAE828">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定期对长效针剂使用患者进行跟踪和评估，填写各类评估量表，并对患者状态及效果进行基线评估。</w:t>
      </w:r>
    </w:p>
    <w:p w14:paraId="3FCCA4C0">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2.1.3.1.1.8.5.长效针剂统计</w:t>
      </w:r>
    </w:p>
    <w:p w14:paraId="07CBDDDD">
      <w:pPr>
        <w:pStyle w:val="6"/>
        <w:keepNext w:val="0"/>
        <w:keepLines w:val="0"/>
        <w:pageBreakBefore w:val="0"/>
        <w:kinsoku/>
        <w:wordWrap/>
        <w:overflowPunct/>
        <w:topLinePunct w:val="0"/>
        <w:autoSpaceDE/>
        <w:autoSpaceDN/>
        <w:bidi w:val="0"/>
        <w:adjustRightInd/>
        <w:snapToGrid/>
        <w:spacing w:line="500" w:lineRule="exact"/>
        <w:ind w:left="1440"/>
        <w:jc w:val="both"/>
        <w:textAlignment w:val="auto"/>
        <w:rPr>
          <w:rFonts w:hint="eastAsia" w:ascii="宋体" w:hAnsi="宋体" w:eastAsia="宋体" w:cs="宋体"/>
          <w:sz w:val="24"/>
          <w:szCs w:val="24"/>
        </w:rPr>
      </w:pPr>
      <w:r>
        <w:rPr>
          <w:rFonts w:hint="eastAsia" w:ascii="宋体" w:hAnsi="宋体" w:eastAsia="宋体" w:cs="宋体"/>
          <w:b/>
          <w:sz w:val="24"/>
          <w:szCs w:val="24"/>
        </w:rPr>
        <w:t>2.1.3.1.1.8.5.1.长效针患者统计报表</w:t>
      </w:r>
    </w:p>
    <w:p w14:paraId="4730E532">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提供长效针剂入组患者及评估情况统计报表查询及下载功能。</w:t>
      </w:r>
    </w:p>
    <w:p w14:paraId="4266DD11">
      <w:pPr>
        <w:pStyle w:val="6"/>
        <w:keepNext w:val="0"/>
        <w:keepLines w:val="0"/>
        <w:pageBreakBefore w:val="0"/>
        <w:kinsoku/>
        <w:wordWrap/>
        <w:overflowPunct/>
        <w:topLinePunct w:val="0"/>
        <w:autoSpaceDE/>
        <w:autoSpaceDN/>
        <w:bidi w:val="0"/>
        <w:adjustRightInd/>
        <w:snapToGrid/>
        <w:spacing w:line="500" w:lineRule="exact"/>
        <w:ind w:left="1440"/>
        <w:jc w:val="both"/>
        <w:textAlignment w:val="auto"/>
        <w:rPr>
          <w:rFonts w:hint="eastAsia" w:ascii="宋体" w:hAnsi="宋体" w:eastAsia="宋体" w:cs="宋体"/>
          <w:sz w:val="24"/>
          <w:szCs w:val="24"/>
        </w:rPr>
      </w:pPr>
      <w:r>
        <w:rPr>
          <w:rFonts w:hint="eastAsia" w:ascii="宋体" w:hAnsi="宋体" w:eastAsia="宋体" w:cs="宋体"/>
          <w:b/>
          <w:sz w:val="24"/>
          <w:szCs w:val="24"/>
        </w:rPr>
        <w:t>2.1.3.1.1.8.5.2.长效针使用统计报表</w:t>
      </w:r>
    </w:p>
    <w:p w14:paraId="18AF1A26">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提供长效针剂使用情况统计报表查询及下载功能。</w:t>
      </w:r>
    </w:p>
    <w:p w14:paraId="37DFE478">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2.1.3.1.1.9.删除库管理</w:t>
      </w:r>
    </w:p>
    <w:p w14:paraId="63185C46">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对删除业务记录进行管理，包括：</w:t>
      </w:r>
    </w:p>
    <w:p w14:paraId="33CBC485">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2.1.3.1.1.9.1.报告卡及出院单删除库</w:t>
      </w:r>
    </w:p>
    <w:p w14:paraId="3C7B98E2">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数据质控员和医院直报用户可以查看已删除且审核通过的报告卡、出院单记录信息。医院直报用户可以对已删除的记录进行恢复操作。</w:t>
      </w:r>
    </w:p>
    <w:p w14:paraId="3F2B4C6D">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2.1.3.1.1.9.2.患者信息删除库</w:t>
      </w:r>
    </w:p>
    <w:p w14:paraId="6578666D">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数据质控员和社区直报用户可以查看已删除且审核通过的患者档案记录信息。社区直报用户可以对已删除的记录进行恢复操作。</w:t>
      </w:r>
    </w:p>
    <w:p w14:paraId="75717526">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2.1.3.1.1.10.患者查重管理</w:t>
      </w:r>
    </w:p>
    <w:p w14:paraId="3EDDC448">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患者建档或填写报告卡时，可以进行患者信息查重处理，对市系统以及通过国家系统数据对比，对现有患者库进行分析和检索，如果发现重复患者，系统给出提醒。实现方式包括：</w:t>
      </w:r>
    </w:p>
    <w:p w14:paraId="40F840F3">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2.1.3.1.1.10.1.省内患者查重</w:t>
      </w:r>
    </w:p>
    <w:p w14:paraId="59924D5D">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通过身份证号、姓名、监护人、电话等信息对本市内患者档案进行判断和筛选，形成重复患者清单。</w:t>
      </w:r>
    </w:p>
    <w:p w14:paraId="02C28213">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2.1.3.1.1.10.2.全国患者查询</w:t>
      </w:r>
    </w:p>
    <w:p w14:paraId="6C160B48">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通过与国家系统数据库比对，查询全国范围内重复建档患者信息。</w:t>
      </w:r>
    </w:p>
    <w:p w14:paraId="0B9F6C61">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2.1.3.1.1.11.流转管理</w:t>
      </w:r>
    </w:p>
    <w:p w14:paraId="163CC693">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2.1.3.1.1.11.1.医院迁入管理</w:t>
      </w:r>
    </w:p>
    <w:p w14:paraId="525346D4">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社区直报用户可在迁入通知管理中查看迁入申请，查看患者的就诊历史，迁出或转介原因，基本信息，报告卡，随访记录等信息。可进行接收、上转等操作。</w:t>
      </w:r>
    </w:p>
    <w:p w14:paraId="79C6A4F8">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数据质控员可查看医院迁入的信息及再分配。</w:t>
      </w:r>
    </w:p>
    <w:p w14:paraId="252EA729">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2.1.3.1.1.11.2.医院迁出管理</w:t>
      </w:r>
    </w:p>
    <w:p w14:paraId="2FBC16AF">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医院直报用户可以查看本机构迁出的报告卡信息以及基层机构接收及反馈情况，可以对流转中的报告卡进行撤回。</w:t>
      </w:r>
    </w:p>
    <w:p w14:paraId="546B160E">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数据质控员仅可查看医院迁出的信息。</w:t>
      </w:r>
    </w:p>
    <w:p w14:paraId="45363772">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2.1.3.1.1.11.3.社区迁入管理</w:t>
      </w:r>
    </w:p>
    <w:p w14:paraId="1C392E28">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社区直报用户可进入社区迁入管理中查看待接收社区迁入信息、已接收社区迁入信息、已拒绝社区迁入信息。可进行接收、拒绝等操作。</w:t>
      </w:r>
    </w:p>
    <w:p w14:paraId="0A10026E">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数据质控员可查看社区迁入的信息，区县级数据质控员可以对迁出到区县的患者档案进行分配操作。</w:t>
      </w:r>
    </w:p>
    <w:p w14:paraId="58754DE1">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2.1.3.1.1.11.4.社区迁出管理</w:t>
      </w:r>
    </w:p>
    <w:p w14:paraId="735D0255">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社区直报用户可进入出院迁出管理中查看待接收社区迁出信息、已接收社区迁出信息、已拒绝社区迁出信息。用户可以对迁出未接收记录进行撤回操作。</w:t>
      </w:r>
    </w:p>
    <w:p w14:paraId="3E325984">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数据质控员可查看社区迁出的信息。</w:t>
      </w:r>
    </w:p>
    <w:p w14:paraId="0F664655">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2.1.3.1.1.11.5.重复患者迁移申请</w:t>
      </w:r>
    </w:p>
    <w:p w14:paraId="5A38C0A3">
      <w:pPr>
        <w:pStyle w:val="6"/>
        <w:keepNext w:val="0"/>
        <w:keepLines w:val="0"/>
        <w:pageBreakBefore w:val="0"/>
        <w:kinsoku/>
        <w:wordWrap/>
        <w:overflowPunct/>
        <w:topLinePunct w:val="0"/>
        <w:autoSpaceDE/>
        <w:autoSpaceDN/>
        <w:bidi w:val="0"/>
        <w:adjustRightInd/>
        <w:snapToGrid/>
        <w:spacing w:line="500" w:lineRule="exact"/>
        <w:ind w:left="1440"/>
        <w:jc w:val="both"/>
        <w:textAlignment w:val="auto"/>
        <w:rPr>
          <w:rFonts w:hint="eastAsia" w:ascii="宋体" w:hAnsi="宋体" w:eastAsia="宋体" w:cs="宋体"/>
          <w:sz w:val="24"/>
          <w:szCs w:val="24"/>
        </w:rPr>
      </w:pPr>
      <w:r>
        <w:rPr>
          <w:rFonts w:hint="eastAsia" w:ascii="宋体" w:hAnsi="宋体" w:eastAsia="宋体" w:cs="宋体"/>
          <w:b/>
          <w:sz w:val="24"/>
          <w:szCs w:val="24"/>
        </w:rPr>
        <w:t>2.1.3.1.1.11.5.1.发起重复患者迁移申请</w:t>
      </w:r>
    </w:p>
    <w:p w14:paraId="0C368402">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社区直报用户可在申请页面输入患者详细信息，获取重复患者所在机构信息，并向所在机构发送申请；如果被申请机构通过重复患者迁移申请，需在社区迁入管理中进行患者接收。</w:t>
      </w:r>
    </w:p>
    <w:p w14:paraId="097425D7">
      <w:pPr>
        <w:pStyle w:val="6"/>
        <w:keepNext w:val="0"/>
        <w:keepLines w:val="0"/>
        <w:pageBreakBefore w:val="0"/>
        <w:kinsoku/>
        <w:wordWrap/>
        <w:overflowPunct/>
        <w:topLinePunct w:val="0"/>
        <w:autoSpaceDE/>
        <w:autoSpaceDN/>
        <w:bidi w:val="0"/>
        <w:adjustRightInd/>
        <w:snapToGrid/>
        <w:spacing w:line="500" w:lineRule="exact"/>
        <w:ind w:left="1440"/>
        <w:jc w:val="both"/>
        <w:textAlignment w:val="auto"/>
        <w:rPr>
          <w:rFonts w:hint="eastAsia" w:ascii="宋体" w:hAnsi="宋体" w:eastAsia="宋体" w:cs="宋体"/>
          <w:sz w:val="24"/>
          <w:szCs w:val="24"/>
        </w:rPr>
      </w:pPr>
      <w:r>
        <w:rPr>
          <w:rFonts w:hint="eastAsia" w:ascii="宋体" w:hAnsi="宋体" w:eastAsia="宋体" w:cs="宋体"/>
          <w:b/>
          <w:sz w:val="24"/>
          <w:szCs w:val="24"/>
        </w:rPr>
        <w:t>2.1.3.1.1.11.5.2.申请记录查询</w:t>
      </w:r>
    </w:p>
    <w:p w14:paraId="5E938701">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社区直报用户、数据质控员可以查询本机构/本区域内患者申请及处理结果记录信息。社区用户可以对本机构发起的重复患者迁移申请记录进行撤回处理。</w:t>
      </w:r>
    </w:p>
    <w:p w14:paraId="13055AEA">
      <w:pPr>
        <w:pStyle w:val="6"/>
        <w:keepNext w:val="0"/>
        <w:keepLines w:val="0"/>
        <w:pageBreakBefore w:val="0"/>
        <w:kinsoku/>
        <w:wordWrap/>
        <w:overflowPunct/>
        <w:topLinePunct w:val="0"/>
        <w:autoSpaceDE/>
        <w:autoSpaceDN/>
        <w:bidi w:val="0"/>
        <w:adjustRightInd/>
        <w:snapToGrid/>
        <w:spacing w:line="500" w:lineRule="exact"/>
        <w:ind w:left="1440"/>
        <w:jc w:val="both"/>
        <w:textAlignment w:val="auto"/>
        <w:rPr>
          <w:rFonts w:hint="eastAsia" w:ascii="宋体" w:hAnsi="宋体" w:eastAsia="宋体" w:cs="宋体"/>
          <w:sz w:val="24"/>
          <w:szCs w:val="24"/>
        </w:rPr>
      </w:pPr>
      <w:r>
        <w:rPr>
          <w:rFonts w:hint="eastAsia" w:ascii="宋体" w:hAnsi="宋体" w:eastAsia="宋体" w:cs="宋体"/>
          <w:b/>
          <w:sz w:val="24"/>
          <w:szCs w:val="24"/>
        </w:rPr>
        <w:t>2.1.3.1.1.11.5.3.发起强制患者迁移申请</w:t>
      </w:r>
    </w:p>
    <w:p w14:paraId="2DA3DA34">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满足一定条件后，社区用户可以发起强制患者迁移申请，填写申请信息并上传证明材料附件，提交本机构上级区县质控员进行审核，并查看审核反馈信息。</w:t>
      </w:r>
    </w:p>
    <w:p w14:paraId="0B543E8B">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2.1.3.1.1.11.6.重复患者迁移受理</w:t>
      </w:r>
    </w:p>
    <w:p w14:paraId="514DDEC4">
      <w:pPr>
        <w:pStyle w:val="6"/>
        <w:keepNext w:val="0"/>
        <w:keepLines w:val="0"/>
        <w:pageBreakBefore w:val="0"/>
        <w:kinsoku/>
        <w:wordWrap/>
        <w:overflowPunct/>
        <w:topLinePunct w:val="0"/>
        <w:autoSpaceDE/>
        <w:autoSpaceDN/>
        <w:bidi w:val="0"/>
        <w:adjustRightInd/>
        <w:snapToGrid/>
        <w:spacing w:line="500" w:lineRule="exact"/>
        <w:ind w:left="1440"/>
        <w:jc w:val="both"/>
        <w:textAlignment w:val="auto"/>
        <w:rPr>
          <w:rFonts w:hint="eastAsia" w:ascii="宋体" w:hAnsi="宋体" w:eastAsia="宋体" w:cs="宋体"/>
          <w:sz w:val="24"/>
          <w:szCs w:val="24"/>
        </w:rPr>
      </w:pPr>
      <w:r>
        <w:rPr>
          <w:rFonts w:hint="eastAsia" w:ascii="宋体" w:hAnsi="宋体" w:eastAsia="宋体" w:cs="宋体"/>
          <w:b/>
          <w:sz w:val="24"/>
          <w:szCs w:val="24"/>
        </w:rPr>
        <w:t>2.1.3.1.1.11.6.1.受理记录查询</w:t>
      </w:r>
    </w:p>
    <w:p w14:paraId="287CEAA0">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社区直报用户查看并处理其他机构用户提出的重复患者迁移申请记录。质控员用户可以查看本区域内机构发起的重复/强制患者迁移申请记录及处理情况。</w:t>
      </w:r>
    </w:p>
    <w:p w14:paraId="4934A851">
      <w:pPr>
        <w:pStyle w:val="6"/>
        <w:keepNext w:val="0"/>
        <w:keepLines w:val="0"/>
        <w:pageBreakBefore w:val="0"/>
        <w:kinsoku/>
        <w:wordWrap/>
        <w:overflowPunct/>
        <w:topLinePunct w:val="0"/>
        <w:autoSpaceDE/>
        <w:autoSpaceDN/>
        <w:bidi w:val="0"/>
        <w:adjustRightInd/>
        <w:snapToGrid/>
        <w:spacing w:line="500" w:lineRule="exact"/>
        <w:ind w:left="1440"/>
        <w:jc w:val="both"/>
        <w:textAlignment w:val="auto"/>
        <w:rPr>
          <w:rFonts w:hint="eastAsia" w:ascii="宋体" w:hAnsi="宋体" w:eastAsia="宋体" w:cs="宋体"/>
          <w:sz w:val="24"/>
          <w:szCs w:val="24"/>
        </w:rPr>
      </w:pPr>
      <w:r>
        <w:rPr>
          <w:rFonts w:hint="eastAsia" w:ascii="宋体" w:hAnsi="宋体" w:eastAsia="宋体" w:cs="宋体"/>
          <w:b/>
          <w:sz w:val="24"/>
          <w:szCs w:val="24"/>
        </w:rPr>
        <w:t>2.1.3.1.1.11.6.2.申请记录受理</w:t>
      </w:r>
    </w:p>
    <w:p w14:paraId="68137BFE">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社区用户可以对本机构收到的重复患者迁移申请记录进行处理，包括同意、拒绝操作。同意申请的情况下系统后台自动生成一条社区迁出记录，需要申请机构接收处理后完成重复患者迁移流程。</w:t>
      </w:r>
    </w:p>
    <w:p w14:paraId="39908B1F">
      <w:pPr>
        <w:pStyle w:val="6"/>
        <w:keepNext w:val="0"/>
        <w:keepLines w:val="0"/>
        <w:pageBreakBefore w:val="0"/>
        <w:kinsoku/>
        <w:wordWrap/>
        <w:overflowPunct/>
        <w:topLinePunct w:val="0"/>
        <w:autoSpaceDE/>
        <w:autoSpaceDN/>
        <w:bidi w:val="0"/>
        <w:adjustRightInd/>
        <w:snapToGrid/>
        <w:spacing w:line="500" w:lineRule="exact"/>
        <w:ind w:left="1440"/>
        <w:jc w:val="both"/>
        <w:textAlignment w:val="auto"/>
        <w:rPr>
          <w:rFonts w:hint="eastAsia" w:ascii="宋体" w:hAnsi="宋体" w:eastAsia="宋体" w:cs="宋体"/>
          <w:sz w:val="24"/>
          <w:szCs w:val="24"/>
        </w:rPr>
      </w:pPr>
      <w:r>
        <w:rPr>
          <w:rFonts w:hint="eastAsia" w:ascii="宋体" w:hAnsi="宋体" w:eastAsia="宋体" w:cs="宋体"/>
          <w:b/>
          <w:sz w:val="24"/>
          <w:szCs w:val="24"/>
        </w:rPr>
        <w:t>2.1.3.1.1.11.6.3.强制患者迁移申请审核</w:t>
      </w:r>
    </w:p>
    <w:p w14:paraId="22DA7B52">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质控员用户可以对本区域内机构发起的强制患者迁移申请进行审核处理，包括同意、拒绝操作。审核通过后系统后台自动进行患者档案迁移流程。</w:t>
      </w:r>
    </w:p>
    <w:p w14:paraId="5E8405FB">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2.1.3.1.1.11.7.流转过程跟踪</w:t>
      </w:r>
    </w:p>
    <w:p w14:paraId="061CF1AE">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系统后台对各种类型的流转日志（包括用户操作信息、后台自动执行信息以及状态变更信息等）进行记录，用户可以查看上述各种类型业务流转过程中各个业务环节详细信息，了解流转情况并进行跟踪质控核查。</w:t>
      </w:r>
    </w:p>
    <w:p w14:paraId="50F2CC98">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2.1.3.1.1.12.专题库查询</w:t>
      </w:r>
    </w:p>
    <w:p w14:paraId="70503868">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系统提供各类数据专题库查询功能，社区直报和质控员可以对符合条件的患者信息进行查询，便于开展患者管理和业务质控工作。专题库主要包括：</w:t>
      </w:r>
    </w:p>
    <w:p w14:paraId="085CE5A8">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2.1.3.1.1.12.1.不稳定患者库</w:t>
      </w:r>
    </w:p>
    <w:p w14:paraId="5169455D">
      <w:pPr>
        <w:pStyle w:val="6"/>
        <w:keepNext w:val="0"/>
        <w:keepLines w:val="0"/>
        <w:pageBreakBefore w:val="0"/>
        <w:kinsoku/>
        <w:wordWrap/>
        <w:overflowPunct/>
        <w:topLinePunct w:val="0"/>
        <w:autoSpaceDE/>
        <w:autoSpaceDN/>
        <w:bidi w:val="0"/>
        <w:adjustRightInd/>
        <w:snapToGrid/>
        <w:spacing w:line="500" w:lineRule="exact"/>
        <w:ind w:left="1440"/>
        <w:jc w:val="both"/>
        <w:textAlignment w:val="auto"/>
        <w:rPr>
          <w:rFonts w:hint="eastAsia" w:ascii="宋体" w:hAnsi="宋体" w:eastAsia="宋体" w:cs="宋体"/>
          <w:sz w:val="24"/>
          <w:szCs w:val="24"/>
        </w:rPr>
      </w:pPr>
      <w:r>
        <w:rPr>
          <w:rFonts w:hint="eastAsia" w:ascii="宋体" w:hAnsi="宋体" w:eastAsia="宋体" w:cs="宋体"/>
          <w:b/>
          <w:sz w:val="24"/>
          <w:szCs w:val="24"/>
        </w:rPr>
        <w:t>2.1.3.1.1.12.1.1.全部不稳定患者库</w:t>
      </w:r>
    </w:p>
    <w:p w14:paraId="1E80573F">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展示所有随访记录中病情分类评估出现过不稳定的患者信息；用户可以查询、导出相关患者记录信息。</w:t>
      </w:r>
    </w:p>
    <w:p w14:paraId="4D949630">
      <w:pPr>
        <w:pStyle w:val="6"/>
        <w:keepNext w:val="0"/>
        <w:keepLines w:val="0"/>
        <w:pageBreakBefore w:val="0"/>
        <w:kinsoku/>
        <w:wordWrap/>
        <w:overflowPunct/>
        <w:topLinePunct w:val="0"/>
        <w:autoSpaceDE/>
        <w:autoSpaceDN/>
        <w:bidi w:val="0"/>
        <w:adjustRightInd/>
        <w:snapToGrid/>
        <w:spacing w:line="500" w:lineRule="exact"/>
        <w:ind w:left="1440"/>
        <w:jc w:val="both"/>
        <w:textAlignment w:val="auto"/>
        <w:rPr>
          <w:rFonts w:hint="eastAsia" w:ascii="宋体" w:hAnsi="宋体" w:eastAsia="宋体" w:cs="宋体"/>
          <w:sz w:val="24"/>
          <w:szCs w:val="24"/>
        </w:rPr>
      </w:pPr>
      <w:r>
        <w:rPr>
          <w:rFonts w:hint="eastAsia" w:ascii="宋体" w:hAnsi="宋体" w:eastAsia="宋体" w:cs="宋体"/>
          <w:b/>
          <w:sz w:val="24"/>
          <w:szCs w:val="24"/>
        </w:rPr>
        <w:t>2.1.3.1.1.12.1.2.最近一次随访中不稳定患者库</w:t>
      </w:r>
    </w:p>
    <w:p w14:paraId="6EA991E2">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展示最近一次随访，病情分类评估为不稳定的患者信息；用户可以查询、导出相关患者记录信息。</w:t>
      </w:r>
    </w:p>
    <w:p w14:paraId="08565031">
      <w:pPr>
        <w:pStyle w:val="6"/>
        <w:keepNext w:val="0"/>
        <w:keepLines w:val="0"/>
        <w:pageBreakBefore w:val="0"/>
        <w:kinsoku/>
        <w:wordWrap/>
        <w:overflowPunct/>
        <w:topLinePunct w:val="0"/>
        <w:autoSpaceDE/>
        <w:autoSpaceDN/>
        <w:bidi w:val="0"/>
        <w:adjustRightInd/>
        <w:snapToGrid/>
        <w:spacing w:line="500" w:lineRule="exact"/>
        <w:ind w:left="1440"/>
        <w:jc w:val="both"/>
        <w:textAlignment w:val="auto"/>
        <w:rPr>
          <w:rFonts w:hint="eastAsia" w:ascii="宋体" w:hAnsi="宋体" w:eastAsia="宋体" w:cs="宋体"/>
          <w:sz w:val="24"/>
          <w:szCs w:val="24"/>
        </w:rPr>
      </w:pPr>
      <w:r>
        <w:rPr>
          <w:rFonts w:hint="eastAsia" w:ascii="宋体" w:hAnsi="宋体" w:eastAsia="宋体" w:cs="宋体"/>
          <w:b/>
          <w:sz w:val="24"/>
          <w:szCs w:val="24"/>
        </w:rPr>
        <w:t>2.1.3.1.1.12.1.3.本年持续不稳定患者库</w:t>
      </w:r>
    </w:p>
    <w:p w14:paraId="60CA860C">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展示自然年随访中每次病情分类评估均为不稳定的患者信息。用户可以查询、导出相关患者记录信息。</w:t>
      </w:r>
    </w:p>
    <w:p w14:paraId="29541BD7">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2.1.3.1.1.12.2.不服药患者库</w:t>
      </w:r>
    </w:p>
    <w:p w14:paraId="0CBACAC5">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展示当前不服药患者、持续不服药患者信息。包括：</w:t>
      </w:r>
    </w:p>
    <w:p w14:paraId="7A9D44F1">
      <w:pPr>
        <w:pStyle w:val="6"/>
        <w:keepNext w:val="0"/>
        <w:keepLines w:val="0"/>
        <w:pageBreakBefore w:val="0"/>
        <w:kinsoku/>
        <w:wordWrap/>
        <w:overflowPunct/>
        <w:topLinePunct w:val="0"/>
        <w:autoSpaceDE/>
        <w:autoSpaceDN/>
        <w:bidi w:val="0"/>
        <w:adjustRightInd/>
        <w:snapToGrid/>
        <w:spacing w:line="500" w:lineRule="exact"/>
        <w:ind w:left="1440"/>
        <w:jc w:val="both"/>
        <w:textAlignment w:val="auto"/>
        <w:rPr>
          <w:rFonts w:hint="eastAsia" w:ascii="宋体" w:hAnsi="宋体" w:eastAsia="宋体" w:cs="宋体"/>
          <w:sz w:val="24"/>
          <w:szCs w:val="24"/>
        </w:rPr>
      </w:pPr>
      <w:r>
        <w:rPr>
          <w:rFonts w:hint="eastAsia" w:ascii="宋体" w:hAnsi="宋体" w:eastAsia="宋体" w:cs="宋体"/>
          <w:b/>
          <w:sz w:val="24"/>
          <w:szCs w:val="24"/>
        </w:rPr>
        <w:t>2.1.3.1.1.12.2.1.最近一次不服药患者库</w:t>
      </w:r>
    </w:p>
    <w:p w14:paraId="23534417">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展示最近一次随访中为不服药的在管患者，包括医嘱勿需用药；用户可以查询、导出相关患者记录信息。</w:t>
      </w:r>
    </w:p>
    <w:p w14:paraId="45553D4C">
      <w:pPr>
        <w:pStyle w:val="6"/>
        <w:keepNext w:val="0"/>
        <w:keepLines w:val="0"/>
        <w:pageBreakBefore w:val="0"/>
        <w:kinsoku/>
        <w:wordWrap/>
        <w:overflowPunct/>
        <w:topLinePunct w:val="0"/>
        <w:autoSpaceDE/>
        <w:autoSpaceDN/>
        <w:bidi w:val="0"/>
        <w:adjustRightInd/>
        <w:snapToGrid/>
        <w:spacing w:line="500" w:lineRule="exact"/>
        <w:ind w:left="1440"/>
        <w:jc w:val="both"/>
        <w:textAlignment w:val="auto"/>
        <w:rPr>
          <w:rFonts w:hint="eastAsia" w:ascii="宋体" w:hAnsi="宋体" w:eastAsia="宋体" w:cs="宋体"/>
          <w:sz w:val="24"/>
          <w:szCs w:val="24"/>
        </w:rPr>
      </w:pPr>
      <w:r>
        <w:rPr>
          <w:rFonts w:hint="eastAsia" w:ascii="宋体" w:hAnsi="宋体" w:eastAsia="宋体" w:cs="宋体"/>
          <w:b/>
          <w:sz w:val="24"/>
          <w:szCs w:val="24"/>
        </w:rPr>
        <w:t>2.1.3.1.1.12.2.2.持续不服药患者库</w:t>
      </w:r>
    </w:p>
    <w:p w14:paraId="7F78D3CC">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展示自然年随访中每次服药依从性均为不服药的在管患者信息，每年1月1日自动生成上一年持续不服药在管患者信息，加上当前年截止查询时刻为止的持续不服药在管患者。用户可以查询、导出相关患者记录信息。</w:t>
      </w:r>
    </w:p>
    <w:p w14:paraId="04D92830">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2.1.3.1.1.12.3.肇事肇祸患者库</w:t>
      </w:r>
    </w:p>
    <w:p w14:paraId="1C94829A">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展示既往和当前肇事肇祸患者信息。包括：</w:t>
      </w:r>
    </w:p>
    <w:p w14:paraId="33C031C1">
      <w:pPr>
        <w:pStyle w:val="6"/>
        <w:keepNext w:val="0"/>
        <w:keepLines w:val="0"/>
        <w:pageBreakBefore w:val="0"/>
        <w:kinsoku/>
        <w:wordWrap/>
        <w:overflowPunct/>
        <w:topLinePunct w:val="0"/>
        <w:autoSpaceDE/>
        <w:autoSpaceDN/>
        <w:bidi w:val="0"/>
        <w:adjustRightInd/>
        <w:snapToGrid/>
        <w:spacing w:line="500" w:lineRule="exact"/>
        <w:ind w:left="1440"/>
        <w:jc w:val="both"/>
        <w:textAlignment w:val="auto"/>
        <w:rPr>
          <w:rFonts w:hint="eastAsia" w:ascii="宋体" w:hAnsi="宋体" w:eastAsia="宋体" w:cs="宋体"/>
          <w:sz w:val="24"/>
          <w:szCs w:val="24"/>
        </w:rPr>
      </w:pPr>
      <w:r>
        <w:rPr>
          <w:rFonts w:hint="eastAsia" w:ascii="宋体" w:hAnsi="宋体" w:eastAsia="宋体" w:cs="宋体"/>
          <w:b/>
          <w:sz w:val="24"/>
          <w:szCs w:val="24"/>
        </w:rPr>
        <w:t>2.1.3.1.1.12.3.1.全部肇事肇祸患者库</w:t>
      </w:r>
    </w:p>
    <w:p w14:paraId="60D63308">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只要有一次肇事肇祸信息患者，包括在管、非在管、失访患者；用户可以查询、导出相关患者记录信息。</w:t>
      </w:r>
    </w:p>
    <w:p w14:paraId="0D20A5B5">
      <w:pPr>
        <w:pStyle w:val="6"/>
        <w:keepNext w:val="0"/>
        <w:keepLines w:val="0"/>
        <w:pageBreakBefore w:val="0"/>
        <w:kinsoku/>
        <w:wordWrap/>
        <w:overflowPunct/>
        <w:topLinePunct w:val="0"/>
        <w:autoSpaceDE/>
        <w:autoSpaceDN/>
        <w:bidi w:val="0"/>
        <w:adjustRightInd/>
        <w:snapToGrid/>
        <w:spacing w:line="500" w:lineRule="exact"/>
        <w:ind w:left="1440"/>
        <w:jc w:val="both"/>
        <w:textAlignment w:val="auto"/>
        <w:rPr>
          <w:rFonts w:hint="eastAsia" w:ascii="宋体" w:hAnsi="宋体" w:eastAsia="宋体" w:cs="宋体"/>
          <w:sz w:val="24"/>
          <w:szCs w:val="24"/>
        </w:rPr>
      </w:pPr>
      <w:r>
        <w:rPr>
          <w:rFonts w:hint="eastAsia" w:ascii="宋体" w:hAnsi="宋体" w:eastAsia="宋体" w:cs="宋体"/>
          <w:b/>
          <w:sz w:val="24"/>
          <w:szCs w:val="24"/>
        </w:rPr>
        <w:t>2.1.3.1.1.12.3.2.最近一次随访中肇事肇祸患者库</w:t>
      </w:r>
    </w:p>
    <w:p w14:paraId="3EFB539F">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最近一次随访记录中存在肇事肇祸信息的患者。用户可以查询、导出相关患者记录信息。</w:t>
      </w:r>
    </w:p>
    <w:p w14:paraId="3B72BBDC">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2.1.3.1.1.12.4.不规范管理患者库</w:t>
      </w:r>
    </w:p>
    <w:p w14:paraId="5B95D5F8">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用户可以查询、导出管理状态为不规范管理的患者清单，并查看患者各项服务记录信息。</w:t>
      </w:r>
    </w:p>
    <w:p w14:paraId="21A0380C">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2.1.3.1.1.12.5.未面访患者库</w:t>
      </w:r>
    </w:p>
    <w:p w14:paraId="4DECE0DE">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用户可以查询、导出未进行面访的患者清单，并查看患者各项服务记录信息。</w:t>
      </w:r>
    </w:p>
    <w:p w14:paraId="38D5B39A">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2.1.3.1.1.12.6.未体检患者库</w:t>
      </w:r>
    </w:p>
    <w:p w14:paraId="13D4D4E3">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用户可以查询、导出未录入年度体检信息的患者清单，并查看患者各项服务记录信息。</w:t>
      </w:r>
    </w:p>
    <w:p w14:paraId="6DB8BBE1">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2.1.3.1.1.12.7.无身份证患者库</w:t>
      </w:r>
    </w:p>
    <w:p w14:paraId="642A93DF">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用户可以查询、导出无身份证信息的患者清单，并查看患者各项服务记录信息。</w:t>
      </w:r>
    </w:p>
    <w:p w14:paraId="6BE5F536">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2.1.3.1.1.12.8.关锁患者库</w:t>
      </w:r>
    </w:p>
    <w:p w14:paraId="25F85E95">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用户可以查询、导出最近一次随访为关锁的患者清单，并查看患者各项服务记录信息。</w:t>
      </w:r>
    </w:p>
    <w:p w14:paraId="52825D08">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2.1.3.1.1.12.9.知情同意无随访患者库</w:t>
      </w:r>
    </w:p>
    <w:p w14:paraId="1F7DCFFA">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用户可以查询、导出本年度知情同意但没有随访记录的患者清单，并查看患者各项服务记录信息。</w:t>
      </w:r>
    </w:p>
    <w:p w14:paraId="1FB37B7B">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2.1.3.1.1.12.10.流动人口库</w:t>
      </w:r>
    </w:p>
    <w:p w14:paraId="263ABBD6">
      <w:pPr>
        <w:pStyle w:val="6"/>
        <w:keepNext w:val="0"/>
        <w:keepLines w:val="0"/>
        <w:pageBreakBefore w:val="0"/>
        <w:kinsoku/>
        <w:wordWrap/>
        <w:overflowPunct/>
        <w:topLinePunct w:val="0"/>
        <w:autoSpaceDE/>
        <w:autoSpaceDN/>
        <w:bidi w:val="0"/>
        <w:adjustRightInd/>
        <w:snapToGrid/>
        <w:spacing w:line="500" w:lineRule="exact"/>
        <w:ind w:left="1440"/>
        <w:jc w:val="both"/>
        <w:textAlignment w:val="auto"/>
        <w:rPr>
          <w:rFonts w:hint="eastAsia" w:ascii="宋体" w:hAnsi="宋体" w:eastAsia="宋体" w:cs="宋体"/>
          <w:sz w:val="24"/>
          <w:szCs w:val="24"/>
        </w:rPr>
      </w:pPr>
      <w:r>
        <w:rPr>
          <w:rFonts w:hint="eastAsia" w:ascii="宋体" w:hAnsi="宋体" w:eastAsia="宋体" w:cs="宋体"/>
          <w:b/>
          <w:sz w:val="24"/>
          <w:szCs w:val="24"/>
        </w:rPr>
        <w:t>2.1.3.1.1.12.10.1.信息导入</w:t>
      </w:r>
    </w:p>
    <w:p w14:paraId="6E976D96">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根据上级下发排查的非本地在管的流动人口进行导入。</w:t>
      </w:r>
    </w:p>
    <w:p w14:paraId="48854BDC">
      <w:pPr>
        <w:pStyle w:val="6"/>
        <w:keepNext w:val="0"/>
        <w:keepLines w:val="0"/>
        <w:pageBreakBefore w:val="0"/>
        <w:kinsoku/>
        <w:wordWrap/>
        <w:overflowPunct/>
        <w:topLinePunct w:val="0"/>
        <w:autoSpaceDE/>
        <w:autoSpaceDN/>
        <w:bidi w:val="0"/>
        <w:adjustRightInd/>
        <w:snapToGrid/>
        <w:spacing w:line="500" w:lineRule="exact"/>
        <w:ind w:left="1440"/>
        <w:jc w:val="both"/>
        <w:textAlignment w:val="auto"/>
        <w:rPr>
          <w:rFonts w:hint="eastAsia" w:ascii="宋体" w:hAnsi="宋体" w:eastAsia="宋体" w:cs="宋体"/>
          <w:sz w:val="24"/>
          <w:szCs w:val="24"/>
        </w:rPr>
      </w:pPr>
      <w:r>
        <w:rPr>
          <w:rFonts w:hint="eastAsia" w:ascii="宋体" w:hAnsi="宋体" w:eastAsia="宋体" w:cs="宋体"/>
          <w:b/>
          <w:sz w:val="24"/>
          <w:szCs w:val="24"/>
        </w:rPr>
        <w:t>2.1.3.1.1.12.10.2.核查填报</w:t>
      </w:r>
    </w:p>
    <w:p w14:paraId="6003DBBD">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支持分配基层进行核查填写患者核查结果，对核查结果进行分类统计与明细查询。</w:t>
      </w:r>
    </w:p>
    <w:p w14:paraId="530399EC">
      <w:pPr>
        <w:pStyle w:val="6"/>
        <w:keepNext w:val="0"/>
        <w:keepLines w:val="0"/>
        <w:pageBreakBefore w:val="0"/>
        <w:kinsoku/>
        <w:wordWrap/>
        <w:overflowPunct/>
        <w:topLinePunct w:val="0"/>
        <w:autoSpaceDE/>
        <w:autoSpaceDN/>
        <w:bidi w:val="0"/>
        <w:adjustRightInd/>
        <w:snapToGrid/>
        <w:spacing w:line="500" w:lineRule="exact"/>
        <w:ind w:left="1440"/>
        <w:jc w:val="both"/>
        <w:textAlignment w:val="auto"/>
        <w:rPr>
          <w:rFonts w:hint="eastAsia" w:ascii="宋体" w:hAnsi="宋体" w:eastAsia="宋体" w:cs="宋体"/>
          <w:sz w:val="24"/>
          <w:szCs w:val="24"/>
        </w:rPr>
      </w:pPr>
      <w:r>
        <w:rPr>
          <w:rFonts w:hint="eastAsia" w:ascii="宋体" w:hAnsi="宋体" w:eastAsia="宋体" w:cs="宋体"/>
          <w:b/>
          <w:sz w:val="24"/>
          <w:szCs w:val="24"/>
        </w:rPr>
        <w:t>2.1.3.1.1.12.10.3.临时随访</w:t>
      </w:r>
    </w:p>
    <w:p w14:paraId="434B1BA9">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支持对非本地在管但短期居住患者进行临时随访。</w:t>
      </w:r>
    </w:p>
    <w:p w14:paraId="7B6124D7">
      <w:pPr>
        <w:pStyle w:val="6"/>
        <w:keepNext w:val="0"/>
        <w:keepLines w:val="0"/>
        <w:pageBreakBefore w:val="0"/>
        <w:kinsoku/>
        <w:wordWrap/>
        <w:overflowPunct/>
        <w:topLinePunct w:val="0"/>
        <w:autoSpaceDE/>
        <w:autoSpaceDN/>
        <w:bidi w:val="0"/>
        <w:adjustRightInd/>
        <w:snapToGrid/>
        <w:spacing w:line="500" w:lineRule="exact"/>
        <w:ind w:left="1440"/>
        <w:jc w:val="both"/>
        <w:textAlignment w:val="auto"/>
        <w:rPr>
          <w:rFonts w:hint="eastAsia" w:ascii="宋体" w:hAnsi="宋体" w:eastAsia="宋体" w:cs="宋体"/>
          <w:sz w:val="24"/>
          <w:szCs w:val="24"/>
        </w:rPr>
      </w:pPr>
      <w:r>
        <w:rPr>
          <w:rFonts w:hint="eastAsia" w:ascii="宋体" w:hAnsi="宋体" w:eastAsia="宋体" w:cs="宋体"/>
          <w:b/>
          <w:sz w:val="24"/>
          <w:szCs w:val="24"/>
        </w:rPr>
        <w:t>2.1.3.1.1.12.10.4.迁入流转</w:t>
      </w:r>
    </w:p>
    <w:p w14:paraId="2ADF2ADC">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支持核查过程中对外地建档流动人员发起迁入流转。</w:t>
      </w:r>
    </w:p>
    <w:p w14:paraId="01F05BEA">
      <w:pPr>
        <w:pStyle w:val="6"/>
        <w:keepNext w:val="0"/>
        <w:keepLines w:val="0"/>
        <w:pageBreakBefore w:val="0"/>
        <w:kinsoku/>
        <w:wordWrap/>
        <w:overflowPunct/>
        <w:topLinePunct w:val="0"/>
        <w:autoSpaceDE/>
        <w:autoSpaceDN/>
        <w:bidi w:val="0"/>
        <w:adjustRightInd/>
        <w:snapToGrid/>
        <w:spacing w:line="500" w:lineRule="exact"/>
        <w:ind w:left="1440"/>
        <w:jc w:val="both"/>
        <w:textAlignment w:val="auto"/>
        <w:rPr>
          <w:rFonts w:hint="eastAsia" w:ascii="宋体" w:hAnsi="宋体" w:eastAsia="宋体" w:cs="宋体"/>
          <w:sz w:val="24"/>
          <w:szCs w:val="24"/>
        </w:rPr>
      </w:pPr>
      <w:r>
        <w:rPr>
          <w:rFonts w:hint="eastAsia" w:ascii="宋体" w:hAnsi="宋体" w:eastAsia="宋体" w:cs="宋体"/>
          <w:b/>
          <w:sz w:val="24"/>
          <w:szCs w:val="24"/>
        </w:rPr>
        <w:t>2.1.3.1.1.12.10.5.统计报表</w:t>
      </w:r>
    </w:p>
    <w:p w14:paraId="4BD8F21A">
      <w:pPr>
        <w:pStyle w:val="6"/>
        <w:keepNext w:val="0"/>
        <w:keepLines w:val="0"/>
        <w:pageBreakBefore w:val="0"/>
        <w:kinsoku/>
        <w:wordWrap/>
        <w:overflowPunct/>
        <w:topLinePunct w:val="0"/>
        <w:autoSpaceDE/>
        <w:autoSpaceDN/>
        <w:bidi w:val="0"/>
        <w:adjustRightInd/>
        <w:snapToGrid/>
        <w:spacing w:line="500" w:lineRule="exact"/>
        <w:ind w:firstLine="480"/>
        <w:jc w:val="left"/>
        <w:textAlignment w:val="auto"/>
        <w:rPr>
          <w:rFonts w:hint="eastAsia" w:ascii="宋体" w:hAnsi="宋体" w:eastAsia="宋体" w:cs="宋体"/>
          <w:sz w:val="24"/>
          <w:szCs w:val="24"/>
        </w:rPr>
      </w:pPr>
      <w:r>
        <w:rPr>
          <w:rFonts w:hint="eastAsia" w:ascii="宋体" w:hAnsi="宋体" w:eastAsia="宋体" w:cs="宋体"/>
          <w:sz w:val="24"/>
          <w:szCs w:val="24"/>
        </w:rPr>
        <w:t>支持详细月度报表统计与报表明细钻取查看。</w:t>
      </w:r>
    </w:p>
    <w:p w14:paraId="4B10365C">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2.1.3.1.1.13.规范性质控管理</w:t>
      </w:r>
    </w:p>
    <w:p w14:paraId="7D2D633D">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按照工作规范中要求的定期患者档案及随访真实性核查的要求，抽取患者档案进行规范性质控调查，并对核查结果进行记录和管理。</w:t>
      </w:r>
    </w:p>
    <w:p w14:paraId="0DA51CF4">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2.1.3.1.1.13.1.真实性核查管理</w:t>
      </w:r>
    </w:p>
    <w:p w14:paraId="14093F23">
      <w:pPr>
        <w:pStyle w:val="6"/>
        <w:keepNext w:val="0"/>
        <w:keepLines w:val="0"/>
        <w:pageBreakBefore w:val="0"/>
        <w:kinsoku/>
        <w:wordWrap/>
        <w:overflowPunct/>
        <w:topLinePunct w:val="0"/>
        <w:autoSpaceDE/>
        <w:autoSpaceDN/>
        <w:bidi w:val="0"/>
        <w:adjustRightInd/>
        <w:snapToGrid/>
        <w:spacing w:line="500" w:lineRule="exact"/>
        <w:ind w:left="1440"/>
        <w:jc w:val="both"/>
        <w:textAlignment w:val="auto"/>
        <w:rPr>
          <w:rFonts w:hint="eastAsia" w:ascii="宋体" w:hAnsi="宋体" w:eastAsia="宋体" w:cs="宋体"/>
          <w:sz w:val="24"/>
          <w:szCs w:val="24"/>
        </w:rPr>
      </w:pPr>
      <w:r>
        <w:rPr>
          <w:rFonts w:hint="eastAsia" w:ascii="宋体" w:hAnsi="宋体" w:eastAsia="宋体" w:cs="宋体"/>
          <w:b/>
          <w:sz w:val="24"/>
          <w:szCs w:val="24"/>
        </w:rPr>
        <w:t>2.1.3.1.1.13.1.1.质控任务生成</w:t>
      </w:r>
    </w:p>
    <w:p w14:paraId="0C560E81">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数据质控员可进入真实性核查功能模块，设定相应抽取条件（包括随机抽取、符合性条件抽取、排除性条件抽取等），抽取出相应患者，形成质控任务记录，并指派给下级数据质控员进行核查。</w:t>
      </w:r>
    </w:p>
    <w:p w14:paraId="351DE924">
      <w:pPr>
        <w:pStyle w:val="6"/>
        <w:keepNext w:val="0"/>
        <w:keepLines w:val="0"/>
        <w:pageBreakBefore w:val="0"/>
        <w:kinsoku/>
        <w:wordWrap/>
        <w:overflowPunct/>
        <w:topLinePunct w:val="0"/>
        <w:autoSpaceDE/>
        <w:autoSpaceDN/>
        <w:bidi w:val="0"/>
        <w:adjustRightInd/>
        <w:snapToGrid/>
        <w:spacing w:line="500" w:lineRule="exact"/>
        <w:ind w:left="1440"/>
        <w:jc w:val="both"/>
        <w:textAlignment w:val="auto"/>
        <w:rPr>
          <w:rFonts w:hint="eastAsia" w:ascii="宋体" w:hAnsi="宋体" w:eastAsia="宋体" w:cs="宋体"/>
          <w:sz w:val="24"/>
          <w:szCs w:val="24"/>
        </w:rPr>
      </w:pPr>
      <w:r>
        <w:rPr>
          <w:rFonts w:hint="eastAsia" w:ascii="宋体" w:hAnsi="宋体" w:eastAsia="宋体" w:cs="宋体"/>
          <w:b/>
          <w:sz w:val="24"/>
          <w:szCs w:val="24"/>
        </w:rPr>
        <w:t>2.1.3.1.1.13.1.2.质控任务查询</w:t>
      </w:r>
    </w:p>
    <w:p w14:paraId="59FFE2A4">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数据质控员可以查看质控任务列表以及任务中的核查患者名单，查看该患者全部关联档案及业务信息。</w:t>
      </w:r>
    </w:p>
    <w:p w14:paraId="4D11B153">
      <w:pPr>
        <w:pStyle w:val="6"/>
        <w:keepNext w:val="0"/>
        <w:keepLines w:val="0"/>
        <w:pageBreakBefore w:val="0"/>
        <w:kinsoku/>
        <w:wordWrap/>
        <w:overflowPunct/>
        <w:topLinePunct w:val="0"/>
        <w:autoSpaceDE/>
        <w:autoSpaceDN/>
        <w:bidi w:val="0"/>
        <w:adjustRightInd/>
        <w:snapToGrid/>
        <w:spacing w:line="500" w:lineRule="exact"/>
        <w:ind w:left="1440"/>
        <w:jc w:val="both"/>
        <w:textAlignment w:val="auto"/>
        <w:rPr>
          <w:rFonts w:hint="eastAsia" w:ascii="宋体" w:hAnsi="宋体" w:eastAsia="宋体" w:cs="宋体"/>
          <w:sz w:val="24"/>
          <w:szCs w:val="24"/>
        </w:rPr>
      </w:pPr>
      <w:r>
        <w:rPr>
          <w:rFonts w:hint="eastAsia" w:ascii="宋体" w:hAnsi="宋体" w:eastAsia="宋体" w:cs="宋体"/>
          <w:b/>
          <w:sz w:val="24"/>
          <w:szCs w:val="24"/>
        </w:rPr>
        <w:t>2.1.3.1.1.13.1.3.质控信息核查</w:t>
      </w:r>
    </w:p>
    <w:p w14:paraId="2F6EE4A6">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用户针对质控任务中的核查患者列表，对应核查患者进行真实性核查，核实患者档案及随访信息。并根据不同的核查类型填写相应的核查表单，形成核查结果，并将核查意见反馈至相应机构的社区直报用户。核查过程中，用户可以查看患者档案、随访记录信息，便于进行信息核对。</w:t>
      </w:r>
    </w:p>
    <w:p w14:paraId="731016E2">
      <w:pPr>
        <w:pStyle w:val="6"/>
        <w:keepNext w:val="0"/>
        <w:keepLines w:val="0"/>
        <w:pageBreakBefore w:val="0"/>
        <w:kinsoku/>
        <w:wordWrap/>
        <w:overflowPunct/>
        <w:topLinePunct w:val="0"/>
        <w:autoSpaceDE/>
        <w:autoSpaceDN/>
        <w:bidi w:val="0"/>
        <w:adjustRightInd/>
        <w:snapToGrid/>
        <w:spacing w:line="500" w:lineRule="exact"/>
        <w:ind w:left="1440"/>
        <w:jc w:val="both"/>
        <w:textAlignment w:val="auto"/>
        <w:rPr>
          <w:rFonts w:hint="eastAsia" w:ascii="宋体" w:hAnsi="宋体" w:eastAsia="宋体" w:cs="宋体"/>
          <w:sz w:val="24"/>
          <w:szCs w:val="24"/>
        </w:rPr>
      </w:pPr>
      <w:r>
        <w:rPr>
          <w:rFonts w:hint="eastAsia" w:ascii="宋体" w:hAnsi="宋体" w:eastAsia="宋体" w:cs="宋体"/>
          <w:b/>
          <w:sz w:val="24"/>
          <w:szCs w:val="24"/>
        </w:rPr>
        <w:t>2.1.3.1.1.13.1.4.质控结果反馈</w:t>
      </w:r>
    </w:p>
    <w:p w14:paraId="3F9740DE">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社区直报用户可查看核查意见，对相应患者信息进行调整，并反馈至相应数据质控员，由数据质控员进行审核。</w:t>
      </w:r>
    </w:p>
    <w:p w14:paraId="2376EDFF">
      <w:pPr>
        <w:pStyle w:val="6"/>
        <w:keepNext w:val="0"/>
        <w:keepLines w:val="0"/>
        <w:pageBreakBefore w:val="0"/>
        <w:kinsoku/>
        <w:wordWrap/>
        <w:overflowPunct/>
        <w:topLinePunct w:val="0"/>
        <w:autoSpaceDE/>
        <w:autoSpaceDN/>
        <w:bidi w:val="0"/>
        <w:adjustRightInd/>
        <w:snapToGrid/>
        <w:spacing w:line="500" w:lineRule="exact"/>
        <w:ind w:left="1440"/>
        <w:jc w:val="both"/>
        <w:textAlignment w:val="auto"/>
        <w:rPr>
          <w:rFonts w:hint="eastAsia" w:ascii="宋体" w:hAnsi="宋体" w:eastAsia="宋体" w:cs="宋体"/>
          <w:sz w:val="24"/>
          <w:szCs w:val="24"/>
        </w:rPr>
      </w:pPr>
      <w:r>
        <w:rPr>
          <w:rFonts w:hint="eastAsia" w:ascii="宋体" w:hAnsi="宋体" w:eastAsia="宋体" w:cs="宋体"/>
          <w:b/>
          <w:sz w:val="24"/>
          <w:szCs w:val="24"/>
        </w:rPr>
        <w:t>2.1.3.1.1.13.1.5.质控信息统计</w:t>
      </w:r>
    </w:p>
    <w:p w14:paraId="46F34953">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系统生成规范性质控专题报表，对质控任务完成情况，患者信息规范性情况进行统计。</w:t>
      </w:r>
    </w:p>
    <w:p w14:paraId="52B2CB5F">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2.1.3.1.1.13.2.交叉质控管理</w:t>
      </w:r>
    </w:p>
    <w:p w14:paraId="68B1F337">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实现跨区域互查的业务模式。</w:t>
      </w:r>
    </w:p>
    <w:p w14:paraId="7EDA8C96">
      <w:pPr>
        <w:pStyle w:val="6"/>
        <w:keepNext w:val="0"/>
        <w:keepLines w:val="0"/>
        <w:pageBreakBefore w:val="0"/>
        <w:kinsoku/>
        <w:wordWrap/>
        <w:overflowPunct/>
        <w:topLinePunct w:val="0"/>
        <w:autoSpaceDE/>
        <w:autoSpaceDN/>
        <w:bidi w:val="0"/>
        <w:adjustRightInd/>
        <w:snapToGrid/>
        <w:spacing w:line="500" w:lineRule="exact"/>
        <w:ind w:left="1440"/>
        <w:jc w:val="both"/>
        <w:textAlignment w:val="auto"/>
        <w:rPr>
          <w:rFonts w:hint="eastAsia" w:ascii="宋体" w:hAnsi="宋体" w:eastAsia="宋体" w:cs="宋体"/>
          <w:sz w:val="24"/>
          <w:szCs w:val="24"/>
        </w:rPr>
      </w:pPr>
      <w:r>
        <w:rPr>
          <w:rFonts w:hint="eastAsia" w:ascii="宋体" w:hAnsi="宋体" w:eastAsia="宋体" w:cs="宋体"/>
          <w:b/>
          <w:sz w:val="24"/>
          <w:szCs w:val="24"/>
        </w:rPr>
        <w:t>2.1.3.1.1.13.2.1.质控小组管理</w:t>
      </w:r>
    </w:p>
    <w:p w14:paraId="58EF35F2">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建立和维护不同区级的质控小组信息，对质控小组成员信息进行管理。</w:t>
      </w:r>
    </w:p>
    <w:p w14:paraId="163F7723">
      <w:pPr>
        <w:pStyle w:val="6"/>
        <w:keepNext w:val="0"/>
        <w:keepLines w:val="0"/>
        <w:pageBreakBefore w:val="0"/>
        <w:kinsoku/>
        <w:wordWrap/>
        <w:overflowPunct/>
        <w:topLinePunct w:val="0"/>
        <w:autoSpaceDE/>
        <w:autoSpaceDN/>
        <w:bidi w:val="0"/>
        <w:adjustRightInd/>
        <w:snapToGrid/>
        <w:spacing w:line="500" w:lineRule="exact"/>
        <w:ind w:left="1440"/>
        <w:jc w:val="both"/>
        <w:textAlignment w:val="auto"/>
        <w:rPr>
          <w:rFonts w:hint="eastAsia" w:ascii="宋体" w:hAnsi="宋体" w:eastAsia="宋体" w:cs="宋体"/>
          <w:sz w:val="24"/>
          <w:szCs w:val="24"/>
        </w:rPr>
      </w:pPr>
      <w:r>
        <w:rPr>
          <w:rFonts w:hint="eastAsia" w:ascii="宋体" w:hAnsi="宋体" w:eastAsia="宋体" w:cs="宋体"/>
          <w:b/>
          <w:sz w:val="24"/>
          <w:szCs w:val="24"/>
        </w:rPr>
        <w:t>2.1.3.1.1.13.2.2.质控任务生成</w:t>
      </w:r>
    </w:p>
    <w:p w14:paraId="62244AC3">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市级建立抽取某区县患者并质控任务，分配给异地的质控小组进行核查。</w:t>
      </w:r>
    </w:p>
    <w:p w14:paraId="4210D41F">
      <w:pPr>
        <w:pStyle w:val="6"/>
        <w:keepNext w:val="0"/>
        <w:keepLines w:val="0"/>
        <w:pageBreakBefore w:val="0"/>
        <w:kinsoku/>
        <w:wordWrap/>
        <w:overflowPunct/>
        <w:topLinePunct w:val="0"/>
        <w:autoSpaceDE/>
        <w:autoSpaceDN/>
        <w:bidi w:val="0"/>
        <w:adjustRightInd/>
        <w:snapToGrid/>
        <w:spacing w:line="500" w:lineRule="exact"/>
        <w:ind w:left="1440"/>
        <w:jc w:val="both"/>
        <w:textAlignment w:val="auto"/>
        <w:rPr>
          <w:rFonts w:hint="eastAsia" w:ascii="宋体" w:hAnsi="宋体" w:eastAsia="宋体" w:cs="宋体"/>
          <w:sz w:val="24"/>
          <w:szCs w:val="24"/>
        </w:rPr>
      </w:pPr>
      <w:r>
        <w:rPr>
          <w:rFonts w:hint="eastAsia" w:ascii="宋体" w:hAnsi="宋体" w:eastAsia="宋体" w:cs="宋体"/>
          <w:b/>
          <w:sz w:val="24"/>
          <w:szCs w:val="24"/>
        </w:rPr>
        <w:t>2.1.3.1.1.13.2.3.质控信息核查</w:t>
      </w:r>
    </w:p>
    <w:p w14:paraId="0BC658DB">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质控小组成员针对市级分配的核查患者清单进行核查，核实患者档案及随访信息的真实性，填写核查结果信息。</w:t>
      </w:r>
    </w:p>
    <w:p w14:paraId="3BCC4A40">
      <w:pPr>
        <w:pStyle w:val="6"/>
        <w:keepNext w:val="0"/>
        <w:keepLines w:val="0"/>
        <w:pageBreakBefore w:val="0"/>
        <w:kinsoku/>
        <w:wordWrap/>
        <w:overflowPunct/>
        <w:topLinePunct w:val="0"/>
        <w:autoSpaceDE/>
        <w:autoSpaceDN/>
        <w:bidi w:val="0"/>
        <w:adjustRightInd/>
        <w:snapToGrid/>
        <w:spacing w:line="500" w:lineRule="exact"/>
        <w:ind w:left="1440"/>
        <w:jc w:val="both"/>
        <w:textAlignment w:val="auto"/>
        <w:rPr>
          <w:rFonts w:hint="eastAsia" w:ascii="宋体" w:hAnsi="宋体" w:eastAsia="宋体" w:cs="宋体"/>
          <w:sz w:val="24"/>
          <w:szCs w:val="24"/>
        </w:rPr>
      </w:pPr>
      <w:r>
        <w:rPr>
          <w:rFonts w:hint="eastAsia" w:ascii="宋体" w:hAnsi="宋体" w:eastAsia="宋体" w:cs="宋体"/>
          <w:b/>
          <w:sz w:val="24"/>
          <w:szCs w:val="24"/>
        </w:rPr>
        <w:t>2.1.3.1.1.13.2.4.核查信息汇总</w:t>
      </w:r>
    </w:p>
    <w:p w14:paraId="664D3D3D">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针对交叉质控结果进行汇总展示，展示分类统计信息。</w:t>
      </w:r>
    </w:p>
    <w:p w14:paraId="17DDAA06">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2.1.3.1.1.14.质控过程信息跟踪管理</w:t>
      </w:r>
    </w:p>
    <w:p w14:paraId="2DA97E52">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2.1.3.1.1.14.1.质控问题跟踪记录</w:t>
      </w:r>
    </w:p>
    <w:p w14:paraId="76F5A019">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建立数据质控员可以根据系统中各类质控专题库中筛选出来的患者信息以及日常管理活动中发现的业务问题，建立质控问题记录并发送给下级机构进行处理。</w:t>
      </w:r>
    </w:p>
    <w:p w14:paraId="3CB80299">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2.1.3.1.1.14.2.质控问题记录接收与反馈</w:t>
      </w:r>
    </w:p>
    <w:p w14:paraId="407B9AE3">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用户可以查看和接收质控管理用户下发的问题记录，并对问题进行处理，如果接受任务即进入处理过程，用户对问题进行整改后在系统中录入并提交整改反馈结果，可以添加图片、文件、业务记录链接等作为佐证；如果对任务有疑义，可以在系统中反馈发起方。</w:t>
      </w:r>
    </w:p>
    <w:p w14:paraId="25B4A537">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2.1.3.1.1.14.3.质控审核与跟踪</w:t>
      </w:r>
    </w:p>
    <w:p w14:paraId="0F408592">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质控人员可以跟进问题记录的处理情况和处理进度，对提交的问题处理结果进行审核。</w:t>
      </w:r>
    </w:p>
    <w:p w14:paraId="52025C6F">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2.1.3.1.1.14.4.质控日志与提醒</w:t>
      </w:r>
    </w:p>
    <w:p w14:paraId="4032389C">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由于整改过程可以持续多轮，系统对整个反馈及整改过程信息进行记录，并可以对重点环节进行标记，提示管理人员进行关注和跟踪。</w:t>
      </w:r>
    </w:p>
    <w:p w14:paraId="5FE8CB35">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2.1.3.1.1.14.5.质控过程统计报表</w:t>
      </w:r>
    </w:p>
    <w:p w14:paraId="7E42CEAB">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针对质控问题记录分类及反馈跟踪情况形成统计报表。</w:t>
      </w:r>
    </w:p>
    <w:p w14:paraId="61CB0086">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2.1.3.1.1.15.高级查询</w:t>
      </w:r>
    </w:p>
    <w:p w14:paraId="3B8EDF2D">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2.1.3.1.1.15.1.查询方案管理</w:t>
      </w:r>
    </w:p>
    <w:p w14:paraId="31291473">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为用户提供灵活的系统数据查询工具，用户可自行设置查询条件进行数据查询。查询表单主要包括患者档案信息、随访信息等，可自行进行组合查询。表单中所包括的字段均可设为查询条件，并可自行搭配。可自行设定查询逻辑，主要包括包含、不包含、等于、大于、小于。查询结果也可自行展示出需要的内容。</w:t>
      </w:r>
    </w:p>
    <w:p w14:paraId="26B6ECEE">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2.1.3.1.1.15.2.查询方案执行</w:t>
      </w:r>
    </w:p>
    <w:p w14:paraId="4B2E2067">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用户可以根据设置的查询方案进行执行，查看、导出查询结果记录。</w:t>
      </w:r>
    </w:p>
    <w:p w14:paraId="39C5B25E">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2.1.3.1.1.16.统计报表管理</w:t>
      </w:r>
    </w:p>
    <w:p w14:paraId="232E0B40">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2.1.3.1.1.16.1.定时报表</w:t>
      </w:r>
    </w:p>
    <w:p w14:paraId="4FDDF53B">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按照国家、福建省和福州市的管理要求，对数据进行汇总，形成各类业务统计报表，报表类型包括月报、年报。并提供查询和导出功能。</w:t>
      </w:r>
    </w:p>
    <w:p w14:paraId="72968ABF">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报表主要包括：</w:t>
      </w:r>
    </w:p>
    <w:p w14:paraId="7D78CBD4">
      <w:pPr>
        <w:pStyle w:val="6"/>
        <w:keepNext w:val="0"/>
        <w:keepLines w:val="0"/>
        <w:pageBreakBefore w:val="0"/>
        <w:kinsoku/>
        <w:wordWrap/>
        <w:overflowPunct/>
        <w:topLinePunct w:val="0"/>
        <w:autoSpaceDE/>
        <w:autoSpaceDN/>
        <w:bidi w:val="0"/>
        <w:adjustRightInd/>
        <w:snapToGrid/>
        <w:spacing w:line="500" w:lineRule="exact"/>
        <w:ind w:left="1440"/>
        <w:jc w:val="both"/>
        <w:textAlignment w:val="auto"/>
        <w:rPr>
          <w:rFonts w:hint="eastAsia" w:ascii="宋体" w:hAnsi="宋体" w:eastAsia="宋体" w:cs="宋体"/>
          <w:sz w:val="24"/>
          <w:szCs w:val="24"/>
        </w:rPr>
      </w:pPr>
      <w:r>
        <w:rPr>
          <w:rFonts w:hint="eastAsia" w:ascii="宋体" w:hAnsi="宋体" w:eastAsia="宋体" w:cs="宋体"/>
          <w:b/>
          <w:sz w:val="24"/>
          <w:szCs w:val="24"/>
        </w:rPr>
        <w:t>2.1.3.1.1.16.1.1.建档情况报表</w:t>
      </w:r>
    </w:p>
    <w:p w14:paraId="39B5C6B7">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提供建档情况报表的生成、查询、导出功能，报表地区维度要求到街镇、机构级。</w:t>
      </w:r>
    </w:p>
    <w:p w14:paraId="6ECACB83">
      <w:pPr>
        <w:pStyle w:val="6"/>
        <w:keepNext w:val="0"/>
        <w:keepLines w:val="0"/>
        <w:pageBreakBefore w:val="0"/>
        <w:kinsoku/>
        <w:wordWrap/>
        <w:overflowPunct/>
        <w:topLinePunct w:val="0"/>
        <w:autoSpaceDE/>
        <w:autoSpaceDN/>
        <w:bidi w:val="0"/>
        <w:adjustRightInd/>
        <w:snapToGrid/>
        <w:spacing w:line="500" w:lineRule="exact"/>
        <w:ind w:left="1440"/>
        <w:jc w:val="both"/>
        <w:textAlignment w:val="auto"/>
        <w:rPr>
          <w:rFonts w:hint="eastAsia" w:ascii="宋体" w:hAnsi="宋体" w:eastAsia="宋体" w:cs="宋体"/>
          <w:sz w:val="24"/>
          <w:szCs w:val="24"/>
        </w:rPr>
      </w:pPr>
      <w:r>
        <w:rPr>
          <w:rFonts w:hint="eastAsia" w:ascii="宋体" w:hAnsi="宋体" w:eastAsia="宋体" w:cs="宋体"/>
          <w:b/>
          <w:sz w:val="24"/>
          <w:szCs w:val="24"/>
        </w:rPr>
        <w:t>2.1.3.1.1.16.1.2.管理情况报表</w:t>
      </w:r>
    </w:p>
    <w:p w14:paraId="71802094">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提供管理情况报表的生成、查询、导出功能，报表地区维度要求到街镇、机构级。</w:t>
      </w:r>
    </w:p>
    <w:p w14:paraId="531A8551">
      <w:pPr>
        <w:pStyle w:val="6"/>
        <w:keepNext w:val="0"/>
        <w:keepLines w:val="0"/>
        <w:pageBreakBefore w:val="0"/>
        <w:kinsoku/>
        <w:wordWrap/>
        <w:overflowPunct/>
        <w:topLinePunct w:val="0"/>
        <w:autoSpaceDE/>
        <w:autoSpaceDN/>
        <w:bidi w:val="0"/>
        <w:adjustRightInd/>
        <w:snapToGrid/>
        <w:spacing w:line="500" w:lineRule="exact"/>
        <w:ind w:left="1440"/>
        <w:jc w:val="both"/>
        <w:textAlignment w:val="auto"/>
        <w:rPr>
          <w:rFonts w:hint="eastAsia" w:ascii="宋体" w:hAnsi="宋体" w:eastAsia="宋体" w:cs="宋体"/>
          <w:sz w:val="24"/>
          <w:szCs w:val="24"/>
        </w:rPr>
      </w:pPr>
      <w:r>
        <w:rPr>
          <w:rFonts w:hint="eastAsia" w:ascii="宋体" w:hAnsi="宋体" w:eastAsia="宋体" w:cs="宋体"/>
          <w:b/>
          <w:sz w:val="24"/>
          <w:szCs w:val="24"/>
        </w:rPr>
        <w:t>2.1.3.1.1.16.1.3.治疗情况报表</w:t>
      </w:r>
    </w:p>
    <w:p w14:paraId="57F13878">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提供治疗情况报表的生成、查询、导出功能，报表地区维度要求到街镇、机构级。</w:t>
      </w:r>
    </w:p>
    <w:p w14:paraId="0F5FD6ED">
      <w:pPr>
        <w:pStyle w:val="6"/>
        <w:keepNext w:val="0"/>
        <w:keepLines w:val="0"/>
        <w:pageBreakBefore w:val="0"/>
        <w:kinsoku/>
        <w:wordWrap/>
        <w:overflowPunct/>
        <w:topLinePunct w:val="0"/>
        <w:autoSpaceDE/>
        <w:autoSpaceDN/>
        <w:bidi w:val="0"/>
        <w:adjustRightInd/>
        <w:snapToGrid/>
        <w:spacing w:line="500" w:lineRule="exact"/>
        <w:ind w:left="1440"/>
        <w:jc w:val="both"/>
        <w:textAlignment w:val="auto"/>
        <w:rPr>
          <w:rFonts w:hint="eastAsia" w:ascii="宋体" w:hAnsi="宋体" w:eastAsia="宋体" w:cs="宋体"/>
          <w:sz w:val="24"/>
          <w:szCs w:val="24"/>
        </w:rPr>
      </w:pPr>
      <w:r>
        <w:rPr>
          <w:rFonts w:hint="eastAsia" w:ascii="宋体" w:hAnsi="宋体" w:eastAsia="宋体" w:cs="宋体"/>
          <w:b/>
          <w:sz w:val="24"/>
          <w:szCs w:val="24"/>
        </w:rPr>
        <w:t>2.1.3.1.1.16.1.4.一般信息月报</w:t>
      </w:r>
    </w:p>
    <w:p w14:paraId="64197752">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提供一般信息月报的生成、查询、导出功能，报表地区维度要求到街镇、机构级。</w:t>
      </w:r>
    </w:p>
    <w:p w14:paraId="60559980">
      <w:pPr>
        <w:pStyle w:val="6"/>
        <w:keepNext w:val="0"/>
        <w:keepLines w:val="0"/>
        <w:pageBreakBefore w:val="0"/>
        <w:kinsoku/>
        <w:wordWrap/>
        <w:overflowPunct/>
        <w:topLinePunct w:val="0"/>
        <w:autoSpaceDE/>
        <w:autoSpaceDN/>
        <w:bidi w:val="0"/>
        <w:adjustRightInd/>
        <w:snapToGrid/>
        <w:spacing w:line="500" w:lineRule="exact"/>
        <w:ind w:left="1440"/>
        <w:jc w:val="both"/>
        <w:textAlignment w:val="auto"/>
        <w:rPr>
          <w:rFonts w:hint="eastAsia" w:ascii="宋体" w:hAnsi="宋体" w:eastAsia="宋体" w:cs="宋体"/>
          <w:sz w:val="24"/>
          <w:szCs w:val="24"/>
        </w:rPr>
      </w:pPr>
      <w:r>
        <w:rPr>
          <w:rFonts w:hint="eastAsia" w:ascii="宋体" w:hAnsi="宋体" w:eastAsia="宋体" w:cs="宋体"/>
          <w:b/>
          <w:sz w:val="24"/>
          <w:szCs w:val="24"/>
        </w:rPr>
        <w:t>2.1.3.1.1.16.1.5.月基础管理详报</w:t>
      </w:r>
    </w:p>
    <w:p w14:paraId="4D0FA98D">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提供月基础管理详报的生成、查询、导出功能，报表地区维度要求到街镇、机构级。</w:t>
      </w:r>
    </w:p>
    <w:p w14:paraId="26B30147">
      <w:pPr>
        <w:pStyle w:val="6"/>
        <w:keepNext w:val="0"/>
        <w:keepLines w:val="0"/>
        <w:pageBreakBefore w:val="0"/>
        <w:kinsoku/>
        <w:wordWrap/>
        <w:overflowPunct/>
        <w:topLinePunct w:val="0"/>
        <w:autoSpaceDE/>
        <w:autoSpaceDN/>
        <w:bidi w:val="0"/>
        <w:adjustRightInd/>
        <w:snapToGrid/>
        <w:spacing w:line="500" w:lineRule="exact"/>
        <w:ind w:left="1440"/>
        <w:jc w:val="both"/>
        <w:textAlignment w:val="auto"/>
        <w:rPr>
          <w:rFonts w:hint="eastAsia" w:ascii="宋体" w:hAnsi="宋体" w:eastAsia="宋体" w:cs="宋体"/>
          <w:sz w:val="24"/>
          <w:szCs w:val="24"/>
        </w:rPr>
      </w:pPr>
      <w:r>
        <w:rPr>
          <w:rFonts w:hint="eastAsia" w:ascii="宋体" w:hAnsi="宋体" w:eastAsia="宋体" w:cs="宋体"/>
          <w:b/>
          <w:sz w:val="24"/>
          <w:szCs w:val="24"/>
        </w:rPr>
        <w:t>2.1.3.1.1.16.1.6.个案管理月报</w:t>
      </w:r>
    </w:p>
    <w:p w14:paraId="73BA2388">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提供个案管理月报的生成、查询、导出功能，报表地区维度要求到街镇、机构级。</w:t>
      </w:r>
    </w:p>
    <w:p w14:paraId="0BC4498E">
      <w:pPr>
        <w:pStyle w:val="6"/>
        <w:keepNext w:val="0"/>
        <w:keepLines w:val="0"/>
        <w:pageBreakBefore w:val="0"/>
        <w:kinsoku/>
        <w:wordWrap/>
        <w:overflowPunct/>
        <w:topLinePunct w:val="0"/>
        <w:autoSpaceDE/>
        <w:autoSpaceDN/>
        <w:bidi w:val="0"/>
        <w:adjustRightInd/>
        <w:snapToGrid/>
        <w:spacing w:line="500" w:lineRule="exact"/>
        <w:ind w:left="1440"/>
        <w:jc w:val="both"/>
        <w:textAlignment w:val="auto"/>
        <w:rPr>
          <w:rFonts w:hint="eastAsia" w:ascii="宋体" w:hAnsi="宋体" w:eastAsia="宋体" w:cs="宋体"/>
          <w:sz w:val="24"/>
          <w:szCs w:val="24"/>
        </w:rPr>
      </w:pPr>
      <w:r>
        <w:rPr>
          <w:rFonts w:hint="eastAsia" w:ascii="宋体" w:hAnsi="宋体" w:eastAsia="宋体" w:cs="宋体"/>
          <w:b/>
          <w:sz w:val="24"/>
          <w:szCs w:val="24"/>
        </w:rPr>
        <w:t>2.1.3.1.1.16.1.7.失访和死亡报表</w:t>
      </w:r>
    </w:p>
    <w:p w14:paraId="2667B340">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提供失访和死亡报表的生成、查询、导出功能，报表地区维度要求到街镇、机构级。</w:t>
      </w:r>
    </w:p>
    <w:p w14:paraId="1411F9B2">
      <w:pPr>
        <w:pStyle w:val="6"/>
        <w:keepNext w:val="0"/>
        <w:keepLines w:val="0"/>
        <w:pageBreakBefore w:val="0"/>
        <w:kinsoku/>
        <w:wordWrap/>
        <w:overflowPunct/>
        <w:topLinePunct w:val="0"/>
        <w:autoSpaceDE/>
        <w:autoSpaceDN/>
        <w:bidi w:val="0"/>
        <w:adjustRightInd/>
        <w:snapToGrid/>
        <w:spacing w:line="500" w:lineRule="exact"/>
        <w:ind w:left="1440"/>
        <w:jc w:val="both"/>
        <w:textAlignment w:val="auto"/>
        <w:rPr>
          <w:rFonts w:hint="eastAsia" w:ascii="宋体" w:hAnsi="宋体" w:eastAsia="宋体" w:cs="宋体"/>
          <w:sz w:val="24"/>
          <w:szCs w:val="24"/>
        </w:rPr>
      </w:pPr>
      <w:r>
        <w:rPr>
          <w:rFonts w:hint="eastAsia" w:ascii="宋体" w:hAnsi="宋体" w:eastAsia="宋体" w:cs="宋体"/>
          <w:b/>
          <w:sz w:val="24"/>
          <w:szCs w:val="24"/>
        </w:rPr>
        <w:t>2.1.3.1.1.16.1.8.建档患者未治期年报</w:t>
      </w:r>
    </w:p>
    <w:p w14:paraId="67993346">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提供建档患者未治期年报的生成、查询、导出功能，报表地区维度要求到街镇、机构级。</w:t>
      </w:r>
    </w:p>
    <w:p w14:paraId="720B33D1">
      <w:pPr>
        <w:pStyle w:val="6"/>
        <w:keepNext w:val="0"/>
        <w:keepLines w:val="0"/>
        <w:pageBreakBefore w:val="0"/>
        <w:kinsoku/>
        <w:wordWrap/>
        <w:overflowPunct/>
        <w:topLinePunct w:val="0"/>
        <w:autoSpaceDE/>
        <w:autoSpaceDN/>
        <w:bidi w:val="0"/>
        <w:adjustRightInd/>
        <w:snapToGrid/>
        <w:spacing w:line="500" w:lineRule="exact"/>
        <w:ind w:left="1440"/>
        <w:jc w:val="both"/>
        <w:textAlignment w:val="auto"/>
        <w:rPr>
          <w:rFonts w:hint="eastAsia" w:ascii="宋体" w:hAnsi="宋体" w:eastAsia="宋体" w:cs="宋体"/>
          <w:sz w:val="24"/>
          <w:szCs w:val="24"/>
        </w:rPr>
      </w:pPr>
      <w:r>
        <w:rPr>
          <w:rFonts w:hint="eastAsia" w:ascii="宋体" w:hAnsi="宋体" w:eastAsia="宋体" w:cs="宋体"/>
          <w:b/>
          <w:sz w:val="24"/>
          <w:szCs w:val="24"/>
        </w:rPr>
        <w:t>2.1.3.1.1.16.1.9.建档患者病程年报</w:t>
      </w:r>
    </w:p>
    <w:p w14:paraId="4100B4C5">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提供建档患者病程年报的生成、查询、导出功能，报表地区维度要求到街镇、机构级。</w:t>
      </w:r>
    </w:p>
    <w:p w14:paraId="2DED2C99">
      <w:pPr>
        <w:pStyle w:val="6"/>
        <w:keepNext w:val="0"/>
        <w:keepLines w:val="0"/>
        <w:pageBreakBefore w:val="0"/>
        <w:kinsoku/>
        <w:wordWrap/>
        <w:overflowPunct/>
        <w:topLinePunct w:val="0"/>
        <w:autoSpaceDE/>
        <w:autoSpaceDN/>
        <w:bidi w:val="0"/>
        <w:adjustRightInd/>
        <w:snapToGrid/>
        <w:spacing w:line="500" w:lineRule="exact"/>
        <w:ind w:left="1440"/>
        <w:jc w:val="both"/>
        <w:textAlignment w:val="auto"/>
        <w:rPr>
          <w:rFonts w:hint="eastAsia" w:ascii="宋体" w:hAnsi="宋体" w:eastAsia="宋体" w:cs="宋体"/>
          <w:sz w:val="24"/>
          <w:szCs w:val="24"/>
        </w:rPr>
      </w:pPr>
      <w:r>
        <w:rPr>
          <w:rFonts w:hint="eastAsia" w:ascii="宋体" w:hAnsi="宋体" w:eastAsia="宋体" w:cs="宋体"/>
          <w:b/>
          <w:sz w:val="24"/>
          <w:szCs w:val="24"/>
        </w:rPr>
        <w:t>2.1.3.1.1.16.1.10.应急处置报表</w:t>
      </w:r>
    </w:p>
    <w:p w14:paraId="44CDAA64">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提供应急处置报表的生成、查询、导出功能，报表地区维度要求到街镇、机构级。</w:t>
      </w:r>
    </w:p>
    <w:p w14:paraId="58C0D124">
      <w:pPr>
        <w:pStyle w:val="6"/>
        <w:keepNext w:val="0"/>
        <w:keepLines w:val="0"/>
        <w:pageBreakBefore w:val="0"/>
        <w:kinsoku/>
        <w:wordWrap/>
        <w:overflowPunct/>
        <w:topLinePunct w:val="0"/>
        <w:autoSpaceDE/>
        <w:autoSpaceDN/>
        <w:bidi w:val="0"/>
        <w:adjustRightInd/>
        <w:snapToGrid/>
        <w:spacing w:line="500" w:lineRule="exact"/>
        <w:ind w:left="1440"/>
        <w:jc w:val="both"/>
        <w:textAlignment w:val="auto"/>
        <w:rPr>
          <w:rFonts w:hint="eastAsia" w:ascii="宋体" w:hAnsi="宋体" w:eastAsia="宋体" w:cs="宋体"/>
          <w:sz w:val="24"/>
          <w:szCs w:val="24"/>
        </w:rPr>
      </w:pPr>
      <w:r>
        <w:rPr>
          <w:rFonts w:hint="eastAsia" w:ascii="宋体" w:hAnsi="宋体" w:eastAsia="宋体" w:cs="宋体"/>
          <w:b/>
          <w:sz w:val="24"/>
          <w:szCs w:val="24"/>
        </w:rPr>
        <w:t>2.1.3.1.1.16.1.11.信息质量月报</w:t>
      </w:r>
    </w:p>
    <w:p w14:paraId="2C8B913E">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提供信息质量月报的生成、查询、导出功能，报表地区维度要求到街镇、机构级。</w:t>
      </w:r>
    </w:p>
    <w:p w14:paraId="0032FAEA">
      <w:pPr>
        <w:pStyle w:val="6"/>
        <w:keepNext w:val="0"/>
        <w:keepLines w:val="0"/>
        <w:pageBreakBefore w:val="0"/>
        <w:kinsoku/>
        <w:wordWrap/>
        <w:overflowPunct/>
        <w:topLinePunct w:val="0"/>
        <w:autoSpaceDE/>
        <w:autoSpaceDN/>
        <w:bidi w:val="0"/>
        <w:adjustRightInd/>
        <w:snapToGrid/>
        <w:spacing w:line="500" w:lineRule="exact"/>
        <w:ind w:left="1440"/>
        <w:jc w:val="both"/>
        <w:textAlignment w:val="auto"/>
        <w:rPr>
          <w:rFonts w:hint="eastAsia" w:ascii="宋体" w:hAnsi="宋体" w:eastAsia="宋体" w:cs="宋体"/>
          <w:sz w:val="24"/>
          <w:szCs w:val="24"/>
        </w:rPr>
      </w:pPr>
      <w:r>
        <w:rPr>
          <w:rFonts w:hint="eastAsia" w:ascii="宋体" w:hAnsi="宋体" w:eastAsia="宋体" w:cs="宋体"/>
          <w:b/>
          <w:sz w:val="24"/>
          <w:szCs w:val="24"/>
        </w:rPr>
        <w:t>2.1.3.1.1.16.1.12.信息流转报表</w:t>
      </w:r>
    </w:p>
    <w:p w14:paraId="70A3459B">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提供信息流转报表的生成、查询、导出功能，报表地区维度要求到街镇、机构级。</w:t>
      </w:r>
    </w:p>
    <w:p w14:paraId="27594878">
      <w:pPr>
        <w:pStyle w:val="6"/>
        <w:keepNext w:val="0"/>
        <w:keepLines w:val="0"/>
        <w:pageBreakBefore w:val="0"/>
        <w:kinsoku/>
        <w:wordWrap/>
        <w:overflowPunct/>
        <w:topLinePunct w:val="0"/>
        <w:autoSpaceDE/>
        <w:autoSpaceDN/>
        <w:bidi w:val="0"/>
        <w:adjustRightInd/>
        <w:snapToGrid/>
        <w:spacing w:line="500" w:lineRule="exact"/>
        <w:ind w:left="1440"/>
        <w:jc w:val="both"/>
        <w:textAlignment w:val="auto"/>
        <w:rPr>
          <w:rFonts w:hint="eastAsia" w:ascii="宋体" w:hAnsi="宋体" w:eastAsia="宋体" w:cs="宋体"/>
          <w:sz w:val="24"/>
          <w:szCs w:val="24"/>
        </w:rPr>
      </w:pPr>
      <w:r>
        <w:rPr>
          <w:rFonts w:hint="eastAsia" w:ascii="宋体" w:hAnsi="宋体" w:eastAsia="宋体" w:cs="宋体"/>
          <w:b/>
          <w:sz w:val="24"/>
          <w:szCs w:val="24"/>
        </w:rPr>
        <w:t>2.1.3.1.1.16.1.13.死亡患者转非死亡月报</w:t>
      </w:r>
    </w:p>
    <w:p w14:paraId="6EC9FDED">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提供死亡患者转非死亡月报的生成、查询、导出功能，报表地区维度要求到街镇、机构级。</w:t>
      </w:r>
    </w:p>
    <w:p w14:paraId="6653EE9E">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2.1.3.1.1.16.2.实时报表</w:t>
      </w:r>
    </w:p>
    <w:p w14:paraId="282B7A14">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除了定时业务报表之外，系统提供实时报表，基于流式实时计算即时生成各类核心统计指标数据。用户可以实时查询当前的各类主要业务指标（规范管理率等）数据；实时报表库包括：</w:t>
      </w:r>
    </w:p>
    <w:p w14:paraId="5A2C520F">
      <w:pPr>
        <w:pStyle w:val="6"/>
        <w:keepNext w:val="0"/>
        <w:keepLines w:val="0"/>
        <w:pageBreakBefore w:val="0"/>
        <w:kinsoku/>
        <w:wordWrap/>
        <w:overflowPunct/>
        <w:topLinePunct w:val="0"/>
        <w:autoSpaceDE/>
        <w:autoSpaceDN/>
        <w:bidi w:val="0"/>
        <w:adjustRightInd/>
        <w:snapToGrid/>
        <w:spacing w:line="500" w:lineRule="exact"/>
        <w:ind w:left="1440"/>
        <w:jc w:val="both"/>
        <w:textAlignment w:val="auto"/>
        <w:rPr>
          <w:rFonts w:hint="eastAsia" w:ascii="宋体" w:hAnsi="宋体" w:eastAsia="宋体" w:cs="宋体"/>
          <w:sz w:val="24"/>
          <w:szCs w:val="24"/>
        </w:rPr>
      </w:pPr>
      <w:r>
        <w:rPr>
          <w:rFonts w:hint="eastAsia" w:ascii="宋体" w:hAnsi="宋体" w:eastAsia="宋体" w:cs="宋体"/>
          <w:b/>
          <w:sz w:val="24"/>
          <w:szCs w:val="24"/>
        </w:rPr>
        <w:t>2.1.3.1.1.16.2.1.建档实时报表</w:t>
      </w:r>
    </w:p>
    <w:p w14:paraId="14C4C160">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基于流式实时计算提供建档情况指标的实时生成。本级用户、社区直报用户查询实时报表，展示截止当前时间的报表的统计情况，并且支持报表信息导出功能。</w:t>
      </w:r>
    </w:p>
    <w:p w14:paraId="7332EF80">
      <w:pPr>
        <w:pStyle w:val="6"/>
        <w:keepNext w:val="0"/>
        <w:keepLines w:val="0"/>
        <w:pageBreakBefore w:val="0"/>
        <w:kinsoku/>
        <w:wordWrap/>
        <w:overflowPunct/>
        <w:topLinePunct w:val="0"/>
        <w:autoSpaceDE/>
        <w:autoSpaceDN/>
        <w:bidi w:val="0"/>
        <w:adjustRightInd/>
        <w:snapToGrid/>
        <w:spacing w:line="500" w:lineRule="exact"/>
        <w:ind w:left="1440"/>
        <w:jc w:val="both"/>
        <w:textAlignment w:val="auto"/>
        <w:rPr>
          <w:rFonts w:hint="eastAsia" w:ascii="宋体" w:hAnsi="宋体" w:eastAsia="宋体" w:cs="宋体"/>
          <w:sz w:val="24"/>
          <w:szCs w:val="24"/>
        </w:rPr>
      </w:pPr>
      <w:r>
        <w:rPr>
          <w:rFonts w:hint="eastAsia" w:ascii="宋体" w:hAnsi="宋体" w:eastAsia="宋体" w:cs="宋体"/>
          <w:b/>
          <w:sz w:val="24"/>
          <w:szCs w:val="24"/>
        </w:rPr>
        <w:t>2.1.3.1.1.16.2.2.管理实时报表</w:t>
      </w:r>
    </w:p>
    <w:p w14:paraId="2D249850">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基于流式实时计算提供管理情况指标的实时生成。本级用户、社区直报用户查询实时报表，展示截止当前时间的报表的统计情况，并且支持报表信息导出功能。</w:t>
      </w:r>
    </w:p>
    <w:p w14:paraId="540DBE16">
      <w:pPr>
        <w:pStyle w:val="6"/>
        <w:keepNext w:val="0"/>
        <w:keepLines w:val="0"/>
        <w:pageBreakBefore w:val="0"/>
        <w:kinsoku/>
        <w:wordWrap/>
        <w:overflowPunct/>
        <w:topLinePunct w:val="0"/>
        <w:autoSpaceDE/>
        <w:autoSpaceDN/>
        <w:bidi w:val="0"/>
        <w:adjustRightInd/>
        <w:snapToGrid/>
        <w:spacing w:line="500" w:lineRule="exact"/>
        <w:ind w:left="1440"/>
        <w:jc w:val="both"/>
        <w:textAlignment w:val="auto"/>
        <w:rPr>
          <w:rFonts w:hint="eastAsia" w:ascii="宋体" w:hAnsi="宋体" w:eastAsia="宋体" w:cs="宋体"/>
          <w:sz w:val="24"/>
          <w:szCs w:val="24"/>
        </w:rPr>
      </w:pPr>
      <w:r>
        <w:rPr>
          <w:rFonts w:hint="eastAsia" w:ascii="宋体" w:hAnsi="宋体" w:eastAsia="宋体" w:cs="宋体"/>
          <w:b/>
          <w:sz w:val="24"/>
          <w:szCs w:val="24"/>
        </w:rPr>
        <w:t>2.1.3.1.1.16.2.3.治疗实时报表</w:t>
      </w:r>
    </w:p>
    <w:p w14:paraId="21ACFB6E">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基于流式实时计算提供治疗情况指标的实时生成。本级用户、社区直报用户查询实时报表，展示截止当前时间的报表的统计情况，并且支持报表信息导出功能。</w:t>
      </w:r>
    </w:p>
    <w:p w14:paraId="684D12BC">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2.1.3.1.1.17.手工年报管理</w:t>
      </w:r>
    </w:p>
    <w:p w14:paraId="2F620B78">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2.1.3.1.1.17.1.精神卫生工作统计</w:t>
      </w:r>
    </w:p>
    <w:p w14:paraId="2E19A164">
      <w:pPr>
        <w:pStyle w:val="6"/>
        <w:keepNext w:val="0"/>
        <w:keepLines w:val="0"/>
        <w:pageBreakBefore w:val="0"/>
        <w:kinsoku/>
        <w:wordWrap/>
        <w:overflowPunct/>
        <w:topLinePunct w:val="0"/>
        <w:autoSpaceDE/>
        <w:autoSpaceDN/>
        <w:bidi w:val="0"/>
        <w:adjustRightInd/>
        <w:snapToGrid/>
        <w:spacing w:line="500" w:lineRule="exact"/>
        <w:ind w:left="1440"/>
        <w:jc w:val="both"/>
        <w:textAlignment w:val="auto"/>
        <w:rPr>
          <w:rFonts w:hint="eastAsia" w:ascii="宋体" w:hAnsi="宋体" w:eastAsia="宋体" w:cs="宋体"/>
          <w:sz w:val="24"/>
          <w:szCs w:val="24"/>
        </w:rPr>
      </w:pPr>
      <w:r>
        <w:rPr>
          <w:rFonts w:hint="eastAsia" w:ascii="宋体" w:hAnsi="宋体" w:eastAsia="宋体" w:cs="宋体"/>
          <w:b/>
          <w:sz w:val="24"/>
          <w:szCs w:val="24"/>
        </w:rPr>
        <w:t>2.1.3.1.1.17.1.1.信息填报管理</w:t>
      </w:r>
    </w:p>
    <w:p w14:paraId="33605992">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区县业务管理员填写精神卫生年度工作情况信息，并逐级提交上级审核，可以对填报的信息进行修改、删除等操作。</w:t>
      </w:r>
    </w:p>
    <w:p w14:paraId="5502EC72">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上级业务管理员可以对下级填报的记录进行审核，并汇总形成本级精神卫生年度工作情况信息。汇总后的精神卫生年度工作情况信息与省系统进行数据同步。</w:t>
      </w:r>
    </w:p>
    <w:p w14:paraId="20D2EDC0">
      <w:pPr>
        <w:pStyle w:val="6"/>
        <w:keepNext w:val="0"/>
        <w:keepLines w:val="0"/>
        <w:pageBreakBefore w:val="0"/>
        <w:kinsoku/>
        <w:wordWrap/>
        <w:overflowPunct/>
        <w:topLinePunct w:val="0"/>
        <w:autoSpaceDE/>
        <w:autoSpaceDN/>
        <w:bidi w:val="0"/>
        <w:adjustRightInd/>
        <w:snapToGrid/>
        <w:spacing w:line="500" w:lineRule="exact"/>
        <w:ind w:left="1440"/>
        <w:jc w:val="both"/>
        <w:textAlignment w:val="auto"/>
        <w:rPr>
          <w:rFonts w:hint="eastAsia" w:ascii="宋体" w:hAnsi="宋体" w:eastAsia="宋体" w:cs="宋体"/>
          <w:sz w:val="24"/>
          <w:szCs w:val="24"/>
        </w:rPr>
      </w:pPr>
      <w:r>
        <w:rPr>
          <w:rFonts w:hint="eastAsia" w:ascii="宋体" w:hAnsi="宋体" w:eastAsia="宋体" w:cs="宋体"/>
          <w:b/>
          <w:sz w:val="24"/>
          <w:szCs w:val="24"/>
        </w:rPr>
        <w:t>2.1.3.1.1.17.1.2.信息汇总统计</w:t>
      </w:r>
    </w:p>
    <w:p w14:paraId="47091766">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根据采集的信息及从系统中提取的关联业务记录自动生成分级统计报表，各级业务管理员用户可以查看、导出本级精神卫生年度工作情况统计报表。</w:t>
      </w:r>
    </w:p>
    <w:p w14:paraId="6F648F61">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2.1.3.1.1.17.2.社会心理服务体系建设情况</w:t>
      </w:r>
    </w:p>
    <w:p w14:paraId="55251702">
      <w:pPr>
        <w:pStyle w:val="6"/>
        <w:keepNext w:val="0"/>
        <w:keepLines w:val="0"/>
        <w:pageBreakBefore w:val="0"/>
        <w:kinsoku/>
        <w:wordWrap/>
        <w:overflowPunct/>
        <w:topLinePunct w:val="0"/>
        <w:autoSpaceDE/>
        <w:autoSpaceDN/>
        <w:bidi w:val="0"/>
        <w:adjustRightInd/>
        <w:snapToGrid/>
        <w:spacing w:line="500" w:lineRule="exact"/>
        <w:ind w:left="1440"/>
        <w:jc w:val="both"/>
        <w:textAlignment w:val="auto"/>
        <w:rPr>
          <w:rFonts w:hint="eastAsia" w:ascii="宋体" w:hAnsi="宋体" w:eastAsia="宋体" w:cs="宋体"/>
          <w:sz w:val="24"/>
          <w:szCs w:val="24"/>
        </w:rPr>
      </w:pPr>
      <w:r>
        <w:rPr>
          <w:rFonts w:hint="eastAsia" w:ascii="宋体" w:hAnsi="宋体" w:eastAsia="宋体" w:cs="宋体"/>
          <w:b/>
          <w:sz w:val="24"/>
          <w:szCs w:val="24"/>
        </w:rPr>
        <w:t>2.1.3.1.1.17.2.1.信息填报管理</w:t>
      </w:r>
    </w:p>
    <w:p w14:paraId="24D086A0">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区县业务管理员填写社会心理服务体系建设情况信息，并逐级提交上级审核，可以对填报的信息进行修改、删除等操作。</w:t>
      </w:r>
    </w:p>
    <w:p w14:paraId="5F9649B6">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上级业务管理员可以对下级填报的记录进行审核，并汇总形成本级社会心理服务体系建设情况信息。汇总后的社会心理服务体系建设情况信息与省系统进行数据同步。</w:t>
      </w:r>
    </w:p>
    <w:p w14:paraId="26962CBB">
      <w:pPr>
        <w:pStyle w:val="6"/>
        <w:keepNext w:val="0"/>
        <w:keepLines w:val="0"/>
        <w:pageBreakBefore w:val="0"/>
        <w:kinsoku/>
        <w:wordWrap/>
        <w:overflowPunct/>
        <w:topLinePunct w:val="0"/>
        <w:autoSpaceDE/>
        <w:autoSpaceDN/>
        <w:bidi w:val="0"/>
        <w:adjustRightInd/>
        <w:snapToGrid/>
        <w:spacing w:line="500" w:lineRule="exact"/>
        <w:ind w:left="1440"/>
        <w:jc w:val="both"/>
        <w:textAlignment w:val="auto"/>
        <w:rPr>
          <w:rFonts w:hint="eastAsia" w:ascii="宋体" w:hAnsi="宋体" w:eastAsia="宋体" w:cs="宋体"/>
          <w:sz w:val="24"/>
          <w:szCs w:val="24"/>
        </w:rPr>
      </w:pPr>
      <w:r>
        <w:rPr>
          <w:rFonts w:hint="eastAsia" w:ascii="宋体" w:hAnsi="宋体" w:eastAsia="宋体" w:cs="宋体"/>
          <w:b/>
          <w:sz w:val="24"/>
          <w:szCs w:val="24"/>
        </w:rPr>
        <w:t>2.1.3.1.1.17.2.2.信息汇总统计</w:t>
      </w:r>
    </w:p>
    <w:p w14:paraId="01ADAA24">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根据采集的信息及从系统中提取的关联业务记录自动生成分级统计报表，各级业务管理员用户可以查看、导出本级社会心理服务体系建设情况统计报表。</w:t>
      </w:r>
    </w:p>
    <w:p w14:paraId="5D6B8766">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2.1.3.1.1.17.3.转岗培训情况</w:t>
      </w:r>
    </w:p>
    <w:p w14:paraId="5F9D524D">
      <w:pPr>
        <w:pStyle w:val="6"/>
        <w:keepNext w:val="0"/>
        <w:keepLines w:val="0"/>
        <w:pageBreakBefore w:val="0"/>
        <w:kinsoku/>
        <w:wordWrap/>
        <w:overflowPunct/>
        <w:topLinePunct w:val="0"/>
        <w:autoSpaceDE/>
        <w:autoSpaceDN/>
        <w:bidi w:val="0"/>
        <w:adjustRightInd/>
        <w:snapToGrid/>
        <w:spacing w:line="500" w:lineRule="exact"/>
        <w:ind w:left="1440"/>
        <w:jc w:val="both"/>
        <w:textAlignment w:val="auto"/>
        <w:rPr>
          <w:rFonts w:hint="eastAsia" w:ascii="宋体" w:hAnsi="宋体" w:eastAsia="宋体" w:cs="宋体"/>
          <w:sz w:val="24"/>
          <w:szCs w:val="24"/>
        </w:rPr>
      </w:pPr>
      <w:r>
        <w:rPr>
          <w:rFonts w:hint="eastAsia" w:ascii="宋体" w:hAnsi="宋体" w:eastAsia="宋体" w:cs="宋体"/>
          <w:b/>
          <w:sz w:val="24"/>
          <w:szCs w:val="24"/>
        </w:rPr>
        <w:t>2.1.3.1.1.17.3.1.信息填报管理</w:t>
      </w:r>
    </w:p>
    <w:p w14:paraId="263CD9C8">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区县业务管理员填写转岗培训情况信息，并逐级提交上级审核，可以对填报的信息进行修改、删除等操作。</w:t>
      </w:r>
    </w:p>
    <w:p w14:paraId="2DCDC72D">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上级业务管理员可以对下级填报的记录进行审核，并汇总形成本级转岗培训情况信息。汇总后的转岗培训情况信息与省系统进行数据同步。"</w:t>
      </w:r>
    </w:p>
    <w:p w14:paraId="548B353F">
      <w:pPr>
        <w:pStyle w:val="6"/>
        <w:keepNext w:val="0"/>
        <w:keepLines w:val="0"/>
        <w:pageBreakBefore w:val="0"/>
        <w:kinsoku/>
        <w:wordWrap/>
        <w:overflowPunct/>
        <w:topLinePunct w:val="0"/>
        <w:autoSpaceDE/>
        <w:autoSpaceDN/>
        <w:bidi w:val="0"/>
        <w:adjustRightInd/>
        <w:snapToGrid/>
        <w:spacing w:line="500" w:lineRule="exact"/>
        <w:ind w:left="1440"/>
        <w:jc w:val="both"/>
        <w:textAlignment w:val="auto"/>
        <w:rPr>
          <w:rFonts w:hint="eastAsia" w:ascii="宋体" w:hAnsi="宋体" w:eastAsia="宋体" w:cs="宋体"/>
          <w:sz w:val="24"/>
          <w:szCs w:val="24"/>
        </w:rPr>
      </w:pPr>
      <w:r>
        <w:rPr>
          <w:rFonts w:hint="eastAsia" w:ascii="宋体" w:hAnsi="宋体" w:eastAsia="宋体" w:cs="宋体"/>
          <w:b/>
          <w:sz w:val="24"/>
          <w:szCs w:val="24"/>
        </w:rPr>
        <w:t>2.1.3.1.1.17.3.2.信息汇总统计</w:t>
      </w:r>
    </w:p>
    <w:p w14:paraId="17FB420C">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根据采集的信息及从系统中提取的关联业务记录自动生成分级统计报表，各级业务管理员用户可以查看、导出本级转岗培训情况统计报表。</w:t>
      </w:r>
    </w:p>
    <w:p w14:paraId="359A480F">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2.1.3.1.1.17.4.心理热线培训情况</w:t>
      </w:r>
    </w:p>
    <w:p w14:paraId="1FA5B27F">
      <w:pPr>
        <w:pStyle w:val="6"/>
        <w:keepNext w:val="0"/>
        <w:keepLines w:val="0"/>
        <w:pageBreakBefore w:val="0"/>
        <w:kinsoku/>
        <w:wordWrap/>
        <w:overflowPunct/>
        <w:topLinePunct w:val="0"/>
        <w:autoSpaceDE/>
        <w:autoSpaceDN/>
        <w:bidi w:val="0"/>
        <w:adjustRightInd/>
        <w:snapToGrid/>
        <w:spacing w:line="500" w:lineRule="exact"/>
        <w:ind w:left="1440"/>
        <w:jc w:val="both"/>
        <w:textAlignment w:val="auto"/>
        <w:rPr>
          <w:rFonts w:hint="eastAsia" w:ascii="宋体" w:hAnsi="宋体" w:eastAsia="宋体" w:cs="宋体"/>
          <w:sz w:val="24"/>
          <w:szCs w:val="24"/>
        </w:rPr>
      </w:pPr>
      <w:r>
        <w:rPr>
          <w:rFonts w:hint="eastAsia" w:ascii="宋体" w:hAnsi="宋体" w:eastAsia="宋体" w:cs="宋体"/>
          <w:b/>
          <w:sz w:val="24"/>
          <w:szCs w:val="24"/>
        </w:rPr>
        <w:t>2.1.3.1.1.17.4.1.信息填报管理</w:t>
      </w:r>
    </w:p>
    <w:p w14:paraId="7C19A947">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区县业务管理员填写心理热线培训情况信息，并逐级提交上级审核，可以对填报的信息进行修改、删除等操作。</w:t>
      </w:r>
    </w:p>
    <w:p w14:paraId="09F563D2">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上级业务管理员可以对下级填报的记录进行审核，并汇总形成本级心理热线培训情况信息。汇总后的心理热线培训情况信息与省系统进行数据同步。</w:t>
      </w:r>
    </w:p>
    <w:p w14:paraId="0640093C">
      <w:pPr>
        <w:pStyle w:val="6"/>
        <w:keepNext w:val="0"/>
        <w:keepLines w:val="0"/>
        <w:pageBreakBefore w:val="0"/>
        <w:kinsoku/>
        <w:wordWrap/>
        <w:overflowPunct/>
        <w:topLinePunct w:val="0"/>
        <w:autoSpaceDE/>
        <w:autoSpaceDN/>
        <w:bidi w:val="0"/>
        <w:adjustRightInd/>
        <w:snapToGrid/>
        <w:spacing w:line="500" w:lineRule="exact"/>
        <w:ind w:left="1440"/>
        <w:jc w:val="both"/>
        <w:textAlignment w:val="auto"/>
        <w:rPr>
          <w:rFonts w:hint="eastAsia" w:ascii="宋体" w:hAnsi="宋体" w:eastAsia="宋体" w:cs="宋体"/>
          <w:sz w:val="24"/>
          <w:szCs w:val="24"/>
        </w:rPr>
      </w:pPr>
      <w:r>
        <w:rPr>
          <w:rFonts w:hint="eastAsia" w:ascii="宋体" w:hAnsi="宋体" w:eastAsia="宋体" w:cs="宋体"/>
          <w:b/>
          <w:sz w:val="24"/>
          <w:szCs w:val="24"/>
        </w:rPr>
        <w:t>2.1.3.1.1.17.4.2.信息汇总统计</w:t>
      </w:r>
    </w:p>
    <w:p w14:paraId="71087ED7">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根据采集的信息及从系统中提取的关联业务记录自动生成分级统计报表，各级业务管理员用户可以查看、导出本级心理热线培训情况统计报表。</w:t>
      </w:r>
    </w:p>
    <w:p w14:paraId="742277F3">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2.1.3.1.1.17.5.常见精神障碍防治项目任务完成情况</w:t>
      </w:r>
    </w:p>
    <w:p w14:paraId="736D497F">
      <w:pPr>
        <w:pStyle w:val="6"/>
        <w:keepNext w:val="0"/>
        <w:keepLines w:val="0"/>
        <w:pageBreakBefore w:val="0"/>
        <w:kinsoku/>
        <w:wordWrap/>
        <w:overflowPunct/>
        <w:topLinePunct w:val="0"/>
        <w:autoSpaceDE/>
        <w:autoSpaceDN/>
        <w:bidi w:val="0"/>
        <w:adjustRightInd/>
        <w:snapToGrid/>
        <w:spacing w:line="500" w:lineRule="exact"/>
        <w:ind w:left="1440"/>
        <w:jc w:val="both"/>
        <w:textAlignment w:val="auto"/>
        <w:rPr>
          <w:rFonts w:hint="eastAsia" w:ascii="宋体" w:hAnsi="宋体" w:eastAsia="宋体" w:cs="宋体"/>
          <w:sz w:val="24"/>
          <w:szCs w:val="24"/>
        </w:rPr>
      </w:pPr>
      <w:r>
        <w:rPr>
          <w:rFonts w:hint="eastAsia" w:ascii="宋体" w:hAnsi="宋体" w:eastAsia="宋体" w:cs="宋体"/>
          <w:b/>
          <w:sz w:val="24"/>
          <w:szCs w:val="24"/>
        </w:rPr>
        <w:t>2.1.3.1.1.17.5.1.信息填报管理</w:t>
      </w:r>
    </w:p>
    <w:p w14:paraId="348C5527">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区县业务管理员填写常见精神障碍防治项目任务完成情况信息，并逐级提交上级审核，可以对填报的信息进行修改、删除等操作。</w:t>
      </w:r>
    </w:p>
    <w:p w14:paraId="5A7F5E69">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上级业务管理员可以对下级填报的记录进行审核，并汇总形成本级常见精神障碍防治项目任务完成情况信息。汇总后的常见精神障碍防治项目任务完成情况信息与省系统进行数据同步。</w:t>
      </w:r>
    </w:p>
    <w:p w14:paraId="4C2F18F4">
      <w:pPr>
        <w:pStyle w:val="6"/>
        <w:keepNext w:val="0"/>
        <w:keepLines w:val="0"/>
        <w:pageBreakBefore w:val="0"/>
        <w:kinsoku/>
        <w:wordWrap/>
        <w:overflowPunct/>
        <w:topLinePunct w:val="0"/>
        <w:autoSpaceDE/>
        <w:autoSpaceDN/>
        <w:bidi w:val="0"/>
        <w:adjustRightInd/>
        <w:snapToGrid/>
        <w:spacing w:line="500" w:lineRule="exact"/>
        <w:ind w:left="1440"/>
        <w:jc w:val="both"/>
        <w:textAlignment w:val="auto"/>
        <w:rPr>
          <w:rFonts w:hint="eastAsia" w:ascii="宋体" w:hAnsi="宋体" w:eastAsia="宋体" w:cs="宋体"/>
          <w:sz w:val="24"/>
          <w:szCs w:val="24"/>
        </w:rPr>
      </w:pPr>
      <w:r>
        <w:rPr>
          <w:rFonts w:hint="eastAsia" w:ascii="宋体" w:hAnsi="宋体" w:eastAsia="宋体" w:cs="宋体"/>
          <w:b/>
          <w:sz w:val="24"/>
          <w:szCs w:val="24"/>
        </w:rPr>
        <w:t>2.1.3.1.1.17.5.2.信息汇总统计</w:t>
      </w:r>
    </w:p>
    <w:p w14:paraId="5F259B88">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根据采集的信息及从系统中提取的关联业务记录自动生成分级统计报表，各级业务管理员用户可以查看、导出本级常见精神障碍防治项目任务完成情况统计报表。</w:t>
      </w:r>
    </w:p>
    <w:p w14:paraId="11EFE344">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2.1.3.1.1.17.6.儿童青少年心理健康促进项目任务完成情况</w:t>
      </w:r>
    </w:p>
    <w:p w14:paraId="7F804C42">
      <w:pPr>
        <w:pStyle w:val="6"/>
        <w:keepNext w:val="0"/>
        <w:keepLines w:val="0"/>
        <w:pageBreakBefore w:val="0"/>
        <w:kinsoku/>
        <w:wordWrap/>
        <w:overflowPunct/>
        <w:topLinePunct w:val="0"/>
        <w:autoSpaceDE/>
        <w:autoSpaceDN/>
        <w:bidi w:val="0"/>
        <w:adjustRightInd/>
        <w:snapToGrid/>
        <w:spacing w:line="500" w:lineRule="exact"/>
        <w:ind w:left="1440"/>
        <w:jc w:val="both"/>
        <w:textAlignment w:val="auto"/>
        <w:rPr>
          <w:rFonts w:hint="eastAsia" w:ascii="宋体" w:hAnsi="宋体" w:eastAsia="宋体" w:cs="宋体"/>
          <w:sz w:val="24"/>
          <w:szCs w:val="24"/>
        </w:rPr>
      </w:pPr>
      <w:r>
        <w:rPr>
          <w:rFonts w:hint="eastAsia" w:ascii="宋体" w:hAnsi="宋体" w:eastAsia="宋体" w:cs="宋体"/>
          <w:b/>
          <w:sz w:val="24"/>
          <w:szCs w:val="24"/>
        </w:rPr>
        <w:t>2.1.3.1.1.17.6.1.信息填报管理</w:t>
      </w:r>
    </w:p>
    <w:p w14:paraId="3C291A72">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区县业务管理员填写儿童青少年心理健康促进项目任务完成情况信息，并逐级提交上级审核，可以对填报的信息进行修改、删除等操作。</w:t>
      </w:r>
    </w:p>
    <w:p w14:paraId="63676436">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上级业务管理员可以对下级填报的记录进行审核，并汇总形成本级儿童青少年心理健康促进项目任务完成情况信息。汇总后的儿童青少年心理健康促进项目任务完成情况信息与省系统进行数据同步。</w:t>
      </w:r>
    </w:p>
    <w:p w14:paraId="6B60A4F1">
      <w:pPr>
        <w:pStyle w:val="6"/>
        <w:keepNext w:val="0"/>
        <w:keepLines w:val="0"/>
        <w:pageBreakBefore w:val="0"/>
        <w:kinsoku/>
        <w:wordWrap/>
        <w:overflowPunct/>
        <w:topLinePunct w:val="0"/>
        <w:autoSpaceDE/>
        <w:autoSpaceDN/>
        <w:bidi w:val="0"/>
        <w:adjustRightInd/>
        <w:snapToGrid/>
        <w:spacing w:line="500" w:lineRule="exact"/>
        <w:ind w:left="1440"/>
        <w:jc w:val="both"/>
        <w:textAlignment w:val="auto"/>
        <w:rPr>
          <w:rFonts w:hint="eastAsia" w:ascii="宋体" w:hAnsi="宋体" w:eastAsia="宋体" w:cs="宋体"/>
          <w:sz w:val="24"/>
          <w:szCs w:val="24"/>
        </w:rPr>
      </w:pPr>
      <w:r>
        <w:rPr>
          <w:rFonts w:hint="eastAsia" w:ascii="宋体" w:hAnsi="宋体" w:eastAsia="宋体" w:cs="宋体"/>
          <w:b/>
          <w:sz w:val="24"/>
          <w:szCs w:val="24"/>
        </w:rPr>
        <w:t>2.1.3.1.1.17.6.2.信息汇总统计</w:t>
      </w:r>
    </w:p>
    <w:p w14:paraId="29A1ADF0">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根据采集的信息及从系统中提取的关联业务记录自动生成分级统计报表，各级业务管理员用户可以查看、导出本级儿童青少年心理健康促进项目任务完成情况统计报表。</w:t>
      </w:r>
    </w:p>
    <w:p w14:paraId="60535D9C">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2.1.3.1.1.18.工作简报管理</w:t>
      </w:r>
    </w:p>
    <w:p w14:paraId="49777576">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2.1.3.1.1.18.1.工作简报生成</w:t>
      </w:r>
    </w:p>
    <w:p w14:paraId="62DFEC27">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在报表指标基础上，根据设定的工作简报模板，自动汇总简报中各项工作管理指标分析、排名，评分等信息。根据工作需要智能生成包含文字，图表，表格等形式的word格式简报文档。简报类型包括工作简报、质控简报等。</w:t>
      </w:r>
    </w:p>
    <w:p w14:paraId="1D4830EF">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2.1.3.1.1.18.2.工作简报发布</w:t>
      </w:r>
    </w:p>
    <w:p w14:paraId="4D5FD815">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市级管理员可以下载生成的原始工作简报，经过编辑完善后上传到系统中并进行发布；区县级用户可以查看并下载已发布的各期业务简报。</w:t>
      </w:r>
    </w:p>
    <w:p w14:paraId="0841CF92">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2.1.3.1.1.19.消息提醒</w:t>
      </w:r>
    </w:p>
    <w:p w14:paraId="41355A41">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系统提供业务待办提醒功能，提醒用户需要处理的业务操作，包括：</w:t>
      </w:r>
    </w:p>
    <w:p w14:paraId="19D57093">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2.1.3.1.1.19.1.随访提醒</w:t>
      </w:r>
    </w:p>
    <w:p w14:paraId="46FF2F7A">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提醒需要进行随访的患者信息列表，包括预约随访提醒、预警随访提醒、逾期随访提醒。</w:t>
      </w:r>
    </w:p>
    <w:p w14:paraId="73DCC991">
      <w:pPr>
        <w:pStyle w:val="6"/>
        <w:keepNext w:val="0"/>
        <w:keepLines w:val="0"/>
        <w:pageBreakBefore w:val="0"/>
        <w:kinsoku/>
        <w:wordWrap/>
        <w:overflowPunct/>
        <w:topLinePunct w:val="0"/>
        <w:autoSpaceDE/>
        <w:autoSpaceDN/>
        <w:bidi w:val="0"/>
        <w:adjustRightInd/>
        <w:snapToGrid/>
        <w:spacing w:line="500" w:lineRule="exact"/>
        <w:ind w:left="1440"/>
        <w:jc w:val="both"/>
        <w:textAlignment w:val="auto"/>
        <w:rPr>
          <w:rFonts w:hint="eastAsia" w:ascii="宋体" w:hAnsi="宋体" w:eastAsia="宋体" w:cs="宋体"/>
          <w:sz w:val="24"/>
          <w:szCs w:val="24"/>
        </w:rPr>
      </w:pPr>
      <w:r>
        <w:rPr>
          <w:rFonts w:hint="eastAsia" w:ascii="宋体" w:hAnsi="宋体" w:eastAsia="宋体" w:cs="宋体"/>
          <w:b/>
          <w:sz w:val="24"/>
          <w:szCs w:val="24"/>
        </w:rPr>
        <w:t>2.1.3.1.1.19.1.1.预约随访提醒</w:t>
      </w:r>
    </w:p>
    <w:p w14:paraId="17BD135B">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对于离下次随访日期14天之内的患者，系统自动生成随访提醒信息，根据随访到期时间对基层用户进行提醒；用户可以查看提醒信息，查看患者档案、直接进行随访录入等操作。</w:t>
      </w:r>
    </w:p>
    <w:p w14:paraId="7B4AC9D5">
      <w:pPr>
        <w:pStyle w:val="6"/>
        <w:keepNext w:val="0"/>
        <w:keepLines w:val="0"/>
        <w:pageBreakBefore w:val="0"/>
        <w:kinsoku/>
        <w:wordWrap/>
        <w:overflowPunct/>
        <w:topLinePunct w:val="0"/>
        <w:autoSpaceDE/>
        <w:autoSpaceDN/>
        <w:bidi w:val="0"/>
        <w:adjustRightInd/>
        <w:snapToGrid/>
        <w:spacing w:line="500" w:lineRule="exact"/>
        <w:ind w:left="1440"/>
        <w:jc w:val="both"/>
        <w:textAlignment w:val="auto"/>
        <w:rPr>
          <w:rFonts w:hint="eastAsia" w:ascii="宋体" w:hAnsi="宋体" w:eastAsia="宋体" w:cs="宋体"/>
          <w:sz w:val="24"/>
          <w:szCs w:val="24"/>
        </w:rPr>
      </w:pPr>
      <w:r>
        <w:rPr>
          <w:rFonts w:hint="eastAsia" w:ascii="宋体" w:hAnsi="宋体" w:eastAsia="宋体" w:cs="宋体"/>
          <w:b/>
          <w:sz w:val="24"/>
          <w:szCs w:val="24"/>
        </w:rPr>
        <w:t>2.1.3.1.1.19.1.2.预警随访提醒</w:t>
      </w:r>
    </w:p>
    <w:p w14:paraId="079E999A">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对于离下次随访日期7天之内的患者，系统自动生成随访提醒信息，根据随访到期时间对基层用户进行提醒；用户可以查看提醒信息、查看患者档案、直接进行随访录入等操作。</w:t>
      </w:r>
    </w:p>
    <w:p w14:paraId="4F5C5B31">
      <w:pPr>
        <w:pStyle w:val="6"/>
        <w:keepNext w:val="0"/>
        <w:keepLines w:val="0"/>
        <w:pageBreakBefore w:val="0"/>
        <w:kinsoku/>
        <w:wordWrap/>
        <w:overflowPunct/>
        <w:topLinePunct w:val="0"/>
        <w:autoSpaceDE/>
        <w:autoSpaceDN/>
        <w:bidi w:val="0"/>
        <w:adjustRightInd/>
        <w:snapToGrid/>
        <w:spacing w:line="500" w:lineRule="exact"/>
        <w:ind w:left="1440"/>
        <w:jc w:val="both"/>
        <w:textAlignment w:val="auto"/>
        <w:rPr>
          <w:rFonts w:hint="eastAsia" w:ascii="宋体" w:hAnsi="宋体" w:eastAsia="宋体" w:cs="宋体"/>
          <w:sz w:val="24"/>
          <w:szCs w:val="24"/>
        </w:rPr>
      </w:pPr>
      <w:r>
        <w:rPr>
          <w:rFonts w:hint="eastAsia" w:ascii="宋体" w:hAnsi="宋体" w:eastAsia="宋体" w:cs="宋体"/>
          <w:b/>
          <w:sz w:val="24"/>
          <w:szCs w:val="24"/>
        </w:rPr>
        <w:t>2.1.3.1.1.19.1.3.逾期随访提醒</w:t>
      </w:r>
    </w:p>
    <w:p w14:paraId="0842CBB1">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对于超出下次随访日期患者，系统自动生成随访提醒信息，根据随访到期时间对基层用户进行提醒；用户可以查看提醒信息、查看患者档案、直接进行随访录入等操作。</w:t>
      </w:r>
    </w:p>
    <w:p w14:paraId="545A71E9">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2.1.3.1.1.19.2.流转提醒</w:t>
      </w:r>
    </w:p>
    <w:p w14:paraId="77EBDB38">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提醒用户需要处理的流转记录信息列表以及流转处理结果信息，包括报告卡迁入提醒、社区迁入提醒、社区迁出提醒、重复患者迁移提醒、出院单迁入提醒、报告卡撤回提醒。</w:t>
      </w:r>
    </w:p>
    <w:p w14:paraId="6FD9CC20">
      <w:pPr>
        <w:pStyle w:val="6"/>
        <w:keepNext w:val="0"/>
        <w:keepLines w:val="0"/>
        <w:pageBreakBefore w:val="0"/>
        <w:kinsoku/>
        <w:wordWrap/>
        <w:overflowPunct/>
        <w:topLinePunct w:val="0"/>
        <w:autoSpaceDE/>
        <w:autoSpaceDN/>
        <w:bidi w:val="0"/>
        <w:adjustRightInd/>
        <w:snapToGrid/>
        <w:spacing w:line="500" w:lineRule="exact"/>
        <w:ind w:left="1440"/>
        <w:jc w:val="both"/>
        <w:textAlignment w:val="auto"/>
        <w:rPr>
          <w:rFonts w:hint="eastAsia" w:ascii="宋体" w:hAnsi="宋体" w:eastAsia="宋体" w:cs="宋体"/>
          <w:sz w:val="24"/>
          <w:szCs w:val="24"/>
        </w:rPr>
      </w:pPr>
      <w:r>
        <w:rPr>
          <w:rFonts w:hint="eastAsia" w:ascii="宋体" w:hAnsi="宋体" w:eastAsia="宋体" w:cs="宋体"/>
          <w:b/>
          <w:sz w:val="24"/>
          <w:szCs w:val="24"/>
        </w:rPr>
        <w:t>2.1.3.1.1.19.2.1.报告卡迁入提醒</w:t>
      </w:r>
    </w:p>
    <w:p w14:paraId="5C4F8C70">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系统自动生成流转提醒信息，对医院迁入流转进行提醒，提醒社区及时接收并处理迁入的报告卡记录；社区用户可以查看提醒信息，并进行接收处理。</w:t>
      </w:r>
    </w:p>
    <w:p w14:paraId="0E47FD67">
      <w:pPr>
        <w:pStyle w:val="6"/>
        <w:keepNext w:val="0"/>
        <w:keepLines w:val="0"/>
        <w:pageBreakBefore w:val="0"/>
        <w:kinsoku/>
        <w:wordWrap/>
        <w:overflowPunct/>
        <w:topLinePunct w:val="0"/>
        <w:autoSpaceDE/>
        <w:autoSpaceDN/>
        <w:bidi w:val="0"/>
        <w:adjustRightInd/>
        <w:snapToGrid/>
        <w:spacing w:line="500" w:lineRule="exact"/>
        <w:ind w:left="1440"/>
        <w:jc w:val="both"/>
        <w:textAlignment w:val="auto"/>
        <w:rPr>
          <w:rFonts w:hint="eastAsia" w:ascii="宋体" w:hAnsi="宋体" w:eastAsia="宋体" w:cs="宋体"/>
          <w:sz w:val="24"/>
          <w:szCs w:val="24"/>
        </w:rPr>
      </w:pPr>
      <w:r>
        <w:rPr>
          <w:rFonts w:hint="eastAsia" w:ascii="宋体" w:hAnsi="宋体" w:eastAsia="宋体" w:cs="宋体"/>
          <w:b/>
          <w:sz w:val="24"/>
          <w:szCs w:val="24"/>
        </w:rPr>
        <w:t>2.1.3.1.1.19.2.2.社区迁入提醒</w:t>
      </w:r>
    </w:p>
    <w:p w14:paraId="663DC627">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系统自动生成流转提醒信息，对社区迁入流转进行提醒，提醒社区及时接收并处理迁入的患者档案记录；社区用户可以查看提醒信息，并进行接收处理。</w:t>
      </w:r>
    </w:p>
    <w:p w14:paraId="2AF91273">
      <w:pPr>
        <w:pStyle w:val="6"/>
        <w:keepNext w:val="0"/>
        <w:keepLines w:val="0"/>
        <w:pageBreakBefore w:val="0"/>
        <w:kinsoku/>
        <w:wordWrap/>
        <w:overflowPunct/>
        <w:topLinePunct w:val="0"/>
        <w:autoSpaceDE/>
        <w:autoSpaceDN/>
        <w:bidi w:val="0"/>
        <w:adjustRightInd/>
        <w:snapToGrid/>
        <w:spacing w:line="500" w:lineRule="exact"/>
        <w:ind w:left="1440"/>
        <w:jc w:val="both"/>
        <w:textAlignment w:val="auto"/>
        <w:rPr>
          <w:rFonts w:hint="eastAsia" w:ascii="宋体" w:hAnsi="宋体" w:eastAsia="宋体" w:cs="宋体"/>
          <w:sz w:val="24"/>
          <w:szCs w:val="24"/>
        </w:rPr>
      </w:pPr>
      <w:r>
        <w:rPr>
          <w:rFonts w:hint="eastAsia" w:ascii="宋体" w:hAnsi="宋体" w:eastAsia="宋体" w:cs="宋体"/>
          <w:b/>
          <w:sz w:val="24"/>
          <w:szCs w:val="24"/>
        </w:rPr>
        <w:t>2.1.3.1.1.19.2.3.社区迁出提醒</w:t>
      </w:r>
    </w:p>
    <w:p w14:paraId="67A89CC1">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系统自动生成流转提醒信息，对本机构迁出患者流转状态变更情况进行提醒，提醒社区查看患者记录流转及接收方反馈情况，及时进行业务处理。</w:t>
      </w:r>
    </w:p>
    <w:p w14:paraId="6F49DB3A">
      <w:pPr>
        <w:pStyle w:val="6"/>
        <w:keepNext w:val="0"/>
        <w:keepLines w:val="0"/>
        <w:pageBreakBefore w:val="0"/>
        <w:kinsoku/>
        <w:wordWrap/>
        <w:overflowPunct/>
        <w:topLinePunct w:val="0"/>
        <w:autoSpaceDE/>
        <w:autoSpaceDN/>
        <w:bidi w:val="0"/>
        <w:adjustRightInd/>
        <w:snapToGrid/>
        <w:spacing w:line="500" w:lineRule="exact"/>
        <w:ind w:left="1440"/>
        <w:jc w:val="both"/>
        <w:textAlignment w:val="auto"/>
        <w:rPr>
          <w:rFonts w:hint="eastAsia" w:ascii="宋体" w:hAnsi="宋体" w:eastAsia="宋体" w:cs="宋体"/>
          <w:sz w:val="24"/>
          <w:szCs w:val="24"/>
        </w:rPr>
      </w:pPr>
      <w:r>
        <w:rPr>
          <w:rFonts w:hint="eastAsia" w:ascii="宋体" w:hAnsi="宋体" w:eastAsia="宋体" w:cs="宋体"/>
          <w:b/>
          <w:sz w:val="24"/>
          <w:szCs w:val="24"/>
        </w:rPr>
        <w:t>2.1.3.1.1.19.2.4.重复患者迁移提醒</w:t>
      </w:r>
    </w:p>
    <w:p w14:paraId="61F94179">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系统自动生成流转提醒信息，对重复患者迁移申请进行提醒，提醒社区及时接收并处理外机构重复患者迁移申请记录；社区用户可以查看提醒信息，并进行审核处理。</w:t>
      </w:r>
    </w:p>
    <w:p w14:paraId="63D6D357">
      <w:pPr>
        <w:pStyle w:val="6"/>
        <w:keepNext w:val="0"/>
        <w:keepLines w:val="0"/>
        <w:pageBreakBefore w:val="0"/>
        <w:kinsoku/>
        <w:wordWrap/>
        <w:overflowPunct/>
        <w:topLinePunct w:val="0"/>
        <w:autoSpaceDE/>
        <w:autoSpaceDN/>
        <w:bidi w:val="0"/>
        <w:adjustRightInd/>
        <w:snapToGrid/>
        <w:spacing w:line="500" w:lineRule="exact"/>
        <w:ind w:left="1440"/>
        <w:jc w:val="both"/>
        <w:textAlignment w:val="auto"/>
        <w:rPr>
          <w:rFonts w:hint="eastAsia" w:ascii="宋体" w:hAnsi="宋体" w:eastAsia="宋体" w:cs="宋体"/>
          <w:sz w:val="24"/>
          <w:szCs w:val="24"/>
        </w:rPr>
      </w:pPr>
      <w:r>
        <w:rPr>
          <w:rFonts w:hint="eastAsia" w:ascii="宋体" w:hAnsi="宋体" w:eastAsia="宋体" w:cs="宋体"/>
          <w:b/>
          <w:sz w:val="24"/>
          <w:szCs w:val="24"/>
        </w:rPr>
        <w:t>2.1.3.1.1.19.2.5.出院单迁入提醒</w:t>
      </w:r>
    </w:p>
    <w:p w14:paraId="2A09C139">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系统自动生成流转提醒信息，对出院单流转进行提醒，提醒社区及时查看出院单记录。</w:t>
      </w:r>
    </w:p>
    <w:p w14:paraId="10C9C8DE">
      <w:pPr>
        <w:pStyle w:val="6"/>
        <w:keepNext w:val="0"/>
        <w:keepLines w:val="0"/>
        <w:pageBreakBefore w:val="0"/>
        <w:kinsoku/>
        <w:wordWrap/>
        <w:overflowPunct/>
        <w:topLinePunct w:val="0"/>
        <w:autoSpaceDE/>
        <w:autoSpaceDN/>
        <w:bidi w:val="0"/>
        <w:adjustRightInd/>
        <w:snapToGrid/>
        <w:spacing w:line="500" w:lineRule="exact"/>
        <w:ind w:left="1440"/>
        <w:jc w:val="both"/>
        <w:textAlignment w:val="auto"/>
        <w:rPr>
          <w:rFonts w:hint="eastAsia" w:ascii="宋体" w:hAnsi="宋体" w:eastAsia="宋体" w:cs="宋体"/>
          <w:sz w:val="24"/>
          <w:szCs w:val="24"/>
        </w:rPr>
      </w:pPr>
      <w:r>
        <w:rPr>
          <w:rFonts w:hint="eastAsia" w:ascii="宋体" w:hAnsi="宋体" w:eastAsia="宋体" w:cs="宋体"/>
          <w:b/>
          <w:sz w:val="24"/>
          <w:szCs w:val="24"/>
        </w:rPr>
        <w:t>2.1.3.1.1.19.2.6.报告卡撤回提醒</w:t>
      </w:r>
    </w:p>
    <w:p w14:paraId="757D40BA">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系统自动生成流转提醒信息，对报告卡社区反馈信息进行提醒，提醒医院查看社区反馈的报告卡核查信息；医院用户可以查看社区反馈情况，并根据反馈进行报告卡撤回操作。</w:t>
      </w:r>
    </w:p>
    <w:p w14:paraId="2B4D963D">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2.1.3.1.1.19.3.删除审核提醒</w:t>
      </w:r>
    </w:p>
    <w:p w14:paraId="357B9349">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提醒社区直报用户未通过审核的删除记录信息列表。包括报告卡删除提醒、出院单删除提醒、患者档案删除审核提醒。</w:t>
      </w:r>
    </w:p>
    <w:p w14:paraId="1716365C">
      <w:pPr>
        <w:pStyle w:val="6"/>
        <w:keepNext w:val="0"/>
        <w:keepLines w:val="0"/>
        <w:pageBreakBefore w:val="0"/>
        <w:kinsoku/>
        <w:wordWrap/>
        <w:overflowPunct/>
        <w:topLinePunct w:val="0"/>
        <w:autoSpaceDE/>
        <w:autoSpaceDN/>
        <w:bidi w:val="0"/>
        <w:adjustRightInd/>
        <w:snapToGrid/>
        <w:spacing w:line="500" w:lineRule="exact"/>
        <w:ind w:left="1440"/>
        <w:jc w:val="both"/>
        <w:textAlignment w:val="auto"/>
        <w:rPr>
          <w:rFonts w:hint="eastAsia" w:ascii="宋体" w:hAnsi="宋体" w:eastAsia="宋体" w:cs="宋体"/>
          <w:sz w:val="24"/>
          <w:szCs w:val="24"/>
        </w:rPr>
      </w:pPr>
      <w:r>
        <w:rPr>
          <w:rFonts w:hint="eastAsia" w:ascii="宋体" w:hAnsi="宋体" w:eastAsia="宋体" w:cs="宋体"/>
          <w:b/>
          <w:sz w:val="24"/>
          <w:szCs w:val="24"/>
        </w:rPr>
        <w:t>2.1.3.1.1.19.3.1.报告卡删除审核提醒</w:t>
      </w:r>
    </w:p>
    <w:p w14:paraId="46A224CA">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系统自动生成流转提醒信息，对报告卡删除审核进行提醒，提醒质控用户及时处理；质控员可以查看提醒信息，并进行审核操作。</w:t>
      </w:r>
    </w:p>
    <w:p w14:paraId="2A4C489C">
      <w:pPr>
        <w:pStyle w:val="6"/>
        <w:keepNext w:val="0"/>
        <w:keepLines w:val="0"/>
        <w:pageBreakBefore w:val="0"/>
        <w:kinsoku/>
        <w:wordWrap/>
        <w:overflowPunct/>
        <w:topLinePunct w:val="0"/>
        <w:autoSpaceDE/>
        <w:autoSpaceDN/>
        <w:bidi w:val="0"/>
        <w:adjustRightInd/>
        <w:snapToGrid/>
        <w:spacing w:line="500" w:lineRule="exact"/>
        <w:ind w:left="1440"/>
        <w:jc w:val="both"/>
        <w:textAlignment w:val="auto"/>
        <w:rPr>
          <w:rFonts w:hint="eastAsia" w:ascii="宋体" w:hAnsi="宋体" w:eastAsia="宋体" w:cs="宋体"/>
          <w:sz w:val="24"/>
          <w:szCs w:val="24"/>
        </w:rPr>
      </w:pPr>
      <w:r>
        <w:rPr>
          <w:rFonts w:hint="eastAsia" w:ascii="宋体" w:hAnsi="宋体" w:eastAsia="宋体" w:cs="宋体"/>
          <w:b/>
          <w:sz w:val="24"/>
          <w:szCs w:val="24"/>
        </w:rPr>
        <w:t>2.1.3.1.1.19.3.2.出院单删除审核提醒</w:t>
      </w:r>
    </w:p>
    <w:p w14:paraId="562F8165">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系统自动生成流转提醒信息，对出院单删除审核进行提醒，提醒质控用户及时处理；质控员可以查看提醒信息，并进行审核操作。</w:t>
      </w:r>
    </w:p>
    <w:p w14:paraId="0C36B54E">
      <w:pPr>
        <w:pStyle w:val="6"/>
        <w:keepNext w:val="0"/>
        <w:keepLines w:val="0"/>
        <w:pageBreakBefore w:val="0"/>
        <w:kinsoku/>
        <w:wordWrap/>
        <w:overflowPunct/>
        <w:topLinePunct w:val="0"/>
        <w:autoSpaceDE/>
        <w:autoSpaceDN/>
        <w:bidi w:val="0"/>
        <w:adjustRightInd/>
        <w:snapToGrid/>
        <w:spacing w:line="500" w:lineRule="exact"/>
        <w:ind w:left="1440"/>
        <w:jc w:val="both"/>
        <w:textAlignment w:val="auto"/>
        <w:rPr>
          <w:rFonts w:hint="eastAsia" w:ascii="宋体" w:hAnsi="宋体" w:eastAsia="宋体" w:cs="宋体"/>
          <w:sz w:val="24"/>
          <w:szCs w:val="24"/>
        </w:rPr>
      </w:pPr>
      <w:r>
        <w:rPr>
          <w:rFonts w:hint="eastAsia" w:ascii="宋体" w:hAnsi="宋体" w:eastAsia="宋体" w:cs="宋体"/>
          <w:b/>
          <w:sz w:val="24"/>
          <w:szCs w:val="24"/>
        </w:rPr>
        <w:t>2.1.3.1.1.19.3.3.患者档案删除审核提醒</w:t>
      </w:r>
    </w:p>
    <w:p w14:paraId="2AA0378B">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系统自动生成流转提醒信息，对患者档案删除审核进行提醒，提醒质控用户及时处理；质控员可以查看提醒信息，并进行审核操作。</w:t>
      </w:r>
    </w:p>
    <w:p w14:paraId="431041BB">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2.1.3.1.1.19.4.长效针剂提醒</w:t>
      </w:r>
    </w:p>
    <w:p w14:paraId="36894E0C">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提醒基层用户本机构需要进行长效针剂注射的患者信息列表。</w:t>
      </w:r>
    </w:p>
    <w:p w14:paraId="433425D3">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2.1.3.1.1.19.5.质控核查信息提醒</w:t>
      </w:r>
    </w:p>
    <w:p w14:paraId="06C5D1B3">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提醒基层用户本机构需要进行处理的质控核查信息。可针对质控记录填写反馈信息。</w:t>
      </w:r>
    </w:p>
    <w:p w14:paraId="030E479F">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2.1.3.1.1.20.业务看板</w:t>
      </w:r>
    </w:p>
    <w:p w14:paraId="35B050A8">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展示用户工作的总体情况，用户登录系统后可以第一时间了解自身的当前工作状况，以及要开展的工作任务。针对业务看板中的各项关键业务指标信息，用户可以点击进行钻取，查看该指标对应的业务明细记录。</w:t>
      </w:r>
    </w:p>
    <w:p w14:paraId="567DF458">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2.1.3.1.1.20.1.患者建档管理情况信息展示</w:t>
      </w:r>
    </w:p>
    <w:p w14:paraId="21C5B8BA">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展示本地区/本机构患者建档、管理统计指标，包括各类分库患者数量统计等。</w:t>
      </w:r>
    </w:p>
    <w:p w14:paraId="5329C408">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2.1.3.1.1.20.2.实时管理指标情况信息展示</w:t>
      </w:r>
    </w:p>
    <w:p w14:paraId="1CB153A6">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展示本地区/本机构报告患病率、规范管理率、规律服药率、面访率、应急处置完成率等重点指标数据。用户可以钻取查看各类指标对应的具体患者清单。</w:t>
      </w:r>
    </w:p>
    <w:p w14:paraId="3BD144CA">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2.1.3.1.1.20.3.随访情况信息展示</w:t>
      </w:r>
    </w:p>
    <w:p w14:paraId="40B8C42B">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展示本地区/本机构应随访患者人数、最近一次随访分类情况统计。用户可以钻取查看各类指标对应的具体患者清单。</w:t>
      </w:r>
    </w:p>
    <w:p w14:paraId="4AE90CD1">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2.1.3.1.1.20.4.体检情况信息展示</w:t>
      </w:r>
    </w:p>
    <w:p w14:paraId="6B4DC149">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展示本地区/本机构应体检患者人数和体检率信息。用户可以查看各类指标对应的具体患者清单。</w:t>
      </w:r>
    </w:p>
    <w:p w14:paraId="7AA932CA">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2.1.3.1.1.20.5.风险情况信息展示</w:t>
      </w:r>
    </w:p>
    <w:p w14:paraId="0D4B165E">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展示本地区/本机构患者随访分类统计数据。用户可以查看各类指标对应的具体患者清单。</w:t>
      </w:r>
    </w:p>
    <w:p w14:paraId="7F635EF2">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2.1.3.1.1.20.6.质控情况信息展示</w:t>
      </w:r>
    </w:p>
    <w:p w14:paraId="28382425">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展示本地区/本机构质控管理重点指标信息。用户可以查看各类指标对应的具体患者清单。</w:t>
      </w:r>
    </w:p>
    <w:p w14:paraId="42E5143A">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2.1.3.1.1.20.7.工作统计信息展示</w:t>
      </w:r>
    </w:p>
    <w:p w14:paraId="53AF2DA0">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展示本地区/本机构患者管理主要工作量及系统使用的统计信息。</w:t>
      </w:r>
    </w:p>
    <w:p w14:paraId="4364AE37">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2.1.3.1.1.20.8.流转情况信息展示</w:t>
      </w:r>
    </w:p>
    <w:p w14:paraId="3FB94F04">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展示本地区/本机构报告卡流转、档案流转、重复患者迁移等业务的记录分类统计信息。用户可以查看各类指标对应的具体业务记录清单。</w:t>
      </w:r>
    </w:p>
    <w:p w14:paraId="28D2882B">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2.1.3.1.1.21.应用支撑功能</w:t>
      </w:r>
    </w:p>
    <w:p w14:paraId="56F55EBC">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2.1.3.1.1.21.1.个人信息管理</w:t>
      </w:r>
    </w:p>
    <w:p w14:paraId="4A769036">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系统用户可以对个人信息进行维护，在系统中完善个人基本信息。各级用户登录系统后，可在系统中进行个人信息修改；可对登录密码、个人基本信息、手机号码进行修改。按照业务规则，每年系统用户强制进行个人信息更新。</w:t>
      </w:r>
    </w:p>
    <w:p w14:paraId="010A424C">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2.1.3.1.1.21.2.通讯录</w:t>
      </w:r>
    </w:p>
    <w:p w14:paraId="2E6B4FFB">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在实际工作中，除了线上业务沟通，很多场景（例如患者流转等）需要进行密切的线下电话业务交流，因此系统提供通讯录查询功能，包括市内通讯录和全国通信录。</w:t>
      </w:r>
    </w:p>
    <w:p w14:paraId="56664AC9">
      <w:pPr>
        <w:pStyle w:val="6"/>
        <w:keepNext w:val="0"/>
        <w:keepLines w:val="0"/>
        <w:pageBreakBefore w:val="0"/>
        <w:kinsoku/>
        <w:wordWrap/>
        <w:overflowPunct/>
        <w:topLinePunct w:val="0"/>
        <w:autoSpaceDE/>
        <w:autoSpaceDN/>
        <w:bidi w:val="0"/>
        <w:adjustRightInd/>
        <w:snapToGrid/>
        <w:spacing w:line="500" w:lineRule="exact"/>
        <w:ind w:left="1440"/>
        <w:jc w:val="both"/>
        <w:textAlignment w:val="auto"/>
        <w:rPr>
          <w:rFonts w:hint="eastAsia" w:ascii="宋体" w:hAnsi="宋体" w:eastAsia="宋体" w:cs="宋体"/>
          <w:sz w:val="24"/>
          <w:szCs w:val="24"/>
        </w:rPr>
      </w:pPr>
      <w:r>
        <w:rPr>
          <w:rFonts w:hint="eastAsia" w:ascii="宋体" w:hAnsi="宋体" w:eastAsia="宋体" w:cs="宋体"/>
          <w:b/>
          <w:sz w:val="24"/>
          <w:szCs w:val="24"/>
        </w:rPr>
        <w:t>2.1.3.1.1.21.2.1.市内通信录查询</w:t>
      </w:r>
    </w:p>
    <w:p w14:paraId="170BFEDE">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用户可通过查看通讯录，查看本市精神卫生机构下直报用户联系信息。</w:t>
      </w:r>
    </w:p>
    <w:p w14:paraId="5D72A06E">
      <w:pPr>
        <w:pStyle w:val="6"/>
        <w:keepNext w:val="0"/>
        <w:keepLines w:val="0"/>
        <w:pageBreakBefore w:val="0"/>
        <w:kinsoku/>
        <w:wordWrap/>
        <w:overflowPunct/>
        <w:topLinePunct w:val="0"/>
        <w:autoSpaceDE/>
        <w:autoSpaceDN/>
        <w:bidi w:val="0"/>
        <w:adjustRightInd/>
        <w:snapToGrid/>
        <w:spacing w:line="500" w:lineRule="exact"/>
        <w:ind w:left="1440"/>
        <w:jc w:val="both"/>
        <w:textAlignment w:val="auto"/>
        <w:rPr>
          <w:rFonts w:hint="eastAsia" w:ascii="宋体" w:hAnsi="宋体" w:eastAsia="宋体" w:cs="宋体"/>
          <w:sz w:val="24"/>
          <w:szCs w:val="24"/>
        </w:rPr>
      </w:pPr>
      <w:r>
        <w:rPr>
          <w:rFonts w:hint="eastAsia" w:ascii="宋体" w:hAnsi="宋体" w:eastAsia="宋体" w:cs="宋体"/>
          <w:b/>
          <w:sz w:val="24"/>
          <w:szCs w:val="24"/>
        </w:rPr>
        <w:t>2.1.3.1.1.21.2.2.省外通信录查询</w:t>
      </w:r>
    </w:p>
    <w:p w14:paraId="7B8AE4B1">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用户可以通过国家系统数据交换接口查询全国范围内精神卫生机构下精防人员联系信息。</w:t>
      </w:r>
    </w:p>
    <w:p w14:paraId="2B114DD6">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2.1.3.1.1.21.3.统一日志</w:t>
      </w:r>
    </w:p>
    <w:p w14:paraId="62A4E8E7">
      <w:pPr>
        <w:pStyle w:val="6"/>
        <w:keepNext w:val="0"/>
        <w:keepLines w:val="0"/>
        <w:pageBreakBefore w:val="0"/>
        <w:kinsoku/>
        <w:wordWrap/>
        <w:overflowPunct/>
        <w:topLinePunct w:val="0"/>
        <w:autoSpaceDE/>
        <w:autoSpaceDN/>
        <w:bidi w:val="0"/>
        <w:adjustRightInd/>
        <w:snapToGrid/>
        <w:spacing w:line="500" w:lineRule="exact"/>
        <w:ind w:left="1440"/>
        <w:jc w:val="both"/>
        <w:textAlignment w:val="auto"/>
        <w:rPr>
          <w:rFonts w:hint="eastAsia" w:ascii="宋体" w:hAnsi="宋体" w:eastAsia="宋体" w:cs="宋体"/>
          <w:sz w:val="24"/>
          <w:szCs w:val="24"/>
        </w:rPr>
      </w:pPr>
      <w:r>
        <w:rPr>
          <w:rFonts w:hint="eastAsia" w:ascii="宋体" w:hAnsi="宋体" w:eastAsia="宋体" w:cs="宋体"/>
          <w:b/>
          <w:sz w:val="24"/>
          <w:szCs w:val="24"/>
        </w:rPr>
        <w:t>2.1.3.1.1.21.3.1.系统操作日志库生成</w:t>
      </w:r>
    </w:p>
    <w:p w14:paraId="2C9470DE">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系统自动记录系统用户在使用本系统时的详细操作情况，以日志的方式进行保存，方便追溯与统计。对于所有操作进行系统留痕。</w:t>
      </w:r>
    </w:p>
    <w:p w14:paraId="54DA23D1">
      <w:pPr>
        <w:pStyle w:val="6"/>
        <w:keepNext w:val="0"/>
        <w:keepLines w:val="0"/>
        <w:pageBreakBefore w:val="0"/>
        <w:kinsoku/>
        <w:wordWrap/>
        <w:overflowPunct/>
        <w:topLinePunct w:val="0"/>
        <w:autoSpaceDE/>
        <w:autoSpaceDN/>
        <w:bidi w:val="0"/>
        <w:adjustRightInd/>
        <w:snapToGrid/>
        <w:spacing w:line="500" w:lineRule="exact"/>
        <w:ind w:left="1440"/>
        <w:jc w:val="both"/>
        <w:textAlignment w:val="auto"/>
        <w:rPr>
          <w:rFonts w:hint="eastAsia" w:ascii="宋体" w:hAnsi="宋体" w:eastAsia="宋体" w:cs="宋体"/>
          <w:sz w:val="24"/>
          <w:szCs w:val="24"/>
        </w:rPr>
      </w:pPr>
      <w:r>
        <w:rPr>
          <w:rFonts w:hint="eastAsia" w:ascii="宋体" w:hAnsi="宋体" w:eastAsia="宋体" w:cs="宋体"/>
          <w:b/>
          <w:sz w:val="24"/>
          <w:szCs w:val="24"/>
        </w:rPr>
        <w:t>2.1.3.1.1.21.3.2.系统操作日志查询</w:t>
      </w:r>
    </w:p>
    <w:p w14:paraId="3D23F16C">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质控员可以查看本区域内各机构用户的操作日志，可在日志库中根据操作地区、操作单位、登录名、操作时间对日志库进行检索。</w:t>
      </w:r>
    </w:p>
    <w:p w14:paraId="0B9EDA8B">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2.1.3.1.1.22.机构信息管理</w:t>
      </w:r>
    </w:p>
    <w:p w14:paraId="2AF2F2B7">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2.1.3.1.1.22.1.机构信息维护</w:t>
      </w:r>
    </w:p>
    <w:p w14:paraId="74B21047">
      <w:pPr>
        <w:pStyle w:val="6"/>
        <w:keepNext w:val="0"/>
        <w:keepLines w:val="0"/>
        <w:pageBreakBefore w:val="0"/>
        <w:kinsoku/>
        <w:wordWrap/>
        <w:overflowPunct/>
        <w:topLinePunct w:val="0"/>
        <w:autoSpaceDE/>
        <w:autoSpaceDN/>
        <w:bidi w:val="0"/>
        <w:adjustRightInd/>
        <w:snapToGrid/>
        <w:spacing w:line="500" w:lineRule="exact"/>
        <w:ind w:left="210" w:firstLine="240"/>
        <w:jc w:val="both"/>
        <w:textAlignment w:val="auto"/>
        <w:rPr>
          <w:rFonts w:hint="eastAsia" w:ascii="宋体" w:hAnsi="宋体" w:eastAsia="宋体" w:cs="宋体"/>
          <w:sz w:val="24"/>
          <w:szCs w:val="24"/>
        </w:rPr>
      </w:pPr>
      <w:r>
        <w:rPr>
          <w:rFonts w:hint="eastAsia" w:ascii="宋体" w:hAnsi="宋体" w:eastAsia="宋体" w:cs="宋体"/>
          <w:sz w:val="24"/>
          <w:szCs w:val="24"/>
        </w:rPr>
        <w:t>管理辖区内精神卫生机构信息。各级业务管理员可对辖区内精神卫生机构数据字典信息进行修改和维护。</w:t>
      </w:r>
    </w:p>
    <w:p w14:paraId="1005ECE7">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2.1.3.1.1.22.2.机构变更管理</w:t>
      </w:r>
    </w:p>
    <w:p w14:paraId="1A662F8D">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此功能针对机构调整（机构撤销、合并、拆分等情况）时对原机构下的各类业务记录进行批量迁移处理操作。</w:t>
      </w:r>
    </w:p>
    <w:p w14:paraId="1F679836">
      <w:pPr>
        <w:pStyle w:val="6"/>
        <w:keepNext w:val="0"/>
        <w:keepLines w:val="0"/>
        <w:pageBreakBefore w:val="0"/>
        <w:kinsoku/>
        <w:wordWrap/>
        <w:overflowPunct/>
        <w:topLinePunct w:val="0"/>
        <w:autoSpaceDE/>
        <w:autoSpaceDN/>
        <w:bidi w:val="0"/>
        <w:adjustRightInd/>
        <w:snapToGrid/>
        <w:spacing w:line="500" w:lineRule="exact"/>
        <w:ind w:left="1440"/>
        <w:jc w:val="both"/>
        <w:textAlignment w:val="auto"/>
        <w:rPr>
          <w:rFonts w:hint="eastAsia" w:ascii="宋体" w:hAnsi="宋体" w:eastAsia="宋体" w:cs="宋体"/>
          <w:sz w:val="24"/>
          <w:szCs w:val="24"/>
        </w:rPr>
      </w:pPr>
      <w:r>
        <w:rPr>
          <w:rFonts w:hint="eastAsia" w:ascii="宋体" w:hAnsi="宋体" w:eastAsia="宋体" w:cs="宋体"/>
          <w:b/>
          <w:sz w:val="24"/>
          <w:szCs w:val="24"/>
        </w:rPr>
        <w:t>2.1.3.1.1.22.2.1.机构变更申请</w:t>
      </w:r>
    </w:p>
    <w:p w14:paraId="1BE6977A">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此功能针对机构调整（机构撤销、合并、拆分等情况）时对原机构下的各类业务记录进行批量迁移处理操作。各级业务管理员对辖区内的机构变更情况机构下各类数据（报告卡、出院单、患者档案、随访等）的拆分/合并情况进行逐一设置，形成业务数据变更配置清单，提交机构变更及数据迁移申请信息。</w:t>
      </w:r>
    </w:p>
    <w:p w14:paraId="5E5A44A1">
      <w:pPr>
        <w:pStyle w:val="6"/>
        <w:keepNext w:val="0"/>
        <w:keepLines w:val="0"/>
        <w:pageBreakBefore w:val="0"/>
        <w:kinsoku/>
        <w:wordWrap/>
        <w:overflowPunct/>
        <w:topLinePunct w:val="0"/>
        <w:autoSpaceDE/>
        <w:autoSpaceDN/>
        <w:bidi w:val="0"/>
        <w:adjustRightInd/>
        <w:snapToGrid/>
        <w:spacing w:line="500" w:lineRule="exact"/>
        <w:ind w:left="1440"/>
        <w:jc w:val="both"/>
        <w:textAlignment w:val="auto"/>
        <w:rPr>
          <w:rFonts w:hint="eastAsia" w:ascii="宋体" w:hAnsi="宋体" w:eastAsia="宋体" w:cs="宋体"/>
          <w:sz w:val="24"/>
          <w:szCs w:val="24"/>
        </w:rPr>
      </w:pPr>
      <w:r>
        <w:rPr>
          <w:rFonts w:hint="eastAsia" w:ascii="宋体" w:hAnsi="宋体" w:eastAsia="宋体" w:cs="宋体"/>
          <w:b/>
          <w:sz w:val="24"/>
          <w:szCs w:val="24"/>
        </w:rPr>
        <w:t>2.1.3.1.1.22.2.2.机构变更审核</w:t>
      </w:r>
    </w:p>
    <w:p w14:paraId="146C7D62">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上级业务管理员对辖区内的机构变更申请信息进行审核，审核通过后，变更的两个机构的相关所有报告卡、出院单、患者档案、随访等数据操作由系统后台进行自动处理，根据机构变更申请内容全部或部分从原有机构迁移到目标机构中，或对现有机构内数据按配置清单进行拆分及组合。申请驳回时，业务管理员填写驳回原因，由系统自动反馈给申请者。</w:t>
      </w:r>
    </w:p>
    <w:p w14:paraId="0F69D0E8">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2.1.3.1.1.23.系统设置管理</w:t>
      </w:r>
    </w:p>
    <w:p w14:paraId="1610633A">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2.1.3.1.1.23.1.隐私项控制</w:t>
      </w:r>
    </w:p>
    <w:p w14:paraId="5D3178C9">
      <w:pPr>
        <w:pStyle w:val="6"/>
        <w:keepNext w:val="0"/>
        <w:keepLines w:val="0"/>
        <w:pageBreakBefore w:val="0"/>
        <w:kinsoku/>
        <w:wordWrap/>
        <w:overflowPunct/>
        <w:topLinePunct w:val="0"/>
        <w:autoSpaceDE/>
        <w:autoSpaceDN/>
        <w:bidi w:val="0"/>
        <w:adjustRightInd/>
        <w:snapToGrid/>
        <w:spacing w:line="500" w:lineRule="exact"/>
        <w:ind w:left="1440"/>
        <w:jc w:val="both"/>
        <w:textAlignment w:val="auto"/>
        <w:rPr>
          <w:rFonts w:hint="eastAsia" w:ascii="宋体" w:hAnsi="宋体" w:eastAsia="宋体" w:cs="宋体"/>
          <w:sz w:val="24"/>
          <w:szCs w:val="24"/>
        </w:rPr>
      </w:pPr>
      <w:r>
        <w:rPr>
          <w:rFonts w:hint="eastAsia" w:ascii="宋体" w:hAnsi="宋体" w:eastAsia="宋体" w:cs="宋体"/>
          <w:b/>
          <w:sz w:val="24"/>
          <w:szCs w:val="24"/>
        </w:rPr>
        <w:t>2.1.3.1.1.23.1.1.隐私项临时设置</w:t>
      </w:r>
    </w:p>
    <w:p w14:paraId="67BE71A1">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针对患者个案的一些基本信息可以设置隐私访问控制，主要涉及模块有患者信息查看，患者信息查询和患者信息导出，同时在存储和读取的过程对患者的隐私信息进行加密解密处理。针对患者信息的隐私控制项包括地区、所属机构、角色类型、保护页面、可见字段、剩余时限等，业务管理员可以进行设置，可以针对特定用户开放隐私项临时访问及导出权限。</w:t>
      </w:r>
    </w:p>
    <w:p w14:paraId="25E4E6EC">
      <w:pPr>
        <w:pStyle w:val="6"/>
        <w:keepNext w:val="0"/>
        <w:keepLines w:val="0"/>
        <w:pageBreakBefore w:val="0"/>
        <w:kinsoku/>
        <w:wordWrap/>
        <w:overflowPunct/>
        <w:topLinePunct w:val="0"/>
        <w:autoSpaceDE/>
        <w:autoSpaceDN/>
        <w:bidi w:val="0"/>
        <w:adjustRightInd/>
        <w:snapToGrid/>
        <w:spacing w:line="500" w:lineRule="exact"/>
        <w:ind w:left="1440"/>
        <w:jc w:val="both"/>
        <w:textAlignment w:val="auto"/>
        <w:rPr>
          <w:rFonts w:hint="eastAsia" w:ascii="宋体" w:hAnsi="宋体" w:eastAsia="宋体" w:cs="宋体"/>
          <w:sz w:val="24"/>
          <w:szCs w:val="24"/>
        </w:rPr>
      </w:pPr>
      <w:r>
        <w:rPr>
          <w:rFonts w:hint="eastAsia" w:ascii="宋体" w:hAnsi="宋体" w:eastAsia="宋体" w:cs="宋体"/>
          <w:b/>
          <w:sz w:val="24"/>
          <w:szCs w:val="24"/>
        </w:rPr>
        <w:t>2.1.3.1.1.23.1.2.隐私项控制</w:t>
      </w:r>
    </w:p>
    <w:p w14:paraId="0DFD04E4">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系统后台自动对临时开放的隐私项进行控制，发布后生效，超过设定的有效期后自动失效，并生成控制日志。</w:t>
      </w:r>
    </w:p>
    <w:p w14:paraId="6638578A">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2.1.3.1.1.23.2.人口基数维护</w:t>
      </w:r>
    </w:p>
    <w:p w14:paraId="5268EB47">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各类业务管理以及报表计算需要使用区域人口基数数据，由于每年人口基数数据会进行调整，因此各级业务管理员可以在系统对各市、区县、街镇的人口基数信息进行维护。</w:t>
      </w:r>
    </w:p>
    <w:p w14:paraId="4906409C">
      <w:pPr>
        <w:pStyle w:val="6"/>
        <w:keepNext w:val="0"/>
        <w:keepLines w:val="0"/>
        <w:pageBreakBefore w:val="0"/>
        <w:kinsoku/>
        <w:wordWrap/>
        <w:overflowPunct/>
        <w:topLinePunct w:val="0"/>
        <w:autoSpaceDE/>
        <w:autoSpaceDN/>
        <w:bidi w:val="0"/>
        <w:adjustRightInd/>
        <w:snapToGrid/>
        <w:spacing w:line="500" w:lineRule="exact"/>
        <w:ind w:left="1440"/>
        <w:jc w:val="both"/>
        <w:textAlignment w:val="auto"/>
        <w:rPr>
          <w:rFonts w:hint="eastAsia" w:ascii="宋体" w:hAnsi="宋体" w:eastAsia="宋体" w:cs="宋体"/>
          <w:sz w:val="24"/>
          <w:szCs w:val="24"/>
        </w:rPr>
      </w:pPr>
      <w:r>
        <w:rPr>
          <w:rFonts w:hint="eastAsia" w:ascii="宋体" w:hAnsi="宋体" w:eastAsia="宋体" w:cs="宋体"/>
          <w:b/>
          <w:sz w:val="24"/>
          <w:szCs w:val="24"/>
        </w:rPr>
        <w:t>2.1.3.1.1.23.2.1.人口基数信息维护</w:t>
      </w:r>
    </w:p>
    <w:p w14:paraId="43EA6F89">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区县级业务管理员对本区域人口基数信息进行维护并提交审核。</w:t>
      </w:r>
    </w:p>
    <w:p w14:paraId="3A3CF742">
      <w:pPr>
        <w:pStyle w:val="6"/>
        <w:keepNext w:val="0"/>
        <w:keepLines w:val="0"/>
        <w:pageBreakBefore w:val="0"/>
        <w:kinsoku/>
        <w:wordWrap/>
        <w:overflowPunct/>
        <w:topLinePunct w:val="0"/>
        <w:autoSpaceDE/>
        <w:autoSpaceDN/>
        <w:bidi w:val="0"/>
        <w:adjustRightInd/>
        <w:snapToGrid/>
        <w:spacing w:line="500" w:lineRule="exact"/>
        <w:ind w:left="1440"/>
        <w:jc w:val="both"/>
        <w:textAlignment w:val="auto"/>
        <w:rPr>
          <w:rFonts w:hint="eastAsia" w:ascii="宋体" w:hAnsi="宋体" w:eastAsia="宋体" w:cs="宋体"/>
          <w:sz w:val="24"/>
          <w:szCs w:val="24"/>
        </w:rPr>
      </w:pPr>
      <w:r>
        <w:rPr>
          <w:rFonts w:hint="eastAsia" w:ascii="宋体" w:hAnsi="宋体" w:eastAsia="宋体" w:cs="宋体"/>
          <w:b/>
          <w:sz w:val="24"/>
          <w:szCs w:val="24"/>
        </w:rPr>
        <w:t>2.1.3.1.1.23.2.2.人口基数信息审核发布</w:t>
      </w:r>
    </w:p>
    <w:p w14:paraId="7B18A413">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业务管理员对下级维护的人口基数信息进行逐级审核，省级汇总发布后正式生效。</w:t>
      </w:r>
    </w:p>
    <w:p w14:paraId="2057B892">
      <w:pPr>
        <w:pStyle w:val="6"/>
        <w:keepNext w:val="0"/>
        <w:keepLines w:val="0"/>
        <w:pageBreakBefore w:val="0"/>
        <w:kinsoku/>
        <w:wordWrap/>
        <w:overflowPunct/>
        <w:topLinePunct w:val="0"/>
        <w:autoSpaceDE/>
        <w:autoSpaceDN/>
        <w:bidi w:val="0"/>
        <w:adjustRightInd/>
        <w:snapToGrid/>
        <w:spacing w:line="500" w:lineRule="exact"/>
        <w:ind w:left="855"/>
        <w:jc w:val="both"/>
        <w:textAlignment w:val="auto"/>
        <w:rPr>
          <w:rFonts w:hint="eastAsia" w:ascii="宋体" w:hAnsi="宋体" w:eastAsia="宋体" w:cs="宋体"/>
          <w:sz w:val="24"/>
          <w:szCs w:val="24"/>
        </w:rPr>
      </w:pPr>
      <w:r>
        <w:rPr>
          <w:rFonts w:hint="eastAsia" w:ascii="宋体" w:hAnsi="宋体" w:eastAsia="宋体" w:cs="宋体"/>
          <w:b/>
          <w:sz w:val="24"/>
          <w:szCs w:val="24"/>
        </w:rPr>
        <w:t>2.1.3.1.2.精防人员移动端应用(评审项23)</w:t>
      </w:r>
    </w:p>
    <w:p w14:paraId="248317CC">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在实际业务开展过程中，基层精防人员存在上门随访纸质档案材料携带不便、无法随时查看患者信息等问题，为了提高外出随访便捷性和数据上报效率，作为严重精神障碍业务管理端应用的延伸，面向基层精防人员提供移动端应用，用户可以使用手机进行患者管理业务操作，同时扩展与患者/监护人移动端对应的医患交流功能。通过移动端采集的数据信息同步到业务管理端应用中。</w:t>
      </w:r>
    </w:p>
    <w:p w14:paraId="3284CE40">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2.1.3.1.2.1.业务提醒</w:t>
      </w:r>
    </w:p>
    <w:p w14:paraId="66FA8C4B">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系统提供移动端业务待办提醒功能，提醒用户需要处理的业务操作，主要功能包括：</w:t>
      </w:r>
    </w:p>
    <w:p w14:paraId="78BFA1CD">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2.1.3.1.2.1.1.随访提醒</w:t>
      </w:r>
    </w:p>
    <w:p w14:paraId="037504AE">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提供需要进行随访的患者信息列表，包括预警随访提醒和逾期随访提醒，提醒用户及时进行随访处理。</w:t>
      </w:r>
    </w:p>
    <w:p w14:paraId="48C963FB">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2.1.3.1.2.1.2.流转提醒</w:t>
      </w:r>
    </w:p>
    <w:p w14:paraId="35FFFAB1">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提醒精防人员有需要处理和关注的业务流程记录。包括报告卡迁入提醒、社区迁入提醒、重复患者迁移提醒、出院单迁入提醒。</w:t>
      </w:r>
    </w:p>
    <w:p w14:paraId="425C1E22">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2.1.3.1.2.1.3.质控记录提醒</w:t>
      </w:r>
    </w:p>
    <w:p w14:paraId="2078C7A4">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提醒社区用户有待反馈的质控记录信息，社区用户可以查看质控记录并填写反馈信息。</w:t>
      </w:r>
    </w:p>
    <w:p w14:paraId="4B77B661">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2.1.3.1.2.2.工作概况展示</w:t>
      </w:r>
    </w:p>
    <w:p w14:paraId="40F0F02B">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展示用户工作的总体情况，包括：</w:t>
      </w:r>
    </w:p>
    <w:p w14:paraId="36A85817">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2.1.3.1.2.2.1.患者建档管理情况</w:t>
      </w:r>
    </w:p>
    <w:p w14:paraId="1C6634D7">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展示本机构患者建档、管理统计指标，包括各类分库患者数量统计等。</w:t>
      </w:r>
    </w:p>
    <w:p w14:paraId="21F790D2">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2.1.3.1.2.2.2.实时管理指标情况</w:t>
      </w:r>
    </w:p>
    <w:p w14:paraId="29B69470">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展示本机构报告患病率、规范管理率、规律服药率、面访率、应急处置完成率等重点指标数据。</w:t>
      </w:r>
    </w:p>
    <w:p w14:paraId="4E798D51">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2.1.3.1.2.3.患者信息管理</w:t>
      </w:r>
    </w:p>
    <w:p w14:paraId="66D44385">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2.1.3.1.2.3.1.患者记录查询</w:t>
      </w:r>
    </w:p>
    <w:p w14:paraId="574CDC35">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用户可以按不同类型（管理状态、所属村居、患者类型等）对自己管理的在册患者信息进行查询，用户可以利用筛选条件检索出患者基本信息。</w:t>
      </w:r>
    </w:p>
    <w:p w14:paraId="00C1F106">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2.1.3.1.2.3.2.患者档案管理</w:t>
      </w:r>
    </w:p>
    <w:p w14:paraId="194577C2">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在患者档案信息管理模块中进行患者相关各类信息的集成展现，可以关联查看患者个人基本信息以及所有相关的管理记录信息，主要功能包括：</w:t>
      </w:r>
    </w:p>
    <w:p w14:paraId="3F61D2A4">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查看患者个人基本信息（姓名、住址、联系方式、所属村居及联系方式、档案管理机构等）和专业管理信息（监护人信息、病程信息、危险性评估、管理属性信息等）。</w:t>
      </w:r>
    </w:p>
    <w:p w14:paraId="7969F159">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查看患者相关报告卡记录。</w:t>
      </w:r>
    </w:p>
    <w:p w14:paraId="1520AFA3">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查看患者相关出院单记录。</w:t>
      </w:r>
    </w:p>
    <w:p w14:paraId="0A18DF3B">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查看患者关联的所有随访记录概况及详细信息。</w:t>
      </w:r>
    </w:p>
    <w:p w14:paraId="3052603F">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查看患者关联的所有应急处置记录信息。</w:t>
      </w:r>
    </w:p>
    <w:p w14:paraId="66B283C0">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查看患者长效针剂评估及使用记录。</w:t>
      </w:r>
    </w:p>
    <w:p w14:paraId="493A85DE">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2.1.3.1.2.3.3.随访记录采集</w:t>
      </w:r>
    </w:p>
    <w:p w14:paraId="10F5553C">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基层精防人员通过移动端进行患者随访信息的录入和保存。</w:t>
      </w:r>
    </w:p>
    <w:p w14:paraId="63D4C0EC">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随访记录表单与业务管理端保持一致，系统对录入的信息自动进行校验，确保数据符合系统数据标准和校验规则。</w:t>
      </w:r>
    </w:p>
    <w:p w14:paraId="558A110D">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相对于PC端，增加现场拍照上传、电子签名保存成图片并上传功能，可以在随访记录录入过程中进行拍照留存、手写签名。</w:t>
      </w:r>
    </w:p>
    <w:p w14:paraId="763CAF37">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2.1.3.1.2.3.4.应急处置记录采集</w:t>
      </w:r>
    </w:p>
    <w:p w14:paraId="03FC1C6B">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基层精防人员可以通过移动端进行应急处置信息的现场采集录入。</w:t>
      </w:r>
    </w:p>
    <w:p w14:paraId="073B1DC0">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应急处置记录表单与业务管理端保持一致，系统对录入的信息自动进行校验，确保数据符合系统数据标准和校验规则。</w:t>
      </w:r>
    </w:p>
    <w:p w14:paraId="616454BD">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相对于PC端，增加现场拍照上传、电子签名保存成图片并上传功能，可以在应急处置记录录入过程中进行拍照留存、手写签名。</w:t>
      </w:r>
    </w:p>
    <w:p w14:paraId="35980410">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2.1.3.1.2.4.知识库管理</w:t>
      </w:r>
    </w:p>
    <w:p w14:paraId="7E3BB12A">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可以对精神卫生知识库进行查看和管理，主要功能包括：</w:t>
      </w:r>
    </w:p>
    <w:p w14:paraId="2E26EA0D">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2.1.3.1.2.4.1.知识库管理</w:t>
      </w:r>
    </w:p>
    <w:p w14:paraId="0F679021">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对发布的精神卫生知识信息进行分类查看和管理，知识信息包括：政策信息、康复知识、疾病知识等。</w:t>
      </w:r>
    </w:p>
    <w:p w14:paraId="59529DB0">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2.1.3.1.2.4.2.知识推送</w:t>
      </w:r>
    </w:p>
    <w:p w14:paraId="167BD546">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社区用户可以将特定知识推送给自己管理的患者/监护人移动端账号，可以全部推送或者基于患者类型、管理标识、自定义分组等条件选择特定患者/监护人账号进行推送。可以查看历史推送记录。</w:t>
      </w:r>
    </w:p>
    <w:p w14:paraId="111E000A">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2.1.3.1.2.4.3.知识浏览信息管理</w:t>
      </w:r>
    </w:p>
    <w:p w14:paraId="58E55578">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社区用户可以查看知识推送记录，以及推送记录的患者/监护人端浏览及反馈情况，可以针对患者端反馈信息进行留言答复。</w:t>
      </w:r>
    </w:p>
    <w:p w14:paraId="36807121">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2.1.3.1.2.5.医患交流</w:t>
      </w:r>
    </w:p>
    <w:p w14:paraId="415D97B3">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2.1.3.1.2.5.1.消息管理</w:t>
      </w:r>
    </w:p>
    <w:p w14:paraId="41C93FC2">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基层精防人员可以给本机构管理的患者/监护人在移动端单独发送或群发通知</w:t>
      </w:r>
    </w:p>
    <w:p w14:paraId="02231746">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消息。可以查看以及分类筛选历史消息发送及反馈记录。</w:t>
      </w:r>
    </w:p>
    <w:p w14:paraId="1C38E211">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2.1.3.1.2.5.2.留言反馈</w:t>
      </w:r>
    </w:p>
    <w:p w14:paraId="6C13A7E6">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基层精防人员可以查看患者/监护人端给自己发送的在线留言信息，并进行在线反馈；可以对历史信息进行分类检索和查看，并标记重点关注内容。</w:t>
      </w:r>
    </w:p>
    <w:p w14:paraId="053BF28D">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2.1.3.1.2.5.3.患者报备信息管理</w:t>
      </w:r>
    </w:p>
    <w:p w14:paraId="751BE21D">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基层精防人员可以查看患者/监护人端填写的情况报备信息，并进行沟通管理。</w:t>
      </w:r>
    </w:p>
    <w:p w14:paraId="1E22D354">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2.1.3.1.2.5.4.监护记录管理</w:t>
      </w:r>
    </w:p>
    <w:p w14:paraId="22F21E1C">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基层精防人员可以查看患者/监护人端填写的日常监护记录信息，并对填写监护记录进行审核；实现与随访记录信息的交叉比对，建立患者管理基线。</w:t>
      </w:r>
    </w:p>
    <w:p w14:paraId="26BB578B">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2.1.3.1.2.6.服药管理</w:t>
      </w:r>
    </w:p>
    <w:p w14:paraId="351AB588">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2.1.3.1.2.6.1.患者用药信息管理</w:t>
      </w:r>
    </w:p>
    <w:p w14:paraId="6592C9DB">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基层精防人员可以管理患者用药信息以及设置个性化提醒内容。</w:t>
      </w:r>
    </w:p>
    <w:p w14:paraId="4964D8EA">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2.1.3.1.2.6.2.药品不良反应事件管理</w:t>
      </w:r>
    </w:p>
    <w:p w14:paraId="372288C5">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基层精防人员可以查看患者/监护人端填写的药品副反应事件记录；并且与患者管理档案、随访记录等进行信息关联操作。</w:t>
      </w:r>
    </w:p>
    <w:p w14:paraId="2EC30D2C">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2.1.3.1.2.7.移动端账号管理</w:t>
      </w:r>
    </w:p>
    <w:p w14:paraId="2360610A">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2.1.3.1.2.7.1.移动端初始化授权</w:t>
      </w:r>
    </w:p>
    <w:p w14:paraId="32CE654C">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基层精防人员首次登录使用前，通过后台服务端的账号管理，对用户进行账号和角色权限的认证和授权，确保管理人员移动端账号与业务管理端应用一致且一对一匹配，以及角色权限的准确性，确保信息安全。</w:t>
      </w:r>
    </w:p>
    <w:p w14:paraId="2600964D">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2.1.3.1.2.7.2.患者/监护人端用户设置</w:t>
      </w:r>
    </w:p>
    <w:p w14:paraId="46B6C592">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基层精防人员可以进行患者/监护人端应用的账号设置，包括并生成邀请码；注销患者/监护人端应用账号等操作。</w:t>
      </w:r>
    </w:p>
    <w:p w14:paraId="00EFB551">
      <w:pPr>
        <w:pStyle w:val="6"/>
        <w:keepNext w:val="0"/>
        <w:keepLines w:val="0"/>
        <w:pageBreakBefore w:val="0"/>
        <w:kinsoku/>
        <w:wordWrap/>
        <w:overflowPunct/>
        <w:topLinePunct w:val="0"/>
        <w:autoSpaceDE/>
        <w:autoSpaceDN/>
        <w:bidi w:val="0"/>
        <w:adjustRightInd/>
        <w:snapToGrid/>
        <w:spacing w:line="500" w:lineRule="exact"/>
        <w:ind w:left="855"/>
        <w:jc w:val="both"/>
        <w:textAlignment w:val="auto"/>
        <w:rPr>
          <w:rFonts w:hint="eastAsia" w:ascii="宋体" w:hAnsi="宋体" w:eastAsia="宋体" w:cs="宋体"/>
          <w:sz w:val="24"/>
          <w:szCs w:val="24"/>
        </w:rPr>
      </w:pPr>
      <w:r>
        <w:rPr>
          <w:rFonts w:hint="eastAsia" w:ascii="宋体" w:hAnsi="宋体" w:eastAsia="宋体" w:cs="宋体"/>
          <w:b/>
          <w:sz w:val="24"/>
          <w:szCs w:val="24"/>
        </w:rPr>
        <w:t>2.1.3.1.3.监护移动端应用(评审项24)</w:t>
      </w:r>
    </w:p>
    <w:p w14:paraId="0A5FE390">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为了加强医患交流，提高患者管理依从性，提升管理效率。本项目中提供面向严重精神障碍患者/监护人的移动端应用，采用微信小程序的方式。</w:t>
      </w:r>
    </w:p>
    <w:p w14:paraId="7C4BB70F">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2.1.3.1.3.1.知识库查看</w:t>
      </w:r>
    </w:p>
    <w:p w14:paraId="7E262D75">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患者/监护人用户通过移动端，对已发布的以及社区精防医生推送的精神卫生知识信息进行查看，用户可以对查看的知识信息进行收藏、反馈等操作。查看的知识信息包括以下几个板块：</w:t>
      </w:r>
    </w:p>
    <w:p w14:paraId="63C4E004">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2.1.3.1.3.1.1.护理指导</w:t>
      </w:r>
    </w:p>
    <w:p w14:paraId="5B859FA6">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提供护理指导专栏，用户可以查询相关护理知识，包括文章、视频等，并进行收藏、反馈等操作。</w:t>
      </w:r>
    </w:p>
    <w:p w14:paraId="7EEC1DAD">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2.1.3.1.3.1.2.疾病科普</w:t>
      </w:r>
    </w:p>
    <w:p w14:paraId="23CE600C">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提供疾病科普专栏，用户可以查询疾病相关健康宣教知识，包括文章、视频等，并进行收藏、反馈等操作。</w:t>
      </w:r>
    </w:p>
    <w:p w14:paraId="7E56EF7E">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2.1.3.1.3.1.3.康复训练</w:t>
      </w:r>
    </w:p>
    <w:p w14:paraId="643B3CBF">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提供康复训练专栏，用户可以查询康复相关知识，包括文章、视频等，并进行收藏、反馈等操作。</w:t>
      </w:r>
    </w:p>
    <w:p w14:paraId="3D8A3CA0">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2.1.3.1.3.1.4.政策信息查询</w:t>
      </w:r>
    </w:p>
    <w:p w14:paraId="52BA7BB4">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提供政策信息专栏，用户可以查询各地区患者管理及救治救助政策信息，并进行收藏、反馈等操作。</w:t>
      </w:r>
    </w:p>
    <w:p w14:paraId="73CBD9E7">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2.1.3.1.3.1.5.活动通知</w:t>
      </w:r>
    </w:p>
    <w:p w14:paraId="703C4D37">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提供线下康复活动信息发布及查看功能。</w:t>
      </w:r>
    </w:p>
    <w:p w14:paraId="69DC5E3B">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2.1.3.1.3.1.6.机构信息查询</w:t>
      </w:r>
    </w:p>
    <w:p w14:paraId="7F36567D">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用户可以查询精神卫生机构信息，并在地图上显示和定位机构。</w:t>
      </w:r>
    </w:p>
    <w:p w14:paraId="05CAB02B">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2.1.3.1.3.2.医患交流</w:t>
      </w:r>
    </w:p>
    <w:p w14:paraId="138BADA7">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2.1.3.1.3.2.1.消息接收</w:t>
      </w:r>
    </w:p>
    <w:p w14:paraId="5BEBC8D1">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用户可以查看基层精防人员发送的通知消息。</w:t>
      </w:r>
    </w:p>
    <w:p w14:paraId="6B1AA179">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2.1.3.1.3.2.2.留言反馈</w:t>
      </w:r>
    </w:p>
    <w:p w14:paraId="08D4B37F">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用户可以给基层精防人员在线留言，并查看反馈信息，进行在线交互。</w:t>
      </w:r>
    </w:p>
    <w:p w14:paraId="40614BCF">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2.1.3.1.3.2.3.患者特殊情况报备</w:t>
      </w:r>
    </w:p>
    <w:p w14:paraId="6A457D6B">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患者有外出务工、迁居他处等短期或长期离开现居地的情况，可通过移动端进行即时报备。</w:t>
      </w:r>
    </w:p>
    <w:p w14:paraId="2D59050D">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2.1.3.1.3.2.4.监护记录填报</w:t>
      </w:r>
    </w:p>
    <w:p w14:paraId="15F86E40">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监护人通过移动端填写日常患者监护记录信息，作为监护补助发放依据。</w:t>
      </w:r>
    </w:p>
    <w:p w14:paraId="0585D461">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2.1.3.1.3.3.服药管理</w:t>
      </w:r>
    </w:p>
    <w:p w14:paraId="76C2623E">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2.1.3.1.3.3.1.服药提醒</w:t>
      </w:r>
    </w:p>
    <w:p w14:paraId="22395158">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通过移动端应用提供个性化用药提醒，提醒患者/监护人服药，以及相关注意事项。</w:t>
      </w:r>
    </w:p>
    <w:p w14:paraId="3D4C8AC1">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2.1.3.1.3.3.2.药品不良反应信息反馈</w:t>
      </w:r>
    </w:p>
    <w:p w14:paraId="5CF26F38">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用户可以通过移动端在线填写药品副反应信息。精防医生收到反馈信息后可以进行针对性的处置和指导。</w:t>
      </w:r>
    </w:p>
    <w:p w14:paraId="51710174">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2.1.3.1.3.4.移动端账号管理</w:t>
      </w:r>
    </w:p>
    <w:p w14:paraId="799024CC">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2.1.3.1.3.4.1.用户注册</w:t>
      </w:r>
    </w:p>
    <w:p w14:paraId="318F207E">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用户首次登录微信小程序，需要进行注册，用户需要输入个人信息及邀请码，进行注册及绑定患者信息，认证通过后才能访问系统。</w:t>
      </w:r>
    </w:p>
    <w:p w14:paraId="308C8D55">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2.1.3.1.3.4.2.信息完善</w:t>
      </w:r>
    </w:p>
    <w:p w14:paraId="6CC28D34">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患者/监护人完成注册和验证后，可以对部分患者或监护人个人信息进行修改和完善，维护补充的信息经过社区精防医生审核后，同步到患者档案记录中。</w:t>
      </w:r>
    </w:p>
    <w:p w14:paraId="77A534B7">
      <w:pPr>
        <w:pStyle w:val="6"/>
        <w:keepNext w:val="0"/>
        <w:keepLines w:val="0"/>
        <w:pageBreakBefore w:val="0"/>
        <w:kinsoku/>
        <w:wordWrap/>
        <w:overflowPunct/>
        <w:topLinePunct w:val="0"/>
        <w:autoSpaceDE/>
        <w:autoSpaceDN/>
        <w:bidi w:val="0"/>
        <w:adjustRightInd/>
        <w:snapToGrid/>
        <w:spacing w:line="500" w:lineRule="exact"/>
        <w:ind w:left="870"/>
        <w:jc w:val="both"/>
        <w:textAlignment w:val="auto"/>
        <w:rPr>
          <w:rFonts w:hint="eastAsia" w:ascii="宋体" w:hAnsi="宋体" w:eastAsia="宋体" w:cs="宋体"/>
          <w:sz w:val="24"/>
          <w:szCs w:val="24"/>
        </w:rPr>
      </w:pPr>
      <w:r>
        <w:rPr>
          <w:rFonts w:hint="eastAsia" w:ascii="宋体" w:hAnsi="宋体" w:eastAsia="宋体" w:cs="宋体"/>
          <w:b/>
          <w:sz w:val="24"/>
          <w:szCs w:val="24"/>
        </w:rPr>
        <w:t>2.1.3.2.转岗培训管理系统</w:t>
      </w:r>
    </w:p>
    <w:p w14:paraId="61DF470D">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建设面向精神科医师转岗培训全流程的数字化管理应用，通过信息化手段规范培训流程、提升培训质量、实现精细化管理，为精神科医师转岗培训的组织、实施、考核、监管全链条提供技术支撑。</w:t>
      </w:r>
    </w:p>
    <w:p w14:paraId="3D626AE0">
      <w:pPr>
        <w:pStyle w:val="6"/>
        <w:keepNext w:val="0"/>
        <w:keepLines w:val="0"/>
        <w:pageBreakBefore w:val="0"/>
        <w:kinsoku/>
        <w:wordWrap/>
        <w:overflowPunct/>
        <w:topLinePunct w:val="0"/>
        <w:autoSpaceDE/>
        <w:autoSpaceDN/>
        <w:bidi w:val="0"/>
        <w:adjustRightInd/>
        <w:snapToGrid/>
        <w:spacing w:line="500" w:lineRule="exact"/>
        <w:ind w:left="855"/>
        <w:jc w:val="both"/>
        <w:textAlignment w:val="auto"/>
        <w:rPr>
          <w:rFonts w:hint="eastAsia" w:ascii="宋体" w:hAnsi="宋体" w:eastAsia="宋体" w:cs="宋体"/>
          <w:sz w:val="24"/>
          <w:szCs w:val="24"/>
        </w:rPr>
      </w:pPr>
      <w:r>
        <w:rPr>
          <w:rFonts w:hint="eastAsia" w:ascii="宋体" w:hAnsi="宋体" w:eastAsia="宋体" w:cs="宋体"/>
          <w:b/>
          <w:sz w:val="24"/>
          <w:szCs w:val="24"/>
        </w:rPr>
        <w:t>2.1.3.2.1.学员端应用(评审项25)</w:t>
      </w:r>
    </w:p>
    <w:p w14:paraId="2E8498BE">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面向培训学员提供应用功能，用于进行在线报名、信息查询、文件上传等操作，主要功能包括：</w:t>
      </w:r>
    </w:p>
    <w:p w14:paraId="188B5E19">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2.1.3.2.1.1.注册管理</w:t>
      </w:r>
    </w:p>
    <w:p w14:paraId="0FD52D7B">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参培学员在信息系统中进行注册，填写个人实名信息。系统对注册个人信息进行审核。</w:t>
      </w:r>
    </w:p>
    <w:p w14:paraId="78D852A1">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2.1.3.2.1.2.报名管理</w:t>
      </w:r>
    </w:p>
    <w:p w14:paraId="6DEB371C">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2.1.3.2.1.2.1.培训公告查询</w:t>
      </w:r>
    </w:p>
    <w:p w14:paraId="4D2E7CEC">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根据学员注册信息，查看本地区培训基地发布的培训公告及报名信息。</w:t>
      </w:r>
    </w:p>
    <w:p w14:paraId="09355A3B">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2.1.3.2.1.2.2.报名管理</w:t>
      </w:r>
    </w:p>
    <w:p w14:paraId="10D38C89">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学员查看培训公告，选择培训基地及班次，填写并提交报名信息，主要包括姓名、性别、单位、身份证号、执业证号、证书邮寄地址等。系统可根据学员姓名、身份证查询历年报名情况，已报名或参加过该培训的学员拒绝二次报名。根据学员年龄设置报名上限，如果超过规定年龄，不得提交报名。</w:t>
      </w:r>
    </w:p>
    <w:p w14:paraId="5005CC15">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2.1.3.2.1.2.3.申诉管理</w:t>
      </w:r>
    </w:p>
    <w:p w14:paraId="21302F2C">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针对拒绝申请的情况，学员可进行申诉并撰写理由，在线提交申诉申请。</w:t>
      </w:r>
    </w:p>
    <w:p w14:paraId="7DB58184">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2.1.3.2.1.2.4.查看审核进度</w:t>
      </w:r>
    </w:p>
    <w:p w14:paraId="1DC5D920">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提交申请后，可以通过信息系统查看报名审核进度情况和结果信息。</w:t>
      </w:r>
    </w:p>
    <w:p w14:paraId="404F873C">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2.1.3.2.1.3.培训信息管理</w:t>
      </w:r>
    </w:p>
    <w:p w14:paraId="1A786282">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2.1.3.2.1.3.1.培训内容管理</w:t>
      </w:r>
    </w:p>
    <w:p w14:paraId="65C15752">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学员可以查看发布的各类培训内容、培训计划及通知信息。</w:t>
      </w:r>
    </w:p>
    <w:p w14:paraId="62039FB2">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2.1.3.2.1.3.2.培训资料管理</w:t>
      </w:r>
    </w:p>
    <w:p w14:paraId="49445EAB">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可以查看并下载发布的培训资料、培训课件等内容。</w:t>
      </w:r>
    </w:p>
    <w:p w14:paraId="673E8235">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2.1.3.2.1.3.3.病历信息管理</w:t>
      </w:r>
    </w:p>
    <w:p w14:paraId="01013E96">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学员可以上传和管理实习期间的病历文档资料；查看指导教师的病历审核意见。</w:t>
      </w:r>
    </w:p>
    <w:p w14:paraId="48C5D47A">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2.1.3.2.1.4.培训考核管理</w:t>
      </w:r>
    </w:p>
    <w:p w14:paraId="39016AED">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2.1.3.2.1.4.1.考核成绩查询</w:t>
      </w:r>
    </w:p>
    <w:p w14:paraId="75B3B641">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学员可以查询各类发布的考核成绩信息。</w:t>
      </w:r>
    </w:p>
    <w:p w14:paraId="124B8211">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2.1.3.2.1.4.2.毕业信息查询</w:t>
      </w:r>
    </w:p>
    <w:p w14:paraId="5B910333">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学员可以查询个人毕业信息。</w:t>
      </w:r>
    </w:p>
    <w:p w14:paraId="57ACFCDD">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2.1.3.2.1.5.执业信息管理</w:t>
      </w:r>
    </w:p>
    <w:p w14:paraId="67AC6BC4">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2.1.3.2.1.5.1.执业注册信息管理</w:t>
      </w:r>
    </w:p>
    <w:p w14:paraId="7B478E5E">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学员可以填写执业证书加注信息，并上传加注后的证书附件；学员可以查询执业资格证书加注信息。</w:t>
      </w:r>
    </w:p>
    <w:p w14:paraId="414FC3A9">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2.1.3.2.1.5.2.执业情况信息管理</w:t>
      </w:r>
    </w:p>
    <w:p w14:paraId="7DD6287B">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针对毕业后的执业情况，学员定期填写各类调查文件，内容包括是否已加注以及转岗(标记时间)、是否实际已经提供精神/心理科(标记时长)等。</w:t>
      </w:r>
    </w:p>
    <w:p w14:paraId="1E5C545E">
      <w:pPr>
        <w:pStyle w:val="6"/>
        <w:keepNext w:val="0"/>
        <w:keepLines w:val="0"/>
        <w:pageBreakBefore w:val="0"/>
        <w:kinsoku/>
        <w:wordWrap/>
        <w:overflowPunct/>
        <w:topLinePunct w:val="0"/>
        <w:autoSpaceDE/>
        <w:autoSpaceDN/>
        <w:bidi w:val="0"/>
        <w:adjustRightInd/>
        <w:snapToGrid/>
        <w:spacing w:line="500" w:lineRule="exact"/>
        <w:ind w:left="855"/>
        <w:jc w:val="both"/>
        <w:textAlignment w:val="auto"/>
        <w:rPr>
          <w:rFonts w:hint="eastAsia" w:ascii="宋体" w:hAnsi="宋体" w:eastAsia="宋体" w:cs="宋体"/>
          <w:sz w:val="24"/>
          <w:szCs w:val="24"/>
        </w:rPr>
      </w:pPr>
      <w:r>
        <w:rPr>
          <w:rFonts w:hint="eastAsia" w:ascii="宋体" w:hAnsi="宋体" w:eastAsia="宋体" w:cs="宋体"/>
          <w:b/>
          <w:sz w:val="24"/>
          <w:szCs w:val="24"/>
        </w:rPr>
        <w:t>2.1.3.2.2.培训基地端应用(评审项26)</w:t>
      </w:r>
    </w:p>
    <w:p w14:paraId="4611EF8A">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培训基地管理人员对本基地培训批次、培训过程及内容信息、考核成绩信息等进行管理。主要功能包括：</w:t>
      </w:r>
    </w:p>
    <w:p w14:paraId="3A778DE3">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2.1.3.2.2.1.培训班次管理</w:t>
      </w:r>
    </w:p>
    <w:p w14:paraId="60E3FCAD">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2.1.3.2.2.1.1.班次信息维护</w:t>
      </w:r>
    </w:p>
    <w:p w14:paraId="25746706">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针对不同批次的培训对象，按照班次进行分组。用户可按照培训批次创建班次。对班次信息进行管理和维护。</w:t>
      </w:r>
    </w:p>
    <w:p w14:paraId="011DDA70">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2.1.3.2.2.1.2.培训公告管理</w:t>
      </w:r>
    </w:p>
    <w:p w14:paraId="6FFBD4ED">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管理和维护各培训班次的通知公告信息并进行发布。</w:t>
      </w:r>
    </w:p>
    <w:p w14:paraId="61822648">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2.1.3.2.2.1.3.学员审核</w:t>
      </w:r>
    </w:p>
    <w:p w14:paraId="1E4F0B9B">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审核参培学员在线提交的申请信息进行审核，如果无问题通过，纳入相关班次。如果有问题驳回，并填写拒绝原因。</w:t>
      </w:r>
    </w:p>
    <w:p w14:paraId="6EEE580B">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2.1.3.2.2.2.培训信息管理</w:t>
      </w:r>
    </w:p>
    <w:p w14:paraId="6B7DCAC0">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2.1.3.2.2.2.1.培训内容管理</w:t>
      </w:r>
    </w:p>
    <w:p w14:paraId="563971F9">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用户可以编辑和发布培训课程、培训计划等信息。</w:t>
      </w:r>
    </w:p>
    <w:p w14:paraId="4CDE6669">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2.1.3.2.2.2.2.培训资料管理</w:t>
      </w:r>
    </w:p>
    <w:p w14:paraId="32768038">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将理论培训相关课件、教案等文档资料整理上传后进行发布和管理。</w:t>
      </w:r>
    </w:p>
    <w:p w14:paraId="6942CF13">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2.1.3.2.2.2.3.病历文件查阅</w:t>
      </w:r>
    </w:p>
    <w:p w14:paraId="156EADA5">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导师可查看所带学员上传的资料，并填写审核意见。</w:t>
      </w:r>
    </w:p>
    <w:p w14:paraId="03DEE6DA">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2.1.3.2.2.3.培训考核管理</w:t>
      </w:r>
    </w:p>
    <w:p w14:paraId="477E1F17">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2.1.3.2.2.3.1.理论考核信息管理</w:t>
      </w:r>
    </w:p>
    <w:p w14:paraId="4179E6F7">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用户可以登记和管理学员理论考核成绩信息。</w:t>
      </w:r>
    </w:p>
    <w:p w14:paraId="5CFF6C20">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2.1.3.2.2.3.2.过程考核信息管理</w:t>
      </w:r>
    </w:p>
    <w:p w14:paraId="73C8DBC3">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用户可以登记和管理学员过程考核成绩以及综合评价记录信息。</w:t>
      </w:r>
    </w:p>
    <w:p w14:paraId="29189DB4">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2.1.3.2.2.3.3.结业考核信息管理</w:t>
      </w:r>
    </w:p>
    <w:p w14:paraId="4C36DEB2">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用户可以登记和管理学员最终考核成绩信息。</w:t>
      </w:r>
    </w:p>
    <w:p w14:paraId="64484F5D">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2.1.3.2.2.3.4.考核报告管理</w:t>
      </w:r>
    </w:p>
    <w:p w14:paraId="3B64DC74">
      <w:pPr>
        <w:pStyle w:val="6"/>
        <w:keepNext w:val="0"/>
        <w:keepLines w:val="0"/>
        <w:pageBreakBefore w:val="0"/>
        <w:kinsoku/>
        <w:wordWrap/>
        <w:overflowPunct/>
        <w:topLinePunct w:val="0"/>
        <w:autoSpaceDE/>
        <w:autoSpaceDN/>
        <w:bidi w:val="0"/>
        <w:adjustRightInd/>
        <w:snapToGrid/>
        <w:spacing w:line="500" w:lineRule="exact"/>
        <w:ind w:firstLine="480"/>
        <w:jc w:val="left"/>
        <w:textAlignment w:val="auto"/>
        <w:rPr>
          <w:rFonts w:hint="eastAsia" w:ascii="宋体" w:hAnsi="宋体" w:eastAsia="宋体" w:cs="宋体"/>
          <w:sz w:val="24"/>
          <w:szCs w:val="24"/>
        </w:rPr>
      </w:pPr>
      <w:r>
        <w:rPr>
          <w:rFonts w:hint="eastAsia" w:ascii="宋体" w:hAnsi="宋体" w:eastAsia="宋体" w:cs="宋体"/>
          <w:sz w:val="24"/>
          <w:szCs w:val="24"/>
        </w:rPr>
        <w:t>针对考核培训结果，利用管理员提供的模板，自动生成分析报告。</w:t>
      </w:r>
    </w:p>
    <w:p w14:paraId="1ACAFBF8">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2.1.3.2.2.3.5.综合查询</w:t>
      </w:r>
    </w:p>
    <w:p w14:paraId="09DD652F">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用户可以查询学员各类考核成绩信息。</w:t>
      </w:r>
    </w:p>
    <w:p w14:paraId="47F551FF">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2.1.3.2.2.3.6.结业信息管理</w:t>
      </w:r>
    </w:p>
    <w:p w14:paraId="3096EA52">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发布对某批次培训班进行结业并发布毕业学员名单。</w:t>
      </w:r>
    </w:p>
    <w:p w14:paraId="4EAD216C">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2.1.3.2.2.3.7.结业证书管理</w:t>
      </w:r>
    </w:p>
    <w:p w14:paraId="33C7C5C1">
      <w:pPr>
        <w:pStyle w:val="6"/>
        <w:keepNext w:val="0"/>
        <w:keepLines w:val="0"/>
        <w:pageBreakBefore w:val="0"/>
        <w:kinsoku/>
        <w:wordWrap/>
        <w:overflowPunct/>
        <w:topLinePunct w:val="0"/>
        <w:autoSpaceDE/>
        <w:autoSpaceDN/>
        <w:bidi w:val="0"/>
        <w:adjustRightInd/>
        <w:snapToGrid/>
        <w:spacing w:line="500" w:lineRule="exact"/>
        <w:ind w:firstLine="480"/>
        <w:jc w:val="left"/>
        <w:textAlignment w:val="auto"/>
        <w:rPr>
          <w:rFonts w:hint="eastAsia" w:ascii="宋体" w:hAnsi="宋体" w:eastAsia="宋体" w:cs="宋体"/>
          <w:sz w:val="24"/>
          <w:szCs w:val="24"/>
        </w:rPr>
      </w:pPr>
      <w:r>
        <w:rPr>
          <w:rFonts w:hint="eastAsia" w:ascii="宋体" w:hAnsi="宋体" w:eastAsia="宋体" w:cs="宋体"/>
          <w:sz w:val="24"/>
          <w:szCs w:val="24"/>
        </w:rPr>
        <w:t>针对转岗考核合格的学员，系统后台根据管理员要求，自动生成证书编号，形成转岗培训合格证书模板（抓取学员照片、身份证、参训信息、证书编号等信息）。</w:t>
      </w:r>
    </w:p>
    <w:p w14:paraId="596822D5">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2.1.3.2.2.4.学员信息管理</w:t>
      </w:r>
    </w:p>
    <w:p w14:paraId="61641CC1">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对本地区已加注或者转岗的学员进行标记和统计。</w:t>
      </w:r>
    </w:p>
    <w:p w14:paraId="09F22B8E">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对本地区累计培训人员数进行查询</w:t>
      </w:r>
    </w:p>
    <w:p w14:paraId="70D32523">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对本地区查询并导出实际已经提供精神/心理科服务人数及具体名单。</w:t>
      </w:r>
    </w:p>
    <w:p w14:paraId="480235AF">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2.1.3.2.2.5.带教师资信息管理</w:t>
      </w:r>
    </w:p>
    <w:p w14:paraId="0FD42D4E">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对培训基地理论师资、临床带教、社区带教人员信息进行管理和维护。并接受上级管理部门的审核。</w:t>
      </w:r>
    </w:p>
    <w:p w14:paraId="28950D4C">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2.1.3.2.2.6.经费管理</w:t>
      </w:r>
    </w:p>
    <w:p w14:paraId="2D914FF9">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2.1.3.2.2.6.1.经费填报</w:t>
      </w:r>
    </w:p>
    <w:p w14:paraId="3E94B142">
      <w:pPr>
        <w:pStyle w:val="6"/>
        <w:keepNext w:val="0"/>
        <w:keepLines w:val="0"/>
        <w:pageBreakBefore w:val="0"/>
        <w:kinsoku/>
        <w:wordWrap/>
        <w:overflowPunct/>
        <w:topLinePunct w:val="0"/>
        <w:autoSpaceDE/>
        <w:autoSpaceDN/>
        <w:bidi w:val="0"/>
        <w:adjustRightInd/>
        <w:snapToGrid/>
        <w:spacing w:line="500" w:lineRule="exact"/>
        <w:ind w:firstLine="480"/>
        <w:jc w:val="left"/>
        <w:textAlignment w:val="auto"/>
        <w:rPr>
          <w:rFonts w:hint="eastAsia" w:ascii="宋体" w:hAnsi="宋体" w:eastAsia="宋体" w:cs="宋体"/>
          <w:sz w:val="24"/>
          <w:szCs w:val="24"/>
        </w:rPr>
      </w:pPr>
      <w:r>
        <w:rPr>
          <w:rFonts w:hint="eastAsia" w:ascii="宋体" w:hAnsi="宋体" w:eastAsia="宋体" w:cs="宋体"/>
          <w:sz w:val="24"/>
          <w:szCs w:val="24"/>
        </w:rPr>
        <w:t>经费管理需要各个培训基地管理员填报，用于统一收集数据。时间节点在于该批次培训结束后（或指定时间）由各地市管理员提交经费使用情况（包括：国家经费应该到位金额、实际下拨金额，实际使用金额，经费使用率）。</w:t>
      </w:r>
    </w:p>
    <w:p w14:paraId="03E9DEA8">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2.1.3.2.2.6.2.经费报表</w:t>
      </w:r>
    </w:p>
    <w:p w14:paraId="4AC2A910">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自动汇总各地市填报记录，生成经费使用报表。</w:t>
      </w:r>
    </w:p>
    <w:p w14:paraId="6AC30BB5">
      <w:pPr>
        <w:pStyle w:val="6"/>
        <w:keepNext w:val="0"/>
        <w:keepLines w:val="0"/>
        <w:pageBreakBefore w:val="0"/>
        <w:kinsoku/>
        <w:wordWrap/>
        <w:overflowPunct/>
        <w:topLinePunct w:val="0"/>
        <w:autoSpaceDE/>
        <w:autoSpaceDN/>
        <w:bidi w:val="0"/>
        <w:adjustRightInd/>
        <w:snapToGrid/>
        <w:spacing w:line="500" w:lineRule="exact"/>
        <w:ind w:left="855"/>
        <w:jc w:val="both"/>
        <w:textAlignment w:val="auto"/>
        <w:rPr>
          <w:rFonts w:hint="eastAsia" w:ascii="宋体" w:hAnsi="宋体" w:eastAsia="宋体" w:cs="宋体"/>
          <w:sz w:val="24"/>
          <w:szCs w:val="24"/>
        </w:rPr>
      </w:pPr>
      <w:r>
        <w:rPr>
          <w:rFonts w:hint="eastAsia" w:ascii="宋体" w:hAnsi="宋体" w:eastAsia="宋体" w:cs="宋体"/>
          <w:b/>
          <w:sz w:val="24"/>
          <w:szCs w:val="24"/>
        </w:rPr>
        <w:t>2.1.3.2.3.管理端应用(评审项27)</w:t>
      </w:r>
    </w:p>
    <w:p w14:paraId="2932C608">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面向各级管理机构提供针对学员信息、培训管理信息的管理和查询功能。主要功能包括：</w:t>
      </w:r>
    </w:p>
    <w:p w14:paraId="21C703D8">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2.1.3.2.3.1.培训对象管理</w:t>
      </w:r>
    </w:p>
    <w:p w14:paraId="2D946BBA">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2.1.3.2.3.1.1.培训对象审核</w:t>
      </w:r>
    </w:p>
    <w:p w14:paraId="18961DCE">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各级管理机构对于参培学员报名信息进行逐级审核。对考勤、延期或退出申请审核流程进行管理。</w:t>
      </w:r>
    </w:p>
    <w:p w14:paraId="3031B138">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2.1.3.2.3.1.2.毕业审核</w:t>
      </w:r>
    </w:p>
    <w:p w14:paraId="244E73B5">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对培训基地学员成绩及毕业名单进行审核。</w:t>
      </w:r>
    </w:p>
    <w:p w14:paraId="63BF41C2">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2.1.3.2.3.2.执业信息管理</w:t>
      </w:r>
    </w:p>
    <w:p w14:paraId="321A9B8A">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2.1.3.2.3.2.1.执业注册管理</w:t>
      </w:r>
    </w:p>
    <w:p w14:paraId="70F2ED53">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对符合增加注册精神卫生专业执业范围学员相关信息进行管理和维护。</w:t>
      </w:r>
    </w:p>
    <w:p w14:paraId="70C63A0E">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2.1.3.2.3.2.2.执业情况信息管理</w:t>
      </w:r>
    </w:p>
    <w:p w14:paraId="1FEBF5E7">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对转岗培训合格并执业加注精神科执业范围的医师年度考核信息、执业情况等信息进行管理和维护。</w:t>
      </w:r>
    </w:p>
    <w:p w14:paraId="4A7D279B">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2.1.3.2.3.3.综合查询</w:t>
      </w:r>
    </w:p>
    <w:p w14:paraId="1EE9A597">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2.1.3.2.3.3.1.历史培训名单查询</w:t>
      </w:r>
    </w:p>
    <w:p w14:paraId="44FAE3CA">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查询各培训基地各批次学员名单及成绩信息。</w:t>
      </w:r>
    </w:p>
    <w:p w14:paraId="176A8AB3">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2.1.3.2.3.3.2.加注情况查询</w:t>
      </w:r>
    </w:p>
    <w:p w14:paraId="4F75DC26">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查询学员毕业后加注信息。</w:t>
      </w:r>
    </w:p>
    <w:p w14:paraId="6D05BD77">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2.1.3.2.3.3.3.执业情况查询</w:t>
      </w:r>
    </w:p>
    <w:p w14:paraId="782AEEE9">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对本地区查询并导出实际已经提供精神/心理科服务人数及具体名单。</w:t>
      </w:r>
    </w:p>
    <w:p w14:paraId="1E11AF4B">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2.1.3.2.3.4.统计报表</w:t>
      </w:r>
    </w:p>
    <w:p w14:paraId="4D1D0EF5">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用户可以查询系统生成的各类培训相关统计报表。</w:t>
      </w:r>
    </w:p>
    <w:p w14:paraId="63B2E883">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2.1.3.2.3.4.1.参培人员统计</w:t>
      </w:r>
    </w:p>
    <w:p w14:paraId="306810DC">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生成各地区参加培训人员、培训进度及考核情况统计报表，提供报表查询及导出功能。</w:t>
      </w:r>
    </w:p>
    <w:p w14:paraId="378D1CE3">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2.1.3.2.3.4.2.转岗情况统计</w:t>
      </w:r>
    </w:p>
    <w:p w14:paraId="38F2FA33">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生成各地区已加注或者转岗的学员及执业情况统计报表，提供报表查询及导出功能。</w:t>
      </w:r>
    </w:p>
    <w:p w14:paraId="06DDBFE6">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2.1.3.2.3.5.培训基地信息管理</w:t>
      </w:r>
    </w:p>
    <w:p w14:paraId="75C4E223">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省级管理用户可以对全省各培训基地基本信息进行统一管理和维护。</w:t>
      </w:r>
    </w:p>
    <w:p w14:paraId="67C59710">
      <w:pPr>
        <w:pStyle w:val="6"/>
        <w:keepNext w:val="0"/>
        <w:keepLines w:val="0"/>
        <w:pageBreakBefore w:val="0"/>
        <w:kinsoku/>
        <w:wordWrap/>
        <w:overflowPunct/>
        <w:topLinePunct w:val="0"/>
        <w:autoSpaceDE/>
        <w:autoSpaceDN/>
        <w:bidi w:val="0"/>
        <w:adjustRightInd/>
        <w:snapToGrid/>
        <w:spacing w:line="500" w:lineRule="exact"/>
        <w:ind w:left="870"/>
        <w:jc w:val="both"/>
        <w:textAlignment w:val="auto"/>
        <w:rPr>
          <w:rFonts w:hint="eastAsia" w:ascii="宋体" w:hAnsi="宋体" w:eastAsia="宋体" w:cs="宋体"/>
          <w:sz w:val="24"/>
          <w:szCs w:val="24"/>
        </w:rPr>
      </w:pPr>
      <w:r>
        <w:rPr>
          <w:rFonts w:hint="eastAsia" w:ascii="宋体" w:hAnsi="宋体" w:eastAsia="宋体" w:cs="宋体"/>
          <w:b/>
          <w:sz w:val="24"/>
          <w:szCs w:val="24"/>
        </w:rPr>
        <w:t>2.1.3.3.心理援助热线系统</w:t>
      </w:r>
    </w:p>
    <w:p w14:paraId="4ED0D909">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响应最新12356心理援助热线规范及要求，实现贯穿来电、接听、随访、个案分析、质控、督导等全流程、智能化的新一代心理援助热线服务平台。系统与全国统一心理援助热线短号码（12356）关联，满足全省各地市热线服务人员使用，开展统一排班、信息管理、来电调度、业务质控等方面需求。</w:t>
      </w:r>
    </w:p>
    <w:p w14:paraId="40FB9157">
      <w:pPr>
        <w:pStyle w:val="6"/>
        <w:keepNext w:val="0"/>
        <w:keepLines w:val="0"/>
        <w:pageBreakBefore w:val="0"/>
        <w:kinsoku/>
        <w:wordWrap/>
        <w:overflowPunct/>
        <w:topLinePunct w:val="0"/>
        <w:autoSpaceDE/>
        <w:autoSpaceDN/>
        <w:bidi w:val="0"/>
        <w:adjustRightInd/>
        <w:snapToGrid/>
        <w:spacing w:line="500" w:lineRule="exact"/>
        <w:ind w:left="855"/>
        <w:jc w:val="both"/>
        <w:textAlignment w:val="auto"/>
        <w:rPr>
          <w:rFonts w:hint="eastAsia" w:ascii="宋体" w:hAnsi="宋体" w:eastAsia="宋体" w:cs="宋体"/>
          <w:sz w:val="24"/>
          <w:szCs w:val="24"/>
        </w:rPr>
      </w:pPr>
      <w:r>
        <w:rPr>
          <w:rFonts w:hint="eastAsia" w:ascii="宋体" w:hAnsi="宋体" w:eastAsia="宋体" w:cs="宋体"/>
          <w:b/>
          <w:sz w:val="24"/>
          <w:szCs w:val="24"/>
        </w:rPr>
        <w:t>2.1.3.3.1.智能语音引导(评审项28)</w:t>
      </w:r>
    </w:p>
    <w:p w14:paraId="2A006D09">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在来电时，支持根据来电时，对一般来电进行归属地分析，引导是否到归属地咨询员接听。系统可提示当前排队人数，用户可根据需要选择自助服务，系统提供肌肉放松训练和呼吸放松训练等，及时缓解求助者的心理焦虑、抑郁等情绪。</w:t>
      </w:r>
    </w:p>
    <w:p w14:paraId="5ACEAB92">
      <w:pPr>
        <w:pStyle w:val="6"/>
        <w:keepNext w:val="0"/>
        <w:keepLines w:val="0"/>
        <w:pageBreakBefore w:val="0"/>
        <w:kinsoku/>
        <w:wordWrap/>
        <w:overflowPunct/>
        <w:topLinePunct w:val="0"/>
        <w:autoSpaceDE/>
        <w:autoSpaceDN/>
        <w:bidi w:val="0"/>
        <w:adjustRightInd/>
        <w:snapToGrid/>
        <w:spacing w:line="500" w:lineRule="exact"/>
        <w:ind w:left="855"/>
        <w:jc w:val="both"/>
        <w:textAlignment w:val="auto"/>
        <w:rPr>
          <w:rFonts w:hint="eastAsia" w:ascii="宋体" w:hAnsi="宋体" w:eastAsia="宋体" w:cs="宋体"/>
          <w:sz w:val="24"/>
          <w:szCs w:val="24"/>
        </w:rPr>
      </w:pPr>
      <w:r>
        <w:rPr>
          <w:rFonts w:hint="eastAsia" w:ascii="宋体" w:hAnsi="宋体" w:eastAsia="宋体" w:cs="宋体"/>
          <w:b/>
          <w:sz w:val="24"/>
          <w:szCs w:val="24"/>
        </w:rPr>
        <w:t>2.1.3.3.2.工作台(评审项29)</w:t>
      </w:r>
    </w:p>
    <w:p w14:paraId="0959CDD4">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工作台主要用于咨询员对今日工作情况及数据进行概览，对当日工作的数据情况，包括呼叫统计、随访统计、来电趋势等统计信息，并提供待办工单转等功能。</w:t>
      </w:r>
    </w:p>
    <w:p w14:paraId="718EE863">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2.1.3.3.2.1.呼叫统计</w:t>
      </w:r>
    </w:p>
    <w:p w14:paraId="70503B04">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统计当天的电话呼入数、呼出数及通话总时长。</w:t>
      </w:r>
    </w:p>
    <w:p w14:paraId="62CCEB3B">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2.1.3.3.2.2.随访统计</w:t>
      </w:r>
    </w:p>
    <w:p w14:paraId="0B529259">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统计随访任务数及完成数等统计。</w:t>
      </w:r>
    </w:p>
    <w:p w14:paraId="4532F8D6">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2.1.3.3.2.3.来电趋势分析</w:t>
      </w:r>
    </w:p>
    <w:p w14:paraId="37E7D408">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展示当前全省范围内来电总数及来电人均话务量趋势等。</w:t>
      </w:r>
    </w:p>
    <w:p w14:paraId="54822565">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2.1.3.3.2.4.咨询员状态监控</w:t>
      </w:r>
    </w:p>
    <w:p w14:paraId="394166E4">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监控咨询员所在地市的咨询员在线状态信息。</w:t>
      </w:r>
    </w:p>
    <w:p w14:paraId="40AE59C2">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2.1.3.3.2.5.等待列表</w:t>
      </w:r>
    </w:p>
    <w:p w14:paraId="4C493323">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监控当前正在呼入但未接通的来电信息。</w:t>
      </w:r>
    </w:p>
    <w:p w14:paraId="7C200543">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2.1.3.3.2.6.待办随访</w:t>
      </w:r>
    </w:p>
    <w:p w14:paraId="3F5FA75B">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显示当前咨询员所在地市需要处理的随访事件，包括求助者联系电话、预约时间、随访进度等，可快速点击进行回拨处理。</w:t>
      </w:r>
    </w:p>
    <w:p w14:paraId="020582ED">
      <w:pPr>
        <w:pStyle w:val="6"/>
        <w:keepNext w:val="0"/>
        <w:keepLines w:val="0"/>
        <w:pageBreakBefore w:val="0"/>
        <w:kinsoku/>
        <w:wordWrap/>
        <w:overflowPunct/>
        <w:topLinePunct w:val="0"/>
        <w:autoSpaceDE/>
        <w:autoSpaceDN/>
        <w:bidi w:val="0"/>
        <w:adjustRightInd/>
        <w:snapToGrid/>
        <w:spacing w:line="500" w:lineRule="exact"/>
        <w:ind w:left="855"/>
        <w:jc w:val="both"/>
        <w:textAlignment w:val="auto"/>
        <w:rPr>
          <w:rFonts w:hint="eastAsia" w:ascii="宋体" w:hAnsi="宋体" w:eastAsia="宋体" w:cs="宋体"/>
          <w:sz w:val="24"/>
          <w:szCs w:val="24"/>
        </w:rPr>
      </w:pPr>
      <w:r>
        <w:rPr>
          <w:rFonts w:hint="eastAsia" w:ascii="宋体" w:hAnsi="宋体" w:eastAsia="宋体" w:cs="宋体"/>
          <w:b/>
          <w:sz w:val="24"/>
          <w:szCs w:val="24"/>
        </w:rPr>
        <w:t>2.1.3.3.3.来电管理(评审项30)</w:t>
      </w:r>
    </w:p>
    <w:p w14:paraId="3B41DC48">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在求助者呼入时，可进行弹屏提示；座席人员可在弹屏页面录入求助者信息、心理情况，制定随访计划；可对求助者进行心理测评；历史来电信息进行查询，知识库查询，满意度调查服务等；同时支持坐席、技能组及与公安、120等保障服务一键转接。</w:t>
      </w:r>
    </w:p>
    <w:p w14:paraId="584C64FC">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2.1.3.3.3.1.来电弹屏</w:t>
      </w:r>
    </w:p>
    <w:p w14:paraId="7131302C">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当系统来电时，系统会自动弹屏显示求助者的来电信息，咨询员可识别并记录管理求助者的信息。如果上次来电是高危或高风险来电，本次会进行提示。</w:t>
      </w:r>
    </w:p>
    <w:p w14:paraId="095140C0">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2.1.3.3.3.2.工单登记</w:t>
      </w:r>
    </w:p>
    <w:p w14:paraId="6F76EC2C">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工单内容基于《12356心理援助热线基本数据目录参考指引》开发，对来电登记信息进行本地业务字段适配。</w:t>
      </w:r>
    </w:p>
    <w:p w14:paraId="06D39C8C">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在接听来电后，如果求助者是首次来电，咨询员可以在工单登记界面录入求助者信息，开展咨询，登记咨询记录，如不是首次来电，在工单登记界面回显出该求助者上次来电的个人基本信息。</w:t>
      </w:r>
    </w:p>
    <w:p w14:paraId="4413742D">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1.来电信息</w:t>
      </w:r>
    </w:p>
    <w:p w14:paraId="1EB7F0F5">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显示的当前来电信息，包括电话号码、来电归属、求助者姓名、最近一次来电时间、7天内来电次数、历史来电总次数。</w:t>
      </w:r>
    </w:p>
    <w:p w14:paraId="614DD549">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2.信息登记</w:t>
      </w:r>
    </w:p>
    <w:p w14:paraId="3E6E22B3">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提供来电基本信息及心理危机信息登记，对求助者自杀意向、心理状态、联系人等信息进行登记，具体内容如下：</w:t>
      </w:r>
    </w:p>
    <w:p w14:paraId="6351D500">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1）个人基本信息：如果是首次来电，咨询员可以在工单界面快速录入求助者信息，包括姓名、婚姻、来电电话、详细地址、性别、学历、其他电话、年龄、职业、所在地区等。如果不是首次来电，系统在来电弹屏界面会自动填充最近一次来电信息。</w:t>
      </w:r>
    </w:p>
    <w:p w14:paraId="63EBFDDC">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特殊备注，可显示上一次的备注内容，每一次可以进行修改，如果没有进行修改，依然旧版内容。</w:t>
      </w:r>
    </w:p>
    <w:p w14:paraId="4A7FA614">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（2）咨询信息</w:t>
      </w:r>
    </w:p>
    <w:p w14:paraId="5D329A85">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包括来电基本信息（主导情绪、近期心境、近期心境持续时间、近期心境的主要应对方式、社会支持情况、易感因素等）、寻求专业帮助情况（既往因精神心理问题的求助情况、目前因精神心理问题治疗情况、目前精神类药物服用情况等）、来电评估（主导情绪的主要应对方式、自杀风险评估、既往是否出现自杀、既往是否出现自伤、危害他人风险评估、既往是否出现危害他人的情况、危害公共安全风险评估、既往是否出现危害公共安全的情况等）、来电处理（来电主要问题、来电处理措施、咨询记录等）、来电结束前效果/风险评估（来电结束前自杀风险评估、来电结束前危害他人风险评估、来电结束前危害公共安全风险评估、情绪舒缓评估、信息咨询类评估等）等。</w:t>
      </w:r>
    </w:p>
    <w:p w14:paraId="14485CB4">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（3）联系人信息</w:t>
      </w:r>
    </w:p>
    <w:p w14:paraId="374F5386">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包括两位联系人的姓名、与本人关系及联系方式。</w:t>
      </w:r>
    </w:p>
    <w:p w14:paraId="3D1911F4">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3.随访计划</w:t>
      </w:r>
    </w:p>
    <w:p w14:paraId="6CC477D5">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如来电求助者为高危或者高风险人群，系统自动提示增加随访计划，系统可根据高危高风险类型，自动创建工作规范要求的随访次数。支持随访计划的自动生成，如计划执行过程中重新来电，系统进行提示，如重复高危，需要重新创建随访计划时，咨询员可选择终止原计划，重新创建随访计划。系统根据设定时间，间隔一定时间能自动保存，结束后支持手动保存。</w:t>
      </w:r>
    </w:p>
    <w:p w14:paraId="7BFBB5D6">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2.1.3.3.3.3.通话服务</w:t>
      </w:r>
    </w:p>
    <w:p w14:paraId="745E9AA3">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根据来电求助内容及座席服务能力，座席可选择将当前来电联合或转接由其他座席处理，具体方式包括：</w:t>
      </w:r>
    </w:p>
    <w:p w14:paraId="58605EA4">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2.1.3.3.3.3.1.转接座席</w:t>
      </w:r>
    </w:p>
    <w:p w14:paraId="47D583FF">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根据服务需要，咨询员可根据求助者需要可进行转接至指定座席予以直接处理，从而提供连续性，针对性服务。</w:t>
      </w:r>
    </w:p>
    <w:p w14:paraId="4694D473">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2.1.3.3.3.3.2.转接技能组</w:t>
      </w:r>
    </w:p>
    <w:p w14:paraId="5EF46BEE">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对于超出当前座席服务能力的情况，可转接至具体特定能力的技能座席组，由技能组予以直接处理，从而为求助者提供更加专业的心理咨询和疏导服务。</w:t>
      </w:r>
    </w:p>
    <w:p w14:paraId="59EFFF0A">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2.1.3.3.3.3.3.三方通话</w:t>
      </w:r>
    </w:p>
    <w:p w14:paraId="4641FD8A">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对于心理援助热线系统而言，其涉及的业务覆盖多个专业领域，对于一些深层次的问题，需要业务专家直接应答。因此，系统提供会议通话功能，使咨询员可将专家坐席接入通话状态，共同为公众排疑解答，同时也为坐席人员提供了一个学习的机会。也可用于拨打110、120等报警或求救等场景。</w:t>
      </w:r>
    </w:p>
    <w:p w14:paraId="300A2003">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2.1.3.3.3.3.4.通话保持</w:t>
      </w:r>
    </w:p>
    <w:p w14:paraId="2CF18BA5">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对于座席人员而言，在与求助者交流的过程中，可能需完成一些其它工作，为避免不必要的麻烦，可利用通话保持功能，与客户暂时脱离，待工作结束后，继续交流。</w:t>
      </w:r>
    </w:p>
    <w:p w14:paraId="56EF6ACD">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2.1.3.3.3.4.辅助助手</w:t>
      </w:r>
    </w:p>
    <w:p w14:paraId="6BA0A5DA">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座席辅助功能是为咨询员打造的专业智能支撑工具，可对求助者历史信息快速调阅、知识智能查询、心理评估、转介服务、实时转写、AI智能识别基及自动归纳咨询记录等能力。</w:t>
      </w:r>
    </w:p>
    <w:p w14:paraId="6C412802">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2.1.3.3.3.4.1.历史记录</w:t>
      </w:r>
    </w:p>
    <w:p w14:paraId="32B8B8F7">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（1）工单记录：可按时间及咨询类型等检索当前来电电话的历史工单信息，可通过工单编号及咨询类型对工单进行查询，查询结果以卡片形式展示，显示呼叫方向、呼叫时间、咨询地市、主要问题及咨询总结。</w:t>
      </w:r>
    </w:p>
    <w:p w14:paraId="46210B66">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（2）通话记录：可通过时间、呼叫方向、接通状态等检索求助者的历史通话记录，查询结果以卡片形式展示，显示呼叫方向、通话时间、工单编号、录音等。</w:t>
      </w:r>
    </w:p>
    <w:p w14:paraId="45360213">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（3）随访记录：可按照时间、完成状态等检索历史随访记录信息，查询结果以卡片形式展示，显示随访单号、随访状态、通话时间、咨询总结、下次随访时间等。</w:t>
      </w:r>
    </w:p>
    <w:p w14:paraId="3AE49EA4">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2.1.3.3.3.4.2.心理评估</w:t>
      </w:r>
    </w:p>
    <w:p w14:paraId="7B3B74B4">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预置常用心理评估量表，可辅助咨询师评估求助者心理健康状态。量表包括抑郁自评量表、焦虑状态调查量表、自杀风险评估量表、汉密尔顿焦虑量表、汉密顿抑郁量表等，可对来访者心理进行全方面评估，便于为求助者制定针对应性健康干预方案。</w:t>
      </w:r>
    </w:p>
    <w:p w14:paraId="354502D9">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2.1.3.3.3.4.3.知识库</w:t>
      </w:r>
    </w:p>
    <w:p w14:paraId="2A34222A">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提供知识库快捷入口，辅助接线员及时获取应对技巧及干预知识，提升接线员服务水平。接线员可按照目录树查找知识内容。可通过输入关键词，快速检索知识内容，系统提供7日内关键字搜索排名。可将对求助者有帮助知识内容以短信的形式发送给求助者。</w:t>
      </w:r>
    </w:p>
    <w:p w14:paraId="4489C4C0">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2.1.3.3.3.4.4.AI辅助</w:t>
      </w:r>
    </w:p>
    <w:p w14:paraId="43496523">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1.语音转写</w:t>
      </w:r>
    </w:p>
    <w:p w14:paraId="45551049">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在接线过程中可将求助者和咨询员的通话录音转写为文字，并显示在工单登记页面，辅助咨询员登记咨询信息及整理接线总结。</w:t>
      </w:r>
    </w:p>
    <w:p w14:paraId="6A4D7052">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2.咨询总结</w:t>
      </w:r>
    </w:p>
    <w:p w14:paraId="133D6C3F">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系统根据通话录音，自动总结本次咨询的咨询记录总结，减少咨询员手动整理咨询记录的工作量，提高接线率。</w:t>
      </w:r>
    </w:p>
    <w:p w14:paraId="6B418200">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2.1.3.3.3.4.5.转介服务</w:t>
      </w:r>
    </w:p>
    <w:p w14:paraId="33EB9AFE">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由于热线咨询服务有其局限性，部分来电者需到专业精神卫生机构或心理咨询服务机构接受更加深入的评估和治疗。咨询员根据来电者的具体情况，在鼓励他们进一步寻求治疗的情况下，给予适合其需求和现实情况的专业转介服务。咨询员可通过机构名称、行政区划、机构类别等快速检索精神卫生专科机构、心理服务机构信息等，可将机构信息（包括机构名称、机构类型、机构级别、所在地市、机构电话、机构地址等）以短信的方式发送给求助者。</w:t>
      </w:r>
    </w:p>
    <w:p w14:paraId="501FFE05">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2.1.3.3.3.4.6.排队队列</w:t>
      </w:r>
    </w:p>
    <w:p w14:paraId="3C63F97A">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显示当前热线排队队列，包括等待队列和咨询员工作队列；</w:t>
      </w:r>
    </w:p>
    <w:p w14:paraId="00874E7F">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（1）等待队列：包括来电号码、等待时长等。</w:t>
      </w:r>
    </w:p>
    <w:p w14:paraId="3C663490">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（2）咨询员工作队列：咨询员账号、状态、求助者手机号、状态的持续时长。一般显示当前咨询员所在地市或机构。</w:t>
      </w:r>
    </w:p>
    <w:p w14:paraId="44695C72">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2.1.3.3.3.5.加黑名单</w:t>
      </w:r>
    </w:p>
    <w:p w14:paraId="0F56A1F1">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对于骚扰或其他影响正常接线的来电情况，可通过该功能将来电加入黑名单，并设置黑名单的有效期。支持短期时效和长期时效两种模式，短期时效在添加后即时生效，不需要机构管理员审批。长期时效需要经机构管理员审批后方可生效。</w:t>
      </w:r>
    </w:p>
    <w:p w14:paraId="27672FCF">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2.1.3.3.3.6.满意度调查</w:t>
      </w:r>
    </w:p>
    <w:p w14:paraId="04F87474">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在通话即将结束时，接线员询问求助者是否接受满意度调查，系统通过语音播报的方式对服务态度、专业技术等不同维度信息进行播报，求助者通过语音或者按键选择满意度级别，调查结束自动挂断电话。</w:t>
      </w:r>
    </w:p>
    <w:p w14:paraId="3DE5AEF7">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2.1.3.3.3.7.一键报警</w:t>
      </w:r>
    </w:p>
    <w:p w14:paraId="36AFF103">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在咨询员识别到求助者有即时自杀、自伤、危害他人或公共安全的情况，可通过一键报警功能将求助者基本信息、风险信息发送给公安或120等，协同公安、120对求助者进行救助与干预。</w:t>
      </w:r>
    </w:p>
    <w:p w14:paraId="04B4B224">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系统提供与110、119、120、12355、12345、妇联等紧急救援平台的标准化数据接口，确保了信息的快速共享。在紧急情况下，经值班长授权确认后（按需），可一键将基本情况、事发地点、联系人等关键信息以工单形式（结构化数据）推送至相应平台，并建立与该报警事件关联关系。报警后，处置部门（如公安、120）在其系统内反馈处置结果（如“已现场处置”“人员已送医”），形成完整的生命救援闭环。热线平台接收公安机关在处理后的反馈信息，包括处置单位、处置时间、处置内容、处置人等（具体信息以与对方平台沟通后确定内容为准）。</w:t>
      </w:r>
    </w:p>
    <w:p w14:paraId="67E203A8">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2.1.3.3.3.8.督导</w:t>
      </w:r>
    </w:p>
    <w:p w14:paraId="643E66C9">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在接线过程中如咨询员认为本次来电比较典型，可通过该功能发起督导申请，在挂线后可在督导管理中完善申请信息，发起正式督导申请。</w:t>
      </w:r>
    </w:p>
    <w:p w14:paraId="2DB40D94">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2.1.3.3.3.9.暂存与提交</w:t>
      </w:r>
    </w:p>
    <w:p w14:paraId="3FE6403C">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系统同时支持保存与暂存功能，对处理完毕的工单进行保存时，系统自动校验必填项，对未填写内容进行提示。如因其它原因未能及时填写工单，可进行暂存，系统再不校验必填项，咨询员在时候通过【工单管理】中查询设置为暂存状态的工单。</w:t>
      </w:r>
    </w:p>
    <w:p w14:paraId="6A3D5D1B">
      <w:pPr>
        <w:pStyle w:val="6"/>
        <w:keepNext w:val="0"/>
        <w:keepLines w:val="0"/>
        <w:pageBreakBefore w:val="0"/>
        <w:kinsoku/>
        <w:wordWrap/>
        <w:overflowPunct/>
        <w:topLinePunct w:val="0"/>
        <w:autoSpaceDE/>
        <w:autoSpaceDN/>
        <w:bidi w:val="0"/>
        <w:adjustRightInd/>
        <w:snapToGrid/>
        <w:spacing w:line="500" w:lineRule="exact"/>
        <w:ind w:left="855"/>
        <w:jc w:val="both"/>
        <w:textAlignment w:val="auto"/>
        <w:rPr>
          <w:rFonts w:hint="eastAsia" w:ascii="宋体" w:hAnsi="宋体" w:eastAsia="宋体" w:cs="宋体"/>
          <w:sz w:val="24"/>
          <w:szCs w:val="24"/>
        </w:rPr>
      </w:pPr>
      <w:r>
        <w:rPr>
          <w:rFonts w:hint="eastAsia" w:ascii="宋体" w:hAnsi="宋体" w:eastAsia="宋体" w:cs="宋体"/>
          <w:b/>
          <w:sz w:val="24"/>
          <w:szCs w:val="24"/>
        </w:rPr>
        <w:t>2.1.3.3.4.求助者管理(评审项31)</w:t>
      </w:r>
    </w:p>
    <w:p w14:paraId="73D97D9B">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实现求助者全流程信息集中化管理，以来电号码为线索，整合其咨询记录、通话录音、随访跟踪及量表测评等数据。</w:t>
      </w:r>
    </w:p>
    <w:p w14:paraId="08448D91">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咨询员可通过姓名、来电电话检索和导出求助者信息，查看求助者个人信息、特征画像（来电概况、咨询概况、联系人概况、高危高风险概况、随访概况、治疗情况及既往诊断等），根据概况统计内容可关联显示相关的的工单记录、通话记录、随访记录及其详情。</w:t>
      </w:r>
    </w:p>
    <w:p w14:paraId="0B7D7F53">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同时支持对求助者的多维度分析，如来电时段分析、人格特点、个案概念化等。</w:t>
      </w:r>
    </w:p>
    <w:p w14:paraId="31113308">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2.1.3.3.4.1.求助者管理</w:t>
      </w:r>
    </w:p>
    <w:p w14:paraId="034B27E6">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咨询员可通过姓名、来电电话、所在地区、性别、婚姻、年龄、创建时间等进行检索，列表显示求助者姓名、来电电话、所在地区、性别、年龄、婚姻、学历、职业、其他电话、求助者特征、创建时间、最近来电时间等信息。</w:t>
      </w:r>
    </w:p>
    <w:p w14:paraId="657D0973">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2.1.3.3.4.2.求助者画像</w:t>
      </w:r>
    </w:p>
    <w:p w14:paraId="0ABDFD31">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求助者画像可查看求助者详细信息，包括历史来电（历史来电、3个月内来电、1个月内来电、通话总时长等）、随访（历史随访、最近一次随访）、求助者特征、问题类型关联联系人、特殊提醒等相关概况信息，根据概况统计内容可关联显示相关的的工单记录、通话记录、随访记录及其详情。</w:t>
      </w:r>
    </w:p>
    <w:p w14:paraId="7D4E8BFD">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2.1.3.3.4.3.来电时段分析</w:t>
      </w:r>
    </w:p>
    <w:p w14:paraId="0C2D7A4D">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通过梳理求助者的历史来电记录，统计并总结其习惯性的来电时间规律，明确高频来电时段，为后续精准对接、高效响应求助者需求提供时间维度的参考依据。</w:t>
      </w:r>
    </w:p>
    <w:p w14:paraId="00CE5EED">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2.1.3.3.4.4.历史记录</w:t>
      </w:r>
    </w:p>
    <w:p w14:paraId="25620BC0">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关联求助者画像，可展示当前求助者历史咨询记录，查询工单明细。</w:t>
      </w:r>
    </w:p>
    <w:p w14:paraId="614F8F60">
      <w:pPr>
        <w:pStyle w:val="6"/>
        <w:keepNext w:val="0"/>
        <w:keepLines w:val="0"/>
        <w:pageBreakBefore w:val="0"/>
        <w:kinsoku/>
        <w:wordWrap/>
        <w:overflowPunct/>
        <w:topLinePunct w:val="0"/>
        <w:autoSpaceDE/>
        <w:autoSpaceDN/>
        <w:bidi w:val="0"/>
        <w:adjustRightInd/>
        <w:snapToGrid/>
        <w:spacing w:line="500" w:lineRule="exact"/>
        <w:ind w:left="855"/>
        <w:jc w:val="both"/>
        <w:textAlignment w:val="auto"/>
        <w:rPr>
          <w:rFonts w:hint="eastAsia" w:ascii="宋体" w:hAnsi="宋体" w:eastAsia="宋体" w:cs="宋体"/>
          <w:sz w:val="24"/>
          <w:szCs w:val="24"/>
        </w:rPr>
      </w:pPr>
      <w:r>
        <w:rPr>
          <w:rFonts w:hint="eastAsia" w:ascii="宋体" w:hAnsi="宋体" w:eastAsia="宋体" w:cs="宋体"/>
          <w:b/>
          <w:sz w:val="24"/>
          <w:szCs w:val="24"/>
        </w:rPr>
        <w:t>2.1.3.3.5.黑名单管理(评审项32)</w:t>
      </w:r>
    </w:p>
    <w:p w14:paraId="1554DFCD">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针对蓄意骚扰、重复来电的电话进行管理，可将其电话加入黑名单，使其无法接入平台，防止浪费心理援助热线平台的座席资源。</w:t>
      </w:r>
    </w:p>
    <w:p w14:paraId="57D6316F">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2.1.3.3.5.1.记录管理</w:t>
      </w:r>
    </w:p>
    <w:p w14:paraId="14E5B891">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咨询员可通过来电电话、姓名、创建人、移除状态、创建日期等对添加入黑名单的记录进行检索。</w:t>
      </w:r>
    </w:p>
    <w:p w14:paraId="3F739540">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2.1.3.3.5.2.添加黑名单</w:t>
      </w:r>
    </w:p>
    <w:p w14:paraId="19450C63">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黑名单管理包括短时时效和正式时效。点击“添加”按钮，在弹窗中可输入需要加入黑名单的手机号、添加原因、黑名单时效，填写选择完毕保存。</w:t>
      </w:r>
    </w:p>
    <w:p w14:paraId="25A18A08">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2.1.3.3.5.2.1.短时时效</w:t>
      </w:r>
    </w:p>
    <w:p w14:paraId="59C99E24">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即时生效，短时间内多次来电、骚扰、辱骂；</w:t>
      </w:r>
    </w:p>
    <w:p w14:paraId="194FD884">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2.1.3.3.5.2.2.正式时效</w:t>
      </w:r>
    </w:p>
    <w:p w14:paraId="014785FE">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提交后由机构管理员做审批，审批通过后正式时效生效。</w:t>
      </w:r>
    </w:p>
    <w:p w14:paraId="55E5E1B6">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2.1.3.3.5.3.移除黑名单</w:t>
      </w:r>
    </w:p>
    <w:p w14:paraId="712EF5C1">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2.1.3.3.5.3.1.手动移除</w:t>
      </w:r>
    </w:p>
    <w:p w14:paraId="7FFCAEDE">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咨询员选择对应记录，点击操作栏中的“移除”按钮，即可将当前黑名单记录移除。</w:t>
      </w:r>
    </w:p>
    <w:p w14:paraId="2D120F7B">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2.1.3.3.5.3.2.自动移除</w:t>
      </w:r>
    </w:p>
    <w:p w14:paraId="18AF5C16">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在黑名单时效结束，系统自动将黑名单人员进行移除。</w:t>
      </w:r>
    </w:p>
    <w:p w14:paraId="5AE723A7">
      <w:pPr>
        <w:pStyle w:val="6"/>
        <w:keepNext w:val="0"/>
        <w:keepLines w:val="0"/>
        <w:pageBreakBefore w:val="0"/>
        <w:kinsoku/>
        <w:wordWrap/>
        <w:overflowPunct/>
        <w:topLinePunct w:val="0"/>
        <w:autoSpaceDE/>
        <w:autoSpaceDN/>
        <w:bidi w:val="0"/>
        <w:adjustRightInd/>
        <w:snapToGrid/>
        <w:spacing w:line="500" w:lineRule="exact"/>
        <w:ind w:left="855"/>
        <w:jc w:val="both"/>
        <w:textAlignment w:val="auto"/>
        <w:rPr>
          <w:rFonts w:hint="eastAsia" w:ascii="宋体" w:hAnsi="宋体" w:eastAsia="宋体" w:cs="宋体"/>
          <w:sz w:val="24"/>
          <w:szCs w:val="24"/>
        </w:rPr>
      </w:pPr>
      <w:r>
        <w:rPr>
          <w:rFonts w:hint="eastAsia" w:ascii="宋体" w:hAnsi="宋体" w:eastAsia="宋体" w:cs="宋体"/>
          <w:b/>
          <w:sz w:val="24"/>
          <w:szCs w:val="24"/>
        </w:rPr>
        <w:t>2.1.3.3.6.工单管理(评审项33)</w:t>
      </w:r>
    </w:p>
    <w:p w14:paraId="577B8258">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将来去电通话转换生成工单，将来电信息，求助信息、跟踪回访信息及处理结果生成电子工单。方便人员可对整个咨询过程进行检索、查询与管理。以此保障高危、高风险求助者的诉求得到及时处理，提高心理援助热线服务的质量。</w:t>
      </w:r>
    </w:p>
    <w:p w14:paraId="7D17DBCA">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2.1.3.3.6.1.记录查询</w:t>
      </w:r>
    </w:p>
    <w:p w14:paraId="495050EE">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系统支持通过工单编号、求助者姓名、来电电话、呼叫方向、工单类型、求助者所在地、工单归属地、咨询问题、咨询员姓名、工单状态、工单创建时间、关联号码等条件进行组合检索，检索结果以列表形式展示。</w:t>
      </w:r>
    </w:p>
    <w:p w14:paraId="459C4CB7">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输入任意一个电话号码（主号码或关联号码），可检索该求助者所有电话号码相关的全部工单。</w:t>
      </w:r>
    </w:p>
    <w:p w14:paraId="669EB320">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2.1.3.3.6.2.记录导出</w:t>
      </w:r>
    </w:p>
    <w:p w14:paraId="12D194C5">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可对筛选的工单列表进行导出，导出为Excel文件格式文件。</w:t>
      </w:r>
    </w:p>
    <w:p w14:paraId="448083AD">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2.1.3.3.6.3.工单详情</w:t>
      </w:r>
    </w:p>
    <w:p w14:paraId="5AD5BCA8">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通过查看按钮可查看工单详情，包括求助者信息（年龄自动更新）、咨询登记信息、量表测评信息，通话信息、满意度调查信息、咨询登记内容、修改记录、关联工单及随访计划等。</w:t>
      </w:r>
    </w:p>
    <w:p w14:paraId="59583141">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2.1.3.3.6.4.新建工单</w:t>
      </w:r>
    </w:p>
    <w:p w14:paraId="581D6A7A">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对热线电话以外的其他渠道的援助工单，系统可通过“新建”按钮支持手工录入登记。</w:t>
      </w:r>
    </w:p>
    <w:p w14:paraId="507F76AC">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2.1.3.3.6.5.工单编辑</w:t>
      </w:r>
    </w:p>
    <w:p w14:paraId="70E12929">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支持对暂存和完成状态的工单进行二次编辑，修改来访者信息及工单登记信息。</w:t>
      </w:r>
    </w:p>
    <w:p w14:paraId="7A7527F8">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2.1.3.3.6.6.工单待办提醒</w:t>
      </w:r>
    </w:p>
    <w:p w14:paraId="32052B98">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具有工单自动跟踪检查功能，可自动跟踪工单，对未及时完成的工单进行提醒，在工单完成前进行检查，标记必填项，若必填项漏填则发出提醒，设置限时补填工单的功能。</w:t>
      </w:r>
    </w:p>
    <w:p w14:paraId="11819AEC">
      <w:pPr>
        <w:pStyle w:val="6"/>
        <w:keepNext w:val="0"/>
        <w:keepLines w:val="0"/>
        <w:pageBreakBefore w:val="0"/>
        <w:kinsoku/>
        <w:wordWrap/>
        <w:overflowPunct/>
        <w:topLinePunct w:val="0"/>
        <w:autoSpaceDE/>
        <w:autoSpaceDN/>
        <w:bidi w:val="0"/>
        <w:adjustRightInd/>
        <w:snapToGrid/>
        <w:spacing w:line="500" w:lineRule="exact"/>
        <w:ind w:left="855"/>
        <w:jc w:val="both"/>
        <w:textAlignment w:val="auto"/>
        <w:rPr>
          <w:rFonts w:hint="eastAsia" w:ascii="宋体" w:hAnsi="宋体" w:eastAsia="宋体" w:cs="宋体"/>
          <w:sz w:val="24"/>
          <w:szCs w:val="24"/>
        </w:rPr>
      </w:pPr>
      <w:r>
        <w:rPr>
          <w:rFonts w:hint="eastAsia" w:ascii="宋体" w:hAnsi="宋体" w:eastAsia="宋体" w:cs="宋体"/>
          <w:b/>
          <w:sz w:val="24"/>
          <w:szCs w:val="24"/>
        </w:rPr>
        <w:t>2.1.3.3.7.高危来电随访(评审项34)</w:t>
      </w:r>
    </w:p>
    <w:p w14:paraId="4E6FD375">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高危来电随访是针对来电中暴露自杀/自残倾向、严重情绪失控、暴力伤害风险（伤害自己或他人）、创伤后应激障碍（PTSD）急性发作等极端心理危机的求助者，由心理咨询员主动发起的后续跟踪、评估与干预服务。其核心目标是持续监测求助者心理状态、阻断危机行为、链接支持资源，最终帮助求助者脱离心理险境，建立短期至长期的心理支持体系。</w:t>
      </w:r>
    </w:p>
    <w:p w14:paraId="0D79C1EB">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当求助者被评估为高危或高风险来电，咨询员可与求助者约定进行定期随访，系统提供随访计划自动生成，咨询员可设置随访时间和随访方式；在预约的随访时间，系统可向座席人员进行提醒。座席人员可在随访任务列表中快速发起随访，并登记随访信息。</w:t>
      </w:r>
    </w:p>
    <w:p w14:paraId="14D773AC">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2.1.3.3.7.1.计划查询</w:t>
      </w:r>
    </w:p>
    <w:p w14:paraId="0D9E146D">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系统支持按照计划创建地区、主工单编号、来电电话、是否今日随访、风险类型、咨询员姓名等检索随访任务。</w:t>
      </w:r>
    </w:p>
    <w:p w14:paraId="76994741">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2.1.3.3.7.2.计划查看</w:t>
      </w:r>
    </w:p>
    <w:p w14:paraId="20E2011E">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通过查看按钮，可查询原始工单信息，包括求助者基本信息、随访记录信息、通话信息、关联工单、满意度信息。</w:t>
      </w:r>
    </w:p>
    <w:p w14:paraId="699F472F">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2.1.3.3.7.3.随访登记</w:t>
      </w:r>
    </w:p>
    <w:p w14:paraId="4CEBB331">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通过随访按钮，对需要随访的对象快速发起随访呼叫。点击后，弹窗选择需要发起呼叫的电话号码进行呼叫。</w:t>
      </w:r>
    </w:p>
    <w:p w14:paraId="7E34BA12">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系统支持支持自动记录呼叫次数，咨询员可自行选择是否完成，如果选择完成，该记录自动标记为完成。如三次选择未完成，系统自动标记为完成。</w:t>
      </w:r>
    </w:p>
    <w:p w14:paraId="67E52353">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2.1.3.3.7.4.随访计划修改</w:t>
      </w:r>
    </w:p>
    <w:p w14:paraId="29CB869D">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在随访过程中，如求助者情况好转或要求不再随访，可手动关闭随访计划，如求助者情况依然无好转或更加严重，可手动添加随访计划。</w:t>
      </w:r>
    </w:p>
    <w:p w14:paraId="44E77C90">
      <w:pPr>
        <w:pStyle w:val="6"/>
        <w:keepNext w:val="0"/>
        <w:keepLines w:val="0"/>
        <w:pageBreakBefore w:val="0"/>
        <w:kinsoku/>
        <w:wordWrap/>
        <w:overflowPunct/>
        <w:topLinePunct w:val="0"/>
        <w:autoSpaceDE/>
        <w:autoSpaceDN/>
        <w:bidi w:val="0"/>
        <w:adjustRightInd/>
        <w:snapToGrid/>
        <w:spacing w:line="500" w:lineRule="exact"/>
        <w:ind w:left="855"/>
        <w:jc w:val="both"/>
        <w:textAlignment w:val="auto"/>
        <w:rPr>
          <w:rFonts w:hint="eastAsia" w:ascii="宋体" w:hAnsi="宋体" w:eastAsia="宋体" w:cs="宋体"/>
          <w:sz w:val="24"/>
          <w:szCs w:val="24"/>
        </w:rPr>
      </w:pPr>
      <w:r>
        <w:rPr>
          <w:rFonts w:hint="eastAsia" w:ascii="宋体" w:hAnsi="宋体" w:eastAsia="宋体" w:cs="宋体"/>
          <w:b/>
          <w:sz w:val="24"/>
          <w:szCs w:val="24"/>
        </w:rPr>
        <w:t>2.1.3.3.8.呼叫管理(评审项35)</w:t>
      </w:r>
    </w:p>
    <w:p w14:paraId="3D6CBED8">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根据国家基本数据集及本地业务场景，系统呼出类型包括高危来电随访、救援联动、危机干预联系他人、投诉反馈、中断电话回拨、其他等类型。并根据不同的呼叫类型设计不同的工单模板，方便用户分类管理。</w:t>
      </w:r>
    </w:p>
    <w:p w14:paraId="1B4DC252">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此外呼出工单可关联其它工单，选择关联的目标工单后，可自动提取工单中的电话信息，降低手输电话的操作，此外自动建立工单间的关联关系。</w:t>
      </w:r>
    </w:p>
    <w:p w14:paraId="44F0E93E">
      <w:pPr>
        <w:pStyle w:val="6"/>
        <w:keepNext w:val="0"/>
        <w:keepLines w:val="0"/>
        <w:pageBreakBefore w:val="0"/>
        <w:kinsoku/>
        <w:wordWrap/>
        <w:overflowPunct/>
        <w:topLinePunct w:val="0"/>
        <w:autoSpaceDE/>
        <w:autoSpaceDN/>
        <w:bidi w:val="0"/>
        <w:adjustRightInd/>
        <w:snapToGrid/>
        <w:spacing w:line="500" w:lineRule="exact"/>
        <w:ind w:left="855"/>
        <w:jc w:val="both"/>
        <w:textAlignment w:val="auto"/>
        <w:rPr>
          <w:rFonts w:hint="eastAsia" w:ascii="宋体" w:hAnsi="宋体" w:eastAsia="宋体" w:cs="宋体"/>
          <w:sz w:val="24"/>
          <w:szCs w:val="24"/>
        </w:rPr>
      </w:pPr>
      <w:r>
        <w:rPr>
          <w:rFonts w:hint="eastAsia" w:ascii="宋体" w:hAnsi="宋体" w:eastAsia="宋体" w:cs="宋体"/>
          <w:b/>
          <w:sz w:val="24"/>
          <w:szCs w:val="24"/>
        </w:rPr>
        <w:t>2.1.3.3.9.知识库管理(评审项36)</w:t>
      </w:r>
    </w:p>
    <w:p w14:paraId="0CF7AD4B">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知识库中包含常见的心理学或精神病学知识，支持根据咨询员的需求及常见来电类型添加与热线咨询服务相关的知识信息，如，高危来电评估和处理流程、常用自救小方法、抑郁焦虑情绪的处理要点等。知识库作为一套完整的学习系统，可以让咨询员在工作中提升工作能力和沟通技巧。</w:t>
      </w:r>
    </w:p>
    <w:p w14:paraId="17B1D452">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系统提供知识分类管理，支持用户自定义创建和发布知识内容。支持通过关键词快速检索知识内容。</w:t>
      </w:r>
    </w:p>
    <w:p w14:paraId="6F8E0068">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该模块支持管理自定义维护知识结构树主子节点，自定义添加知识内容，系统支持图文、音频、视频等类型的内容维护。</w:t>
      </w:r>
    </w:p>
    <w:p w14:paraId="17C701EF">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2.1.3.3.9.1.知识树管理</w:t>
      </w:r>
    </w:p>
    <w:p w14:paraId="6C8379D6">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管理员可对维护知识树结构，可按需自定义创建主子节点，用于清晰归类知识内容。</w:t>
      </w:r>
    </w:p>
    <w:p w14:paraId="579F9933">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2.1.3.3.9.1.1.添加节点</w:t>
      </w:r>
    </w:p>
    <w:p w14:paraId="7EA9CEBB">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支持在知识树的指定层级、指定父节点下新增知识节点，可按需创建根节点或子节点，创建时可完善节点名称、知识分类等基础信息。</w:t>
      </w:r>
    </w:p>
    <w:p w14:paraId="77D3F525">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2.1.3.3.9.1.2.删除节点</w:t>
      </w:r>
    </w:p>
    <w:p w14:paraId="3FBF75F2">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支持对知识树中无效、过期或错误的节点进行单条删除与批量删除操作，同时设置节点删除校验机制，若待删节点包含子节点，可选择级联删除所有子节点或仅删除当前节点。</w:t>
      </w:r>
    </w:p>
    <w:p w14:paraId="2DC1BB35">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2.1.3.3.9.1.3.编辑节点</w:t>
      </w:r>
    </w:p>
    <w:p w14:paraId="65684D49">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支持对知识树中已创建节点的所有信息进行修改完善，包括节点名称、所属分类等，编辑后实时同步至知识树对应位置。</w:t>
      </w:r>
    </w:p>
    <w:p w14:paraId="4DDE20C6">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2.1.3.3.9.2.知识内容管理</w:t>
      </w:r>
    </w:p>
    <w:p w14:paraId="43403126">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2.1.3.3.9.2.1.知识管理</w:t>
      </w:r>
    </w:p>
    <w:p w14:paraId="4175EE61">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系统支持通过知识标题、类别名称、关键字、发布状态、知识类型等进行检索，检索结果以列表形式进行展示。</w:t>
      </w:r>
    </w:p>
    <w:p w14:paraId="38BCE571">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2.1.3.3.9.2.2.添加知识</w:t>
      </w:r>
    </w:p>
    <w:p w14:paraId="2D5AF39D">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用户可自定义添加知识内容，支持图文、音频、视频等类型的内容维护。用户点击“添加”按钮，进入内容维护页面，可填写知识标题、知识类型、关键字|标签、所在目录等，并选择知识类型，在对应的内容框中录入相关文字、图片、音频或视频。</w:t>
      </w:r>
    </w:p>
    <w:p w14:paraId="563E2607">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2.1.3.3.9.2.3.知识发布</w:t>
      </w:r>
    </w:p>
    <w:p w14:paraId="1C234395">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用户添加知识后，自动处于待发布状态，此状态的知识对咨询员不可见。具备发布权限的用户可点击操作栏的“发布”按钮进行发布，也可对已经发布的内容取消发布。</w:t>
      </w:r>
    </w:p>
    <w:p w14:paraId="53668C24">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2.1.3.3.9.2.4.取消发布</w:t>
      </w:r>
    </w:p>
    <w:p w14:paraId="200EA638">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对已过时、发布错误等情况的知识，也可对其取消发布。</w:t>
      </w:r>
    </w:p>
    <w:p w14:paraId="2B33B3F7">
      <w:pPr>
        <w:pStyle w:val="6"/>
        <w:keepNext w:val="0"/>
        <w:keepLines w:val="0"/>
        <w:pageBreakBefore w:val="0"/>
        <w:kinsoku/>
        <w:wordWrap/>
        <w:overflowPunct/>
        <w:topLinePunct w:val="0"/>
        <w:autoSpaceDE/>
        <w:autoSpaceDN/>
        <w:bidi w:val="0"/>
        <w:adjustRightInd/>
        <w:snapToGrid/>
        <w:spacing w:line="500" w:lineRule="exact"/>
        <w:ind w:left="855"/>
        <w:jc w:val="both"/>
        <w:textAlignment w:val="auto"/>
        <w:rPr>
          <w:rFonts w:hint="eastAsia" w:ascii="宋体" w:hAnsi="宋体" w:eastAsia="宋体" w:cs="宋体"/>
          <w:sz w:val="24"/>
          <w:szCs w:val="24"/>
        </w:rPr>
      </w:pPr>
      <w:r>
        <w:rPr>
          <w:rFonts w:hint="eastAsia" w:ascii="宋体" w:hAnsi="宋体" w:eastAsia="宋体" w:cs="宋体"/>
          <w:b/>
          <w:sz w:val="24"/>
          <w:szCs w:val="24"/>
        </w:rPr>
        <w:t>2.1.3.3.10.统计报表(评审项37)</w:t>
      </w:r>
    </w:p>
    <w:p w14:paraId="6574A9D4">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根据心理援助咨询的管理指标可定制生成数据报表，支持报表查询、导出等功能。包含统计呼入和呼出电话信息，统计来电量、通话时长、诉求类型、热点区域等多维度数据，通过可视化图表（如柱状图、热力图）实时展示服务运行状态及历史趋势。同时支持咨询员工作量统计、时段利用分析等报表。</w:t>
      </w:r>
    </w:p>
    <w:p w14:paraId="495038AF">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2.1.3.3.10.1.工作统计表</w:t>
      </w:r>
    </w:p>
    <w:p w14:paraId="3D682C0C">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主要用于省级对市级来电信息进行统计分析。</w:t>
      </w:r>
    </w:p>
    <w:p w14:paraId="2096F6BB">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2.1.3.3.10.2.超时统计表</w:t>
      </w:r>
    </w:p>
    <w:p w14:paraId="51BE5BE1">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根据各地市热线咨询员历史接线中高危、高风险级别及时长进行统计，包括呼入、通话中断类通话。</w:t>
      </w:r>
    </w:p>
    <w:p w14:paraId="470FD45B">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2.1.3.3.10.3.省级汇总表</w:t>
      </w:r>
    </w:p>
    <w:p w14:paraId="5A770B86">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主要用于省级对各地市数据热线呼入呼出及专题信息统计内容。</w:t>
      </w:r>
    </w:p>
    <w:p w14:paraId="07B79AAD">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2.1.3.3.10.4.来电者分析</w:t>
      </w:r>
    </w:p>
    <w:p w14:paraId="06D45466">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按照市级报表显示，国家基本数据集。</w:t>
      </w:r>
    </w:p>
    <w:p w14:paraId="27809248">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2.1.3.3.10.5.时段分析</w:t>
      </w:r>
    </w:p>
    <w:p w14:paraId="66EC6C5E">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市级报表，具体内容包括访问量、来电量、坐席呼入量、接听量、高危来电量、接听率、高危来电占比等。</w:t>
      </w:r>
    </w:p>
    <w:p w14:paraId="5DC5B93E">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2.1.3.3.10.6.咨询员工作统计</w:t>
      </w:r>
    </w:p>
    <w:p w14:paraId="0E882E7B">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对咨询员的当日通话时长、忙碌时长、示忙时长、小休时长、通话数等进行分类统计。</w:t>
      </w:r>
    </w:p>
    <w:p w14:paraId="1E222EFA">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2.1.3.3.10.7.人员工作量</w:t>
      </w:r>
    </w:p>
    <w:p w14:paraId="4FCE545B">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包括省、市、机构三级报表，用于对下级单位或人员工作量统计。</w:t>
      </w:r>
    </w:p>
    <w:p w14:paraId="04C343AA">
      <w:pPr>
        <w:pStyle w:val="6"/>
        <w:keepNext w:val="0"/>
        <w:keepLines w:val="0"/>
        <w:pageBreakBefore w:val="0"/>
        <w:kinsoku/>
        <w:wordWrap/>
        <w:overflowPunct/>
        <w:topLinePunct w:val="0"/>
        <w:autoSpaceDE/>
        <w:autoSpaceDN/>
        <w:bidi w:val="0"/>
        <w:adjustRightInd/>
        <w:snapToGrid/>
        <w:spacing w:line="500" w:lineRule="exact"/>
        <w:ind w:left="855"/>
        <w:jc w:val="both"/>
        <w:textAlignment w:val="auto"/>
        <w:rPr>
          <w:rFonts w:hint="eastAsia" w:ascii="宋体" w:hAnsi="宋体" w:eastAsia="宋体" w:cs="宋体"/>
          <w:sz w:val="24"/>
          <w:szCs w:val="24"/>
        </w:rPr>
      </w:pPr>
      <w:r>
        <w:rPr>
          <w:rFonts w:hint="eastAsia" w:ascii="宋体" w:hAnsi="宋体" w:eastAsia="宋体" w:cs="宋体"/>
          <w:b/>
          <w:sz w:val="24"/>
          <w:szCs w:val="24"/>
        </w:rPr>
        <w:t>2.1.3.3.11.质控管理(评审项38)</w:t>
      </w:r>
    </w:p>
    <w:p w14:paraId="26012CB7">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系统将所有求助者与咨询员的沟通记录进行录音储存，录音记录随时可查，可清楚了解沟通情况，帮助咨询员提升处理技能。质控员可通过听取录音，对咨询员的工作能力与态度等维度进行点评，让咨询员一目了然的明确自己的优势和不足。</w:t>
      </w:r>
    </w:p>
    <w:p w14:paraId="2AD59A67">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系统支持省、市、机构三级质控管理，支持质控任务的创建（含质控工单自动抽取）、分配、评分、通知、报告总结全流程管理。</w:t>
      </w:r>
    </w:p>
    <w:p w14:paraId="0407F869">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2.1.3.3.11.1.质检任务管理</w:t>
      </w:r>
    </w:p>
    <w:p w14:paraId="3E1B881E">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本功能主要用于管理质检任务，可创建新的质检任务，也可查看历史质检任务及进度。</w:t>
      </w:r>
    </w:p>
    <w:p w14:paraId="0F190308">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2.1.3.3.11.1.1.任务管理</w:t>
      </w:r>
    </w:p>
    <w:p w14:paraId="2313DC68">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用户可通过任务编号、质检主题、任务状态、质控管理员、质控管理员工号、任务创建人、任务创建时间等对记录进行检索，检索结果以列表形式展示，包括任务编号、质检主题、质检任务数、任务状态、质控管理员、质控管理员工号、任务创建人、任务创建时间等。</w:t>
      </w:r>
    </w:p>
    <w:p w14:paraId="2C672F83">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2.1.3.3.11.1.2.添加质控任务</w:t>
      </w:r>
    </w:p>
    <w:p w14:paraId="26C1CDE0">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添加质控任务，点击“添加”按钮后，跳转到记录选择页面，用户可通过工单编号、求助者姓名、来电电话、工单渠道、呼叫方向、业务类型、咨询内容、咨询类型、通话创建时间、其他电话、与咨询人关系、筛选数量等条件抽取工单记录。用户对检索列表信息确认无误后，可通过“生成质检任务”按钮生成质检任务。</w:t>
      </w:r>
    </w:p>
    <w:p w14:paraId="359C6122">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2.1.3.3.11.1.3.任务分派</w:t>
      </w:r>
    </w:p>
    <w:p w14:paraId="5E117E78">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质检管理员可将对应的质检对象单独分配给质控员，质控员在接收到任务后，可进行质控，点击“分配”按钮，在弹窗中选择质控员进行保存即可。</w:t>
      </w:r>
    </w:p>
    <w:p w14:paraId="2B892B54">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2.1.3.3.11.1.4.AI质控</w:t>
      </w:r>
    </w:p>
    <w:p w14:paraId="2200E49E">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依托专业的质控模型实现全流程自动化质控，系统可自动调取热线服务工单，按照预设的质控标准、评分维度与考核指标对工单内容进行智能识别、分析与判定，精准抓取服务过程中的关键信息并完成量化评分，同时自动生成标准化的质控报告，清晰呈现工单质控结果、扣分点、达标情况等核心内容。</w:t>
      </w:r>
    </w:p>
    <w:p w14:paraId="0D4BFB6D">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2.1.3.3.11.1.5.质控报告</w:t>
      </w:r>
    </w:p>
    <w:p w14:paraId="15E83991">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在当前质控任务完成后，系统可生成质控总结报告，对本次质控内容、结果等多维度进行总结，同时以站内信的方式发送给工单咨询员。</w:t>
      </w:r>
    </w:p>
    <w:p w14:paraId="631FAA8A">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2.1.3.3.11.1.6.质控汇总报告</w:t>
      </w:r>
    </w:p>
    <w:p w14:paraId="7F90CBCF">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可对全量热线服务工单的质控数据进行系统化整合与多维度统计分析，按时间周期、服务类型、质控指标等维度自动归集质控结果、达标率、问题类型分布等核心数据，生成标准化、可视化的质控汇总报告，清晰呈现整体质控情况。</w:t>
      </w:r>
    </w:p>
    <w:p w14:paraId="0BEF0E99">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2.1.3.3.11.2.质检明细管理</w:t>
      </w:r>
    </w:p>
    <w:p w14:paraId="04FC2495">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本部分主要用于对已经生成的质检任务进行执行和监控。</w:t>
      </w:r>
    </w:p>
    <w:p w14:paraId="7E23CAD3">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2.1.3.3.11.2.1.工单查询</w:t>
      </w:r>
    </w:p>
    <w:p w14:paraId="4D3AF86E">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用户可通过工单编号、联系电话、性别、年龄、婚姻、学历、质检状态、咨询员姓名等对质控对象进行检索，检索结果以列表形式展示。</w:t>
      </w:r>
    </w:p>
    <w:p w14:paraId="7662DF83">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用户通过查看按钮可查看对应记录的详细工单明细信息。</w:t>
      </w:r>
    </w:p>
    <w:p w14:paraId="6FE2F022">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2.1.3.3.11.2.2.工单质控</w:t>
      </w:r>
    </w:p>
    <w:p w14:paraId="5654EB40">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可对所接听录音进行回放检查，质检员可通过录音，考评咨询员的工作能力及态度，并考评项目进行打分，并填写评语，让工作点评有据可查。</w:t>
      </w:r>
    </w:p>
    <w:p w14:paraId="0D1574EC">
      <w:pPr>
        <w:pStyle w:val="6"/>
        <w:keepNext w:val="0"/>
        <w:keepLines w:val="0"/>
        <w:pageBreakBefore w:val="0"/>
        <w:kinsoku/>
        <w:wordWrap/>
        <w:overflowPunct/>
        <w:topLinePunct w:val="0"/>
        <w:autoSpaceDE/>
        <w:autoSpaceDN/>
        <w:bidi w:val="0"/>
        <w:adjustRightInd/>
        <w:snapToGrid/>
        <w:spacing w:line="500" w:lineRule="exact"/>
        <w:ind w:left="855"/>
        <w:jc w:val="both"/>
        <w:textAlignment w:val="auto"/>
        <w:rPr>
          <w:rFonts w:hint="eastAsia" w:ascii="宋体" w:hAnsi="宋体" w:eastAsia="宋体" w:cs="宋体"/>
          <w:sz w:val="24"/>
          <w:szCs w:val="24"/>
        </w:rPr>
      </w:pPr>
      <w:r>
        <w:rPr>
          <w:rFonts w:hint="eastAsia" w:ascii="宋体" w:hAnsi="宋体" w:eastAsia="宋体" w:cs="宋体"/>
          <w:b/>
          <w:sz w:val="24"/>
          <w:szCs w:val="24"/>
        </w:rPr>
        <w:t>2.1.3.3.12.督导管理(评审项39)</w:t>
      </w:r>
    </w:p>
    <w:p w14:paraId="0D325A51">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咨询师可在工单中发起督导申请，机构管理员与督导师在线审批，督导申请通过后可在线上传保密协议，督导师可在线查看督导申请信息及工单记录，督导结束后咨询员可提交督导反馈信息，实现督导的在线管理服务。</w:t>
      </w:r>
    </w:p>
    <w:p w14:paraId="74326448">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2.1.3.3.12.1.督导排班</w:t>
      </w:r>
    </w:p>
    <w:p w14:paraId="7A5CB35C">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为心理援助热线督导工作提供人员与时间的统筹管理能力，支持督导师根据督导方向、工作时间及热线咨询督导需求，灵活制定督导排班计划，可按需调整排班时段，支持排班信息的实时同步与修改。</w:t>
      </w:r>
    </w:p>
    <w:p w14:paraId="0E8116E8">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2.1.3.3.12.2.督导申请</w:t>
      </w:r>
    </w:p>
    <w:p w14:paraId="3D422DC0">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支持咨询师在对应服务工单中直接发起线上督导申请，可按需填写申请事由、工单相关情况、督导需求等核心信息，提交后系统自动同步至审批端，无需线下流转申请材料，实现督导申请与工单的精准关联，简化申请流程，让咨询师能够快速发起督导需求，及时获取专业督导支持。</w:t>
      </w:r>
    </w:p>
    <w:p w14:paraId="585501F9">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2.1.3.3.12.3.分级审批</w:t>
      </w:r>
    </w:p>
    <w:p w14:paraId="3A80D125">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针对咨询师提交的督导申请，搭建机构管理员与督导师的线上分级审批流程，审批人员可在系统端查看申请详情及关联工单信息，根据实际情况完成通过、驳回或退回修改等操作，并可添加审批意见，审批结果实时反馈至申请咨询师的系统端。</w:t>
      </w:r>
    </w:p>
    <w:p w14:paraId="1D075B9B">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2.1.3.3.12.4.督导进度跟踪</w:t>
      </w:r>
    </w:p>
    <w:p w14:paraId="21B5561A">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实现对督导全流程的状态监控与进度管理，系统自动记录督导申请提交、审批、保密协议上传、督导开展、反馈提交等各环节的节点信息与处理状态，机构管理员、督导师与咨询师可分别在对应权限端查看督导当前进度，及时掌握督导推进情况，便于针对停滞节点进行跟进处理，保障督导工作按流程顺利落地。</w:t>
      </w:r>
    </w:p>
    <w:p w14:paraId="75B5EB0B">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2.1.3.3.12.5.保密协议管理</w:t>
      </w:r>
    </w:p>
    <w:p w14:paraId="6807E463">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为督导工作提供线上化的协议流转与管理能力，在督导申请通过后，支持相关人员在线上传标准化保密协议，系统对协议进行统一存储与归档，督导师与咨询师可在线查看、确认协议内容，既满足心理援助督导工作的保密合规要求，又简化协议交接流程。</w:t>
      </w:r>
    </w:p>
    <w:p w14:paraId="134FC824">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2.1.3.3.12.6.督导反馈</w:t>
      </w:r>
    </w:p>
    <w:p w14:paraId="75EC9A05">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支持咨询师在督导工作结束后，在线提交督导反馈信息，可按需填写督导收获、问题解决情况、后续工作改进方向等内容，部分可关联对应督导工单与督导师信息，提交的反馈内容将同步至系统并完成归档，为机构管理员掌握督导效果、督导师总结督导工作、咨询师复盘咨询服务提供数据支撑。</w:t>
      </w:r>
    </w:p>
    <w:p w14:paraId="78586E66">
      <w:pPr>
        <w:pStyle w:val="6"/>
        <w:keepNext w:val="0"/>
        <w:keepLines w:val="0"/>
        <w:pageBreakBefore w:val="0"/>
        <w:kinsoku/>
        <w:wordWrap/>
        <w:overflowPunct/>
        <w:topLinePunct w:val="0"/>
        <w:autoSpaceDE/>
        <w:autoSpaceDN/>
        <w:bidi w:val="0"/>
        <w:adjustRightInd/>
        <w:snapToGrid/>
        <w:spacing w:line="500" w:lineRule="exact"/>
        <w:ind w:left="855"/>
        <w:jc w:val="both"/>
        <w:textAlignment w:val="auto"/>
        <w:rPr>
          <w:rFonts w:hint="eastAsia" w:ascii="宋体" w:hAnsi="宋体" w:eastAsia="宋体" w:cs="宋体"/>
          <w:sz w:val="24"/>
          <w:szCs w:val="24"/>
        </w:rPr>
      </w:pPr>
      <w:r>
        <w:rPr>
          <w:rFonts w:hint="eastAsia" w:ascii="宋体" w:hAnsi="宋体" w:eastAsia="宋体" w:cs="宋体"/>
          <w:b/>
          <w:sz w:val="24"/>
          <w:szCs w:val="24"/>
        </w:rPr>
        <w:t>2.1.3.3.13.系统设置(评审项40)</w:t>
      </w:r>
    </w:p>
    <w:p w14:paraId="00046794">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提供热线服务的运行参数配置与个性化管理。如转介机构维护，IVR导航设置等。</w:t>
      </w:r>
    </w:p>
    <w:p w14:paraId="4BE525C6">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2.1.3.3.13.1.IVR导航设置</w:t>
      </w:r>
    </w:p>
    <w:p w14:paraId="540EFD0E">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语音导航使用可视化业务流程开发环境定制业务流程并调试。IVR 语音导航流程设计器支持放音、队列、挂机、结束等基本节点以及条件判断、并列判断等高级节点。</w:t>
      </w:r>
    </w:p>
    <w:p w14:paraId="0D8434F1">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2.1.3.3.13.2.转介机构管理</w:t>
      </w:r>
    </w:p>
    <w:p w14:paraId="12DA88C4">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当线上咨询无法完全缓解来访者心理困扰时，咨询员可为来访者提供所在地区的精神卫生与心理健康服务机构信息，参与线下干预。</w:t>
      </w:r>
    </w:p>
    <w:p w14:paraId="0F613A6C">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该模块可维护转介机构的信息，包括机构资质、服务时间、联系方式和地点等信息，管理员可手工按分类维护机构信息，也可自动同步精神卫生服务机构资源。</w:t>
      </w:r>
    </w:p>
    <w:p w14:paraId="046D96A1">
      <w:pPr>
        <w:pStyle w:val="6"/>
        <w:keepNext w:val="0"/>
        <w:keepLines w:val="0"/>
        <w:pageBreakBefore w:val="0"/>
        <w:kinsoku/>
        <w:wordWrap/>
        <w:overflowPunct/>
        <w:topLinePunct w:val="0"/>
        <w:autoSpaceDE/>
        <w:autoSpaceDN/>
        <w:bidi w:val="0"/>
        <w:adjustRightInd/>
        <w:snapToGrid/>
        <w:spacing w:line="500" w:lineRule="exact"/>
        <w:ind w:left="855"/>
        <w:jc w:val="both"/>
        <w:textAlignment w:val="auto"/>
        <w:rPr>
          <w:rFonts w:hint="eastAsia" w:ascii="宋体" w:hAnsi="宋体" w:eastAsia="宋体" w:cs="宋体"/>
          <w:sz w:val="24"/>
          <w:szCs w:val="24"/>
        </w:rPr>
      </w:pPr>
      <w:r>
        <w:rPr>
          <w:rFonts w:hint="eastAsia" w:ascii="宋体" w:hAnsi="宋体" w:eastAsia="宋体" w:cs="宋体"/>
          <w:b/>
          <w:sz w:val="24"/>
          <w:szCs w:val="24"/>
        </w:rPr>
        <w:t>2.1.3.3.14.排班管理(评审项41)</w:t>
      </w:r>
    </w:p>
    <w:p w14:paraId="1E5E3130">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排班管理是面向省级心理援助热线运营管理机构打造的一体化、智能化排班与运营支撑模块，系统适配省级热线的多层级管理架构，是省级心理援助热线运营体系的核心数字化支撑工具。</w:t>
      </w:r>
    </w:p>
    <w:p w14:paraId="07C1E816">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2.1.3.3.14.1.班制配置管理</w:t>
      </w:r>
    </w:p>
    <w:p w14:paraId="6DDDEA97">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为系统排班提供基础规则支撑，支持2 班倒、3 班倒等多类型班制的自定义创建、编辑、启用 / 停用，可精准设置各班组的值班时间，适配不同地市、不同机构的排班运营需求，班制规则同步至机构排班端，确保机构排班符合统一规范。</w:t>
      </w:r>
    </w:p>
    <w:p w14:paraId="7B7F7ACC">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2.1.3.3.14.2.机构排班管理</w:t>
      </w:r>
    </w:p>
    <w:p w14:paraId="09394249">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作为基层操作核心功能，支持各机构对本单位咨询员开展日常排班操作，基于预设班制规则完成排班表编制，提交后推送至市级端审批，实现机构排班的自主化、规范化，替代人工线下排班与纸质报审。</w:t>
      </w:r>
    </w:p>
    <w:p w14:paraId="51843FF3">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2.1.3.3.14.3.市级排班审批</w:t>
      </w:r>
    </w:p>
    <w:p w14:paraId="61028F00">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聚焦市级管理端的审核权限，实现对辖区内所有机构排班表的集中接收、合规审核，是衔接机构排班与正式执行的核心管控环节，确保辖区内排班方案符合热线运营要求，保障人力配置充足、班制执行规范。</w:t>
      </w:r>
    </w:p>
    <w:p w14:paraId="54B51458">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2.1.3.3.14.4.在线调班与审批</w:t>
      </w:r>
    </w:p>
    <w:p w14:paraId="3551478A">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覆盖咨询员日常调班全场景，支持调班申请、审核、结果同步、排班表自动更新，实现调班申请—机构初审—市级终审（按需）—排班生效的全流程线上化，解决线下调班沟通成本高、审批不及时、排班表更新滞后问题。</w:t>
      </w:r>
    </w:p>
    <w:p w14:paraId="29038D13">
      <w:pPr>
        <w:pStyle w:val="6"/>
        <w:keepNext w:val="0"/>
        <w:keepLines w:val="0"/>
        <w:pageBreakBefore w:val="0"/>
        <w:kinsoku/>
        <w:wordWrap/>
        <w:overflowPunct/>
        <w:topLinePunct w:val="0"/>
        <w:autoSpaceDE/>
        <w:autoSpaceDN/>
        <w:bidi w:val="0"/>
        <w:adjustRightInd/>
        <w:snapToGrid/>
        <w:spacing w:line="500" w:lineRule="exact"/>
        <w:ind w:left="855"/>
        <w:jc w:val="both"/>
        <w:textAlignment w:val="auto"/>
        <w:rPr>
          <w:rFonts w:hint="eastAsia" w:ascii="宋体" w:hAnsi="宋体" w:eastAsia="宋体" w:cs="宋体"/>
          <w:sz w:val="24"/>
          <w:szCs w:val="24"/>
        </w:rPr>
      </w:pPr>
      <w:r>
        <w:rPr>
          <w:rFonts w:hint="eastAsia" w:ascii="宋体" w:hAnsi="宋体" w:eastAsia="宋体" w:cs="宋体"/>
          <w:b/>
          <w:sz w:val="24"/>
          <w:szCs w:val="24"/>
        </w:rPr>
        <w:t>2.1.3.3.15.热线服务(评审项42)</w:t>
      </w:r>
    </w:p>
    <w:p w14:paraId="07B45093">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第三方热线服务，支持云端话务接入，可满足热线客服、远程心理咨询、销售外呼等多种场景需求。相比传统本地CTI方案，该服务具备快速集成、免硬件部署、弹性扩展等优势，更适合省级平台统一部署与运维管理，能够有效突破传统架构限制，显著提升通话质量与系统稳定性。</w:t>
      </w:r>
    </w:p>
    <w:p w14:paraId="485936B6">
      <w:pPr>
        <w:pStyle w:val="6"/>
        <w:keepNext w:val="0"/>
        <w:keepLines w:val="0"/>
        <w:pageBreakBefore w:val="0"/>
        <w:kinsoku/>
        <w:wordWrap/>
        <w:overflowPunct/>
        <w:topLinePunct w:val="0"/>
        <w:autoSpaceDE/>
        <w:autoSpaceDN/>
        <w:bidi w:val="0"/>
        <w:adjustRightInd/>
        <w:snapToGrid/>
        <w:spacing w:line="500" w:lineRule="exact"/>
        <w:ind w:left="855"/>
        <w:jc w:val="both"/>
        <w:textAlignment w:val="auto"/>
        <w:rPr>
          <w:rFonts w:hint="eastAsia" w:ascii="宋体" w:hAnsi="宋体" w:eastAsia="宋体" w:cs="宋体"/>
          <w:sz w:val="24"/>
          <w:szCs w:val="24"/>
        </w:rPr>
      </w:pPr>
      <w:r>
        <w:rPr>
          <w:rFonts w:hint="eastAsia" w:ascii="宋体" w:hAnsi="宋体" w:eastAsia="宋体" w:cs="宋体"/>
          <w:b/>
          <w:sz w:val="24"/>
          <w:szCs w:val="24"/>
        </w:rPr>
        <w:t>2.1.3.3.16.会话边界控制器(评审项43)</w:t>
      </w:r>
    </w:p>
    <w:p w14:paraId="73DF8BC1">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为满足心理援助热线系统的正常运行与连续性要求，本项目配套部署2台会话边界控制器，用于实现运营商线路与系统之间的语音转换。会话边界控制器作为心理援助热线系统的核心接入与控制节点，承担热线平台业务系统与运营商话务专网之间的语音信令交互、媒体流中继转发及安全隔离等关键职能。</w:t>
      </w:r>
    </w:p>
    <w:p w14:paraId="27BF7F9F">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2.1.3.3.16.1.硬件规格设计</w:t>
      </w:r>
    </w:p>
    <w:p w14:paraId="4AC0C0BB">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会话边界控制器具体性能要求如下：</w:t>
      </w:r>
    </w:p>
    <w:p w14:paraId="2F46BEB6">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1.物理规格要求</w:t>
      </w:r>
    </w:p>
    <w:p w14:paraId="7ABC7843">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（1）以太网接口：配置≥4个10/100/1000M Base-T自适应以太网电口；</w:t>
      </w:r>
    </w:p>
    <w:p w14:paraId="33E076BE">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（2）主控与业务板卡：采用单主控板（MCU）架构，并配置≥4块业务处理板（MFU），以保障业务处理能力与扩展性；</w:t>
      </w:r>
    </w:p>
    <w:p w14:paraId="4176E3E4">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（3）USB接口：预留≥1个USB 2.0接口，用于系统维护或数据导出等扩展用途；</w:t>
      </w:r>
    </w:p>
    <w:p w14:paraId="1CE4987B">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（4）串行管理接口：提供≥1个RS232串口，支持115200bps波特率，用于本地调试与应急管理；</w:t>
      </w:r>
    </w:p>
    <w:p w14:paraId="4985E1AB">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（5）电源：支持双电源热备份，兼容100-240VAC，50-60Hz宽幅交流输入，提高系统供电可靠性。</w:t>
      </w:r>
    </w:p>
    <w:p w14:paraId="2D7DEFB9">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2.主要功能要求</w:t>
      </w:r>
    </w:p>
    <w:p w14:paraId="0434FC45">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（1）支持≥500路媒体转发，≥25/S媒体转发，支持媒体加密；</w:t>
      </w:r>
    </w:p>
    <w:p w14:paraId="1B8E0A31">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（2）支持≥200路媒体和传真转码；</w:t>
      </w:r>
    </w:p>
    <w:p w14:paraId="7B537C74">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（3）支持多软交换和软交换防封杀，拓扑隐藏；</w:t>
      </w:r>
    </w:p>
    <w:p w14:paraId="1F8ADB52">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（4）支持灵活的路由规则配置，支持正则表达式，支持黑白名单；</w:t>
      </w:r>
    </w:p>
    <w:p w14:paraId="397B5415">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（5）防 DOS/DDOS 攻击，支持防IP地址欺骗、非法SIP/RTP等报文攻击；</w:t>
      </w:r>
    </w:p>
    <w:p w14:paraId="3492BC13">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（6）支持带宽限制，支持动态黑名单；</w:t>
      </w:r>
    </w:p>
    <w:p w14:paraId="16843C4B">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（7）支持VLAN、QoS、静态路由、NAT穿透；</w:t>
      </w:r>
    </w:p>
    <w:p w14:paraId="7E107CE1">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（8）支持登录用户分级管理，支持远程升级、配置导入导出；</w:t>
      </w:r>
    </w:p>
    <w:p w14:paraId="23531A97">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（9）支持双机热备；</w:t>
      </w:r>
    </w:p>
    <w:p w14:paraId="52161955">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（10）支持批量账户创建和注册；</w:t>
      </w:r>
    </w:p>
    <w:p w14:paraId="241FD3EC">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（11）详细的系统用户安全日志和通话记录；</w:t>
      </w:r>
    </w:p>
    <w:p w14:paraId="1B2CB39B">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（12）友好的Web用户管理界面，提供多种管理方式；</w:t>
      </w:r>
    </w:p>
    <w:p w14:paraId="284FFA86">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（13）支持SIP标准协议、传输协议 UDP/TCP/TLS；</w:t>
      </w:r>
    </w:p>
    <w:p w14:paraId="52DD28BB">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（14）WebRTC网关。</w:t>
      </w:r>
    </w:p>
    <w:p w14:paraId="654BED4D">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2.1.3.3.16.2.配置清单</w:t>
      </w:r>
    </w:p>
    <w:p w14:paraId="3E1C40A5">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表2</w:t>
      </w:r>
      <w:r>
        <w:rPr>
          <w:rFonts w:hint="eastAsia" w:ascii="宋体" w:hAnsi="宋体" w:eastAsia="宋体" w:cs="宋体"/>
          <w:sz w:val="24"/>
          <w:szCs w:val="24"/>
          <w:lang w:val="en-US" w:eastAsia="zh-CN"/>
        </w:rPr>
        <w:t>-</w:t>
      </w:r>
      <w:r>
        <w:rPr>
          <w:rFonts w:hint="eastAsia" w:ascii="宋体" w:hAnsi="宋体" w:eastAsia="宋体" w:cs="宋体"/>
          <w:sz w:val="24"/>
          <w:szCs w:val="24"/>
        </w:rPr>
        <w:t>2心理援助热线系统配套硬件清单</w:t>
      </w:r>
    </w:p>
    <w:tbl>
      <w:tblPr>
        <w:tblStyle w:val="4"/>
        <w:tblW w:w="0" w:type="auto"/>
        <w:tblInd w:w="0" w:type="dxa"/>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autofit"/>
        <w:tblCellMar>
          <w:top w:w="0" w:type="dxa"/>
          <w:left w:w="108" w:type="dxa"/>
          <w:bottom w:w="0" w:type="dxa"/>
          <w:right w:w="108" w:type="dxa"/>
        </w:tblCellMar>
      </w:tblPr>
      <w:tblGrid>
        <w:gridCol w:w="681"/>
        <w:gridCol w:w="5288"/>
        <w:gridCol w:w="1169"/>
        <w:gridCol w:w="1169"/>
      </w:tblGrid>
      <w:tr w14:paraId="0CF04057">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81" w:type="dxa"/>
            <w:tcBorders>
              <w:top w:val="double" w:color="000000" w:sz="4" w:space="0"/>
              <w:left w:val="double" w:color="000000" w:sz="4" w:space="0"/>
              <w:bottom w:val="single" w:color="000000" w:sz="4" w:space="0"/>
              <w:right w:val="single" w:color="000000" w:sz="4" w:space="0"/>
            </w:tcBorders>
            <w:shd w:val="clear" w:color="auto" w:fill="BFBFBF"/>
            <w:tcMar>
              <w:top w:w="0" w:type="dxa"/>
              <w:left w:w="0" w:type="dxa"/>
              <w:bottom w:w="0" w:type="dxa"/>
              <w:right w:w="0" w:type="dxa"/>
            </w:tcMar>
            <w:vAlign w:val="top"/>
          </w:tcPr>
          <w:p w14:paraId="23DC97EE">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b/>
                <w:sz w:val="24"/>
                <w:szCs w:val="24"/>
              </w:rPr>
              <w:t>序号</w:t>
            </w:r>
          </w:p>
        </w:tc>
        <w:tc>
          <w:tcPr>
            <w:tcW w:w="5288" w:type="dxa"/>
            <w:tcBorders>
              <w:top w:val="double" w:color="000000" w:sz="4" w:space="0"/>
              <w:left w:val="nil"/>
              <w:bottom w:val="single" w:color="000000" w:sz="4" w:space="0"/>
              <w:right w:val="single" w:color="000000" w:sz="4" w:space="0"/>
            </w:tcBorders>
            <w:shd w:val="clear" w:color="auto" w:fill="BFBFBF"/>
            <w:tcMar>
              <w:top w:w="0" w:type="dxa"/>
              <w:left w:w="0" w:type="dxa"/>
              <w:bottom w:w="0" w:type="dxa"/>
              <w:right w:w="0" w:type="dxa"/>
            </w:tcMar>
            <w:vAlign w:val="top"/>
          </w:tcPr>
          <w:p w14:paraId="6F82AA80">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b/>
                <w:sz w:val="24"/>
                <w:szCs w:val="24"/>
              </w:rPr>
              <w:t>设备名称</w:t>
            </w:r>
          </w:p>
        </w:tc>
        <w:tc>
          <w:tcPr>
            <w:tcW w:w="1169" w:type="dxa"/>
            <w:tcBorders>
              <w:top w:val="double" w:color="000000" w:sz="4" w:space="0"/>
              <w:left w:val="nil"/>
              <w:bottom w:val="single" w:color="000000" w:sz="4" w:space="0"/>
              <w:right w:val="single" w:color="000000" w:sz="4" w:space="0"/>
            </w:tcBorders>
            <w:shd w:val="clear" w:color="auto" w:fill="BFBFBF"/>
            <w:tcMar>
              <w:top w:w="0" w:type="dxa"/>
              <w:left w:w="0" w:type="dxa"/>
              <w:bottom w:w="0" w:type="dxa"/>
              <w:right w:w="0" w:type="dxa"/>
            </w:tcMar>
            <w:vAlign w:val="top"/>
          </w:tcPr>
          <w:p w14:paraId="27C5B2CC">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b/>
                <w:sz w:val="24"/>
                <w:szCs w:val="24"/>
              </w:rPr>
              <w:t>数量</w:t>
            </w:r>
          </w:p>
        </w:tc>
        <w:tc>
          <w:tcPr>
            <w:tcW w:w="1169" w:type="dxa"/>
            <w:tcBorders>
              <w:top w:val="double" w:color="000000" w:sz="4" w:space="0"/>
              <w:left w:val="nil"/>
              <w:bottom w:val="single" w:color="000000" w:sz="4" w:space="0"/>
              <w:right w:val="double" w:color="000000" w:sz="4" w:space="0"/>
            </w:tcBorders>
            <w:shd w:val="clear" w:color="auto" w:fill="BFBFBF"/>
            <w:tcMar>
              <w:top w:w="0" w:type="dxa"/>
              <w:left w:w="0" w:type="dxa"/>
              <w:bottom w:w="0" w:type="dxa"/>
              <w:right w:w="0" w:type="dxa"/>
            </w:tcMar>
            <w:vAlign w:val="top"/>
          </w:tcPr>
          <w:p w14:paraId="61AAD9F3">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b/>
                <w:sz w:val="24"/>
                <w:szCs w:val="24"/>
              </w:rPr>
              <w:t>单位</w:t>
            </w:r>
          </w:p>
        </w:tc>
      </w:tr>
      <w:tr w14:paraId="67B735F7">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81" w:type="dxa"/>
            <w:tcBorders>
              <w:top w:val="nil"/>
              <w:left w:val="double" w:color="000000" w:sz="4" w:space="0"/>
              <w:bottom w:val="double" w:color="000000" w:sz="4" w:space="0"/>
              <w:right w:val="single" w:color="000000" w:sz="4" w:space="0"/>
            </w:tcBorders>
            <w:tcMar>
              <w:top w:w="0" w:type="dxa"/>
              <w:left w:w="0" w:type="dxa"/>
              <w:bottom w:w="0" w:type="dxa"/>
              <w:right w:w="0" w:type="dxa"/>
            </w:tcMar>
            <w:vAlign w:val="top"/>
          </w:tcPr>
          <w:p w14:paraId="13F34C3E">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1</w:t>
            </w:r>
          </w:p>
        </w:tc>
        <w:tc>
          <w:tcPr>
            <w:tcW w:w="5288" w:type="dxa"/>
            <w:tcBorders>
              <w:top w:val="nil"/>
              <w:left w:val="single" w:color="000000" w:sz="4" w:space="0"/>
              <w:bottom w:val="double" w:color="000000" w:sz="4" w:space="0"/>
              <w:right w:val="single" w:color="000000" w:sz="4" w:space="0"/>
            </w:tcBorders>
            <w:tcMar>
              <w:top w:w="0" w:type="dxa"/>
              <w:left w:w="0" w:type="dxa"/>
              <w:bottom w:w="0" w:type="dxa"/>
              <w:right w:w="0" w:type="dxa"/>
            </w:tcMar>
            <w:vAlign w:val="top"/>
          </w:tcPr>
          <w:p w14:paraId="1FB8F7D4">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sz w:val="24"/>
                <w:szCs w:val="24"/>
              </w:rPr>
              <w:t>会话边界控制器</w:t>
            </w:r>
          </w:p>
        </w:tc>
        <w:tc>
          <w:tcPr>
            <w:tcW w:w="1169" w:type="dxa"/>
            <w:tcBorders>
              <w:top w:val="nil"/>
              <w:left w:val="single" w:color="000000" w:sz="4" w:space="0"/>
              <w:bottom w:val="double" w:color="000000" w:sz="4" w:space="0"/>
              <w:right w:val="single" w:color="000000" w:sz="4" w:space="0"/>
            </w:tcBorders>
            <w:tcMar>
              <w:top w:w="0" w:type="dxa"/>
              <w:left w:w="0" w:type="dxa"/>
              <w:bottom w:w="0" w:type="dxa"/>
              <w:right w:w="0" w:type="dxa"/>
            </w:tcMar>
            <w:vAlign w:val="top"/>
          </w:tcPr>
          <w:p w14:paraId="388F6B57">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2</w:t>
            </w:r>
          </w:p>
        </w:tc>
        <w:tc>
          <w:tcPr>
            <w:tcW w:w="1169" w:type="dxa"/>
            <w:tcBorders>
              <w:top w:val="nil"/>
              <w:left w:val="single" w:color="000000" w:sz="4" w:space="0"/>
              <w:bottom w:val="double" w:color="000000" w:sz="4" w:space="0"/>
              <w:right w:val="double" w:color="000000" w:sz="4" w:space="0"/>
            </w:tcBorders>
            <w:tcMar>
              <w:top w:w="0" w:type="dxa"/>
              <w:left w:w="0" w:type="dxa"/>
              <w:bottom w:w="0" w:type="dxa"/>
              <w:right w:w="0" w:type="dxa"/>
            </w:tcMar>
            <w:vAlign w:val="top"/>
          </w:tcPr>
          <w:p w14:paraId="1B0F716B">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台</w:t>
            </w:r>
          </w:p>
        </w:tc>
      </w:tr>
    </w:tbl>
    <w:p w14:paraId="1C7D744D">
      <w:pPr>
        <w:pStyle w:val="6"/>
        <w:keepNext w:val="0"/>
        <w:keepLines w:val="0"/>
        <w:pageBreakBefore w:val="0"/>
        <w:kinsoku/>
        <w:wordWrap/>
        <w:overflowPunct/>
        <w:topLinePunct w:val="0"/>
        <w:autoSpaceDE/>
        <w:autoSpaceDN/>
        <w:bidi w:val="0"/>
        <w:adjustRightInd/>
        <w:snapToGrid/>
        <w:spacing w:line="500" w:lineRule="exact"/>
        <w:ind w:left="870"/>
        <w:jc w:val="both"/>
        <w:textAlignment w:val="auto"/>
        <w:rPr>
          <w:rFonts w:hint="eastAsia" w:ascii="宋体" w:hAnsi="宋体" w:eastAsia="宋体" w:cs="宋体"/>
          <w:sz w:val="24"/>
          <w:szCs w:val="24"/>
        </w:rPr>
      </w:pPr>
      <w:r>
        <w:rPr>
          <w:rFonts w:hint="eastAsia" w:ascii="宋体" w:hAnsi="宋体" w:eastAsia="宋体" w:cs="宋体"/>
          <w:b/>
          <w:sz w:val="24"/>
          <w:szCs w:val="24"/>
        </w:rPr>
        <w:t>2.1.3.4.常见精神障碍筛查系统</w:t>
      </w:r>
    </w:p>
    <w:p w14:paraId="543FB23D">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为用户提供灵活、便捷、全面的筛查任务管理服务。通过微信小程序端支持由被调查对象直接填写问卷，也可由调查员辅助被调查对象填写问卷，支持问卷历史的查询及答题记录的统计；通过管理端用户可自定义管理筛查项目、配置阶段、选择量表、统计进度与查看记录明细；通过抽样管理端，构建省、市、县、乡镇、村、机构多级协同的抽样管理体系，实现从宏观区域到微观样本的精准选取。</w:t>
      </w:r>
    </w:p>
    <w:p w14:paraId="62D731BB">
      <w:pPr>
        <w:pStyle w:val="6"/>
        <w:keepNext w:val="0"/>
        <w:keepLines w:val="0"/>
        <w:pageBreakBefore w:val="0"/>
        <w:kinsoku/>
        <w:wordWrap/>
        <w:overflowPunct/>
        <w:topLinePunct w:val="0"/>
        <w:autoSpaceDE/>
        <w:autoSpaceDN/>
        <w:bidi w:val="0"/>
        <w:adjustRightInd/>
        <w:snapToGrid/>
        <w:spacing w:line="500" w:lineRule="exact"/>
        <w:ind w:left="855"/>
        <w:jc w:val="both"/>
        <w:textAlignment w:val="auto"/>
        <w:rPr>
          <w:rFonts w:hint="eastAsia" w:ascii="宋体" w:hAnsi="宋体" w:eastAsia="宋体" w:cs="宋体"/>
          <w:sz w:val="24"/>
          <w:szCs w:val="24"/>
        </w:rPr>
      </w:pPr>
      <w:r>
        <w:rPr>
          <w:rFonts w:hint="eastAsia" w:ascii="宋体" w:hAnsi="宋体" w:eastAsia="宋体" w:cs="宋体"/>
          <w:b/>
          <w:sz w:val="24"/>
          <w:szCs w:val="24"/>
        </w:rPr>
        <w:t>2.1.3.4.1.筛查管理(评审项44)</w:t>
      </w:r>
    </w:p>
    <w:p w14:paraId="7BC35B97">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2.1.3.4.1.1.筛查项目管理</w:t>
      </w:r>
    </w:p>
    <w:p w14:paraId="0898EABC">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面向用户提供筛查项目自定义配置服务，用户可根据需求，配置项目信息、调查对象信息模板、各阶段的量表等。</w:t>
      </w:r>
    </w:p>
    <w:p w14:paraId="6C1A768F">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2.1.3.4.1.1.1.查询管理</w:t>
      </w:r>
    </w:p>
    <w:p w14:paraId="4FA1D71D">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1.查询</w:t>
      </w:r>
    </w:p>
    <w:p w14:paraId="2D222FEE">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支持按照项目名称和发布地区进行查询，可查看项目的具体信息。</w:t>
      </w:r>
    </w:p>
    <w:p w14:paraId="2AABDD0F">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2.编辑和删除</w:t>
      </w:r>
    </w:p>
    <w:p w14:paraId="4E20EC15">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对未发布的项目，用户可进行编辑和删除。</w:t>
      </w:r>
    </w:p>
    <w:p w14:paraId="43FE2DE4">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2.1.3.4.1.1.2.新增项目</w:t>
      </w:r>
    </w:p>
    <w:p w14:paraId="074FD89D">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各级管理员可根据需求，自行创建调查项目。创建并配置项目信息，包括名称、编号、调查员选项、调查对象信息模板等。可自主配置各阶段所使用的量表。</w:t>
      </w:r>
    </w:p>
    <w:p w14:paraId="10A127F5">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（1）维护项目基本信息。</w:t>
      </w:r>
    </w:p>
    <w:p w14:paraId="3934B329">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（2）配置项目各个阶段的信息，答题时间、排列顺序等。</w:t>
      </w:r>
    </w:p>
    <w:p w14:paraId="1638CD4D">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（3）维护各阶段所需的量表。</w:t>
      </w:r>
    </w:p>
    <w:p w14:paraId="2CBF5F9C">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2.1.3.4.1.1.3.定稿发布</w:t>
      </w:r>
    </w:p>
    <w:p w14:paraId="51FFA5EE">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新添加项目默认处于草稿状态，本功能将草稿状态的项目进行发布。</w:t>
      </w:r>
    </w:p>
    <w:p w14:paraId="0D838C95">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2.1.3.4.1.2.批次管理</w:t>
      </w:r>
    </w:p>
    <w:p w14:paraId="127F680C">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可为项目按年度、季度等不同周期生成不同筛查批次。用户可自主创建批次，查看批次下各阶段的答题记录信息。</w:t>
      </w:r>
    </w:p>
    <w:p w14:paraId="327F276E">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2.1.3.4.1.2.1.查询管理</w:t>
      </w:r>
    </w:p>
    <w:p w14:paraId="51781315">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（1）查询：可通过项目名称、批次名称、批次编号、行政区划对项目进行查询，可查看当前批次的具体信息。</w:t>
      </w:r>
    </w:p>
    <w:p w14:paraId="175064A4">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（2）编辑和删除：对启用的批次，用户可进行编辑和删除，处于停用状态的批次可以进行编辑和删除。</w:t>
      </w:r>
    </w:p>
    <w:p w14:paraId="036284A8">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（3）阶段详情：可展开该批次下各阶段答题统计信息。</w:t>
      </w:r>
    </w:p>
    <w:p w14:paraId="6F6F6875">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（4）可切换当前批次可用状态，停用状态的批次不展示在小程序项目列表中。同一项目只可有一个批次处于开启状态。</w:t>
      </w:r>
    </w:p>
    <w:p w14:paraId="32AF2E50">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2.1.3.4.1.2.2.新增批次</w:t>
      </w:r>
    </w:p>
    <w:p w14:paraId="6307F7E3">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用户可自行创建不同批次，满足同一项目不同时期的调查需求。可按需求为项目创建新的筛查批次，设置所属项目、批次名称、截止日期等。支持对当前各阶段的答题统计，答题记录的查询等。</w:t>
      </w:r>
    </w:p>
    <w:p w14:paraId="4AF4FED4">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2.1.3.4.1.2.3.答题明细</w:t>
      </w:r>
    </w:p>
    <w:p w14:paraId="78662735">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可查询当前批次下调查对象的答卷明细信息。可查看各调查对象的答题信息，包括个人信息、答题信息、结论信息等。</w:t>
      </w:r>
    </w:p>
    <w:p w14:paraId="43A4553A">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（1）查询：可通过姓名、身份证号、联系电话、行政区划、调查员编号、问卷状态、作废状态、有效状态等条件对答题记录进行查询；</w:t>
      </w:r>
    </w:p>
    <w:p w14:paraId="3223245A">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（2）明细：可对查询到的答题记录，查询详细填报信息，切换TAB页可切换查看答题人信息、调查问卷信息、调查问卷结论。</w:t>
      </w:r>
    </w:p>
    <w:p w14:paraId="12E16326">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（3）作废：可对无效问卷或者答题有误的问卷置为作废状态。作废后，被调查对象可重新答题。</w:t>
      </w:r>
    </w:p>
    <w:p w14:paraId="53AF0C4C">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（4）导出：用户通过筛选条件过滤答卷记录后，可以Excel表格的形式导出问卷信息，包括答题人信息、问卷题目信息、问卷结论等。</w:t>
      </w:r>
    </w:p>
    <w:p w14:paraId="36D7CDDF">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2.1.3.4.1.2.4.作废与恢复</w:t>
      </w:r>
    </w:p>
    <w:p w14:paraId="3329BF84">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可对无效问卷或者答题有误的问卷置为作废状态。作废后，被调查对象可重新答题。</w:t>
      </w:r>
    </w:p>
    <w:p w14:paraId="4E893C8D">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2.1.3.4.1.2.5.导出</w:t>
      </w:r>
    </w:p>
    <w:p w14:paraId="39AE8A8D">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用户通过筛选条件过滤答卷记录后，可以Excel表格的形式导出问卷信息，包括答题人信息、问卷题目信息、问卷结论等。</w:t>
      </w:r>
    </w:p>
    <w:p w14:paraId="695D4E1B">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2.1.3.4.1.3.调查员管理</w:t>
      </w:r>
    </w:p>
    <w:p w14:paraId="26873969">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调查员作为筛查项目的执行主体，管理员通过本功能对调查员按行政区划分级管理，按项目授权，既可便于各调查员工作量统计（总量、作废比例、无效比例），也可保障调查对象的信息安全。</w:t>
      </w:r>
    </w:p>
    <w:p w14:paraId="7C3CF4ED">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2.1.3.4.1.3.1.查询管理</w:t>
      </w:r>
    </w:p>
    <w:p w14:paraId="4BE601F4">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（1）查询：可通过调查员姓名、调查员编号、联系电话、项目名称、行政区划对项调查员进行查询。</w:t>
      </w:r>
    </w:p>
    <w:p w14:paraId="104EA447">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（2）可查看调查员的详细信息。</w:t>
      </w:r>
    </w:p>
    <w:p w14:paraId="671B1E99">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（3）可修改调查员的信息。</w:t>
      </w:r>
    </w:p>
    <w:p w14:paraId="68E5EC43">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（4）可删除当前调查员，已经做过调查员认证的调查员不支持删除操作。</w:t>
      </w:r>
    </w:p>
    <w:p w14:paraId="23D620EE">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2.1.3.4.1.3.2.新增调查员</w:t>
      </w:r>
    </w:p>
    <w:p w14:paraId="39179C5E">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新建功能是为新增调查员时填报信息所用。调查员将可通过编号、姓名和联系电话信息进入小程序进行调查员认证。支持对调查员用户按地市、区县、机构分级管理；支持调查员项目权限的按需授权。</w:t>
      </w:r>
    </w:p>
    <w:p w14:paraId="7BBBEC47">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2.1.3.4.1.3.3.分级授权</w:t>
      </w:r>
    </w:p>
    <w:p w14:paraId="605FB71D">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支持对调查员用户按地市、区县、机构分级管理；支持调查员项目权限的按需授权。</w:t>
      </w:r>
    </w:p>
    <w:p w14:paraId="1D51FE3E">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2.1.3.4.1.3.4.迁移与关联</w:t>
      </w:r>
    </w:p>
    <w:p w14:paraId="0ECBB3E3">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调查员在小程序端进行认证后，调查员编号将和用户的微信进行关联，用户再次登录后无需进行认证。如调查员不在担任本地区的心理健康调查工作后，为保证数据安全需要将进行解绑操作，解绑后，调查员在小程序端无法看到历史的调查记录。</w:t>
      </w:r>
    </w:p>
    <w:p w14:paraId="2A9EA49C">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2.1.3.4.1.3.5.导出</w:t>
      </w:r>
    </w:p>
    <w:p w14:paraId="666B6AB1">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通过本功能用户可将选中的调查员信息以Excel表格的形式进行导出。</w:t>
      </w:r>
    </w:p>
    <w:p w14:paraId="2D96BC50">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2.1.3.4.1.4.统计分析</w:t>
      </w:r>
    </w:p>
    <w:p w14:paraId="6269E0A6">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系统提供多类型不同报表，可满足用户常见精神障碍筛查和心理健康促进筛查的统计需求。</w:t>
      </w:r>
    </w:p>
    <w:p w14:paraId="332E3F35">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（1）通用报表：在批次创建后可通过本功能按照时间、机构、项目及批次对调查记录进行统计。</w:t>
      </w:r>
    </w:p>
    <w:p w14:paraId="1599774B">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（2）孕产妇心理健康筛查：孕产妇心理健康筛查专项报表。</w:t>
      </w:r>
    </w:p>
    <w:p w14:paraId="37134534">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（3）儿童青少年心理健康筛查：儿童青少年心理健康筛查专项报表。</w:t>
      </w:r>
    </w:p>
    <w:p w14:paraId="0C979F99">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（4）老年人心理健康老年痴呆筛查;老年人心理健康老年痴呆筛查专项报表。</w:t>
      </w:r>
    </w:p>
    <w:p w14:paraId="255A05A8">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（5）老年人心理健康两病筛查；老年人心理健康两病筛查专项报表。</w:t>
      </w:r>
    </w:p>
    <w:p w14:paraId="6D01925A">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（6）高压人群心理健康筛查：高压人群心理健康筛查专项报表。</w:t>
      </w:r>
    </w:p>
    <w:p w14:paraId="37C9E2BF">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（7）心理健康促进主要指标调查：心理健康促进主要指标调查专项报表。</w:t>
      </w:r>
    </w:p>
    <w:p w14:paraId="4C600F33">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2.1.3.4.1.5.用户管理</w:t>
      </w:r>
    </w:p>
    <w:p w14:paraId="4E8BBBA7">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支持管理员对常见精神障碍管理系统用户信息进行查询操作。</w:t>
      </w:r>
    </w:p>
    <w:p w14:paraId="3AE6DFE0">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2.1.3.4.1.5.1.查询管理</w:t>
      </w:r>
    </w:p>
    <w:p w14:paraId="11D4F31C">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可通过用户姓名、账户名、联系电话、行政区划、项目名称、审批状态进行查询。</w:t>
      </w:r>
    </w:p>
    <w:p w14:paraId="4075B7C8">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2.1.3.4.1.5.2.权限设置</w:t>
      </w:r>
    </w:p>
    <w:p w14:paraId="2FE85B29">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本功能用户管理当前用户可查看的项目范围，及可为下级行政区划用户分配的项目范围。支持对管理用户的按省、地市、区县、机构分级管理，支持管理员按项目按需授权。</w:t>
      </w:r>
    </w:p>
    <w:p w14:paraId="42C8F830">
      <w:pPr>
        <w:pStyle w:val="6"/>
        <w:keepNext w:val="0"/>
        <w:keepLines w:val="0"/>
        <w:pageBreakBefore w:val="0"/>
        <w:kinsoku/>
        <w:wordWrap/>
        <w:overflowPunct/>
        <w:topLinePunct w:val="0"/>
        <w:autoSpaceDE/>
        <w:autoSpaceDN/>
        <w:bidi w:val="0"/>
        <w:adjustRightInd/>
        <w:snapToGrid/>
        <w:spacing w:line="500" w:lineRule="exact"/>
        <w:ind w:left="855"/>
        <w:jc w:val="both"/>
        <w:textAlignment w:val="auto"/>
        <w:rPr>
          <w:rFonts w:hint="eastAsia" w:ascii="宋体" w:hAnsi="宋体" w:eastAsia="宋体" w:cs="宋体"/>
          <w:sz w:val="24"/>
          <w:szCs w:val="24"/>
        </w:rPr>
      </w:pPr>
      <w:r>
        <w:rPr>
          <w:rFonts w:hint="eastAsia" w:ascii="宋体" w:hAnsi="宋体" w:eastAsia="宋体" w:cs="宋体"/>
          <w:b/>
          <w:sz w:val="24"/>
          <w:szCs w:val="24"/>
        </w:rPr>
        <w:t>2.1.3.4.2.抽样管理(评审项45)</w:t>
      </w:r>
    </w:p>
    <w:p w14:paraId="5A9919D8">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随机抽样端专为精神卫生领域的流行病学调查与筛查工作设计，通过标准化、层级化的抽样管理，实现从宏观区域到微观样本的精准选取。系统打破传统人工抽样的效率瓶颈与误差风险，构建省、市、县、乡镇、村、机构多级协同的抽样管理体系，确保筛查样本具备科学代表性，为后续精神障碍患病率统计、风险评估及干预方案制定提供可靠的数据基础。</w:t>
      </w:r>
    </w:p>
    <w:p w14:paraId="29B5E8E6">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2.1.3.4.2.1.乡镇抽取</w:t>
      </w:r>
    </w:p>
    <w:p w14:paraId="7B7CAA50">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乡镇抽取模块是抽样流程的起点，主要负责乡镇级抽样单元的管理与抽样执行。</w:t>
      </w:r>
    </w:p>
    <w:p w14:paraId="0C02BD37">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2.1.3.4.2.1.1.乡镇管理</w:t>
      </w:r>
    </w:p>
    <w:p w14:paraId="34CEA5EB">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由监测点操作，用于维护乡镇抽样框基础信息。监测点可根据行政区域调整情况，新增新设立的乡镇、修改乡镇名称/ 行政区划代码 / 管辖范围等信息，或删除已撤销、合并的乡镇，系统会自动校验乡镇信息的唯一性与完整性，避免重复录入或关键信息缺失。</w:t>
      </w:r>
    </w:p>
    <w:p w14:paraId="5EC87B95">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2.1.3.4.2.1.2.上报乡镇人口</w:t>
      </w:r>
    </w:p>
    <w:p w14:paraId="65142659">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监测点在完成乡镇信息维护后，需在此功能中上报乡镇最新人口数据，包括总人口数、常住人口数量等核心指标。上报数据需与当地统计部门数据保持一致，系统支持Excel 模板导入与手动录入两种方式，提高数据上报效率。</w:t>
      </w:r>
    </w:p>
    <w:p w14:paraId="58AF0672">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2.1.3.4.2.1.3.抽取乡镇</w:t>
      </w:r>
    </w:p>
    <w:p w14:paraId="6FEB9F9C">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由省级平台操作，基于监测点上报的乡镇名单与人口数据，系统按照预设抽样算法随机抽取乡镇样本；抽样完成后，系统自动生成《乡镇抽样结果表》，包含抽中乡镇名称、抽样编号、人口基数等信息，并实时反馈至对应监测点待确认。</w:t>
      </w:r>
    </w:p>
    <w:p w14:paraId="32DFA599">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2.1.3.4.2.2.村居抽取</w:t>
      </w:r>
    </w:p>
    <w:p w14:paraId="6636B218">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村居抽取模块承接乡镇抽取结果，聚焦村居级抽样单元的管理，是连接乡镇与家庭户/学校的关键环节。</w:t>
      </w:r>
    </w:p>
    <w:p w14:paraId="495E5D8A">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2.1.3.4.2.2.1.村居管理</w:t>
      </w:r>
    </w:p>
    <w:p w14:paraId="373104BF">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监测点在确认乡镇抽样结果后，针对抽中乡镇开展村居信息维护。可新增乡镇管辖范围内的行政村、社区，修改村居名称、所属乡镇、地理位置等信息，或删除已合并、撤销的村居；系统支持按乡镇筛选村居列表，便于批量维护。</w:t>
      </w:r>
    </w:p>
    <w:p w14:paraId="00442E30">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2.1.3.4.2.2.2.上报村居人口信息</w:t>
      </w:r>
    </w:p>
    <w:p w14:paraId="723A0120">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监测点需上报抽中乡镇内各村居的详细人口数据，包括村居总人口、户籍人口与常住人口数量、家庭户总数等；对于人口变动较大的村居，系统支持阶段性数据更新，确保抽样基数的准确性。</w:t>
      </w:r>
    </w:p>
    <w:p w14:paraId="485E7088">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2.1.3.4.2.2.3.抽取村居</w:t>
      </w:r>
    </w:p>
    <w:p w14:paraId="36C68F92">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省级平台在抽中乡镇范围内，结合村居人口规模开展随机抽样。若存在特殊情况，系统支持设置抽样例外规则，在保证随机性的同时兼顾实际工作可行性。抽样结果生成后，同步至监测点进行确认。</w:t>
      </w:r>
    </w:p>
    <w:p w14:paraId="6311EE39">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2.1.3.4.2.3.家庭户抽取</w:t>
      </w:r>
    </w:p>
    <w:p w14:paraId="04B1BFEB">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家庭户抽取模块是针对居民家庭抽样的核心模块，需结合村居人口规模灵活调整操作流程。</w:t>
      </w:r>
    </w:p>
    <w:p w14:paraId="380391C9">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2.1.3.4.2.3.1.上报家庭户信息</w:t>
      </w:r>
    </w:p>
    <w:p w14:paraId="418B32B9">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监测点在确认村居抽样结果后，需上报抽中村居内所有家庭户的基础信息，包括家庭户编号、家庭人口数等。系统支持按村居批量导入家庭户名单，并自动校验数据格式与唯一性。</w:t>
      </w:r>
    </w:p>
    <w:p w14:paraId="546458CC">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2.1.3.4.2.3.2.拆分片区</w:t>
      </w:r>
    </w:p>
    <w:p w14:paraId="351C2EF9">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当抽中村居的家庭户数量超过3000 户时，系统会自动触发片区拆分提示，监测点需根据村居地理划分、人口分布等因素，将村居拆分为若干个片区，并上报各片区的家庭户数量。拆分结果需经省级审核通过后，方可进入下一步抽样。</w:t>
      </w:r>
    </w:p>
    <w:p w14:paraId="1792EB8D">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2.1.3.4.2.3.3.抽取家庭户</w:t>
      </w:r>
    </w:p>
    <w:p w14:paraId="1ABC15D1">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省级平台根据村居（或片区）家庭户总数，按照预设抽样比例抽取家庭户样本。系统支持生成家庭户抽样清单，包含家庭户编号、所在村居/ 片区等信息，并反馈至监测点。若监测点发现抽中家庭户存在特殊情况，可申请替换样本，经省级审批后重新抽取。</w:t>
      </w:r>
    </w:p>
    <w:p w14:paraId="45EB0C33">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2.1.3.4.2.4.家庭户推送</w:t>
      </w:r>
    </w:p>
    <w:p w14:paraId="40FB6653">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家庭户推送模块是家庭户抽样的收尾环节，负责抽样结果的最终确认与落地。</w:t>
      </w:r>
    </w:p>
    <w:p w14:paraId="614E416C">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监测点收到省级反馈的家庭户抽样结果后，逐一核对家庭户信息的准确性，确认无误后提交“结果确认” 申请。系统在收到确认指令后，自动将最终家庭户名单推送至基层筛查执行单位（如社区卫生服务中心、乡镇卫生院），并生成《家庭户抽样推送单》，明确筛查任务分配。推送记录实时同步至省级平台，便于后续进度跟踪。</w:t>
      </w:r>
    </w:p>
    <w:p w14:paraId="2D7783FC">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2.1.3.4.2.5.居民已退回抽样工作</w:t>
      </w:r>
    </w:p>
    <w:p w14:paraId="71ABD238">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居民已退回抽样工作模块是抽样流程的异常处理机制，保障流程灵活性与容错性。</w:t>
      </w:r>
    </w:p>
    <w:p w14:paraId="26736E5B">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在抽样流程未完成最终推送前，省级或监测点均可发起节点退回申请。申请人需选择需退回的目标节点，并填写退回原因。系统支持多级审批，审批通过后，流程回溯至目标节点，便于工作人员修正后重新推进流程。</w:t>
      </w:r>
    </w:p>
    <w:p w14:paraId="1F4C1411">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2.1.3.4.2.6.抽样进度查询</w:t>
      </w:r>
    </w:p>
    <w:p w14:paraId="2463FFE4">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抽样进度查询模块是省级统筹管理的核心工具，用于实时监控各地区抽样工作进展。</w:t>
      </w:r>
    </w:p>
    <w:p w14:paraId="6FD79E7D">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省级用户可通过此功能查看全省各区县的抽样进度，系统以图表与数据表格结合的方式，展示各区县在乡镇信息上报率、村居抽样完成率、家庭户确认率等维度的具体数据。支持按时间范围和地区层级筛选进度数据。</w:t>
      </w:r>
    </w:p>
    <w:p w14:paraId="65DA11F2">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2.1.3.4.2.7.学校抽取</w:t>
      </w:r>
    </w:p>
    <w:p w14:paraId="1E93E775">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学校抽取模块是针对青少年等特定人群筛查设计的专项模块，聚焦学校级抽样单元管理。</w:t>
      </w:r>
    </w:p>
    <w:p w14:paraId="708C4506">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2.1.3.4.2.7.1.乡镇管理</w:t>
      </w:r>
    </w:p>
    <w:p w14:paraId="211679D2">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此处的乡镇维护与“乡镇抽取模块” 功能协同，主要针对需开展学校抽样的区域，监测点需确认乡镇范围内的学校分布情况，确保乡镇信息与学校归属的一致性。若学校所属乡镇发生调整，可通过此功能同步更新乡镇信息，为学校抽样提供准确的区域基础。</w:t>
      </w:r>
    </w:p>
    <w:p w14:paraId="499D3690">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2.1.3.4.2.7.2.抽取学校</w:t>
      </w:r>
    </w:p>
    <w:p w14:paraId="1E73385C">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省级平台根据筛查目标，在指定区域内，结合学校类型、办学规模、学生人数等因素开展随机抽样。系统支持设置抽样比例，也可指定抽样数量。抽样结果生成后，包含学校名称、地址、联系人、学生总数等信息，反馈至监测点待确认。</w:t>
      </w:r>
    </w:p>
    <w:p w14:paraId="0C80B768">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2.1.3.4.2.8.班级抽取</w:t>
      </w:r>
    </w:p>
    <w:p w14:paraId="0D7BE28E">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班级抽取模块承接学校抽取结果，是针对学校人群的最终抽样环节。</w:t>
      </w:r>
    </w:p>
    <w:p w14:paraId="2FA0C3C3">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2.1.3.4.2.8.1.下载班级上报模板</w:t>
      </w:r>
    </w:p>
    <w:p w14:paraId="508640F1">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监测点在确认学校抽样结果后，需在此功能中下载系统标准化的《班级信息上报模板》，模板包含学校名称、班级编号、年级、班级人数等字段。监测点需按模板要求填写抽中学校内所有班级的信息，确保数据规范统一。</w:t>
      </w:r>
    </w:p>
    <w:p w14:paraId="598B6666">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2.1.3.4.2.8.2.抽取班级</w:t>
      </w:r>
    </w:p>
    <w:p w14:paraId="032944A7">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省级平台基于监测点上报的班级信息，结合筛查需求随机抽取班级样本。系统支持按年级分层抽样，也可按班级人数比例抽样。抽样结果包含班级编号、年级、人数信息等，反馈至监测点确认。若需调整抽样结果，监测点可申请重新抽样，经省级审批后执行。</w:t>
      </w:r>
    </w:p>
    <w:p w14:paraId="66090B3B">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2.1.3.4.2.9.班级推送</w:t>
      </w:r>
    </w:p>
    <w:p w14:paraId="2B9F08F3">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班级推送模块是学校人群抽样的收尾环节，负责班级抽样结果的落地执行。</w:t>
      </w:r>
    </w:p>
    <w:p w14:paraId="0DFB06BA">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监测点核对省级反馈的班级抽样结果，确认班级信息无误后提交“结果确认”。系统收到确认指令后，自动将最终班级名单推送至抽中学校与对应的基层医疗单位，并生成《班级抽样推送单》，明确筛查时间、地点、参与人数等关键信息。推送记录同步至省级平台，纳入抽样进度统计范围。</w:t>
      </w:r>
    </w:p>
    <w:p w14:paraId="6E4C41D4">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2.1.3.4.2.10.学校已退回抽样工作</w:t>
      </w:r>
    </w:p>
    <w:p w14:paraId="493AEEEE">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2.1.3.4.2.10.1.退回抽样节点</w:t>
      </w:r>
    </w:p>
    <w:p w14:paraId="0F2CEA1B">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在抽样流程未完成推送之前省级或者监测点都可以选择具体抽样流程中的节点进行退回操作。</w:t>
      </w:r>
    </w:p>
    <w:p w14:paraId="63DD625C">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2.1.3.4.2.11.抽样进度查询</w:t>
      </w:r>
    </w:p>
    <w:p w14:paraId="3CBD6BF0">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省级可在此模块查看各区县的抽样完成进度。</w:t>
      </w:r>
    </w:p>
    <w:p w14:paraId="39AC5CDB">
      <w:pPr>
        <w:pStyle w:val="6"/>
        <w:keepNext w:val="0"/>
        <w:keepLines w:val="0"/>
        <w:pageBreakBefore w:val="0"/>
        <w:kinsoku/>
        <w:wordWrap/>
        <w:overflowPunct/>
        <w:topLinePunct w:val="0"/>
        <w:autoSpaceDE/>
        <w:autoSpaceDN/>
        <w:bidi w:val="0"/>
        <w:adjustRightInd/>
        <w:snapToGrid/>
        <w:spacing w:line="500" w:lineRule="exact"/>
        <w:ind w:left="870"/>
        <w:jc w:val="both"/>
        <w:textAlignment w:val="auto"/>
        <w:rPr>
          <w:rFonts w:hint="eastAsia" w:ascii="宋体" w:hAnsi="宋体" w:eastAsia="宋体" w:cs="宋体"/>
          <w:sz w:val="24"/>
          <w:szCs w:val="24"/>
        </w:rPr>
      </w:pPr>
      <w:r>
        <w:rPr>
          <w:rFonts w:hint="eastAsia" w:ascii="宋体" w:hAnsi="宋体" w:eastAsia="宋体" w:cs="宋体"/>
          <w:b/>
          <w:sz w:val="24"/>
          <w:szCs w:val="24"/>
        </w:rPr>
        <w:t>2.1.3.5.心理健康体检系统</w:t>
      </w:r>
    </w:p>
    <w:p w14:paraId="00F5EE67">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对社会面人群以及各类重点人群开展精神障碍筛查与管理，通过集成于公众信息健康服务门户的心理测评应用，进行抑郁症、焦虑症、老年性痴呆等常见精神障碍疾病筛查，通过对于测评记录进行筛选和评估，获取各类障碍人群信息；对筛查出的抑郁症、焦虑症、老年痴呆等阳性人群进一步确诊，对确诊患者进行管理。</w:t>
      </w:r>
    </w:p>
    <w:p w14:paraId="13BBC574">
      <w:pPr>
        <w:pStyle w:val="6"/>
        <w:keepNext w:val="0"/>
        <w:keepLines w:val="0"/>
        <w:pageBreakBefore w:val="0"/>
        <w:kinsoku/>
        <w:wordWrap/>
        <w:overflowPunct/>
        <w:topLinePunct w:val="0"/>
        <w:autoSpaceDE/>
        <w:autoSpaceDN/>
        <w:bidi w:val="0"/>
        <w:adjustRightInd/>
        <w:snapToGrid/>
        <w:spacing w:line="500" w:lineRule="exact"/>
        <w:ind w:left="855"/>
        <w:jc w:val="both"/>
        <w:textAlignment w:val="auto"/>
        <w:rPr>
          <w:rFonts w:hint="eastAsia" w:ascii="宋体" w:hAnsi="宋体" w:eastAsia="宋体" w:cs="宋体"/>
          <w:sz w:val="24"/>
          <w:szCs w:val="24"/>
        </w:rPr>
      </w:pPr>
      <w:r>
        <w:rPr>
          <w:rFonts w:hint="eastAsia" w:ascii="宋体" w:hAnsi="宋体" w:eastAsia="宋体" w:cs="宋体"/>
          <w:b/>
          <w:sz w:val="24"/>
          <w:szCs w:val="24"/>
        </w:rPr>
        <w:t>2.1.3.5.1.心理体检管理(评审项46)</w:t>
      </w:r>
    </w:p>
    <w:p w14:paraId="3560ABAB">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2.1.3.5.1.1.信息登记</w:t>
      </w:r>
    </w:p>
    <w:p w14:paraId="154767A2">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2.1.3.5.1.1.1.个体登记</w:t>
      </w:r>
    </w:p>
    <w:p w14:paraId="540C6592">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系统支持个人档案手工建立或通过模板文件批量导入的方式快速批量建档。根据编号、性别、年龄、文化程度、婚姻状况、所在测试组、创建者进行查询。</w:t>
      </w:r>
    </w:p>
    <w:p w14:paraId="0F02FC12">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2.1.3.5.1.1.2.团体登记</w:t>
      </w:r>
    </w:p>
    <w:p w14:paraId="76A293B5">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以单位或团体为单位创建组织团体，便于对组织人群的管理及团体体检的额开展。</w:t>
      </w:r>
    </w:p>
    <w:p w14:paraId="2FAAFFFF">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2.1.3.5.1.1.3.普筛登记</w:t>
      </w:r>
    </w:p>
    <w:p w14:paraId="3E5304BF">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支持面向公众开展心理筛查，支持普通调查和任务分级分派两种模式。</w:t>
      </w:r>
    </w:p>
    <w:p w14:paraId="19C17BEE">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2.1.3.5.1.2.测评管理</w:t>
      </w:r>
    </w:p>
    <w:p w14:paraId="49C178CF">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用于对对来访者进行心理测试，涵盖心理健康、人格测验、职业评定、智力测验、婚姻家庭等类测评主题，满足对成员心理状况进行全面评估的需求。</w:t>
      </w:r>
    </w:p>
    <w:p w14:paraId="6BC7B412">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本部分主要用于管理员配置体检方案，包括方案参数配置和量表参数配置、受试者管理等。</w:t>
      </w:r>
    </w:p>
    <w:p w14:paraId="1C136BEC">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2.1.3.5.1.2.1.方案参数配置</w:t>
      </w:r>
    </w:p>
    <w:p w14:paraId="6E60B311">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用户可对用户测评是需要填报的人口学信息、登录验证方式、知情同意书、报告可见性等参数进行设置。</w:t>
      </w:r>
    </w:p>
    <w:p w14:paraId="451F299A">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2.1.3.5.1.2.2.量表套餐配置</w:t>
      </w:r>
    </w:p>
    <w:p w14:paraId="5406BFBB">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用户可自行选择本次测评需要使用的测评量表组合套餐或自定义选择量表。</w:t>
      </w:r>
    </w:p>
    <w:p w14:paraId="0C21AF7A">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2.1.3.5.1.2.3.预警条件配置</w:t>
      </w:r>
    </w:p>
    <w:p w14:paraId="75EA83F3">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可以选择在“心理健康预警”中设置的规则，在达到预警阈值后，该体检记录自动添加入预警列表。</w:t>
      </w:r>
    </w:p>
    <w:p w14:paraId="70961D40">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2.1.3.5.1.2.4.受试者管理</w:t>
      </w:r>
    </w:p>
    <w:p w14:paraId="0940B432">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支持受试者的单个添加、批量导入、自助建档等方式进行添加，可通过姓名、手机号等进行查询，可对受试者进行修改或删除。</w:t>
      </w:r>
    </w:p>
    <w:p w14:paraId="3751A67A">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2.1.3.5.1.2.5.二维码</w:t>
      </w:r>
    </w:p>
    <w:p w14:paraId="3C10A593">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体检方案生成后，自动生成本次测评的二维码链接，受试者可通过扫描二维码进入测评页面，填写个人信息进行答题。</w:t>
      </w:r>
    </w:p>
    <w:p w14:paraId="61F31123">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2.1.3.5.1.2.6.记录查看</w:t>
      </w:r>
    </w:p>
    <w:p w14:paraId="6A8F22CB">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可查看受试者的测评内容、测评进度、答题时间等信息。</w:t>
      </w:r>
    </w:p>
    <w:p w14:paraId="656A7358">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2.1.3.5.1.2.7.个体报告</w:t>
      </w:r>
    </w:p>
    <w:p w14:paraId="23040C29">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由计算机根据量表题目分值，自动计分，经过整合分析给出被测试者详细的报告，这使以往心理测评靠医生主观经验判断变成科学、量化的心理指标。通过对数据的整合分析，系统将评测的结果自动生成对应的评测报告。</w:t>
      </w:r>
    </w:p>
    <w:p w14:paraId="5828F7A1">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系统提供数据导出功能，咨询师可按照测评结果编辑测评建议，并支持将测试报告导出。</w:t>
      </w:r>
    </w:p>
    <w:p w14:paraId="75A1C1DA">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2.1.3.5.1.2.8.团体报告</w:t>
      </w:r>
    </w:p>
    <w:p w14:paraId="05E53FCD">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面向团体体检，在体检结束后，系统根据参与测评个体，按照人口学进行团体分析，并针对各测评项目，分析统计各维度所占人群数量和百分比。</w:t>
      </w:r>
    </w:p>
    <w:p w14:paraId="0E6A900D">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系统提供数据导出功能，咨询师可按照测评结果编辑测评建议，并支持将测试报告导出。</w:t>
      </w:r>
    </w:p>
    <w:p w14:paraId="7AC4D8BE">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2.1.3.5.1.2.9.停启用</w:t>
      </w:r>
    </w:p>
    <w:p w14:paraId="07AA1C39">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用于设置本次测评方案是否启用，只有启用状态测评方案才可进行扫码答题。</w:t>
      </w:r>
    </w:p>
    <w:p w14:paraId="6FFE0D14">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2.1.3.5.1.2.10.删除记录</w:t>
      </w:r>
    </w:p>
    <w:p w14:paraId="213E6786">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对未有受试者扫码答题的测评方案，可通过本功能进行删除。</w:t>
      </w:r>
    </w:p>
    <w:p w14:paraId="2BE1046F">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2.1.3.5.1.3.危机预警</w:t>
      </w:r>
    </w:p>
    <w:p w14:paraId="12EE334E">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本部分面向体检业务科室及人员，在开展体检业务时，根据系统预设规则，可自动筛选存在心理健康风险的居民。系统可根据测评结果严重程度，对预警成员进行等级区分，便于采取不同的干预措施。用户也可根据具体情况，灵活调整信息提醒规则和阈值。</w:t>
      </w:r>
    </w:p>
    <w:p w14:paraId="450AC4B4">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2.1.3.5.1.3.1.预警记录</w:t>
      </w:r>
    </w:p>
    <w:p w14:paraId="3DA57113">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在个体或团体体检结束后，系统根据方案选定的预警条件进行判断，如满足预警条件，则进入预警库。</w:t>
      </w:r>
    </w:p>
    <w:p w14:paraId="175E7A85">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用户可以根据用户名、测试时间、测试量表、预警等级、ID号、所属等信息搜索查看预警记录，导出预警患者清单及危险因素。</w:t>
      </w:r>
    </w:p>
    <w:p w14:paraId="0D375BDE">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2.1.3.5.1.3.2.解除预警</w:t>
      </w:r>
    </w:p>
    <w:p w14:paraId="4312FC04">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用户可根据复核情况，对已经预警记录的中记录进行解除操作。</w:t>
      </w:r>
    </w:p>
    <w:p w14:paraId="6559EC6D">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2.1.3.5.1.3.3.规则设置</w:t>
      </w:r>
    </w:p>
    <w:p w14:paraId="759AD9C3">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用户可自定义创建预警指标，绑定数据库表字段。通过配置指标参数及指标口径，系统可对指标进行自动统计，在设置预警阈值后，系统可自动对阈值进行监控。</w:t>
      </w:r>
    </w:p>
    <w:p w14:paraId="21E3F94B">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2.1.3.5.1.4.统计报表</w:t>
      </w:r>
    </w:p>
    <w:p w14:paraId="38982E2D">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系统提供专门设计的数据统计和统计报表功能，根据不同的性别、年龄、民族、文化程度等因素对数据进行分类检索、整体状况查询及部分统计计算，并生成相应的检验结果和报表统计。</w:t>
      </w:r>
    </w:p>
    <w:p w14:paraId="340AEE61">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2.1.3.5.1.4.1.按量表统计</w:t>
      </w:r>
    </w:p>
    <w:p w14:paraId="59FBF18D">
      <w:pPr>
        <w:pStyle w:val="6"/>
        <w:keepNext w:val="0"/>
        <w:keepLines w:val="0"/>
        <w:pageBreakBefore w:val="0"/>
        <w:kinsoku/>
        <w:wordWrap/>
        <w:overflowPunct/>
        <w:topLinePunct w:val="0"/>
        <w:autoSpaceDE/>
        <w:autoSpaceDN/>
        <w:bidi w:val="0"/>
        <w:adjustRightInd/>
        <w:snapToGrid/>
        <w:spacing w:line="500" w:lineRule="exact"/>
        <w:ind w:firstLine="480"/>
        <w:jc w:val="left"/>
        <w:textAlignment w:val="auto"/>
        <w:rPr>
          <w:rFonts w:hint="eastAsia" w:ascii="宋体" w:hAnsi="宋体" w:eastAsia="宋体" w:cs="宋体"/>
          <w:sz w:val="24"/>
          <w:szCs w:val="24"/>
        </w:rPr>
      </w:pPr>
      <w:r>
        <w:rPr>
          <w:rFonts w:hint="eastAsia" w:ascii="宋体" w:hAnsi="宋体" w:eastAsia="宋体" w:cs="宋体"/>
          <w:sz w:val="24"/>
          <w:szCs w:val="24"/>
        </w:rPr>
        <w:t>按时间、量表、调查对象属性等条件自定义查询测评记录，并支持报表的导出功能。</w:t>
      </w:r>
    </w:p>
    <w:p w14:paraId="614E6064">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2.1.3.5.1.4.2.按套餐统计</w:t>
      </w:r>
    </w:p>
    <w:p w14:paraId="2E282E56">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按时间、套餐、调查对象属性等条件自定义查询测评记录，并支持报表的导出功能。</w:t>
      </w:r>
    </w:p>
    <w:p w14:paraId="0D089461">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2.1.3.5.1.5.套餐管理</w:t>
      </w:r>
    </w:p>
    <w:p w14:paraId="63E5AEB2">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2.1.3.5.1.5.1.新增套餐</w:t>
      </w:r>
    </w:p>
    <w:p w14:paraId="6FCA112D">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用户可通过本功能，根据业务开展需求，预设量表集合，便于在设置体检方案时快速选择。</w:t>
      </w:r>
    </w:p>
    <w:p w14:paraId="225A1D93">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2.1.3.5.1.5.2.删除套餐</w:t>
      </w:r>
    </w:p>
    <w:p w14:paraId="1A03A83B">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对已经不在适用的套餐，可进行删除，删除后对历史数据不产生影响。</w:t>
      </w:r>
    </w:p>
    <w:p w14:paraId="71B6A8A7">
      <w:pPr>
        <w:pStyle w:val="6"/>
        <w:keepNext w:val="0"/>
        <w:keepLines w:val="0"/>
        <w:pageBreakBefore w:val="0"/>
        <w:kinsoku/>
        <w:wordWrap/>
        <w:overflowPunct/>
        <w:topLinePunct w:val="0"/>
        <w:autoSpaceDE/>
        <w:autoSpaceDN/>
        <w:bidi w:val="0"/>
        <w:adjustRightInd/>
        <w:snapToGrid/>
        <w:spacing w:line="500" w:lineRule="exact"/>
        <w:ind w:left="855"/>
        <w:jc w:val="both"/>
        <w:textAlignment w:val="auto"/>
        <w:rPr>
          <w:rFonts w:hint="eastAsia" w:ascii="宋体" w:hAnsi="宋体" w:eastAsia="宋体" w:cs="宋体"/>
          <w:sz w:val="24"/>
          <w:szCs w:val="24"/>
        </w:rPr>
      </w:pPr>
      <w:r>
        <w:rPr>
          <w:rFonts w:hint="eastAsia" w:ascii="宋体" w:hAnsi="宋体" w:eastAsia="宋体" w:cs="宋体"/>
          <w:b/>
          <w:sz w:val="24"/>
          <w:szCs w:val="24"/>
        </w:rPr>
        <w:t>2.1.3.5.2.心理体检答题(评审项47)</w:t>
      </w:r>
    </w:p>
    <w:p w14:paraId="35AED137">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2.1.3.5.2.1.身份验证</w:t>
      </w:r>
    </w:p>
    <w:p w14:paraId="631D1D72">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根据后台维护的体检对象信息核实身份。</w:t>
      </w:r>
    </w:p>
    <w:p w14:paraId="31E4525C">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2.1.3.5.2.2.信息注册</w:t>
      </w:r>
    </w:p>
    <w:p w14:paraId="7C540825">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对需要自助建档的体检方案，体检对象可自助建档。</w:t>
      </w:r>
    </w:p>
    <w:p w14:paraId="5FF5C654">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2.1.3.5.2.3.在线答题</w:t>
      </w:r>
    </w:p>
    <w:p w14:paraId="16AEB495">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自动调取方案配置中的量表及测评题目。</w:t>
      </w:r>
    </w:p>
    <w:p w14:paraId="258B4EC5">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2.1.3.5.2.4.结论计算</w:t>
      </w:r>
    </w:p>
    <w:p w14:paraId="121E5874">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系统自动计算并展示各个量表的结论。</w:t>
      </w:r>
    </w:p>
    <w:p w14:paraId="73E39A0A">
      <w:pPr>
        <w:pStyle w:val="6"/>
        <w:keepNext w:val="0"/>
        <w:keepLines w:val="0"/>
        <w:pageBreakBefore w:val="0"/>
        <w:kinsoku/>
        <w:wordWrap/>
        <w:overflowPunct/>
        <w:topLinePunct w:val="0"/>
        <w:autoSpaceDE/>
        <w:autoSpaceDN/>
        <w:bidi w:val="0"/>
        <w:adjustRightInd/>
        <w:snapToGrid/>
        <w:spacing w:line="500" w:lineRule="exact"/>
        <w:ind w:left="870"/>
        <w:jc w:val="both"/>
        <w:textAlignment w:val="auto"/>
        <w:rPr>
          <w:rFonts w:hint="eastAsia" w:ascii="宋体" w:hAnsi="宋体" w:eastAsia="宋体" w:cs="宋体"/>
          <w:sz w:val="24"/>
          <w:szCs w:val="24"/>
        </w:rPr>
      </w:pPr>
      <w:r>
        <w:rPr>
          <w:rFonts w:hint="eastAsia" w:ascii="宋体" w:hAnsi="宋体" w:eastAsia="宋体" w:cs="宋体"/>
          <w:b/>
          <w:sz w:val="24"/>
          <w:szCs w:val="24"/>
        </w:rPr>
        <w:t>2.1.3.6.高危人群干预系统</w:t>
      </w:r>
    </w:p>
    <w:p w14:paraId="7B137C08">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面向心理健康筛查、团体体检、个体体检过程中，超出正常阈值记录，触发危机干预。可根据测评结果危机等级，对预警对象开展“危机评估-方案定制-康复训练-复测复评的全流程干预。系统支持自定义维护干预方案，可对干预对象的执行情况进行跟踪。</w:t>
      </w:r>
    </w:p>
    <w:p w14:paraId="3918E4D8">
      <w:pPr>
        <w:pStyle w:val="6"/>
        <w:keepNext w:val="0"/>
        <w:keepLines w:val="0"/>
        <w:pageBreakBefore w:val="0"/>
        <w:kinsoku/>
        <w:wordWrap/>
        <w:overflowPunct/>
        <w:topLinePunct w:val="0"/>
        <w:autoSpaceDE/>
        <w:autoSpaceDN/>
        <w:bidi w:val="0"/>
        <w:adjustRightInd/>
        <w:snapToGrid/>
        <w:spacing w:line="500" w:lineRule="exact"/>
        <w:ind w:left="855"/>
        <w:jc w:val="both"/>
        <w:textAlignment w:val="auto"/>
        <w:rPr>
          <w:rFonts w:hint="eastAsia" w:ascii="宋体" w:hAnsi="宋体" w:eastAsia="宋体" w:cs="宋体"/>
          <w:sz w:val="24"/>
          <w:szCs w:val="24"/>
        </w:rPr>
      </w:pPr>
      <w:r>
        <w:rPr>
          <w:rFonts w:hint="eastAsia" w:ascii="宋体" w:hAnsi="宋体" w:eastAsia="宋体" w:cs="宋体"/>
          <w:b/>
          <w:sz w:val="24"/>
          <w:szCs w:val="24"/>
        </w:rPr>
        <w:t>2.1.3.6.1.危机事件管理(评审项48)</w:t>
      </w:r>
    </w:p>
    <w:p w14:paraId="13E92A8E">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危机干预系统的核心起始模块，承担着干预信息收集与事件规范梳理的关键职能。</w:t>
      </w:r>
    </w:p>
    <w:p w14:paraId="13E9F806">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2.1.3.6.1.1.添加事件</w:t>
      </w:r>
    </w:p>
    <w:p w14:paraId="3E46F05A">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危机事件的干预对象信息收集采用“主动录入+自动筛查”双渠道模式，确保信息收集的全面性与及时性。</w:t>
      </w:r>
    </w:p>
    <w:p w14:paraId="7E9623C4">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1）手动添加：系统为干预人员提供便捷的手动录入功能，可详细记录干预对象核心信息，包括姓名、性别、出生日期、婚姻状况、危机描述，完整收录干预对象个人基础资料与危机相关情况，为后续干预工作奠定数据基础。</w:t>
      </w:r>
    </w:p>
    <w:p w14:paraId="56B8E439">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2）外部测评自动筛查收录：系统支持与外部心理测评应用无缝对接，针对外部测评过程中，测评结果达到预设干预阈值的人员，自动触发筛查机制，无需人工干预即可完成信息抓取与收录，确保符合干预条件的人员不被遗漏，实现危机干预的早期识别与快速响应。</w:t>
      </w:r>
    </w:p>
    <w:p w14:paraId="0F2CD34B">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2.1.3.6.1.2.事件编辑</w:t>
      </w:r>
    </w:p>
    <w:p w14:paraId="6F5F0627">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在危机事件初始信息录入后，支持干预人员根据实际情况对事件信息进行动态完善与补充，确保危机事件信息的准确性与完整性。</w:t>
      </w:r>
    </w:p>
    <w:p w14:paraId="5227FEC3">
      <w:pPr>
        <w:pStyle w:val="6"/>
        <w:keepNext w:val="0"/>
        <w:keepLines w:val="0"/>
        <w:pageBreakBefore w:val="0"/>
        <w:kinsoku/>
        <w:wordWrap/>
        <w:overflowPunct/>
        <w:topLinePunct w:val="0"/>
        <w:autoSpaceDE/>
        <w:autoSpaceDN/>
        <w:bidi w:val="0"/>
        <w:adjustRightInd/>
        <w:snapToGrid/>
        <w:spacing w:line="500" w:lineRule="exact"/>
        <w:ind w:left="855"/>
        <w:jc w:val="both"/>
        <w:textAlignment w:val="auto"/>
        <w:rPr>
          <w:rFonts w:hint="eastAsia" w:ascii="宋体" w:hAnsi="宋体" w:eastAsia="宋体" w:cs="宋体"/>
          <w:sz w:val="24"/>
          <w:szCs w:val="24"/>
        </w:rPr>
      </w:pPr>
      <w:r>
        <w:rPr>
          <w:rFonts w:hint="eastAsia" w:ascii="宋体" w:hAnsi="宋体" w:eastAsia="宋体" w:cs="宋体"/>
          <w:b/>
          <w:sz w:val="24"/>
          <w:szCs w:val="24"/>
        </w:rPr>
        <w:t>2.1.3.6.2.干预对象管理(评审项49)</w:t>
      </w:r>
    </w:p>
    <w:p w14:paraId="160F8503">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为危机干预工作提供精准的人员管理支撑，具备灵活便捷的对象添加与全面的信息维护能力。其可自动接收危机事件传递的关联人员信息，减少重复录入工作，同时支持用户自主添加有干预需求的对象。</w:t>
      </w:r>
    </w:p>
    <w:p w14:paraId="55543204">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2.1.3.6.2.1.添加干预对象</w:t>
      </w:r>
    </w:p>
    <w:p w14:paraId="329E99A2">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干预对象的添加渠道具备多样性与灵活性，满足不同场景下的管理需求：</w:t>
      </w:r>
    </w:p>
    <w:p w14:paraId="2808F395">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（1）危机事件关联同步：当危机事件发生后，系统自动将事件中涉及的相关人员关联为潜在干预对象，干预人员可直接确认收录，无需重复录入基础信息，提升工作效率。</w:t>
      </w:r>
    </w:p>
    <w:p w14:paraId="15BA99A2">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（2）自主手动添加：针对未通过危机事件关联但确有干预需求的人员，用户可自主发起添加操作，手动录入干预对象的各项信息，确保所有有需要的人员都能纳入干预体系。</w:t>
      </w:r>
    </w:p>
    <w:p w14:paraId="568BF24C">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2.1.3.6.2.2.干预对象信息管理</w:t>
      </w:r>
    </w:p>
    <w:p w14:paraId="7A1CC4CF">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系统提供全面的干预对象信息管理功能，用户可通过姓名、危机类型、干预状态等关键词进行精准检索，快速定位目标干预对象。同时，允许在符合数据安全与隐私保护规定的前提下，对干预对象的信息进行合理修改。</w:t>
      </w:r>
    </w:p>
    <w:p w14:paraId="52762EB5">
      <w:pPr>
        <w:pStyle w:val="6"/>
        <w:keepNext w:val="0"/>
        <w:keepLines w:val="0"/>
        <w:pageBreakBefore w:val="0"/>
        <w:kinsoku/>
        <w:wordWrap/>
        <w:overflowPunct/>
        <w:topLinePunct w:val="0"/>
        <w:autoSpaceDE/>
        <w:autoSpaceDN/>
        <w:bidi w:val="0"/>
        <w:adjustRightInd/>
        <w:snapToGrid/>
        <w:spacing w:line="500" w:lineRule="exact"/>
        <w:ind w:left="855"/>
        <w:jc w:val="both"/>
        <w:textAlignment w:val="auto"/>
        <w:rPr>
          <w:rFonts w:hint="eastAsia" w:ascii="宋体" w:hAnsi="宋体" w:eastAsia="宋体" w:cs="宋体"/>
          <w:sz w:val="24"/>
          <w:szCs w:val="24"/>
        </w:rPr>
      </w:pPr>
      <w:r>
        <w:rPr>
          <w:rFonts w:hint="eastAsia" w:ascii="宋体" w:hAnsi="宋体" w:eastAsia="宋体" w:cs="宋体"/>
          <w:b/>
          <w:sz w:val="24"/>
          <w:szCs w:val="24"/>
        </w:rPr>
        <w:t>2.1.3.6.3.干预管理(评审项50)</w:t>
      </w:r>
    </w:p>
    <w:p w14:paraId="4F1259EA">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聚焦于个性化干预方案制定与干预效果闭环把控。心理咨询师可基于干预对象的具体症状，从家庭访谈、心理训练等多种干预方式中自主选择组合，形成针对性干预计划。同时，为每位干预对象制定复评计划，在干预结束后通过心理复评检验效果，达到预期目标则结案，未达预期则启动二次干预，确保干预工作形成完整闭环。</w:t>
      </w:r>
    </w:p>
    <w:p w14:paraId="1828EFA2">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2.1.3.6.3.1.添加干预计划</w:t>
      </w:r>
    </w:p>
    <w:p w14:paraId="3C7D5C1B">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心理咨询师根据干预对象的症状，可自定义选择干预方式进行心理危机干预，系统支持家庭访谈、心理训练、活动辅导等多种干预方式组合形成干预方案；</w:t>
      </w:r>
    </w:p>
    <w:p w14:paraId="75AB03B3">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心理咨询师作为干预计划制定的核心主体，需基于干预对象的具体症状、危机程度、个人特质及测评结果，进行综合评估后，自定义选择适配的干预方式，形成个性化干预方案。系统支持丰富的干预方式组合，涵盖家庭访谈、心理训练、活动辅导、个体咨询、危机热线支持等多种类型，心理咨询师可根据实际需求灵活搭配，明确各干预环节的实施时间、频次、责任人及预期目标，形成逻辑清晰、可落地执行的干预计划。</w:t>
      </w:r>
    </w:p>
    <w:p w14:paraId="79BFAC75">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2.1.3.6.3.2.复评计划</w:t>
      </w:r>
    </w:p>
    <w:p w14:paraId="07B03469">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对干预对象制定复评计划，在干预结束后可开展心理复评，如达到预期则结案，如未到预期则进行二次干预。</w:t>
      </w:r>
    </w:p>
    <w:p w14:paraId="09C47328">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为确保干预效果的有效性与持续性，可为干预对象制定复评计划。复评计划需明确复评时间、复评方式、复评指标。干预结束后，按照复评计划开展全面心理复评，若复评结果显示干预对象的心理状态达到预期目标，则可办理结案手续，结案记录将详细留存干预全过程资料；若复评结果未达到预期，可及时调整干预方案，启动二次干预流程，直至干预对象达到理想的心理状态。</w:t>
      </w:r>
    </w:p>
    <w:p w14:paraId="78F0FEEF">
      <w:pPr>
        <w:pStyle w:val="6"/>
        <w:keepNext w:val="0"/>
        <w:keepLines w:val="0"/>
        <w:pageBreakBefore w:val="0"/>
        <w:kinsoku/>
        <w:wordWrap/>
        <w:overflowPunct/>
        <w:topLinePunct w:val="0"/>
        <w:autoSpaceDE/>
        <w:autoSpaceDN/>
        <w:bidi w:val="0"/>
        <w:adjustRightInd/>
        <w:snapToGrid/>
        <w:spacing w:line="500" w:lineRule="exact"/>
        <w:ind w:left="855"/>
        <w:jc w:val="both"/>
        <w:textAlignment w:val="auto"/>
        <w:rPr>
          <w:rFonts w:hint="eastAsia" w:ascii="宋体" w:hAnsi="宋体" w:eastAsia="宋体" w:cs="宋体"/>
          <w:sz w:val="24"/>
          <w:szCs w:val="24"/>
        </w:rPr>
      </w:pPr>
      <w:r>
        <w:rPr>
          <w:rFonts w:hint="eastAsia" w:ascii="宋体" w:hAnsi="宋体" w:eastAsia="宋体" w:cs="宋体"/>
          <w:b/>
          <w:sz w:val="24"/>
          <w:szCs w:val="24"/>
        </w:rPr>
        <w:t>2.1.3.6.4.干预记录(评审项51)</w:t>
      </w:r>
    </w:p>
    <w:p w14:paraId="6DDA70ED">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按照危机事件或者干预对象，对干预记录进行查询，可查看干预计划执行情况。既可以对来访者的干预情况进行查看与研究，也可为以后作参考。</w:t>
      </w:r>
    </w:p>
    <w:p w14:paraId="7568F06A">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系统建立完善的干预记录管理体系，支持按危机事件维度或干预对象维度进行分类查询与管理。按危机事件查询时，可查看该事件下所有干预对象的干预计划执行情况，包括各干预环节的实施时间、进展状态等；按干预对象查询时，可完整追溯该对象从危机介入到复评结案的全流程干预记录，涵盖干预计划内容、每次干预的详细过程记录、复评数据等。干预记录不仅为心理咨询师实时跟踪干预对象情况、调整干预策略提供依据，便于对来访者的干预情况进行深入分析与研究，也为后续类似危机事件的干预工作提供宝贵的参考案例，助力干预经验的沉淀与推广。</w:t>
      </w:r>
    </w:p>
    <w:p w14:paraId="2135D06E">
      <w:pPr>
        <w:pStyle w:val="6"/>
        <w:keepNext w:val="0"/>
        <w:keepLines w:val="0"/>
        <w:pageBreakBefore w:val="0"/>
        <w:kinsoku/>
        <w:wordWrap/>
        <w:overflowPunct/>
        <w:topLinePunct w:val="0"/>
        <w:autoSpaceDE/>
        <w:autoSpaceDN/>
        <w:bidi w:val="0"/>
        <w:adjustRightInd/>
        <w:snapToGrid/>
        <w:spacing w:line="500" w:lineRule="exact"/>
        <w:ind w:left="855"/>
        <w:jc w:val="both"/>
        <w:textAlignment w:val="auto"/>
        <w:rPr>
          <w:rFonts w:hint="eastAsia" w:ascii="宋体" w:hAnsi="宋体" w:eastAsia="宋体" w:cs="宋体"/>
          <w:sz w:val="24"/>
          <w:szCs w:val="24"/>
        </w:rPr>
      </w:pPr>
      <w:r>
        <w:rPr>
          <w:rFonts w:hint="eastAsia" w:ascii="宋体" w:hAnsi="宋体" w:eastAsia="宋体" w:cs="宋体"/>
          <w:b/>
          <w:sz w:val="24"/>
          <w:szCs w:val="24"/>
        </w:rPr>
        <w:t>2.1.3.6.5.心理训练管理(评审项52)</w:t>
      </w:r>
    </w:p>
    <w:p w14:paraId="7FE26157">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为干预对象提供个性化、可落地的心理技能提升支持。针对不同类型的心理困扰，整合系统内的各类训练素材，定制形成针对性心理训练方案，干预对象通过移动端即可便捷查阅方案并跟随练习。</w:t>
      </w:r>
    </w:p>
    <w:p w14:paraId="5A95281C">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2.1.3.6.5.1.心理训练方案管理</w:t>
      </w:r>
    </w:p>
    <w:p w14:paraId="1B9E869A">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心理咨询师基于对不同心理困扰的专业认知，结合干预对象的个体差异，对系统内的训练素材进行灵活组合，打造具有针对性的心理训练方案。干预对象可通过移动端查阅自己的专属训练方案，按照方案指引的步骤与要求跟随练习，系统将自动记录训练进度与完成情况，方便心理咨询师实时监控训练效果并调整方案。</w:t>
      </w:r>
    </w:p>
    <w:p w14:paraId="5739E2B5">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2.1.3.6.5.2.心理训练素材管理</w:t>
      </w:r>
    </w:p>
    <w:p w14:paraId="6942FB5A">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系统支持多元化的心理训练素材管理，满足不同训练场景与干预需求。素材类型涵盖视频、音频、交互练习、图文。心理咨询师可根据干预工作需要，自主创建新的训练素材，对已有素材进行内容修改或删除过时、不适配的素材，确保训练素材库的时效性、专业性与丰富性。同时，素材管理功能支持按素材类型、适用心理问题、难度等级等进行分类归档，便于心理咨询师快速检索与调用，提升训练方案的制定效率。</w:t>
      </w:r>
    </w:p>
    <w:p w14:paraId="06F05386">
      <w:pPr>
        <w:pStyle w:val="6"/>
        <w:keepNext w:val="0"/>
        <w:keepLines w:val="0"/>
        <w:pageBreakBefore w:val="0"/>
        <w:kinsoku/>
        <w:wordWrap/>
        <w:overflowPunct/>
        <w:topLinePunct w:val="0"/>
        <w:autoSpaceDE/>
        <w:autoSpaceDN/>
        <w:bidi w:val="0"/>
        <w:adjustRightInd/>
        <w:snapToGrid/>
        <w:spacing w:line="500" w:lineRule="exact"/>
        <w:ind w:left="855"/>
        <w:jc w:val="both"/>
        <w:textAlignment w:val="auto"/>
        <w:rPr>
          <w:rFonts w:hint="eastAsia" w:ascii="宋体" w:hAnsi="宋体" w:eastAsia="宋体" w:cs="宋体"/>
          <w:sz w:val="24"/>
          <w:szCs w:val="24"/>
        </w:rPr>
      </w:pPr>
      <w:r>
        <w:rPr>
          <w:rFonts w:hint="eastAsia" w:ascii="宋体" w:hAnsi="宋体" w:eastAsia="宋体" w:cs="宋体"/>
          <w:b/>
          <w:sz w:val="24"/>
          <w:szCs w:val="24"/>
        </w:rPr>
        <w:t>2.1.3.6.6.心理辅导管理(评审项53)</w:t>
      </w:r>
    </w:p>
    <w:p w14:paraId="2F2C6D1E">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以团体干预为核心，构建了从活动组织到人员参与的全流程支持体系。</w:t>
      </w:r>
    </w:p>
    <w:p w14:paraId="01D0A3EE">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2.1.3.6.6.1.活动管理</w:t>
      </w:r>
    </w:p>
    <w:p w14:paraId="66B55657">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心理咨询师可通过系统发布各类心理辅导活动信息，活动类型包括团体心理辅导、心理讲座等。发布活动时，详细填写活动主题、活动目的、适合人群、活动时间、活动地点、活动流程、报名截止时间、人数上限等关键信息，并可上传活动宣传海报、议程安排等附件，提升活动吸引力。同时，系统支持对辅导活动开展信息进行全流程管理，包括活动发布后的状态监控、活动过程中的签到管理、活动结束后的效果反馈收集等，确保心理辅导活动规范、有序开展。</w:t>
      </w:r>
    </w:p>
    <w:p w14:paraId="5859A3BC">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2.1.3.6.6.2.人员管理</w:t>
      </w:r>
    </w:p>
    <w:p w14:paraId="33654677">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为方便心理危机人员参与心理辅导活动，系统提供多渠道的报名方式，满足不同人员的使用习惯：</w:t>
      </w:r>
    </w:p>
    <w:p w14:paraId="1DB92636">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（1）移动端自主报名：干预对象通过移动端登录系统后，可浏览所有正在招募的心理辅导活动，查看活动详情，根据自身需求自主选择报名，报名信息实时同步至系统后台。</w:t>
      </w:r>
    </w:p>
    <w:p w14:paraId="597EA1A9">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（2）管理员批量导入：针对企业、学校等组织场景，管理员可整理需要参与特定辅导活动的人员名单，通过 Excel 等格式文件批量导入系统，快速完成报名操作，提升组织效率。</w:t>
      </w:r>
    </w:p>
    <w:p w14:paraId="66E58C21">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（3）扫码快速报名：系统为每个辅导活动生成唯一的二维码，干预对象可通过移动端扫描二维码，直接跳转至报名页面，填写简单信息即可完成报名，无需登录系统，简化报名流程，提高参与积极性。</w:t>
      </w:r>
    </w:p>
    <w:p w14:paraId="61F75052">
      <w:pPr>
        <w:pStyle w:val="6"/>
        <w:keepNext w:val="0"/>
        <w:keepLines w:val="0"/>
        <w:pageBreakBefore w:val="0"/>
        <w:kinsoku/>
        <w:wordWrap/>
        <w:overflowPunct/>
        <w:topLinePunct w:val="0"/>
        <w:autoSpaceDE/>
        <w:autoSpaceDN/>
        <w:bidi w:val="0"/>
        <w:adjustRightInd/>
        <w:snapToGrid/>
        <w:spacing w:line="500" w:lineRule="exact"/>
        <w:ind w:left="870"/>
        <w:jc w:val="both"/>
        <w:textAlignment w:val="auto"/>
        <w:rPr>
          <w:rFonts w:hint="eastAsia" w:ascii="宋体" w:hAnsi="宋体" w:eastAsia="宋体" w:cs="宋体"/>
          <w:sz w:val="24"/>
          <w:szCs w:val="24"/>
        </w:rPr>
      </w:pPr>
      <w:r>
        <w:rPr>
          <w:rFonts w:hint="eastAsia" w:ascii="宋体" w:hAnsi="宋体" w:eastAsia="宋体" w:cs="宋体"/>
          <w:b/>
          <w:sz w:val="24"/>
          <w:szCs w:val="24"/>
        </w:rPr>
        <w:t>2.1.3.7.患者全病程管理系统</w:t>
      </w:r>
    </w:p>
    <w:p w14:paraId="260CAAF5">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支持与心理体检系统、医院HIS系统等相关应用系统集成，采集个案心理数据，包括心理测评体检、治疗及咨询明细数据信息，根据人员基础信息，构建人员唯一身份索引，并以此关联生成个人完整的诊疗健康档案，以供用户自助查询，或为机构或咨询师提供调阅服务，便于对患者心理健康状况进行整体评估或对其治疗提供辅助参考。</w:t>
      </w:r>
    </w:p>
    <w:p w14:paraId="29C8C8FE">
      <w:pPr>
        <w:pStyle w:val="6"/>
        <w:keepNext w:val="0"/>
        <w:keepLines w:val="0"/>
        <w:pageBreakBefore w:val="0"/>
        <w:kinsoku/>
        <w:wordWrap/>
        <w:overflowPunct/>
        <w:topLinePunct w:val="0"/>
        <w:autoSpaceDE/>
        <w:autoSpaceDN/>
        <w:bidi w:val="0"/>
        <w:adjustRightInd/>
        <w:snapToGrid/>
        <w:spacing w:line="500" w:lineRule="exact"/>
        <w:ind w:left="855"/>
        <w:jc w:val="both"/>
        <w:textAlignment w:val="auto"/>
        <w:rPr>
          <w:rFonts w:hint="eastAsia" w:ascii="宋体" w:hAnsi="宋体" w:eastAsia="宋体" w:cs="宋体"/>
          <w:sz w:val="24"/>
          <w:szCs w:val="24"/>
        </w:rPr>
      </w:pPr>
      <w:r>
        <w:rPr>
          <w:rFonts w:hint="eastAsia" w:ascii="宋体" w:hAnsi="宋体" w:eastAsia="宋体" w:cs="宋体"/>
          <w:b/>
          <w:sz w:val="24"/>
          <w:szCs w:val="24"/>
        </w:rPr>
        <w:t>2.1.3.7.1.主索引管理(评审项54)</w:t>
      </w:r>
    </w:p>
    <w:p w14:paraId="62437324">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通过建设EMPI管理模块，将区域内大量医疗卫生服务数据进行整合，形成患者主索引为主线，电子病历数据、健康档案数据为核心的有序的，可检索，可查阅的有机体。EMPI管理系统由主索引算法配置管理、主索引管理、交叉索引管理、重复主索引管理、主索引更新日志、主索引自动服务日志、主索引接口服务日志构成。</w:t>
      </w:r>
    </w:p>
    <w:p w14:paraId="0568A4D8">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2.1.3.7.1.1.匹配规则管理</w:t>
      </w:r>
    </w:p>
    <w:p w14:paraId="1A8408A6">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支持对患者主索引匹配规则进行维护和管理，能够实现主索引匹配规则的新增、修改、删除、查询和启停用管理；能够实现匹配规则优先级维护、匹配规则类型管理、索引字段配置。</w:t>
      </w:r>
    </w:p>
    <w:p w14:paraId="158298B0">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2.1.3.7.1.2.患者主索引管理</w:t>
      </w:r>
    </w:p>
    <w:p w14:paraId="6BD4EA8B">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支持对患者主索引进行管理，能够实现患者主索引查询、交叉索引查询、患者详细信息查询，可按患者姓名、性别、民族、学历、职业类别、出生日期、证件号码进行精确查询。</w:t>
      </w:r>
    </w:p>
    <w:p w14:paraId="137CF9CE">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2.1.3.7.1.3.交叉索引管理</w:t>
      </w:r>
    </w:p>
    <w:p w14:paraId="665FE9E0">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支持对患者交叉索引进行管理，能够实现交叉索引详情查询、解除主索引管理、匹配主索引管理。</w:t>
      </w:r>
    </w:p>
    <w:p w14:paraId="16B20155">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2.1.3.7.1.4.重复索引管理</w:t>
      </w:r>
    </w:p>
    <w:p w14:paraId="19C176B5">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支持对重复的患者索引进行维护管理，能够实现重复患者主索引列表查询、合并。</w:t>
      </w:r>
    </w:p>
    <w:p w14:paraId="2B6DCCAE">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2.1.3.7.1.5.主索引日志管理</w:t>
      </w:r>
    </w:p>
    <w:p w14:paraId="5C55C964">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1.更新日志</w:t>
      </w:r>
    </w:p>
    <w:p w14:paraId="5664D216">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系统支持患者索引更新日志进行管理，能够实现患者索引更新日志的记录、查询，支持对索引更新操作的操作时间、操作类型、患者姓名、变更内容、操作人进行记录和查询。</w:t>
      </w:r>
    </w:p>
    <w:p w14:paraId="76AF6F3E">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2.接口服务日志</w:t>
      </w:r>
    </w:p>
    <w:p w14:paraId="3377C0A8">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系统支持服务日志管理，能够实现API接口日志的记录、查询，支持对API接口的请求时间、请求方法、请求数据、返回数据、结果进行记录和查询。</w:t>
      </w:r>
    </w:p>
    <w:p w14:paraId="26318ED4">
      <w:pPr>
        <w:pStyle w:val="6"/>
        <w:keepNext w:val="0"/>
        <w:keepLines w:val="0"/>
        <w:pageBreakBefore w:val="0"/>
        <w:kinsoku/>
        <w:wordWrap/>
        <w:overflowPunct/>
        <w:topLinePunct w:val="0"/>
        <w:autoSpaceDE/>
        <w:autoSpaceDN/>
        <w:bidi w:val="0"/>
        <w:adjustRightInd/>
        <w:snapToGrid/>
        <w:spacing w:line="500" w:lineRule="exact"/>
        <w:ind w:left="855"/>
        <w:jc w:val="both"/>
        <w:textAlignment w:val="auto"/>
        <w:rPr>
          <w:rFonts w:hint="eastAsia" w:ascii="宋体" w:hAnsi="宋体" w:eastAsia="宋体" w:cs="宋体"/>
          <w:sz w:val="24"/>
          <w:szCs w:val="24"/>
        </w:rPr>
      </w:pPr>
      <w:r>
        <w:rPr>
          <w:rFonts w:hint="eastAsia" w:ascii="宋体" w:hAnsi="宋体" w:eastAsia="宋体" w:cs="宋体"/>
          <w:b/>
          <w:sz w:val="24"/>
          <w:szCs w:val="24"/>
        </w:rPr>
        <w:t>2.1.3.7.2.全病程档案浏览器(评审项55)</w:t>
      </w:r>
    </w:p>
    <w:p w14:paraId="197F0EE2">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2.1.3.7.2.1.综合查询</w:t>
      </w:r>
    </w:p>
    <w:p w14:paraId="55DFD9F6">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支持通过姓名、身份证号、联系电话等多种方式对档案库信息进行交叉查询。</w:t>
      </w:r>
    </w:p>
    <w:p w14:paraId="3C743036">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2.1.3.7.2.2.信息摘要</w:t>
      </w:r>
    </w:p>
    <w:p w14:paraId="3E6538F3">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展示患者的整体健康状况、近期的诊疗、咨询、体检记录，也可查询对应的详细信息。</w:t>
      </w:r>
    </w:p>
    <w:p w14:paraId="6AA765AD">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2.1.3.7.2.3.信息索引</w:t>
      </w:r>
    </w:p>
    <w:p w14:paraId="51F0177B">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将患者的全部诊疗、咨询、体检记录，按照发生时间以时间轴的方式进行展示，查询对应的详细信息。</w:t>
      </w:r>
    </w:p>
    <w:p w14:paraId="451AAF6A">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2.1.3.7.2.4.体检记录</w:t>
      </w:r>
    </w:p>
    <w:p w14:paraId="027EB384">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可查询心理健康体检记录，可通过来源、量表类型、就诊时间对就诊记录进行精准查询，查看患者的体检明细、测评结果等；</w:t>
      </w:r>
    </w:p>
    <w:p w14:paraId="728AE4DD">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2.1.3.7.2.5.诊疗记录</w:t>
      </w:r>
    </w:p>
    <w:p w14:paraId="2F5E4636">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可查询居民诊疗记录，通过医疗机构名称、就诊科室、诊断、就诊时间对就诊记录进行精准查询，查询记录主诉、问诊记录、诊断记录及治疗意见等详情。</w:t>
      </w:r>
    </w:p>
    <w:p w14:paraId="4680C92D">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2.1.3.7.2.6.干预记录</w:t>
      </w:r>
    </w:p>
    <w:p w14:paraId="0F953950">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可通过时间及名称检索对患者的干预记录及详情。</w:t>
      </w:r>
    </w:p>
    <w:p w14:paraId="02BFDFB9">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2.1.3.7.2.7.咨询记录</w:t>
      </w:r>
    </w:p>
    <w:p w14:paraId="1D94F5EC">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可查询换着心理咨询记录，查看咨询过程中的咨询主题、咨询内容等过程信息。</w:t>
      </w:r>
    </w:p>
    <w:p w14:paraId="32D50EA3">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2.1.3.7.2.8.其他</w:t>
      </w:r>
    </w:p>
    <w:p w14:paraId="600901C2">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1.随访任务管理</w:t>
      </w:r>
    </w:p>
    <w:p w14:paraId="7396AC25">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（1）访视设置</w:t>
      </w:r>
    </w:p>
    <w:p w14:paraId="4E21E6AA">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自定义随访节点与周期（出院后1周/1月/3月等）；自动生成待随访患者清单；随访任务批量派发与提醒。</w:t>
      </w:r>
    </w:p>
    <w:p w14:paraId="51B28593">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（2）访视标记</w:t>
      </w:r>
    </w:p>
    <w:p w14:paraId="6855B448">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随访状态标记（已完成/未完成/失联/拒绝）；随访失败原因登记。</w:t>
      </w:r>
    </w:p>
    <w:p w14:paraId="43B2F435">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2.根据平台开展的心理服务，如心理训练、课程学习等。</w:t>
      </w:r>
    </w:p>
    <w:p w14:paraId="2EF70223">
      <w:pPr>
        <w:pStyle w:val="6"/>
        <w:keepNext w:val="0"/>
        <w:keepLines w:val="0"/>
        <w:pageBreakBefore w:val="0"/>
        <w:kinsoku/>
        <w:wordWrap/>
        <w:overflowPunct/>
        <w:topLinePunct w:val="0"/>
        <w:autoSpaceDE/>
        <w:autoSpaceDN/>
        <w:bidi w:val="0"/>
        <w:adjustRightInd/>
        <w:snapToGrid/>
        <w:spacing w:line="500" w:lineRule="exact"/>
        <w:ind w:left="870"/>
        <w:jc w:val="both"/>
        <w:textAlignment w:val="auto"/>
        <w:rPr>
          <w:rFonts w:hint="eastAsia" w:ascii="宋体" w:hAnsi="宋体" w:eastAsia="宋体" w:cs="宋体"/>
          <w:sz w:val="24"/>
          <w:szCs w:val="24"/>
        </w:rPr>
      </w:pPr>
      <w:r>
        <w:rPr>
          <w:rFonts w:hint="eastAsia" w:ascii="宋体" w:hAnsi="宋体" w:eastAsia="宋体" w:cs="宋体"/>
          <w:b/>
          <w:sz w:val="24"/>
          <w:szCs w:val="24"/>
        </w:rPr>
        <w:t>2.1.3.8.心理应急管理系统</w:t>
      </w:r>
    </w:p>
    <w:p w14:paraId="0CFF5210">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支持对应急机构、人力资源、物资资源、知识等的统一管理，实现应急事件评估、应急干预处置、指挥调度、总结评估、高危人员管理等内容。基于综合知识库和预案，为应急团队开展事件评估、团队组件、任务分配、工作记录、综合评估、团队督导等活动提供支持。</w:t>
      </w:r>
    </w:p>
    <w:p w14:paraId="08AD70D0">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建设心理危机应急管理模块，针对心理危机干预队伍的建设以及应急响应处置工作的开展提供信息化工具，对于重大突发事件实现联动处理、集中管理、及时响应。根据应急预案对于现场心理危机干预过程进行统一管理和调度，收集现场反馈信息并及时调整工作方案和任务设置，规范工作过程管理，提高业务信息共享能力，便于团队成员及时掌握了解任务情况并反馈执行信息；管理部门可以实时掌握应急事件处置的进展情况，开展工作评估、态势研判等工作。通过系统中积累的应急干预工作记录和评估报告等信息，为后续的人员跟踪随访、综合业务评估、工作流程改进等方面提供基础数据支撑。</w:t>
      </w:r>
    </w:p>
    <w:p w14:paraId="64D0DDC0">
      <w:pPr>
        <w:pStyle w:val="6"/>
        <w:keepNext w:val="0"/>
        <w:keepLines w:val="0"/>
        <w:pageBreakBefore w:val="0"/>
        <w:kinsoku/>
        <w:wordWrap/>
        <w:overflowPunct/>
        <w:topLinePunct w:val="0"/>
        <w:autoSpaceDE/>
        <w:autoSpaceDN/>
        <w:bidi w:val="0"/>
        <w:adjustRightInd/>
        <w:snapToGrid/>
        <w:spacing w:line="500" w:lineRule="exact"/>
        <w:ind w:left="855"/>
        <w:jc w:val="both"/>
        <w:textAlignment w:val="auto"/>
        <w:rPr>
          <w:rFonts w:hint="eastAsia" w:ascii="宋体" w:hAnsi="宋体" w:eastAsia="宋体" w:cs="宋体"/>
          <w:sz w:val="24"/>
          <w:szCs w:val="24"/>
        </w:rPr>
      </w:pPr>
      <w:r>
        <w:rPr>
          <w:rFonts w:hint="eastAsia" w:ascii="宋体" w:hAnsi="宋体" w:eastAsia="宋体" w:cs="宋体"/>
          <w:b/>
          <w:sz w:val="24"/>
          <w:szCs w:val="24"/>
        </w:rPr>
        <w:t>2.1.3.8.1.应急事件管理(评审项56)</w:t>
      </w:r>
    </w:p>
    <w:p w14:paraId="5664FFE1">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针对各类突发事件（造成或可能造成社会危害，需要采取应急处置措施予以应对的自然灾害、事故灾难、公共卫生事件和社会安全事件），且需要心理危机团队进行应急干预和心理救援的事件信息进行管理。主要功能包括：</w:t>
      </w:r>
    </w:p>
    <w:p w14:paraId="06032C01">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1.事件登记</w:t>
      </w:r>
    </w:p>
    <w:p w14:paraId="4406BC39">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应急管理人员对不同来源的应急事件的情况进行记录，记录内容包括：事件报告来源、事件类型、事件进展和危害程度、伤亡情况及人群组成、受灾者及潜在受灾者情况（数量、程度和范围）、心理救援需求和要求（危机事件造成的医疗和精神心理需求）。</w:t>
      </w:r>
    </w:p>
    <w:p w14:paraId="136EA33A">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主要事件报告来源包括群众事件上报（群众求助咨询、心理援助热线转交等）、机构事件上报（机构请求援助申请）、应急指令（政府指令下达、其他委办局协作函）、其他来源（心理健康监测、风险预警等）。</w:t>
      </w:r>
    </w:p>
    <w:p w14:paraId="7DB4E077">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应急管理人员对于已核实确定的事件记录情况进行初步分析，如果有需要执行应急心理救援工作的，根据情况进入相应的审核流程。</w:t>
      </w:r>
    </w:p>
    <w:p w14:paraId="6CE7E37A">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2.事件评估和审核</w:t>
      </w:r>
    </w:p>
    <w:p w14:paraId="458DBAB8">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在收到重大事件应急心理援助初步报告后，由决策领导和专家组针对事件情况，进行会商与评估。评估和审核不通过时，该待处理应急事件终止，当事件通过评估和审批时，进入待启动的应急事件列表，启动该应急事件，并发布相关信息。</w:t>
      </w:r>
    </w:p>
    <w:p w14:paraId="0DF32E07">
      <w:pPr>
        <w:pStyle w:val="6"/>
        <w:keepNext w:val="0"/>
        <w:keepLines w:val="0"/>
        <w:pageBreakBefore w:val="0"/>
        <w:kinsoku/>
        <w:wordWrap/>
        <w:overflowPunct/>
        <w:topLinePunct w:val="0"/>
        <w:autoSpaceDE/>
        <w:autoSpaceDN/>
        <w:bidi w:val="0"/>
        <w:adjustRightInd/>
        <w:snapToGrid/>
        <w:spacing w:line="500" w:lineRule="exact"/>
        <w:ind w:left="855"/>
        <w:jc w:val="both"/>
        <w:textAlignment w:val="auto"/>
        <w:rPr>
          <w:rFonts w:hint="eastAsia" w:ascii="宋体" w:hAnsi="宋体" w:eastAsia="宋体" w:cs="宋体"/>
          <w:sz w:val="24"/>
          <w:szCs w:val="24"/>
        </w:rPr>
      </w:pPr>
      <w:r>
        <w:rPr>
          <w:rFonts w:hint="eastAsia" w:ascii="宋体" w:hAnsi="宋体" w:eastAsia="宋体" w:cs="宋体"/>
          <w:b/>
          <w:sz w:val="24"/>
          <w:szCs w:val="24"/>
        </w:rPr>
        <w:t>2.1.3.8.2.应急干预管理(评审项57)</w:t>
      </w:r>
    </w:p>
    <w:p w14:paraId="2380612E">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针对前期听过审核的应急事件记录进入具体的应急干预流程，生成具体的应急心理援助项目，对干预过程中产生的各类数据信息进行管理。主要功能包括：</w:t>
      </w:r>
    </w:p>
    <w:p w14:paraId="463A38FB">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2.1.3.8.2.1.应急项目管理</w:t>
      </w:r>
    </w:p>
    <w:p w14:paraId="197561DB">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针对应急项目记录进行管理，根据项目执行各阶段补充完善相关信息，记录的信息包括：</w:t>
      </w:r>
    </w:p>
    <w:p w14:paraId="0777A664">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1.事件基本信息。</w:t>
      </w:r>
    </w:p>
    <w:p w14:paraId="4916076C">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对之前登记的事件记录根据掌握的情况进行补充和完善。例如总体管理协调机构信息（机构名称、联系人及联系方式）、其他相关机构信息（机构名称、联系人及联系方式）、现场医疗和精神心理卫生资源情况、现场环境条件情况（地理、气候、道路、通信、物质供应、场地、食宿）、注意事项等。</w:t>
      </w:r>
    </w:p>
    <w:p w14:paraId="26761788">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2.资源信息</w:t>
      </w:r>
    </w:p>
    <w:p w14:paraId="65DA7BB9">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应急团队投入的各类资源信息，包括物资、车辆、装备、工具、文件资料等；以及可以使用的外部资源信息。</w:t>
      </w:r>
    </w:p>
    <w:p w14:paraId="42C4AD9C">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3.工作方案</w:t>
      </w:r>
    </w:p>
    <w:p w14:paraId="14F6020D">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根据此次事件性质、类别、危害程度、范围和可控情况等多方面信息，系统基于应急预案形成针对本次事件应急心理援助工作方案并进行发布，作为指导心理救援工作的基础依据。</w:t>
      </w:r>
    </w:p>
    <w:p w14:paraId="0A7B341D">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4.现场信息</w:t>
      </w:r>
    </w:p>
    <w:p w14:paraId="30374DBE">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对工作简报、情况通报、事件权威发布信息、相关材料等信息进行收集和管理。便于及时获取准确的事件信息，帮助援助对象了解发生了什么以及相关援助服务计划，提供信息支持。</w:t>
      </w:r>
    </w:p>
    <w:p w14:paraId="19BB83D9">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2.1.3.8.2.2.应急团队管理</w:t>
      </w:r>
    </w:p>
    <w:p w14:paraId="3260CA90">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1.团队人员管理</w:t>
      </w:r>
    </w:p>
    <w:p w14:paraId="56616461">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对参与本次应急心理救援工作的人员信息进行管理，从资源库（包括应急团队、志愿者）中选取参与本次工作的人员名单，并分配本项目中的人员角色分工。</w:t>
      </w:r>
    </w:p>
    <w:p w14:paraId="5E44C6DE">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2.团队分组管理</w:t>
      </w:r>
    </w:p>
    <w:p w14:paraId="56347A66">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根据人员参与及现场情况，对团队人员信息进行分组管理，明确各组人员及分工。对于成员入组、出组、调组等过程进行记录。</w:t>
      </w:r>
    </w:p>
    <w:p w14:paraId="42E027B0">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2.1.3.8.2.3.过程记录管理</w:t>
      </w:r>
    </w:p>
    <w:p w14:paraId="3E1D88D0">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1.计划任务管理</w:t>
      </w:r>
    </w:p>
    <w:p w14:paraId="275F1F10">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根据整体方案和预案，系统可以自动生成工作任务包，用户也可以新建公工作任务，在系统中记录任务基本情况、相关资料、完成时间、负责团队/人员等信息。</w:t>
      </w:r>
    </w:p>
    <w:p w14:paraId="250C760B">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2.工作记录管理</w:t>
      </w:r>
    </w:p>
    <w:p w14:paraId="4E73EE15">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用户可以在系统记录个人/团队工作日志。</w:t>
      </w:r>
    </w:p>
    <w:p w14:paraId="0BA7DF1F">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用户可以在系统中填写工作日报表，对现场心理评估（低、中、高风险人数）、现场心理干预（无或轻微、低中度、高度、严重受损人数）进行记录。系统自动汇总团队成员填写的日报数据，形成团队日报表。</w:t>
      </w:r>
    </w:p>
    <w:p w14:paraId="0D5C3CE5">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3.测评量表管理</w:t>
      </w:r>
    </w:p>
    <w:p w14:paraId="32339A67">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在开展心理救援过程中，需要使用简易评估工具，对需要干预的对象进行筛查，确定重点人群。用户使用系统中的量表进行心理测评。用户可以选择量表库中的量表进行填写，并根据填写结果自动生成评价信息。</w:t>
      </w:r>
    </w:p>
    <w:p w14:paraId="132892CD">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系统对各类量表的使用及整体评估情况进行分类统计和展示。</w:t>
      </w:r>
    </w:p>
    <w:p w14:paraId="4ED46728">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2.1.3.8.2.4.高危人员管理</w:t>
      </w:r>
    </w:p>
    <w:p w14:paraId="377603BA">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1.高危人员登记管理</w:t>
      </w:r>
    </w:p>
    <w:p w14:paraId="499FF438">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对在心理救援过程中发现的高危人员进行建档，记录个人基本信息、病史信息、本次事件中伤害情况、高危因素、注意事项、心理干预/治疗建议等信息。</w:t>
      </w:r>
    </w:p>
    <w:p w14:paraId="2A1D141A">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2.高危人员随访管理</w:t>
      </w:r>
    </w:p>
    <w:p w14:paraId="146D9AA0">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对筛选出有急性心理应激反应的人员需要进行进一步的治疗及随访。</w:t>
      </w:r>
    </w:p>
    <w:p w14:paraId="73D22EC0">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用户在系统中记录针对高危人员采取的随访跟踪信息，包括随访时间、干预过程、风险评估、后续安排及建议等。</w:t>
      </w:r>
    </w:p>
    <w:p w14:paraId="00EAB0BD">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3.量表评估管理</w:t>
      </w:r>
    </w:p>
    <w:p w14:paraId="16FB5F9D">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用户在系统中填写针对高危人员的心理/精神障碍测评量表，记录和查看各类量表评估信息。</w:t>
      </w:r>
    </w:p>
    <w:p w14:paraId="2A081F07">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4.转诊转介管理</w:t>
      </w:r>
    </w:p>
    <w:p w14:paraId="5122D991">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对于高危人员建议进行的心理咨询、心理治疗等活动及跟踪结果进行记录。</w:t>
      </w:r>
    </w:p>
    <w:p w14:paraId="5876A3D7">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2.1.3.8.2.5.总结报告</w:t>
      </w:r>
    </w:p>
    <w:p w14:paraId="75217459">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针对应急心理援救实施情况进行总结，提出对应急事件的干预指导性意见及处置结果，形成分析报告及建议，并将报告文档上传到系统中。</w:t>
      </w:r>
    </w:p>
    <w:p w14:paraId="20F34708">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2.1.3.8.2.6.项目归档</w:t>
      </w:r>
    </w:p>
    <w:p w14:paraId="37FC9F2A">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本次应急干预活动结束后需要进行归档处理，系统将该事件所有相干资料进行归档。针对突发事件相关的报表、处置过程等资料作为历史文件进行统一归档管理。</w:t>
      </w:r>
    </w:p>
    <w:p w14:paraId="45CBD470">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2.1.3.8.2.7.后期评估</w:t>
      </w:r>
    </w:p>
    <w:p w14:paraId="14D8542C">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通过性质评估、措施评估、过程评估和处理结果评估，对应急事件处理的环节和过程进行评估。即调用专家库、根据事件的进展情况、控制处理结果等因素进行重新评估、给出意见、同时更新事件处理预案和个案处理息，为下一次紧急事件的处理和应对提供参考。相关评估记录保存到系统中。</w:t>
      </w:r>
    </w:p>
    <w:p w14:paraId="2AA3F42A">
      <w:pPr>
        <w:pStyle w:val="6"/>
        <w:keepNext w:val="0"/>
        <w:keepLines w:val="0"/>
        <w:pageBreakBefore w:val="0"/>
        <w:kinsoku/>
        <w:wordWrap/>
        <w:overflowPunct/>
        <w:topLinePunct w:val="0"/>
        <w:autoSpaceDE/>
        <w:autoSpaceDN/>
        <w:bidi w:val="0"/>
        <w:adjustRightInd/>
        <w:snapToGrid/>
        <w:spacing w:line="500" w:lineRule="exact"/>
        <w:ind w:left="855"/>
        <w:jc w:val="both"/>
        <w:textAlignment w:val="auto"/>
        <w:rPr>
          <w:rFonts w:hint="eastAsia" w:ascii="宋体" w:hAnsi="宋体" w:eastAsia="宋体" w:cs="宋体"/>
          <w:sz w:val="24"/>
          <w:szCs w:val="24"/>
        </w:rPr>
      </w:pPr>
      <w:r>
        <w:rPr>
          <w:rFonts w:hint="eastAsia" w:ascii="宋体" w:hAnsi="宋体" w:eastAsia="宋体" w:cs="宋体"/>
          <w:b/>
          <w:sz w:val="24"/>
          <w:szCs w:val="24"/>
        </w:rPr>
        <w:t>2.1.3.8.3.应急资源管理(评审项58)</w:t>
      </w:r>
    </w:p>
    <w:p w14:paraId="11944C1A">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对应急干预过程中所需的各种资源进行管理，这些资源包括人员、专家、应急队伍、应急机构、物资装备等。系统为用户提供对资源的综合查询功能和分析功能，为用户的指挥和决策提供辅佐和支持。</w:t>
      </w:r>
    </w:p>
    <w:p w14:paraId="2869E6BE">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2.1.3.8.3.1.应急机构管理</w:t>
      </w:r>
    </w:p>
    <w:p w14:paraId="35B93767">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对危机干预及心理救援相关机构数据库的维护，以及从外部数据源的批量数据导入功能。并根据用户需求对数据进行管理和检索。</w:t>
      </w:r>
    </w:p>
    <w:p w14:paraId="19168911">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2.1.3.8.3.2.应急队伍管理</w:t>
      </w:r>
    </w:p>
    <w:p w14:paraId="35427161">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实现对各地建立的心理危机应急干预队伍信息进行管理，便于在应急事件中统一调度，对队伍中的人员信息、装备信息、培训演练等信息进行管理。并为用户提供检索服务。</w:t>
      </w:r>
    </w:p>
    <w:p w14:paraId="51E7FA1F">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2.1.3.8.3.3.应急人员信息管理</w:t>
      </w:r>
    </w:p>
    <w:p w14:paraId="0D808A86">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建立应急心理救援人员库，对人员信息库进行维护，按照用户需求对应急人员库进行管理，检索；可以从应急人员库抽取人员和组建突发应急团队。</w:t>
      </w:r>
    </w:p>
    <w:p w14:paraId="1F36C4DD">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在系统中可以查询人员基本信息、参与的应急处置项目以及相关工作记录信息。</w:t>
      </w:r>
    </w:p>
    <w:p w14:paraId="48872F23">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2.1.3.8.3.4.排班管理</w:t>
      </w:r>
    </w:p>
    <w:p w14:paraId="22CD19DC">
      <w:pPr>
        <w:pStyle w:val="6"/>
        <w:keepNext w:val="0"/>
        <w:keepLines w:val="0"/>
        <w:pageBreakBefore w:val="0"/>
        <w:kinsoku/>
        <w:wordWrap/>
        <w:overflowPunct/>
        <w:topLinePunct w:val="0"/>
        <w:autoSpaceDE/>
        <w:autoSpaceDN/>
        <w:bidi w:val="0"/>
        <w:adjustRightInd/>
        <w:snapToGrid/>
        <w:spacing w:line="500" w:lineRule="exact"/>
        <w:ind w:firstLine="480"/>
        <w:jc w:val="left"/>
        <w:textAlignment w:val="auto"/>
        <w:rPr>
          <w:rFonts w:hint="eastAsia" w:ascii="宋体" w:hAnsi="宋体" w:eastAsia="宋体" w:cs="宋体"/>
          <w:sz w:val="24"/>
          <w:szCs w:val="24"/>
        </w:rPr>
      </w:pPr>
      <w:r>
        <w:rPr>
          <w:rFonts w:hint="eastAsia" w:ascii="宋体" w:hAnsi="宋体" w:eastAsia="宋体" w:cs="宋体"/>
          <w:sz w:val="24"/>
          <w:szCs w:val="24"/>
        </w:rPr>
        <w:t>支持多班制设置，管理员可为队伍设置所使用的班制及班制开始和结束时间。支持对应急人员的逐日排班，支持排班表的暂存与发布，支持在线调班。</w:t>
      </w:r>
    </w:p>
    <w:p w14:paraId="0C9032C0">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2.1.3.8.3.5.专家信息管理</w:t>
      </w:r>
    </w:p>
    <w:p w14:paraId="3C9AB11D">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对危机干预及心理救援专家库进行维护，便于在应急事件中进行统一调度，为应急事件处置提供咨询、督导等服务。按照用户需求对专家数据库进行管理，检索，专家任务派遣。</w:t>
      </w:r>
    </w:p>
    <w:p w14:paraId="40141993">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2.1.3.8.3.6.志愿者信息管理</w:t>
      </w:r>
    </w:p>
    <w:p w14:paraId="09D0222A">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对参加日常应急心理救援培训的志愿者信息库进行维护。在系统中可以查询志愿者基本信息、培训记录。可以从志愿者库抽取人员组建突发应急团队。</w:t>
      </w:r>
    </w:p>
    <w:p w14:paraId="14711B45">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2.1.3.8.3.7.物资装备管理</w:t>
      </w:r>
    </w:p>
    <w:p w14:paraId="04C1A8FF">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对心理危机应急相关部门/队伍掌握的相关物资装备（车辆、设备、工具、资料等）信息进行维护，并提供检索服务。</w:t>
      </w:r>
    </w:p>
    <w:p w14:paraId="743F5A73">
      <w:pPr>
        <w:pStyle w:val="6"/>
        <w:keepNext w:val="0"/>
        <w:keepLines w:val="0"/>
        <w:pageBreakBefore w:val="0"/>
        <w:kinsoku/>
        <w:wordWrap/>
        <w:overflowPunct/>
        <w:topLinePunct w:val="0"/>
        <w:autoSpaceDE/>
        <w:autoSpaceDN/>
        <w:bidi w:val="0"/>
        <w:adjustRightInd/>
        <w:snapToGrid/>
        <w:spacing w:line="500" w:lineRule="exact"/>
        <w:ind w:left="855"/>
        <w:jc w:val="both"/>
        <w:textAlignment w:val="auto"/>
        <w:rPr>
          <w:rFonts w:hint="eastAsia" w:ascii="宋体" w:hAnsi="宋体" w:eastAsia="宋体" w:cs="宋体"/>
          <w:sz w:val="24"/>
          <w:szCs w:val="24"/>
        </w:rPr>
      </w:pPr>
      <w:r>
        <w:rPr>
          <w:rFonts w:hint="eastAsia" w:ascii="宋体" w:hAnsi="宋体" w:eastAsia="宋体" w:cs="宋体"/>
          <w:b/>
          <w:sz w:val="24"/>
          <w:szCs w:val="24"/>
        </w:rPr>
        <w:t>2.1.3.8.4.应急预案管理(评审项59)</w:t>
      </w:r>
    </w:p>
    <w:p w14:paraId="5BE1AB53">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系统中对各类应急预案信息系统管理和维护。当需要提供应急心理救援的突发事件发生时，将系统切换到应急状态进行战时管理。通过系统调入与此次事件相关的处理预案、方法、知识、法律法规等来进行紧急事件的决策分析，根据平时准备积累的信息和具体事件情况，人为或自动地生成应对方案。然后，将解决方案分解，逐步实现各项操作，从而实现对突发事件的应急干预与心理救援。</w:t>
      </w:r>
    </w:p>
    <w:p w14:paraId="7C238CE9">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在应急事件处置结束或者日常应急演练过程中，根据评估结果可以对系统中的应急预案进行调整和完善。</w:t>
      </w:r>
    </w:p>
    <w:p w14:paraId="71B05F71">
      <w:pPr>
        <w:pStyle w:val="6"/>
        <w:keepNext w:val="0"/>
        <w:keepLines w:val="0"/>
        <w:pageBreakBefore w:val="0"/>
        <w:kinsoku/>
        <w:wordWrap/>
        <w:overflowPunct/>
        <w:topLinePunct w:val="0"/>
        <w:autoSpaceDE/>
        <w:autoSpaceDN/>
        <w:bidi w:val="0"/>
        <w:adjustRightInd/>
        <w:snapToGrid/>
        <w:spacing w:line="500" w:lineRule="exact"/>
        <w:ind w:left="855"/>
        <w:jc w:val="both"/>
        <w:textAlignment w:val="auto"/>
        <w:rPr>
          <w:rFonts w:hint="eastAsia" w:ascii="宋体" w:hAnsi="宋体" w:eastAsia="宋体" w:cs="宋体"/>
          <w:sz w:val="24"/>
          <w:szCs w:val="24"/>
        </w:rPr>
      </w:pPr>
      <w:r>
        <w:rPr>
          <w:rFonts w:hint="eastAsia" w:ascii="宋体" w:hAnsi="宋体" w:eastAsia="宋体" w:cs="宋体"/>
          <w:b/>
          <w:sz w:val="24"/>
          <w:szCs w:val="24"/>
        </w:rPr>
        <w:t>2.1.3.8.5.知识库管理(评审项60)</w:t>
      </w:r>
    </w:p>
    <w:p w14:paraId="78116B6A">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2.1.3.8.5.1.规章制度库管理</w:t>
      </w:r>
    </w:p>
    <w:p w14:paraId="7C6F9338">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实现对应急相关的法律法规基本信息管理，可以增加、删除、修改法律法规基本信息，并根据用户需求提供检索服务。</w:t>
      </w:r>
    </w:p>
    <w:p w14:paraId="7C947F89">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2.1.3.8.5.2.宣传材料库管理</w:t>
      </w:r>
    </w:p>
    <w:p w14:paraId="5B5C576A">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实现对应急相关的宣传文档材料管理，并根据用户需求提供检索服务。可以根据需要下载打印宣传材料。</w:t>
      </w:r>
    </w:p>
    <w:p w14:paraId="5D4705D8">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2.1.3.8.5.3.综合知识库管理</w:t>
      </w:r>
    </w:p>
    <w:p w14:paraId="67B3FAB7">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该模块对心理援助及危机干预行业涉及到的知识进行管理，包括添加、删除、编辑知识等功能，并提供检索服务。</w:t>
      </w:r>
    </w:p>
    <w:p w14:paraId="3DA07DA2">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2.1.3.8.5.4.测评量表管理</w:t>
      </w:r>
    </w:p>
    <w:p w14:paraId="4D80014D">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该模块可对测评量表进行管理，管理员通过历史事件，自定义设置量表内容、计分规则、评分规则等，便于在预案制定和现场处置时提供便捷的资源支撑。</w:t>
      </w:r>
    </w:p>
    <w:p w14:paraId="4AC81DAF">
      <w:pPr>
        <w:pStyle w:val="6"/>
        <w:keepNext w:val="0"/>
        <w:keepLines w:val="0"/>
        <w:pageBreakBefore w:val="0"/>
        <w:kinsoku/>
        <w:wordWrap/>
        <w:overflowPunct/>
        <w:topLinePunct w:val="0"/>
        <w:autoSpaceDE/>
        <w:autoSpaceDN/>
        <w:bidi w:val="0"/>
        <w:adjustRightInd/>
        <w:snapToGrid/>
        <w:spacing w:line="500" w:lineRule="exact"/>
        <w:ind w:left="855"/>
        <w:jc w:val="both"/>
        <w:textAlignment w:val="auto"/>
        <w:rPr>
          <w:rFonts w:hint="eastAsia" w:ascii="宋体" w:hAnsi="宋体" w:eastAsia="宋体" w:cs="宋体"/>
          <w:sz w:val="24"/>
          <w:szCs w:val="24"/>
        </w:rPr>
      </w:pPr>
      <w:r>
        <w:rPr>
          <w:rFonts w:hint="eastAsia" w:ascii="宋体" w:hAnsi="宋体" w:eastAsia="宋体" w:cs="宋体"/>
          <w:b/>
          <w:sz w:val="24"/>
          <w:szCs w:val="24"/>
        </w:rPr>
        <w:t>2.1.3.8.6.统计分析(评审项61)</w:t>
      </w:r>
    </w:p>
    <w:p w14:paraId="6AFA5E0B">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2.1.3.8.6.1.统计报表</w:t>
      </w:r>
    </w:p>
    <w:p w14:paraId="046F674B">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针对应急干预过程中产生的各类工作记录和义务信息，形成各类工作统计报表，对任务工作量、干预人次数、人员评估等情况进行汇总统计。</w:t>
      </w:r>
    </w:p>
    <w:p w14:paraId="55A5374E">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2.1.3.8.6.2.专题分析</w:t>
      </w:r>
    </w:p>
    <w:p w14:paraId="16BDB934">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通过系统中采集数据信息进行专题数据分析。主要包括：</w:t>
      </w:r>
    </w:p>
    <w:p w14:paraId="12E347C1">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（1）地图分布情况：应急事件查询结果不仅以文字列表的形式显示，同时在地图中定位显示，可以直观的看出事件在地图上的分布情况。</w:t>
      </w:r>
    </w:p>
    <w:p w14:paraId="25B6AC52">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（2）综合分析：对应急事件发生及处置数量、类型等进行综合分析，以列表及饼图和柱状图形式显示各种类型事件的数量、比例等，帮助管理人员掌握总体情形。</w:t>
      </w:r>
    </w:p>
    <w:p w14:paraId="5060064C">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（3）突发事件周边资源分析：当突发应急事件发生并在地图上定位后，显示周边的资源情形。</w:t>
      </w:r>
    </w:p>
    <w:p w14:paraId="66553F3D">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（4）专题图分析：显示各区域内资源的分布情况，以柱图或饼图的形式进行显示。</w:t>
      </w:r>
    </w:p>
    <w:p w14:paraId="312F6A42">
      <w:pPr>
        <w:pStyle w:val="6"/>
        <w:keepNext w:val="0"/>
        <w:keepLines w:val="0"/>
        <w:pageBreakBefore w:val="0"/>
        <w:kinsoku/>
        <w:wordWrap/>
        <w:overflowPunct/>
        <w:topLinePunct w:val="0"/>
        <w:autoSpaceDE/>
        <w:autoSpaceDN/>
        <w:bidi w:val="0"/>
        <w:adjustRightInd/>
        <w:snapToGrid/>
        <w:spacing w:line="500" w:lineRule="exact"/>
        <w:ind w:left="855"/>
        <w:jc w:val="both"/>
        <w:textAlignment w:val="auto"/>
        <w:rPr>
          <w:rFonts w:hint="eastAsia" w:ascii="宋体" w:hAnsi="宋体" w:eastAsia="宋体" w:cs="宋体"/>
          <w:sz w:val="24"/>
          <w:szCs w:val="24"/>
        </w:rPr>
      </w:pPr>
      <w:r>
        <w:rPr>
          <w:rFonts w:hint="eastAsia" w:ascii="宋体" w:hAnsi="宋体" w:eastAsia="宋体" w:cs="宋体"/>
          <w:b/>
          <w:sz w:val="24"/>
          <w:szCs w:val="24"/>
        </w:rPr>
        <w:t>2.1.3.8.7.心理现场应急处置(评审项62)</w:t>
      </w:r>
    </w:p>
    <w:p w14:paraId="042CEA75">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心理现场应急处置面向应急人员使用，便于配合中心端开展突发事件应急危机干预的现场处置工作。主要功能包括：</w:t>
      </w:r>
    </w:p>
    <w:p w14:paraId="00A7A56A">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2.1.3.8.7.1.任务管理</w:t>
      </w:r>
    </w:p>
    <w:p w14:paraId="1F76AAFE">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用户通过系统查看任务分配情况，反馈任务处理结果。</w:t>
      </w:r>
    </w:p>
    <w:p w14:paraId="068CC216">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2.1.3.8.7.2.个案管理</w:t>
      </w:r>
    </w:p>
    <w:p w14:paraId="3F189B41">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系统提供个案信息登记功能，现场人员针对现场情况，对需要接受心理治疗或干预的人员进行登记管理。同时可查看其他渠道报送的个案信息，形成首诊卡。</w:t>
      </w:r>
    </w:p>
    <w:p w14:paraId="6093D2EB">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2.1.3.8.7.3.处置管理</w:t>
      </w:r>
    </w:p>
    <w:p w14:paraId="7E0A4F92">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对纳入个案管理人员，按照预案内容，选定评估量表进行心理评估；根据评估结果，对心理应激反应较重的人员及时进行初步心理干预。对筛选出有急性心理应激反应的人员进行治疗及随访。</w:t>
      </w:r>
    </w:p>
    <w:p w14:paraId="42BBB78E">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2.1.3.8.7.4.信息查询</w:t>
      </w:r>
    </w:p>
    <w:p w14:paraId="482176E7">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现场人员根据需求，可通过移动端查询事件整体进展情况及发布的信息。</w:t>
      </w:r>
    </w:p>
    <w:p w14:paraId="3D505C7B">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可以查询各类应急资源和知识库信息，包括专家资源、法令法规、知识库等。</w:t>
      </w:r>
    </w:p>
    <w:p w14:paraId="2C9FE00B">
      <w:pPr>
        <w:pStyle w:val="6"/>
        <w:keepNext w:val="0"/>
        <w:keepLines w:val="0"/>
        <w:pageBreakBefore w:val="0"/>
        <w:kinsoku/>
        <w:wordWrap/>
        <w:overflowPunct/>
        <w:topLinePunct w:val="0"/>
        <w:autoSpaceDE/>
        <w:autoSpaceDN/>
        <w:bidi w:val="0"/>
        <w:adjustRightInd/>
        <w:snapToGrid/>
        <w:spacing w:line="500" w:lineRule="exact"/>
        <w:ind w:left="870"/>
        <w:jc w:val="both"/>
        <w:textAlignment w:val="auto"/>
        <w:rPr>
          <w:rFonts w:hint="eastAsia" w:ascii="宋体" w:hAnsi="宋体" w:eastAsia="宋体" w:cs="宋体"/>
          <w:sz w:val="24"/>
          <w:szCs w:val="24"/>
        </w:rPr>
      </w:pPr>
      <w:r>
        <w:rPr>
          <w:rFonts w:hint="eastAsia" w:ascii="宋体" w:hAnsi="宋体" w:eastAsia="宋体" w:cs="宋体"/>
          <w:b/>
          <w:sz w:val="24"/>
          <w:szCs w:val="24"/>
        </w:rPr>
        <w:t>2.1.3.9.精神卫生资源管理系统</w:t>
      </w:r>
    </w:p>
    <w:p w14:paraId="0206F86E">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精神心理服务机构及服务人员作为服务体系中提供心理服务的重要主体，对其进行监管是十分必要的。将全域心理服务机构与人员纳入平台，进行严格的认定和监管。通过严格的认定机制及后续定期的审核，规范管理机构和人员，使其更好的发挥提供服务重要主体的作用。</w:t>
      </w:r>
    </w:p>
    <w:p w14:paraId="3F23568B">
      <w:pPr>
        <w:pStyle w:val="6"/>
        <w:keepNext w:val="0"/>
        <w:keepLines w:val="0"/>
        <w:pageBreakBefore w:val="0"/>
        <w:kinsoku/>
        <w:wordWrap/>
        <w:overflowPunct/>
        <w:topLinePunct w:val="0"/>
        <w:autoSpaceDE/>
        <w:autoSpaceDN/>
        <w:bidi w:val="0"/>
        <w:adjustRightInd/>
        <w:snapToGrid/>
        <w:spacing w:line="500" w:lineRule="exact"/>
        <w:ind w:left="855"/>
        <w:jc w:val="both"/>
        <w:textAlignment w:val="auto"/>
        <w:rPr>
          <w:rFonts w:hint="eastAsia" w:ascii="宋体" w:hAnsi="宋体" w:eastAsia="宋体" w:cs="宋体"/>
          <w:sz w:val="24"/>
          <w:szCs w:val="24"/>
        </w:rPr>
      </w:pPr>
      <w:r>
        <w:rPr>
          <w:rFonts w:hint="eastAsia" w:ascii="宋体" w:hAnsi="宋体" w:eastAsia="宋体" w:cs="宋体"/>
          <w:b/>
          <w:sz w:val="24"/>
          <w:szCs w:val="24"/>
        </w:rPr>
        <w:t>2.1.3.9.1.服务人员管理(评审项63)</w:t>
      </w:r>
    </w:p>
    <w:p w14:paraId="5C8F860A">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2.1.3.9.1.1.信息新增</w:t>
      </w:r>
    </w:p>
    <w:p w14:paraId="2CBB34DD">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支持完整录入心理服务人员全维度信息，包括个人基本信息、专业资质信息、工作履历信息，并支持上传个人证件照、资质证书扫描件等附件。</w:t>
      </w:r>
    </w:p>
    <w:p w14:paraId="71AF641E">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2.1.3.9.1.2.共享控制</w:t>
      </w:r>
    </w:p>
    <w:p w14:paraId="63340B21">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可灵活设置服务人员信息的公开状态，并精准配置信息在不同渠道的可见范围，保障信息安全与合理使用。</w:t>
      </w:r>
    </w:p>
    <w:p w14:paraId="419AACE9">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2.1.3.9.1.3.信息编辑</w:t>
      </w:r>
    </w:p>
    <w:p w14:paraId="216E337E">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支持对已录入的服务人员信息进行全字段修改、补充与更新，包括资质证书续期、工作单位变更、专业方向调整等场景，修改后保留操作日志，便于追溯信息变更历史。</w:t>
      </w:r>
    </w:p>
    <w:p w14:paraId="401969F6">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2.1.3.9.1.4.信息审批</w:t>
      </w:r>
    </w:p>
    <w:p w14:paraId="1F9AC4BF">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建立层级审批机制，上级单位可对下级单位提交的服务人员信息进行合规性审阅，审核通过后信息正式生效，审核不通过时可附带驳回理由，指导下级单位修正。</w:t>
      </w:r>
    </w:p>
    <w:p w14:paraId="11BEC13A">
      <w:pPr>
        <w:pStyle w:val="6"/>
        <w:keepNext w:val="0"/>
        <w:keepLines w:val="0"/>
        <w:pageBreakBefore w:val="0"/>
        <w:kinsoku/>
        <w:wordWrap/>
        <w:overflowPunct/>
        <w:topLinePunct w:val="0"/>
        <w:autoSpaceDE/>
        <w:autoSpaceDN/>
        <w:bidi w:val="0"/>
        <w:adjustRightInd/>
        <w:snapToGrid/>
        <w:spacing w:line="500" w:lineRule="exact"/>
        <w:ind w:left="855"/>
        <w:jc w:val="both"/>
        <w:textAlignment w:val="auto"/>
        <w:rPr>
          <w:rFonts w:hint="eastAsia" w:ascii="宋体" w:hAnsi="宋体" w:eastAsia="宋体" w:cs="宋体"/>
          <w:sz w:val="24"/>
          <w:szCs w:val="24"/>
        </w:rPr>
      </w:pPr>
      <w:r>
        <w:rPr>
          <w:rFonts w:hint="eastAsia" w:ascii="宋体" w:hAnsi="宋体" w:eastAsia="宋体" w:cs="宋体"/>
          <w:b/>
          <w:sz w:val="24"/>
          <w:szCs w:val="24"/>
        </w:rPr>
        <w:t>2.1.3.9.2.服务机构管理(评审项64)</w:t>
      </w:r>
    </w:p>
    <w:p w14:paraId="2DB010A7">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2.1.3.9.2.1.机构新增</w:t>
      </w:r>
    </w:p>
    <w:p w14:paraId="59DA1628">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支持录入心理服务机构的完整信息，包括机构基本信息、机构资质信息、内部架构信息，并支持上传机构外观照片、资质文件、科室分布图等附件。</w:t>
      </w:r>
    </w:p>
    <w:p w14:paraId="06C564DD">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2.1.3.9.2.2.共享控制</w:t>
      </w:r>
    </w:p>
    <w:p w14:paraId="09EE289B">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可自定义设置机构信息的可见权限，包括信息公开范围和信息展示渠道，满足不同场景下的信息披露需求。</w:t>
      </w:r>
    </w:p>
    <w:p w14:paraId="55ACD6B2">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2.1.3.9.2.3.机构编辑</w:t>
      </w:r>
    </w:p>
    <w:p w14:paraId="29A00C8D">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支持对机构信息进行动态更新，包括地址变更、联系方式修改、科室调整、资质续期等操作，所有修改操作均需记录操作人、操作时间和修改内容，确保信息变更可追溯。</w:t>
      </w:r>
    </w:p>
    <w:p w14:paraId="4E294BDA">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2.1.3.9.2.4.机构审批</w:t>
      </w:r>
    </w:p>
    <w:p w14:paraId="002CBF98">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构建多级审核流程，省、市、区县管理员可对下级单位维护的机构信息进行真实性、合规性审核，审核通过后机构信息方可纳入官方管理体系，审核不通过时需明确指出问题并要求整改。</w:t>
      </w:r>
    </w:p>
    <w:p w14:paraId="343141C9">
      <w:pPr>
        <w:pStyle w:val="6"/>
        <w:keepNext w:val="0"/>
        <w:keepLines w:val="0"/>
        <w:pageBreakBefore w:val="0"/>
        <w:kinsoku/>
        <w:wordWrap/>
        <w:overflowPunct/>
        <w:topLinePunct w:val="0"/>
        <w:autoSpaceDE/>
        <w:autoSpaceDN/>
        <w:bidi w:val="0"/>
        <w:adjustRightInd/>
        <w:snapToGrid/>
        <w:spacing w:line="500" w:lineRule="exact"/>
        <w:ind w:left="855"/>
        <w:jc w:val="both"/>
        <w:textAlignment w:val="auto"/>
        <w:rPr>
          <w:rFonts w:hint="eastAsia" w:ascii="宋体" w:hAnsi="宋体" w:eastAsia="宋体" w:cs="宋体"/>
          <w:sz w:val="24"/>
          <w:szCs w:val="24"/>
        </w:rPr>
      </w:pPr>
      <w:r>
        <w:rPr>
          <w:rFonts w:hint="eastAsia" w:ascii="宋体" w:hAnsi="宋体" w:eastAsia="宋体" w:cs="宋体"/>
          <w:b/>
          <w:sz w:val="24"/>
          <w:szCs w:val="24"/>
        </w:rPr>
        <w:t>2.1.3.9.3.报表定制(评审项65)</w:t>
      </w:r>
    </w:p>
    <w:p w14:paraId="3512B503">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根据用户需要定制各种报表。</w:t>
      </w:r>
    </w:p>
    <w:p w14:paraId="50265DA1">
      <w:pPr>
        <w:pStyle w:val="6"/>
        <w:keepNext w:val="0"/>
        <w:keepLines w:val="0"/>
        <w:pageBreakBefore w:val="0"/>
        <w:kinsoku/>
        <w:wordWrap/>
        <w:overflowPunct/>
        <w:topLinePunct w:val="0"/>
        <w:autoSpaceDE/>
        <w:autoSpaceDN/>
        <w:bidi w:val="0"/>
        <w:adjustRightInd/>
        <w:snapToGrid/>
        <w:spacing w:line="500" w:lineRule="exact"/>
        <w:ind w:left="870"/>
        <w:jc w:val="both"/>
        <w:textAlignment w:val="auto"/>
        <w:rPr>
          <w:rFonts w:hint="eastAsia" w:ascii="宋体" w:hAnsi="宋体" w:eastAsia="宋体" w:cs="宋体"/>
          <w:sz w:val="24"/>
          <w:szCs w:val="24"/>
        </w:rPr>
      </w:pPr>
      <w:r>
        <w:rPr>
          <w:rFonts w:hint="eastAsia" w:ascii="宋体" w:hAnsi="宋体" w:eastAsia="宋体" w:cs="宋体"/>
          <w:b/>
          <w:sz w:val="24"/>
          <w:szCs w:val="24"/>
        </w:rPr>
        <w:t>2.1.3.10.综合数据分析系统</w:t>
      </w:r>
    </w:p>
    <w:p w14:paraId="748C6D37">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综合决策分析模块是以心理监管质量管理为核心，服务于心理健康服务管理者的整体解决方案。可定制心理测评、心理危机监测、在线咨询监测等方面内容。它可根据不同的单位管理需求，以精细化质量管理为决策导向，通过数据仓库、在线分析处理、数据挖掘和数据展现等技术，深度挖掘数据背后蕴含的价值，为管理决策和质量持续改进提供数据支持。</w:t>
      </w:r>
    </w:p>
    <w:p w14:paraId="4E1E3112">
      <w:pPr>
        <w:pStyle w:val="6"/>
        <w:keepNext w:val="0"/>
        <w:keepLines w:val="0"/>
        <w:pageBreakBefore w:val="0"/>
        <w:kinsoku/>
        <w:wordWrap/>
        <w:overflowPunct/>
        <w:topLinePunct w:val="0"/>
        <w:autoSpaceDE/>
        <w:autoSpaceDN/>
        <w:bidi w:val="0"/>
        <w:adjustRightInd/>
        <w:snapToGrid/>
        <w:spacing w:line="500" w:lineRule="exact"/>
        <w:ind w:left="855"/>
        <w:jc w:val="both"/>
        <w:textAlignment w:val="auto"/>
        <w:rPr>
          <w:rFonts w:hint="eastAsia" w:ascii="宋体" w:hAnsi="宋体" w:eastAsia="宋体" w:cs="宋体"/>
          <w:sz w:val="24"/>
          <w:szCs w:val="24"/>
        </w:rPr>
      </w:pPr>
      <w:r>
        <w:rPr>
          <w:rFonts w:hint="eastAsia" w:ascii="宋体" w:hAnsi="宋体" w:eastAsia="宋体" w:cs="宋体"/>
          <w:b/>
          <w:sz w:val="24"/>
          <w:szCs w:val="24"/>
        </w:rPr>
        <w:t>2.1.3.10.1.领导驾驶舱(评审项66)</w:t>
      </w:r>
    </w:p>
    <w:p w14:paraId="22BA0293">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通过系统对严重精神障碍和心理服务相关业务数据的抽取，可自定义分析目标，对数据进行分析及可视化展示，大屏展示省心理服务体系一张图。</w:t>
      </w:r>
    </w:p>
    <w:p w14:paraId="5E63E28F">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2.1.3.10.1.1.心理服务能力</w:t>
      </w:r>
    </w:p>
    <w:p w14:paraId="4B1E8C23">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展示各地区心理服务人次情况、性别、年龄、职业分布、心理健康水平、心理咨询情况、公众访问系统热点情况、危机监测情况等数据。</w:t>
      </w:r>
    </w:p>
    <w:p w14:paraId="7733AC45">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2.1.3.10.1.2.咨询服务监控</w:t>
      </w:r>
    </w:p>
    <w:p w14:paraId="7244738E">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实时展示当前心理咨询的人次、咨询主题、机构医师响应状态。</w:t>
      </w:r>
    </w:p>
    <w:p w14:paraId="0BDF1C6D">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2.1.3.10.1.3.机构接入状况监控</w:t>
      </w:r>
    </w:p>
    <w:p w14:paraId="0AFE4214">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用于展示辖区内监控对象（学校、企事业单位、社会机构以及社区）的情况，包括接入数量分析，机构类别、业务类别、数据接入情况等方面内容。</w:t>
      </w:r>
    </w:p>
    <w:p w14:paraId="7666B6B3">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2.1.3.10.1.4.心理援助热线运行</w:t>
      </w:r>
    </w:p>
    <w:p w14:paraId="31541567">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针对心理危机状况，包括热线服务以及在线咨询服务过程出现的危机事件。</w:t>
      </w:r>
    </w:p>
    <w:p w14:paraId="43B4C3FA">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2.1.3.10.1.5.心理状态分布图</w:t>
      </w:r>
    </w:p>
    <w:p w14:paraId="21023D7A">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根据各个机构及业务端上报的数据，展现该地区当前采样人群的心理状况。</w:t>
      </w:r>
    </w:p>
    <w:p w14:paraId="28F17CA6">
      <w:pPr>
        <w:pStyle w:val="6"/>
        <w:keepNext w:val="0"/>
        <w:keepLines w:val="0"/>
        <w:pageBreakBefore w:val="0"/>
        <w:kinsoku/>
        <w:wordWrap/>
        <w:overflowPunct/>
        <w:topLinePunct w:val="0"/>
        <w:autoSpaceDE/>
        <w:autoSpaceDN/>
        <w:bidi w:val="0"/>
        <w:adjustRightInd/>
        <w:snapToGrid/>
        <w:spacing w:line="500" w:lineRule="exact"/>
        <w:ind w:left="855"/>
        <w:jc w:val="both"/>
        <w:textAlignment w:val="auto"/>
        <w:rPr>
          <w:rFonts w:hint="eastAsia" w:ascii="宋体" w:hAnsi="宋体" w:eastAsia="宋体" w:cs="宋体"/>
          <w:sz w:val="24"/>
          <w:szCs w:val="24"/>
        </w:rPr>
      </w:pPr>
      <w:r>
        <w:rPr>
          <w:rFonts w:hint="eastAsia" w:ascii="宋体" w:hAnsi="宋体" w:eastAsia="宋体" w:cs="宋体"/>
          <w:b/>
          <w:sz w:val="24"/>
          <w:szCs w:val="24"/>
        </w:rPr>
        <w:t>2.1.3.10.2.心理健康指标监测预警(评审项67)</w:t>
      </w:r>
    </w:p>
    <w:p w14:paraId="7983AAA9">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本功能模块主要面向管理单位用户，针对区域内采集的心理健康指标数据进行持续监测预警，发现指标超过阈值，系统会自动提示用户进行关注。</w:t>
      </w:r>
    </w:p>
    <w:p w14:paraId="02022F4F">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系统支持对综合数据分析系统指标库指标自定义阈值功能，并支持监测方式选择，在指标超过设定阈值后可在指定通知渠道进行通知，能实现数据监测。系统支持将用户创建的数据概览配置邮件发送至指定邮箱，可根据自身需求设置报告生成时间，于邮件发送前N 小时收集数据，并定时将概览内的数据呈现为报告发送。帮助管理层更直观地了解核心数据指标变化情况。</w:t>
      </w:r>
    </w:p>
    <w:p w14:paraId="6B6F7BB6">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2.1.3.10.2.1.新建监测指标</w:t>
      </w:r>
    </w:p>
    <w:p w14:paraId="32EDEE14">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通过新建监测指标，创建监测指标内容，通过配置指标参数及指标口径，系统可对指标进行自动统计，在设置监测阈值后，系统可自动对阈值进行监控。</w:t>
      </w:r>
    </w:p>
    <w:p w14:paraId="40171947">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2.1.3.10.2.2.监测预警通知</w:t>
      </w:r>
    </w:p>
    <w:p w14:paraId="2FD4EFA2">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监测预警通知目前支持系统通知、邮件通知等，通知的内容包括检测指标名称、指标值、触发的监测通知规则等。</w:t>
      </w:r>
    </w:p>
    <w:p w14:paraId="297EE13A">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2.1.3.10.2.3.指标分析</w:t>
      </w:r>
    </w:p>
    <w:p w14:paraId="58CBFE16">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指标分析用于展示监测指标的统计信息，包括指标监测通知次数及趋势，通知原因等。</w:t>
      </w:r>
    </w:p>
    <w:p w14:paraId="72C29332">
      <w:pPr>
        <w:pStyle w:val="6"/>
        <w:keepNext w:val="0"/>
        <w:keepLines w:val="0"/>
        <w:pageBreakBefore w:val="0"/>
        <w:kinsoku/>
        <w:wordWrap/>
        <w:overflowPunct/>
        <w:topLinePunct w:val="0"/>
        <w:autoSpaceDE/>
        <w:autoSpaceDN/>
        <w:bidi w:val="0"/>
        <w:adjustRightInd/>
        <w:snapToGrid/>
        <w:spacing w:line="500" w:lineRule="exact"/>
        <w:ind w:left="870"/>
        <w:jc w:val="both"/>
        <w:textAlignment w:val="auto"/>
        <w:rPr>
          <w:rFonts w:hint="eastAsia" w:ascii="宋体" w:hAnsi="宋体" w:eastAsia="宋体" w:cs="宋体"/>
          <w:sz w:val="24"/>
          <w:szCs w:val="24"/>
        </w:rPr>
      </w:pPr>
      <w:r>
        <w:rPr>
          <w:rFonts w:hint="eastAsia" w:ascii="宋体" w:hAnsi="宋体" w:eastAsia="宋体" w:cs="宋体"/>
          <w:b/>
          <w:sz w:val="24"/>
          <w:szCs w:val="24"/>
        </w:rPr>
        <w:t>2.1.3.11.社会心理服务系统</w:t>
      </w:r>
    </w:p>
    <w:p w14:paraId="55CA00D1">
      <w:pPr>
        <w:pStyle w:val="6"/>
        <w:keepNext w:val="0"/>
        <w:keepLines w:val="0"/>
        <w:pageBreakBefore w:val="0"/>
        <w:kinsoku/>
        <w:wordWrap/>
        <w:overflowPunct/>
        <w:topLinePunct w:val="0"/>
        <w:autoSpaceDE/>
        <w:autoSpaceDN/>
        <w:bidi w:val="0"/>
        <w:adjustRightInd/>
        <w:snapToGrid/>
        <w:spacing w:line="500" w:lineRule="exact"/>
        <w:ind w:left="855"/>
        <w:jc w:val="both"/>
        <w:textAlignment w:val="auto"/>
        <w:rPr>
          <w:rFonts w:hint="eastAsia" w:ascii="宋体" w:hAnsi="宋体" w:eastAsia="宋体" w:cs="宋体"/>
          <w:sz w:val="24"/>
          <w:szCs w:val="24"/>
        </w:rPr>
      </w:pPr>
      <w:r>
        <w:rPr>
          <w:rFonts w:hint="eastAsia" w:ascii="宋体" w:hAnsi="宋体" w:eastAsia="宋体" w:cs="宋体"/>
          <w:b/>
          <w:sz w:val="24"/>
          <w:szCs w:val="24"/>
        </w:rPr>
        <w:t>2.1.3.11.1.公众微信小程序(评审项68)</w:t>
      </w:r>
    </w:p>
    <w:p w14:paraId="536B503B">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2.1.3.11.1.1.用户登录与注册</w:t>
      </w:r>
    </w:p>
    <w:p w14:paraId="3642A18B">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用户进入微信小程序后，可通过微信授权一键快捷登录，系统自动获取手机号完成账号初始化。新用户填写基本信息，老用户直接授权即可登录，下次打开小程序免重复授权。</w:t>
      </w:r>
    </w:p>
    <w:p w14:paraId="642F46E1">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2.1.3.11.1.2.首页</w:t>
      </w:r>
    </w:p>
    <w:p w14:paraId="04BBDF3F">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1.心理自测</w:t>
      </w:r>
    </w:p>
    <w:p w14:paraId="041524B0">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搭载多套专业标准化心理测评量表，覆盖情绪、压力、焦虑、睡眠、人际等多维度心理健康筛查，用户完成答题后即时生成专属心理报告，清晰呈现自身心理状态、风险提示与简易调节建议，快速完成自我心理评估，及时察觉情绪与心理隐患。</w:t>
      </w:r>
    </w:p>
    <w:p w14:paraId="38D5B0B6">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2.AI聊愈</w:t>
      </w:r>
    </w:p>
    <w:p w14:paraId="692DF574">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依托智能对话技术打造专属线上心灵陪伴，支持情绪倾诉、压力疏导、心理安抚，可根据你的情绪状态实时给出共情回应与舒缓引导，搭配放松引导话术、情绪调节小方法，24小时随时在线倾听，无需顾虑隐私，随时随地获得温和的心理陪伴与情绪疗愈。</w:t>
      </w:r>
    </w:p>
    <w:p w14:paraId="0F3311FE">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3.心理资讯</w:t>
      </w:r>
    </w:p>
    <w:p w14:paraId="48D81EAF">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可发布心理科普内容，帮助用户日常积累心理健康常识，学会科学疏导负面情绪，建立稳定健康的心理认知。</w:t>
      </w:r>
    </w:p>
    <w:p w14:paraId="4CDEBFF3">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4.心理课堂</w:t>
      </w:r>
    </w:p>
    <w:p w14:paraId="33331D0D">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汇聚系统化心理健康课程，包含情绪管理、人际沟通、原生家庭、青少年心理、自我成长等系列专题视频课程，帮助用户深度学习心理知识，掌握可落地的情绪疏导与心灵成长技巧。</w:t>
      </w:r>
    </w:p>
    <w:p w14:paraId="2F9F073E">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5.解压放松</w:t>
      </w:r>
    </w:p>
    <w:p w14:paraId="6506D0F4">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提供丰富舒缓音频资源，涵盖治愈白噪音、静心冥想曲等多元放松方案，用户可根据当下情绪与需求随心挑选，沉浸式舒缓身心，轻松释放压力、平复焦躁情绪。</w:t>
      </w:r>
    </w:p>
    <w:p w14:paraId="23F4A685">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6.服务资源</w:t>
      </w:r>
    </w:p>
    <w:p w14:paraId="2FB40AD0">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（1）机构地图</w:t>
      </w:r>
    </w:p>
    <w:p w14:paraId="3DB472B4">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整合心理门诊、心理咨询中心、精神卫生站点等线下服务点位，直观展示各机构实时地理位置，支持距离排序、一键导航、查看营业时间与联系方式，方便快速查找身边就近的线下心理服务场所。</w:t>
      </w:r>
    </w:p>
    <w:p w14:paraId="5D7E0E2D">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（2）机构</w:t>
      </w:r>
    </w:p>
    <w:p w14:paraId="32F4DFE3">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汇总专业心理服务机构，支持按服务类型、区域、咨询形式多维度筛选，完整展示机构资质、主营服务等信息，方便用户横向对比多家机构，精准筛选匹配自身需求的线下心理服务场所</w:t>
      </w:r>
    </w:p>
    <w:p w14:paraId="7903D5DD">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（3）专家</w:t>
      </w:r>
    </w:p>
    <w:p w14:paraId="09F7BD89">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收录心理咨询师、心理治疗师，清晰展示每位专家从业年限、专业资质、擅长领域、咨询风格、线上线下接诊安排，支持按情绪、亲子、婚恋、职场等心理问题分类检索，便于快速找到适配自身困扰的专业心理从业者。</w:t>
      </w:r>
    </w:p>
    <w:p w14:paraId="39D0017B">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7.心理训练</w:t>
      </w:r>
    </w:p>
    <w:p w14:paraId="123D4CCB">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提供系统化日常心理练习内容，涵盖情绪调节、专注力提升、自信建立、抗压训练等多种实操练习，搭配分步引导式训练流程，每日短时长练习即可循序渐进锻炼心理韧性，帮助用户长期改善易焦虑、内耗、敏感等状态，养成稳定平和的心态。</w:t>
      </w:r>
    </w:p>
    <w:p w14:paraId="54B97DE4">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8.辅导活动</w:t>
      </w:r>
    </w:p>
    <w:p w14:paraId="07AF249A">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管理员可定期上线心理团体辅导、主题沙龙、成长训练营等多样活动，支持在线查看活动详情、报名预约。</w:t>
      </w:r>
    </w:p>
    <w:p w14:paraId="2FB540AA">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2.1.3.11.1.3.服务资源</w:t>
      </w:r>
    </w:p>
    <w:p w14:paraId="5F665781">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1.服务资源地图</w:t>
      </w:r>
    </w:p>
    <w:p w14:paraId="180AF70D">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用户授权后可自动获取当前位置，通过缩放、拖动查看周边资源分布，也能手动输入地址定位指定区域。提供全部资源、服务机构、服务人员三类图层切换，按需筛选资源类型。支持资源筛选查询功能，用户可按距离远近、服务类型、机构等级等设置筛选条件，也可输入机构名称、人员姓名等关键词，筛选结果会实时在地图上标记。点击地图标记会弹出包含名称、距离、地址、联系方式的简洁卡片，可进入完整详情页，提供导航服务，能跳转至手机地图APP 规划步行、驾车或公共交通路线。</w:t>
      </w:r>
    </w:p>
    <w:p w14:paraId="7E3B459D">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2.服务机构信息</w:t>
      </w:r>
    </w:p>
    <w:p w14:paraId="5DF896A7">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以卡片式列表展示机构，提供按区划、级别、关键词方式快速找到机构。进入机构详情页，展示地址、联系电话、服务时间及交通指南，支持一键拨打电话和导航。服务详情层面详细介绍服务项目、流程等，附带咨询室等场景照片。</w:t>
      </w:r>
    </w:p>
    <w:p w14:paraId="0247791A">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3.服务人员信息</w:t>
      </w:r>
    </w:p>
    <w:p w14:paraId="78A9A9B0">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以列表形式展示服务人员，每条记录包含姓名、头像、专业职称、擅长领域、所属机构，支持按专业领域、职称等级、性别、所属机构等筛选。进入详情页，展示执业资历、培训经历、从业年限，服务信息部分展示出诊时间、服务方式等，支持查看所属机构详情。</w:t>
      </w:r>
    </w:p>
    <w:p w14:paraId="6A67B55A">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2.1.3.11.1.4.心理筛查</w:t>
      </w:r>
    </w:p>
    <w:p w14:paraId="76C37891">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集成常见精神障碍管理筛查系统，提供面向调查对象和调查员的移动端服务。</w:t>
      </w:r>
    </w:p>
    <w:p w14:paraId="7349B860">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1.调查员用户认证</w:t>
      </w:r>
    </w:p>
    <w:p w14:paraId="6552E628">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微信小程序支持调查对象和调查员两类用户使用，调查员可通过调查员认证功能认证调查员身份，并解锁调查员相关功能。其中调查员的身份区别于居民，可以查看使用本人调查员编号填报问卷的居民的问卷信息或查看调查员分配需要做阶段调查的居民信息。为保障信息的安全及不同角色用户业务有序开展，通过调查员认证用于调查员进行登录验证。</w:t>
      </w:r>
    </w:p>
    <w:p w14:paraId="1DBE55CA">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2.问卷填报</w:t>
      </w:r>
    </w:p>
    <w:p w14:paraId="35986169">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用户通过微信小程序进入问卷填报模块。小程序根据用户类型区分调查被调查对象和调查员。被调查对象可直接查看调查问卷，并进行问卷填报；调查员可并协助被调查对象填写并提交相关问卷，此类问卷需要附加调查员编号，便于进行调查员工作量考核。</w:t>
      </w:r>
    </w:p>
    <w:p w14:paraId="5B8F1803">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（1）问卷选择</w:t>
      </w:r>
    </w:p>
    <w:p w14:paraId="5BB9D2DF">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被调查对象和调查员注册到微信小程序后，被调查对象可直接查看所有调查问卷，调查员只可查看被授权的问卷。</w:t>
      </w:r>
    </w:p>
    <w:p w14:paraId="333594CD">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（2）个人基本信息填报</w:t>
      </w:r>
    </w:p>
    <w:p w14:paraId="670E21CA">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进入问卷后，系统根据项目会自动跳转至不同的个人信息填报页面，调查对象或调查员按照实际信息进行填写。</w:t>
      </w:r>
    </w:p>
    <w:p w14:paraId="4BA35EED">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（3）调查员核实</w:t>
      </w:r>
    </w:p>
    <w:p w14:paraId="2C2C0F2E">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如果是调查对象身份，填写个人基本信息后，需要填写调查员编号，输入后可自动调取调查员所在单位信息及调查员姓名（脱敏），调查对象确认无误后可进入下一步操作。</w:t>
      </w:r>
    </w:p>
    <w:p w14:paraId="5D168DA0">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（4）问卷填报</w:t>
      </w:r>
    </w:p>
    <w:p w14:paraId="15EC9F88">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被调查对象可直接查看调查问卷并进行问卷填报，调查员可协助被调查对象填写。各项目填报问卷类别、顺序是按照项目需要在管理端进行配置的，调查对象依照顺序依次答题即可，系统支持中断续答。</w:t>
      </w:r>
    </w:p>
    <w:p w14:paraId="402EB44E">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（5）结论计算</w:t>
      </w:r>
    </w:p>
    <w:p w14:paraId="4DFC50A7">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在用户答题完毕提交问卷后，系统自动计算各个问卷量表的分值，并根据管理端对该项目的配置选择展示结论信息。</w:t>
      </w:r>
    </w:p>
    <w:p w14:paraId="2B451404">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3.录音功能</w:t>
      </w:r>
    </w:p>
    <w:p w14:paraId="2B3B1D8C">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在调查过程中，系统按项目配置调用麦克风，对调查过程进行录音。</w:t>
      </w:r>
    </w:p>
    <w:p w14:paraId="34DA7A1B">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4.历史问卷</w:t>
      </w:r>
    </w:p>
    <w:p w14:paraId="343B575C">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被调查对象和调查员可查看历史填报的问卷记录。调查员可对未提交问卷可在此进行作废操作。支持支持通过姓名、项目名称、地区、答题状态等进行问卷搜索。支持居民个人查看本人填报的历史问卷。</w:t>
      </w:r>
    </w:p>
    <w:p w14:paraId="5FC2538A">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系统支持调查员对被调查人自行填写的未上报问卷进行作废操作。</w:t>
      </w:r>
    </w:p>
    <w:p w14:paraId="0DC9952B">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5.档案查询</w:t>
      </w:r>
    </w:p>
    <w:p w14:paraId="5E9116F1">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对跨阶段和跨机构的调查记录，可通过身份证号进行查询，便于对调查对象的整体调查结果进行总览。在被调查对象已经建档但未选择阶段的情况，或调查员需要开展当其他阶段调查时，可通过该功能查询患者档案。</w:t>
      </w:r>
    </w:p>
    <w:p w14:paraId="7E9E253C">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6.问卷作废</w:t>
      </w:r>
    </w:p>
    <w:p w14:paraId="1C2E8327">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对填报信息有误的问卷，调查员可进行作废操作，作废的问卷不再进行统计工作量。</w:t>
      </w:r>
    </w:p>
    <w:p w14:paraId="6953931D">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7.问卷统计</w:t>
      </w:r>
    </w:p>
    <w:p w14:paraId="7DC72728">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调查员角色用户可查看待提交和已完成问卷数量、还可以分类查看调查员填报和被调查对象填写的问卷数量等统计信息，掌握自身工作量统计情况。</w:t>
      </w:r>
    </w:p>
    <w:p w14:paraId="0EEC253A">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2.1.3.11.1.5.12356</w:t>
      </w:r>
    </w:p>
    <w:p w14:paraId="7FFCB446">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1.紧急呼叫</w:t>
      </w:r>
    </w:p>
    <w:p w14:paraId="2339F4B4">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当用户遭遇情绪崩溃、心理危机等紧急状况时，可一键快速跳转至电话拨号盘，进行12356拨号。</w:t>
      </w:r>
    </w:p>
    <w:p w14:paraId="1A547932">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2.心理评估</w:t>
      </w:r>
    </w:p>
    <w:p w14:paraId="42801C03">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同步心理援助热线测评量表，测评结果回传给心理援助热线系统，在再次来电时，可展示在测评历史中，节省咨询员在线测评的时间。</w:t>
      </w:r>
    </w:p>
    <w:p w14:paraId="7BAC6189">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3.心理疏解</w:t>
      </w:r>
    </w:p>
    <w:p w14:paraId="2F5D5DDF">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内置专业肌肉放松、呼吸放松引导音频，跟随语音指引即可开展沉浸式身心舒缓练习，快速平复激动、压抑、恐慌等极端情绪，缓解身心紧绷状态，帮助求助者平稳当下负面心境，为后续心理帮扶打好基础。</w:t>
      </w:r>
    </w:p>
    <w:p w14:paraId="469AF395">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4.空间定位</w:t>
      </w:r>
    </w:p>
    <w:p w14:paraId="1E212242">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主动获取用户位置信息，同步推送至援助后台，便于工作人员结合所在地点匹配就近线下心理服务站点、应急救助资源，危急情况下快速联动线下帮扶力量，提升危机处置效率。</w:t>
      </w:r>
    </w:p>
    <w:p w14:paraId="7D37DEB6">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2.1.3.11.1.6.我的</w:t>
      </w:r>
    </w:p>
    <w:p w14:paraId="78F43AAB">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1.个人信息管理</w:t>
      </w:r>
    </w:p>
    <w:p w14:paraId="20894548">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支持自主完善、修改头像、年龄、联系方式等个人基础资料。</w:t>
      </w:r>
    </w:p>
    <w:p w14:paraId="093D3832">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2.测评记录</w:t>
      </w:r>
    </w:p>
    <w:p w14:paraId="79BE6967">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自动留存所有心理自测报告，随时回看历史心理数据。可查看未完成和已完成的测评问卷，未完成的问卷点击继续测评可继续答题，已完成的问卷可查看结论；</w:t>
      </w:r>
    </w:p>
    <w:p w14:paraId="7AB6C544">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3.知情同意与隐私保护</w:t>
      </w:r>
    </w:p>
    <w:p w14:paraId="72621F79">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清晰展示平台心理咨询、测评、援助服务相关知情协议，完整公示用户隐私保护规则，明确数据收集、存储、使用规范，保障用户心理数据、咨询记录、个人信息不泄露，充分守护用户隐私安全。</w:t>
      </w:r>
    </w:p>
    <w:p w14:paraId="27FE790B">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4.意见反馈</w:t>
      </w:r>
    </w:p>
    <w:p w14:paraId="0F1CDB5F">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设有专属反馈提交通道，可针对小程序各类功能提出建议、问题投诉与优化想法，后台专人接收处理，助力持续优化平台心理服务体验。</w:t>
      </w:r>
    </w:p>
    <w:p w14:paraId="5E4A6E41">
      <w:pPr>
        <w:pStyle w:val="6"/>
        <w:keepNext w:val="0"/>
        <w:keepLines w:val="0"/>
        <w:pageBreakBefore w:val="0"/>
        <w:kinsoku/>
        <w:wordWrap/>
        <w:overflowPunct/>
        <w:topLinePunct w:val="0"/>
        <w:autoSpaceDE/>
        <w:autoSpaceDN/>
        <w:bidi w:val="0"/>
        <w:adjustRightInd/>
        <w:snapToGrid/>
        <w:spacing w:line="500" w:lineRule="exact"/>
        <w:ind w:left="855"/>
        <w:jc w:val="both"/>
        <w:textAlignment w:val="auto"/>
        <w:rPr>
          <w:rFonts w:hint="eastAsia" w:ascii="宋体" w:hAnsi="宋体" w:eastAsia="宋体" w:cs="宋体"/>
          <w:sz w:val="24"/>
          <w:szCs w:val="24"/>
        </w:rPr>
      </w:pPr>
      <w:r>
        <w:rPr>
          <w:rFonts w:hint="eastAsia" w:ascii="宋体" w:hAnsi="宋体" w:eastAsia="宋体" w:cs="宋体"/>
          <w:b/>
          <w:sz w:val="24"/>
          <w:szCs w:val="24"/>
        </w:rPr>
        <w:t>2.1.3.11.2.微信小程序后台管理(评审项69)</w:t>
      </w:r>
    </w:p>
    <w:p w14:paraId="41AB74B7">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2.1.3.11.2.1.用户管理</w:t>
      </w:r>
    </w:p>
    <w:p w14:paraId="04810187">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1.用户列表</w:t>
      </w:r>
    </w:p>
    <w:p w14:paraId="322D7083">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用于管理通过微信小程序注册的用户，通过本功能可查看注册用户的具体注册信息。</w:t>
      </w:r>
    </w:p>
    <w:p w14:paraId="0B9B09C9">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2.权限控制</w:t>
      </w:r>
    </w:p>
    <w:p w14:paraId="785B15B8">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可对非法使用用户进行停用操作，停用后用户将无法登录微信小程序。</w:t>
      </w:r>
    </w:p>
    <w:p w14:paraId="58449AA7">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2.1.3.11.2.2.轮播图</w:t>
      </w:r>
    </w:p>
    <w:p w14:paraId="57FE9A5F">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1.轮播图管理</w:t>
      </w:r>
    </w:p>
    <w:p w14:paraId="138A2700">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用于管理微信小程序首页中轮播图内容，用户可新增轮播图模块。</w:t>
      </w:r>
    </w:p>
    <w:p w14:paraId="620B181D">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2.方案管理</w:t>
      </w:r>
    </w:p>
    <w:p w14:paraId="7E1A30D5">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（1）新增方案</w:t>
      </w:r>
    </w:p>
    <w:p w14:paraId="32F83A60">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设置轮播图的图片、链接等信息。</w:t>
      </w:r>
    </w:p>
    <w:p w14:paraId="018C16C0">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（2）方案停启用</w:t>
      </w:r>
    </w:p>
    <w:p w14:paraId="22D8FE8F">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可以设置轮播图方案的停用与启用状态。</w:t>
      </w:r>
    </w:p>
    <w:p w14:paraId="30CFF344">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2.1.3.11.2.3.模块管理</w:t>
      </w:r>
    </w:p>
    <w:p w14:paraId="3BAB1FC6">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支持统一管控小程序首页各类功能入口，管理人员可自主配置跳转链接、权限验证等相关参数，无需开发即可动态新增、调整首页应用模块，灵活搭建首页服务。</w:t>
      </w:r>
    </w:p>
    <w:p w14:paraId="3EDA652F">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2.1.3.11.2.4.意见与反馈</w:t>
      </w:r>
    </w:p>
    <w:p w14:paraId="1CF253FF">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1.意见清单</w:t>
      </w:r>
    </w:p>
    <w:p w14:paraId="2B92A314">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汇总用户提交的全部意见、建议与投诉内容，展示反馈提交时间、用户信息、问题类型、内容详情及处理状态，支持分类筛选、检索查看，便于管理人员统一梳理、跟进各类用户诉求。</w:t>
      </w:r>
    </w:p>
    <w:p w14:paraId="6B6C3CEB">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2.反馈回复</w:t>
      </w:r>
    </w:p>
    <w:p w14:paraId="2F4EE879">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针对清单内用户提交的诉求提供在线回复操作入口，管理人员可编辑回复内容并推送至用户端，同步留存回复记录，实现用户问题闭环处理，及时回应用户疑问与建议。</w:t>
      </w:r>
    </w:p>
    <w:p w14:paraId="3F85E47B">
      <w:pPr>
        <w:pStyle w:val="6"/>
        <w:keepNext w:val="0"/>
        <w:keepLines w:val="0"/>
        <w:pageBreakBefore w:val="0"/>
        <w:kinsoku/>
        <w:wordWrap/>
        <w:overflowPunct/>
        <w:topLinePunct w:val="0"/>
        <w:autoSpaceDE/>
        <w:autoSpaceDN/>
        <w:bidi w:val="0"/>
        <w:adjustRightInd/>
        <w:snapToGrid/>
        <w:spacing w:line="500" w:lineRule="exact"/>
        <w:ind w:left="855"/>
        <w:jc w:val="both"/>
        <w:textAlignment w:val="auto"/>
        <w:rPr>
          <w:rFonts w:hint="eastAsia" w:ascii="宋体" w:hAnsi="宋体" w:eastAsia="宋体" w:cs="宋体"/>
          <w:sz w:val="24"/>
          <w:szCs w:val="24"/>
        </w:rPr>
      </w:pPr>
      <w:r>
        <w:rPr>
          <w:rFonts w:hint="eastAsia" w:ascii="宋体" w:hAnsi="宋体" w:eastAsia="宋体" w:cs="宋体"/>
          <w:b/>
          <w:sz w:val="24"/>
          <w:szCs w:val="24"/>
        </w:rPr>
        <w:t>2.1.3.11.3.AI疗愈管理(评审项70)</w:t>
      </w:r>
    </w:p>
    <w:p w14:paraId="5583242E">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2.1.3.11.3.1.用户信息管理</w:t>
      </w:r>
    </w:p>
    <w:p w14:paraId="4060976F">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在用户信息展示模块，以列表形式呈现用户基础信息、小程序认证状态，并支持关键词搜索、筛选（按注册时间、权限状态分类）功能，便于快速定位目标用户。</w:t>
      </w:r>
    </w:p>
    <w:p w14:paraId="5B4A2F75">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2.1.3.11.3.2.对话管理</w:t>
      </w:r>
    </w:p>
    <w:p w14:paraId="79654DE4">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用户点击可进入历史对话查看界面。该界面记录每条记录标注咨询开始时间、对话时长及核心关键词，便于用户快速检索。点击单条对话记录后，可完整查看与AI 疗愈机器人的对话内容。</w:t>
      </w:r>
    </w:p>
    <w:p w14:paraId="3DB1B593">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2.1.3.11.3.3.数据分析</w:t>
      </w:r>
    </w:p>
    <w:p w14:paraId="29CDE1AE">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计算单次使用时长、累计使用时长等指标，区分不同用户群体（如新用户、高频用户）的使用习惯，定位用户粘性较高或较低的环节，为功能优化提供方向。</w:t>
      </w:r>
    </w:p>
    <w:p w14:paraId="36B89244">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2.1.3.11.3.4.模型服务</w:t>
      </w:r>
    </w:p>
    <w:p w14:paraId="4476CA88">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统一管控平台智能心理对话模型，支持模型参数配置，根据不同心理场景调配适配模型能力，保障AI 倾诉、情绪安抚、放松引导等疗愈服务稳定高效运行。</w:t>
      </w:r>
    </w:p>
    <w:p w14:paraId="66FAC070">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2.1.4.应用支撑平台</w:t>
      </w:r>
    </w:p>
    <w:p w14:paraId="32458F01">
      <w:pPr>
        <w:pStyle w:val="6"/>
        <w:keepNext w:val="0"/>
        <w:keepLines w:val="0"/>
        <w:pageBreakBefore w:val="0"/>
        <w:kinsoku/>
        <w:wordWrap/>
        <w:overflowPunct/>
        <w:topLinePunct w:val="0"/>
        <w:autoSpaceDE/>
        <w:autoSpaceDN/>
        <w:bidi w:val="0"/>
        <w:adjustRightInd/>
        <w:snapToGrid/>
        <w:spacing w:line="500" w:lineRule="exact"/>
        <w:ind w:left="855"/>
        <w:jc w:val="both"/>
        <w:textAlignment w:val="auto"/>
        <w:rPr>
          <w:rFonts w:hint="eastAsia" w:ascii="宋体" w:hAnsi="宋体" w:eastAsia="宋体" w:cs="宋体"/>
          <w:sz w:val="24"/>
          <w:szCs w:val="24"/>
        </w:rPr>
      </w:pPr>
      <w:r>
        <w:rPr>
          <w:rFonts w:hint="eastAsia" w:ascii="宋体" w:hAnsi="宋体" w:eastAsia="宋体" w:cs="宋体"/>
          <w:b/>
          <w:sz w:val="24"/>
          <w:szCs w:val="24"/>
        </w:rPr>
        <w:t>2.1.4.1.统一门户及权限认证管理(评审项71)</w:t>
      </w:r>
    </w:p>
    <w:p w14:paraId="5BCB697F">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统一门户及权限认证管理，用户通过一次登录可以使用权限范围内的所有应用。通过本功能可实现用户新增、停用及信息修改，机构信息管理及角色管理等功能。</w:t>
      </w:r>
    </w:p>
    <w:p w14:paraId="4F7E30C2">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结合门户的对接集成规范，还可以将用户现有或后建的应用系统进行集成，形成用户业务的统一门户。</w:t>
      </w:r>
    </w:p>
    <w:p w14:paraId="7790EF62">
      <w:pPr>
        <w:pStyle w:val="6"/>
        <w:keepNext w:val="0"/>
        <w:keepLines w:val="0"/>
        <w:pageBreakBefore w:val="0"/>
        <w:kinsoku/>
        <w:wordWrap/>
        <w:overflowPunct/>
        <w:topLinePunct w:val="0"/>
        <w:autoSpaceDE/>
        <w:autoSpaceDN/>
        <w:bidi w:val="0"/>
        <w:adjustRightInd/>
        <w:snapToGrid/>
        <w:spacing w:line="500" w:lineRule="exact"/>
        <w:ind w:left="855"/>
        <w:jc w:val="both"/>
        <w:textAlignment w:val="auto"/>
        <w:rPr>
          <w:rFonts w:hint="eastAsia" w:ascii="宋体" w:hAnsi="宋体" w:eastAsia="宋体" w:cs="宋体"/>
          <w:sz w:val="24"/>
          <w:szCs w:val="24"/>
        </w:rPr>
      </w:pPr>
      <w:r>
        <w:rPr>
          <w:rFonts w:hint="eastAsia" w:ascii="宋体" w:hAnsi="宋体" w:eastAsia="宋体" w:cs="宋体"/>
          <w:b/>
          <w:sz w:val="24"/>
          <w:szCs w:val="24"/>
        </w:rPr>
        <w:t>2.1.4.1.1.应用管理</w:t>
      </w:r>
    </w:p>
    <w:p w14:paraId="7780B6EF">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应用管理提供OAuth2.0协议标准接口，应用通过配置或改造调用统一认证服务，满足OAuth2.0协议标准，实现单点登录。用户通过本功能对应用接入应用信息进行配置，可设置应用图标及应用在门户中排列顺序，支持对应用的新增、修改和删除。</w:t>
      </w:r>
    </w:p>
    <w:p w14:paraId="770BAFFC">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2.1.4.1.1.1.新建应用</w:t>
      </w:r>
    </w:p>
    <w:p w14:paraId="5B55ED46">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应用管理提供OAuth2.0协议标准接口，应用通过配置或改造调用统一认证服务，满足OAuth2.0协议标准，实现单点登录。用户通过本功能对接入应用信息进行配置，设置应用图标及排列顺序等。</w:t>
      </w:r>
    </w:p>
    <w:p w14:paraId="5A0EF8A3">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2.1.4.1.1.2.停启用应用</w:t>
      </w:r>
    </w:p>
    <w:p w14:paraId="1BA54B87">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对已经发布的应用，可通过停用操作实现，使其不再显示在门户中，也不可再为用户分配当前应用的权限。</w:t>
      </w:r>
    </w:p>
    <w:p w14:paraId="45399806">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2.1.4.1.1.3.应用删除</w:t>
      </w:r>
    </w:p>
    <w:p w14:paraId="1F04AFFE">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对已经发布的应用，可通过本功能进行删除。</w:t>
      </w:r>
    </w:p>
    <w:p w14:paraId="4FC99F4E">
      <w:pPr>
        <w:pStyle w:val="6"/>
        <w:keepNext w:val="0"/>
        <w:keepLines w:val="0"/>
        <w:pageBreakBefore w:val="0"/>
        <w:kinsoku/>
        <w:wordWrap/>
        <w:overflowPunct/>
        <w:topLinePunct w:val="0"/>
        <w:autoSpaceDE/>
        <w:autoSpaceDN/>
        <w:bidi w:val="0"/>
        <w:adjustRightInd/>
        <w:snapToGrid/>
        <w:spacing w:line="500" w:lineRule="exact"/>
        <w:ind w:left="855"/>
        <w:jc w:val="both"/>
        <w:textAlignment w:val="auto"/>
        <w:rPr>
          <w:rFonts w:hint="eastAsia" w:ascii="宋体" w:hAnsi="宋体" w:eastAsia="宋体" w:cs="宋体"/>
          <w:sz w:val="24"/>
          <w:szCs w:val="24"/>
        </w:rPr>
      </w:pPr>
      <w:r>
        <w:rPr>
          <w:rFonts w:hint="eastAsia" w:ascii="宋体" w:hAnsi="宋体" w:eastAsia="宋体" w:cs="宋体"/>
          <w:b/>
          <w:sz w:val="24"/>
          <w:szCs w:val="24"/>
        </w:rPr>
        <w:t>2.1.4.1.2.用户管理</w:t>
      </w:r>
    </w:p>
    <w:p w14:paraId="6B4B3D31">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用户管理用于管理接入平台的各个业务系统的用户，支持对用户的增加、修改和删除，及为用户分配用户角色。</w:t>
      </w:r>
    </w:p>
    <w:p w14:paraId="56D928BE">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根据客户需要，系统可配置用户创建审批功能，在创建用户后需要审批人进行审批后方可生效。</w:t>
      </w:r>
    </w:p>
    <w:p w14:paraId="01E517A5">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2.1.4.1.2.1.新增用户</w:t>
      </w:r>
    </w:p>
    <w:p w14:paraId="0F762CC8">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用于管理接入门户平台的各业务系统的用户信息，支持通过用户类型及行政区划分级管理授权。</w:t>
      </w:r>
    </w:p>
    <w:p w14:paraId="3F813ECE">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2.1.4.1.2.2.停启用用户</w:t>
      </w:r>
    </w:p>
    <w:p w14:paraId="4106DAD7">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对临时脱离岗位的用户，可通过本功能暂时停用，停用后用户权限配置仍然存在，但用户无法进行登录及操作。</w:t>
      </w:r>
    </w:p>
    <w:p w14:paraId="6C4E16DE">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2.1.4.1.2.3.密码重置</w:t>
      </w:r>
    </w:p>
    <w:p w14:paraId="059C37AB">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如用户遗忘密码，可由管理员通过本功能重置密码，重置密码为随机字符串，自动复制到剪切板。</w:t>
      </w:r>
    </w:p>
    <w:p w14:paraId="77B64ADC">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2.1.4.1.2.4.用户删除</w:t>
      </w:r>
    </w:p>
    <w:p w14:paraId="30B9DA31">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对确认不再使用的用户，通过本功能进行删除，删除操作为逻辑删除。</w:t>
      </w:r>
    </w:p>
    <w:p w14:paraId="47BE8D57">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2.1.4.1.2.5.角色分配</w:t>
      </w:r>
    </w:p>
    <w:p w14:paraId="6ABB63C0">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根据用户业务需求，为用户按系统分配角色。</w:t>
      </w:r>
    </w:p>
    <w:p w14:paraId="4C1E244A">
      <w:pPr>
        <w:pStyle w:val="6"/>
        <w:keepNext w:val="0"/>
        <w:keepLines w:val="0"/>
        <w:pageBreakBefore w:val="0"/>
        <w:kinsoku/>
        <w:wordWrap/>
        <w:overflowPunct/>
        <w:topLinePunct w:val="0"/>
        <w:autoSpaceDE/>
        <w:autoSpaceDN/>
        <w:bidi w:val="0"/>
        <w:adjustRightInd/>
        <w:snapToGrid/>
        <w:spacing w:line="500" w:lineRule="exact"/>
        <w:ind w:left="855"/>
        <w:jc w:val="both"/>
        <w:textAlignment w:val="auto"/>
        <w:rPr>
          <w:rFonts w:hint="eastAsia" w:ascii="宋体" w:hAnsi="宋体" w:eastAsia="宋体" w:cs="宋体"/>
          <w:sz w:val="24"/>
          <w:szCs w:val="24"/>
        </w:rPr>
      </w:pPr>
      <w:r>
        <w:rPr>
          <w:rFonts w:hint="eastAsia" w:ascii="宋体" w:hAnsi="宋体" w:eastAsia="宋体" w:cs="宋体"/>
          <w:b/>
          <w:sz w:val="24"/>
          <w:szCs w:val="24"/>
        </w:rPr>
        <w:t>2.1.4.1.3.角色管理</w:t>
      </w:r>
    </w:p>
    <w:p w14:paraId="610446DA">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由于接入门户的应用系统较多，根据用户属性及职责，在为每个应用子系统设置对应的权限，即可视可操作性的功能。管理员通过本功能，在创建用户时，根据用户身份，绑定不同的角色，用户登录时即可操作被分配相关系统的功能菜单。可大大挺高用户权限分配效率。</w:t>
      </w:r>
    </w:p>
    <w:p w14:paraId="1E55252A">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2.1.4.1.3.1.新增角色</w:t>
      </w:r>
    </w:p>
    <w:p w14:paraId="1B0FB6B6">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根据业务需求，用户可定义创建系统的角色。</w:t>
      </w:r>
    </w:p>
    <w:p w14:paraId="73E510B5">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2.1.4.1.3.2.删除角色</w:t>
      </w:r>
    </w:p>
    <w:p w14:paraId="6EC9480E">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对已作废的系统角色，可进行删除操作。</w:t>
      </w:r>
    </w:p>
    <w:p w14:paraId="48934F4D">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2.1.4.1.3.3.系统菜单</w:t>
      </w:r>
    </w:p>
    <w:p w14:paraId="178391DB">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维护角色可操作的菜单功能项，即本角色只可查看或操作的功能点。</w:t>
      </w:r>
    </w:p>
    <w:p w14:paraId="7222B2FC">
      <w:pPr>
        <w:pStyle w:val="6"/>
        <w:keepNext w:val="0"/>
        <w:keepLines w:val="0"/>
        <w:pageBreakBefore w:val="0"/>
        <w:kinsoku/>
        <w:wordWrap/>
        <w:overflowPunct/>
        <w:topLinePunct w:val="0"/>
        <w:autoSpaceDE/>
        <w:autoSpaceDN/>
        <w:bidi w:val="0"/>
        <w:adjustRightInd/>
        <w:snapToGrid/>
        <w:spacing w:line="500" w:lineRule="exact"/>
        <w:ind w:left="855"/>
        <w:jc w:val="both"/>
        <w:textAlignment w:val="auto"/>
        <w:rPr>
          <w:rFonts w:hint="eastAsia" w:ascii="宋体" w:hAnsi="宋体" w:eastAsia="宋体" w:cs="宋体"/>
          <w:sz w:val="24"/>
          <w:szCs w:val="24"/>
        </w:rPr>
      </w:pPr>
      <w:r>
        <w:rPr>
          <w:rFonts w:hint="eastAsia" w:ascii="宋体" w:hAnsi="宋体" w:eastAsia="宋体" w:cs="宋体"/>
          <w:b/>
          <w:sz w:val="24"/>
          <w:szCs w:val="24"/>
        </w:rPr>
        <w:t>2.1.4.1.4.机构管理</w:t>
      </w:r>
    </w:p>
    <w:p w14:paraId="01448EB8">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平台用户需均为机构用户，用户需要绑定所属机构。机构管理用于维护使用平台用户的所在单位。支持对机构的增加、删除和修改。</w:t>
      </w:r>
    </w:p>
    <w:p w14:paraId="57C348E6">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2.1.4.1.4.1.新增机构</w:t>
      </w:r>
    </w:p>
    <w:p w14:paraId="45344C76">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门户用户需均为机构用户，用户需要绑定所属机构。本功能用于维护及配置机构的信息。</w:t>
      </w:r>
    </w:p>
    <w:p w14:paraId="01A4075A">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2.1.4.1.4.2.删除机构</w:t>
      </w:r>
    </w:p>
    <w:p w14:paraId="63BEAE65">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对已不再使用的机构进行删除。</w:t>
      </w:r>
    </w:p>
    <w:p w14:paraId="0156C737">
      <w:pPr>
        <w:pStyle w:val="6"/>
        <w:keepNext w:val="0"/>
        <w:keepLines w:val="0"/>
        <w:pageBreakBefore w:val="0"/>
        <w:kinsoku/>
        <w:wordWrap/>
        <w:overflowPunct/>
        <w:topLinePunct w:val="0"/>
        <w:autoSpaceDE/>
        <w:autoSpaceDN/>
        <w:bidi w:val="0"/>
        <w:adjustRightInd/>
        <w:snapToGrid/>
        <w:spacing w:line="500" w:lineRule="exact"/>
        <w:ind w:left="855"/>
        <w:jc w:val="both"/>
        <w:textAlignment w:val="auto"/>
        <w:rPr>
          <w:rFonts w:hint="eastAsia" w:ascii="宋体" w:hAnsi="宋体" w:eastAsia="宋体" w:cs="宋体"/>
          <w:sz w:val="24"/>
          <w:szCs w:val="24"/>
        </w:rPr>
      </w:pPr>
      <w:r>
        <w:rPr>
          <w:rFonts w:hint="eastAsia" w:ascii="宋体" w:hAnsi="宋体" w:eastAsia="宋体" w:cs="宋体"/>
          <w:b/>
          <w:sz w:val="24"/>
          <w:szCs w:val="24"/>
        </w:rPr>
        <w:t>2.1.4.1.5.审计服务</w:t>
      </w:r>
    </w:p>
    <w:p w14:paraId="599A0BE8">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系统自动记录各系统用户在使用本系统时的操作情况以日志的方式记录下来，方便追溯与统计。</w:t>
      </w:r>
    </w:p>
    <w:p w14:paraId="4CDDFC3D">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用户可以查询自己的系统操作日志，方便追溯与统计。用户进入日志库，可在日志库中根据操作地区、操作单位、登录名、操作时间对日志库进行检索。</w:t>
      </w:r>
    </w:p>
    <w:p w14:paraId="78C42EB7">
      <w:pPr>
        <w:pStyle w:val="6"/>
        <w:keepNext w:val="0"/>
        <w:keepLines w:val="0"/>
        <w:pageBreakBefore w:val="0"/>
        <w:kinsoku/>
        <w:wordWrap/>
        <w:overflowPunct/>
        <w:topLinePunct w:val="0"/>
        <w:autoSpaceDE/>
        <w:autoSpaceDN/>
        <w:bidi w:val="0"/>
        <w:adjustRightInd/>
        <w:snapToGrid/>
        <w:spacing w:line="500" w:lineRule="exact"/>
        <w:ind w:left="855"/>
        <w:jc w:val="both"/>
        <w:textAlignment w:val="auto"/>
        <w:rPr>
          <w:rFonts w:hint="eastAsia" w:ascii="宋体" w:hAnsi="宋体" w:eastAsia="宋体" w:cs="宋体"/>
          <w:sz w:val="24"/>
          <w:szCs w:val="24"/>
        </w:rPr>
      </w:pPr>
      <w:r>
        <w:rPr>
          <w:rFonts w:hint="eastAsia" w:ascii="宋体" w:hAnsi="宋体" w:eastAsia="宋体" w:cs="宋体"/>
          <w:b/>
          <w:sz w:val="24"/>
          <w:szCs w:val="24"/>
        </w:rPr>
        <w:t>2.1.4.1.6.多因子认证</w:t>
      </w:r>
    </w:p>
    <w:p w14:paraId="226E01CD">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2.1.4.1.6.1.账号密码认证登录</w:t>
      </w:r>
    </w:p>
    <w:p w14:paraId="4C6868E5">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用户通过输入注册绑定的账号和私密密码，经后台加密比对数据库信息完成身份核验，核验匹配即可登录。该方式搭配密码复杂度要求、HTTPS 加密传输、错误次数锁定、密码找回等防护机制。</w:t>
      </w:r>
    </w:p>
    <w:p w14:paraId="26C0245C">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2.1.4.1.6.2.CA 认证登录</w:t>
      </w:r>
    </w:p>
    <w:p w14:paraId="6A2B3530">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CA认证是依托权威 CA 机构签发的唯一不可伪造的数字证书完成核验，登录时需检测读取证书并验证有效性及与账号的绑定关系。</w:t>
      </w:r>
    </w:p>
    <w:p w14:paraId="2DDFA1E4">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2.1.4.1.6.3.短信认证登录</w:t>
      </w:r>
    </w:p>
    <w:p w14:paraId="337ED6A3">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依托用户绑定手机号的动态验证方式，分为纯短信登录和短信二次验证两种形式，用户在登录界面选择该方式后，系统向绑定手机号发送唯一的动态验证码，输入正确且在有效期的验证码即可完成核验登录。该方式无需记忆密码，动态验证码实时生成、一次有效，能有效抵御密码被盗风险，操作便捷、适配全终端。搭配手机号换绑验证、验证码有效期限制等防护机制。</w:t>
      </w:r>
    </w:p>
    <w:p w14:paraId="5E1953A4">
      <w:pPr>
        <w:pStyle w:val="6"/>
        <w:keepNext w:val="0"/>
        <w:keepLines w:val="0"/>
        <w:pageBreakBefore w:val="0"/>
        <w:kinsoku/>
        <w:wordWrap/>
        <w:overflowPunct/>
        <w:topLinePunct w:val="0"/>
        <w:autoSpaceDE/>
        <w:autoSpaceDN/>
        <w:bidi w:val="0"/>
        <w:adjustRightInd/>
        <w:snapToGrid/>
        <w:spacing w:line="500" w:lineRule="exact"/>
        <w:ind w:left="855"/>
        <w:jc w:val="both"/>
        <w:textAlignment w:val="auto"/>
        <w:rPr>
          <w:rFonts w:hint="eastAsia" w:ascii="宋体" w:hAnsi="宋体" w:eastAsia="宋体" w:cs="宋体"/>
          <w:sz w:val="24"/>
          <w:szCs w:val="24"/>
        </w:rPr>
      </w:pPr>
      <w:r>
        <w:rPr>
          <w:rFonts w:hint="eastAsia" w:ascii="宋体" w:hAnsi="宋体" w:eastAsia="宋体" w:cs="宋体"/>
          <w:b/>
          <w:sz w:val="24"/>
          <w:szCs w:val="24"/>
        </w:rPr>
        <w:t>2.1.4.1.7.站内信</w:t>
      </w:r>
    </w:p>
    <w:p w14:paraId="67B2344D">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2.1.4.1.7.1.发信息</w:t>
      </w:r>
    </w:p>
    <w:p w14:paraId="74460344">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支持工作人员在系统内向指定对象单发站内信，可按需编辑文字内容，部分支持附件添加、内容格式调整等功能，发送后实时推送至接收方收件箱，同时自动留存至发件箱，为热线工作人员提供高效、便捷的内部沟通渠道，满足日常工作协同、信息传递的需求。</w:t>
      </w:r>
    </w:p>
    <w:p w14:paraId="01AF1FF1">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2.1.4.1.7.2.收件箱</w:t>
      </w:r>
    </w:p>
    <w:p w14:paraId="601EE037">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收件箱是站内信的核心接收与查看入口，会自动归集所有收到的站内信，按未读/已读、发送时间、发送人等维度分类展示，支持未读标红提醒，工作人员可快速定位重要信息，及时查看并处理各类工作通知、协同消息，保障内部沟通信息不遗漏、处理不延迟。</w:t>
      </w:r>
    </w:p>
    <w:p w14:paraId="031B664B">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2.1.4.1.7.3.发件箱</w:t>
      </w:r>
    </w:p>
    <w:p w14:paraId="0A5CC52E">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发件箱会完整留存工作人员所有已发送的站内信记录，按发送时间倒序展示，清晰呈现每条信息的接收人、发送时间、内容概要，支持对历史发送信息的查看、检索，方便工作人员追溯过往沟通内容，核对信息传递细节的实际需求。</w:t>
      </w:r>
    </w:p>
    <w:p w14:paraId="2AA1FAF7">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2.1.4.1.7.4.草稿箱</w:t>
      </w:r>
    </w:p>
    <w:p w14:paraId="1E679374">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草稿箱功能可自动保存工作人员编辑过程中未发送的站内信内容，支持手动保存草稿，工作人员后续可随时进入草稿箱调取未完成的信件继续编辑、完善并发送，避免因突发工作、页面中断等情况导致编辑内容丢失。</w:t>
      </w:r>
    </w:p>
    <w:p w14:paraId="6B984A30">
      <w:pPr>
        <w:pStyle w:val="6"/>
        <w:keepNext w:val="0"/>
        <w:keepLines w:val="0"/>
        <w:pageBreakBefore w:val="0"/>
        <w:kinsoku/>
        <w:wordWrap/>
        <w:overflowPunct/>
        <w:topLinePunct w:val="0"/>
        <w:autoSpaceDE/>
        <w:autoSpaceDN/>
        <w:bidi w:val="0"/>
        <w:adjustRightInd/>
        <w:snapToGrid/>
        <w:spacing w:line="500" w:lineRule="exact"/>
        <w:ind w:left="855"/>
        <w:jc w:val="both"/>
        <w:textAlignment w:val="auto"/>
        <w:rPr>
          <w:rFonts w:hint="eastAsia" w:ascii="宋体" w:hAnsi="宋体" w:eastAsia="宋体" w:cs="宋体"/>
          <w:sz w:val="24"/>
          <w:szCs w:val="24"/>
        </w:rPr>
      </w:pPr>
      <w:r>
        <w:rPr>
          <w:rFonts w:hint="eastAsia" w:ascii="宋体" w:hAnsi="宋体" w:eastAsia="宋体" w:cs="宋体"/>
          <w:b/>
          <w:sz w:val="24"/>
          <w:szCs w:val="24"/>
        </w:rPr>
        <w:t>2.1.4.1.8.文件与公告管理</w:t>
      </w:r>
    </w:p>
    <w:p w14:paraId="4769A0BA">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2.1.4.1.8.1.通知公告管理</w:t>
      </w:r>
    </w:p>
    <w:p w14:paraId="4A29F59A">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2.1.4.1.8.1.1.通知公告维护</w:t>
      </w:r>
    </w:p>
    <w:p w14:paraId="2CDC5C91">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各级业务管理员及各级数据质控员可以进行通知公告的发布和管理。</w:t>
      </w:r>
    </w:p>
    <w:p w14:paraId="1D304F7D">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2.1.4.1.8.1.2.通知公告浏览</w:t>
      </w:r>
    </w:p>
    <w:p w14:paraId="3A9BDD46">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用户可以对管理员发布的通知公告信息进行分级浏览和分类检索。可以下载通知公告中的附件信息。</w:t>
      </w:r>
    </w:p>
    <w:p w14:paraId="0F93D70E">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2.1.4.1.8.2.资料管理</w:t>
      </w:r>
    </w:p>
    <w:p w14:paraId="4E2E68C0">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2.1.4.1.8.2.1.文件资料维护</w:t>
      </w:r>
    </w:p>
    <w:p w14:paraId="7F9B32FA">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业务管理员可进行文件资料上传、发布、删除操作。</w:t>
      </w:r>
    </w:p>
    <w:p w14:paraId="55DF46C5">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2.1.4.1.8.2.2.文件资料下载</w:t>
      </w:r>
    </w:p>
    <w:p w14:paraId="237B49F7">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用户可以查看管理员上传的文件资料，并进行下载。</w:t>
      </w:r>
    </w:p>
    <w:p w14:paraId="186F3CA1">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2.1.4.1.8.3.内部文件管理</w:t>
      </w:r>
    </w:p>
    <w:p w14:paraId="48EC77D1">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针对各级管理文件的下发，系统提供文件管理功能，分为收文管理、发文管理及废件箱。</w:t>
      </w:r>
    </w:p>
    <w:p w14:paraId="3B098889">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2.1.4.1.8.3.1.发文管理</w:t>
      </w:r>
    </w:p>
    <w:p w14:paraId="030A831B">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针对各级管理文件的下发，系统提供文件管理功能。各级业务管理员可以在发文管理中进行新增发文，历史发文查看、发文删除操作。</w:t>
      </w:r>
    </w:p>
    <w:p w14:paraId="3C57F4B2">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2.1.4.1.8.3.2.收文管理</w:t>
      </w:r>
    </w:p>
    <w:p w14:paraId="397A58E5">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用户均有收文管理功能，可在收文管理中查看待阅收文、已阅收文；市级业务管理员、市级数据质控员及区县业务管理员、区县级数据质控员可对已阅收文进行转发，转发时可对发文内容进行修改，可查看已转发收文。</w:t>
      </w:r>
    </w:p>
    <w:p w14:paraId="7FB4D3C7">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2.1.4.1.8.3.3.废件箱</w:t>
      </w:r>
    </w:p>
    <w:p w14:paraId="153046A8">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用户在废件箱中可查看删除的收文或发文。</w:t>
      </w:r>
    </w:p>
    <w:p w14:paraId="6AB99F2E">
      <w:pPr>
        <w:pStyle w:val="6"/>
        <w:keepNext w:val="0"/>
        <w:keepLines w:val="0"/>
        <w:pageBreakBefore w:val="0"/>
        <w:kinsoku/>
        <w:wordWrap/>
        <w:overflowPunct/>
        <w:topLinePunct w:val="0"/>
        <w:autoSpaceDE/>
        <w:autoSpaceDN/>
        <w:bidi w:val="0"/>
        <w:adjustRightInd/>
        <w:snapToGrid/>
        <w:spacing w:line="500" w:lineRule="exact"/>
        <w:ind w:left="855"/>
        <w:jc w:val="both"/>
        <w:textAlignment w:val="auto"/>
        <w:rPr>
          <w:rFonts w:hint="eastAsia" w:ascii="宋体" w:hAnsi="宋体" w:eastAsia="宋体" w:cs="宋体"/>
          <w:sz w:val="24"/>
          <w:szCs w:val="24"/>
        </w:rPr>
      </w:pPr>
      <w:r>
        <w:rPr>
          <w:rFonts w:hint="eastAsia" w:ascii="宋体" w:hAnsi="宋体" w:eastAsia="宋体" w:cs="宋体"/>
          <w:b/>
          <w:sz w:val="24"/>
          <w:szCs w:val="24"/>
        </w:rPr>
        <w:t>2.1.4.2.问卷引擎(评审项72)</w:t>
      </w:r>
    </w:p>
    <w:p w14:paraId="768E9382">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作为心理服务系统测评辅助调查工具，用户可根据需求，自定义多种使用场景，如量表测评、考试、满意度调查等，支持各题型的内容、计分、因子、结论的自定义编辑功能，支持量表问卷的交叉统计功能。</w:t>
      </w:r>
    </w:p>
    <w:p w14:paraId="4B4AD8C8">
      <w:pPr>
        <w:pStyle w:val="6"/>
        <w:keepNext w:val="0"/>
        <w:keepLines w:val="0"/>
        <w:pageBreakBefore w:val="0"/>
        <w:kinsoku/>
        <w:wordWrap/>
        <w:overflowPunct/>
        <w:topLinePunct w:val="0"/>
        <w:autoSpaceDE/>
        <w:autoSpaceDN/>
        <w:bidi w:val="0"/>
        <w:adjustRightInd/>
        <w:snapToGrid/>
        <w:spacing w:line="500" w:lineRule="exact"/>
        <w:ind w:left="855"/>
        <w:jc w:val="both"/>
        <w:textAlignment w:val="auto"/>
        <w:rPr>
          <w:rFonts w:hint="eastAsia" w:ascii="宋体" w:hAnsi="宋体" w:eastAsia="宋体" w:cs="宋体"/>
          <w:sz w:val="24"/>
          <w:szCs w:val="24"/>
        </w:rPr>
      </w:pPr>
      <w:r>
        <w:rPr>
          <w:rFonts w:hint="eastAsia" w:ascii="宋体" w:hAnsi="宋体" w:eastAsia="宋体" w:cs="宋体"/>
          <w:b/>
          <w:sz w:val="24"/>
          <w:szCs w:val="24"/>
        </w:rPr>
        <w:t>2.1.4.2.1.首页</w:t>
      </w:r>
    </w:p>
    <w:p w14:paraId="1F9F32B1">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首页展示系统总体使用情况，包括问卷的发布数量、收集量、有效量、用户量、问卷排名等，用户可通过首页了解问卷系统当前使用情况。</w:t>
      </w:r>
    </w:p>
    <w:p w14:paraId="21F73504">
      <w:pPr>
        <w:pStyle w:val="6"/>
        <w:keepNext w:val="0"/>
        <w:keepLines w:val="0"/>
        <w:pageBreakBefore w:val="0"/>
        <w:kinsoku/>
        <w:wordWrap/>
        <w:overflowPunct/>
        <w:topLinePunct w:val="0"/>
        <w:autoSpaceDE/>
        <w:autoSpaceDN/>
        <w:bidi w:val="0"/>
        <w:adjustRightInd/>
        <w:snapToGrid/>
        <w:spacing w:line="500" w:lineRule="exact"/>
        <w:ind w:left="855"/>
        <w:jc w:val="both"/>
        <w:textAlignment w:val="auto"/>
        <w:rPr>
          <w:rFonts w:hint="eastAsia" w:ascii="宋体" w:hAnsi="宋体" w:eastAsia="宋体" w:cs="宋体"/>
          <w:sz w:val="24"/>
          <w:szCs w:val="24"/>
        </w:rPr>
      </w:pPr>
      <w:r>
        <w:rPr>
          <w:rFonts w:hint="eastAsia" w:ascii="宋体" w:hAnsi="宋体" w:eastAsia="宋体" w:cs="宋体"/>
          <w:b/>
          <w:sz w:val="24"/>
          <w:szCs w:val="24"/>
        </w:rPr>
        <w:t>2.1.4.2.2.我的问卷</w:t>
      </w:r>
    </w:p>
    <w:p w14:paraId="5BFC01FA">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我的问卷用于显示当前用户的问卷清单，系统预设百余个量表和问卷。系统可支持平铺和列表两种样式展现，可对清单问卷进行查看、绑定、发布、停止等操作，也可在本页面创建新的问卷。</w:t>
      </w:r>
    </w:p>
    <w:p w14:paraId="7A4EEE6D">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2.1.4.2.2.1.新建问卷</w:t>
      </w:r>
    </w:p>
    <w:p w14:paraId="0B779BF0">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根据用户需要选择所需场景内容，如“问卷调查”“考试”“心理体检”等。以下以标准问卷模式和交互练习模式问卷进行举例。</w:t>
      </w:r>
    </w:p>
    <w:p w14:paraId="506A293A">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2.1.4.2.2.1.1.标准问卷</w:t>
      </w:r>
    </w:p>
    <w:p w14:paraId="1EC08820">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该模式可实现对各类问卷进行灵活编辑，系统支持编辑题型包括填空题、选择题（单选题、下拉题、多选题）、打分题等题型以及备注、分割线等辅助编辑插件。支持设置题目的跳转逻辑设置。支持对问卷题目序号、每页题目数等参数进行全局设置。问卷编辑后，支持对问卷进行预览、保存。</w:t>
      </w:r>
    </w:p>
    <w:p w14:paraId="39836932">
      <w:pPr>
        <w:pStyle w:val="6"/>
        <w:keepNext w:val="0"/>
        <w:keepLines w:val="0"/>
        <w:pageBreakBefore w:val="0"/>
        <w:kinsoku/>
        <w:wordWrap/>
        <w:overflowPunct/>
        <w:topLinePunct w:val="0"/>
        <w:autoSpaceDE/>
        <w:autoSpaceDN/>
        <w:bidi w:val="0"/>
        <w:adjustRightInd/>
        <w:snapToGrid/>
        <w:spacing w:line="500" w:lineRule="exact"/>
        <w:ind w:left="1440"/>
        <w:jc w:val="both"/>
        <w:textAlignment w:val="auto"/>
        <w:rPr>
          <w:rFonts w:hint="eastAsia" w:ascii="宋体" w:hAnsi="宋体" w:eastAsia="宋体" w:cs="宋体"/>
          <w:sz w:val="24"/>
          <w:szCs w:val="24"/>
        </w:rPr>
      </w:pPr>
      <w:r>
        <w:rPr>
          <w:rFonts w:hint="eastAsia" w:ascii="宋体" w:hAnsi="宋体" w:eastAsia="宋体" w:cs="宋体"/>
          <w:b/>
          <w:sz w:val="24"/>
          <w:szCs w:val="24"/>
        </w:rPr>
        <w:t>2.1.4.2.2.1.1.1.题目</w:t>
      </w:r>
    </w:p>
    <w:p w14:paraId="3EC53419">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系统在标准问卷模式下，预设了录入题、单选题、下拉题、多选题、上传文件、评价题等题型。</w:t>
      </w:r>
    </w:p>
    <w:p w14:paraId="0FAF237A">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（1）录入题：可输入文字形式内容；</w:t>
      </w:r>
    </w:p>
    <w:p w14:paraId="61441BAE">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（2）计数器：只可输入数字；</w:t>
      </w:r>
    </w:p>
    <w:p w14:paraId="02AC3B02">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（3）单选题：从系统给出的选项中选择认为正确的唯一一个选项；</w:t>
      </w:r>
    </w:p>
    <w:p w14:paraId="6BD09CC5">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（4）下拉题：从系统预设的下拉选项中选择符合要求的一项；</w:t>
      </w:r>
    </w:p>
    <w:p w14:paraId="6660E004">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（5）多选题：从系统给出的选项中选择认为正确一个或者多个选项；</w:t>
      </w:r>
    </w:p>
    <w:p w14:paraId="0D94C95B">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（6）上传文件：上传题目要求的文件，可以为图片、office文件等；</w:t>
      </w:r>
    </w:p>
    <w:p w14:paraId="7C7E82A2">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（7）日期：在组件中只可选择日历中的某一天；</w:t>
      </w:r>
    </w:p>
    <w:p w14:paraId="7F4AFD96">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（8）时间：在组件中只可选择小时、分钟。</w:t>
      </w:r>
    </w:p>
    <w:p w14:paraId="04AD5E76">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用户可通过双击题目对题目内容进行编辑，可通过题目右上角的按钮对题目进行顺序拖动、复制、收藏、逻辑设置等操作。</w:t>
      </w:r>
    </w:p>
    <w:p w14:paraId="03403FEE">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系统同时提供分割线和备注等辅助操作工具。</w:t>
      </w:r>
    </w:p>
    <w:p w14:paraId="505A4377">
      <w:pPr>
        <w:pStyle w:val="6"/>
        <w:keepNext w:val="0"/>
        <w:keepLines w:val="0"/>
        <w:pageBreakBefore w:val="0"/>
        <w:kinsoku/>
        <w:wordWrap/>
        <w:overflowPunct/>
        <w:topLinePunct w:val="0"/>
        <w:autoSpaceDE/>
        <w:autoSpaceDN/>
        <w:bidi w:val="0"/>
        <w:adjustRightInd/>
        <w:snapToGrid/>
        <w:spacing w:line="500" w:lineRule="exact"/>
        <w:ind w:left="1440"/>
        <w:jc w:val="both"/>
        <w:textAlignment w:val="auto"/>
        <w:rPr>
          <w:rFonts w:hint="eastAsia" w:ascii="宋体" w:hAnsi="宋体" w:eastAsia="宋体" w:cs="宋体"/>
          <w:sz w:val="24"/>
          <w:szCs w:val="24"/>
        </w:rPr>
      </w:pPr>
      <w:r>
        <w:rPr>
          <w:rFonts w:hint="eastAsia" w:ascii="宋体" w:hAnsi="宋体" w:eastAsia="宋体" w:cs="宋体"/>
          <w:b/>
          <w:sz w:val="24"/>
          <w:szCs w:val="24"/>
        </w:rPr>
        <w:t>2.1.4.2.2.1.1.2.题库</w:t>
      </w:r>
    </w:p>
    <w:p w14:paraId="562A2F61">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通过题目功能中的“收藏”操作，将已经编辑的题目进行保存而创建的，题库分为个人题库和公共题库。</w:t>
      </w:r>
    </w:p>
    <w:p w14:paraId="24D98922">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个人题库：只对收藏操作员本人开放，其他用户无法查看。</w:t>
      </w:r>
    </w:p>
    <w:p w14:paraId="0DB66761">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公共题库：对所有系统用户可见的，支持创建自定义分组，以便用户方便管理题目。</w:t>
      </w:r>
    </w:p>
    <w:p w14:paraId="532015C4">
      <w:pPr>
        <w:pStyle w:val="6"/>
        <w:keepNext w:val="0"/>
        <w:keepLines w:val="0"/>
        <w:pageBreakBefore w:val="0"/>
        <w:kinsoku/>
        <w:wordWrap/>
        <w:overflowPunct/>
        <w:topLinePunct w:val="0"/>
        <w:autoSpaceDE/>
        <w:autoSpaceDN/>
        <w:bidi w:val="0"/>
        <w:adjustRightInd/>
        <w:snapToGrid/>
        <w:spacing w:line="500" w:lineRule="exact"/>
        <w:ind w:left="1440"/>
        <w:jc w:val="both"/>
        <w:textAlignment w:val="auto"/>
        <w:rPr>
          <w:rFonts w:hint="eastAsia" w:ascii="宋体" w:hAnsi="宋体" w:eastAsia="宋体" w:cs="宋体"/>
          <w:sz w:val="24"/>
          <w:szCs w:val="24"/>
        </w:rPr>
      </w:pPr>
      <w:r>
        <w:rPr>
          <w:rFonts w:hint="eastAsia" w:ascii="宋体" w:hAnsi="宋体" w:eastAsia="宋体" w:cs="宋体"/>
          <w:b/>
          <w:sz w:val="24"/>
          <w:szCs w:val="24"/>
        </w:rPr>
        <w:t>2.1.4.2.2.1.1.3.大纲</w:t>
      </w:r>
    </w:p>
    <w:p w14:paraId="0F1B0C4A">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通过本功能可以直观查看题目清单内容，系统按照顺序显示问题清单。</w:t>
      </w:r>
    </w:p>
    <w:p w14:paraId="0B496A4D">
      <w:pPr>
        <w:pStyle w:val="6"/>
        <w:keepNext w:val="0"/>
        <w:keepLines w:val="0"/>
        <w:pageBreakBefore w:val="0"/>
        <w:kinsoku/>
        <w:wordWrap/>
        <w:overflowPunct/>
        <w:topLinePunct w:val="0"/>
        <w:autoSpaceDE/>
        <w:autoSpaceDN/>
        <w:bidi w:val="0"/>
        <w:adjustRightInd/>
        <w:snapToGrid/>
        <w:spacing w:line="500" w:lineRule="exact"/>
        <w:ind w:left="1440"/>
        <w:jc w:val="both"/>
        <w:textAlignment w:val="auto"/>
        <w:rPr>
          <w:rFonts w:hint="eastAsia" w:ascii="宋体" w:hAnsi="宋体" w:eastAsia="宋体" w:cs="宋体"/>
          <w:sz w:val="24"/>
          <w:szCs w:val="24"/>
        </w:rPr>
      </w:pPr>
      <w:r>
        <w:rPr>
          <w:rFonts w:hint="eastAsia" w:ascii="宋体" w:hAnsi="宋体" w:eastAsia="宋体" w:cs="宋体"/>
          <w:b/>
          <w:sz w:val="24"/>
          <w:szCs w:val="24"/>
        </w:rPr>
        <w:t>2.1.4.2.2.1.1.4.题目设置</w:t>
      </w:r>
    </w:p>
    <w:p w14:paraId="2E37375E">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题目设置主要根据创建的题目进行是否必答和计分设置：</w:t>
      </w:r>
    </w:p>
    <w:p w14:paraId="0D80E0C1">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1.是否必答</w:t>
      </w:r>
    </w:p>
    <w:p w14:paraId="768CF0A6">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如设置必答后，在答卷用户答卷时不作答，无法进行提交。</w:t>
      </w:r>
    </w:p>
    <w:p w14:paraId="66977382">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2.计分</w:t>
      </w:r>
    </w:p>
    <w:p w14:paraId="17AF22F0">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开启计分后，系统根据题目类型设置可设置自定义计分方式，如单选题，系统支持对每一个选项进行分值设置。</w:t>
      </w:r>
    </w:p>
    <w:p w14:paraId="070F62F5">
      <w:pPr>
        <w:pStyle w:val="6"/>
        <w:keepNext w:val="0"/>
        <w:keepLines w:val="0"/>
        <w:pageBreakBefore w:val="0"/>
        <w:kinsoku/>
        <w:wordWrap/>
        <w:overflowPunct/>
        <w:topLinePunct w:val="0"/>
        <w:autoSpaceDE/>
        <w:autoSpaceDN/>
        <w:bidi w:val="0"/>
        <w:adjustRightInd/>
        <w:snapToGrid/>
        <w:spacing w:line="500" w:lineRule="exact"/>
        <w:ind w:left="1440"/>
        <w:jc w:val="both"/>
        <w:textAlignment w:val="auto"/>
        <w:rPr>
          <w:rFonts w:hint="eastAsia" w:ascii="宋体" w:hAnsi="宋体" w:eastAsia="宋体" w:cs="宋体"/>
          <w:sz w:val="24"/>
          <w:szCs w:val="24"/>
        </w:rPr>
      </w:pPr>
      <w:r>
        <w:rPr>
          <w:rFonts w:hint="eastAsia" w:ascii="宋体" w:hAnsi="宋体" w:eastAsia="宋体" w:cs="宋体"/>
          <w:b/>
          <w:sz w:val="24"/>
          <w:szCs w:val="24"/>
        </w:rPr>
        <w:t>2.1.4.2.2.1.1.5.全局设置</w:t>
      </w:r>
    </w:p>
    <w:p w14:paraId="3C6E1170">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全局设置可支持对问卷题目自动编号，题目的显示方式（连续显示或一页一题），也可对是否显示进度条进行设置。</w:t>
      </w:r>
    </w:p>
    <w:p w14:paraId="59243D36">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2.1.4.2.2.1.2.交互模式</w:t>
      </w:r>
    </w:p>
    <w:p w14:paraId="151A4775">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该模式用于心理干预练习、对话式问答等场景。练习题型包括填空题、单选题、多选题、一问一答、交互聊天、音视频播放等形式。</w:t>
      </w:r>
    </w:p>
    <w:p w14:paraId="79E1A4C6">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在标准问卷的基础上，交互练习提供抽题卡题型和一问一答、交互聊天两种布局方式。</w:t>
      </w:r>
    </w:p>
    <w:p w14:paraId="01CF9931">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抽题卡：根据答卷用户选择内容，可以自定义下一步跳转步骤；</w:t>
      </w:r>
    </w:p>
    <w:p w14:paraId="098F1194">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一问一答、交互聊天：通过逻辑设置，已问答的方式进行题目的选择和回答，区别于标准问卷的固定形式，更易于用户接受。</w:t>
      </w:r>
    </w:p>
    <w:p w14:paraId="4847E9FB">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2.1.4.2.2.1.3.封面信息</w:t>
      </w:r>
    </w:p>
    <w:p w14:paraId="7EB490DF">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用于配置问卷的信息，包括图片信息、简介、详细介绍（图文）、测评类型、答题时间等内容，同时支持自定义扩展内容的添加与编辑。</w:t>
      </w:r>
    </w:p>
    <w:p w14:paraId="78340D0C">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2.1.4.2.2.1.4.因子配置</w:t>
      </w:r>
    </w:p>
    <w:p w14:paraId="75F118C3">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每个量表可能涉及多个维度，因子维度配置功能允许用户为每个因子设定相应的题目，确保量表能全面地评估被测者的状态。</w:t>
      </w:r>
    </w:p>
    <w:p w14:paraId="7E0722E2">
      <w:pPr>
        <w:pStyle w:val="6"/>
        <w:keepNext w:val="0"/>
        <w:keepLines w:val="0"/>
        <w:pageBreakBefore w:val="0"/>
        <w:kinsoku/>
        <w:wordWrap/>
        <w:overflowPunct/>
        <w:topLinePunct w:val="0"/>
        <w:autoSpaceDE/>
        <w:autoSpaceDN/>
        <w:bidi w:val="0"/>
        <w:adjustRightInd/>
        <w:snapToGrid/>
        <w:spacing w:line="500" w:lineRule="exact"/>
        <w:ind w:left="1440"/>
        <w:jc w:val="both"/>
        <w:textAlignment w:val="auto"/>
        <w:rPr>
          <w:rFonts w:hint="eastAsia" w:ascii="宋体" w:hAnsi="宋体" w:eastAsia="宋体" w:cs="宋体"/>
          <w:sz w:val="24"/>
          <w:szCs w:val="24"/>
        </w:rPr>
      </w:pPr>
      <w:r>
        <w:rPr>
          <w:rFonts w:hint="eastAsia" w:ascii="宋体" w:hAnsi="宋体" w:eastAsia="宋体" w:cs="宋体"/>
          <w:b/>
          <w:sz w:val="24"/>
          <w:szCs w:val="24"/>
        </w:rPr>
        <w:t>2.1.4.2.2.1.4.1.新建/编辑因子</w:t>
      </w:r>
    </w:p>
    <w:p w14:paraId="28E5F80D">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为每个因子对应的题目配置相应的计分规则，并对这些题目的计分采用通用型算法进行计算，得到该因子的结果。</w:t>
      </w:r>
    </w:p>
    <w:p w14:paraId="571C9AA0">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系统支持引用题目中的录入内容或选项进行参与计算，支持布尔、数值、文本、异常变量。支持AND、IF、OR、NOT、SUM等Excel计算公式。</w:t>
      </w:r>
    </w:p>
    <w:p w14:paraId="1A8C1515">
      <w:pPr>
        <w:pStyle w:val="6"/>
        <w:keepNext w:val="0"/>
        <w:keepLines w:val="0"/>
        <w:pageBreakBefore w:val="0"/>
        <w:kinsoku/>
        <w:wordWrap/>
        <w:overflowPunct/>
        <w:topLinePunct w:val="0"/>
        <w:autoSpaceDE/>
        <w:autoSpaceDN/>
        <w:bidi w:val="0"/>
        <w:adjustRightInd/>
        <w:snapToGrid/>
        <w:spacing w:line="500" w:lineRule="exact"/>
        <w:ind w:left="1440"/>
        <w:jc w:val="both"/>
        <w:textAlignment w:val="auto"/>
        <w:rPr>
          <w:rFonts w:hint="eastAsia" w:ascii="宋体" w:hAnsi="宋体" w:eastAsia="宋体" w:cs="宋体"/>
          <w:sz w:val="24"/>
          <w:szCs w:val="24"/>
        </w:rPr>
      </w:pPr>
      <w:r>
        <w:rPr>
          <w:rFonts w:hint="eastAsia" w:ascii="宋体" w:hAnsi="宋体" w:eastAsia="宋体" w:cs="宋体"/>
          <w:b/>
          <w:sz w:val="24"/>
          <w:szCs w:val="24"/>
        </w:rPr>
        <w:t>2.1.4.2.2.1.4.2.渲染</w:t>
      </w:r>
    </w:p>
    <w:p w14:paraId="3651B5B7">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用于控制在“结束语定义”中因子是否显示。</w:t>
      </w:r>
    </w:p>
    <w:p w14:paraId="5994CF90">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2.1.4.2.2.1.5.结束语定义</w:t>
      </w:r>
    </w:p>
    <w:p w14:paraId="54FAD1FE">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量表问卷编辑器中的结论编辑功能是实现对问卷结果进行个性化解读和呈现的重要工具，以下是按总分值、因子分、自定义分值、公式匹配四种方式进行设置结论的详细介绍：</w:t>
      </w:r>
    </w:p>
    <w:p w14:paraId="762C7E7F">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1.按总分值设置结论</w:t>
      </w:r>
    </w:p>
    <w:p w14:paraId="052DD110">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根据问卷所有题目得分汇总后的总分值，划定不同的分数区间，每个区间对应一个特定的结论，以整体评估被调查者的情况。</w:t>
      </w:r>
    </w:p>
    <w:p w14:paraId="18AF8986">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2.按因子分设置结论</w:t>
      </w:r>
    </w:p>
    <w:p w14:paraId="0AFC1E83">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先计算出问卷中各个因子的得分，然后针对每个因子的得分划定区间，给出相应的结论，从而更细致地了解被调查者在不同维度上的表现。</w:t>
      </w:r>
    </w:p>
    <w:p w14:paraId="5CE13979">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3.按自定义分值设置结论</w:t>
      </w:r>
    </w:p>
    <w:p w14:paraId="3CCDF131">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自定义分值设置结论是根据用户自行定义的分值标准和规则来生成结论。用户可以根据具体的研究目的、问卷内容和分析需求，灵活地设定分值与结论之间的对应关系，不受固定的总分值或因子分模式的限制。</w:t>
      </w:r>
    </w:p>
    <w:p w14:paraId="1B1D9DE8">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4.按公式匹配设置结论</w:t>
      </w:r>
    </w:p>
    <w:p w14:paraId="63358FE4">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通过自定义的公式对问卷中的题目得分、因子得分等进行计算和逻辑判断，根据计算结果和设定的条件来生成结论，适用于计算规则复杂、测评结论输出规则复杂等个性化程度较高的测评场景。</w:t>
      </w:r>
    </w:p>
    <w:p w14:paraId="277511B1">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2.1.4.2.2.1.6.衡量指标</w:t>
      </w:r>
    </w:p>
    <w:p w14:paraId="6EEAEDFE">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用于配置团体测评下的数据分析，以生成团体报告，支持独立指标、因子区间两种方式对分析维度进行输出。</w:t>
      </w:r>
    </w:p>
    <w:p w14:paraId="4C78191B">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独立指标：可根据得分或因子得分信息圈定指标区间。</w:t>
      </w:r>
    </w:p>
    <w:p w14:paraId="53B4A0B7">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因子区间：一般用于因子得分上下区间一致时，划分每个因子的得分区间。</w:t>
      </w:r>
    </w:p>
    <w:p w14:paraId="1F6CF217">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指标支持表格和图形两种表现方式。</w:t>
      </w:r>
    </w:p>
    <w:p w14:paraId="658E505E">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2.1.4.2.2.2.绑定分组</w:t>
      </w:r>
    </w:p>
    <w:p w14:paraId="2FAEDD64">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分组为问卷定制系统为用户提供的问卷分组器，便于与前端应用系统的集成，问卷发布后，会在前端显示在对应的分组清单下。</w:t>
      </w:r>
    </w:p>
    <w:p w14:paraId="52CD0685">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绑定分组实现将问卷与设定问卷分组器进行绑定。</w:t>
      </w:r>
    </w:p>
    <w:p w14:paraId="1F7FC6D7">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2.1.4.2.2.3.统计分析</w:t>
      </w:r>
    </w:p>
    <w:p w14:paraId="75A4C671">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支持对问卷和量表调用的统计分析功能。</w:t>
      </w:r>
    </w:p>
    <w:p w14:paraId="180DAFC6">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2.1.4.2.2.3.1.数据详情</w:t>
      </w:r>
    </w:p>
    <w:p w14:paraId="08E9720A">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可通过发布主题、客户端名称、用户名、答卷时间筛选答题记录，查看详细答题明细，对选择的内容也可进行导出操作。</w:t>
      </w:r>
    </w:p>
    <w:p w14:paraId="38098018">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2.1.4.2.2.3.2.统计报表</w:t>
      </w:r>
    </w:p>
    <w:p w14:paraId="1CE856D2">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统计各个客户端打答题总数及答题时间，用户也可发布主题、客户端名称、用户名、答卷时间自定义统计筛选条件范围内，统计问卷各题目的答题情况。</w:t>
      </w:r>
    </w:p>
    <w:p w14:paraId="08D41450">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2.1.4.2.2.3.3.交叉分析</w:t>
      </w:r>
    </w:p>
    <w:p w14:paraId="059DB5DE">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用于对问卷/量表中不同题目的不同选项进行交叉分析。用户也可发布主题、客户端名称、用户名、答卷时间自定义设置筛选条件，选择交叉分析的横向统计题目及纵向分析题目，支持添加多个分析图例。</w:t>
      </w:r>
    </w:p>
    <w:p w14:paraId="58B5BDEA">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2.1.4.2.2.4.发布管理</w:t>
      </w:r>
    </w:p>
    <w:p w14:paraId="2A2FFB61">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用于对已经编辑完成的问卷向客户端进行发布，可对问卷发布主题、发布时间、问卷过期时间、秘钥状态等规则进行设置，只有发布后的问卷在客户端为可见状态。</w:t>
      </w:r>
    </w:p>
    <w:p w14:paraId="1C82E021">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对结束答题的问卷，系统支持停止问卷发布。</w:t>
      </w:r>
    </w:p>
    <w:p w14:paraId="188CFB18">
      <w:pPr>
        <w:pStyle w:val="6"/>
        <w:keepNext w:val="0"/>
        <w:keepLines w:val="0"/>
        <w:pageBreakBefore w:val="0"/>
        <w:kinsoku/>
        <w:wordWrap/>
        <w:overflowPunct/>
        <w:topLinePunct w:val="0"/>
        <w:autoSpaceDE/>
        <w:autoSpaceDN/>
        <w:bidi w:val="0"/>
        <w:adjustRightInd/>
        <w:snapToGrid/>
        <w:spacing w:line="500" w:lineRule="exact"/>
        <w:ind w:left="855"/>
        <w:jc w:val="both"/>
        <w:textAlignment w:val="auto"/>
        <w:rPr>
          <w:rFonts w:hint="eastAsia" w:ascii="宋体" w:hAnsi="宋体" w:eastAsia="宋体" w:cs="宋体"/>
          <w:sz w:val="24"/>
          <w:szCs w:val="24"/>
        </w:rPr>
      </w:pPr>
      <w:r>
        <w:rPr>
          <w:rFonts w:hint="eastAsia" w:ascii="宋体" w:hAnsi="宋体" w:eastAsia="宋体" w:cs="宋体"/>
          <w:b/>
          <w:sz w:val="24"/>
          <w:szCs w:val="24"/>
        </w:rPr>
        <w:t>2.1.4.2.3.素材库管理</w:t>
      </w:r>
    </w:p>
    <w:p w14:paraId="5CD5549F">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预设图片、音频、视频及不便分类四种文件类型。用户可自行上传文件形成素材库，方便问卷编辑制作过程中使用。</w:t>
      </w:r>
    </w:p>
    <w:p w14:paraId="643FC6ED">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2.1.4.2.3.1.新建分组</w:t>
      </w:r>
    </w:p>
    <w:p w14:paraId="0234C640">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支持对各类型文件进行自定义分组，通过创建新的文件组，便于对文件进行分类管理。</w:t>
      </w:r>
    </w:p>
    <w:p w14:paraId="2E4A958D">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2.1.4.2.3.2.管理分组</w:t>
      </w:r>
    </w:p>
    <w:p w14:paraId="4CF149DD">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对于已经添加的分组，用户可调整分优先级或对其进行删除操作。</w:t>
      </w:r>
    </w:p>
    <w:p w14:paraId="03A1D19B">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2.1.4.2.3.3.上传</w:t>
      </w:r>
    </w:p>
    <w:p w14:paraId="2D0AC599">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用户在对应的文件类型下，通过上传按钮，可上传对应类型的文件，并对文件命名，设置分组及素材说明等。</w:t>
      </w:r>
    </w:p>
    <w:p w14:paraId="082E3C28">
      <w:pPr>
        <w:pStyle w:val="6"/>
        <w:keepNext w:val="0"/>
        <w:keepLines w:val="0"/>
        <w:pageBreakBefore w:val="0"/>
        <w:kinsoku/>
        <w:wordWrap/>
        <w:overflowPunct/>
        <w:topLinePunct w:val="0"/>
        <w:autoSpaceDE/>
        <w:autoSpaceDN/>
        <w:bidi w:val="0"/>
        <w:adjustRightInd/>
        <w:snapToGrid/>
        <w:spacing w:line="500" w:lineRule="exact"/>
        <w:ind w:left="855"/>
        <w:jc w:val="both"/>
        <w:textAlignment w:val="auto"/>
        <w:rPr>
          <w:rFonts w:hint="eastAsia" w:ascii="宋体" w:hAnsi="宋体" w:eastAsia="宋体" w:cs="宋体"/>
          <w:sz w:val="24"/>
          <w:szCs w:val="24"/>
        </w:rPr>
      </w:pPr>
      <w:r>
        <w:rPr>
          <w:rFonts w:hint="eastAsia" w:ascii="宋体" w:hAnsi="宋体" w:eastAsia="宋体" w:cs="宋体"/>
          <w:b/>
          <w:sz w:val="24"/>
          <w:szCs w:val="24"/>
        </w:rPr>
        <w:t>2.1.4.2.4.答卷管理</w:t>
      </w:r>
    </w:p>
    <w:p w14:paraId="519A8925">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用于展示问卷发布的各个客户端的各类问卷调查情况。包括问卷序累计作答数量、有效答题数量、累计作答时长、最后答题时间等。</w:t>
      </w:r>
    </w:p>
    <w:p w14:paraId="6C9ECAF8">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查看客户端用户的答题情况，包括答题总数、有效答题数量、答题时间、在最后答题时间等。</w:t>
      </w:r>
    </w:p>
    <w:p w14:paraId="7D401C6F">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通过答题记录后的“查看”按钮，支持查看答题明细内容。</w:t>
      </w:r>
    </w:p>
    <w:p w14:paraId="0DF764A3">
      <w:pPr>
        <w:pStyle w:val="6"/>
        <w:keepNext w:val="0"/>
        <w:keepLines w:val="0"/>
        <w:pageBreakBefore w:val="0"/>
        <w:kinsoku/>
        <w:wordWrap/>
        <w:overflowPunct/>
        <w:topLinePunct w:val="0"/>
        <w:autoSpaceDE/>
        <w:autoSpaceDN/>
        <w:bidi w:val="0"/>
        <w:adjustRightInd/>
        <w:snapToGrid/>
        <w:spacing w:line="500" w:lineRule="exact"/>
        <w:ind w:left="855"/>
        <w:jc w:val="both"/>
        <w:textAlignment w:val="auto"/>
        <w:rPr>
          <w:rFonts w:hint="eastAsia" w:ascii="宋体" w:hAnsi="宋体" w:eastAsia="宋体" w:cs="宋体"/>
          <w:sz w:val="24"/>
          <w:szCs w:val="24"/>
        </w:rPr>
      </w:pPr>
      <w:r>
        <w:rPr>
          <w:rFonts w:hint="eastAsia" w:ascii="宋体" w:hAnsi="宋体" w:eastAsia="宋体" w:cs="宋体"/>
          <w:b/>
          <w:sz w:val="24"/>
          <w:szCs w:val="24"/>
        </w:rPr>
        <w:t>2.1.4.2.5.系统设置</w:t>
      </w:r>
    </w:p>
    <w:p w14:paraId="2F6AE5A6">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2.1.4.2.5.1.场景管理</w:t>
      </w:r>
    </w:p>
    <w:p w14:paraId="6373568E">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场景是根据问卷的使用场景，进行的预先设定，如针对需要进行体检的场景创建体检场景，需要进行考试的进行考试场景。</w:t>
      </w:r>
    </w:p>
    <w:p w14:paraId="00846905">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2.1.4.2.5.1.1.新建组件</w:t>
      </w:r>
    </w:p>
    <w:p w14:paraId="22090CBA">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用户可根据需要自定义场景，可对场景名称、图标、模式等进行自定义设置。</w:t>
      </w:r>
    </w:p>
    <w:p w14:paraId="450AB816">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2.1.4.2.5.1.2.编辑场景</w:t>
      </w:r>
    </w:p>
    <w:p w14:paraId="49FC1957">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根据用户需要可对场景进行启用与停用、可对场景信息进行二次编辑，设置该场景允许使用的题型，并支持对场景的删除操作。</w:t>
      </w:r>
    </w:p>
    <w:p w14:paraId="64775AC0">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2.1.4.2.5.2.组件管理</w:t>
      </w:r>
    </w:p>
    <w:p w14:paraId="119F395C">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组件管理主要用于管理系统的各种题型，系统预设部分题型，用户也可以根据需求自定义题型，对组件进行增删改。</w:t>
      </w:r>
    </w:p>
    <w:p w14:paraId="602048DE">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2.1.4.2.5.3.问卷分组</w:t>
      </w:r>
    </w:p>
    <w:p w14:paraId="40C46E50">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用于对问卷进行分组，与首页功能中的绑定功能交互使用，可实现客户端分组下的问卷显示，多用于移动端主题下的问卷清单显示。</w:t>
      </w:r>
    </w:p>
    <w:p w14:paraId="7212E699">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系统支持对问卷分组的新建、编辑、删除和停启用设置。</w:t>
      </w:r>
    </w:p>
    <w:p w14:paraId="12C07990">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2.1.4.2.5.4.函数管理</w:t>
      </w:r>
    </w:p>
    <w:p w14:paraId="6EEECDDF">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用于较复杂的、存在逻辑关系的问卷设置。用户可自定义逻辑函数。系统支持对函数的新增、删除、停启用操作。</w:t>
      </w:r>
    </w:p>
    <w:p w14:paraId="4128A347">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2.1.4.2.5.5.客户端管理</w:t>
      </w:r>
    </w:p>
    <w:p w14:paraId="6AFC025C">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问卷调查通过后台配置，还需通过前台进行展示，以便展示给答题用户进行操作，“客户端管理”主要用于管理对接集成社会心理问卷调查引擎的移动端，对客户端进行增删改查。</w:t>
      </w:r>
    </w:p>
    <w:p w14:paraId="317F3DE6">
      <w:pPr>
        <w:pStyle w:val="6"/>
        <w:keepNext w:val="0"/>
        <w:keepLines w:val="0"/>
        <w:pageBreakBefore w:val="0"/>
        <w:kinsoku/>
        <w:wordWrap/>
        <w:overflowPunct/>
        <w:topLinePunct w:val="0"/>
        <w:autoSpaceDE/>
        <w:autoSpaceDN/>
        <w:bidi w:val="0"/>
        <w:adjustRightInd/>
        <w:snapToGrid/>
        <w:spacing w:line="500" w:lineRule="exact"/>
        <w:ind w:left="855"/>
        <w:jc w:val="both"/>
        <w:textAlignment w:val="auto"/>
        <w:rPr>
          <w:rFonts w:hint="eastAsia" w:ascii="宋体" w:hAnsi="宋体" w:eastAsia="宋体" w:cs="宋体"/>
          <w:sz w:val="24"/>
          <w:szCs w:val="24"/>
        </w:rPr>
      </w:pPr>
      <w:r>
        <w:rPr>
          <w:rFonts w:hint="eastAsia" w:ascii="宋体" w:hAnsi="宋体" w:eastAsia="宋体" w:cs="宋体"/>
          <w:b/>
          <w:sz w:val="24"/>
          <w:szCs w:val="24"/>
        </w:rPr>
        <w:t>2.1.4.3.内容管理(评审项73)</w:t>
      </w:r>
    </w:p>
    <w:p w14:paraId="2FF513DF">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通过简单易用的WEB界面，允许非技术人员以创建、编辑和发布各种内容，实现小程序、网站等多渠道内容的快速更新。支持多应用平台发布，支持音频、视频、富文本、超链等多种内容维护方式，可分级提交审批发布。</w:t>
      </w:r>
    </w:p>
    <w:p w14:paraId="11E8696D">
      <w:pPr>
        <w:pStyle w:val="6"/>
        <w:keepNext w:val="0"/>
        <w:keepLines w:val="0"/>
        <w:pageBreakBefore w:val="0"/>
        <w:kinsoku/>
        <w:wordWrap/>
        <w:overflowPunct/>
        <w:topLinePunct w:val="0"/>
        <w:autoSpaceDE/>
        <w:autoSpaceDN/>
        <w:bidi w:val="0"/>
        <w:adjustRightInd/>
        <w:snapToGrid/>
        <w:spacing w:line="500" w:lineRule="exact"/>
        <w:ind w:left="855"/>
        <w:jc w:val="both"/>
        <w:textAlignment w:val="auto"/>
        <w:rPr>
          <w:rFonts w:hint="eastAsia" w:ascii="宋体" w:hAnsi="宋体" w:eastAsia="宋体" w:cs="宋体"/>
          <w:sz w:val="24"/>
          <w:szCs w:val="24"/>
        </w:rPr>
      </w:pPr>
      <w:r>
        <w:rPr>
          <w:rFonts w:hint="eastAsia" w:ascii="宋体" w:hAnsi="宋体" w:eastAsia="宋体" w:cs="宋体"/>
          <w:b/>
          <w:sz w:val="24"/>
          <w:szCs w:val="24"/>
        </w:rPr>
        <w:t>2.1.4.3.1.应用管理</w:t>
      </w:r>
    </w:p>
    <w:p w14:paraId="22E2349C">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内容管理系统支持同时对多个应用平台内容进行管理发布，对各个应用能够独立进行结构调整、内容创作、内容编辑，并可独立发布内容文件，实现不同站点向不同的WEB服务器部署分发。</w:t>
      </w:r>
    </w:p>
    <w:p w14:paraId="6354B902">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本部分功能用于管理与内容管理系统进行集成的各个客户端信息，用户可根据需求自定义创建及编辑应用信息。</w:t>
      </w:r>
    </w:p>
    <w:p w14:paraId="473D792A">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2.1.4.3.1.1.新增应用</w:t>
      </w:r>
    </w:p>
    <w:p w14:paraId="151DBC5C">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支持向多个应用系统进行内容管理和发布，对各应用能够独立进行结构调整、内容创作、内容编辑，并可独立发布内容文件。通过本功能可添加或者编辑接入应用的配置信息。</w:t>
      </w:r>
    </w:p>
    <w:p w14:paraId="174FC51D">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2.1.4.3.1.2.停启用应用</w:t>
      </w:r>
    </w:p>
    <w:p w14:paraId="671AF00C">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对已创建的应用进行启停控制，停用的应用不再显示已发布的文章。</w:t>
      </w:r>
    </w:p>
    <w:p w14:paraId="5197C745">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2.1.4.3.1.3.应用删除</w:t>
      </w:r>
    </w:p>
    <w:p w14:paraId="14749589">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可通过本功能删除已创建应用，删除后原发布的内容不再在应用端显示。</w:t>
      </w:r>
    </w:p>
    <w:p w14:paraId="337A0AC1">
      <w:pPr>
        <w:pStyle w:val="6"/>
        <w:keepNext w:val="0"/>
        <w:keepLines w:val="0"/>
        <w:pageBreakBefore w:val="0"/>
        <w:kinsoku/>
        <w:wordWrap/>
        <w:overflowPunct/>
        <w:topLinePunct w:val="0"/>
        <w:autoSpaceDE/>
        <w:autoSpaceDN/>
        <w:bidi w:val="0"/>
        <w:adjustRightInd/>
        <w:snapToGrid/>
        <w:spacing w:line="500" w:lineRule="exact"/>
        <w:ind w:left="855"/>
        <w:jc w:val="both"/>
        <w:textAlignment w:val="auto"/>
        <w:rPr>
          <w:rFonts w:hint="eastAsia" w:ascii="宋体" w:hAnsi="宋体" w:eastAsia="宋体" w:cs="宋体"/>
          <w:sz w:val="24"/>
          <w:szCs w:val="24"/>
        </w:rPr>
      </w:pPr>
      <w:r>
        <w:rPr>
          <w:rFonts w:hint="eastAsia" w:ascii="宋体" w:hAnsi="宋体" w:eastAsia="宋体" w:cs="宋体"/>
          <w:b/>
          <w:sz w:val="24"/>
          <w:szCs w:val="24"/>
        </w:rPr>
        <w:t>2.1.4.3.2.栏目管理</w:t>
      </w:r>
    </w:p>
    <w:p w14:paraId="02BEB565">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为方便用户对客户端及内容的分类管理，每个应用可以划分成多个栏目。栏目是在网站策划的过程中，按照浏览者的习惯和内容本身的属性进行分类的结果。栏目下可以进行细分并添加多个子栏目，最终构成多级栏目结构。</w:t>
      </w:r>
    </w:p>
    <w:p w14:paraId="0A967ED9">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用户可根据需求对应用栏目的增、删、改、查及停用操作，可对每个栏目的栏目首页、列表页面进行设置，内容发布后内容详细页面、图片、视频等资源文件，存放在本栏目的专属目录中。发布内容时通过选择栏目的发布点，可以将不同的栏目分发到不同的客户端应用上。</w:t>
      </w:r>
    </w:p>
    <w:p w14:paraId="0E6EF9AA">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2.1.4.3.2.1.新增栏目</w:t>
      </w:r>
    </w:p>
    <w:p w14:paraId="7C007140">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可按内容属性为应用划分不同的栏目，在发布内容时，分发至不同栏目。</w:t>
      </w:r>
    </w:p>
    <w:p w14:paraId="4F32B114">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2.1.4.3.2.2.栏目删除</w:t>
      </w:r>
    </w:p>
    <w:p w14:paraId="5BB47556">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通过本功能删除已创建的栏目，删除后原发布在该栏目下的内容不再显示。</w:t>
      </w:r>
    </w:p>
    <w:p w14:paraId="599FD0EA">
      <w:pPr>
        <w:pStyle w:val="6"/>
        <w:keepNext w:val="0"/>
        <w:keepLines w:val="0"/>
        <w:pageBreakBefore w:val="0"/>
        <w:kinsoku/>
        <w:wordWrap/>
        <w:overflowPunct/>
        <w:topLinePunct w:val="0"/>
        <w:autoSpaceDE/>
        <w:autoSpaceDN/>
        <w:bidi w:val="0"/>
        <w:adjustRightInd/>
        <w:snapToGrid/>
        <w:spacing w:line="500" w:lineRule="exact"/>
        <w:ind w:left="855"/>
        <w:jc w:val="both"/>
        <w:textAlignment w:val="auto"/>
        <w:rPr>
          <w:rFonts w:hint="eastAsia" w:ascii="宋体" w:hAnsi="宋体" w:eastAsia="宋体" w:cs="宋体"/>
          <w:sz w:val="24"/>
          <w:szCs w:val="24"/>
        </w:rPr>
      </w:pPr>
      <w:r>
        <w:rPr>
          <w:rFonts w:hint="eastAsia" w:ascii="宋体" w:hAnsi="宋体" w:eastAsia="宋体" w:cs="宋体"/>
          <w:b/>
          <w:sz w:val="24"/>
          <w:szCs w:val="24"/>
        </w:rPr>
        <w:t>2.1.4.3.3.文章管理</w:t>
      </w:r>
    </w:p>
    <w:p w14:paraId="410CDC3A">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文章管理用于管理最终用于发布的内容，支持内容自定义编排，提供了高度集成的文档工作台界面，用户可以通过切换不同的视图使用内容文档相关的各项操作。</w:t>
      </w:r>
    </w:p>
    <w:p w14:paraId="7C42FF8C">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视图显示栏目下的内容记录列表，可以在栏目内新建、编辑、删除、发布、加精、置顶等，支持导入Office文件成内容记录，还支持拖拽排序、待发布、编辑、下线等功能。可以搜索栏目下各种状态下的内容记录，包括我创建的、草稿、已发布、已归档等状态。</w:t>
      </w:r>
    </w:p>
    <w:p w14:paraId="7D4CE07C">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内容编辑界面充分考虑到这种实际情况，提供了与Word相似的剪切、复制、粘贴、删除、去除文字格式、段落格式、字体、字号、字体颜色、插入超链接、加粗、下划线、居中显示等功能。支持图文混排、图表混排，可以在文章中插入图片、图表，动画、超级链接、特殊字符、音频视频等。从Web网页上复制内容到编辑器时，文章编辑器还支持清除Word格式、自动排版、插入附件、等功能。</w:t>
      </w:r>
    </w:p>
    <w:p w14:paraId="6C7D330B">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2.1.4.3.3.1.新增文章</w:t>
      </w:r>
    </w:p>
    <w:p w14:paraId="322BE36B">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支持内容自定义编排，提供了高度集成的文档工作台界面，用户可以通过切换不同的视图使用内容文档相关的各项操作。</w:t>
      </w:r>
    </w:p>
    <w:p w14:paraId="2B730686">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系统支持图文、音频、视频、超链等多种内容形式。</w:t>
      </w:r>
    </w:p>
    <w:p w14:paraId="77878CB6">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2.1.4.3.3.2.删除文章</w:t>
      </w:r>
    </w:p>
    <w:p w14:paraId="63322FF6">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对不再适用的文章，可通过本功能进行删除。</w:t>
      </w:r>
    </w:p>
    <w:p w14:paraId="09EC2892">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2.1.4.3.3.3.文章审核</w:t>
      </w:r>
    </w:p>
    <w:p w14:paraId="18D4643C">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通过本功能，在内容编辑员编辑提交后，可由内容审核员进行审核通过后可更新到应用端，如被驳回，内容编辑员可在修改后重新提交。</w:t>
      </w:r>
    </w:p>
    <w:p w14:paraId="2B3B0E2E">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2.1.4.3.3.4.文章发布</w:t>
      </w:r>
    </w:p>
    <w:p w14:paraId="339DFD60">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对草稿状态的文章，可通过发布功能发布至指定的应用栏目下。</w:t>
      </w:r>
    </w:p>
    <w:p w14:paraId="78C90A35">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2.1.4.3.3.5.文章草稿</w:t>
      </w:r>
    </w:p>
    <w:p w14:paraId="6DCC3BD2">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支持对未编辑完成或不满足发布条件的文章进行暂存的功能。</w:t>
      </w:r>
    </w:p>
    <w:p w14:paraId="508051B1">
      <w:pPr>
        <w:pStyle w:val="6"/>
        <w:keepNext w:val="0"/>
        <w:keepLines w:val="0"/>
        <w:pageBreakBefore w:val="0"/>
        <w:kinsoku/>
        <w:wordWrap/>
        <w:overflowPunct/>
        <w:topLinePunct w:val="0"/>
        <w:autoSpaceDE/>
        <w:autoSpaceDN/>
        <w:bidi w:val="0"/>
        <w:adjustRightInd/>
        <w:snapToGrid/>
        <w:spacing w:line="500" w:lineRule="exact"/>
        <w:ind w:left="855"/>
        <w:jc w:val="both"/>
        <w:textAlignment w:val="auto"/>
        <w:rPr>
          <w:rFonts w:hint="eastAsia" w:ascii="宋体" w:hAnsi="宋体" w:eastAsia="宋体" w:cs="宋体"/>
          <w:sz w:val="24"/>
          <w:szCs w:val="24"/>
        </w:rPr>
      </w:pPr>
      <w:r>
        <w:rPr>
          <w:rFonts w:hint="eastAsia" w:ascii="宋体" w:hAnsi="宋体" w:eastAsia="宋体" w:cs="宋体"/>
          <w:b/>
          <w:sz w:val="24"/>
          <w:szCs w:val="24"/>
        </w:rPr>
        <w:t>2.1.4.3.4.标签管理</w:t>
      </w:r>
    </w:p>
    <w:p w14:paraId="463E53CC">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标签管理用于满足用户内容的一种标记方式，通过设置标签，可以方便用户对内容的管理，也可扩展内容向特定人群的推送或用户的模糊搜索。用户或者编辑人员可以为某条内容记录设置一个或多个标签。</w:t>
      </w:r>
    </w:p>
    <w:p w14:paraId="5E2DAF75">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2.1.4.3.4.1.新增标签</w:t>
      </w:r>
    </w:p>
    <w:p w14:paraId="29D3902D">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满足用户对内容的标记，通过设置标签，可以方便用户对内容的管理，也可扩展内容向特定人群的推送或用户的模糊搜索。</w:t>
      </w:r>
    </w:p>
    <w:p w14:paraId="5393C4C1">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2.1.4.3.4.2.删除标签</w:t>
      </w:r>
    </w:p>
    <w:p w14:paraId="2E182B64">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对不再适用的标签，可通过本功能进行删除。</w:t>
      </w:r>
    </w:p>
    <w:p w14:paraId="56B20386">
      <w:pPr>
        <w:pStyle w:val="6"/>
        <w:keepNext w:val="0"/>
        <w:keepLines w:val="0"/>
        <w:pageBreakBefore w:val="0"/>
        <w:kinsoku/>
        <w:wordWrap/>
        <w:overflowPunct/>
        <w:topLinePunct w:val="0"/>
        <w:autoSpaceDE/>
        <w:autoSpaceDN/>
        <w:bidi w:val="0"/>
        <w:adjustRightInd/>
        <w:snapToGrid/>
        <w:spacing w:line="500" w:lineRule="exact"/>
        <w:ind w:left="855"/>
        <w:jc w:val="both"/>
        <w:textAlignment w:val="auto"/>
        <w:rPr>
          <w:rFonts w:hint="eastAsia" w:ascii="宋体" w:hAnsi="宋体" w:eastAsia="宋体" w:cs="宋体"/>
          <w:sz w:val="24"/>
          <w:szCs w:val="24"/>
        </w:rPr>
      </w:pPr>
      <w:r>
        <w:rPr>
          <w:rFonts w:hint="eastAsia" w:ascii="宋体" w:hAnsi="宋体" w:eastAsia="宋体" w:cs="宋体"/>
          <w:b/>
          <w:sz w:val="24"/>
          <w:szCs w:val="24"/>
        </w:rPr>
        <w:t>2.1.4.4.API网关(评审项74)</w:t>
      </w:r>
    </w:p>
    <w:p w14:paraId="49320F69">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API网关是支撑平台微服务架构稳定运行的关键组件，保障系统在高并发场景下的高可用性、安全性及可控的服务访问能力。作为平台内部服务的统一对外入口，它承担服务聚合、协议转换、安全控制等多重职能，实现平台内部与外部系统之间的高效连接与有效隔离。</w:t>
      </w:r>
    </w:p>
    <w:p w14:paraId="5129A85F">
      <w:pPr>
        <w:pStyle w:val="6"/>
        <w:keepNext w:val="0"/>
        <w:keepLines w:val="0"/>
        <w:pageBreakBefore w:val="0"/>
        <w:kinsoku/>
        <w:wordWrap/>
        <w:overflowPunct/>
        <w:topLinePunct w:val="0"/>
        <w:autoSpaceDE/>
        <w:autoSpaceDN/>
        <w:bidi w:val="0"/>
        <w:adjustRightInd/>
        <w:snapToGrid/>
        <w:spacing w:line="500" w:lineRule="exact"/>
        <w:ind w:left="855"/>
        <w:jc w:val="both"/>
        <w:textAlignment w:val="auto"/>
        <w:rPr>
          <w:rFonts w:hint="eastAsia" w:ascii="宋体" w:hAnsi="宋体" w:eastAsia="宋体" w:cs="宋体"/>
          <w:sz w:val="24"/>
          <w:szCs w:val="24"/>
        </w:rPr>
      </w:pPr>
      <w:r>
        <w:rPr>
          <w:rFonts w:hint="eastAsia" w:ascii="宋体" w:hAnsi="宋体" w:eastAsia="宋体" w:cs="宋体"/>
          <w:b/>
          <w:sz w:val="24"/>
          <w:szCs w:val="24"/>
        </w:rPr>
        <w:t>2.1.4.4.1.API网关管理</w:t>
      </w:r>
    </w:p>
    <w:p w14:paraId="22C78E3E">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API网关将部署高性能网关组件，支持请求路由、负载均衡、流量控制、API监控与日志采集、版本管理等核心功能。</w:t>
      </w:r>
    </w:p>
    <w:p w14:paraId="38C937B6">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2.1.4.4.1.1.请求路由</w:t>
      </w:r>
    </w:p>
    <w:p w14:paraId="4CAE997C">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基于预设的业务规则，对外部传入的所有API请求进行精准解析与路由分发，将请求转发至对应的微服务节点。支持动态路由配置，管理员可通过控制台实时新增、修改或禁用路由规则，无需重启网关服务；同时具备路由容错机制，当目标服务节点不可用时，自动切换至备用路由或返回友好提示，确保请求处理的连续性；支持路由优先级设置，可根据业务重要性定义路由匹配顺序，保障关键业务的响应效率。</w:t>
      </w:r>
    </w:p>
    <w:p w14:paraId="047A21ED">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2.1.4.4.1.2.负载均衡</w:t>
      </w:r>
    </w:p>
    <w:p w14:paraId="6DDC23D4">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内置多种成熟的负载均衡算法，用户可根据业务场景灵活选择或自定义算法。通过实时感知后端微服务节点的健康状态，动态调整请求分发策略，将请求均匀分配至可用节点，避免单一节点过载，提升系统整体并发处理能力与资源利用率；支持会话保持功能，对于需要连续交互的业务，可通过Cookie 或请求头信息绑定用户会话至固定服务节点，保障业务流程的连贯性。</w:t>
      </w:r>
    </w:p>
    <w:p w14:paraId="43FB0A0C">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2.1.4.4.1.3.流量控制</w:t>
      </w:r>
    </w:p>
    <w:p w14:paraId="0AADF89D">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提供精细化的流量管控机制，通过设置限流、熔断、降级等策略，有效防范流量峰值对后端服务的冲击，避免服务雪崩。</w:t>
      </w:r>
    </w:p>
    <w:p w14:paraId="7381348E">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限流功能支持多种粒度配置，可根据业务需求灵活调整阈值。熔断功能基于服务调用成功率、响应时间等指标自动触发，当后端服务出现异常时，网关将暂时中断对该服务的请求转发，避免故障扩散，同时支持熔断状态自动恢复机制。降级功能可在系统负载过高或部分服务异常时，触发预设的降级逻辑，保障核心功能正常可用。</w:t>
      </w:r>
    </w:p>
    <w:p w14:paraId="566CBB83">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2.1.4.4.1.4.API监控</w:t>
      </w:r>
    </w:p>
    <w:p w14:paraId="2DE5EC45">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全面采集API请求全链路数据，包括请求量、错误码分布、响应时间、请求参数、返回结果、服务节点调用分布等关键指标。支持实时监控面板可视化展示，管理员可直观查看API运行状态。提供多维度统计分析功能，帮助识别性能瓶颈与异常趋势；支持自定义报警规则，通过短信、邮件等多种渠道实时推送报警信息，确保运维人员及时响应与处理。</w:t>
      </w:r>
    </w:p>
    <w:p w14:paraId="671ED0F3">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2.1.4.4.1.5.版本管理</w:t>
      </w:r>
    </w:p>
    <w:p w14:paraId="4DB56A88">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支持多版本API的并行部署与共存，管理员可通过网关配置为不同版本 API 分配独立的访问路径或通过请求头指定版本，实现新旧版本的平滑过渡。支持灰度发布功能，实时监控新版本的运行状态，若出现异常可快速回滚至旧版本。支持版本生命周期管理，同时记录版本变更日志，便于追溯与审计，保障系统升级过程的稳定性与安全性。</w:t>
      </w:r>
    </w:p>
    <w:p w14:paraId="552CC8BC">
      <w:pPr>
        <w:pStyle w:val="6"/>
        <w:keepNext w:val="0"/>
        <w:keepLines w:val="0"/>
        <w:pageBreakBefore w:val="0"/>
        <w:kinsoku/>
        <w:wordWrap/>
        <w:overflowPunct/>
        <w:topLinePunct w:val="0"/>
        <w:autoSpaceDE/>
        <w:autoSpaceDN/>
        <w:bidi w:val="0"/>
        <w:adjustRightInd/>
        <w:snapToGrid/>
        <w:spacing w:line="500" w:lineRule="exact"/>
        <w:ind w:left="855"/>
        <w:jc w:val="both"/>
        <w:textAlignment w:val="auto"/>
        <w:rPr>
          <w:rFonts w:hint="eastAsia" w:ascii="宋体" w:hAnsi="宋体" w:eastAsia="宋体" w:cs="宋体"/>
          <w:sz w:val="24"/>
          <w:szCs w:val="24"/>
        </w:rPr>
      </w:pPr>
      <w:r>
        <w:rPr>
          <w:rFonts w:hint="eastAsia" w:ascii="宋体" w:hAnsi="宋体" w:eastAsia="宋体" w:cs="宋体"/>
          <w:b/>
          <w:sz w:val="24"/>
          <w:szCs w:val="24"/>
        </w:rPr>
        <w:t>2.1.4.4.2.微服务架构支撑</w:t>
      </w:r>
    </w:p>
    <w:p w14:paraId="57A7D8E9">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为适配微服务架构的动态性与分布式特性，配套建设完善的微服务治理能力，覆盖服务注册与发现、配置管理、服务监控、链路追踪、熔断降级等核心机制，实现微服务的自动化部署、动态扩展、故障自愈与智能运维，提升系统的弹性与可靠性。</w:t>
      </w:r>
    </w:p>
    <w:p w14:paraId="73CEAEA5">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2.1.4.4.2.1.服务注册与发现</w:t>
      </w:r>
    </w:p>
    <w:p w14:paraId="6DFEA3C4">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基于分布式注册中心实现微服务节点的自动注册、发现与动态更新。微服务启动时，自动向注册中心上报服务名称、IP地址、端口号、健康状态等信息。网关通过订阅注册中心的服务列表，实时感知服务节点的上下线状态与负载情况，无需手动配置服务地址，实现请求的动态路由与负载均衡。支持服务分组与命名空间隔离，可按业务模块或环境对服务进行分组管理，避免不同场景下的服务干扰。具备服务健康检查机制，注册中心通过定时发送心跳请求或检测服务接口状态，识别不可用的服务节点并自动剔除，确保网关仅将请求转发至健康节点。</w:t>
      </w:r>
    </w:p>
    <w:p w14:paraId="2CE915A1">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2.1.4.4.2.2.配置管理</w:t>
      </w:r>
    </w:p>
    <w:p w14:paraId="00EDE435">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采用集中化配置管理方案，将所有微服务的配置信息统一存储于配置中心，实现配置的集中管理与版本控制。支持配置热更新，管理员可通过配置中心实时修改配置参数，无需重启微服务或网关，配置变更将自动同步至相关服务节点，提升系统运维效率。支持环境隔离，为开发、测试、预生产、生产等不同环境提供独立的配置空间，避免配置混淆。支持配置权限管控与变更审计，确保配置变更的可追溯性与安全性；支持配置加密存储，对敏感配置进行加密处理，防止信息泄露。</w:t>
      </w:r>
    </w:p>
    <w:p w14:paraId="17EE9DDB">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2.1.4.4.2.3.服务监控</w:t>
      </w:r>
    </w:p>
    <w:p w14:paraId="462BEE6B">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构建全链路服务监控体系，对微服务的调用情况、健康状态、资源占用等进行实时监控与可视化展示。监控维度包括服务调用链路、服务节点健康状态、业务指标等，支持自定义监控仪表盘，管理员可根据业务需求配置关键指标的展示视图。支持异常监控与报警，当服务出现健康状态异常或业务指标异常时，自动触发报警通知，便于运维人员及时排查问题。</w:t>
      </w:r>
    </w:p>
    <w:p w14:paraId="793113E8">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2.1.4.4.2.4.链路追踪</w:t>
      </w:r>
    </w:p>
    <w:p w14:paraId="3696EF2A">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记录每一次API 请求在微服务架构中的完整调用链路。通过在请求头中注入全局唯一的追踪 ID，串联起请求经过的所有服务节点，并采集每个节点的调用时间、请求参数、返回结果、异常信息等关键数据。支持链路数据的可视化查询与分析，管理员可通过追踪 ID 快速定位请求的流转路径，识别耗时较长的环节与性能瓶颈。</w:t>
      </w:r>
    </w:p>
    <w:p w14:paraId="2EA5D86A">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2.1.4.4.2.5.熔断降级</w:t>
      </w:r>
    </w:p>
    <w:p w14:paraId="625F29BC">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熔断降级机制通过监控微服务的调用状态，当指标超过预设阈值时，自动触发熔断，暂时停止对该服务的调用，避免故障扩散至整个系统。支持熔断状态的动态切换，并可配置熔断时长与恢复策略，确保服务故障修复后能够平滑恢复正常调用。降级功能支持多种降级策略，可根据业务优先级灵活配置，确保核心业务在系统负载过高或部分服务异常时仍能正常运行，非核心业务可暂时降级以释放系统资源。</w:t>
      </w:r>
    </w:p>
    <w:p w14:paraId="52DACC0A">
      <w:pPr>
        <w:pStyle w:val="6"/>
        <w:keepNext w:val="0"/>
        <w:keepLines w:val="0"/>
        <w:pageBreakBefore w:val="0"/>
        <w:kinsoku/>
        <w:wordWrap/>
        <w:overflowPunct/>
        <w:topLinePunct w:val="0"/>
        <w:autoSpaceDE/>
        <w:autoSpaceDN/>
        <w:bidi w:val="0"/>
        <w:adjustRightInd/>
        <w:snapToGrid/>
        <w:spacing w:line="500" w:lineRule="exact"/>
        <w:ind w:left="855"/>
        <w:jc w:val="both"/>
        <w:textAlignment w:val="auto"/>
        <w:rPr>
          <w:rFonts w:hint="eastAsia" w:ascii="宋体" w:hAnsi="宋体" w:eastAsia="宋体" w:cs="宋体"/>
          <w:sz w:val="24"/>
          <w:szCs w:val="24"/>
        </w:rPr>
      </w:pPr>
      <w:r>
        <w:rPr>
          <w:rFonts w:hint="eastAsia" w:ascii="宋体" w:hAnsi="宋体" w:eastAsia="宋体" w:cs="宋体"/>
          <w:b/>
          <w:sz w:val="24"/>
          <w:szCs w:val="24"/>
        </w:rPr>
        <w:t>2.1.4.4.3.安全与可用性保障措施</w:t>
      </w:r>
    </w:p>
    <w:p w14:paraId="5AD5E598">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为防范安全风险，API网关系统将集成身份鉴权、访问控制、IP黑白名单、防重放攻击等机制，同时部署多实例冗余架构，确保系统具备高可用性与容灾能力。</w:t>
      </w:r>
    </w:p>
    <w:p w14:paraId="3A6198A5">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通过该模块建设，将实现平台各项服务的统一入口控制、动态治理与智能运维，为整体业务系统提供可扩展、可管控、可视化的服务支撑环境。</w:t>
      </w:r>
    </w:p>
    <w:p w14:paraId="197FB31E">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2.1.4.4.3.1.身份鉴权</w:t>
      </w:r>
    </w:p>
    <w:p w14:paraId="31831F56">
      <w:pPr>
        <w:pStyle w:val="6"/>
        <w:keepNext w:val="0"/>
        <w:keepLines w:val="0"/>
        <w:pageBreakBefore w:val="0"/>
        <w:kinsoku/>
        <w:wordWrap/>
        <w:overflowPunct/>
        <w:topLinePunct w:val="0"/>
        <w:autoSpaceDE/>
        <w:autoSpaceDN/>
        <w:bidi w:val="0"/>
        <w:adjustRightInd/>
        <w:snapToGrid/>
        <w:spacing w:line="500" w:lineRule="exact"/>
        <w:ind w:firstLine="480"/>
        <w:jc w:val="left"/>
        <w:textAlignment w:val="auto"/>
        <w:rPr>
          <w:rFonts w:hint="eastAsia" w:ascii="宋体" w:hAnsi="宋体" w:eastAsia="宋体" w:cs="宋体"/>
          <w:sz w:val="24"/>
          <w:szCs w:val="24"/>
        </w:rPr>
      </w:pPr>
      <w:r>
        <w:rPr>
          <w:rFonts w:hint="eastAsia" w:ascii="宋体" w:hAnsi="宋体" w:eastAsia="宋体" w:cs="宋体"/>
          <w:sz w:val="24"/>
          <w:szCs w:val="24"/>
        </w:rPr>
        <w:t>集成主流的身份认证协议与机制，实现对API 请求发起者的身份合法性验证。支持多种认证模式灵活切换，可根据业务场景选择适配的认证方式。</w:t>
      </w:r>
    </w:p>
    <w:p w14:paraId="56294FA7">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2.1.4.4.3.2.访问控制</w:t>
      </w:r>
    </w:p>
    <w:p w14:paraId="04C4909E">
      <w:pPr>
        <w:pStyle w:val="6"/>
        <w:keepNext w:val="0"/>
        <w:keepLines w:val="0"/>
        <w:pageBreakBefore w:val="0"/>
        <w:kinsoku/>
        <w:wordWrap/>
        <w:overflowPunct/>
        <w:topLinePunct w:val="0"/>
        <w:autoSpaceDE/>
        <w:autoSpaceDN/>
        <w:bidi w:val="0"/>
        <w:adjustRightInd/>
        <w:snapToGrid/>
        <w:spacing w:line="500" w:lineRule="exact"/>
        <w:ind w:firstLine="480"/>
        <w:jc w:val="left"/>
        <w:textAlignment w:val="auto"/>
        <w:rPr>
          <w:rFonts w:hint="eastAsia" w:ascii="宋体" w:hAnsi="宋体" w:eastAsia="宋体" w:cs="宋体"/>
          <w:sz w:val="24"/>
          <w:szCs w:val="24"/>
        </w:rPr>
      </w:pPr>
      <w:r>
        <w:rPr>
          <w:rFonts w:hint="eastAsia" w:ascii="宋体" w:hAnsi="宋体" w:eastAsia="宋体" w:cs="宋体"/>
          <w:sz w:val="24"/>
          <w:szCs w:val="24"/>
        </w:rPr>
        <w:t>基于最小权限原则，实现精细化的访问权限管控。支持按用户角色、用户组、API 接口、请求方式等多维度配置访问权限规则，明确指定哪些主体有权访问哪些 API 接口，以及允许的操作类型；支持权限动态调整，管理员可通过控制台实时新增、修改或删除权限规则，无需重启系统。</w:t>
      </w:r>
    </w:p>
    <w:p w14:paraId="64251DB7">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2.1.4.4.3.3.IP黑白名单</w:t>
      </w:r>
    </w:p>
    <w:p w14:paraId="5A387E76">
      <w:pPr>
        <w:pStyle w:val="6"/>
        <w:keepNext w:val="0"/>
        <w:keepLines w:val="0"/>
        <w:pageBreakBefore w:val="0"/>
        <w:kinsoku/>
        <w:wordWrap/>
        <w:overflowPunct/>
        <w:topLinePunct w:val="0"/>
        <w:autoSpaceDE/>
        <w:autoSpaceDN/>
        <w:bidi w:val="0"/>
        <w:adjustRightInd/>
        <w:snapToGrid/>
        <w:spacing w:line="500" w:lineRule="exact"/>
        <w:ind w:firstLine="480"/>
        <w:jc w:val="left"/>
        <w:textAlignment w:val="auto"/>
        <w:rPr>
          <w:rFonts w:hint="eastAsia" w:ascii="宋体" w:hAnsi="宋体" w:eastAsia="宋体" w:cs="宋体"/>
          <w:sz w:val="24"/>
          <w:szCs w:val="24"/>
        </w:rPr>
      </w:pPr>
      <w:r>
        <w:rPr>
          <w:rFonts w:hint="eastAsia" w:ascii="宋体" w:hAnsi="宋体" w:eastAsia="宋体" w:cs="宋体"/>
          <w:sz w:val="24"/>
          <w:szCs w:val="24"/>
        </w:rPr>
        <w:t>提供基于IP地址的访问控制机制，通过配置 IP 黑白名单实现对请求来源的过滤。黑名单机制用于禁止特定 IP 地址的访问，一旦请求来源IP命中黑名单，网关将直接拒绝处理该请求并返回错误提示。白名单机制用于允许特定IP地址的访问，对于配置了白名单的 API 接口，仅允许白名单中的IP发起请求，其他IP地址的请求将被拦截。</w:t>
      </w:r>
    </w:p>
    <w:p w14:paraId="7C7BC99B">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2.1.4.4.3.4.防重放攻击</w:t>
      </w:r>
    </w:p>
    <w:p w14:paraId="156088EB">
      <w:pPr>
        <w:pStyle w:val="6"/>
        <w:keepNext w:val="0"/>
        <w:keepLines w:val="0"/>
        <w:pageBreakBefore w:val="0"/>
        <w:kinsoku/>
        <w:wordWrap/>
        <w:overflowPunct/>
        <w:topLinePunct w:val="0"/>
        <w:autoSpaceDE/>
        <w:autoSpaceDN/>
        <w:bidi w:val="0"/>
        <w:adjustRightInd/>
        <w:snapToGrid/>
        <w:spacing w:line="500" w:lineRule="exact"/>
        <w:ind w:firstLine="480"/>
        <w:jc w:val="left"/>
        <w:textAlignment w:val="auto"/>
        <w:rPr>
          <w:rFonts w:hint="eastAsia" w:ascii="宋体" w:hAnsi="宋体" w:eastAsia="宋体" w:cs="宋体"/>
          <w:sz w:val="24"/>
          <w:szCs w:val="24"/>
        </w:rPr>
      </w:pPr>
      <w:r>
        <w:rPr>
          <w:rFonts w:hint="eastAsia" w:ascii="宋体" w:hAnsi="宋体" w:eastAsia="宋体" w:cs="宋体"/>
          <w:sz w:val="24"/>
          <w:szCs w:val="24"/>
        </w:rPr>
        <w:t>为防范攻击者通过截取、复制合法请求并重复发送，导致业务数据异常或系统资源浪费，集成防重放攻击机制。核心实现方式包括：请求时间戳校验、请求签名验证等。</w:t>
      </w:r>
    </w:p>
    <w:p w14:paraId="38A6F89A">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2.1.5.院内业务系统扩展</w:t>
      </w:r>
    </w:p>
    <w:p w14:paraId="153BD8F5">
      <w:pPr>
        <w:pStyle w:val="6"/>
        <w:keepNext w:val="0"/>
        <w:keepLines w:val="0"/>
        <w:pageBreakBefore w:val="0"/>
        <w:kinsoku/>
        <w:wordWrap/>
        <w:overflowPunct/>
        <w:topLinePunct w:val="0"/>
        <w:autoSpaceDE/>
        <w:autoSpaceDN/>
        <w:bidi w:val="0"/>
        <w:adjustRightInd/>
        <w:snapToGrid/>
        <w:spacing w:line="500" w:lineRule="exact"/>
        <w:ind w:left="855"/>
        <w:jc w:val="both"/>
        <w:textAlignment w:val="auto"/>
        <w:rPr>
          <w:rFonts w:hint="eastAsia" w:ascii="宋体" w:hAnsi="宋体" w:eastAsia="宋体" w:cs="宋体"/>
          <w:sz w:val="24"/>
          <w:szCs w:val="24"/>
        </w:rPr>
      </w:pPr>
      <w:r>
        <w:rPr>
          <w:rFonts w:hint="eastAsia" w:ascii="宋体" w:hAnsi="宋体" w:eastAsia="宋体" w:cs="宋体"/>
          <w:b/>
          <w:sz w:val="24"/>
          <w:szCs w:val="24"/>
        </w:rPr>
        <w:t>2.1.5.1.AI病历生成与质控系统(评审项75)</w:t>
      </w:r>
    </w:p>
    <w:p w14:paraId="1E4CA07A">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依托自然语言处理与深度学习技术，能够基于患者的基本信息、主诉、现病史、既往史、体格检查、辅助检查等多维度医疗数据，自动生成结构化、规范化的电子病历文书，有效减少医务人员的文书书写负担，提升病历完成效率。同时，系统内置严格的质控规则库，涵盖病历书写规范、医学术语准确性、逻辑完整性、关键信息完整性等多个维度，在病历生成过程中及完成后进行实时质控检查，依托国内领先的医疗知识体系，覆盖电子病历、诊断方案、治疗方案、文献专著等医学数据，具备自动化、图谱化表达的复杂知识体系，并能实现旧知识更新和新知识补充，为质控提供知识解析、推理计算能力。</w:t>
      </w:r>
    </w:p>
    <w:p w14:paraId="0A0F5514">
      <w:pPr>
        <w:pStyle w:val="6"/>
        <w:keepNext w:val="0"/>
        <w:keepLines w:val="0"/>
        <w:pageBreakBefore w:val="0"/>
        <w:kinsoku/>
        <w:wordWrap/>
        <w:overflowPunct/>
        <w:topLinePunct w:val="0"/>
        <w:autoSpaceDE/>
        <w:autoSpaceDN/>
        <w:bidi w:val="0"/>
        <w:adjustRightInd/>
        <w:snapToGrid/>
        <w:spacing w:line="500" w:lineRule="exact"/>
        <w:ind w:firstLine="482"/>
        <w:jc w:val="both"/>
        <w:textAlignment w:val="auto"/>
        <w:rPr>
          <w:rFonts w:hint="eastAsia" w:ascii="宋体" w:hAnsi="宋体" w:eastAsia="宋体" w:cs="宋体"/>
          <w:sz w:val="24"/>
          <w:szCs w:val="24"/>
        </w:rPr>
      </w:pPr>
      <w:r>
        <w:rPr>
          <w:rFonts w:hint="eastAsia" w:ascii="宋体" w:hAnsi="宋体" w:eastAsia="宋体" w:cs="宋体"/>
          <w:b/>
          <w:sz w:val="24"/>
          <w:szCs w:val="24"/>
        </w:rPr>
        <w:t>★投标人须保证AI病历生成与质控系统实现与医院已建的集成平台、医院信息系统（HIS）、电子病历系统等实现融合，均能满足福州市第二总医院（含成员医院）使用，且不影响采购人现有已建设内容的运行，保证投标产品在采购人目前在用系统上得到扩充，与在用系统数据库整合共享，涉及相关的系统改造、程序对接，以及可能产生的接口改造等费用，均包含在本项目总报价中，实现方式由中标人与原系统供应商协商解决,所产生费用双方自行协商，采购人不再承担任何费用。投标人须对此作出专项承诺。（需提供专项承诺函，承诺函格式自拟，未承诺的视为无效投标）</w:t>
      </w:r>
    </w:p>
    <w:p w14:paraId="50CE433E">
      <w:pPr>
        <w:pStyle w:val="6"/>
        <w:keepNext w:val="0"/>
        <w:keepLines w:val="0"/>
        <w:pageBreakBefore w:val="0"/>
        <w:kinsoku/>
        <w:wordWrap/>
        <w:overflowPunct/>
        <w:topLinePunct w:val="0"/>
        <w:autoSpaceDE/>
        <w:autoSpaceDN/>
        <w:bidi w:val="0"/>
        <w:adjustRightInd/>
        <w:snapToGrid/>
        <w:spacing w:line="500" w:lineRule="exact"/>
        <w:ind w:left="855"/>
        <w:jc w:val="both"/>
        <w:textAlignment w:val="auto"/>
        <w:rPr>
          <w:rFonts w:hint="eastAsia" w:ascii="宋体" w:hAnsi="宋体" w:eastAsia="宋体" w:cs="宋体"/>
          <w:sz w:val="24"/>
          <w:szCs w:val="24"/>
        </w:rPr>
      </w:pPr>
      <w:r>
        <w:rPr>
          <w:rFonts w:hint="eastAsia" w:ascii="宋体" w:hAnsi="宋体" w:eastAsia="宋体" w:cs="宋体"/>
          <w:b/>
          <w:sz w:val="24"/>
          <w:szCs w:val="24"/>
        </w:rPr>
        <w:t>2.1.5.1.1.AI应用底座(评审项76)</w:t>
      </w:r>
    </w:p>
    <w:p w14:paraId="26CDD6BC">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2.1.5.1.1.1.应用管理</w:t>
      </w:r>
    </w:p>
    <w:p w14:paraId="1A40AF8E">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2.1.5.1.1.1.1.场景管理</w:t>
      </w:r>
    </w:p>
    <w:p w14:paraId="3E66282A">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根据面向的使用对象以及当下的业务活动不同，将AI所提供的服务与业务活动深度融合，以场景进行划分的工作站。场景管理模块可实现与不同业务系统或应用环境的差异化服务配置绑定，业务系统根据场景提供对应服务，实现场景下准确关联出合适的服务应用，降低对AI服务管理的复杂度。</w:t>
      </w:r>
    </w:p>
    <w:p w14:paraId="0033738B">
      <w:pPr>
        <w:pStyle w:val="6"/>
        <w:keepNext w:val="0"/>
        <w:keepLines w:val="0"/>
        <w:pageBreakBefore w:val="0"/>
        <w:kinsoku/>
        <w:wordWrap/>
        <w:overflowPunct/>
        <w:topLinePunct w:val="0"/>
        <w:autoSpaceDE/>
        <w:autoSpaceDN/>
        <w:bidi w:val="0"/>
        <w:adjustRightInd/>
        <w:snapToGrid/>
        <w:spacing w:line="500" w:lineRule="exact"/>
        <w:ind w:left="1440"/>
        <w:jc w:val="both"/>
        <w:textAlignment w:val="auto"/>
        <w:rPr>
          <w:rFonts w:hint="eastAsia" w:ascii="宋体" w:hAnsi="宋体" w:eastAsia="宋体" w:cs="宋体"/>
          <w:sz w:val="24"/>
          <w:szCs w:val="24"/>
        </w:rPr>
      </w:pPr>
      <w:r>
        <w:rPr>
          <w:rFonts w:hint="eastAsia" w:ascii="宋体" w:hAnsi="宋体" w:eastAsia="宋体" w:cs="宋体"/>
          <w:b/>
          <w:sz w:val="24"/>
          <w:szCs w:val="24"/>
        </w:rPr>
        <w:t>2.1.5.1.1.1.1.1.场景全生命周期管理</w:t>
      </w:r>
    </w:p>
    <w:p w14:paraId="187851B0">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构建完整的场景管理体系，支持从场景创建、配置、更新到归档的全流程管理。通过标准化的场景信息架构，每个场景均包含场景ID、场景编码、场景标题、场景描述、面向对象等核心属性，确保场景信息的规范性和可管理性。支持场景的启用停用控制，并通过排序字段实现场景展示顺序的灵活配置，满足不同医疗机构的业务特点和使用习惯。</w:t>
      </w:r>
    </w:p>
    <w:p w14:paraId="3A7D220A">
      <w:pPr>
        <w:pStyle w:val="6"/>
        <w:keepNext w:val="0"/>
        <w:keepLines w:val="0"/>
        <w:pageBreakBefore w:val="0"/>
        <w:kinsoku/>
        <w:wordWrap/>
        <w:overflowPunct/>
        <w:topLinePunct w:val="0"/>
        <w:autoSpaceDE/>
        <w:autoSpaceDN/>
        <w:bidi w:val="0"/>
        <w:adjustRightInd/>
        <w:snapToGrid/>
        <w:spacing w:line="500" w:lineRule="exact"/>
        <w:ind w:left="1440"/>
        <w:jc w:val="both"/>
        <w:textAlignment w:val="auto"/>
        <w:rPr>
          <w:rFonts w:hint="eastAsia" w:ascii="宋体" w:hAnsi="宋体" w:eastAsia="宋体" w:cs="宋体"/>
          <w:sz w:val="24"/>
          <w:szCs w:val="24"/>
        </w:rPr>
      </w:pPr>
      <w:r>
        <w:rPr>
          <w:rFonts w:hint="eastAsia" w:ascii="宋体" w:hAnsi="宋体" w:eastAsia="宋体" w:cs="宋体"/>
          <w:b/>
          <w:sz w:val="24"/>
          <w:szCs w:val="24"/>
        </w:rPr>
        <w:t>2.1.5.1.1.1.1.2.智能化查询筛选</w:t>
      </w:r>
    </w:p>
    <w:p w14:paraId="7195D659">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提供多维度组合查询能力，支持按场景ID、场景编码、场景标题进行精确或模糊搜索，同时可通过面向对象字段按用户角色（医护、管理等）进行筛选。查询区域设计简洁明了，配备一键重置功能，提升用户操作效率。有效解决了场景数量增多后的快速定位问题，确保管理人员能够及时找到目标场景进行维护管理。</w:t>
      </w:r>
    </w:p>
    <w:p w14:paraId="0A311E2C">
      <w:pPr>
        <w:pStyle w:val="6"/>
        <w:keepNext w:val="0"/>
        <w:keepLines w:val="0"/>
        <w:pageBreakBefore w:val="0"/>
        <w:kinsoku/>
        <w:wordWrap/>
        <w:overflowPunct/>
        <w:topLinePunct w:val="0"/>
        <w:autoSpaceDE/>
        <w:autoSpaceDN/>
        <w:bidi w:val="0"/>
        <w:adjustRightInd/>
        <w:snapToGrid/>
        <w:spacing w:line="500" w:lineRule="exact"/>
        <w:ind w:left="1440"/>
        <w:jc w:val="both"/>
        <w:textAlignment w:val="auto"/>
        <w:rPr>
          <w:rFonts w:hint="eastAsia" w:ascii="宋体" w:hAnsi="宋体" w:eastAsia="宋体" w:cs="宋体"/>
          <w:sz w:val="24"/>
          <w:szCs w:val="24"/>
        </w:rPr>
      </w:pPr>
      <w:r>
        <w:rPr>
          <w:rFonts w:hint="eastAsia" w:ascii="宋体" w:hAnsi="宋体" w:eastAsia="宋体" w:cs="宋体"/>
          <w:b/>
          <w:sz w:val="24"/>
          <w:szCs w:val="24"/>
        </w:rPr>
        <w:t>2.1.5.1.1.1.1.3.批量操作管理</w:t>
      </w:r>
    </w:p>
    <w:p w14:paraId="2A29BCCE">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平台提供完善的批量操作支持，包括场景的新建、删除、导出、导入等核心功能。新建功能支持快速创建符合规范的新场景；删除功能通过二次确认机制防止误操作；导出功能可将场景配置信息生成标准格式文件，便于备份和迁移；导入功能支持批量场景的快速部署，大幅提升实施效率。这些功能共同构成了场景配置的高效运维体系。</w:t>
      </w:r>
    </w:p>
    <w:p w14:paraId="6B623116">
      <w:pPr>
        <w:pStyle w:val="6"/>
        <w:keepNext w:val="0"/>
        <w:keepLines w:val="0"/>
        <w:pageBreakBefore w:val="0"/>
        <w:kinsoku/>
        <w:wordWrap/>
        <w:overflowPunct/>
        <w:topLinePunct w:val="0"/>
        <w:autoSpaceDE/>
        <w:autoSpaceDN/>
        <w:bidi w:val="0"/>
        <w:adjustRightInd/>
        <w:snapToGrid/>
        <w:spacing w:line="500" w:lineRule="exact"/>
        <w:ind w:left="1440"/>
        <w:jc w:val="both"/>
        <w:textAlignment w:val="auto"/>
        <w:rPr>
          <w:rFonts w:hint="eastAsia" w:ascii="宋体" w:hAnsi="宋体" w:eastAsia="宋体" w:cs="宋体"/>
          <w:sz w:val="24"/>
          <w:szCs w:val="24"/>
        </w:rPr>
      </w:pPr>
      <w:r>
        <w:rPr>
          <w:rFonts w:hint="eastAsia" w:ascii="宋体" w:hAnsi="宋体" w:eastAsia="宋体" w:cs="宋体"/>
          <w:b/>
          <w:sz w:val="24"/>
          <w:szCs w:val="24"/>
        </w:rPr>
        <w:t>2.1.5.1.1.1.1.4.场景权限管控</w:t>
      </w:r>
    </w:p>
    <w:p w14:paraId="1C2EEF8C">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通过面向对象字段的精确定义，实现场景级别的权限控制，确保不同角色的用户只能访问与其职责相关的业务场景。与平台统一的权限管理体系深度集成，支持更细粒度的权限划分，为医疗场景的安全使用提供保障。</w:t>
      </w:r>
    </w:p>
    <w:p w14:paraId="0D36DCE4">
      <w:pPr>
        <w:pStyle w:val="6"/>
        <w:keepNext w:val="0"/>
        <w:keepLines w:val="0"/>
        <w:pageBreakBefore w:val="0"/>
        <w:kinsoku/>
        <w:wordWrap/>
        <w:overflowPunct/>
        <w:topLinePunct w:val="0"/>
        <w:autoSpaceDE/>
        <w:autoSpaceDN/>
        <w:bidi w:val="0"/>
        <w:adjustRightInd/>
        <w:snapToGrid/>
        <w:spacing w:line="500" w:lineRule="exact"/>
        <w:ind w:left="1440"/>
        <w:jc w:val="both"/>
        <w:textAlignment w:val="auto"/>
        <w:rPr>
          <w:rFonts w:hint="eastAsia" w:ascii="宋体" w:hAnsi="宋体" w:eastAsia="宋体" w:cs="宋体"/>
          <w:sz w:val="24"/>
          <w:szCs w:val="24"/>
        </w:rPr>
      </w:pPr>
      <w:r>
        <w:rPr>
          <w:rFonts w:hint="eastAsia" w:ascii="宋体" w:hAnsi="宋体" w:eastAsia="宋体" w:cs="宋体"/>
          <w:b/>
          <w:sz w:val="24"/>
          <w:szCs w:val="24"/>
        </w:rPr>
        <w:t>2.1.5.1.1.1.1.5.场景信息维护</w:t>
      </w:r>
    </w:p>
    <w:p w14:paraId="05CD307A">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每个场景均配备独立的编辑操作入口，支持场景基本信息的灵活修改。完整记录每次修改的更新人和更新时间，实现变更轨迹的可追溯性。场景描述字段详细记录了每个场景的功能定位和技术特点，为场景的正确使用和后续优化提供参考依据。</w:t>
      </w:r>
    </w:p>
    <w:p w14:paraId="49DCF415">
      <w:pPr>
        <w:pStyle w:val="6"/>
        <w:keepNext w:val="0"/>
        <w:keepLines w:val="0"/>
        <w:pageBreakBefore w:val="0"/>
        <w:kinsoku/>
        <w:wordWrap/>
        <w:overflowPunct/>
        <w:topLinePunct w:val="0"/>
        <w:autoSpaceDE/>
        <w:autoSpaceDN/>
        <w:bidi w:val="0"/>
        <w:adjustRightInd/>
        <w:snapToGrid/>
        <w:spacing w:line="500" w:lineRule="exact"/>
        <w:ind w:left="1440"/>
        <w:jc w:val="both"/>
        <w:textAlignment w:val="auto"/>
        <w:rPr>
          <w:rFonts w:hint="eastAsia" w:ascii="宋体" w:hAnsi="宋体" w:eastAsia="宋体" w:cs="宋体"/>
          <w:sz w:val="24"/>
          <w:szCs w:val="24"/>
        </w:rPr>
      </w:pPr>
      <w:r>
        <w:rPr>
          <w:rFonts w:hint="eastAsia" w:ascii="宋体" w:hAnsi="宋体" w:eastAsia="宋体" w:cs="宋体"/>
          <w:b/>
          <w:sz w:val="24"/>
          <w:szCs w:val="24"/>
        </w:rPr>
        <w:t>2.1.5.1.1.1.1.6.场景分类体系</w:t>
      </w:r>
    </w:p>
    <w:p w14:paraId="58EB2915">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基于实际业务需求，模块建立科学的场景分类体系。涵盖住院病历辅助、门诊病历辅助、病历质控、护理辅助等多个业务领域，形成完整的医疗AI应用场景矩阵。每个场景均通过标准化的编码体系进行唯一标识，确保场景管理的规范性和扩展性。</w:t>
      </w:r>
    </w:p>
    <w:p w14:paraId="382FCA7B">
      <w:pPr>
        <w:pStyle w:val="6"/>
        <w:keepNext w:val="0"/>
        <w:keepLines w:val="0"/>
        <w:pageBreakBefore w:val="0"/>
        <w:kinsoku/>
        <w:wordWrap/>
        <w:overflowPunct/>
        <w:topLinePunct w:val="0"/>
        <w:autoSpaceDE/>
        <w:autoSpaceDN/>
        <w:bidi w:val="0"/>
        <w:adjustRightInd/>
        <w:snapToGrid/>
        <w:spacing w:line="500" w:lineRule="exact"/>
        <w:ind w:left="1440"/>
        <w:jc w:val="both"/>
        <w:textAlignment w:val="auto"/>
        <w:rPr>
          <w:rFonts w:hint="eastAsia" w:ascii="宋体" w:hAnsi="宋体" w:eastAsia="宋体" w:cs="宋体"/>
          <w:sz w:val="24"/>
          <w:szCs w:val="24"/>
        </w:rPr>
      </w:pPr>
      <w:r>
        <w:rPr>
          <w:rFonts w:hint="eastAsia" w:ascii="宋体" w:hAnsi="宋体" w:eastAsia="宋体" w:cs="宋体"/>
          <w:b/>
          <w:sz w:val="24"/>
          <w:szCs w:val="24"/>
        </w:rPr>
        <w:t>2.1.5.1.1.1.1.7.场景部署管理</w:t>
      </w:r>
    </w:p>
    <w:p w14:paraId="3129B723">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通过场景排序字段的灵活配置，管理人员可根据业务优先级和使用频率调整场景的展示顺序，优化用户体验。支持场景的快速启用和停用，满足不同时期、不同科室的差异化需求。同时，场景的更新维护不影响已上线的相关服务，确保业务连续性。</w:t>
      </w:r>
    </w:p>
    <w:p w14:paraId="6F860D4F">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2.1.5.1.1.1.2.页签管理</w:t>
      </w:r>
    </w:p>
    <w:p w14:paraId="076BF0F2">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通过标准化的页签配置体系，实现平台功能入口的统一管理和灵活调度，确保不同业务场景下的用户都能获得精准、高效的服务访问体验。</w:t>
      </w:r>
    </w:p>
    <w:p w14:paraId="648C4BD3">
      <w:pPr>
        <w:pStyle w:val="6"/>
        <w:keepNext w:val="0"/>
        <w:keepLines w:val="0"/>
        <w:pageBreakBefore w:val="0"/>
        <w:kinsoku/>
        <w:wordWrap/>
        <w:overflowPunct/>
        <w:topLinePunct w:val="0"/>
        <w:autoSpaceDE/>
        <w:autoSpaceDN/>
        <w:bidi w:val="0"/>
        <w:adjustRightInd/>
        <w:snapToGrid/>
        <w:spacing w:line="500" w:lineRule="exact"/>
        <w:ind w:left="1440"/>
        <w:jc w:val="both"/>
        <w:textAlignment w:val="auto"/>
        <w:rPr>
          <w:rFonts w:hint="eastAsia" w:ascii="宋体" w:hAnsi="宋体" w:eastAsia="宋体" w:cs="宋体"/>
          <w:sz w:val="24"/>
          <w:szCs w:val="24"/>
        </w:rPr>
      </w:pPr>
      <w:r>
        <w:rPr>
          <w:rFonts w:hint="eastAsia" w:ascii="宋体" w:hAnsi="宋体" w:eastAsia="宋体" w:cs="宋体"/>
          <w:b/>
          <w:sz w:val="24"/>
          <w:szCs w:val="24"/>
        </w:rPr>
        <w:t>2.1.5.1.1.1.2.1.页签全生命周期管理</w:t>
      </w:r>
    </w:p>
    <w:p w14:paraId="42847AE5">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建立完整的页签管理体系，每个页签包含页签ID、页签编码、页签名称等核心标识信息，确保页签的唯一性和可识别性。支持页签的启用与停用状态管理，通过状态控制实现页签的灵活调度。完整的操作日志记录每次更新的操作人员和具体时间，确保变更过程的可追溯性。</w:t>
      </w:r>
    </w:p>
    <w:p w14:paraId="48D328B8">
      <w:pPr>
        <w:pStyle w:val="6"/>
        <w:keepNext w:val="0"/>
        <w:keepLines w:val="0"/>
        <w:pageBreakBefore w:val="0"/>
        <w:kinsoku/>
        <w:wordWrap/>
        <w:overflowPunct/>
        <w:topLinePunct w:val="0"/>
        <w:autoSpaceDE/>
        <w:autoSpaceDN/>
        <w:bidi w:val="0"/>
        <w:adjustRightInd/>
        <w:snapToGrid/>
        <w:spacing w:line="500" w:lineRule="exact"/>
        <w:ind w:left="1440"/>
        <w:jc w:val="both"/>
        <w:textAlignment w:val="auto"/>
        <w:rPr>
          <w:rFonts w:hint="eastAsia" w:ascii="宋体" w:hAnsi="宋体" w:eastAsia="宋体" w:cs="宋体"/>
          <w:sz w:val="24"/>
          <w:szCs w:val="24"/>
        </w:rPr>
      </w:pPr>
      <w:r>
        <w:rPr>
          <w:rFonts w:hint="eastAsia" w:ascii="宋体" w:hAnsi="宋体" w:eastAsia="宋体" w:cs="宋体"/>
          <w:b/>
          <w:sz w:val="24"/>
          <w:szCs w:val="24"/>
        </w:rPr>
        <w:t>2.1.5.1.1.1.2.2.多维度查询筛选</w:t>
      </w:r>
    </w:p>
    <w:p w14:paraId="7B5E594A">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提供精准的查询筛选机制，支持按页签ID、页签编码、页签名称等多个维度进行检索。支持根据页签服务展示方式和启用状态进行组合查询，快速定位目标页签。查询区域设计简洁直观，配备一键重置功能，显著提升管理效率。</w:t>
      </w:r>
    </w:p>
    <w:p w14:paraId="57B9E7F1">
      <w:pPr>
        <w:pStyle w:val="6"/>
        <w:keepNext w:val="0"/>
        <w:keepLines w:val="0"/>
        <w:pageBreakBefore w:val="0"/>
        <w:kinsoku/>
        <w:wordWrap/>
        <w:overflowPunct/>
        <w:topLinePunct w:val="0"/>
        <w:autoSpaceDE/>
        <w:autoSpaceDN/>
        <w:bidi w:val="0"/>
        <w:adjustRightInd/>
        <w:snapToGrid/>
        <w:spacing w:line="500" w:lineRule="exact"/>
        <w:ind w:left="1440"/>
        <w:jc w:val="both"/>
        <w:textAlignment w:val="auto"/>
        <w:rPr>
          <w:rFonts w:hint="eastAsia" w:ascii="宋体" w:hAnsi="宋体" w:eastAsia="宋体" w:cs="宋体"/>
          <w:sz w:val="24"/>
          <w:szCs w:val="24"/>
        </w:rPr>
      </w:pPr>
      <w:r>
        <w:rPr>
          <w:rFonts w:hint="eastAsia" w:ascii="宋体" w:hAnsi="宋体" w:eastAsia="宋体" w:cs="宋体"/>
          <w:b/>
          <w:sz w:val="24"/>
          <w:szCs w:val="24"/>
        </w:rPr>
        <w:t>2.1.5.1.1.1.2.3.页签展示方式配置</w:t>
      </w:r>
    </w:p>
    <w:p w14:paraId="3C6C7DF8">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支持三种页签服务展示方式：子页签、分类展示和服务列表。子页签适用于层级式功能组织，能够构建清晰的导航结构；分类展示便于服务按业务类别进行归纳整合；服务列表则提供直接的功能入口，适合高频使用的核心服务。</w:t>
      </w:r>
    </w:p>
    <w:p w14:paraId="6DA7F1BA">
      <w:pPr>
        <w:pStyle w:val="6"/>
        <w:keepNext w:val="0"/>
        <w:keepLines w:val="0"/>
        <w:pageBreakBefore w:val="0"/>
        <w:kinsoku/>
        <w:wordWrap/>
        <w:overflowPunct/>
        <w:topLinePunct w:val="0"/>
        <w:autoSpaceDE/>
        <w:autoSpaceDN/>
        <w:bidi w:val="0"/>
        <w:adjustRightInd/>
        <w:snapToGrid/>
        <w:spacing w:line="500" w:lineRule="exact"/>
        <w:ind w:left="1440"/>
        <w:jc w:val="both"/>
        <w:textAlignment w:val="auto"/>
        <w:rPr>
          <w:rFonts w:hint="eastAsia" w:ascii="宋体" w:hAnsi="宋体" w:eastAsia="宋体" w:cs="宋体"/>
          <w:sz w:val="24"/>
          <w:szCs w:val="24"/>
        </w:rPr>
      </w:pPr>
      <w:r>
        <w:rPr>
          <w:rFonts w:hint="eastAsia" w:ascii="宋体" w:hAnsi="宋体" w:eastAsia="宋体" w:cs="宋体"/>
          <w:b/>
          <w:sz w:val="24"/>
          <w:szCs w:val="24"/>
        </w:rPr>
        <w:t>2.1.5.1.1.1.2.4.批量操作管理</w:t>
      </w:r>
    </w:p>
    <w:p w14:paraId="3E9A85D3">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提供完善的批量操作支持，包括页签的新建、删除、导出等核心功能。新建功能支持快速创建符合规范的页签配置，确保页签信息的标准化；删除功能通过二次确认机制防止误操作，保障系统数据安全；导出功能可将页签配置信息生成标准格式文件，便于系统备份和配置迁移。</w:t>
      </w:r>
    </w:p>
    <w:p w14:paraId="38DEA196">
      <w:pPr>
        <w:pStyle w:val="6"/>
        <w:keepNext w:val="0"/>
        <w:keepLines w:val="0"/>
        <w:pageBreakBefore w:val="0"/>
        <w:kinsoku/>
        <w:wordWrap/>
        <w:overflowPunct/>
        <w:topLinePunct w:val="0"/>
        <w:autoSpaceDE/>
        <w:autoSpaceDN/>
        <w:bidi w:val="0"/>
        <w:adjustRightInd/>
        <w:snapToGrid/>
        <w:spacing w:line="500" w:lineRule="exact"/>
        <w:ind w:left="1440"/>
        <w:jc w:val="both"/>
        <w:textAlignment w:val="auto"/>
        <w:rPr>
          <w:rFonts w:hint="eastAsia" w:ascii="宋体" w:hAnsi="宋体" w:eastAsia="宋体" w:cs="宋体"/>
          <w:sz w:val="24"/>
          <w:szCs w:val="24"/>
        </w:rPr>
      </w:pPr>
      <w:r>
        <w:rPr>
          <w:rFonts w:hint="eastAsia" w:ascii="宋体" w:hAnsi="宋体" w:eastAsia="宋体" w:cs="宋体"/>
          <w:b/>
          <w:sz w:val="24"/>
          <w:szCs w:val="24"/>
        </w:rPr>
        <w:t>2.1.5.1.1.1.2.5.服务关联管理</w:t>
      </w:r>
    </w:p>
    <w:p w14:paraId="23CF99C5">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每个页签均配备独立的"关联服务"操作入口，支持页签与服务之间的灵活绑定。管理人员可以将相关的AI服务智能体与对应页签建立关联，形成完整的业务功能矩阵。</w:t>
      </w:r>
    </w:p>
    <w:p w14:paraId="2B18FD53">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2.1.5.1.1.1.3.服务管理</w:t>
      </w:r>
    </w:p>
    <w:p w14:paraId="2E5DF1B5">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面向用户使用智能体或其他AI服务的统一入口，是将相同功能的智能体或其他与AI相关的功能进行聚合的媒介。如一个护理风险评估的智能体，可以根据数据差异、提示词差异泛化为卒中风险评估服务、VTE风险评估服务、跌倒风险评估服务等多个服务。在服务管理模块，可实现服务的分类管理、增删改查、关联智能体、配置提示词、授权数据等功能，以满足用户的差异化需求。</w:t>
      </w:r>
    </w:p>
    <w:p w14:paraId="1129D356">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提供完整的服务管理流程，涵盖服务创建、配置、测试、发布、监控和下线等各个环节。每个服务均包含服务ID、服务编码、服务名称等唯一标识信息，确保服务的精准识别与管理。通过服务属性配置，可定义服务的业务分类、适用对象、服务能力等关键参数，为服务的精准投放奠定基础。</w:t>
      </w:r>
    </w:p>
    <w:p w14:paraId="4A7637D2">
      <w:pPr>
        <w:pStyle w:val="6"/>
        <w:keepNext w:val="0"/>
        <w:keepLines w:val="0"/>
        <w:pageBreakBefore w:val="0"/>
        <w:kinsoku/>
        <w:wordWrap/>
        <w:overflowPunct/>
        <w:topLinePunct w:val="0"/>
        <w:autoSpaceDE/>
        <w:autoSpaceDN/>
        <w:bidi w:val="0"/>
        <w:adjustRightInd/>
        <w:snapToGrid/>
        <w:spacing w:line="500" w:lineRule="exact"/>
        <w:ind w:left="1440"/>
        <w:jc w:val="both"/>
        <w:textAlignment w:val="auto"/>
        <w:rPr>
          <w:rFonts w:hint="eastAsia" w:ascii="宋体" w:hAnsi="宋体" w:eastAsia="宋体" w:cs="宋体"/>
          <w:sz w:val="24"/>
          <w:szCs w:val="24"/>
        </w:rPr>
      </w:pPr>
      <w:r>
        <w:rPr>
          <w:rFonts w:hint="eastAsia" w:ascii="宋体" w:hAnsi="宋体" w:eastAsia="宋体" w:cs="宋体"/>
          <w:b/>
          <w:sz w:val="24"/>
          <w:szCs w:val="24"/>
        </w:rPr>
        <w:t>2.1.5.1.1.1.3.1.服务检索与筛选</w:t>
      </w:r>
    </w:p>
    <w:p w14:paraId="7B78FB89">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提供多维度的服务查询功能，支持按服务ID、服务编码、服务名称等关键信息进行精准检索。同时可根据服务能力、业务KEY、智能体关联等属性进行组合查询，快速定位目标服务。查询区域配备一键重置功能，显著提升服务管理效率，确保管理人员能够在大量服务中快速找到目标对象。</w:t>
      </w:r>
    </w:p>
    <w:p w14:paraId="0AE39FD3">
      <w:pPr>
        <w:pStyle w:val="6"/>
        <w:keepNext w:val="0"/>
        <w:keepLines w:val="0"/>
        <w:pageBreakBefore w:val="0"/>
        <w:kinsoku/>
        <w:wordWrap/>
        <w:overflowPunct/>
        <w:topLinePunct w:val="0"/>
        <w:autoSpaceDE/>
        <w:autoSpaceDN/>
        <w:bidi w:val="0"/>
        <w:adjustRightInd/>
        <w:snapToGrid/>
        <w:spacing w:line="500" w:lineRule="exact"/>
        <w:ind w:left="1440"/>
        <w:jc w:val="both"/>
        <w:textAlignment w:val="auto"/>
        <w:rPr>
          <w:rFonts w:hint="eastAsia" w:ascii="宋体" w:hAnsi="宋体" w:eastAsia="宋体" w:cs="宋体"/>
          <w:sz w:val="24"/>
          <w:szCs w:val="24"/>
        </w:rPr>
      </w:pPr>
      <w:r>
        <w:rPr>
          <w:rFonts w:hint="eastAsia" w:ascii="宋体" w:hAnsi="宋体" w:eastAsia="宋体" w:cs="宋体"/>
          <w:b/>
          <w:sz w:val="24"/>
          <w:szCs w:val="24"/>
        </w:rPr>
        <w:t>2.1.5.1.1.1.3.2.服务分类与组织</w:t>
      </w:r>
    </w:p>
    <w:p w14:paraId="6BFEEF75">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采用科学的服务分类体系，按照业务领域将服务划分为入院记录、病程记录、辅助诊疗、护理决策等多个专业类别。每个服务均可关联对应的智能体，形成完整的AI能力链条。通过服务分类管理，实现医疗AI服务的有序组织，方便用户按业务需求快速查找和使用相关服务。</w:t>
      </w:r>
    </w:p>
    <w:p w14:paraId="66FC5F03">
      <w:pPr>
        <w:pStyle w:val="6"/>
        <w:keepNext w:val="0"/>
        <w:keepLines w:val="0"/>
        <w:pageBreakBefore w:val="0"/>
        <w:kinsoku/>
        <w:wordWrap/>
        <w:overflowPunct/>
        <w:topLinePunct w:val="0"/>
        <w:autoSpaceDE/>
        <w:autoSpaceDN/>
        <w:bidi w:val="0"/>
        <w:adjustRightInd/>
        <w:snapToGrid/>
        <w:spacing w:line="500" w:lineRule="exact"/>
        <w:ind w:left="1440"/>
        <w:jc w:val="both"/>
        <w:textAlignment w:val="auto"/>
        <w:rPr>
          <w:rFonts w:hint="eastAsia" w:ascii="宋体" w:hAnsi="宋体" w:eastAsia="宋体" w:cs="宋体"/>
          <w:sz w:val="24"/>
          <w:szCs w:val="24"/>
        </w:rPr>
      </w:pPr>
      <w:r>
        <w:rPr>
          <w:rFonts w:hint="eastAsia" w:ascii="宋体" w:hAnsi="宋体" w:eastAsia="宋体" w:cs="宋体"/>
          <w:b/>
          <w:sz w:val="24"/>
          <w:szCs w:val="24"/>
        </w:rPr>
        <w:t>2.1.5.1.1.1.3.3.服务状态管理</w:t>
      </w:r>
    </w:p>
    <w:p w14:paraId="3C6CF400">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提供完善的服务状态控制机制，支持服务的启用、停用和版本管理。通过服务属性配置，可定义服务的面向对象（医护、管理、患者等），确保服务权限的精准控制。同时支持服务的删除和恢复操作，配合垃圾箱管理功能，防止误操作导致的服务丢失。</w:t>
      </w:r>
    </w:p>
    <w:p w14:paraId="3FBBA990">
      <w:pPr>
        <w:pStyle w:val="6"/>
        <w:keepNext w:val="0"/>
        <w:keepLines w:val="0"/>
        <w:pageBreakBefore w:val="0"/>
        <w:kinsoku/>
        <w:wordWrap/>
        <w:overflowPunct/>
        <w:topLinePunct w:val="0"/>
        <w:autoSpaceDE/>
        <w:autoSpaceDN/>
        <w:bidi w:val="0"/>
        <w:adjustRightInd/>
        <w:snapToGrid/>
        <w:spacing w:line="500" w:lineRule="exact"/>
        <w:ind w:left="1440"/>
        <w:jc w:val="both"/>
        <w:textAlignment w:val="auto"/>
        <w:rPr>
          <w:rFonts w:hint="eastAsia" w:ascii="宋体" w:hAnsi="宋体" w:eastAsia="宋体" w:cs="宋体"/>
          <w:sz w:val="24"/>
          <w:szCs w:val="24"/>
        </w:rPr>
      </w:pPr>
      <w:r>
        <w:rPr>
          <w:rFonts w:hint="eastAsia" w:ascii="宋体" w:hAnsi="宋体" w:eastAsia="宋体" w:cs="宋体"/>
          <w:b/>
          <w:sz w:val="24"/>
          <w:szCs w:val="24"/>
        </w:rPr>
        <w:t>2.1.5.1.1.1.3.4.批量操作功能</w:t>
      </w:r>
    </w:p>
    <w:p w14:paraId="46BD86AC">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提供批量操作支持，包括服务的批量新建、删除、导出、导入和属性批量设置。这些功能大幅提升了服务管理的效率，特别是在需要同时处理多个服务时显得尤为重要。导入导出功能支持服务配置的快速迁移和备份，为系统维护和项目实施提供便利。</w:t>
      </w:r>
    </w:p>
    <w:p w14:paraId="35CDE78D">
      <w:pPr>
        <w:pStyle w:val="6"/>
        <w:keepNext w:val="0"/>
        <w:keepLines w:val="0"/>
        <w:pageBreakBefore w:val="0"/>
        <w:kinsoku/>
        <w:wordWrap/>
        <w:overflowPunct/>
        <w:topLinePunct w:val="0"/>
        <w:autoSpaceDE/>
        <w:autoSpaceDN/>
        <w:bidi w:val="0"/>
        <w:adjustRightInd/>
        <w:snapToGrid/>
        <w:spacing w:line="500" w:lineRule="exact"/>
        <w:ind w:left="1440"/>
        <w:jc w:val="both"/>
        <w:textAlignment w:val="auto"/>
        <w:rPr>
          <w:rFonts w:hint="eastAsia" w:ascii="宋体" w:hAnsi="宋体" w:eastAsia="宋体" w:cs="宋体"/>
          <w:sz w:val="24"/>
          <w:szCs w:val="24"/>
        </w:rPr>
      </w:pPr>
      <w:r>
        <w:rPr>
          <w:rFonts w:hint="eastAsia" w:ascii="宋体" w:hAnsi="宋体" w:eastAsia="宋体" w:cs="宋体"/>
          <w:b/>
          <w:sz w:val="24"/>
          <w:szCs w:val="24"/>
        </w:rPr>
        <w:t>2.1.5.1.1.1.3.5.服务关联管理</w:t>
      </w:r>
    </w:p>
    <w:p w14:paraId="189B7D6C">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支持服务与智能体、业务场景的灵活关联。通过服务与智能体的绑定，确保每个服务都能调用对应的AI能力引擎；通过服务与场景的关联，实现服务在具体业务场景中的精准投放。</w:t>
      </w:r>
    </w:p>
    <w:p w14:paraId="4A3E1619">
      <w:pPr>
        <w:pStyle w:val="6"/>
        <w:keepNext w:val="0"/>
        <w:keepLines w:val="0"/>
        <w:pageBreakBefore w:val="0"/>
        <w:kinsoku/>
        <w:wordWrap/>
        <w:overflowPunct/>
        <w:topLinePunct w:val="0"/>
        <w:autoSpaceDE/>
        <w:autoSpaceDN/>
        <w:bidi w:val="0"/>
        <w:adjustRightInd/>
        <w:snapToGrid/>
        <w:spacing w:line="500" w:lineRule="exact"/>
        <w:ind w:left="1440"/>
        <w:jc w:val="both"/>
        <w:textAlignment w:val="auto"/>
        <w:rPr>
          <w:rFonts w:hint="eastAsia" w:ascii="宋体" w:hAnsi="宋体" w:eastAsia="宋体" w:cs="宋体"/>
          <w:sz w:val="24"/>
          <w:szCs w:val="24"/>
        </w:rPr>
      </w:pPr>
      <w:r>
        <w:rPr>
          <w:rFonts w:hint="eastAsia" w:ascii="宋体" w:hAnsi="宋体" w:eastAsia="宋体" w:cs="宋体"/>
          <w:b/>
          <w:sz w:val="24"/>
          <w:szCs w:val="24"/>
        </w:rPr>
        <w:t>2.1.5.1.1.1.3.6.服务权限控制</w:t>
      </w:r>
    </w:p>
    <w:p w14:paraId="57BE7F51">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提供细粒度的服务权限管理，通过面向对象字段定义服务的可见范围，确保不同角色的用户只能访问其权限范围内的服务。同时支持服务的公有/私有属性设置，满足不同级别的服务共享需求。</w:t>
      </w:r>
    </w:p>
    <w:p w14:paraId="6B7B236E">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2.1.5.1.1.1.4.垃圾箱管理</w:t>
      </w:r>
    </w:p>
    <w:p w14:paraId="02A065AB">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垃圾箱管理模块是AI应用管理平台的重要安全保障组件，承担着系统删除数据的统一回收和管理职责。通过建立完善的数据删除保护机制，为平台提供数据误删恢复、删除记录审计和资源清理等核心功能，有效防范数据丢失风险，确保系统数据安全。</w:t>
      </w:r>
    </w:p>
    <w:p w14:paraId="5B02E68E">
      <w:pPr>
        <w:pStyle w:val="6"/>
        <w:keepNext w:val="0"/>
        <w:keepLines w:val="0"/>
        <w:pageBreakBefore w:val="0"/>
        <w:kinsoku/>
        <w:wordWrap/>
        <w:overflowPunct/>
        <w:topLinePunct w:val="0"/>
        <w:autoSpaceDE/>
        <w:autoSpaceDN/>
        <w:bidi w:val="0"/>
        <w:adjustRightInd/>
        <w:snapToGrid/>
        <w:spacing w:line="500" w:lineRule="exact"/>
        <w:ind w:left="1440"/>
        <w:jc w:val="both"/>
        <w:textAlignment w:val="auto"/>
        <w:rPr>
          <w:rFonts w:hint="eastAsia" w:ascii="宋体" w:hAnsi="宋体" w:eastAsia="宋体" w:cs="宋体"/>
          <w:sz w:val="24"/>
          <w:szCs w:val="24"/>
        </w:rPr>
      </w:pPr>
      <w:r>
        <w:rPr>
          <w:rFonts w:hint="eastAsia" w:ascii="宋体" w:hAnsi="宋体" w:eastAsia="宋体" w:cs="宋体"/>
          <w:b/>
          <w:sz w:val="24"/>
          <w:szCs w:val="24"/>
        </w:rPr>
        <w:t>2.1.5.1.1.1.4.1.删除数据统一回收</w:t>
      </w:r>
    </w:p>
    <w:p w14:paraId="412320A1">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提供完整的删除数据收纳体系，对来自智能体管理、服务管理、场景管理等各个功能模块的删除操作进行统一收集和保管。所有被删除的文件均按照标准格式进行存储，包含文件名称、文件类型、删除来源等关键信息，确保删除数据的完整性和可追溯性。</w:t>
      </w:r>
    </w:p>
    <w:p w14:paraId="56923962">
      <w:pPr>
        <w:pStyle w:val="6"/>
        <w:keepNext w:val="0"/>
        <w:keepLines w:val="0"/>
        <w:pageBreakBefore w:val="0"/>
        <w:kinsoku/>
        <w:wordWrap/>
        <w:overflowPunct/>
        <w:topLinePunct w:val="0"/>
        <w:autoSpaceDE/>
        <w:autoSpaceDN/>
        <w:bidi w:val="0"/>
        <w:adjustRightInd/>
        <w:snapToGrid/>
        <w:spacing w:line="500" w:lineRule="exact"/>
        <w:ind w:left="1440"/>
        <w:jc w:val="both"/>
        <w:textAlignment w:val="auto"/>
        <w:rPr>
          <w:rFonts w:hint="eastAsia" w:ascii="宋体" w:hAnsi="宋体" w:eastAsia="宋体" w:cs="宋体"/>
          <w:sz w:val="24"/>
          <w:szCs w:val="24"/>
        </w:rPr>
      </w:pPr>
      <w:r>
        <w:rPr>
          <w:rFonts w:hint="eastAsia" w:ascii="宋体" w:hAnsi="宋体" w:eastAsia="宋体" w:cs="宋体"/>
          <w:b/>
          <w:sz w:val="24"/>
          <w:szCs w:val="24"/>
        </w:rPr>
        <w:t>2.1.5.1.1.1.4.2.多维查询与筛选</w:t>
      </w:r>
    </w:p>
    <w:p w14:paraId="52DDA71F">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提供强大的查询筛选能力，支持按文件名称、文件类型、删除来源、删除操作人等多个维度进行精准检索。通过时间范围筛选，可查询指定时间段内的删除记录，便于进行定期审计和统计分析。查询区域配备一键重置功能，确保查询操作的高效便捷。</w:t>
      </w:r>
    </w:p>
    <w:p w14:paraId="605A2377">
      <w:pPr>
        <w:pStyle w:val="6"/>
        <w:keepNext w:val="0"/>
        <w:keepLines w:val="0"/>
        <w:pageBreakBefore w:val="0"/>
        <w:kinsoku/>
        <w:wordWrap/>
        <w:overflowPunct/>
        <w:topLinePunct w:val="0"/>
        <w:autoSpaceDE/>
        <w:autoSpaceDN/>
        <w:bidi w:val="0"/>
        <w:adjustRightInd/>
        <w:snapToGrid/>
        <w:spacing w:line="500" w:lineRule="exact"/>
        <w:ind w:left="1440"/>
        <w:jc w:val="both"/>
        <w:textAlignment w:val="auto"/>
        <w:rPr>
          <w:rFonts w:hint="eastAsia" w:ascii="宋体" w:hAnsi="宋体" w:eastAsia="宋体" w:cs="宋体"/>
          <w:sz w:val="24"/>
          <w:szCs w:val="24"/>
        </w:rPr>
      </w:pPr>
      <w:r>
        <w:rPr>
          <w:rFonts w:hint="eastAsia" w:ascii="宋体" w:hAnsi="宋体" w:eastAsia="宋体" w:cs="宋体"/>
          <w:b/>
          <w:sz w:val="24"/>
          <w:szCs w:val="24"/>
        </w:rPr>
        <w:t>2.1.5.1.1.1.4.3.删除记录完整审计</w:t>
      </w:r>
    </w:p>
    <w:p w14:paraId="51D15FC1">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详细记录每次删除操作的关键信息，包括删除操作人、删除时间、删除来源等审计要素。采用时间戳精确记录删除操作的发生时间，为后续的问题追溯和责任界定提供完整依据。通过序号标识实现删除记录的有序管理，确保审计链条的完整性。</w:t>
      </w:r>
    </w:p>
    <w:p w14:paraId="0A213A60">
      <w:pPr>
        <w:pStyle w:val="6"/>
        <w:keepNext w:val="0"/>
        <w:keepLines w:val="0"/>
        <w:pageBreakBefore w:val="0"/>
        <w:kinsoku/>
        <w:wordWrap/>
        <w:overflowPunct/>
        <w:topLinePunct w:val="0"/>
        <w:autoSpaceDE/>
        <w:autoSpaceDN/>
        <w:bidi w:val="0"/>
        <w:adjustRightInd/>
        <w:snapToGrid/>
        <w:spacing w:line="500" w:lineRule="exact"/>
        <w:ind w:left="1440"/>
        <w:jc w:val="both"/>
        <w:textAlignment w:val="auto"/>
        <w:rPr>
          <w:rFonts w:hint="eastAsia" w:ascii="宋体" w:hAnsi="宋体" w:eastAsia="宋体" w:cs="宋体"/>
          <w:sz w:val="24"/>
          <w:szCs w:val="24"/>
        </w:rPr>
      </w:pPr>
      <w:r>
        <w:rPr>
          <w:rFonts w:hint="eastAsia" w:ascii="宋体" w:hAnsi="宋体" w:eastAsia="宋体" w:cs="宋体"/>
          <w:b/>
          <w:sz w:val="24"/>
          <w:szCs w:val="24"/>
        </w:rPr>
        <w:t>2.1.5.1.1.1.4.4.数据恢复与下载</w:t>
      </w:r>
    </w:p>
    <w:p w14:paraId="4ABA079F">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对于误删或需要重新使用的文件，提供完善的恢复机制。通过"恢复"操作，可将文件从垃圾箱还原至原始位置，恢复其正常使用状态。同时提供"下载"功能，支持对删除文件的本地备份，便于进行数据迁移或离线分析，确保数据价值的持续利用。</w:t>
      </w:r>
    </w:p>
    <w:p w14:paraId="51203DB0">
      <w:pPr>
        <w:pStyle w:val="6"/>
        <w:keepNext w:val="0"/>
        <w:keepLines w:val="0"/>
        <w:pageBreakBefore w:val="0"/>
        <w:kinsoku/>
        <w:wordWrap/>
        <w:overflowPunct/>
        <w:topLinePunct w:val="0"/>
        <w:autoSpaceDE/>
        <w:autoSpaceDN/>
        <w:bidi w:val="0"/>
        <w:adjustRightInd/>
        <w:snapToGrid/>
        <w:spacing w:line="500" w:lineRule="exact"/>
        <w:ind w:left="1440"/>
        <w:jc w:val="both"/>
        <w:textAlignment w:val="auto"/>
        <w:rPr>
          <w:rFonts w:hint="eastAsia" w:ascii="宋体" w:hAnsi="宋体" w:eastAsia="宋体" w:cs="宋体"/>
          <w:sz w:val="24"/>
          <w:szCs w:val="24"/>
        </w:rPr>
      </w:pPr>
      <w:r>
        <w:rPr>
          <w:rFonts w:hint="eastAsia" w:ascii="宋体" w:hAnsi="宋体" w:eastAsia="宋体" w:cs="宋体"/>
          <w:b/>
          <w:sz w:val="24"/>
          <w:szCs w:val="24"/>
        </w:rPr>
        <w:t>2.1.5.1.1.1.4.5.资源清理管理</w:t>
      </w:r>
    </w:p>
    <w:p w14:paraId="678B6926">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提供彻底的清理机制，通过"彻底清除"操作对确认无需保留的文件进行物理删除，释放系统存储资源。这种分级清理机制既保障了数据安全，又确保了系统资源的合理利用。支持批量清理操作，提升资源管理效率。</w:t>
      </w:r>
    </w:p>
    <w:p w14:paraId="2B1793C5">
      <w:pPr>
        <w:pStyle w:val="6"/>
        <w:keepNext w:val="0"/>
        <w:keepLines w:val="0"/>
        <w:pageBreakBefore w:val="0"/>
        <w:kinsoku/>
        <w:wordWrap/>
        <w:overflowPunct/>
        <w:topLinePunct w:val="0"/>
        <w:autoSpaceDE/>
        <w:autoSpaceDN/>
        <w:bidi w:val="0"/>
        <w:adjustRightInd/>
        <w:snapToGrid/>
        <w:spacing w:line="500" w:lineRule="exact"/>
        <w:ind w:left="1440"/>
        <w:jc w:val="both"/>
        <w:textAlignment w:val="auto"/>
        <w:rPr>
          <w:rFonts w:hint="eastAsia" w:ascii="宋体" w:hAnsi="宋体" w:eastAsia="宋体" w:cs="宋体"/>
          <w:sz w:val="24"/>
          <w:szCs w:val="24"/>
        </w:rPr>
      </w:pPr>
      <w:r>
        <w:rPr>
          <w:rFonts w:hint="eastAsia" w:ascii="宋体" w:hAnsi="宋体" w:eastAsia="宋体" w:cs="宋体"/>
          <w:b/>
          <w:sz w:val="24"/>
          <w:szCs w:val="24"/>
        </w:rPr>
        <w:t>2.1.5.1.1.1.4.6.分页浏览与统计</w:t>
      </w:r>
    </w:p>
    <w:p w14:paraId="7102FE2E">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采用智能分页显示机制，默认每页显示30条记录，共26条数据，支持记录总数的实时统计。合理的分页设计确保了大量删除记录情况下的浏览体验，同时支持显示数量的灵活调整，满足不同规模数据量的管理需求。</w:t>
      </w:r>
    </w:p>
    <w:p w14:paraId="49FE8421">
      <w:pPr>
        <w:pStyle w:val="6"/>
        <w:keepNext w:val="0"/>
        <w:keepLines w:val="0"/>
        <w:pageBreakBefore w:val="0"/>
        <w:kinsoku/>
        <w:wordWrap/>
        <w:overflowPunct/>
        <w:topLinePunct w:val="0"/>
        <w:autoSpaceDE/>
        <w:autoSpaceDN/>
        <w:bidi w:val="0"/>
        <w:adjustRightInd/>
        <w:snapToGrid/>
        <w:spacing w:line="500" w:lineRule="exact"/>
        <w:ind w:left="1440"/>
        <w:jc w:val="both"/>
        <w:textAlignment w:val="auto"/>
        <w:rPr>
          <w:rFonts w:hint="eastAsia" w:ascii="宋体" w:hAnsi="宋体" w:eastAsia="宋体" w:cs="宋体"/>
          <w:sz w:val="24"/>
          <w:szCs w:val="24"/>
        </w:rPr>
      </w:pPr>
      <w:r>
        <w:rPr>
          <w:rFonts w:hint="eastAsia" w:ascii="宋体" w:hAnsi="宋体" w:eastAsia="宋体" w:cs="宋体"/>
          <w:b/>
          <w:sz w:val="24"/>
          <w:szCs w:val="24"/>
        </w:rPr>
        <w:t>2.1.5.1.1.1.4.7.文件类型分类管理</w:t>
      </w:r>
    </w:p>
    <w:p w14:paraId="52E5E9DF">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对删除文件进行类型识别和分类管理，当前主要包含DSL配置文件等多种文件类型。通过文件类型的标准化分类，便于用户快速识别文件性质，为后续的恢复或清理决策提供参考依据。</w:t>
      </w:r>
    </w:p>
    <w:p w14:paraId="6BA527B1">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2.1.5.1.1.1.5.智能体管理</w:t>
      </w:r>
    </w:p>
    <w:p w14:paraId="403D7EDB">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智能体包含聊天助手、工作流、智能代理等多种类型，以适配不同场景应用需求。通过标准化的智能体管理体系，为医疗机构提供从智能体开发、测试到发布、监控的全链路支持，确保AI能力能够精准适配复杂的医疗业务场景。</w:t>
      </w:r>
    </w:p>
    <w:p w14:paraId="0405219D">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提供完整的智能体管理流程，涵盖智能体创建、配置、测试、发布、版本控制和归档等全周期环节。支持多种智能体类型，包括聊天助手、Chatflow、Agent、工作流和文本生成等不同形态，满足多样化的医疗业务需求。每个智能体均配备完整的元数据信息，包括版本号、业务描述、来源项目等关键参数，确保智能体的可追溯性和可管理性。</w:t>
      </w:r>
    </w:p>
    <w:p w14:paraId="1E948A76">
      <w:pPr>
        <w:pStyle w:val="6"/>
        <w:keepNext w:val="0"/>
        <w:keepLines w:val="0"/>
        <w:pageBreakBefore w:val="0"/>
        <w:kinsoku/>
        <w:wordWrap/>
        <w:overflowPunct/>
        <w:topLinePunct w:val="0"/>
        <w:autoSpaceDE/>
        <w:autoSpaceDN/>
        <w:bidi w:val="0"/>
        <w:adjustRightInd/>
        <w:snapToGrid/>
        <w:spacing w:line="500" w:lineRule="exact"/>
        <w:ind w:left="1440"/>
        <w:jc w:val="both"/>
        <w:textAlignment w:val="auto"/>
        <w:rPr>
          <w:rFonts w:hint="eastAsia" w:ascii="宋体" w:hAnsi="宋体" w:eastAsia="宋体" w:cs="宋体"/>
          <w:sz w:val="24"/>
          <w:szCs w:val="24"/>
        </w:rPr>
      </w:pPr>
      <w:r>
        <w:rPr>
          <w:rFonts w:hint="eastAsia" w:ascii="宋体" w:hAnsi="宋体" w:eastAsia="宋体" w:cs="宋体"/>
          <w:b/>
          <w:sz w:val="24"/>
          <w:szCs w:val="24"/>
        </w:rPr>
        <w:t>2.1.5.1.1.1.5.1.智能体分类与检索</w:t>
      </w:r>
    </w:p>
    <w:p w14:paraId="379F2643">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构建多维度的智能体分类检索机制，支持按服务分类、场景分类和标签体系进行智能体筛选。用户可通过智能体类型（如CHATFLOW、工作流等）、业务场景或自定义标签快速定位目标智能体。搜索功能支持关键词模糊匹配，提升智能体查找效率，确保在大量智能体存量情况下仍能快速精准定位。</w:t>
      </w:r>
    </w:p>
    <w:p w14:paraId="487779FC">
      <w:pPr>
        <w:pStyle w:val="6"/>
        <w:keepNext w:val="0"/>
        <w:keepLines w:val="0"/>
        <w:pageBreakBefore w:val="0"/>
        <w:kinsoku/>
        <w:wordWrap/>
        <w:overflowPunct/>
        <w:topLinePunct w:val="0"/>
        <w:autoSpaceDE/>
        <w:autoSpaceDN/>
        <w:bidi w:val="0"/>
        <w:adjustRightInd/>
        <w:snapToGrid/>
        <w:spacing w:line="500" w:lineRule="exact"/>
        <w:ind w:left="1440"/>
        <w:jc w:val="both"/>
        <w:textAlignment w:val="auto"/>
        <w:rPr>
          <w:rFonts w:hint="eastAsia" w:ascii="宋体" w:hAnsi="宋体" w:eastAsia="宋体" w:cs="宋体"/>
          <w:sz w:val="24"/>
          <w:szCs w:val="24"/>
        </w:rPr>
      </w:pPr>
      <w:r>
        <w:rPr>
          <w:rFonts w:hint="eastAsia" w:ascii="宋体" w:hAnsi="宋体" w:eastAsia="宋体" w:cs="宋体"/>
          <w:b/>
          <w:sz w:val="24"/>
          <w:szCs w:val="24"/>
        </w:rPr>
        <w:t>2.1.5.1.1.1.5.2.智能体创建与导入</w:t>
      </w:r>
    </w:p>
    <w:p w14:paraId="6F8939FB">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提供灵活的智能体创建方式，支持快速构建新智能体，同时提供DSL文件导入功能，便于已有智能体配置的快速迁移。</w:t>
      </w:r>
    </w:p>
    <w:p w14:paraId="517491ED">
      <w:pPr>
        <w:pStyle w:val="6"/>
        <w:keepNext w:val="0"/>
        <w:keepLines w:val="0"/>
        <w:pageBreakBefore w:val="0"/>
        <w:kinsoku/>
        <w:wordWrap/>
        <w:overflowPunct/>
        <w:topLinePunct w:val="0"/>
        <w:autoSpaceDE/>
        <w:autoSpaceDN/>
        <w:bidi w:val="0"/>
        <w:adjustRightInd/>
        <w:snapToGrid/>
        <w:spacing w:line="500" w:lineRule="exact"/>
        <w:ind w:left="1440"/>
        <w:jc w:val="both"/>
        <w:textAlignment w:val="auto"/>
        <w:rPr>
          <w:rFonts w:hint="eastAsia" w:ascii="宋体" w:hAnsi="宋体" w:eastAsia="宋体" w:cs="宋体"/>
          <w:sz w:val="24"/>
          <w:szCs w:val="24"/>
        </w:rPr>
      </w:pPr>
      <w:r>
        <w:rPr>
          <w:rFonts w:hint="eastAsia" w:ascii="宋体" w:hAnsi="宋体" w:eastAsia="宋体" w:cs="宋体"/>
          <w:b/>
          <w:sz w:val="24"/>
          <w:szCs w:val="24"/>
        </w:rPr>
        <w:t>2.1.5.1.1.1.5.3.版本管理与状态控制</w:t>
      </w:r>
    </w:p>
    <w:p w14:paraId="55853496">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提供完善的版本管理机制，每个智能体均支持多版本并存和灵活切换。通过版本号和业务描述，清晰记录每次迭代的改进内容。支持智能体的状态管理，包括"研测优化中"、"已发布勿删"、"废弃归档"等不同状态，确保智能体生命周期的清晰可控。</w:t>
      </w:r>
    </w:p>
    <w:p w14:paraId="07A100B1">
      <w:pPr>
        <w:pStyle w:val="6"/>
        <w:keepNext w:val="0"/>
        <w:keepLines w:val="0"/>
        <w:pageBreakBefore w:val="0"/>
        <w:kinsoku/>
        <w:wordWrap/>
        <w:overflowPunct/>
        <w:topLinePunct w:val="0"/>
        <w:autoSpaceDE/>
        <w:autoSpaceDN/>
        <w:bidi w:val="0"/>
        <w:adjustRightInd/>
        <w:snapToGrid/>
        <w:spacing w:line="500" w:lineRule="exact"/>
        <w:ind w:left="1440"/>
        <w:jc w:val="both"/>
        <w:textAlignment w:val="auto"/>
        <w:rPr>
          <w:rFonts w:hint="eastAsia" w:ascii="宋体" w:hAnsi="宋体" w:eastAsia="宋体" w:cs="宋体"/>
          <w:sz w:val="24"/>
          <w:szCs w:val="24"/>
        </w:rPr>
      </w:pPr>
      <w:r>
        <w:rPr>
          <w:rFonts w:hint="eastAsia" w:ascii="宋体" w:hAnsi="宋体" w:eastAsia="宋体" w:cs="宋体"/>
          <w:b/>
          <w:sz w:val="24"/>
          <w:szCs w:val="24"/>
        </w:rPr>
        <w:t>2.1.5.1.1.1.5.4.业务场景适配</w:t>
      </w:r>
    </w:p>
    <w:p w14:paraId="793ED779">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智能体深度适配医疗业务场景，如门诊预问诊生成、门诊语音生成病历等具体应用。每个智能体均明确标注其业务说明和使用场景，确保智能体与医疗业务的精准匹配。通过业务描述字段详细说明智能体的功能特点和适用范围，为用户的正确选择和使用提供清晰指导。</w:t>
      </w:r>
    </w:p>
    <w:p w14:paraId="4D60E9BB">
      <w:pPr>
        <w:pStyle w:val="6"/>
        <w:keepNext w:val="0"/>
        <w:keepLines w:val="0"/>
        <w:pageBreakBefore w:val="0"/>
        <w:kinsoku/>
        <w:wordWrap/>
        <w:overflowPunct/>
        <w:topLinePunct w:val="0"/>
        <w:autoSpaceDE/>
        <w:autoSpaceDN/>
        <w:bidi w:val="0"/>
        <w:adjustRightInd/>
        <w:snapToGrid/>
        <w:spacing w:line="500" w:lineRule="exact"/>
        <w:ind w:left="1440"/>
        <w:jc w:val="both"/>
        <w:textAlignment w:val="auto"/>
        <w:rPr>
          <w:rFonts w:hint="eastAsia" w:ascii="宋体" w:hAnsi="宋体" w:eastAsia="宋体" w:cs="宋体"/>
          <w:sz w:val="24"/>
          <w:szCs w:val="24"/>
        </w:rPr>
      </w:pPr>
      <w:r>
        <w:rPr>
          <w:rFonts w:hint="eastAsia" w:ascii="宋体" w:hAnsi="宋体" w:eastAsia="宋体" w:cs="宋体"/>
          <w:b/>
          <w:sz w:val="24"/>
          <w:szCs w:val="24"/>
        </w:rPr>
        <w:t>2.1.5.1.1.1.5.5.标签管理</w:t>
      </w:r>
    </w:p>
    <w:p w14:paraId="10C306F4">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提供完整的标签管理功能，支持对智能体进行多维度打标和分类。通过标签体系实现智能体的灵活组织和快速检索，同时支持标签的批量管理操作。</w:t>
      </w:r>
    </w:p>
    <w:p w14:paraId="47BF3545">
      <w:pPr>
        <w:pStyle w:val="6"/>
        <w:keepNext w:val="0"/>
        <w:keepLines w:val="0"/>
        <w:pageBreakBefore w:val="0"/>
        <w:kinsoku/>
        <w:wordWrap/>
        <w:overflowPunct/>
        <w:topLinePunct w:val="0"/>
        <w:autoSpaceDE/>
        <w:autoSpaceDN/>
        <w:bidi w:val="0"/>
        <w:adjustRightInd/>
        <w:snapToGrid/>
        <w:spacing w:line="500" w:lineRule="exact"/>
        <w:ind w:left="1440"/>
        <w:jc w:val="both"/>
        <w:textAlignment w:val="auto"/>
        <w:rPr>
          <w:rFonts w:hint="eastAsia" w:ascii="宋体" w:hAnsi="宋体" w:eastAsia="宋体" w:cs="宋体"/>
          <w:sz w:val="24"/>
          <w:szCs w:val="24"/>
        </w:rPr>
      </w:pPr>
      <w:r>
        <w:rPr>
          <w:rFonts w:hint="eastAsia" w:ascii="宋体" w:hAnsi="宋体" w:eastAsia="宋体" w:cs="宋体"/>
          <w:b/>
          <w:sz w:val="24"/>
          <w:szCs w:val="24"/>
        </w:rPr>
        <w:t>2.1.5.1.1.1.5.6.部署状态可视化</w:t>
      </w:r>
    </w:p>
    <w:p w14:paraId="31C017DE">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清晰展示每个智能体的部署状态和运行情况，通过状态标识（如“研测优化中”、“已发布勿删”）直观反映智能体的当前状况。</w:t>
      </w:r>
    </w:p>
    <w:p w14:paraId="57438972">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2.1.5.1.1.1.6.场景服务关联</w:t>
      </w:r>
    </w:p>
    <w:p w14:paraId="4E6A4633">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场景服务关联模块承担着场景、页签与服务三者之间的智能关联和统一配置职责。通过建立场景驱动的服务组织体系，实现医疗AI能力与业务场景的精准匹配，确保各类智能服务能够按照实际业务需求进行有序组织和高效调度。</w:t>
      </w:r>
    </w:p>
    <w:p w14:paraId="0AE74A9A">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提供完整的场景配置体系，支持新增场景和场景预览操作。通过场景名称和场景ID的智能检索，用户可以快速定位目标场景。内置丰富的场景库，包含护理推荐、住院病历辅助、门诊病历辅助、病历质控、医保稽核等核心医疗场景，每个场景均配备唯一标识码和清晰的场景描述。面向对象的选择功能确保场景能够精准匹配医护、管理、患者等不同用户群体的使用需求。</w:t>
      </w:r>
    </w:p>
    <w:p w14:paraId="4DD936FF">
      <w:pPr>
        <w:pStyle w:val="6"/>
        <w:keepNext w:val="0"/>
        <w:keepLines w:val="0"/>
        <w:pageBreakBefore w:val="0"/>
        <w:kinsoku/>
        <w:wordWrap/>
        <w:overflowPunct/>
        <w:topLinePunct w:val="0"/>
        <w:autoSpaceDE/>
        <w:autoSpaceDN/>
        <w:bidi w:val="0"/>
        <w:adjustRightInd/>
        <w:snapToGrid/>
        <w:spacing w:line="500" w:lineRule="exact"/>
        <w:ind w:left="1440"/>
        <w:jc w:val="both"/>
        <w:textAlignment w:val="auto"/>
        <w:rPr>
          <w:rFonts w:hint="eastAsia" w:ascii="宋体" w:hAnsi="宋体" w:eastAsia="宋体" w:cs="宋体"/>
          <w:sz w:val="24"/>
          <w:szCs w:val="24"/>
        </w:rPr>
      </w:pPr>
      <w:r>
        <w:rPr>
          <w:rFonts w:hint="eastAsia" w:ascii="宋体" w:hAnsi="宋体" w:eastAsia="宋体" w:cs="宋体"/>
          <w:b/>
          <w:sz w:val="24"/>
          <w:szCs w:val="24"/>
        </w:rPr>
        <w:t>2.1.5.1.1.1.6.1.页签关联配置</w:t>
      </w:r>
    </w:p>
    <w:p w14:paraId="3F607182">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提供灵活的页签关联机制，支持按页签ID、页签编码和页签名称进行精准匹配和关联操作。通过添加和移除功能，可以实现场景与页签的动态绑定和解绑。展示完整的页签关联列表，包括页签ID、页签编号和页签名称等关键信息，确保页签配置的可视化和可管理性。上传和移除功能支持页签配置的批量操作，显著提升配置效率。</w:t>
      </w:r>
    </w:p>
    <w:p w14:paraId="790BC9A2">
      <w:pPr>
        <w:pStyle w:val="6"/>
        <w:keepNext w:val="0"/>
        <w:keepLines w:val="0"/>
        <w:pageBreakBefore w:val="0"/>
        <w:kinsoku/>
        <w:wordWrap/>
        <w:overflowPunct/>
        <w:topLinePunct w:val="0"/>
        <w:autoSpaceDE/>
        <w:autoSpaceDN/>
        <w:bidi w:val="0"/>
        <w:adjustRightInd/>
        <w:snapToGrid/>
        <w:spacing w:line="500" w:lineRule="exact"/>
        <w:ind w:left="1440"/>
        <w:jc w:val="both"/>
        <w:textAlignment w:val="auto"/>
        <w:rPr>
          <w:rFonts w:hint="eastAsia" w:ascii="宋体" w:hAnsi="宋体" w:eastAsia="宋体" w:cs="宋体"/>
          <w:sz w:val="24"/>
          <w:szCs w:val="24"/>
        </w:rPr>
      </w:pPr>
      <w:r>
        <w:rPr>
          <w:rFonts w:hint="eastAsia" w:ascii="宋体" w:hAnsi="宋体" w:eastAsia="宋体" w:cs="宋体"/>
          <w:b/>
          <w:sz w:val="24"/>
          <w:szCs w:val="24"/>
        </w:rPr>
        <w:t>2.1.5.1.1.1.6.2.服务关联管理</w:t>
      </w:r>
    </w:p>
    <w:p w14:paraId="4A8F934D">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构建完善的服务关联体系，支持按服务编码和服务分类进行智能服务的筛选和关联。通过服务ID、服务编码、服务名称、服务类别、服务属性和服务能力等多维度的服务信息展示，确保服务关联的精准性和完整性。添加和移除操作支持服务的动态管理，满足业务场景下服务配置的灵活调整需求。</w:t>
      </w:r>
    </w:p>
    <w:p w14:paraId="3A01FE84">
      <w:pPr>
        <w:pStyle w:val="6"/>
        <w:keepNext w:val="0"/>
        <w:keepLines w:val="0"/>
        <w:pageBreakBefore w:val="0"/>
        <w:kinsoku/>
        <w:wordWrap/>
        <w:overflowPunct/>
        <w:topLinePunct w:val="0"/>
        <w:autoSpaceDE/>
        <w:autoSpaceDN/>
        <w:bidi w:val="0"/>
        <w:adjustRightInd/>
        <w:snapToGrid/>
        <w:spacing w:line="500" w:lineRule="exact"/>
        <w:ind w:left="1440"/>
        <w:jc w:val="both"/>
        <w:textAlignment w:val="auto"/>
        <w:rPr>
          <w:rFonts w:hint="eastAsia" w:ascii="宋体" w:hAnsi="宋体" w:eastAsia="宋体" w:cs="宋体"/>
          <w:sz w:val="24"/>
          <w:szCs w:val="24"/>
        </w:rPr>
      </w:pPr>
      <w:r>
        <w:rPr>
          <w:rFonts w:hint="eastAsia" w:ascii="宋体" w:hAnsi="宋体" w:eastAsia="宋体" w:cs="宋体"/>
          <w:b/>
          <w:sz w:val="24"/>
          <w:szCs w:val="24"/>
        </w:rPr>
        <w:t>2.1.5.1.1.1.6.3.可视化配置界面</w:t>
      </w:r>
    </w:p>
    <w:p w14:paraId="3C473551">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采用直观的可视化配置界面，左侧为场景选择区域，右侧为关联配置区域，形成清晰的操作流程。场景预览功能允许用户在配置前预览场景效果，确保配置的准确性。关联列表实时显示当前已关联的页签和服务信息，提供完整的配置状态可视化。</w:t>
      </w:r>
    </w:p>
    <w:p w14:paraId="7B596B9F">
      <w:pPr>
        <w:pStyle w:val="6"/>
        <w:keepNext w:val="0"/>
        <w:keepLines w:val="0"/>
        <w:pageBreakBefore w:val="0"/>
        <w:kinsoku/>
        <w:wordWrap/>
        <w:overflowPunct/>
        <w:topLinePunct w:val="0"/>
        <w:autoSpaceDE/>
        <w:autoSpaceDN/>
        <w:bidi w:val="0"/>
        <w:adjustRightInd/>
        <w:snapToGrid/>
        <w:spacing w:line="500" w:lineRule="exact"/>
        <w:ind w:left="1440"/>
        <w:jc w:val="both"/>
        <w:textAlignment w:val="auto"/>
        <w:rPr>
          <w:rFonts w:hint="eastAsia" w:ascii="宋体" w:hAnsi="宋体" w:eastAsia="宋体" w:cs="宋体"/>
          <w:sz w:val="24"/>
          <w:szCs w:val="24"/>
        </w:rPr>
      </w:pPr>
      <w:r>
        <w:rPr>
          <w:rFonts w:hint="eastAsia" w:ascii="宋体" w:hAnsi="宋体" w:eastAsia="宋体" w:cs="宋体"/>
          <w:b/>
          <w:sz w:val="24"/>
          <w:szCs w:val="24"/>
        </w:rPr>
        <w:t>2.1.5.1.1.1.6.4.批量操作支持</w:t>
      </w:r>
    </w:p>
    <w:p w14:paraId="5C62D1D3">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提供强大的批量操作能力，支持页签和服务的批量添加、移除和上传操作。移除操作配备确认机制，防止误操作导致配置信息丢失。</w:t>
      </w:r>
    </w:p>
    <w:p w14:paraId="590E1354">
      <w:pPr>
        <w:pStyle w:val="6"/>
        <w:keepNext w:val="0"/>
        <w:keepLines w:val="0"/>
        <w:pageBreakBefore w:val="0"/>
        <w:kinsoku/>
        <w:wordWrap/>
        <w:overflowPunct/>
        <w:topLinePunct w:val="0"/>
        <w:autoSpaceDE/>
        <w:autoSpaceDN/>
        <w:bidi w:val="0"/>
        <w:adjustRightInd/>
        <w:snapToGrid/>
        <w:spacing w:line="500" w:lineRule="exact"/>
        <w:ind w:left="1440"/>
        <w:jc w:val="both"/>
        <w:textAlignment w:val="auto"/>
        <w:rPr>
          <w:rFonts w:hint="eastAsia" w:ascii="宋体" w:hAnsi="宋体" w:eastAsia="宋体" w:cs="宋体"/>
          <w:sz w:val="24"/>
          <w:szCs w:val="24"/>
        </w:rPr>
      </w:pPr>
      <w:r>
        <w:rPr>
          <w:rFonts w:hint="eastAsia" w:ascii="宋体" w:hAnsi="宋体" w:eastAsia="宋体" w:cs="宋体"/>
          <w:b/>
          <w:sz w:val="24"/>
          <w:szCs w:val="24"/>
        </w:rPr>
        <w:t>2.1.5.1.1.1.6.5.实时配置生效</w:t>
      </w:r>
    </w:p>
    <w:p w14:paraId="3A4B25C8">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所有关联配置均支持实时生效，用户完成场景、页签、服务的关联操作后，立即更新配置状态。这种实时性确保了业务场景的快速部署和及时调整，满足医疗机构业务需求的快速变化。</w:t>
      </w:r>
    </w:p>
    <w:p w14:paraId="5A0BA800">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2.1.5.1.1.2.精细化授权</w:t>
      </w:r>
    </w:p>
    <w:p w14:paraId="0CF1ABA2">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2.1.5.1.1.2.1.服务分发</w:t>
      </w:r>
    </w:p>
    <w:p w14:paraId="2B8A69C7">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AI为指定科室或角色用户进行特定的服务授权，将“私有”类型的服务分发给相关科室或角色，得到分发的科室或角色才能在AI小助手中看到并使用这一服务。“公有”类型的服务即为无需授权的服务。</w:t>
      </w:r>
    </w:p>
    <w:p w14:paraId="7702C385">
      <w:pPr>
        <w:pStyle w:val="6"/>
        <w:keepNext w:val="0"/>
        <w:keepLines w:val="0"/>
        <w:pageBreakBefore w:val="0"/>
        <w:kinsoku/>
        <w:wordWrap/>
        <w:overflowPunct/>
        <w:topLinePunct w:val="0"/>
        <w:autoSpaceDE/>
        <w:autoSpaceDN/>
        <w:bidi w:val="0"/>
        <w:adjustRightInd/>
        <w:snapToGrid/>
        <w:spacing w:line="500" w:lineRule="exact"/>
        <w:ind w:left="1440"/>
        <w:jc w:val="both"/>
        <w:textAlignment w:val="auto"/>
        <w:rPr>
          <w:rFonts w:hint="eastAsia" w:ascii="宋体" w:hAnsi="宋体" w:eastAsia="宋体" w:cs="宋体"/>
          <w:sz w:val="24"/>
          <w:szCs w:val="24"/>
        </w:rPr>
      </w:pPr>
      <w:r>
        <w:rPr>
          <w:rFonts w:hint="eastAsia" w:ascii="宋体" w:hAnsi="宋体" w:eastAsia="宋体" w:cs="宋体"/>
          <w:b/>
          <w:sz w:val="24"/>
          <w:szCs w:val="24"/>
        </w:rPr>
        <w:t>2.1.5.1.1.2.1.1.科室服务分发</w:t>
      </w:r>
    </w:p>
    <w:p w14:paraId="29F4838D">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包含服务分发、科室分发两部分。服务分发即对科室进行分层分类，形成多个“专业科室”，按照专业科室进行服务分发，形成标准专科服务关系。科室分发即创建医院实际科室与标准科室映射关系，创建或导入分类下的科室信息后，科室将可以继承科室分类下的服务。</w:t>
      </w:r>
    </w:p>
    <w:p w14:paraId="3763E5BE">
      <w:pPr>
        <w:pStyle w:val="6"/>
        <w:keepNext w:val="0"/>
        <w:keepLines w:val="0"/>
        <w:pageBreakBefore w:val="0"/>
        <w:kinsoku/>
        <w:wordWrap/>
        <w:overflowPunct/>
        <w:topLinePunct w:val="0"/>
        <w:autoSpaceDE/>
        <w:autoSpaceDN/>
        <w:bidi w:val="0"/>
        <w:adjustRightInd/>
        <w:snapToGrid/>
        <w:spacing w:line="500" w:lineRule="exact"/>
        <w:ind w:left="1440"/>
        <w:jc w:val="both"/>
        <w:textAlignment w:val="auto"/>
        <w:rPr>
          <w:rFonts w:hint="eastAsia" w:ascii="宋体" w:hAnsi="宋体" w:eastAsia="宋体" w:cs="宋体"/>
          <w:sz w:val="24"/>
          <w:szCs w:val="24"/>
        </w:rPr>
      </w:pPr>
      <w:r>
        <w:rPr>
          <w:rFonts w:hint="eastAsia" w:ascii="宋体" w:hAnsi="宋体" w:eastAsia="宋体" w:cs="宋体"/>
          <w:b/>
          <w:sz w:val="24"/>
          <w:szCs w:val="24"/>
        </w:rPr>
        <w:t>2.1.5.1.1.2.1.2.角色服务分发</w:t>
      </w:r>
    </w:p>
    <w:p w14:paraId="3014C68C">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为角色分发私有服务，创建或导入角色下的用户信息后，用户将继承角色分类下的服务。</w:t>
      </w:r>
    </w:p>
    <w:p w14:paraId="6DA488C5">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2.1.5.1.1.2.2.场景授权</w:t>
      </w:r>
    </w:p>
    <w:p w14:paraId="77E6A7B7">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通过动态同步场景管理模块已创建的场景列表，结合机构现有系统信息进行元数据映射，实现权限的精准分发。一个场景可授权给多个业务系统，一个业务系统/功能模块只能授权一个场景。实现面向业务系统授权场景及场景下服务，AI小助手的模块化分发与动态适配，确保不同场景下的AI小助手精准响应实际应用需求。展示信息包含：类型、厂商、产品、业务系统编码、业务系统名称等；支持通过类型、产品与所属厂商、业务系统编码、业务系统名称进行查询检索；满足多业务场景下的服务管控需求。</w:t>
      </w:r>
    </w:p>
    <w:p w14:paraId="7100B108">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2.1.5.1.1.2.3.业务数据管理</w:t>
      </w:r>
    </w:p>
    <w:p w14:paraId="70BD1D30">
      <w:pPr>
        <w:pStyle w:val="6"/>
        <w:keepNext w:val="0"/>
        <w:keepLines w:val="0"/>
        <w:pageBreakBefore w:val="0"/>
        <w:kinsoku/>
        <w:wordWrap/>
        <w:overflowPunct/>
        <w:topLinePunct w:val="0"/>
        <w:autoSpaceDE/>
        <w:autoSpaceDN/>
        <w:bidi w:val="0"/>
        <w:adjustRightInd/>
        <w:snapToGrid/>
        <w:spacing w:line="500" w:lineRule="exact"/>
        <w:ind w:left="1440"/>
        <w:jc w:val="both"/>
        <w:textAlignment w:val="auto"/>
        <w:rPr>
          <w:rFonts w:hint="eastAsia" w:ascii="宋体" w:hAnsi="宋体" w:eastAsia="宋体" w:cs="宋体"/>
          <w:sz w:val="24"/>
          <w:szCs w:val="24"/>
        </w:rPr>
      </w:pPr>
      <w:r>
        <w:rPr>
          <w:rFonts w:hint="eastAsia" w:ascii="宋体" w:hAnsi="宋体" w:eastAsia="宋体" w:cs="宋体"/>
          <w:b/>
          <w:sz w:val="24"/>
          <w:szCs w:val="24"/>
        </w:rPr>
        <w:t>2.1.5.1.1.2.3.1.问答记录管理</w:t>
      </w:r>
    </w:p>
    <w:p w14:paraId="141FB9C8">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提供完整的对话交互记录管理，涵盖从会话发起、服务调用到结果生成的全过程记录。每个对话记录包含全活ID、用户信息、患者信息、科室归属、服务机构等关键维度，形成完整的审计链条。通过唯一会话标识确保每条记录的可追溯性，支持后续的问题排查和效果分析。</w:t>
      </w:r>
    </w:p>
    <w:p w14:paraId="4E321BEB">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支持按用户ID/姓名、病人ID/姓名、服务名称、所属机构等多重条件进行组合查询。检索结果从记录中精准筛选，支持分页浏览，确保大数据量下的查询效率。通过创建时间筛选，可实现特定时间段的对话记录分析。</w:t>
      </w:r>
    </w:p>
    <w:p w14:paraId="00EEC13E">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详细记录每次服务调用的性能指标，包括生成耗时和录音时长等关键参数。这些性能数据为服务优化提供重要依据，帮助识别性能瓶颈和服务异常。通过耗时分析，管理人员可以评估服务响应效率，针对性进行性能调优。</w:t>
      </w:r>
    </w:p>
    <w:p w14:paraId="704B0611">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记录每次服务调用的具体场景信息，包括科室名称（全科门诊、神经内科、门诊妇科等）、服务能力（智能体模式、普通模式）、智能体标题等业务维度。这些信息帮助分析不同科室、不同场景下的服务使用特征，为场景化优化提供数据支持。</w:t>
      </w:r>
    </w:p>
    <w:p w14:paraId="480CB1DF">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每个对话记录均提供"查看对话记录"操作入口，支持完整对话内容的回溯分析。通过对话详情，可以深入了解服务交互的具体过程，包括用户输入、系统响应、处理逻辑等关键信息，为服务质量评估和问题诊断提供第一手资料。</w:t>
      </w:r>
    </w:p>
    <w:p w14:paraId="6DA32B48">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通过所属机构字段实现多机构数据隔离，确保各医疗机构只能访问本单位的对话记录。结合编辑人字段的审计追踪，形成完整的责任体系，满足医疗行业的合规性要求。</w:t>
      </w:r>
    </w:p>
    <w:p w14:paraId="0838501C">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支持基于对话记录的统计分析，可生成服务使用频次、用户活跃度、科室分布等多维度报表。通过这些统计分析，管理人员可以掌握AI服务的整体使用情况，识别高价值服务和高频使用场景，为资源调配和服务优化提供决策依据。</w:t>
      </w:r>
    </w:p>
    <w:p w14:paraId="7A28B932">
      <w:pPr>
        <w:pStyle w:val="6"/>
        <w:keepNext w:val="0"/>
        <w:keepLines w:val="0"/>
        <w:pageBreakBefore w:val="0"/>
        <w:kinsoku/>
        <w:wordWrap/>
        <w:overflowPunct/>
        <w:topLinePunct w:val="0"/>
        <w:autoSpaceDE/>
        <w:autoSpaceDN/>
        <w:bidi w:val="0"/>
        <w:adjustRightInd/>
        <w:snapToGrid/>
        <w:spacing w:line="500" w:lineRule="exact"/>
        <w:ind w:left="1440"/>
        <w:jc w:val="both"/>
        <w:textAlignment w:val="auto"/>
        <w:rPr>
          <w:rFonts w:hint="eastAsia" w:ascii="宋体" w:hAnsi="宋体" w:eastAsia="宋体" w:cs="宋体"/>
          <w:sz w:val="24"/>
          <w:szCs w:val="24"/>
        </w:rPr>
      </w:pPr>
      <w:r>
        <w:rPr>
          <w:rFonts w:hint="eastAsia" w:ascii="宋体" w:hAnsi="宋体" w:eastAsia="宋体" w:cs="宋体"/>
          <w:b/>
          <w:sz w:val="24"/>
          <w:szCs w:val="24"/>
        </w:rPr>
        <w:t>2.1.5.1.1.2.3.2.第三方信息生成记录</w:t>
      </w:r>
    </w:p>
    <w:p w14:paraId="151841F9">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应用管理平台中负责监控和管理外部数据服务接入与处理过程的重要功能组件。通过建立完整的第三方服务监控体系，实现对各类外部数据生成任务的全程追踪、质量评估和结果比对，确保第三方服务与平台AI能力的有效协同。</w:t>
      </w:r>
    </w:p>
    <w:p w14:paraId="1B01904A">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提供完善的多维度数据检索能力，用户可通过就诊卡号、科室、关联服务、业务关键词以及时间范围等多重条件进行精准查询，支持查询结果的一键重置和导出功能，便于后续的离线分析和报表生成。</w:t>
      </w:r>
    </w:p>
    <w:p w14:paraId="2EB092B1">
      <w:pPr>
        <w:pStyle w:val="6"/>
        <w:keepNext w:val="0"/>
        <w:keepLines w:val="0"/>
        <w:pageBreakBefore w:val="0"/>
        <w:kinsoku/>
        <w:wordWrap/>
        <w:overflowPunct/>
        <w:topLinePunct w:val="0"/>
        <w:autoSpaceDE/>
        <w:autoSpaceDN/>
        <w:bidi w:val="0"/>
        <w:adjustRightInd/>
        <w:snapToGrid/>
        <w:spacing w:line="500" w:lineRule="exact"/>
        <w:ind w:left="1440"/>
        <w:jc w:val="both"/>
        <w:textAlignment w:val="auto"/>
        <w:rPr>
          <w:rFonts w:hint="eastAsia" w:ascii="宋体" w:hAnsi="宋体" w:eastAsia="宋体" w:cs="宋体"/>
          <w:sz w:val="24"/>
          <w:szCs w:val="24"/>
        </w:rPr>
      </w:pPr>
      <w:r>
        <w:rPr>
          <w:rFonts w:hint="eastAsia" w:ascii="宋体" w:hAnsi="宋体" w:eastAsia="宋体" w:cs="宋体"/>
          <w:b/>
          <w:sz w:val="24"/>
          <w:szCs w:val="24"/>
        </w:rPr>
        <w:t>2.1.5.1.1.2.3.3.预问诊病历记录</w:t>
      </w:r>
    </w:p>
    <w:p w14:paraId="517C8C8A">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建立完整的预问诊数据管理体系，涵盖从患者预约、预问诊信息采集、内容生成到结构化处理的完整流程。每个预问诊记录包含就诊卡号、预约科室、就诊时间、关联服务等核心信息，形成完整的诊前病历数据链。通过业务Key实现与具体业务场景的精准关联，确保数据来源的可追溯性。</w:t>
      </w:r>
    </w:p>
    <w:p w14:paraId="071FA0D2">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提供多维度数据检索能力，支持按数据卡号、预约科室、就诊时间范围、关联服务等条件进行组合查询。重置功能支持快速清空查询条件，导出功能便于数据的外部分析和报表生成。这种灵活的查询机制确保用户能够快速定位目标预问诊记录。</w:t>
      </w:r>
    </w:p>
    <w:p w14:paraId="20EDF036">
      <w:pPr>
        <w:pStyle w:val="6"/>
        <w:keepNext w:val="0"/>
        <w:keepLines w:val="0"/>
        <w:pageBreakBefore w:val="0"/>
        <w:kinsoku/>
        <w:wordWrap/>
        <w:overflowPunct/>
        <w:topLinePunct w:val="0"/>
        <w:autoSpaceDE/>
        <w:autoSpaceDN/>
        <w:bidi w:val="0"/>
        <w:adjustRightInd/>
        <w:snapToGrid/>
        <w:spacing w:line="500" w:lineRule="exact"/>
        <w:ind w:left="1440"/>
        <w:jc w:val="both"/>
        <w:textAlignment w:val="auto"/>
        <w:rPr>
          <w:rFonts w:hint="eastAsia" w:ascii="宋体" w:hAnsi="宋体" w:eastAsia="宋体" w:cs="宋体"/>
          <w:sz w:val="24"/>
          <w:szCs w:val="24"/>
        </w:rPr>
      </w:pPr>
      <w:r>
        <w:rPr>
          <w:rFonts w:hint="eastAsia" w:ascii="宋体" w:hAnsi="宋体" w:eastAsia="宋体" w:cs="宋体"/>
          <w:b/>
          <w:sz w:val="24"/>
          <w:szCs w:val="24"/>
        </w:rPr>
        <w:t>2.1.5.1.1.2.3.4.意见反馈</w:t>
      </w:r>
    </w:p>
    <w:p w14:paraId="0D4B9AC1">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意见反馈是关键用户连接与质量改进闭环组件，它构建一个标准化、流程化的用户意见收集、处理与追踪体系。核心职能是充当平台与最终用户（如医生、护士、管理员）之间的沟通桥梁，将用户在具体使用AI服务过程中遇到的问题、发现的不足或提出的优化建议，系统地转化为驱动产品迭代与服务质量提升的宝贵数据输入。</w:t>
      </w:r>
    </w:p>
    <w:p w14:paraId="5F9EF738">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提供数据筛选与查询能力。管理人员可以通过用户名、所属机构、反馈类型、反馈场景、服务名称以及处理状态等多个维度，快速精准地定位到特定的反馈记录。例如，可以快速筛选出所有针对“住院病历辅助”服务中“语音生成病历”功能的“格式问题”反馈。配合“重置”与“导出”功能，可以高效地清空搜索条件或批量导出数据，便于进行离线分析与生成报表。</w:t>
      </w:r>
    </w:p>
    <w:p w14:paraId="7E564FB7">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建立结构化的信息录入与归档机制。每一条反馈都包含了完整的上下文信息，如反馈ID、关联的病人信息（病人ID、病人姓名）、具体的服务名称（如“门诊病历辅助”、“生成出院记录”），以及精确的时间戳（反馈时间）。更重要的是，它通过“反馈类型”字段（如“针对问题”、“针对回答”、“针对格式”）和具体的“反馈意见”文本框，对用户反馈进行了标准化分类和详情记录，这使得问题可以被快速归类和理解。</w:t>
      </w:r>
    </w:p>
    <w:p w14:paraId="24E985CF">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所有反馈记录均带有明确的状态标识（当前截图显示大量“未回复”状态），构建清晰的任务管理与追踪闭环。该状态看板使得管理人员能够一目了然地掌握待处理工单的数量与分布，确保每一条用户声音都不会被遗漏，并能跟踪其处理进度直至解决。</w:t>
      </w:r>
    </w:p>
    <w:p w14:paraId="6537D49F">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每条反馈记录后附带的“查看”操作是处理流程的起点。点击后，管理人员可以查阅反馈的完整详情，并在此基础上进行回复、分配处理任务或将其标记为已解决。这种设计确保了针对每一条反馈都能形成一个从“录入”到“处理”再到“关闭”的完整闭环。</w:t>
      </w:r>
    </w:p>
    <w:p w14:paraId="48F1F5E9">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2.1.5.1.1.2.4.基础管理</w:t>
      </w:r>
    </w:p>
    <w:p w14:paraId="0C79AB54">
      <w:pPr>
        <w:pStyle w:val="6"/>
        <w:keepNext w:val="0"/>
        <w:keepLines w:val="0"/>
        <w:pageBreakBefore w:val="0"/>
        <w:kinsoku/>
        <w:wordWrap/>
        <w:overflowPunct/>
        <w:topLinePunct w:val="0"/>
        <w:autoSpaceDE/>
        <w:autoSpaceDN/>
        <w:bidi w:val="0"/>
        <w:adjustRightInd/>
        <w:snapToGrid/>
        <w:spacing w:line="500" w:lineRule="exact"/>
        <w:ind w:left="1440"/>
        <w:jc w:val="both"/>
        <w:textAlignment w:val="auto"/>
        <w:rPr>
          <w:rFonts w:hint="eastAsia" w:ascii="宋体" w:hAnsi="宋体" w:eastAsia="宋体" w:cs="宋体"/>
          <w:sz w:val="24"/>
          <w:szCs w:val="24"/>
        </w:rPr>
      </w:pPr>
      <w:r>
        <w:rPr>
          <w:rFonts w:hint="eastAsia" w:ascii="宋体" w:hAnsi="宋体" w:eastAsia="宋体" w:cs="宋体"/>
          <w:b/>
          <w:sz w:val="24"/>
          <w:szCs w:val="24"/>
        </w:rPr>
        <w:t>2.1.5.1.1.2.4.1.用户管理</w:t>
      </w:r>
    </w:p>
    <w:p w14:paraId="282AE412">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用户管理承担着平台所有用户账户的集中管理与权限分配职责。通过建立标准化的用户管理体系，实现用户账户的全生命周期管理、角色权限分配和访问状态控制，确保平台使用的安全性和规范性。</w:t>
      </w:r>
    </w:p>
    <w:p w14:paraId="2A170EC6">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提供完善的多维度用户查询功能，支持通过用户账号、用户名称、角色类型、启用状态、更新人及所属机构等多个条件进行组合检索。这种灵活的查询机制使管理员能够快速定位目标用户账户，有效提升用户管理效率。配备的查询重置功能可以一键清空搜索条件，简化操作流程。</w:t>
      </w:r>
    </w:p>
    <w:p w14:paraId="421BB3F5">
      <w:pPr>
        <w:pStyle w:val="6"/>
        <w:keepNext w:val="0"/>
        <w:keepLines w:val="0"/>
        <w:pageBreakBefore w:val="0"/>
        <w:kinsoku/>
        <w:wordWrap/>
        <w:overflowPunct/>
        <w:topLinePunct w:val="0"/>
        <w:autoSpaceDE/>
        <w:autoSpaceDN/>
        <w:bidi w:val="0"/>
        <w:adjustRightInd/>
        <w:snapToGrid/>
        <w:spacing w:line="500" w:lineRule="exact"/>
        <w:ind w:left="1440"/>
        <w:jc w:val="both"/>
        <w:textAlignment w:val="auto"/>
        <w:rPr>
          <w:rFonts w:hint="eastAsia" w:ascii="宋体" w:hAnsi="宋体" w:eastAsia="宋体" w:cs="宋体"/>
          <w:sz w:val="24"/>
          <w:szCs w:val="24"/>
        </w:rPr>
      </w:pPr>
      <w:r>
        <w:rPr>
          <w:rFonts w:hint="eastAsia" w:ascii="宋体" w:hAnsi="宋体" w:eastAsia="宋体" w:cs="宋体"/>
          <w:b/>
          <w:sz w:val="24"/>
          <w:szCs w:val="24"/>
        </w:rPr>
        <w:t>2.1.5.1.1.2.4.2.角色权限</w:t>
      </w:r>
    </w:p>
    <w:p w14:paraId="059D2A3D">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角色权限承担着平台权限体系的构建、分配与管理职责。通过建立"角色-用户"的权限映射关系，实现平台功能访问权的精细化控制，确保各类用户只能访问其授权范围内的系统功能和数据资源。</w:t>
      </w:r>
    </w:p>
    <w:p w14:paraId="3CB55894">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提供清晰的角色成员管理功能，通过列表形式展示所有角色与用户的对应关系。支持按角色名称和用户名称进行精准查询，快速定位特定权限配置情况。</w:t>
      </w:r>
    </w:p>
    <w:p w14:paraId="4122B90A">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采用直观的表格展示方式，清晰呈现序号、角色名称、用户账号、用户名称等关键信息。每个角色成员配置都提供"移除"操作，支持权限的实时调整。这种设计使管理员能够快速了解当前权限分配状况，并及时响应用户角色变更需求。</w:t>
      </w:r>
    </w:p>
    <w:p w14:paraId="6EA36898">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角色权限模块与用户管理模块深度集成，形成完整的权限管理体系。通过将用户账号与特定角色关联，实现功能权限的批量分配和管理。这种基于角色的权限控制机制大幅简化了权限管理复杂度，特别是在大型医疗机构中，能够有效应对频繁的人员变动和权限调整。</w:t>
      </w:r>
    </w:p>
    <w:p w14:paraId="14155D7A">
      <w:pPr>
        <w:pStyle w:val="6"/>
        <w:keepNext w:val="0"/>
        <w:keepLines w:val="0"/>
        <w:pageBreakBefore w:val="0"/>
        <w:kinsoku/>
        <w:wordWrap/>
        <w:overflowPunct/>
        <w:topLinePunct w:val="0"/>
        <w:autoSpaceDE/>
        <w:autoSpaceDN/>
        <w:bidi w:val="0"/>
        <w:adjustRightInd/>
        <w:snapToGrid/>
        <w:spacing w:line="500" w:lineRule="exact"/>
        <w:ind w:left="1440"/>
        <w:jc w:val="both"/>
        <w:textAlignment w:val="auto"/>
        <w:rPr>
          <w:rFonts w:hint="eastAsia" w:ascii="宋体" w:hAnsi="宋体" w:eastAsia="宋体" w:cs="宋体"/>
          <w:sz w:val="24"/>
          <w:szCs w:val="24"/>
        </w:rPr>
      </w:pPr>
      <w:r>
        <w:rPr>
          <w:rFonts w:hint="eastAsia" w:ascii="宋体" w:hAnsi="宋体" w:eastAsia="宋体" w:cs="宋体"/>
          <w:b/>
          <w:sz w:val="24"/>
          <w:szCs w:val="24"/>
        </w:rPr>
        <w:t>2.1.5.1.1.2.4.3.菜单管理</w:t>
      </w:r>
    </w:p>
    <w:p w14:paraId="4211DF83">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菜单管理是承担着平台整体导航结构的定义、组织和展示控制职责。通过标准化的菜单管理体系，实现平台功能菜单的集中配置和灵活调度，确保用户能够快速定位和访问授权功能，同时保持平台导航结构的一致性和可维护性。</w:t>
      </w:r>
    </w:p>
    <w:p w14:paraId="35DBC5A4">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提供完整的菜单体系架构，涵盖从首页、应用管理到基础管理的全平台功能导航。采用分级菜单结构，将平台功能划分为场景管理、页签管理、服务管理、垃圾箱管理、智能体管理等核心业务模块，以及场景服务关联、精细化授权、服务分发等高级功能模块，形成清晰的平台功能矩阵。</w:t>
      </w:r>
    </w:p>
    <w:p w14:paraId="3C932BCB">
      <w:pPr>
        <w:pStyle w:val="6"/>
        <w:keepNext w:val="0"/>
        <w:keepLines w:val="0"/>
        <w:pageBreakBefore w:val="0"/>
        <w:kinsoku/>
        <w:wordWrap/>
        <w:overflowPunct/>
        <w:topLinePunct w:val="0"/>
        <w:autoSpaceDE/>
        <w:autoSpaceDN/>
        <w:bidi w:val="0"/>
        <w:adjustRightInd/>
        <w:snapToGrid/>
        <w:spacing w:line="500" w:lineRule="exact"/>
        <w:ind w:left="1440"/>
        <w:jc w:val="both"/>
        <w:textAlignment w:val="auto"/>
        <w:rPr>
          <w:rFonts w:hint="eastAsia" w:ascii="宋体" w:hAnsi="宋体" w:eastAsia="宋体" w:cs="宋体"/>
          <w:sz w:val="24"/>
          <w:szCs w:val="24"/>
        </w:rPr>
      </w:pPr>
      <w:r>
        <w:rPr>
          <w:rFonts w:hint="eastAsia" w:ascii="宋体" w:hAnsi="宋体" w:eastAsia="宋体" w:cs="宋体"/>
          <w:b/>
          <w:sz w:val="24"/>
          <w:szCs w:val="24"/>
        </w:rPr>
        <w:t>2.1.5.1.1.2.4.4.字典管理</w:t>
      </w:r>
    </w:p>
    <w:p w14:paraId="4837705F">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字典管理用于全系统基础数据字典的统一管理和维护。通过建立标准化的字典体系，为平台各业务模块提供统一、规范的基础数据支撑，确保系统数据的完整性和一致性，有效提升数据质量和系统可靠性。</w:t>
      </w:r>
    </w:p>
    <w:p w14:paraId="6F5350BB">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提供完善的字典分类管理体系，涵盖业务系统类型、应用阶段、质控类型、行政隶属关系、资源类型、卫生机构类别等全方位的基础数据分类。每个字典项均包含字典名称、字典代码、启用状态、备注信息和更新时间等关键属性，形成完整的字典管理生态。通过标准化的字典代码设计，为每个字典项建立唯一标识，确保字典数据在全平台范围内的准确识别和调用。</w:t>
      </w:r>
    </w:p>
    <w:p w14:paraId="41BA3EB9">
      <w:pPr>
        <w:pStyle w:val="6"/>
        <w:keepNext w:val="0"/>
        <w:keepLines w:val="0"/>
        <w:pageBreakBefore w:val="0"/>
        <w:kinsoku/>
        <w:wordWrap/>
        <w:overflowPunct/>
        <w:topLinePunct w:val="0"/>
        <w:autoSpaceDE/>
        <w:autoSpaceDN/>
        <w:bidi w:val="0"/>
        <w:adjustRightInd/>
        <w:snapToGrid/>
        <w:spacing w:line="500" w:lineRule="exact"/>
        <w:ind w:left="1440"/>
        <w:jc w:val="both"/>
        <w:textAlignment w:val="auto"/>
        <w:rPr>
          <w:rFonts w:hint="eastAsia" w:ascii="宋体" w:hAnsi="宋体" w:eastAsia="宋体" w:cs="宋体"/>
          <w:sz w:val="24"/>
          <w:szCs w:val="24"/>
        </w:rPr>
      </w:pPr>
      <w:r>
        <w:rPr>
          <w:rFonts w:hint="eastAsia" w:ascii="宋体" w:hAnsi="宋体" w:eastAsia="宋体" w:cs="宋体"/>
          <w:b/>
          <w:sz w:val="24"/>
          <w:szCs w:val="24"/>
        </w:rPr>
        <w:t>2.1.5.1.1.2.4.5.科室分类管理</w:t>
      </w:r>
    </w:p>
    <w:p w14:paraId="115B5E0D">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科室分类管理功能作为医院信息管理系统的核心组织架构模块，致力于构建统一规范的科室分类体系，为全院业务流程提供精准可靠的基础数据支撑。基于分层分类管理理念，实现对预防保健科、全科医疗科、内科、外科等全院所有临床、医技及职能科室的精细化分类管理。通过建立标准化的分类信息结构，完整记录每个科室分类的唯一分类ID、规范类别代码、标准分类名称、分类层级标识及状态标识等核心元数据，形成全院统一的科室主数据索引。</w:t>
      </w:r>
    </w:p>
    <w:p w14:paraId="33D29C35">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在查询检索方面，提供多维度的精准查询能力，支持通过分类ID进行精确匹配查询，通过科室分类名称进行模糊或精确检索，通过科室分类标识进行状态筛选，并可一键重置所有查询条件，快速返回初始查询状态，极大提升了信息检索效率。同时，提供完善的新建科室分类功能，支持按标准流程创建新的科室分类条目，确保新增分类信息的规范性和完整性。</w:t>
      </w:r>
    </w:p>
    <w:p w14:paraId="19CF196B">
      <w:pPr>
        <w:pStyle w:val="6"/>
        <w:keepNext w:val="0"/>
        <w:keepLines w:val="0"/>
        <w:pageBreakBefore w:val="0"/>
        <w:kinsoku/>
        <w:wordWrap/>
        <w:overflowPunct/>
        <w:topLinePunct w:val="0"/>
        <w:autoSpaceDE/>
        <w:autoSpaceDN/>
        <w:bidi w:val="0"/>
        <w:adjustRightInd/>
        <w:snapToGrid/>
        <w:spacing w:line="500" w:lineRule="exact"/>
        <w:ind w:left="1440"/>
        <w:jc w:val="both"/>
        <w:textAlignment w:val="auto"/>
        <w:rPr>
          <w:rFonts w:hint="eastAsia" w:ascii="宋体" w:hAnsi="宋体" w:eastAsia="宋体" w:cs="宋体"/>
          <w:sz w:val="24"/>
          <w:szCs w:val="24"/>
        </w:rPr>
      </w:pPr>
      <w:r>
        <w:rPr>
          <w:rFonts w:hint="eastAsia" w:ascii="宋体" w:hAnsi="宋体" w:eastAsia="宋体" w:cs="宋体"/>
          <w:b/>
          <w:sz w:val="24"/>
          <w:szCs w:val="24"/>
        </w:rPr>
        <w:t>2.1.5.1.1.2.4.6.业务模块管理</w:t>
      </w:r>
    </w:p>
    <w:p w14:paraId="2AC4B014">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业务模块管理功能是医院信息系统的核心管控组件，致力于构建统一、规范、可扩展的业务模块管理体系。通过集中化管控机制，实现对医院各类信息系统业务模块的全生命周期管理，为医院信息化建设提供坚实的架构基础。</w:t>
      </w:r>
    </w:p>
    <w:p w14:paraId="58AE2209">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在模块管理维度上，支持对多产品体系下的业务模块进行精细化管控，涵盖各类产品线。针对每个业务模块，建立完整的属性管理体系，支持设置模块的唯一编码标识、明确模块功能类型（如数据采集类、业务处理类、统计分析类等）、指定所属产品体系，并通过启用/禁用开关实现模块的灵活管控。同时，提供自定义排序功能，支持通过设置排序号实现模块在系统界面中的显示顺序控制，确保重要模块优先展示。</w:t>
      </w:r>
    </w:p>
    <w:p w14:paraId="4669D6CC">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在操作功能层面，提供完善的模块管理工具集。管理员可通过新增功能创建新的业务模块，完整配置各项参数属性；通过编辑功能对现有模块信息进行动态调整；通过删除功能实现无效模块的清理。为提升管理效率，提供批量操作能力，支持通过Excel模板批量导入模块信息，实现快速部署；同时提供批量删除功能，便于进行系统模块的集中清理。在信息检索方面，提供智能搜索功能，支持通过模块编码、模块名称、所属产品等关键字段进行快速检索，帮助管理员精准定位目标模块。</w:t>
      </w:r>
    </w:p>
    <w:p w14:paraId="07646EB0">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2.1.5.1.1.2.5.联通性测试</w:t>
      </w:r>
    </w:p>
    <w:p w14:paraId="5DE1584A">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联通性测试模块主要用于检测系统与外部接口、服务的连接状态。它支持选择系统类型后执行测试操作，可对多个关键接口（如调DS 的联通性接口、病历文书接口、病人信息接口、门户鉴权接口、DIFY 的联通性接口等）的连通性进行检测，直观展示每个接口的测试结果（成功或失败），并提供 “详情” 查看入口，便于技术人员快速定位和排查系统间的连接问题，保障医院信息系统与外部服务、接口的稳定通信，为业务流程的顺畅运转提供连通性保障。</w:t>
      </w:r>
    </w:p>
    <w:p w14:paraId="01FED2CE">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2.1.5.1.1.2.6.日志管理</w:t>
      </w:r>
    </w:p>
    <w:p w14:paraId="54FFC925">
      <w:pPr>
        <w:pStyle w:val="6"/>
        <w:keepNext w:val="0"/>
        <w:keepLines w:val="0"/>
        <w:pageBreakBefore w:val="0"/>
        <w:kinsoku/>
        <w:wordWrap/>
        <w:overflowPunct/>
        <w:topLinePunct w:val="0"/>
        <w:autoSpaceDE/>
        <w:autoSpaceDN/>
        <w:bidi w:val="0"/>
        <w:adjustRightInd/>
        <w:snapToGrid/>
        <w:spacing w:line="500" w:lineRule="exact"/>
        <w:ind w:left="1440"/>
        <w:jc w:val="both"/>
        <w:textAlignment w:val="auto"/>
        <w:rPr>
          <w:rFonts w:hint="eastAsia" w:ascii="宋体" w:hAnsi="宋体" w:eastAsia="宋体" w:cs="宋体"/>
          <w:sz w:val="24"/>
          <w:szCs w:val="24"/>
        </w:rPr>
      </w:pPr>
      <w:r>
        <w:rPr>
          <w:rFonts w:hint="eastAsia" w:ascii="宋体" w:hAnsi="宋体" w:eastAsia="宋体" w:cs="宋体"/>
          <w:b/>
          <w:sz w:val="24"/>
          <w:szCs w:val="24"/>
        </w:rPr>
        <w:t>2.1.5.1.1.2.6.1.页面操作日志</w:t>
      </w:r>
    </w:p>
    <w:p w14:paraId="1E6804CE">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页面操作日志功能主要用于对系统页面操作行为进行全面记录与管理。它可通过时间范围、关键词、请求状态、接口类型、追踪ID、所属机构等多维度条件进行查询，能详细记录每一次操作的追踪 ID、模块名、服务名称、请求状态、耗时、操作时间、操作人、所属机构等信息；支持对操作记录进行“查看”“关联”操作，还具备 “导出”功能以便数据留存与分析。</w:t>
      </w:r>
    </w:p>
    <w:p w14:paraId="71C0F617">
      <w:pPr>
        <w:pStyle w:val="6"/>
        <w:keepNext w:val="0"/>
        <w:keepLines w:val="0"/>
        <w:pageBreakBefore w:val="0"/>
        <w:kinsoku/>
        <w:wordWrap/>
        <w:overflowPunct/>
        <w:topLinePunct w:val="0"/>
        <w:autoSpaceDE/>
        <w:autoSpaceDN/>
        <w:bidi w:val="0"/>
        <w:adjustRightInd/>
        <w:snapToGrid/>
        <w:spacing w:line="500" w:lineRule="exact"/>
        <w:ind w:left="1440"/>
        <w:jc w:val="both"/>
        <w:textAlignment w:val="auto"/>
        <w:rPr>
          <w:rFonts w:hint="eastAsia" w:ascii="宋体" w:hAnsi="宋体" w:eastAsia="宋体" w:cs="宋体"/>
          <w:sz w:val="24"/>
          <w:szCs w:val="24"/>
        </w:rPr>
      </w:pPr>
      <w:r>
        <w:rPr>
          <w:rFonts w:hint="eastAsia" w:ascii="宋体" w:hAnsi="宋体" w:eastAsia="宋体" w:cs="宋体"/>
          <w:b/>
          <w:sz w:val="24"/>
          <w:szCs w:val="24"/>
        </w:rPr>
        <w:t>2.1.5.1.1.2.6.2.第三方接口日志</w:t>
      </w:r>
    </w:p>
    <w:p w14:paraId="20724D42">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第三方接口日志功能主要用于对系统与第三方接口的交互行为进行全面记录和管理。它支持通过时间范围、接口名称、调用服务、关联智能体、关键词、所属机构、模块名、请求来源、请求状态、接口类型等多维度条件进行查询，可详细记录每一次接口交互的追踪ID、接口名称、模块名、请求来源、调用服务、关联智能体、请求状态、耗时、操作时间、操作人、所属机构等信息；提供“查看”“关联”操作以及，还具备“导出”功能。</w:t>
      </w:r>
    </w:p>
    <w:p w14:paraId="794F47C7">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2.1.5.1.1.3.配置中心</w:t>
      </w:r>
    </w:p>
    <w:p w14:paraId="7ABAEC73">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2.1.5.1.1.3.1.机构接入</w:t>
      </w:r>
    </w:p>
    <w:p w14:paraId="33F142C2">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全面支持从单体机构、集团化医院到城市医疗集团等多种部署模式，为不同规模的医疗组织提供与之匹配的数字化解决方案。</w:t>
      </w:r>
    </w:p>
    <w:p w14:paraId="665DB58E">
      <w:pPr>
        <w:pStyle w:val="6"/>
        <w:keepNext w:val="0"/>
        <w:keepLines w:val="0"/>
        <w:pageBreakBefore w:val="0"/>
        <w:kinsoku/>
        <w:wordWrap/>
        <w:overflowPunct/>
        <w:topLinePunct w:val="0"/>
        <w:autoSpaceDE/>
        <w:autoSpaceDN/>
        <w:bidi w:val="0"/>
        <w:adjustRightInd/>
        <w:snapToGrid/>
        <w:spacing w:line="500" w:lineRule="exact"/>
        <w:ind w:left="1440"/>
        <w:jc w:val="both"/>
        <w:textAlignment w:val="auto"/>
        <w:rPr>
          <w:rFonts w:hint="eastAsia" w:ascii="宋体" w:hAnsi="宋体" w:eastAsia="宋体" w:cs="宋体"/>
          <w:sz w:val="24"/>
          <w:szCs w:val="24"/>
        </w:rPr>
      </w:pPr>
      <w:r>
        <w:rPr>
          <w:rFonts w:hint="eastAsia" w:ascii="宋体" w:hAnsi="宋体" w:eastAsia="宋体" w:cs="宋体"/>
          <w:b/>
          <w:sz w:val="24"/>
          <w:szCs w:val="24"/>
        </w:rPr>
        <w:t>2.1.5.1.1.3.1.1.场景化配置机制</w:t>
      </w:r>
    </w:p>
    <w:p w14:paraId="2D42756A">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每个机构单元支持独立的场景配置，管理员可根据不同院区的业务特点启用相应的AI服务能力。提供可视化的场景管理界面，通过复选框方式灵活配置各院区所需的辅助功能，如门诊病历辅助、住院病历辅助等。这种设计既保证了核心服务的标准化输出，又兼顾了不同院区的个性化需求。</w:t>
      </w:r>
    </w:p>
    <w:p w14:paraId="7B4F0B87">
      <w:pPr>
        <w:pStyle w:val="6"/>
        <w:keepNext w:val="0"/>
        <w:keepLines w:val="0"/>
        <w:pageBreakBefore w:val="0"/>
        <w:kinsoku/>
        <w:wordWrap/>
        <w:overflowPunct/>
        <w:topLinePunct w:val="0"/>
        <w:autoSpaceDE/>
        <w:autoSpaceDN/>
        <w:bidi w:val="0"/>
        <w:adjustRightInd/>
        <w:snapToGrid/>
        <w:spacing w:line="500" w:lineRule="exact"/>
        <w:ind w:left="1440"/>
        <w:jc w:val="both"/>
        <w:textAlignment w:val="auto"/>
        <w:rPr>
          <w:rFonts w:hint="eastAsia" w:ascii="宋体" w:hAnsi="宋体" w:eastAsia="宋体" w:cs="宋体"/>
          <w:sz w:val="24"/>
          <w:szCs w:val="24"/>
        </w:rPr>
      </w:pPr>
      <w:r>
        <w:rPr>
          <w:rFonts w:hint="eastAsia" w:ascii="宋体" w:hAnsi="宋体" w:eastAsia="宋体" w:cs="宋体"/>
          <w:b/>
          <w:sz w:val="24"/>
          <w:szCs w:val="24"/>
        </w:rPr>
        <w:t>2.1.5.1.1.3.1.2.权限控制模型</w:t>
      </w:r>
    </w:p>
    <w:p w14:paraId="1E22EE67">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基于机构层级体系，实现精细化的权限管理。总机构管理员拥有全局视角，可查看和管理所有分支机构的配置信息；分院管理员仅能管理所属院区的资源和权限。权限体系与组织架构严格对应，确保各级管理员在授权范围内进行操作，有效防范越权访问风险。</w:t>
      </w:r>
    </w:p>
    <w:p w14:paraId="0AEF4561">
      <w:pPr>
        <w:pStyle w:val="6"/>
        <w:keepNext w:val="0"/>
        <w:keepLines w:val="0"/>
        <w:pageBreakBefore w:val="0"/>
        <w:kinsoku/>
        <w:wordWrap/>
        <w:overflowPunct/>
        <w:topLinePunct w:val="0"/>
        <w:autoSpaceDE/>
        <w:autoSpaceDN/>
        <w:bidi w:val="0"/>
        <w:adjustRightInd/>
        <w:snapToGrid/>
        <w:spacing w:line="500" w:lineRule="exact"/>
        <w:ind w:left="1440"/>
        <w:jc w:val="both"/>
        <w:textAlignment w:val="auto"/>
        <w:rPr>
          <w:rFonts w:hint="eastAsia" w:ascii="宋体" w:hAnsi="宋体" w:eastAsia="宋体" w:cs="宋体"/>
          <w:sz w:val="24"/>
          <w:szCs w:val="24"/>
        </w:rPr>
      </w:pPr>
      <w:r>
        <w:rPr>
          <w:rFonts w:hint="eastAsia" w:ascii="宋体" w:hAnsi="宋体" w:eastAsia="宋体" w:cs="宋体"/>
          <w:b/>
          <w:sz w:val="24"/>
          <w:szCs w:val="24"/>
        </w:rPr>
        <w:t>2.1.5.1.1.3.1.3.机构管理</w:t>
      </w:r>
    </w:p>
    <w:p w14:paraId="6DD9E017">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实现精准的资源分发策略。AI服务能力、数据资源、计算资源等均支持按机构维度进行分配。管理员可通过直观的操作界面，将特定服务能力授权给目标机构或院区，确保资源分配的精准性和有效性。</w:t>
      </w:r>
    </w:p>
    <w:p w14:paraId="78BB3DD8">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2.1.5.1.1.3.2.全局配置</w:t>
      </w:r>
    </w:p>
    <w:p w14:paraId="5D505318">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全局配置功能主要用于对应用管理平台的核心参数和功能开关进行集中化设置。它支持配置默认AI模型。</w:t>
      </w:r>
    </w:p>
    <w:p w14:paraId="04C6E87A">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可设置历史记录清除规则，包括问答记录、意见反馈、预问诊病历的物理删除时间。</w:t>
      </w:r>
    </w:p>
    <w:p w14:paraId="7EE83EBF">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能控制预问诊科室过滤、精细化授权开启、服务入口状态展示、最大份数限制、智能体独占时长及时长单位、接口超时熔断、授权服务校验、平台模式（单机构或多机构）、病历信息增强（患者基本信息）以及服务支持新建病例并引用等功能的开关或参数，最后通过“保存” 按钮使配置生效，从而实现对平台整体运行逻辑、数据管理和功能权限的统一管控，保障平台按预期规则稳定、高效运行。</w:t>
      </w:r>
    </w:p>
    <w:p w14:paraId="1F0DEC71">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2.1.5.1.1.3.3.AI助手配置</w:t>
      </w:r>
    </w:p>
    <w:p w14:paraId="4F8F3429">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AI助手配置功能用于对平台内 AI 助手的各项属性进行个性化设置。</w:t>
      </w:r>
    </w:p>
    <w:p w14:paraId="56B28BE7">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支持上传AI助手的logo以定义视觉标识；可设置助手名称、助手简介来明确助手的身份和功能定位。</w:t>
      </w:r>
    </w:p>
    <w:p w14:paraId="6F417B19">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能配置引用按钮提示语、复制按钮提示语、入口欢迎语以优化交互体验。</w:t>
      </w:r>
    </w:p>
    <w:p w14:paraId="288321CC">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同时提供入口浮窗是否翻转、禁止复制的功能开关，满足不同交互场景的需求，所有配置项设置完成后可通过“保存”按钮生效，从而打造符合业务需求、交互友好的 AI 助手形象与使用体验。</w:t>
      </w:r>
    </w:p>
    <w:p w14:paraId="22A595C2">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2.1.5.1.1.3.4.集成开放管理</w:t>
      </w:r>
    </w:p>
    <w:p w14:paraId="39A37297">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集成开放功能主要用于实现应用管理平台与外部系统、服务的集成与连接配置。它涵盖部署平台配置，可设置部署平台地址并测试连接。</w:t>
      </w:r>
    </w:p>
    <w:p w14:paraId="558C76C4">
      <w:pPr>
        <w:pStyle w:val="6"/>
        <w:keepNext w:val="0"/>
        <w:keepLines w:val="0"/>
        <w:pageBreakBefore w:val="0"/>
        <w:kinsoku/>
        <w:wordWrap/>
        <w:overflowPunct/>
        <w:topLinePunct w:val="0"/>
        <w:autoSpaceDE/>
        <w:autoSpaceDN/>
        <w:bidi w:val="0"/>
        <w:adjustRightInd/>
        <w:snapToGrid/>
        <w:spacing w:line="500" w:lineRule="exact"/>
        <w:ind w:left="1440"/>
        <w:jc w:val="both"/>
        <w:textAlignment w:val="auto"/>
        <w:rPr>
          <w:rFonts w:hint="eastAsia" w:ascii="宋体" w:hAnsi="宋体" w:eastAsia="宋体" w:cs="宋体"/>
          <w:sz w:val="24"/>
          <w:szCs w:val="24"/>
        </w:rPr>
      </w:pPr>
      <w:r>
        <w:rPr>
          <w:rFonts w:hint="eastAsia" w:ascii="宋体" w:hAnsi="宋体" w:eastAsia="宋体" w:cs="宋体"/>
          <w:b/>
          <w:sz w:val="24"/>
          <w:szCs w:val="24"/>
        </w:rPr>
        <w:t>2.1.5.1.1.3.4.1.DIFY配置</w:t>
      </w:r>
    </w:p>
    <w:p w14:paraId="53E8AA5B">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支持设置DIFY 前端地址、服务地址、账户及口令，同时提供连接测试功能。</w:t>
      </w:r>
    </w:p>
    <w:p w14:paraId="39300DA2">
      <w:pPr>
        <w:pStyle w:val="6"/>
        <w:keepNext w:val="0"/>
        <w:keepLines w:val="0"/>
        <w:pageBreakBefore w:val="0"/>
        <w:kinsoku/>
        <w:wordWrap/>
        <w:overflowPunct/>
        <w:topLinePunct w:val="0"/>
        <w:autoSpaceDE/>
        <w:autoSpaceDN/>
        <w:bidi w:val="0"/>
        <w:adjustRightInd/>
        <w:snapToGrid/>
        <w:spacing w:line="500" w:lineRule="exact"/>
        <w:ind w:left="1440"/>
        <w:jc w:val="both"/>
        <w:textAlignment w:val="auto"/>
        <w:rPr>
          <w:rFonts w:hint="eastAsia" w:ascii="宋体" w:hAnsi="宋体" w:eastAsia="宋体" w:cs="宋体"/>
          <w:sz w:val="24"/>
          <w:szCs w:val="24"/>
        </w:rPr>
      </w:pPr>
      <w:r>
        <w:rPr>
          <w:rFonts w:hint="eastAsia" w:ascii="宋体" w:hAnsi="宋体" w:eastAsia="宋体" w:cs="宋体"/>
          <w:b/>
          <w:sz w:val="24"/>
          <w:szCs w:val="24"/>
        </w:rPr>
        <w:t>2.1.5.1.1.3.4.2.业务连接配置</w:t>
      </w:r>
    </w:p>
    <w:p w14:paraId="39E3D52C">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可选择病历框架类型，设置鉴权方式（适配器、门户、无鉴权）和病历取数方式（适配器、直连病历），并对适配器的接口地址、前端地址、凭证等进行配置及测试。</w:t>
      </w:r>
    </w:p>
    <w:p w14:paraId="1CBB7642">
      <w:pPr>
        <w:pStyle w:val="6"/>
        <w:keepNext w:val="0"/>
        <w:keepLines w:val="0"/>
        <w:pageBreakBefore w:val="0"/>
        <w:kinsoku/>
        <w:wordWrap/>
        <w:overflowPunct/>
        <w:topLinePunct w:val="0"/>
        <w:autoSpaceDE/>
        <w:autoSpaceDN/>
        <w:bidi w:val="0"/>
        <w:adjustRightInd/>
        <w:snapToGrid/>
        <w:spacing w:line="500" w:lineRule="exact"/>
        <w:ind w:left="1440"/>
        <w:jc w:val="both"/>
        <w:textAlignment w:val="auto"/>
        <w:rPr>
          <w:rFonts w:hint="eastAsia" w:ascii="宋体" w:hAnsi="宋体" w:eastAsia="宋体" w:cs="宋体"/>
          <w:sz w:val="24"/>
          <w:szCs w:val="24"/>
        </w:rPr>
      </w:pPr>
      <w:r>
        <w:rPr>
          <w:rFonts w:hint="eastAsia" w:ascii="宋体" w:hAnsi="宋体" w:eastAsia="宋体" w:cs="宋体"/>
          <w:b/>
          <w:sz w:val="24"/>
          <w:szCs w:val="24"/>
        </w:rPr>
        <w:t>2.1.5.1.1.3.4.3.门户鉴权配置</w:t>
      </w:r>
    </w:p>
    <w:p w14:paraId="2B426D66">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可设置鉴权接口地址并测试连接；病历设置配置，能配置病历统一地址并测试连接。</w:t>
      </w:r>
    </w:p>
    <w:p w14:paraId="269A64F3">
      <w:pPr>
        <w:pStyle w:val="6"/>
        <w:keepNext w:val="0"/>
        <w:keepLines w:val="0"/>
        <w:pageBreakBefore w:val="0"/>
        <w:kinsoku/>
        <w:wordWrap/>
        <w:overflowPunct/>
        <w:topLinePunct w:val="0"/>
        <w:autoSpaceDE/>
        <w:autoSpaceDN/>
        <w:bidi w:val="0"/>
        <w:adjustRightInd/>
        <w:snapToGrid/>
        <w:spacing w:line="500" w:lineRule="exact"/>
        <w:ind w:left="1440"/>
        <w:jc w:val="both"/>
        <w:textAlignment w:val="auto"/>
        <w:rPr>
          <w:rFonts w:hint="eastAsia" w:ascii="宋体" w:hAnsi="宋体" w:eastAsia="宋体" w:cs="宋体"/>
          <w:sz w:val="24"/>
          <w:szCs w:val="24"/>
        </w:rPr>
      </w:pPr>
      <w:r>
        <w:rPr>
          <w:rFonts w:hint="eastAsia" w:ascii="宋体" w:hAnsi="宋体" w:eastAsia="宋体" w:cs="宋体"/>
          <w:b/>
          <w:sz w:val="24"/>
          <w:szCs w:val="24"/>
        </w:rPr>
        <w:t>2.1.5.1.1.3.4.4.消息中心设置配置</w:t>
      </w:r>
    </w:p>
    <w:p w14:paraId="5CE12912">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可开启消息中心入口，设置消息中心路径并测试连接。</w:t>
      </w:r>
    </w:p>
    <w:p w14:paraId="647DA4E4">
      <w:pPr>
        <w:pStyle w:val="6"/>
        <w:keepNext w:val="0"/>
        <w:keepLines w:val="0"/>
        <w:pageBreakBefore w:val="0"/>
        <w:kinsoku/>
        <w:wordWrap/>
        <w:overflowPunct/>
        <w:topLinePunct w:val="0"/>
        <w:autoSpaceDE/>
        <w:autoSpaceDN/>
        <w:bidi w:val="0"/>
        <w:adjustRightInd/>
        <w:snapToGrid/>
        <w:spacing w:line="500" w:lineRule="exact"/>
        <w:ind w:left="1440"/>
        <w:jc w:val="both"/>
        <w:textAlignment w:val="auto"/>
        <w:rPr>
          <w:rFonts w:hint="eastAsia" w:ascii="宋体" w:hAnsi="宋体" w:eastAsia="宋体" w:cs="宋体"/>
          <w:sz w:val="24"/>
          <w:szCs w:val="24"/>
        </w:rPr>
      </w:pPr>
      <w:r>
        <w:rPr>
          <w:rFonts w:hint="eastAsia" w:ascii="宋体" w:hAnsi="宋体" w:eastAsia="宋体" w:cs="宋体"/>
          <w:b/>
          <w:sz w:val="24"/>
          <w:szCs w:val="24"/>
        </w:rPr>
        <w:t>2.1.5.1.1.3.4.5.语音配置</w:t>
      </w:r>
    </w:p>
    <w:p w14:paraId="4A08D610">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支持选择语音WS模式、语音引擎，设置语音 WsUrl、ApiKey、秘钥并测试连接。</w:t>
      </w:r>
    </w:p>
    <w:p w14:paraId="56338436">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所有配置完成后可通过“保存”按钮生效，从而实现平台与外部部署平台、DIFY、业务系统、门户、病历系统、消息中心、语音服务等的高效集成与稳定通信，为平台的功能拓展和业务协同提供基础连接支撑。</w:t>
      </w:r>
    </w:p>
    <w:p w14:paraId="46A0231D">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2.1.5.1.1.3.5.数据元管理</w:t>
      </w:r>
    </w:p>
    <w:p w14:paraId="0DB20B1B">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数据元管理功能主要用于对医疗领域各类数据元进行系统化管理。</w:t>
      </w:r>
    </w:p>
    <w:p w14:paraId="755A9908">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支持通过数据元标准编码、数据元英文名、数据元名称等维度进行精准查询。</w:t>
      </w:r>
    </w:p>
    <w:p w14:paraId="4FE8BF10">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可对数据元进行导出、导入操作，实现数据元的批量管理。</w:t>
      </w:r>
    </w:p>
    <w:p w14:paraId="7F6E6949">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能清晰展示数据元的所属数据集、数据元名称、标准编码、英文名、驼峰英文名、数据元定义、敏感性、更新时间等详细信息，涵盖结算信息、患者信息、医嘱处方、电子病历等多类医疗数据目录（如待产记录、出院记录等数据集下的具体数据元）。</w:t>
      </w:r>
    </w:p>
    <w:p w14:paraId="30D2BDBD">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2.1.5.1.1.3.6.模型管理</w:t>
      </w:r>
    </w:p>
    <w:p w14:paraId="1217770A">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模型管理功能主要用于对各类AI模型进行集中化、规范化管理。</w:t>
      </w:r>
    </w:p>
    <w:p w14:paraId="61285B01">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支持通过模型ID、模型标题进行精准查询，也可重置查询条件。</w:t>
      </w:r>
    </w:p>
    <w:p w14:paraId="4EF61740">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具备新建、删除模型的功能，能对模型的模型ID、名称、类型（推理模型、文本生成等）、URL、APIKEY、上下文最大长度、最大token上限、供应商、排序、更新时间等信息进行全面管理。</w:t>
      </w:r>
    </w:p>
    <w:p w14:paraId="16ED3EF6">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可对已有模型执行编辑、删除操作。</w:t>
      </w:r>
    </w:p>
    <w:p w14:paraId="497A67A2">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功能覆盖了Deepseek、通义千问、OpenAI等多家供应商的模型，助力平台对AI模型的接入、配置和维护进行高效管控，为基于AI模型的业务应用（如智能问答、数据分析等）提供稳定的模型资源支撑。</w:t>
      </w:r>
    </w:p>
    <w:p w14:paraId="4A21F38C">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2.1.5.1.1.3.7.意见反馈配置</w:t>
      </w:r>
    </w:p>
    <w:p w14:paraId="1C0AC256">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意见反馈配置功能主要用于对用户意见反馈的相关规则和内容进行定制化管理。</w:t>
      </w:r>
    </w:p>
    <w:p w14:paraId="21EE1959">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支持开启或关闭用户点联反馈弹窗、反馈按钮、针对节点反馈等功能开关。</w:t>
      </w:r>
    </w:p>
    <w:p w14:paraId="7AC6C128">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可对不同维度的反馈意见进行配置，包括针对问题（如提问内容不准确、问题太泛）、针对回答（如回复诊断不对、回答不符合医疗规范）、针对格式（如格式不对、字体大小混乱）以及其他补充（可设置最大字符数）的反馈类型，且能对这些反馈意见执行添加、删除操作。</w:t>
      </w:r>
    </w:p>
    <w:p w14:paraId="14242A55">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同时可配置反馈回复内容（如手术室、111等）并进行删除操作。</w:t>
      </w:r>
    </w:p>
    <w:p w14:paraId="65F92FE0">
      <w:pPr>
        <w:pStyle w:val="6"/>
        <w:keepNext w:val="0"/>
        <w:keepLines w:val="0"/>
        <w:pageBreakBefore w:val="0"/>
        <w:kinsoku/>
        <w:wordWrap/>
        <w:overflowPunct/>
        <w:topLinePunct w:val="0"/>
        <w:autoSpaceDE/>
        <w:autoSpaceDN/>
        <w:bidi w:val="0"/>
        <w:adjustRightInd/>
        <w:snapToGrid/>
        <w:spacing w:line="500" w:lineRule="exact"/>
        <w:ind w:left="855"/>
        <w:jc w:val="both"/>
        <w:textAlignment w:val="auto"/>
        <w:rPr>
          <w:rFonts w:hint="eastAsia" w:ascii="宋体" w:hAnsi="宋体" w:eastAsia="宋体" w:cs="宋体"/>
          <w:sz w:val="24"/>
          <w:szCs w:val="24"/>
        </w:rPr>
      </w:pPr>
      <w:r>
        <w:rPr>
          <w:rFonts w:hint="eastAsia" w:ascii="宋体" w:hAnsi="宋体" w:eastAsia="宋体" w:cs="宋体"/>
          <w:b/>
          <w:sz w:val="24"/>
          <w:szCs w:val="24"/>
        </w:rPr>
        <w:t>2.1.5.1.2.通用智能助手(评审项77)</w:t>
      </w:r>
    </w:p>
    <w:p w14:paraId="53C7516D">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作为AI能力与用户的直接交互入口，实现智能助手在医院多系统、多终端的无缝集成，支持场景化功能适配、个性化配置、历史会话回溯与意见反馈闭环管理，降低AI应用使用门槛。</w:t>
      </w:r>
    </w:p>
    <w:p w14:paraId="032BCCC6">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2.1.5.1.2.1.多形态标准接入</w:t>
      </w:r>
    </w:p>
    <w:p w14:paraId="4656FB02">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AI 助手提供灵活且全面的标准化接入能力，精心打造前台浮窗对接、iframe 嵌入式对接、接口对接调用这三种标准化对接方式，全方位满足不同业务系统的多样化对接需求。</w:t>
      </w:r>
    </w:p>
    <w:p w14:paraId="75F6A448">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对于门户网站类的业务入口，可采用前台浮窗对接方式。无需进行复杂的技术对接，只需简单配置即可让AI助手以浮窗形式快速嵌入门户网站，用户在浏览门户信息时，能随时唤起 AI 助手进行咨询、信息查询等操作。</w:t>
      </w:r>
    </w:p>
    <w:p w14:paraId="719B08E5">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若对接的是业务操作界面，iframe 嵌入式对接方式则是理想选择。它能将AI助手无缝集成到业务操作界面中，确保业务数据在AI助手与业务系统间实时交互、高效协同。例如在电子病历系统的操作界面中，通过iframe嵌入AI助手，医生在录入病历的同时，可随时借助AI助手获取病历规范建议、相似病例参考等，实现诊疗业务与 AI 服务的深度融合。</w:t>
      </w:r>
    </w:p>
    <w:p w14:paraId="4F6E51FA">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面对封闭式的业务程序对接场景，接口对接调用方式可发挥关键作用。这种方式能将AI 服务作为程序执行的关键一环，深度融入业务程序的逻辑流程中。比如在智能医疗诊断的封闭式程序里，通过接口调用 AI 助手的诊断分析能力，程序可自动将患者检查数据传入AI助手，由其生成初步诊断建议后再反馈给程序进行后续处理，助力业务程序实现智能化升级。</w:t>
      </w:r>
    </w:p>
    <w:p w14:paraId="78032B8D">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2.1.5.1.2.2.服务列表</w:t>
      </w:r>
    </w:p>
    <w:p w14:paraId="7F5F8D0E">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服务列表是用户访问AI助手时具体的服务展现形式，通过AI应用平台的场景管理、服务授权功能，配置展示用户可使用的服务内容；服务列表以页签、子页签、服务分类、服务列表等四个层级进行展示，对同性质或同业务下的服务做整合归集，便于用户快捷使用。</w:t>
      </w:r>
    </w:p>
    <w:p w14:paraId="572689FD">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点击服务即可直接调用相应服务能力进行使用，在服务列表会展示服务的名称及对应运行状态（未调用/正在运行/运行完成/运行失败），让用户直观了解请求所处的阶段；其核心逻辑是后台服务处理任务的生命周期，支持多智能体的调用。</w:t>
      </w:r>
    </w:p>
    <w:p w14:paraId="4B9E4750">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2.1.5.1.2.3.服务交互</w:t>
      </w:r>
    </w:p>
    <w:p w14:paraId="33CB40A3">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2.1.5.1.2.3.1.文字输入</w:t>
      </w:r>
    </w:p>
    <w:p w14:paraId="420126FC">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文字输入作为用户与AI助手进行交互的基础通道，在医疗场景中承担着精准传递专业信息的重要使命。通过提供智能化的文本输入区域，支持用户以自由文本的形式输入医疗问询、指令下达或数据补充等内容。</w:t>
      </w:r>
    </w:p>
    <w:p w14:paraId="2B5CCD81">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采用先进的自然语言理解技术，能够准确解析用户输入的医学术语、症状描述、诊断需求等专业内容，并将其转化为机器可理解的语义表示。</w:t>
      </w:r>
    </w:p>
    <w:p w14:paraId="1FD7F2FC">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集成医疗专业词典和语义分析模型，支持对长篇病历文本、复杂症状描述的深度理解。对于不同类型的医疗任务，能够智能识别用户意图，动态调整理解策略，为后续的服务调度和响应生成提供可靠的输入基础。</w:t>
      </w:r>
    </w:p>
    <w:p w14:paraId="0EA91C38">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支持多轮对话的场景记忆，能够保持上下文连贯性，实现更自然、更高效的人机交互体验。</w:t>
      </w:r>
    </w:p>
    <w:p w14:paraId="3DB1381F">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2.1.5.1.2.3.2.语音输入</w:t>
      </w:r>
    </w:p>
    <w:p w14:paraId="15375B6B">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语音输入功能为医护人员提供一种符合临床工作习惯的自然交互方式，在需要快速操作的场景中具有独特价值。</w:t>
      </w:r>
    </w:p>
    <w:p w14:paraId="0930707E">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通过集成高质量的语音识别引擎，能够准确捕捉用户通过麦克风输入的语音信号，并将其转化为结构化的文本信息。</w:t>
      </w:r>
    </w:p>
    <w:p w14:paraId="6E0BDC9A">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针对医疗场景进行了深度优化，内置医学专业术语库和发音模型，显著提升了药品名称、疾病术语、解剖部位等专业词汇的识别准确率。</w:t>
      </w:r>
    </w:p>
    <w:p w14:paraId="6E150EB3">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支持连续语音输入等高级特性，确保在复杂的医疗环境中仍能保持稳定的识别性能。</w:t>
      </w:r>
    </w:p>
    <w:p w14:paraId="34E5067C">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通过与电子病历系统的深度集成，语音输入的识别结果可以直接用于病历书写等核心业务场景，为医护人员节省宝贵时间，提升工作效率。</w:t>
      </w:r>
    </w:p>
    <w:p w14:paraId="4F6A69C3">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2.1.5.1.2.3.3.引用回填</w:t>
      </w:r>
    </w:p>
    <w:p w14:paraId="130CF5DB">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引用回填功能是医疗AI服务实现价值闭环的核心环节，构建从AI分析结果到临床病历记录的智能化桥梁。</w:t>
      </w:r>
    </w:p>
    <w:p w14:paraId="5B79D3FA">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通过深度学习技术和语义理解算法，能够精准识别AI生成内容中的关键医疗信息，包括诊断结论、治疗建议、用药方案等结构化数据。</w:t>
      </w:r>
    </w:p>
    <w:p w14:paraId="2975FFA4">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采用智能定位算法，自动匹配目标病历文档的插入位置，并确保回填内容符合病历书写规范。</w:t>
      </w:r>
    </w:p>
    <w:p w14:paraId="6AF9E44B">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设计严格的安全控制机制，所有回填操作都需要经过医护人员的最终确认，确保医生对病历内容保持完整的决策权和责任归属。</w:t>
      </w:r>
    </w:p>
    <w:p w14:paraId="0DF2F261">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支持对生成内容的局部引用和整体回填，提供多种回填模板和格式选项，满足不同病历类型的需求。</w:t>
      </w:r>
    </w:p>
    <w:p w14:paraId="22D21E37">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建立完善的操作审计和版本管理机制，确保每次回填操作都可追溯、可复核，为医疗质量安全提供坚实保障。</w:t>
      </w:r>
    </w:p>
    <w:p w14:paraId="1C85BF2D">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2.1.5.1.2.3.4.修订生成</w:t>
      </w:r>
    </w:p>
    <w:p w14:paraId="1C70CEB4">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修订生成功能体现了AI系统的持续学习能力和人机协作的智能化水平。基于先进的自然语言生成技术和上下文理解模型，能够准确理解用户对已生成内容的修改意图。当用户对AI输出的初步结果需要调整时，可以通过特定的修订指令（如"简化表述"、"补充依据"、"调整格式"等）触发系统的重新生成流程。</w:t>
      </w:r>
    </w:p>
    <w:p w14:paraId="11167E45">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采用增量学习和动态优化策略，能够结合用户的修订反馈不断改进生成质量。</w:t>
      </w:r>
    </w:p>
    <w:p w14:paraId="0BC307C6">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支持多种修订模式，包括局部修订、全局优化、格式调整等，并提供实时预览功能，让用户能够直观看到修订效果。</w:t>
      </w:r>
    </w:p>
    <w:p w14:paraId="517B32F1">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建立修订历史库，记录每次修订的详细过程和用户偏好，通过机器学习算法逐步构建个性化的生成模型。</w:t>
      </w:r>
    </w:p>
    <w:p w14:paraId="3FEF3F4B">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2.1.5.1.2.3.5.新建回写</w:t>
      </w:r>
    </w:p>
    <w:p w14:paraId="1F0ADCC8">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新建回写功能专门针对医疗场景中需要创建新病历文档并集成AI生成内容的需求而设计。</w:t>
      </w:r>
    </w:p>
    <w:p w14:paraId="6C09D2A5">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通过标准化的接口协议和数据处理管道，实现AI服务系统与电子病历系统的安全高效对接。</w:t>
      </w:r>
    </w:p>
    <w:p w14:paraId="58A7473C">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当AI系统生成结构化医疗内容后，用户可以通过新建回写功能快速创建符合规范的新病历文档，会自动将相关内容包括诊断信息、治疗建议、观察记录等精准回填至目标位置。</w:t>
      </w:r>
    </w:p>
    <w:p w14:paraId="3C3949D9">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提供丰富的文档模板库，支持入院记录、病程记录、出院小结等多种病历类型的智能创建。</w:t>
      </w:r>
    </w:p>
    <w:p w14:paraId="6467523C">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建立严格的数据校验和质量控制机制，确保回写内容的准确性、完整性和规范性。通过工作流引擎的支持，能够自动触发相关的审批和签名流程，形成完整的智能化闭环，显著提升临床工作效率和病历质量。</w:t>
      </w:r>
    </w:p>
    <w:p w14:paraId="1007D69F">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2.1.5.1.2.4.意见反馈</w:t>
      </w:r>
    </w:p>
    <w:p w14:paraId="2424702D">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意见反馈功能构建用户与AI系统之间的双向沟通渠道，是推动AI能力持续优化的重要机制。</w:t>
      </w:r>
    </w:p>
    <w:p w14:paraId="29F495E4">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通过精细化的反馈界面设计，允许用户对AI生成的任何输出内容进行多维度评价，包括准确性、实用性、合规性等关键指标。</w:t>
      </w:r>
    </w:p>
    <w:p w14:paraId="5BA2C340">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采用结构化反馈与自由文本评价相结合的方式，既保证反馈信息的规范性，又保留用户表达的具体语境。</w:t>
      </w:r>
    </w:p>
    <w:p w14:paraId="6871F458">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设计分层反馈机制，支持对生成内容的整体评价和局部标注，用户可以直接在特定段落或数据项上提出修改建议。所有的反馈信息都会进入系统的知识库和学习管道，通过数据挖掘和模式分析，识别AI系统的改进方向。</w:t>
      </w:r>
    </w:p>
    <w:p w14:paraId="31638870">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建立反馈优先级评估算法，能够根据反馈频次和严重程度自动排序优化任务。同时，提供反馈状态跟踪功能，让用户能够了解自己提出的建议处理进度，形成完整的反馈闭环。</w:t>
      </w:r>
    </w:p>
    <w:p w14:paraId="2AE670A1">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2.1.5.1.2.5.历史记录</w:t>
      </w:r>
    </w:p>
    <w:p w14:paraId="5DB9B412">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历史记录功能构建AI助手的时空记忆体系，为医护人员提供完整的服务交互追溯能力。通过分布式存储架构和高效索引机制，完整记录每次人机交互的过程数据和结果信息。</w:t>
      </w:r>
    </w:p>
    <w:p w14:paraId="37C6AC16">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保存基本的交互记录，详细存储了服务调用的上下文环境、输入参数、输出结果及相关元数据。</w:t>
      </w:r>
    </w:p>
    <w:p w14:paraId="66CFB1B1">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用户可以通过智能检索功能，按照时间范围、服务类型、关键词等多维度条件快速定位历史记录。</w:t>
      </w:r>
    </w:p>
    <w:p w14:paraId="5F98776C">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提供丰富的历史记录操作支持，包括内容复用、对比分析、趋势统计等高级功能。在知识管理方面，能够自动识别历史记录中的有价值信息，构建机构专属的知识资产库。</w:t>
      </w:r>
    </w:p>
    <w:p w14:paraId="08B7D6B8">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建立完善的数据安全和隐私保护机制，确保敏感医疗信息的存储和访问符合相关法规要求。</w:t>
      </w:r>
    </w:p>
    <w:p w14:paraId="343A11C9">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2.1.5.1.2.6.消息通知</w:t>
      </w:r>
    </w:p>
    <w:p w14:paraId="28C6542A">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消息通知功能是AI系统主动服务能力的重要体现，构建智能分析与临床实践之间的实时连接通道。</w:t>
      </w:r>
    </w:p>
    <w:p w14:paraId="6D4AA1F3">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通过统一的消息中心和智能分发引擎，确保AI生成的关键医疗信息能够及时、准确地推送给目标用户。</w:t>
      </w:r>
    </w:p>
    <w:p w14:paraId="7048B953">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内置智能优先级算法，能够根据消息的紧急程度和重要性自动调整推送策略，确保危急值提醒、异常预警等关键信息优先处理。</w:t>
      </w:r>
    </w:p>
    <w:p w14:paraId="64D69D4B">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提供丰富的模板库和自定义选项，支持结构化消息和富文本格式，确保信息表达的清晰性和完整性。</w:t>
      </w:r>
    </w:p>
    <w:p w14:paraId="62A7A853">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建立完善的消息状态跟踪机制，提供送达确认、阅读状态监控、反馈收集等全流程管理功能。</w:t>
      </w:r>
    </w:p>
    <w:p w14:paraId="606A7333">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2.1.5.1.2.7.待办任务</w:t>
      </w:r>
    </w:p>
    <w:p w14:paraId="7526E568">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待办任务功能是AI通用助手的智能协调中心，它以患者为核心，系统化地整合和管理诊疗过程中的各项待处理事项。</w:t>
      </w:r>
    </w:p>
    <w:p w14:paraId="4680A48F">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通过智能感知技术和规则引擎，自动识别和生成与患者相关的医疗任务，包括医嘱执行、病历书写等各类事项。</w:t>
      </w:r>
    </w:p>
    <w:p w14:paraId="7834D06B">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采用多维分类和智能优先级算法，确保重要任务得到及时处理。用户可以通过待办列表清晰查看任务详情、处理状态、截止时间等关键信息，并支持一键触发任务处理流程。</w:t>
      </w:r>
    </w:p>
    <w:p w14:paraId="5B18885E">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提供灵活的任务分配和转发机制，支持科室内部和跨科室的协同处理。在技术实现上，与医院各个业务系统深度集成，能够实时同步任务状态，确保信息的准确性和及时性。</w:t>
      </w:r>
    </w:p>
    <w:p w14:paraId="4A9DB92D">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提供智能提醒和预警功能，通过多种渠道主动推送任务提醒，防止任务遗漏或超时。通过数据分析和机器学习，能够不断优化任务生成和分配策略，为医护人员提供更加智能化、个性化的工作流支持，全面提升医疗服务的规范性和连续性。</w:t>
      </w:r>
    </w:p>
    <w:p w14:paraId="70063DE1">
      <w:pPr>
        <w:pStyle w:val="6"/>
        <w:keepNext w:val="0"/>
        <w:keepLines w:val="0"/>
        <w:pageBreakBefore w:val="0"/>
        <w:kinsoku/>
        <w:wordWrap/>
        <w:overflowPunct/>
        <w:topLinePunct w:val="0"/>
        <w:autoSpaceDE/>
        <w:autoSpaceDN/>
        <w:bidi w:val="0"/>
        <w:adjustRightInd/>
        <w:snapToGrid/>
        <w:spacing w:line="500" w:lineRule="exact"/>
        <w:ind w:left="855"/>
        <w:jc w:val="both"/>
        <w:textAlignment w:val="auto"/>
        <w:rPr>
          <w:rFonts w:hint="eastAsia" w:ascii="宋体" w:hAnsi="宋体" w:eastAsia="宋体" w:cs="宋体"/>
          <w:sz w:val="24"/>
          <w:szCs w:val="24"/>
        </w:rPr>
      </w:pPr>
      <w:r>
        <w:rPr>
          <w:rFonts w:hint="eastAsia" w:ascii="宋体" w:hAnsi="宋体" w:eastAsia="宋体" w:cs="宋体"/>
          <w:b/>
          <w:sz w:val="24"/>
          <w:szCs w:val="24"/>
        </w:rPr>
        <w:t>2.1.5.1.3.AI智能预问诊(评审项78)</w:t>
      </w:r>
    </w:p>
    <w:p w14:paraId="110C5E1A">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2.1.5.1.3.1.多模式预问诊交流</w:t>
      </w:r>
    </w:p>
    <w:p w14:paraId="47D43571">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支持患者通过文字、语音等多模式消息与预问诊机器人发起交互沟通，可智能识别患者发送的语音消息，将转译文字信息自动同步至预问诊聊天室，支持患者对语音转译生成的文字进行二次修改，确保病情表述的准确性与完整性。</w:t>
      </w:r>
    </w:p>
    <w:p w14:paraId="4C818152">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2.1.5.1.3.2.自然语言人机交互</w:t>
      </w:r>
    </w:p>
    <w:p w14:paraId="68A3747A">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支持应用自然语言处理技术，实现预问诊机器人模拟真人医生的引导逻辑，根据患者表述灵活调整提问节奏，比如对表述模糊的患者耐心追问、对情绪焦虑的患者温和回应，既减少患者因“被机械打断”产生的不适感，又能更精准地引导患者梳理症状、病史等关键信息，高效采集患者诊前病史信息，缓解患者面对“机器”的紧张感，实现更完整、准确的诊前病史采集，为后续诊疗提供可靠的信息支撑。</w:t>
      </w:r>
    </w:p>
    <w:p w14:paraId="1726500C">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2.1.5.1.3.3.医学术语图文解释</w:t>
      </w:r>
    </w:p>
    <w:p w14:paraId="6A4139DE">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支持在预问诊过程中，出现专业医疗词语、难词等医学术语时，预问诊界面提供图文解释，协助患者更了解疾病信息，进一步准确表达病情。</w:t>
      </w:r>
    </w:p>
    <w:p w14:paraId="120D2988">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2.1.5.1.3.4.患者信息智能采集</w:t>
      </w:r>
    </w:p>
    <w:p w14:paraId="4C080325">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支持对智能预问诊的患者病情信息采集，包括主诉、现病史、既往史、家族史、个人史等信息采集。</w:t>
      </w:r>
    </w:p>
    <w:p w14:paraId="7D6F25A5">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2.1.5.1.3.5.信息填写智能纠错</w:t>
      </w:r>
    </w:p>
    <w:p w14:paraId="75447DE5">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支持患者在预问诊过程中，填写预问诊信息时，进行智能识别纠错，并提示患者，如年龄冲突、性别冲突、无意义表述等。</w:t>
      </w:r>
    </w:p>
    <w:p w14:paraId="7F9CCE25">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2.1.5.1.3.6.检查检验报告上传</w:t>
      </w:r>
    </w:p>
    <w:p w14:paraId="3A17E83C">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支持预问诊过程询问患者是否进行过外院检查提示，支持用户自行上传检验检查单等报告。</w:t>
      </w:r>
    </w:p>
    <w:p w14:paraId="2B334775">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2.1.5.1.3.7.检查检验报告解读</w:t>
      </w:r>
    </w:p>
    <w:p w14:paraId="4955E0EF">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支持对患者上传的检查检验报告单通过OCR技术进行智能解读，并对异常指标给出重点提示与建议。</w:t>
      </w:r>
    </w:p>
    <w:p w14:paraId="7471742D">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2.1.5.1.3.8.预问诊报告生成</w:t>
      </w:r>
    </w:p>
    <w:p w14:paraId="3F8A4031">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支持根据患者病情信息采集数据，对患者病史、诊前摘要进行智能梳理整合，自动转换生成符合医疗规范的标准的预问诊报告。支持患者查看预问诊报告。</w:t>
      </w:r>
    </w:p>
    <w:p w14:paraId="71F5CCB6">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2.1.5.1.3.9.预问诊病历生成</w:t>
      </w:r>
    </w:p>
    <w:p w14:paraId="50E66309">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根据预问诊采集的患者诊前病史信息，按照电子病历书写标准，生成结构化预问诊电子病历草稿，包括主诉现病史、既往史、过敏史、外伤史、手术史、家族史、个人史、体格检查等。</w:t>
      </w:r>
    </w:p>
    <w:p w14:paraId="3A953DF4">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2.1.5.1.3.10.预问诊病历回写</w:t>
      </w:r>
    </w:p>
    <w:p w14:paraId="2B6F19C6">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支持将结构化预问诊电子病历草稿同步至电子病历系统，临床医生问诊时可查看患者录入的病情信息。支持医生在书写病历时，查阅预问诊报告，并支持引入到门诊病历中。（涉及到HIS信息系统和电子病历系统改造）</w:t>
      </w:r>
    </w:p>
    <w:p w14:paraId="1C2B8B52">
      <w:pPr>
        <w:pStyle w:val="6"/>
        <w:keepNext w:val="0"/>
        <w:keepLines w:val="0"/>
        <w:pageBreakBefore w:val="0"/>
        <w:kinsoku/>
        <w:wordWrap/>
        <w:overflowPunct/>
        <w:topLinePunct w:val="0"/>
        <w:autoSpaceDE/>
        <w:autoSpaceDN/>
        <w:bidi w:val="0"/>
        <w:adjustRightInd/>
        <w:snapToGrid/>
        <w:spacing w:line="500" w:lineRule="exact"/>
        <w:ind w:left="855"/>
        <w:jc w:val="both"/>
        <w:textAlignment w:val="auto"/>
        <w:rPr>
          <w:rFonts w:hint="eastAsia" w:ascii="宋体" w:hAnsi="宋体" w:eastAsia="宋体" w:cs="宋体"/>
          <w:sz w:val="24"/>
          <w:szCs w:val="24"/>
        </w:rPr>
      </w:pPr>
      <w:r>
        <w:rPr>
          <w:rFonts w:hint="eastAsia" w:ascii="宋体" w:hAnsi="宋体" w:eastAsia="宋体" w:cs="宋体"/>
          <w:b/>
          <w:sz w:val="24"/>
          <w:szCs w:val="24"/>
        </w:rPr>
        <w:t>2.1.5.1.4.智能病历辅助生成(评审项79)</w:t>
      </w:r>
    </w:p>
    <w:p w14:paraId="048BB3FD">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2.1.5.1.4.1.智能住院病历辅助生成</w:t>
      </w:r>
    </w:p>
    <w:p w14:paraId="67B7302A">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支持与临床业务系统对接，辅助生成入院记录、病程记录及出院小结等病历内容，提高医生工作效率。通过多模态数据对接整合多源医疗信息（如智能语音信息、OCR识别信息），基于组合式大语言模型与工作流编排服务实现结构化数据解析、非结构化文本处理、医学术语标准化及上下文语义理解。</w:t>
      </w:r>
    </w:p>
    <w:p w14:paraId="4C72AAB1">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结合动态模板匹配技术，智能适配不同临床场景需求，辅助生成病历内容，最终在医生交互界面提供可视化操作模块，支持将标准化病历输出引用至电子病历系统，形成闭环式临床病历辅助生成体系。</w:t>
      </w:r>
    </w:p>
    <w:p w14:paraId="54AFB602">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2.1.5.1.4.1.1.首次病程记录生成</w:t>
      </w:r>
    </w:p>
    <w:p w14:paraId="0B8C4B60">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首次病程记录辅助生成基于先进的自然语言处理技术和医疗知识图谱，构建智能化的病历文书生成体系。通过深度整合患者多源医疗数据，结合智能算法与病历模板库，实现首次病程记录的高效、规范生成，显著提升临床文书书写质量和效率。</w:t>
      </w:r>
    </w:p>
    <w:p w14:paraId="1FEF4A9E">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建立一体化的患者信息整合机制。自动获取患者基本信息、既往病史、过敏史、家族史等基础数据，同时实时对接当次就诊的门诊记录、急诊病历、入院体检、初步诊断及重要辅助检查结果。通过医疗专用大语言模型的深度分析能力，能够智能识别关键临床表现和异常指标，提取具有诊断价值的症状特征和体征信息，为病程记录提供全面的数据支撑。</w:t>
      </w:r>
    </w:p>
    <w:p w14:paraId="68CDA0A9">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在病历内容生成环节，采用智能模板匹配与自适应生成相结合的技术路径。基于患者疾病类型和病情特点，自动匹配最适合的病历模板，同时根据具体临床数据进行个性化内容填充。</w:t>
      </w:r>
    </w:p>
    <w:p w14:paraId="2847DE5E">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生成的结构化病历内容严格遵循《病历书写基本规范》要求，包含病例特点、诊断依据、鉴别诊断、诊疗计划等核心模块。在病例特点部分，突出主要症状、重要体征和关键辅助检查结果；在诊断依据部分，结合临床表现和检查结果进行逻辑分析；在诊疗计划部分，基于临床路径和诊疗规范提出具体的检查、治疗和护理方案。</w:t>
      </w:r>
    </w:p>
    <w:p w14:paraId="384BD2D5">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2.1.5.1.4.1.2.术前小结生成</w:t>
      </w:r>
    </w:p>
    <w:p w14:paraId="7FC96D85">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术前小结辅助生成功能基于医疗大语言模型和临床知识图谱，提供智能化的术前评估与小结生成服务。通过深度整合患者多源医疗数据，结合手术类型和患者个体特征，自动生成规范、完整的术前小结文档，显著提升术前准备效率和质量。</w:t>
      </w:r>
    </w:p>
    <w:p w14:paraId="1260BDF6">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构建多维度的数据整合体系。自动获取患者基本信息、现病史、既往史、过敏史等基础数据，同时整合本次住院期间的各项检查结果，包括实验室检验、影像学报告、心电图、肺功能等重要辅助检查资料。</w:t>
      </w:r>
    </w:p>
    <w:p w14:paraId="33EFF614">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在智能生成环节，采用结构化模板与自适应内容生成相结合的技术方案。基于手术类型和患者具体情况，自动匹配相应的术前小结模板，同时根据实际医疗数据动态生成个性化内容。生成内容包括患者基本信息、术前诊断、诊断依据、手术指征、拟行手术方案、术前准备情况、风险评估及应对措施等核心要素。</w:t>
      </w:r>
    </w:p>
    <w:p w14:paraId="6BB9D459">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具备智能风险评估与预警能力。通过分析患者年龄、基础疾病、器官功能状态等因素，自动评估手术风险等级，并生成相应的风险防控建议。对于高风险患者，会突出显示关键风险点和应对策略，提醒手术团队重点关注。同时，检查术前准备的完整性，对缺失的必要检查或评估项目进行提示，确保术前准备符合医疗规范和要求。</w:t>
      </w:r>
    </w:p>
    <w:p w14:paraId="54B14865">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在系统集成方面，支持与电子病历系统的深度对接。生成的术前小结可直接导入病历系统，医生可对生成内容进行审核和修改，记录完整的修改痕迹。此外，支持术前小结的版本管理，允许根据病情变化重新生成或更新文档。</w:t>
      </w:r>
    </w:p>
    <w:p w14:paraId="36AB42EF">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2.1.5.1.4.1.3.阶段小结生成</w:t>
      </w:r>
    </w:p>
    <w:p w14:paraId="2077D144">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阶段小结辅助生成严格遵循国家《病历书写基本规范》及相关医疗法规要求，通过人工智能技术实现住院患者阶段小结的标准化、规范化生成。基于医疗知识图谱和自然语言处理技术，为临床医生提供符合医疗质量要求的智能化阶段小结书写解决方案。</w:t>
      </w:r>
    </w:p>
    <w:p w14:paraId="1CE2C9DA">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在数据整合方面，建立患者诊疗信息集成体系。自动获取患者基础信息、入院诊断、初始病情等基础数据，深度整合本住院周期内的全部诊疗记录，包括病程记录、检查检验结果、治疗措施、手术记录、会诊意见等重要信息。通过智能时序分析技术，构建患者住院期间的病情演变轨迹，准确提取关键病情变化点、重要检查发现和治疗效果评估数据，为阶段小结提供全面的数据支撑。</w:t>
      </w:r>
    </w:p>
    <w:p w14:paraId="5ADBCC87">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采用智能化模板与自适应内容生成相结合的技术架构。基于患者疾病类型、治疗阶段和病情特点，自动匹配相应的阶段小结模板。生成的阶段小结包含以下核心内容：</w:t>
      </w:r>
    </w:p>
    <w:p w14:paraId="7176967F">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本阶段诊疗总结：梳理本阶段的主要诊疗措施、重要检查结果及病情变化情况。</w:t>
      </w:r>
    </w:p>
    <w:p w14:paraId="7AFC614B">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目前情况分析：综合当前临床症状、体征及辅助检查结果，生成全面的病情评估。</w:t>
      </w:r>
    </w:p>
    <w:p w14:paraId="0528C3B1">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后续诊疗计划：基于诊疗规范和临床路径，智能生成下一阶段的检查、治疗和康复方案。</w:t>
      </w:r>
    </w:p>
    <w:p w14:paraId="22A5F589">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重要事项说明：对需要特别关注的病情变化、风险因素及患者教育要点进行重点说明。</w:t>
      </w:r>
    </w:p>
    <w:p w14:paraId="7FBDCB1F">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2.1.5.1.4.1.4.出院记录生成</w:t>
      </w:r>
    </w:p>
    <w:p w14:paraId="3ACB0FB5">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出院记录辅助生成功能严格遵循国家《病历书写基本规范》及相关医疗法规要求，通过人工智能技术实现出院记录的标准化、规范化生成。基于医疗大语言模型和临床知识图谱，构建完整的出院记录智能化生成体系，确保医疗文书的完整性、准确性和时效性。</w:t>
      </w:r>
    </w:p>
    <w:p w14:paraId="2FF0A9FF">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在数据整合层面，建立全方位的患者信息采集机制。自动获取患者基本信息、入院诊断、入院时主要症状及体征等基础数据，同时深度整合本次住院期间的全部诊疗记录，包括病程记录、手术记录、会诊记录、重要检查检验结果、特殊治疗措施及病情演变过程。对接护理记录系统，获取生命体征监测、护理评估及健康教育等重要信息，通过多源数据融合分析，构建完整的住院诊疗全貌。</w:t>
      </w:r>
    </w:p>
    <w:p w14:paraId="54CAD11D">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在规范遵循方面，严格遵循国家病历书写的基本规范和时限要求。确保出院记录在患者出院后24小时内完成，完全符合《病历书写基本规范》的时限规定。在内容结构上，严格按照规范要求，生成包含入院情况、诊疗经过、出院诊断、出院情况、出院医嘱及随访指导等核心要素的结构化文档。</w:t>
      </w:r>
    </w:p>
    <w:p w14:paraId="3A67A117">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内置智能质控机制，自动校验内容的完整性和规范性，确保出院记录符合医疗质量评估和医保结算要求。</w:t>
      </w:r>
    </w:p>
    <w:p w14:paraId="6348E205">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采用智能模板匹配与个性化内容生成相结合的技术路径。基于患者疾病类型、治疗方案和出院去向，自动匹配相应的出院记录模板。生成的出院记录包含以下核心内容：</w:t>
      </w:r>
    </w:p>
    <w:p w14:paraId="4E04DCF5">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入院情况概要：自动提炼患者入院时的主要症状、体征及初步诊断。</w:t>
      </w:r>
    </w:p>
    <w:p w14:paraId="2C3E1906">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诊疗过程总结：智能梳理住院期间的主要检查发现、重要治疗措施及手术情况。</w:t>
      </w:r>
    </w:p>
    <w:p w14:paraId="139726A6">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出院诊断明确：按照主要诊断、次要诊断的顺序生成标准化的诊断列表。</w:t>
      </w:r>
    </w:p>
    <w:p w14:paraId="188F4F2A">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出院情况详述：包括患者当前症状、体征、治疗效果及康复状况评估。</w:t>
      </w:r>
    </w:p>
    <w:p w14:paraId="685A4C78">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出院医嘱完整：涵盖药物治疗、康复指导、随访计划及注意事项等全面内容。</w:t>
      </w:r>
    </w:p>
    <w:p w14:paraId="4772E9B3">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2.1.5.1.4.2.智能住院语音病历</w:t>
      </w:r>
    </w:p>
    <w:p w14:paraId="6BB148E9">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2.1.5.1.4.2.1.住院智能语音查房</w:t>
      </w:r>
    </w:p>
    <w:p w14:paraId="3A1D5CCB">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智能语音查房功能基于先进的语音识别技术和医疗自然语言处理技术，实现查房过程的智能化记录与病历生成。通过智能语音采集与解析，结合患者完整的医疗数据，构建高效、准确的查房记录生成体系，显著提升临床工作效率和病历质量。</w:t>
      </w:r>
    </w:p>
    <w:p w14:paraId="24B8178C">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建立完整的语音采集与处理机制。医护人员在查房过程中，通过移动查房设备或掌上医护系统进行实时录音，自动采集医生与患者的病情交流信息。采用医疗专用语音识别引擎，能够准确识别医学术语和地方口音，实时将语音转换为文本。同时，智能区分对话中的不同角色，精准提取医生的问诊内容和患者的病情描述，确保信息的完整性和准确性。</w:t>
      </w:r>
    </w:p>
    <w:p w14:paraId="043BFD40">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在数据整合与分析层面，深度对接患者电子病历系统。在语音转写的基础上，自动关联患者的病史资料、检查检验结果和当前治疗方案，通过医疗知识图谱进行智能补充和修正。能够识别病情描述中的关键医学术语和症状特征，自动与现有病历数据进行比对和验证，生成符合医疗规范的查房记录。例如，当患者描述"胸口闷痛"时，会自动关联心电图和心肌酶谱检查结果，生成专业的病情描述。</w:t>
      </w:r>
    </w:p>
    <w:p w14:paraId="5A22CA8D">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支持灵活的生成结果管理与引用。查房结束后，医护人员返回工作站即可在电子病历系统的AI助手模块中查看智能生成的查房记录。提供完整的结果展示界面，包括语音转写原文、智能优化的病历内容以及相关的数据依据。医护人员可对生成内容进行审核编辑，支持一键引用到病程记录中。还保留语音原始记录和修改痕迹，确保医疗过程的可追溯性。</w:t>
      </w:r>
    </w:p>
    <w:p w14:paraId="1F3E69DB">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在技术架构方面，采用云端协同的处理模式。移动端负责语音采集和初步处理，云端进行深度语音识别和自然语言处理，确保处理效率和质量。支持离线录音、在线处理的混合模式，适应医院不同的网络环境。同时，建立严格的权限管理和数据加密机制，确保患者隐私和医疗数据安全。</w:t>
      </w:r>
    </w:p>
    <w:p w14:paraId="5CA3B2AC">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通过语音交互取代传统手工记录，使医护人员能够更专注于患者诊疗。生成的标准化病历内容，有效提升了病历质量和规范性。</w:t>
      </w:r>
    </w:p>
    <w:p w14:paraId="4737D908">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2.1.5.1.4.2.2.疑难病例智能语音讨论</w:t>
      </w:r>
    </w:p>
    <w:p w14:paraId="6647E0D1">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疑难病例智能语音讨论功能基于高端语音采集设备和先进的语音转文字技术，构建智能化的讨论记录生成体系。通过整合多学科专家的临床讨论内容与患者全维度医疗数据，实现疑难病例讨论过程的完整记录与智能总结，显著提升疑难病例讨论的效率与质量。</w:t>
      </w:r>
    </w:p>
    <w:p w14:paraId="04CC9758">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建立专业级的语音采集与处理系统。采用医疗场景优化的高端语音设备，确保在多专家参与、复杂声场环境下的语音采集质量。通过医疗专用语音识别引擎，实时将多学科医生的讨论内容转换为文本，并具备智能区分发言者、识别医学术语、纠正口误等高级功能。注重讨论中的专业术语准确性，内置的医学知识库能够自动校正转写中的专业词汇，确保"胶质母细胞瘤"、"自身免疫性脑炎"等复杂术语的准确记录。</w:t>
      </w:r>
    </w:p>
    <w:p w14:paraId="4D52091B">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在数据整合与分析层面，构建多维度的信息关联机制。在语音转写的基础上，实时对接患者电子病历系统，自动关联患者的病史资料、影像学检查、实验室结果、病理报告等关键医疗数据。通过医疗知识图谱技术，能够智能识别讨论中涉及的临床问题，并自动调取相关的医学证据和文献支持。还具备逻辑分析能力，能够梳理讨论中的诊断推理、治疗建议和预后判断，形成结构化的讨论要点。</w:t>
      </w:r>
    </w:p>
    <w:p w14:paraId="6E187DD8">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支持智能化的讨论记录生成与管理。基于多学科讨论内容，自动生成符合规范的疑难病例讨论记录，包括病例摘要、讨论要点、诊断意见、治疗计划和随访建议等核心内容。能够智能归纳各学科专家的观点分歧和共识，突出关键的决策依据和风险考量。生成的讨论记录支持一键导出到电子病历系统，并自动分发给参与讨论的医护人员。还提供讨论过程的回溯功能，支持通过时间点定位查询特定的讨论内容。</w:t>
      </w:r>
    </w:p>
    <w:p w14:paraId="1670FECE">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在技术架构方面，采用分布式处理模式，确保大规模语音数据的实时处理能力。建立严格的数据安全机制，对语音数据和讨论内容进行加密存储和权限管理。</w:t>
      </w:r>
    </w:p>
    <w:p w14:paraId="19505DA4">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疑难病例智能语音讨论功能通过自动化的讨论记录生成，缩短记录整理时间，使专家能够更专注于临床决策本身。生成的标准化讨论记录，确保了医疗决策的可追溯性和质量一致性。</w:t>
      </w:r>
    </w:p>
    <w:p w14:paraId="6AD04332">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2.1.5.1.4.2.3.死亡病例智能语音讨论</w:t>
      </w:r>
    </w:p>
    <w:p w14:paraId="1133B6C4">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死亡病例智能语音讨论功能是基于高端语音识别与自然语言处理技术构建的，专门用于支持医疗机构规范开展死亡病例讨论并生成标准化讨论记录。通过整合多学科专家的临床讨论与患者全诊疗周期数据，实现死亡病例讨论过程的完整记录与深度分析，为医疗质量改进提供重要依据。</w:t>
      </w:r>
    </w:p>
    <w:p w14:paraId="00CA56DF">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结合专业语音采集设备，确保在多人参与的讨论环境中准确捕获每位医生的发言内容。通过医疗专用语音识别引擎，实时将讨论内容转换为结构化文本，并具备自动识别医学术语、校正专业表述的能力。优化对死亡病例讨论中常见术语的识别准确率，包括死亡原因分析、并发症判断、诊疗过程评估等专业表述，确保讨论内容的精准记录。</w:t>
      </w:r>
    </w:p>
    <w:p w14:paraId="61FCB200">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在数据整合层面，建立完整的患者信息关联机制。在讨论过程中，实时调取患者从入院到死亡的全部诊疗数据，包括病程记录、抢救记录、检查检验结果、医嘱执行情况等关键信息。通过智能时间轴分析技术，自动梳理诊疗过程中的重要时间节点和医疗决策点，为讨论提供完整的数据支持。还具备数据交叉验证能力，能够自动识别诊疗记录中的时间逻辑矛盾或数据缺失，为讨论提供客观依据。</w:t>
      </w:r>
    </w:p>
    <w:p w14:paraId="6639753D">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支持智能化的讨论纪要生成与质控分析。基于多学科讨论内容，自动生成符合《医疗质量安全核心制度》要求的死亡病例讨论记录，包含病例摘要、诊疗经过、讨论要点、死亡原因分析、经验教训和改进措施等核心要素。能够智能归纳各专家的主要观点，识别诊疗过程中的关键问题，并自动生成根本原因分析。同时，内置质控检查规则，自动验证讨论记录的完整性和规范性，确保符合医疗质量管理要求。</w:t>
      </w:r>
    </w:p>
    <w:p w14:paraId="23325749">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在技术架构方面，采用分级权限管理和数据加密机制，确保敏感的死亡病例数据得到严格保护。支持讨论过程的全程录音备份，并提供关键时间点的语音回溯功能，方便后续核查验证。通过标准化的接口设计，能够与医疗质量管理系统、不良事件上报系统实现数据对接，支持死亡病例相关信息的自动流转和处理跟踪。</w:t>
      </w:r>
    </w:p>
    <w:p w14:paraId="75941EE2">
      <w:pPr>
        <w:pStyle w:val="6"/>
        <w:keepNext w:val="0"/>
        <w:keepLines w:val="0"/>
        <w:pageBreakBefore w:val="0"/>
        <w:kinsoku/>
        <w:wordWrap/>
        <w:overflowPunct/>
        <w:topLinePunct w:val="0"/>
        <w:autoSpaceDE/>
        <w:autoSpaceDN/>
        <w:bidi w:val="0"/>
        <w:adjustRightInd/>
        <w:snapToGrid/>
        <w:spacing w:line="500" w:lineRule="exact"/>
        <w:ind w:left="855"/>
        <w:jc w:val="both"/>
        <w:textAlignment w:val="auto"/>
        <w:rPr>
          <w:rFonts w:hint="eastAsia" w:ascii="宋体" w:hAnsi="宋体" w:eastAsia="宋体" w:cs="宋体"/>
          <w:sz w:val="24"/>
          <w:szCs w:val="24"/>
        </w:rPr>
      </w:pPr>
      <w:r>
        <w:rPr>
          <w:rFonts w:hint="eastAsia" w:ascii="宋体" w:hAnsi="宋体" w:eastAsia="宋体" w:cs="宋体"/>
          <w:b/>
          <w:sz w:val="24"/>
          <w:szCs w:val="24"/>
        </w:rPr>
        <w:t>2.1.5.1.5.智能医疗文书质控辅助(评审项80)</w:t>
      </w:r>
    </w:p>
    <w:p w14:paraId="1F110161">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基于大语言模型能力实现病历文书中的逻辑矛盾、术语错误、合规缺失等问题检测，提供错误定位标注、修正建议及文献依据引用；结合动态质控规则引擎（涵盖基础规范、专科标准及最新指南）实现分级预警与闭环追踪管理，支持缺陷展示，有效降低文书缺陷率，确保病历内容完整、合规且符合电子病历评审要求，全面提升医疗质量、质控效率与DRG数据准确性。</w:t>
      </w:r>
    </w:p>
    <w:p w14:paraId="61C53CA4">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2.1.5.1.5.1.智能质控基础管理</w:t>
      </w:r>
    </w:p>
    <w:p w14:paraId="4892D827">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2.1.5.1.5.1.1.质控大脑</w:t>
      </w:r>
    </w:p>
    <w:p w14:paraId="78B90DE3">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质控大脑是基于医疗质量管理思维链构建的智能质控中枢系统，通过标准化、一体化的架构设计，实现医疗质量控制的全面智能化管理。围绕病历文书质控、护理文书质控、医疗管理和医保稽核等核心场景，构建统一的智能质控体系，为医疗机构提供全方位、多层次的质控解决方案。</w:t>
      </w:r>
    </w:p>
    <w:p w14:paraId="7CA6F8A1">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在系统架构层面，质控大脑建立标准化的数据接入和处理机制。采用统一的数据接口规范，实现与各医疗业务系统的无缝对接，确保病历文书、护理记录、医疗管理数据和医保信息等多元数据的标准化入参。通过数据清洗、归一化和结构化处理，构建高质量的质控数据底座，为智能分析提供可靠的数据基础。</w:t>
      </w:r>
    </w:p>
    <w:p w14:paraId="0DD96D93">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在规则管理方面，构建完善的质控规则体系。基于国家医疗质量标准和医疗机构内部规范，建立标准化的规则库，涵盖病历书写规范、护理质量标准、医疗核心制度和医保政策要求等多个维度。支持规则的动态更新和灵活配置，确保质控标准与最新政策要求保持同步。同时，通过规则引擎的技术实现，确保质控规则的可执行性和准确性。</w:t>
      </w:r>
    </w:p>
    <w:p w14:paraId="060DE152">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质控大脑的核心技术特色在于其创新的思维链提示词体系。基于医疗质控的通用范式，构建标准化的思维链提示词库，涵盖问题识别、规则匹配、原因分析和改进建议等完整质控流程。通过这一体系，能够模拟质控专家的思维过程，实现从表面问题到深层原因的精准追溯，确保质控分析的深度和广度。</w:t>
      </w:r>
    </w:p>
    <w:p w14:paraId="1A97898C">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在输出标准化方面，建立统一的质控报告格式和问题反馈机制。所有质控结果均按照标准模板输出，包含问题描述、违反规则、严重程度、改进建议等核心要素。支持多维度数据可视化展示，帮助管理者快速把握质控全局，识别重点问题。</w:t>
      </w:r>
    </w:p>
    <w:p w14:paraId="3DE181CC">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质控大脑承载着多个子系统的对接与调用功能。在病历质控子系统方面，实现病历完整性、时效性、规范性的自动检查；在护理文书质控子系统方面，确保护理记录的真实性、准确性和及时性；在制度质控子系统方面，监控医疗核心制度的执行情况；在医保质控子系统方面，实现医保政策的符合性检查和费用合理性分析。各子系统通过统一的接口标准与质控大脑进行数据交换和业务协同，形成完整的质控生态体系。</w:t>
      </w:r>
    </w:p>
    <w:p w14:paraId="640083AF">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质控大脑的实施为医疗机构带来了显著的质控效能提升。通过标准化的数据处理和规则应用，大幅提高了质控工作的效率和一致性。智能化的分析能力，帮助医疗机构实现从事后检查到事前预防、事中控制的质控模式转变。最终，质控大脑成为医疗机构质量管理的智慧核心，推动医疗质量的持续改进和全面提升。</w:t>
      </w:r>
    </w:p>
    <w:p w14:paraId="73B517D9">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2.1.5.1.5.1.2.质控知识库</w:t>
      </w:r>
    </w:p>
    <w:p w14:paraId="4011346E">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质控知识库是医疗质量控制体系的核心基础设施，通过构建基于校验规则和AI提示词的双模式质控规则库，为医疗机构提供统一、标准、智能的质控规则管理解决方案。采用分层级、多维度的管理架构，实现质控规则的全生命周期管理，支撑各类质控场景的精准实施。</w:t>
      </w:r>
    </w:p>
    <w:p w14:paraId="5E33A4AA">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在规则库架构设计上，建立完善的多维分类管理体系。按照专题维度，将规则划分为病历质量、病案首页质量、十八项核心制度、医保合规等专项类别；按照分类维度，细分为格式规范、内容完整、逻辑一致、时限符合等规则类型；按照细项维度，进一步拆解为具体可执行的检查条目。这种多维度的分类架构，既保证了规则组织的清晰性，又确保了规则应用的精准性。</w:t>
      </w:r>
    </w:p>
    <w:p w14:paraId="18CC8932">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在规则内容管理方面，为每条规则建立标准化的信息结构。规则标题采用统一的命名规范，清晰表述规则的核心内容；关联文书字段明确规则适用的病历类型和文书类别；规则内容详细描述具体的质控要求和标准；提示词信息则提供智能质控的引导语句和分析思路。通过这种标准化的信息结构，确保每条规则都具有明确的执行标准和评估依据。</w:t>
      </w:r>
    </w:p>
    <w:p w14:paraId="2A1CFAFA">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支持两种质控模式的协同运作。校验规则模式基于结构化的逻辑判断，实现自动化、标准化的质控检查，适用于格式规范、必填项检查、数值范围验证等明确标准的质控场景。AI提示词模式则基于自然语言处理和深度学习技术，实现智能化的内涵质控分析，适用于诊断合理性、治疗方案适宜性、病情演变逻辑性等需要专业判断的复杂场景。两种模式相互补充，形成完整的质控能力覆盖。</w:t>
      </w:r>
    </w:p>
    <w:p w14:paraId="163813B8">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在规则配置管理层面，提供灵活的方案定制功能。用户可根据实际质控需求，配置包括病历质量专项、病案首页质量提升、十八项核心制度落实、医保费用合规等各类质控方案。每个方案都可以精确选择适用的规则组合，设置规则的执行顺序和权重分配，并定义不同规则的预警阈值和处理流程。这种灵活的配置机制，使得质控方案能够精准匹配不同科室、不同病种、不同管理重点的质控需求。</w:t>
      </w:r>
    </w:p>
    <w:p w14:paraId="4CC7627C">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实现质控规则的统一管理和智能调度。所有规则都纳入统一的规则库进行集中管理，支持规则的版本控制、权限管理和使用追踪。根据质控场景的需要，智能调度适用的规则组合，实现质控任务的精准执行。通过规则库的持续优化和更新，确保质控标准与医疗政策、临床指南和医院管理要求的同步演进。</w:t>
      </w:r>
    </w:p>
    <w:p w14:paraId="66C57B58">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质控规则库管理服务的建设，为医疗机构建立标准化、智能化的质控基础设施。通过统一的规则管理和灵活的方案配置，有效提升了质控工作的规范性和效率。同时，双模式质控机制的应用，使得既能够完成标准化的自动检查，又能够实现专业化的智能分析，全面提升了医疗质量控制的深度和广度。</w:t>
      </w:r>
    </w:p>
    <w:p w14:paraId="56BFD223">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2.1.5.1.5.1.3.质控规则引擎</w:t>
      </w:r>
    </w:p>
    <w:p w14:paraId="5E7AEE4D">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质控规则引擎基于先进的规则路由架构和多种执行引擎，实现高效、精准的质控校验任务处理。该引擎通过与AI质控系统的深度协作，构建规则驱动与智能分析相结合的双重质控机制，显著提升质控工作的效率和准确性。</w:t>
      </w:r>
    </w:p>
    <w:p w14:paraId="1A8ABCF2">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在核心机制层面，规则引擎建立智能化的规则路由体系。根据质控任务的复杂度和特性，自动分派任务到最适合的处理通道：对于明确、简单的结构化规则，如格式校验、必填项检查、数值范围验证等，通过规则引擎实现快速自动化处理；对于需要专业判断和语义分析的复杂场景，则路由至AI质控系统进行深度分析。这种智能路由机制确保了各类质控任务都能得到最优处理，既保证了简单规则的高效执行，又确保了复杂问题的精准分析。</w:t>
      </w:r>
    </w:p>
    <w:p w14:paraId="0F28B47B">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规则引擎集成了多种强大的执行组件，为质控任务提供全方位技术支持：</w:t>
      </w:r>
    </w:p>
    <w:p w14:paraId="41AF66C3">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定时任务引擎支持基于时间触发的质控任务自动执行，可实现每日定时全量质控、按小时增量质控等灵活调度策略。支持多种触发条件配置，包括固定时间点触发、周期循环触发和事件驱动触发，确保质控工作的及时性和全面性。</w:t>
      </w:r>
    </w:p>
    <w:p w14:paraId="279323A0">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脚本执行引擎提供动态逻辑处理能力，支持Groovy、Python等脚本语言的实时解析和执行。通过脚本引擎，质控人员可以快速实现复杂的业务逻辑校验，无需重启系统即可更新质控规则，极大提升了质控系统的灵活性和适应性。</w:t>
      </w:r>
    </w:p>
    <w:p w14:paraId="30760811">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SQL执行组件实现直接的数据层质控校验，通过标准化的SQL语句执行数据质量检查和业务规则验证。该组件支持多数据源适配和SQL语句优化，能够高效处理大数据量的质控分析任务，确保质控结果的准确性和可靠性。</w:t>
      </w:r>
    </w:p>
    <w:p w14:paraId="080B8D2D">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在引擎架构设计上，采用模块化、可扩展的技术路线。各个执行组件之间保持松耦合关系，支持独立升级和功能扩展。引擎提供统一的API接口，便于与其他质控模块进行集成和数据交换。同时，建立完善的执行监控和日志记录机制，实时追踪规则执行状态，确保质控过程的透明度和可追溯性。</w:t>
      </w:r>
    </w:p>
    <w:p w14:paraId="61FD0C4D">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质控规则引擎通过与AI质控系统的协同工作，实现质控能力的全面升级。规则引擎负责处理标准化的自动校验任务，解放AI系统专注于需要智能分析的复杂场景，两者相互补充，共同构建高效、精准的质控体系。</w:t>
      </w:r>
    </w:p>
    <w:p w14:paraId="45939D7D">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2.1.5.1.5.1.4.运行质控</w:t>
      </w:r>
    </w:p>
    <w:p w14:paraId="35BF38F3">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运行质控（单病历质控）功能是智能医疗质控系统的核心模块，基于官方质控标准和人工智能技术，实现病历书写过程的实时质控与智能指导。通过内涵质控与形式质控的双维度检测体系，为医务人员提供精准、及时的质量反馈，显著提升病历书写质量和医疗安全水平。</w:t>
      </w:r>
    </w:p>
    <w:p w14:paraId="60AAF812">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在质控标准体系方面，严格遵循国家最新质控要求，建立完整的双维度质控框架。形式质控维度涵盖病历书写的基本规范，包括格式标准、必填项完整性、时限符合性、签名规范性等基础要求；内涵质控维度则深入病历的医学专业内涵，包括诊断依据充分性、治疗方案合理性、病情演变逻辑性、检查检验必要性等专业内容。两个维度相互补充，确保质控的全面性和深度。</w:t>
      </w:r>
    </w:p>
    <w:p w14:paraId="5317FBCA">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采用先进的自然语言处理和医疗知识图谱技术，实现12类常见问题的智能识别与精准定位：</w:t>
      </w:r>
    </w:p>
    <w:p w14:paraId="24275E97">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1.逻辑一致性问题的智能检测</w:t>
      </w:r>
    </w:p>
    <w:p w14:paraId="0A6E6BC6">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诊断与症状体征的逻辑矛盾识别；</w:t>
      </w:r>
    </w:p>
    <w:p w14:paraId="13AE6F1B">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检查结果与治疗方案的不匹配分析；</w:t>
      </w:r>
    </w:p>
    <w:p w14:paraId="5E3DBC38">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病程记录前后不一致性检查；</w:t>
      </w:r>
    </w:p>
    <w:p w14:paraId="29D218D9">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时间序列逻辑错误自动发现。</w:t>
      </w:r>
    </w:p>
    <w:p w14:paraId="0C73A361">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2.术语规范性问题的自动识别</w:t>
      </w:r>
    </w:p>
    <w:p w14:paraId="1BAA7EDB">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非标准医学术语使用标注；</w:t>
      </w:r>
    </w:p>
    <w:p w14:paraId="0DEEED0C">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缩写术语规范性校验；</w:t>
      </w:r>
    </w:p>
    <w:p w14:paraId="2931636F">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地方性表达与标准术语映射；</w:t>
      </w:r>
    </w:p>
    <w:p w14:paraId="128BBADD">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计量单位标准化建议。</w:t>
      </w:r>
    </w:p>
    <w:p w14:paraId="429A34B3">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3.内涵质量问题的深度分析</w:t>
      </w:r>
    </w:p>
    <w:p w14:paraId="3B1F14C7">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诊断依据充分性评估；</w:t>
      </w:r>
    </w:p>
    <w:p w14:paraId="2B5BA214">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治疗措施适宜性判断；</w:t>
      </w:r>
    </w:p>
    <w:p w14:paraId="46EAD222">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手术记录完整性检查；</w:t>
      </w:r>
    </w:p>
    <w:p w14:paraId="5783866C">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危急值处理规范性验证。</w:t>
      </w:r>
    </w:p>
    <w:p w14:paraId="67C6CDD8">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在问题反馈机制方面，提供精准的定位展示和具体的整改指导。当检测到问题时，自动标注病历文本中的问题位置，通过颜色区分问题严重等级，并即时显示详细的整改建议。每个问题点都附带明确的修改指导和标准范例，帮助医务人员快速理解问题本质并掌握正确书写方法。</w:t>
      </w:r>
    </w:p>
    <w:p w14:paraId="1B61F737">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2.1.5.1.5.1.5.提交病案卡控</w:t>
      </w:r>
    </w:p>
    <w:p w14:paraId="2D8D9836">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提交病案卡控（全病历质控）功能是智能医疗质控体系的关键环节，通过离线预检与主动触发双模式协同机制，结合先进的知识抽取与大模型人工智能技术，在医生提交病案时实现智能预审与精准卡控，有效规范医疗文书书写行为，系统性提升医疗文书质量。</w:t>
      </w:r>
    </w:p>
    <w:p w14:paraId="6729337D">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采用创新的双模式质控架构，构建全方位的病案质量保障体系。离线预检模式通过后台异步处理机制，在医生书写过程中持续进行质量监测，定期对未提交病案执行全面质量扫描，提前识别潜在质量问题，为医务人员提供充分的整改时间。主动触发模式则在医生提交病案时同步启动实时质控，对病案内容进行最终的质量把关，确保只有符合质控标准的病案才能成功提交。两种模式相互协同，形成贯穿病历书写全过程的质量防护网络。</w:t>
      </w:r>
    </w:p>
    <w:p w14:paraId="2FDB33AD">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在技术实现层面，深度融合知识抽取与大模型等人工智能技术，构建智能化的质控分析引擎。基于知识抽取技术，从病案文本中精准提取关键医疗实体、时间信息、诊疗操作等结构化数据，建立病案内容的知识图谱表示。结合医疗大模型的深度理解能力，能够准确解析病案的语义内涵，识别逻辑矛盾、术语不规范、内容缺失等各类质量问题。</w:t>
      </w:r>
    </w:p>
    <w:p w14:paraId="66903BE8">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具备全面的质控规则覆盖，包括但不限于以下核心维度：</w:t>
      </w:r>
    </w:p>
    <w:p w14:paraId="7D157AA4">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1.完整性校验</w:t>
      </w:r>
    </w:p>
    <w:p w14:paraId="574152B7">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必填项内容完整性检查；</w:t>
      </w:r>
    </w:p>
    <w:p w14:paraId="5583C2F8">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关键诊疗环节记录完整性验证；</w:t>
      </w:r>
    </w:p>
    <w:p w14:paraId="4A961066">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时间节点逻辑连贯性分析；</w:t>
      </w:r>
    </w:p>
    <w:p w14:paraId="52BF7FE7">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签名与审核流程规范性检查。</w:t>
      </w:r>
    </w:p>
    <w:p w14:paraId="78708307">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2.规范性审核</w:t>
      </w:r>
    </w:p>
    <w:p w14:paraId="3F2BD7E5">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医学术语使用标准性校验；</w:t>
      </w:r>
    </w:p>
    <w:p w14:paraId="225E461D">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诊断书写规范性审查；</w:t>
      </w:r>
    </w:p>
    <w:p w14:paraId="616C2C9D">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治疗方案记录规范性评估；</w:t>
      </w:r>
    </w:p>
    <w:p w14:paraId="3DF31E42">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检查检验结果描述规范性检查。</w:t>
      </w:r>
    </w:p>
    <w:p w14:paraId="0FC4D366">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3.逻辑一致性验证</w:t>
      </w:r>
    </w:p>
    <w:p w14:paraId="377E6EBC">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诊断与症状体征逻辑关联性分析；</w:t>
      </w:r>
    </w:p>
    <w:p w14:paraId="2262B003">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治疗方案与诊断依据匹配度评估；</w:t>
      </w:r>
    </w:p>
    <w:p w14:paraId="2EAB122D">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检查结果与临床决策一致性验证；</w:t>
      </w:r>
    </w:p>
    <w:p w14:paraId="3714F0A6">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病程记录前后逻辑连贯性检查。</w:t>
      </w:r>
    </w:p>
    <w:p w14:paraId="773A95B0">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在卡控机制设计上，采用分级拦截策略。对于严重质量问题，实施硬性拦截，要求必须完成整改后方可提交；对于一般性问题，提供警告提示，医务人员可选择强制提交但需说明理由；对于建议性内容，仅作提醒记录，不影响正常提交流程。这种差异化的处理策略，既保证了质控的严格性，又兼顾了临床工作的实际需求。</w:t>
      </w:r>
    </w:p>
    <w:p w14:paraId="7EBB6348">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提供智能化的整改指导功能。当检测到质量问题时，不仅精准定位问题位置，还提供具体的整改建议和标准范例。医务人员可参照系统推荐的标准表述模板，快速完成内容修正。同时，记录所有质控问题和整改过程，为医疗质量分析和持续改进提供数据支撑。</w:t>
      </w:r>
    </w:p>
    <w:p w14:paraId="2AB7ABE0">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提交病案卡控功能的实施，建立病案质量的最后一道防线。通过智能化的预审机制，有效防止了不合格病案的流出；通过精准的问题定位和整改指导，显著提升了医务人员的文书书写能力；通过完整的质控数据记录，为医疗质量的精细化管理提供有力支持。</w:t>
      </w:r>
    </w:p>
    <w:p w14:paraId="3A7F110D">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2.1.5.1.5.1.6.离线质控</w:t>
      </w:r>
    </w:p>
    <w:p w14:paraId="6FE86405">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离线质控（定时质控）功能是智能医疗质控体系的重要支柱，通过智能调度与错峰计算技术，实现高效、精准的全量质控分析。基于知识图谱与大模型技术，构建无感化、智能化的定时质控体系，在保障日间诊疗系统流畅运行的同时，实现质控效率与临床体验的协同提升。</w:t>
      </w:r>
    </w:p>
    <w:p w14:paraId="7CCE7C79">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在调度机制方面，提供灵活的时段配置功能，支持医疗机构根据业务负载特征自定义质控执行时段。质控管理员可设置夜间时段、业务低峰期或周末时间作为质控窗口，在指定时段自动启动全量质控任务。这种智能调度机制有效避免了质控计算与日常诊疗业务的资源竞争，确保临床工作的连续性和系统响应的及时性。</w:t>
      </w:r>
    </w:p>
    <w:p w14:paraId="20C4EF2B">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支持多维度的质控分析模式，满足不同层面的质量管理需求：</w:t>
      </w:r>
    </w:p>
    <w:p w14:paraId="5840A667">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医生自评维度为个体医师提供专属的质量分析报告，帮助其及时发现并改进书写缺陷；</w:t>
      </w:r>
    </w:p>
    <w:p w14:paraId="2398103E">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科室质控维度聚焦专科特色与共性问题的识别，支持科室层面的质量改进；</w:t>
      </w:r>
    </w:p>
    <w:p w14:paraId="30AE82B1">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环节质控维度针对病历书写的关键节点进行过程监控，实现质量问题的早期发现；</w:t>
      </w:r>
    </w:p>
    <w:p w14:paraId="18B651F6">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终末质控维度在病案完成阶段执行全面质量评估，确保归档病案的标准化；</w:t>
      </w:r>
    </w:p>
    <w:p w14:paraId="021D18A6">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专题质控维度针对特定病种、术式或管理要求开展专项质量分析。</w:t>
      </w:r>
    </w:p>
    <w:p w14:paraId="47B86782">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在技术架构层面，深度融合知识图谱与大模型技术，构建智能化的质控分析引擎。基于医疗知识图谱的语义关联能力，能够深度解析病历内涵质量，识别诊断依据充分性、治疗方案合理性等复杂问题；通过大模型的自然语言理解能力，实现对病历文本的智能解读和逻辑一致性检查。这种双技术引擎的协同工作，确保了质控分析的深度和准确性。</w:t>
      </w:r>
    </w:p>
    <w:p w14:paraId="6278DC7D">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采用分布式计算架构，实现大规模病历数据的并行处理。在设定的质控时段内，自动调度计算资源，对全院在架病历执行全量质量分析。通过负载均衡和资源动态分配技术，确保质控任务的高效执行，同时不影响其他业务系统的正常运行。</w:t>
      </w:r>
    </w:p>
    <w:p w14:paraId="212D4586">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在结果推送机制方面，建立精准的报告分发体系。质控任务完成后，自动生成结构化的质控报告，在次日工作开始前精准推送至相关工作站。医生工作站接收个体化的质控反馈，包含具体问题定位、整改建议和标准范例；质控工作站则获取全院层面的质量分析，包括质量问题分布、趋势变化和重点改进领域。</w:t>
      </w:r>
    </w:p>
    <w:p w14:paraId="07682FC3">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通过离线错峰计算，彻底消除了质控任务对日间诊疗流程的影响；通过智能化的质控分析，将关键问题的识别和推送响应速度提升至秒级；通过精准的报告推送，为质量改进提供及时有效的数据支持。</w:t>
      </w:r>
    </w:p>
    <w:p w14:paraId="1C932D2D">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2.1.5.1.5.1.7.质控报告</w:t>
      </w:r>
    </w:p>
    <w:p w14:paraId="49CCF63D">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通过离线方式，使用知识抽取、大语言模型等人工智能技术对门诊、住院患者的医疗文书数据提供智能化的信息挖掘、问题识别、质量评价、报告生成、修正建议。</w:t>
      </w:r>
    </w:p>
    <w:p w14:paraId="5A90494E">
      <w:pPr>
        <w:pStyle w:val="6"/>
        <w:keepNext w:val="0"/>
        <w:keepLines w:val="0"/>
        <w:pageBreakBefore w:val="0"/>
        <w:kinsoku/>
        <w:wordWrap/>
        <w:overflowPunct/>
        <w:topLinePunct w:val="0"/>
        <w:autoSpaceDE/>
        <w:autoSpaceDN/>
        <w:bidi w:val="0"/>
        <w:adjustRightInd/>
        <w:snapToGrid/>
        <w:spacing w:line="500" w:lineRule="exact"/>
        <w:ind w:left="1440"/>
        <w:jc w:val="both"/>
        <w:textAlignment w:val="auto"/>
        <w:rPr>
          <w:rFonts w:hint="eastAsia" w:ascii="宋体" w:hAnsi="宋体" w:eastAsia="宋体" w:cs="宋体"/>
          <w:sz w:val="24"/>
          <w:szCs w:val="24"/>
        </w:rPr>
      </w:pPr>
      <w:r>
        <w:rPr>
          <w:rFonts w:hint="eastAsia" w:ascii="宋体" w:hAnsi="宋体" w:eastAsia="宋体" w:cs="宋体"/>
          <w:b/>
          <w:sz w:val="24"/>
          <w:szCs w:val="24"/>
        </w:rPr>
        <w:t>2.1.5.1.5.1.7.1.质控报告查看</w:t>
      </w:r>
    </w:p>
    <w:p w14:paraId="5BE65CBE">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质控报告基于大模型技术和智能分类算法，构建精准、直观的质控结果展示体系。通过深度分析病历文书内容与质控规则的符合度，生成结构化、可操作的质控报告，为医务人员提供清晰的质量改进指引。</w:t>
      </w:r>
    </w:p>
    <w:p w14:paraId="452BB332">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在报告生成机制方面，采用大模型驱动的智能分析引擎。该引擎严格遵循既定的质控规则库，对病历文书进行多维度深度分析，包括格式规范性、内容完整性、逻辑一致性、术语准确性等关键指标。不仅识别表面问题，更能通过语义理解技术发现内涵质量缺陷，如诊断依据不充分、治疗方案不合理等深层次问题。每个质控问题都配备具体的原文引用、规则依据和整改建议，形成完整的质控证据链。</w:t>
      </w:r>
    </w:p>
    <w:p w14:paraId="4E917190">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具备智能化的报告分类与组织能力。AI智能助手基于患者病历的类型特征，自动将质控记录按入院记录、病程记录、手术记录、出院记录等类别进行精准分类。每种病历类型对应特定的质控标准和展示模板，确保质控报告的专业性和针对性。医务人员可通过直观的导航界面，快速定位到特定类型的质控记录，大大提升了信息检索效率。</w:t>
      </w:r>
    </w:p>
    <w:p w14:paraId="0DEBC580">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通过智能化的报告生成和分类展示，将传统的人工质控转变为精准的智能质控；通过问题定位和整改指导，有效促进了医疗文书质量的持续提升；通过完整的质控数据积累，为医疗机构的质量管理和决策分析提供有力支撑。</w:t>
      </w:r>
    </w:p>
    <w:p w14:paraId="5857DB7F">
      <w:pPr>
        <w:pStyle w:val="6"/>
        <w:keepNext w:val="0"/>
        <w:keepLines w:val="0"/>
        <w:pageBreakBefore w:val="0"/>
        <w:kinsoku/>
        <w:wordWrap/>
        <w:overflowPunct/>
        <w:topLinePunct w:val="0"/>
        <w:autoSpaceDE/>
        <w:autoSpaceDN/>
        <w:bidi w:val="0"/>
        <w:adjustRightInd/>
        <w:snapToGrid/>
        <w:spacing w:line="500" w:lineRule="exact"/>
        <w:ind w:left="1440"/>
        <w:jc w:val="both"/>
        <w:textAlignment w:val="auto"/>
        <w:rPr>
          <w:rFonts w:hint="eastAsia" w:ascii="宋体" w:hAnsi="宋体" w:eastAsia="宋体" w:cs="宋体"/>
          <w:sz w:val="24"/>
          <w:szCs w:val="24"/>
        </w:rPr>
      </w:pPr>
      <w:r>
        <w:rPr>
          <w:rFonts w:hint="eastAsia" w:ascii="宋体" w:hAnsi="宋体" w:eastAsia="宋体" w:cs="宋体"/>
          <w:b/>
          <w:sz w:val="24"/>
          <w:szCs w:val="24"/>
        </w:rPr>
        <w:t>2.1.5.1.5.1.7.2.质控缺陷项快速定位</w:t>
      </w:r>
    </w:p>
    <w:p w14:paraId="05E6F0AE">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缺陷项快速定位功能通过精准的文档定位技术和智能的内容匹配算法，实现质控问题与原始病历文档的无缝对接。构建直观高效的问题定位机制，显著提升了质控问题的整改效率和使用体验。</w:t>
      </w:r>
    </w:p>
    <w:p w14:paraId="50D6D972">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在定位机制层面，建立智能化的文档联动体系。当用户打开患者质控报告后，点击任意缺陷项内容时，会自动触发文档定位流程：若对应的病历文档尚未打开，将自动开启该文档并精准导航至问题所在位置；若文档已处于开启状态，则直接定位到具体的缺陷位置。这种智能化的文档状态感知和自动导航机制，彻底消除了用户在多个窗口间手动切换和寻找问题位置的操作负担。</w:t>
      </w:r>
    </w:p>
    <w:p w14:paraId="12A0495D">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在精确定位方面实现突破性的技术创新。通过深度集成的文档解析引擎，能够准确识别病历文档中的结构化元素和文本坐标，确保定位的精准性。无论是段落级别的格式问题，还是句子层面的表述缺陷，甚至是特定数据元的填写错误，都能实现毫秒级的精准定位，为用户提供极致的操作体验。</w:t>
      </w:r>
    </w:p>
    <w:p w14:paraId="0F9E55D1">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在修改建议的交互设计上，提供更加细粒度的定位功能。用户点击修改建议中的具体项目名称时，不仅会自动定位到问题数据元所在位置，还会智能选中对应的数据元内容。这种精准的内容选中机制，使得用户能够立即识别需要修改的具体文本，无需手动选择或反复核对，大大提升了整改操作的准确性和效率。</w:t>
      </w:r>
    </w:p>
    <w:p w14:paraId="45880CE6">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通过一键式的精准定位和智能选中，将问题查找时间从分钟级缩短至秒级，大幅提升了质控整改的效率。直观的视觉定位效果，有效降低了操作门槛，使得医务人员能够更加专注于质量改进本身。</w:t>
      </w:r>
    </w:p>
    <w:p w14:paraId="06EA8D06">
      <w:pPr>
        <w:pStyle w:val="6"/>
        <w:keepNext w:val="0"/>
        <w:keepLines w:val="0"/>
        <w:pageBreakBefore w:val="0"/>
        <w:kinsoku/>
        <w:wordWrap/>
        <w:overflowPunct/>
        <w:topLinePunct w:val="0"/>
        <w:autoSpaceDE/>
        <w:autoSpaceDN/>
        <w:bidi w:val="0"/>
        <w:adjustRightInd/>
        <w:snapToGrid/>
        <w:spacing w:line="500" w:lineRule="exact"/>
        <w:ind w:left="1440"/>
        <w:jc w:val="both"/>
        <w:textAlignment w:val="auto"/>
        <w:rPr>
          <w:rFonts w:hint="eastAsia" w:ascii="宋体" w:hAnsi="宋体" w:eastAsia="宋体" w:cs="宋体"/>
          <w:sz w:val="24"/>
          <w:szCs w:val="24"/>
        </w:rPr>
      </w:pPr>
      <w:r>
        <w:rPr>
          <w:rFonts w:hint="eastAsia" w:ascii="宋体" w:hAnsi="宋体" w:eastAsia="宋体" w:cs="宋体"/>
          <w:b/>
          <w:sz w:val="24"/>
          <w:szCs w:val="24"/>
        </w:rPr>
        <w:t>2.1.5.1.5.1.7.3.质控缺陷修改</w:t>
      </w:r>
    </w:p>
    <w:p w14:paraId="1CBB74B1">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质控缺陷智能修改功能通过深度集成文档定位技术与智能内容处理能力，实现质控问题的一站式整改解决方案。构建从问题发现到整改完成的完整工作流程，显著提升了质控问题的处理效率和质量改进效果。</w:t>
      </w:r>
    </w:p>
    <w:p w14:paraId="2EA91403">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建立智能化的缺陷定位与内容关联机制。当用户打开患者质控报告并点击缺陷项内容时，自动执行精准的多级定位操作：首先智能判断目标病历文档的开启状态，自动完成文档的开启与导航；随后精确定位到具体的问题数据元位置，并通过高亮显示和视觉聚焦的方式，直观标识出需要修改的具体内容区域。这种智能定位机制确保了用户能够快速理解和聚焦问题核心。</w:t>
      </w:r>
    </w:p>
    <w:p w14:paraId="36E2DB5B">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在修改操作层面，提供两种智能化的内容处理方式：</w:t>
      </w:r>
    </w:p>
    <w:p w14:paraId="67AEA57B">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1.内容追加模式</w:t>
      </w:r>
    </w:p>
    <w:p w14:paraId="445B2EFE">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针对需要补充完善的内容场景，提供智能化的内容追加功能。用户可直接在定位位置通过专门的编辑面板，选择推荐的标准化表述模板或自行输入补充内容。支持结构化内容的智能插入，包括标准医学术语、规范诊断描述、标准治疗方案等预制内容块，确保补充内容的专业性和规范性。所有追加内容都会自动记录修改痕迹，保留完整的修改历史。</w:t>
      </w:r>
    </w:p>
    <w:p w14:paraId="4AE4C6F0">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2.内容引用模式</w:t>
      </w:r>
    </w:p>
    <w:p w14:paraId="356D38A4">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对于需要重构或优化的内容场景，提供智能引用功能。用户可选择将推荐的标准化表述直接引用到目标位置，会自动完成内容的替换和格式调整。在引用过程中，会智能保留重要的原始信息，确保医疗数据的完整性和连续性。同时，提供引用内容的对比预览功能，允许用户在确认前查看修改效果，确保修改的准确性。</w:t>
      </w:r>
    </w:p>
    <w:p w14:paraId="19EA9854">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配备智能化的修改辅助工具集：</w:t>
      </w:r>
    </w:p>
    <w:p w14:paraId="50F8E991">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1.修改建议库</w:t>
      </w:r>
    </w:p>
    <w:p w14:paraId="532B6806">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基于历史质控数据和最佳实践，建立丰富的修改建议知识库。针对每类常见问题，提供多个可选的修改方案，包括标准表述范例、术语替换建议、结构优化方案等。</w:t>
      </w:r>
    </w:p>
    <w:p w14:paraId="1A8EE48D">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2.实时校验机制</w:t>
      </w:r>
    </w:p>
    <w:p w14:paraId="7AE94C3D">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在修改过程中实时检查内容的合规性，及时提示可能存在的新的问题。包括术语规范性检查、逻辑一致性验证、格式标准符合度检测等，确保修改后的内容符合质控要求。</w:t>
      </w:r>
    </w:p>
    <w:p w14:paraId="42384477">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3.版本管理功能</w:t>
      </w:r>
    </w:p>
    <w:p w14:paraId="38A88A39">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完整记录每次修改的详细过程，包括修改时间、修改人员、修改内容、修改依据等信息。支持修改版本的比较和回滚，便于质量追踪和审核。</w:t>
      </w:r>
    </w:p>
    <w:p w14:paraId="1EF6E431">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通过智能化的定位和修改工具，缩短了质控问题的平均处理时间。直观的操作界面和智能的辅助工具，显著降低了整改操作的技术门槛，使医务人员能够更加专注于医疗质量的本质提升。</w:t>
      </w:r>
    </w:p>
    <w:p w14:paraId="3E5C501A">
      <w:pPr>
        <w:pStyle w:val="6"/>
        <w:keepNext w:val="0"/>
        <w:keepLines w:val="0"/>
        <w:pageBreakBefore w:val="0"/>
        <w:kinsoku/>
        <w:wordWrap/>
        <w:overflowPunct/>
        <w:topLinePunct w:val="0"/>
        <w:autoSpaceDE/>
        <w:autoSpaceDN/>
        <w:bidi w:val="0"/>
        <w:adjustRightInd/>
        <w:snapToGrid/>
        <w:spacing w:line="500" w:lineRule="exact"/>
        <w:ind w:left="1440"/>
        <w:jc w:val="both"/>
        <w:textAlignment w:val="auto"/>
        <w:rPr>
          <w:rFonts w:hint="eastAsia" w:ascii="宋体" w:hAnsi="宋体" w:eastAsia="宋体" w:cs="宋体"/>
          <w:sz w:val="24"/>
          <w:szCs w:val="24"/>
        </w:rPr>
      </w:pPr>
      <w:r>
        <w:rPr>
          <w:rFonts w:hint="eastAsia" w:ascii="宋体" w:hAnsi="宋体" w:eastAsia="宋体" w:cs="宋体"/>
          <w:b/>
          <w:sz w:val="24"/>
          <w:szCs w:val="24"/>
        </w:rPr>
        <w:t>2.1.5.1.5.1.7.4.质控申诉</w:t>
      </w:r>
    </w:p>
    <w:p w14:paraId="441F57E4">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质控申诉管理功能建立完善的质控争议解决机制和规则优化闭环。通过标准化的申诉流程和智能化的数据分析，保障了质控工作的公平性和持续性改进。</w:t>
      </w:r>
    </w:p>
    <w:p w14:paraId="092240CD">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建立便捷的医生端申诉通道。当医务人员对质控判断存在异议时，可通过医生工作站直接提交申诉申请。</w:t>
      </w:r>
    </w:p>
    <w:p w14:paraId="330C8CE7">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在质控科处理端，提供专业化的申诉处理工作台。质控专员可实时查看医生提交的申诉内容，自动关联调取原始病历文档和AI质控报告，支持并排比对分析。质控科可通过多维度信息综合评估申诉合理性，包括病历原文、质控规则依据、AI分析过程等关键要素，确保申诉处理的全面性和客观性。</w:t>
      </w:r>
    </w:p>
    <w:p w14:paraId="5E69A1DA">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设计标准化的申诉处理机制：</w:t>
      </w:r>
    </w:p>
    <w:p w14:paraId="19AEB3E3">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1.申诉驳回流程</w:t>
      </w:r>
    </w:p>
    <w:p w14:paraId="2CB1A8EF">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当质控科认定申诉不成立时，需填写详细的驳回理由。驳回通知将自动推送至医生工作站，并附带具体的解释说明。</w:t>
      </w:r>
    </w:p>
    <w:p w14:paraId="54673057">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2.申诉通过流程</w:t>
      </w:r>
    </w:p>
    <w:p w14:paraId="059EDDD5">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当质控科认可申诉理由时，自动执行申诉通过操作，立即撤销相应的质控扣分，并更新质控评分结果。通过通知实时发送至医生工作站，确保申诉结果的及时反馈。同时记录申诉通过的详细原因，为后续规则优化提供重要参考。</w:t>
      </w:r>
    </w:p>
    <w:p w14:paraId="23028D06">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2.1.5.1.5.1.8.整改反馈</w:t>
      </w:r>
    </w:p>
    <w:p w14:paraId="3BD72AE7">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 xml:space="preserve"> 在医院AI质控流程执行完毕后，会自动将包含详细问题标注、质量评分及改进建议的结构化质控报告，实时推送至医院质量控制管理部门的专用工作平台。质控管理部门作为医疗质量监督的核心机构，将依据国家《病历书写基本规范》等权威标准，对接收的质控病历开展多维度专业审核。</w:t>
      </w:r>
    </w:p>
    <w:p w14:paraId="13B1D78E">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审核过程中，质控专员会重点核查AI识别问题的准确性，并结合临床实际情况进行人工复核。对于存在重大缺陷、逻辑矛盾或违反医疗核心制度的病历，以及虽未构成严重缺陷但需要优化完善的质量问题，管理部门将通过内置的标准化反馈机制，将病历问题按"强制修改类""建议优化类"进行标注，精准下发至对应医师的临床工作终端。</w:t>
      </w:r>
    </w:p>
    <w:p w14:paraId="507BD20B">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医师端会通过消息中心、悬浮通知等多种方式实时接收质控反馈，并在电子病历系统中显著标识待整改条目。提供"问题定位-修改指导-复核提交"的一站式整改流程，医师可参照反馈意见直接跳转到病历相应位置进行修改，并在完成整改后通过系统进行在线确认。对于存在异议的质控意见，医师可通过内置的沟通渠道向质控部门发起专业讨论，形成良性的质控互动机制。</w:t>
      </w:r>
    </w:p>
    <w:p w14:paraId="78E0DBF4">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这种数字化的质控整改闭环，不仅建立"智能检测-专业审核-精准反馈-及时整改-效果追踪"的全流程质量管理体系，更重要的是构建临床医师与质控管理部门之间的协同改进桥梁。通过持续的问题反馈与修改完善，有效提升了病历书写的规范性和完整性，强化了医疗过程的质量控制，为医疗安全奠定了坚实基础，最终实现医疗质量管理的螺旋式上升和持续改进的目标。</w:t>
      </w:r>
    </w:p>
    <w:p w14:paraId="60D0DD10">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2.1.5.1.5.1.9.质控监管统计</w:t>
      </w:r>
    </w:p>
    <w:p w14:paraId="709916DF">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通过AI质控结果数据进行监管统计分析，及时了解医院甲级病案情况，帮助质控管理者实时监管全院医疗质量，保证病历具有医疗行为的可追溯性，并为教学、科研、预防，为病案质量改进及绩效考核提供数据支撑。</w:t>
      </w:r>
    </w:p>
    <w:p w14:paraId="7FF570E2">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提供事中警示、质控评分、事后反馈等的所有日志记录，以对多种维度的电子病历、常见错误、规则的进行统计分析，包括：平均病案缺陷、缺陷类型分布、不同科室病案率、不同时段病案率、病案质量等级分布等一系列对比分析，以图表的方式直观地展现结果，打破时间和空间限制，为医院提供丰富的质控案例，客观地反映医院综合管理水平。</w:t>
      </w:r>
    </w:p>
    <w:p w14:paraId="732EFA46">
      <w:pPr>
        <w:pStyle w:val="6"/>
        <w:keepNext w:val="0"/>
        <w:keepLines w:val="0"/>
        <w:pageBreakBefore w:val="0"/>
        <w:kinsoku/>
        <w:wordWrap/>
        <w:overflowPunct/>
        <w:topLinePunct w:val="0"/>
        <w:autoSpaceDE/>
        <w:autoSpaceDN/>
        <w:bidi w:val="0"/>
        <w:adjustRightInd/>
        <w:snapToGrid/>
        <w:spacing w:line="500" w:lineRule="exact"/>
        <w:ind w:left="1440"/>
        <w:jc w:val="both"/>
        <w:textAlignment w:val="auto"/>
        <w:rPr>
          <w:rFonts w:hint="eastAsia" w:ascii="宋体" w:hAnsi="宋体" w:eastAsia="宋体" w:cs="宋体"/>
          <w:sz w:val="24"/>
          <w:szCs w:val="24"/>
        </w:rPr>
      </w:pPr>
      <w:r>
        <w:rPr>
          <w:rFonts w:hint="eastAsia" w:ascii="宋体" w:hAnsi="宋体" w:eastAsia="宋体" w:cs="宋体"/>
          <w:b/>
          <w:sz w:val="24"/>
          <w:szCs w:val="24"/>
        </w:rPr>
        <w:t>2.1.5.1.5.1.9.1.数据总览</w:t>
      </w:r>
    </w:p>
    <w:p w14:paraId="41BF5ED9">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数据总览功能通过多维度数据可视化与分析技术，为医院管理者提供全景式病历质控数据洞察。构建完整的质控指标体系和智能分析模型，实现从宏观趋势到微观问题的全面把控，助力医院实现数据驱动的精细化管理。</w:t>
      </w:r>
    </w:p>
    <w:p w14:paraId="69F29242">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在数据整合与查询层面，建立灵活的维度筛选机制。支持按医院整体、科室单元、质控小组、任务类型及自定义时间范围进行精准数据提取，提供当月实时数据、上月对比数据、近一年趋势分析等多时间维度的查询选择。核心指标体系完整覆盖质控关键指标，包括质控病人数、甲级病历率、缺陷问题数、缺陷整改数、病历按时完成率等核心指标，并智能计算与上期的变化趋势，通过直观的箭头标识和百分比变化显示数据波动情况。</w:t>
      </w:r>
    </w:p>
    <w:p w14:paraId="72CA1D4B">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1.病历质量分析模块</w:t>
      </w:r>
    </w:p>
    <w:p w14:paraId="3E9A8214">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采用"病历等级分布"饼图清晰展示甲、乙、丙级病历的占比情况，通过色彩区分和占比标注直观反映整体质量水平。"近一年病历质量趋势"柱状图则按月展示病历等级变化轨迹，支持多年度对比分析，帮助管理者把握质量改进的长期效果。</w:t>
      </w:r>
    </w:p>
    <w:p w14:paraId="7300ACFD">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2.甲级率排名模块</w:t>
      </w:r>
    </w:p>
    <w:p w14:paraId="375A1B5C">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对各临床科室的甲级病历率进行动态排名，通过排行榜形式展示各科室质量表现。支持排名数据的钻取分析，可快速查看具体科室的详细质量数据和改进趋势，为科室绩效考核和质量评比提供客观依据。</w:t>
      </w:r>
    </w:p>
    <w:p w14:paraId="68AE4513">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3.缺陷问题分析模块</w:t>
      </w:r>
    </w:p>
    <w:p w14:paraId="51B4E680">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"缺陷病历趋势分析"折线图展示缺陷发生率的月度变化，识别缺陷控制的薄弱环节。"缺陷问题Top10"列表则从问题类型和涉及科室两个维度，统计高频缺陷问题分布，为针对性整改提供明确方向。</w:t>
      </w:r>
    </w:p>
    <w:p w14:paraId="3E5DDBC8">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4.时限规则分析模块</w:t>
      </w:r>
    </w:p>
    <w:p w14:paraId="623F9C34">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"书写超时病历分布"从病历类型角度分析超时发生规律，"书写超时规则Top10"则聚焦于具体的时间节点要求，帮助管理部门优化时间管理策略。</w:t>
      </w:r>
    </w:p>
    <w:p w14:paraId="1AC94FEB">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提供详细的病历清单展示功能，支持按筛选条件展示病人姓名、床号、住院号、主管医生、入院/出院时间、科室、质控员、病历等级、分数等完整信息。所有数据均支持一键导出，便于进一步的深度分析和报告制作。</w:t>
      </w:r>
    </w:p>
    <w:p w14:paraId="5CD15D96">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通过可视化的数据呈现和深度的分析洞察，帮助管理者快速把握全院病历质量现状，精准识别问题短板，制定针对性的改进策略。</w:t>
      </w:r>
    </w:p>
    <w:p w14:paraId="017E89EE">
      <w:pPr>
        <w:pStyle w:val="6"/>
        <w:keepNext w:val="0"/>
        <w:keepLines w:val="0"/>
        <w:pageBreakBefore w:val="0"/>
        <w:kinsoku/>
        <w:wordWrap/>
        <w:overflowPunct/>
        <w:topLinePunct w:val="0"/>
        <w:autoSpaceDE/>
        <w:autoSpaceDN/>
        <w:bidi w:val="0"/>
        <w:adjustRightInd/>
        <w:snapToGrid/>
        <w:spacing w:line="500" w:lineRule="exact"/>
        <w:ind w:left="1440"/>
        <w:jc w:val="both"/>
        <w:textAlignment w:val="auto"/>
        <w:rPr>
          <w:rFonts w:hint="eastAsia" w:ascii="宋体" w:hAnsi="宋体" w:eastAsia="宋体" w:cs="宋体"/>
          <w:sz w:val="24"/>
          <w:szCs w:val="24"/>
        </w:rPr>
      </w:pPr>
      <w:r>
        <w:rPr>
          <w:rFonts w:hint="eastAsia" w:ascii="宋体" w:hAnsi="宋体" w:eastAsia="宋体" w:cs="宋体"/>
          <w:b/>
          <w:sz w:val="24"/>
          <w:szCs w:val="24"/>
        </w:rPr>
        <w:t>2.1.5.1.5.1.9.2.病历质控统计</w:t>
      </w:r>
    </w:p>
    <w:p w14:paraId="134C18B5">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病历质控统计功能通过构建多维度数据整合与智能可视化体系，为医疗机构提供全面、精准的病历质量监测与管控支持。基于大数据分析与可视化技术，实现从宏观趋势到微观问题的全方位质量洞察。</w:t>
      </w:r>
    </w:p>
    <w:p w14:paraId="48CBA205">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建立完整的质控指标监控机制，支持按医院层级、科室单元、质控小组、任务类型及自定义时间范围进行灵活数据查询与分析。实时展示质控病历总数、甲级/乙级/丙级病历率等核心质量指标，并通过智能对比算法，清晰呈现各指标与上月数据的对比变化趋势。采用动态可视化技术，通过趋势箭头、百分比变化和色彩标识，直观展示指标改善或恶化的具体情况，为管理者提供即时的质量态势感知。</w:t>
      </w:r>
    </w:p>
    <w:p w14:paraId="220B084A">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通过多个专业分析模块实现数据的深度挖掘：</w:t>
      </w:r>
    </w:p>
    <w:p w14:paraId="497A1266">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病历质量分析模块采用"病历等级分布"饼图直观展示各等级病历的占比情况，通过色彩区分和精准标注呈现整体质量分布。"近一年病历质量趋势"柱状图则按月展示质量等级的变化轨迹，支持多维度对比分析，帮助管理者掌握质量改进的长期效果。</w:t>
      </w:r>
    </w:p>
    <w:p w14:paraId="2B309241">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甲级率排名模块对各临床科室的甲级病历率进行动态排名，通过可视化排行榜形式清晰展示各科室质量表现。支持排名数据的深度钻取，可快速查看具体科室的详细质量数据、改进趋势及相关影响因素，为科室绩效考核提供客观依据。</w:t>
      </w:r>
    </w:p>
    <w:p w14:paraId="3C75A343">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科室病历质量对比模块通过三大可视化分析工具实现深度对比："甲级病历质量趋势对比"折线图展示各科室质量发展轨迹；"病历等级对比"柱状图呈现不同科室等级分布差异；"病历质控平均分对比"条形图则从评分角度揭示科室间质量差距。这些分析工具帮助管理者精准定位质量问题，识别优秀实践和改进空间。</w:t>
      </w:r>
    </w:p>
    <w:p w14:paraId="184055DE">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提供完整的病历详情展示，支持查询病人姓名、床号、住院号、主管医生、入院/出院时间、科室、质控员、病历等级、分数等详细信息。所有数据均支持一键导出，满足深度分析和报告制作需求。建立数据追溯机制，确保每个质控结果都可追溯到具体的病历文档和评审记录。</w:t>
      </w:r>
    </w:p>
    <w:p w14:paraId="103D3BF4">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通过全方位的质量数据分析和可视化呈现，帮助管理者快速把握病历质量现状，精准识别改进方向，制定有效的质量管理策略。</w:t>
      </w:r>
    </w:p>
    <w:p w14:paraId="0CCFDC81">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2.1.5.1.5.2.智能病案首页质控辅助</w:t>
      </w:r>
    </w:p>
    <w:p w14:paraId="77DD8E9D">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2.1.5.1.5.2.1.患者首页基本信息质控</w:t>
      </w:r>
    </w:p>
    <w:p w14:paraId="0C19113B">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支持对接获取患者病案首页基本信息内容进行必填信息、身份证格式、手机格式等进行校验，可通过对接智能体服务对基本信息内容进行语义分析做内涵合理校验，比如对基本信息中的省市区地址信息关联合理性校验，避免出现省市区信息填写不符合规范的情况。</w:t>
      </w:r>
    </w:p>
    <w:p w14:paraId="177EEC21">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2.1.5.1.5.2.2.患者首页住院信息质控</w:t>
      </w:r>
    </w:p>
    <w:p w14:paraId="27B0D4F9">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对接获取病案首页住院信息后，可通过智能体服务对住院信息中的时间矛盾逻辑或者住院天数异常等情况进行智能分析，识别矛盾项（比如出院早于末次手术时间）并给予预警提示。</w:t>
      </w:r>
    </w:p>
    <w:p w14:paraId="160B7DD1">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2.1.5.1.5.2.3.患者首页诊疗信息质控</w:t>
      </w:r>
    </w:p>
    <w:p w14:paraId="6E8631CC">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可对获取的病案首页诊疗信息进行智能判别，如主要诊断选择合理性、校验诊断/手术编码准确性，识别自创术语或诊断遗漏信息、识别“Z编码滥用”等违规场景。</w:t>
      </w:r>
    </w:p>
    <w:p w14:paraId="49170B78">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2.1.5.1.5.2.4.患者首页费用信息质控</w:t>
      </w:r>
    </w:p>
    <w:p w14:paraId="177F5F04">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支持对接获取患者首页费用信息，通过智能体服务智能分析识别检测医保支付比例异常、极端费用值、验证费用结构（如药占比是否合理）及标记医保规则冲突项。</w:t>
      </w:r>
    </w:p>
    <w:p w14:paraId="03B50862">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2.1.5.1.5.3.智能住院病历质控辅助</w:t>
      </w:r>
    </w:p>
    <w:p w14:paraId="3D742F1B">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2.1.5.1.5.3.1.书写规则基本原则质控</w:t>
      </w:r>
    </w:p>
    <w:p w14:paraId="23657D00">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对病历内容进行全方位智能分析，确保符合书写规范。首先检查病历内容的完整性，包括病历首页、入院记录、病程记录、知情同意书等全要素，识别缺项漏项问题。通过流程追踪，验证病历是否涵盖全诊疗流程，包括拒绝治疗等重要事件的记录。通过医学术语库比对，评估术语使用的规范性，识别使用非标准术语的情况。基于分析结果，生成病历质量评估报告，促进病历书写质量的持续提升。</w:t>
      </w:r>
    </w:p>
    <w:p w14:paraId="023E4537">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2.1.5.1.5.3.2.入院记录质控</w:t>
      </w:r>
    </w:p>
    <w:p w14:paraId="1D698B93">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对入院记录内容结合病例资料进行深度智能分析。重点评估入院记录的规范性，检查既往史是否完整涵盖手术史、过敏史、传染病史等关键要素，避免简化为“无特殊”等笼统表述。通过病情分析，识别重要病史遗漏情况，如糖尿病患者未记录胰岛素使用情况等。验证入院记录与后续诊疗内容的一致性，确保病历资料的准确性和连续性。基于分析结果，生成入院记录质量改进建议。</w:t>
      </w:r>
    </w:p>
    <w:p w14:paraId="495BA7F1">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2.1.5.1.5.3.3.病程记录质控</w:t>
      </w:r>
    </w:p>
    <w:p w14:paraId="289E7571">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对病程记录内容进行多维度智能分析。首先验证首次病程记录的规范性，包括病例特点、诊断依据、鉴别诊断及初始治疗计划等要素的完整性。针对术后首次病程记录，检查是否包含麻醉方式、手术名称、术中意外等关键信息。通过时间序列分析，评估病程记录及时性等问题。基于分析结果，生成病程记录质量评估报告。</w:t>
      </w:r>
    </w:p>
    <w:p w14:paraId="6BCA806F">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2.1.5.1.5.3.4.出院记录质控</w:t>
      </w:r>
    </w:p>
    <w:p w14:paraId="654EEC99">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对出院记录内容进行全方位智能分析。重点检查出院记录的完整性，包括入院情况、诊疗经过、出院诊断、医嘱及随访建议等要素，并验证与病案首页关键信息的一致性。通过诊断分析，评估主要诊断选择是否符合“对健康危害最大、资源消耗最多”原则，并检查诊断编码的准确性。识别出院记录中的逻辑矛盾问题，确保病历质量。基于分析结果，生成出院记录质量改进建议。</w:t>
      </w:r>
    </w:p>
    <w:p w14:paraId="63220A44">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2.1.5.1.5.3.5.知情同意书质控</w:t>
      </w:r>
    </w:p>
    <w:p w14:paraId="76EABF1E">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对知情同意书内容进行深度智能分析。首先验证签署规范性，包括授权委托书的委托时限及权限说明等要素。通过内容分析，检查高风险操作是否详细列出具体并发症信息及其发生率。评估告知内容的完整性，包括替代方案、预期效果等要素，并识别使用过于专业术语的情况。基于分析结果，生成知情同意书质量评估报告。</w:t>
      </w:r>
    </w:p>
    <w:p w14:paraId="55AE6E05">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2.1.5.1.5.3.6.医嘱及辅助检查质控</w:t>
      </w:r>
    </w:p>
    <w:p w14:paraId="261F0DD9">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对医嘱记录进行全流程智能分析。重点验证医嘱记录的规范性，包括口头医嘱补记时效、手术医嘱的术前讨论支撑等要素。通过闭环管理分析，检查关键检验检查医嘱的执行情况，包括抗菌药物与微生物送检的关联性、危急值处理的及时性等。识别医嘱之间的矛盾问题，确保医疗安全。基于分析结果，生成医嘱质量管理报告。</w:t>
      </w:r>
    </w:p>
    <w:p w14:paraId="654A7F8D">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2.1.5.1.5.4.智能门诊病历质控辅助</w:t>
      </w:r>
    </w:p>
    <w:p w14:paraId="742E99AC">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智能门诊病历质控辅助功能是深度融合人工智能技术与临床医疗质量管理的创新成果，它通过构建覆盖门诊病历全生命周期的智能化质控体系，实现从传统人工抽查到实时自动化质控的模式变革。</w:t>
      </w:r>
    </w:p>
    <w:p w14:paraId="6E25F08F">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2.1.5.1.5.4.1.智能质控规则库</w:t>
      </w:r>
    </w:p>
    <w:p w14:paraId="72582D9E">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以国家病历书写规范、临床诊疗指南和医疗质量安全核心制度为依据，建立起包含完整性、规范性、逻辑性和合理性四个维度的智能质控规则库。</w:t>
      </w:r>
    </w:p>
    <w:p w14:paraId="7D1CDE26">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2.1.5.1.5.4.2.实时语义解析质控</w:t>
      </w:r>
    </w:p>
    <w:p w14:paraId="7904C8CA">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在医生书写门诊病历的过程中，通过自然语言处理技术实时解析文本内容，自动识别必填项缺失、术语不规范、诊断依据不足、用药矛盾等常见问题，并即时给出针对性修改建议。</w:t>
      </w:r>
    </w:p>
    <w:p w14:paraId="727C8F4D">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2.1.5.1.5.4.3.逻辑智能校验</w:t>
      </w:r>
    </w:p>
    <w:p w14:paraId="5CE91F55">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能够智能比对患者症状描述、检查结果、诊断结论和治疗方案之间的逻辑一致性，对存在矛盾的环节进行预警提示，有效防范医疗差错风险。</w:t>
      </w:r>
    </w:p>
    <w:p w14:paraId="3EF24A00">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2.1.5.1.5.4.4.知识图谱智能支撑</w:t>
      </w:r>
    </w:p>
    <w:p w14:paraId="122AE9C4">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通过知识图谱技术整合临床指南和药品知识库，为合理用药、规范检查提供智能决策支持。</w:t>
      </w:r>
    </w:p>
    <w:p w14:paraId="4ADFD951">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2.1.5.1.5.4.5.专科差异化质控模型</w:t>
      </w:r>
    </w:p>
    <w:p w14:paraId="4D717FB8">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基于机器学习算法构建专科特异性质控模型，实现不同科室差异化质控需求。</w:t>
      </w:r>
    </w:p>
    <w:p w14:paraId="328E41C4">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2.1.5.1.5.4.6.质控规则配置引擎</w:t>
      </w:r>
    </w:p>
    <w:p w14:paraId="36BFBD9B">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借助规则引擎实现质控规则的灵活配置和动态更新，确保持续适应医疗政策变化。</w:t>
      </w:r>
    </w:p>
    <w:p w14:paraId="7533B415">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2.1.5.1.5.4.7.质控闭环管理</w:t>
      </w:r>
    </w:p>
    <w:p w14:paraId="2EBF0CE5">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建立完善的质控闭环管理机制，对发现的质控问题自动推送给相应医生，并跟踪整改状态，未及时处理的问题将自动升级至科室主任或质控部门，形成完整的质量管理回路。</w:t>
      </w:r>
    </w:p>
    <w:p w14:paraId="352B73C0">
      <w:pPr>
        <w:pStyle w:val="6"/>
        <w:keepNext w:val="0"/>
        <w:keepLines w:val="0"/>
        <w:pageBreakBefore w:val="0"/>
        <w:kinsoku/>
        <w:wordWrap/>
        <w:overflowPunct/>
        <w:topLinePunct w:val="0"/>
        <w:autoSpaceDE/>
        <w:autoSpaceDN/>
        <w:bidi w:val="0"/>
        <w:adjustRightInd/>
        <w:snapToGrid/>
        <w:spacing w:line="500" w:lineRule="exact"/>
        <w:ind w:left="855"/>
        <w:jc w:val="both"/>
        <w:textAlignment w:val="auto"/>
        <w:rPr>
          <w:rFonts w:hint="eastAsia" w:ascii="宋体" w:hAnsi="宋体" w:eastAsia="宋体" w:cs="宋体"/>
          <w:sz w:val="24"/>
          <w:szCs w:val="24"/>
        </w:rPr>
      </w:pPr>
      <w:r>
        <w:rPr>
          <w:rFonts w:hint="eastAsia" w:ascii="宋体" w:hAnsi="宋体" w:eastAsia="宋体" w:cs="宋体"/>
          <w:b/>
          <w:sz w:val="24"/>
          <w:szCs w:val="24"/>
        </w:rPr>
        <w:t>2.1.5.1.6.院内系统对接(评审项81)</w:t>
      </w:r>
    </w:p>
    <w:p w14:paraId="6B8A8749">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2.1.5.1.6.1.HIS 系统对接改造</w:t>
      </w:r>
    </w:p>
    <w:p w14:paraId="712828BF">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（1）患者主数据双向同步改造，标准化输出患者姓名、就诊号、身份证、科室、床位、主治医生、过敏史、既往就诊记录，统一国标编码，支撑预问诊、病历 AI 自动调取患者基础信息。</w:t>
      </w:r>
    </w:p>
    <w:p w14:paraId="12363419">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（2）住院全量医嘱实时推送接口改造，AI 病历、质控引擎可自动拉取医嘱用于文书生成、医嘱逻辑校验。</w:t>
      </w:r>
    </w:p>
    <w:p w14:paraId="2FBD2087">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（3）病案首页费用字段标准化输出，同步住院总费用、药耗、医保统筹、自费明细，供给病案首页费用智能质控模块校验费用合理性、药占比。</w:t>
      </w:r>
    </w:p>
    <w:p w14:paraId="2BFA388B">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（4）就诊事件消息推送改造，入院、转科、手术、出院、复诊节点实时推送消息，自动触发AI预问诊、病历生成、定时离线质控任务。</w:t>
      </w:r>
    </w:p>
    <w:p w14:paraId="52C59031">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（5）接口日志、异常重试机制改造，完整记录交互报文、调用耗时，支持平台联通性测试、故障溯源。</w:t>
      </w:r>
    </w:p>
    <w:p w14:paraId="5BDE38A5">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2.1.5.1.6.2.EMR 电子病历系统对接改造</w:t>
      </w:r>
    </w:p>
    <w:p w14:paraId="50A5C789">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（1）CDA结构化病历文档输出改造，完整拉取入院记录、病程、术前小结、出院记录、知情同意、病案首页全文本，支撑 AI 内涵质控深度语义分析。</w:t>
      </w:r>
    </w:p>
    <w:p w14:paraId="64EC4F29">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（2）病历双向回填接口改造，支持 AI 生成、修订、优化的病历内容新建文书、局部引用插入至EMR指定段落，医生审核确认后正式归档。</w:t>
      </w:r>
    </w:p>
    <w:p w14:paraId="2C623D42">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（3）病历保存、提交、归档事件推送，病历保存触发实时运行质控，病案提交启动强制卡控校验。</w:t>
      </w:r>
    </w:p>
    <w:p w14:paraId="5CCFAD2E">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（4）前端嵌入改造，提供 iframe、浮窗两种集成方式，PC 医生站、移动 PDA 无需重构EMR即可加载AI助手。</w:t>
      </w:r>
    </w:p>
    <w:p w14:paraId="42A359F7">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（5）质控预警、整改待办消息推送接口，EMR 弹窗展示 AI 识别的病历缺陷与修改建议。</w:t>
      </w:r>
    </w:p>
    <w:p w14:paraId="582A0439">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2.1.5.1.6.3.全院级消息推送服务对接改造</w:t>
      </w:r>
    </w:p>
    <w:p w14:paraId="7CE60D9A">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（1）统一消息推送接口，质控缺陷、预问诊审核、危急预警、待办任务推送至医生工作站、移动端。</w:t>
      </w:r>
    </w:p>
    <w:p w14:paraId="74BC7EF3">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（2）消息已读、处理状态回传 AI 平台待办模块，实时更新任务进度。</w:t>
      </w:r>
    </w:p>
    <w:p w14:paraId="7A3C6C65">
      <w:pPr>
        <w:pStyle w:val="6"/>
        <w:keepNext w:val="0"/>
        <w:keepLines w:val="0"/>
        <w:pageBreakBefore w:val="0"/>
        <w:kinsoku/>
        <w:wordWrap/>
        <w:overflowPunct/>
        <w:topLinePunct w:val="0"/>
        <w:autoSpaceDE/>
        <w:autoSpaceDN/>
        <w:bidi w:val="0"/>
        <w:adjustRightInd/>
        <w:snapToGrid/>
        <w:spacing w:line="500" w:lineRule="exact"/>
        <w:ind w:left="855"/>
        <w:jc w:val="both"/>
        <w:textAlignment w:val="auto"/>
        <w:rPr>
          <w:rFonts w:hint="eastAsia" w:ascii="宋体" w:hAnsi="宋体" w:eastAsia="宋体" w:cs="宋体"/>
          <w:sz w:val="24"/>
          <w:szCs w:val="24"/>
        </w:rPr>
      </w:pPr>
      <w:r>
        <w:rPr>
          <w:rFonts w:hint="eastAsia" w:ascii="宋体" w:hAnsi="宋体" w:eastAsia="宋体" w:cs="宋体"/>
          <w:b/>
          <w:sz w:val="24"/>
          <w:szCs w:val="24"/>
        </w:rPr>
        <w:t>2.1.5.1.7.AI算力节点(评审项82)</w:t>
      </w:r>
    </w:p>
    <w:p w14:paraId="0E37131F">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AI算力节点面向福州市第二总医院所有院区提供智能化应用服务，重点支撑AI病历生成与质控系统的模型推理、模型训练及语音数据处理等核心任务。AI算力节点拟部署于福州市第二总医院神经精神病防治院现有机房内，需充分利用现有机房环境条件，满足低延迟、高并发、安全可靠的业务运行要求。</w:t>
      </w:r>
    </w:p>
    <w:p w14:paraId="661E64D1">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2.1.5.1.7.1.设计原则</w:t>
      </w:r>
    </w:p>
    <w:p w14:paraId="13221225">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AI算力节点的设计遵循以下原则：</w:t>
      </w:r>
    </w:p>
    <w:p w14:paraId="016B15D8">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（1）算力按需配置：根据业务场景区分推理与训练负载，分别配置不同规格的算力节点，避免资源错配与浪费。</w:t>
      </w:r>
    </w:p>
    <w:p w14:paraId="0055D107">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（2）弹性扩展能力：服务器选型需预留一定的扩展空间（如PCIe插槽、硬盘槽位、内存插槽等），以适应未来AI模型升级及业务增长带来的算力需求变化。</w:t>
      </w:r>
    </w:p>
    <w:p w14:paraId="1E1679C2">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（3）高可用与冗余保障：关键节点（尤其是训练集群）采用多机部署，避免单点故障导致业务中断或模型训练进度丢失；电源、风扇等部件支持冗余。</w:t>
      </w:r>
    </w:p>
    <w:p w14:paraId="5791DAD3">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（4）数据安全与隔离：推理数据与训练数据在逻辑上实现隔离，语音数据等敏感信息在传输和存储过程中需具备加密或脱敏机制，满足医疗数据合规要求。</w:t>
      </w:r>
    </w:p>
    <w:p w14:paraId="1EC65464">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（5）绿色节能：在满足性能要求的前提下，优先选用高能效比的计算架构和智能风扇调速策略，降低长期运行能耗。</w:t>
      </w:r>
    </w:p>
    <w:p w14:paraId="60171320">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2.1.5.1.7.2.集群协作与数据流转</w:t>
      </w:r>
    </w:p>
    <w:p w14:paraId="5C890E2E">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推理节点与训练节点之间形成紧密协作关系：</w:t>
      </w:r>
    </w:p>
    <w:p w14:paraId="0787E1A1">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（1）推理节点定期从训练集群获取更新后的模型版本，通过灰度加载或蓝绿部署方式实现无缝切换，确保业务连续性。</w:t>
      </w:r>
    </w:p>
    <w:p w14:paraId="2A7A003F">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2）训练节点利用经过脱敏处理的历史语音数据及临床文本数据，结合业务反馈（如质控评分结果、医生修正记录），持续优化现有模型，并将训练完成的模型文件同步至共享存储或模型仓库，供推理节点拉取。</w:t>
      </w:r>
    </w:p>
    <w:p w14:paraId="721D764A">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（3）所有AI相关数据（原始语音、转写文本、训练集、模型文件）均在逻辑上实施访问权限控制，确保医疗数据安全合规。</w:t>
      </w:r>
    </w:p>
    <w:p w14:paraId="7FF4D31F">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2.1.5.1.7.3.扩展性设计</w:t>
      </w:r>
    </w:p>
    <w:p w14:paraId="2A1DC599">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（1）推理节点在主板与机箱层面预留充足的标准扩展槽位，支持后续按需增配AI加速卡或高速网络接口，满足业务并发量增长需求。</w:t>
      </w:r>
    </w:p>
    <w:p w14:paraId="6D4367CE">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（2）重载计算节点主板及机箱设计需支持AI加速卡数量的未来扩展，电源模块在现有配置基础上预留充足功率冗余，确保后续增加算力卡时无需改造供电架构。</w:t>
      </w:r>
    </w:p>
    <w:p w14:paraId="21FB7A5E">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（3）所有节点均在标准存储配置之外，预留额外的高速存储扩展槽位，支持在线插入新增硬盘实现存储容量在线扩容，无需停机。</w:t>
      </w:r>
    </w:p>
    <w:p w14:paraId="264F61B5">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（4）网络核心侧预留相应数量的高速接口及策略配置，确保后续新增算力节点可平滑接入现有业务网络；对于标配千兆接口的节点，可利用预留扩展槽位按需升级至更高带宽网络。</w:t>
      </w:r>
    </w:p>
    <w:p w14:paraId="2447FCC6">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2.1.5.1.7.4.配置清单</w:t>
      </w:r>
    </w:p>
    <w:p w14:paraId="762FF090">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表2</w:t>
      </w:r>
      <w:r>
        <w:rPr>
          <w:rFonts w:hint="eastAsia" w:ascii="宋体" w:hAnsi="宋体" w:eastAsia="宋体" w:cs="宋体"/>
          <w:sz w:val="24"/>
          <w:szCs w:val="24"/>
          <w:lang w:val="en-US" w:eastAsia="zh-CN"/>
        </w:rPr>
        <w:t>-</w:t>
      </w:r>
      <w:r>
        <w:rPr>
          <w:rFonts w:hint="eastAsia" w:ascii="宋体" w:hAnsi="宋体" w:eastAsia="宋体" w:cs="宋体"/>
          <w:sz w:val="24"/>
          <w:szCs w:val="24"/>
        </w:rPr>
        <w:t>3 AI算力节点配置清单</w:t>
      </w:r>
    </w:p>
    <w:tbl>
      <w:tblPr>
        <w:tblStyle w:val="4"/>
        <w:tblW w:w="0" w:type="auto"/>
        <w:tblInd w:w="0" w:type="dxa"/>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autofit"/>
        <w:tblCellMar>
          <w:top w:w="0" w:type="dxa"/>
          <w:left w:w="108" w:type="dxa"/>
          <w:bottom w:w="0" w:type="dxa"/>
          <w:right w:w="108" w:type="dxa"/>
        </w:tblCellMar>
      </w:tblPr>
      <w:tblGrid>
        <w:gridCol w:w="451"/>
        <w:gridCol w:w="1173"/>
        <w:gridCol w:w="4527"/>
        <w:gridCol w:w="1173"/>
        <w:gridCol w:w="985"/>
      </w:tblGrid>
      <w:tr w14:paraId="1792C391">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446" w:type="dxa"/>
            <w:tcBorders>
              <w:top w:val="double" w:color="000000" w:sz="4" w:space="0"/>
              <w:left w:val="double" w:color="000000" w:sz="4" w:space="0"/>
              <w:bottom w:val="single" w:color="000000" w:sz="4" w:space="0"/>
              <w:right w:val="single" w:color="000000" w:sz="4" w:space="0"/>
            </w:tcBorders>
            <w:shd w:val="clear" w:color="auto" w:fill="BFBFBF"/>
            <w:tcMar>
              <w:top w:w="0" w:type="dxa"/>
              <w:left w:w="105" w:type="dxa"/>
              <w:bottom w:w="0" w:type="dxa"/>
              <w:right w:w="105" w:type="dxa"/>
            </w:tcMar>
            <w:vAlign w:val="top"/>
          </w:tcPr>
          <w:p w14:paraId="4D8A6AF0">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b/>
                <w:sz w:val="24"/>
                <w:szCs w:val="24"/>
              </w:rPr>
              <w:t>编号</w:t>
            </w:r>
          </w:p>
        </w:tc>
        <w:tc>
          <w:tcPr>
            <w:tcW w:w="1173" w:type="dxa"/>
            <w:tcBorders>
              <w:top w:val="double" w:color="000000" w:sz="4" w:space="0"/>
              <w:left w:val="single" w:color="000000" w:sz="4" w:space="0"/>
              <w:bottom w:val="single" w:color="000000" w:sz="4" w:space="0"/>
              <w:right w:val="single" w:color="000000" w:sz="4" w:space="0"/>
            </w:tcBorders>
            <w:shd w:val="clear" w:color="auto" w:fill="BFBFBF"/>
            <w:tcMar>
              <w:top w:w="0" w:type="dxa"/>
              <w:left w:w="105" w:type="dxa"/>
              <w:bottom w:w="0" w:type="dxa"/>
              <w:right w:w="105" w:type="dxa"/>
            </w:tcMar>
            <w:vAlign w:val="top"/>
          </w:tcPr>
          <w:p w14:paraId="0AB3D741">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b/>
                <w:sz w:val="24"/>
                <w:szCs w:val="24"/>
              </w:rPr>
              <w:t>设备名称</w:t>
            </w:r>
          </w:p>
        </w:tc>
        <w:tc>
          <w:tcPr>
            <w:tcW w:w="4527" w:type="dxa"/>
            <w:tcBorders>
              <w:top w:val="double" w:color="000000" w:sz="4" w:space="0"/>
              <w:left w:val="single" w:color="000000" w:sz="4" w:space="0"/>
              <w:bottom w:val="single" w:color="000000" w:sz="4" w:space="0"/>
              <w:right w:val="single" w:color="000000" w:sz="4" w:space="0"/>
            </w:tcBorders>
            <w:shd w:val="clear" w:color="auto" w:fill="BFBFBF"/>
            <w:tcMar>
              <w:top w:w="0" w:type="dxa"/>
              <w:left w:w="105" w:type="dxa"/>
              <w:bottom w:w="0" w:type="dxa"/>
              <w:right w:w="105" w:type="dxa"/>
            </w:tcMar>
            <w:vAlign w:val="top"/>
          </w:tcPr>
          <w:p w14:paraId="527639BC">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b/>
                <w:sz w:val="24"/>
                <w:szCs w:val="24"/>
              </w:rPr>
              <w:t>性能参数要求</w:t>
            </w:r>
          </w:p>
        </w:tc>
        <w:tc>
          <w:tcPr>
            <w:tcW w:w="1173" w:type="dxa"/>
            <w:tcBorders>
              <w:top w:val="double" w:color="000000" w:sz="4" w:space="0"/>
              <w:left w:val="single" w:color="000000" w:sz="4" w:space="0"/>
              <w:bottom w:val="single" w:color="000000" w:sz="4" w:space="0"/>
              <w:right w:val="single" w:color="000000" w:sz="4" w:space="0"/>
            </w:tcBorders>
            <w:shd w:val="clear" w:color="auto" w:fill="BFBFBF"/>
            <w:tcMar>
              <w:top w:w="0" w:type="dxa"/>
              <w:left w:w="105" w:type="dxa"/>
              <w:bottom w:w="0" w:type="dxa"/>
              <w:right w:w="105" w:type="dxa"/>
            </w:tcMar>
            <w:vAlign w:val="top"/>
          </w:tcPr>
          <w:p w14:paraId="06CA067E">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b/>
                <w:sz w:val="24"/>
                <w:szCs w:val="24"/>
              </w:rPr>
              <w:t>数量</w:t>
            </w:r>
          </w:p>
        </w:tc>
        <w:tc>
          <w:tcPr>
            <w:tcW w:w="985" w:type="dxa"/>
            <w:tcBorders>
              <w:top w:val="double" w:color="000000" w:sz="4" w:space="0"/>
              <w:left w:val="single" w:color="000000" w:sz="4" w:space="0"/>
              <w:bottom w:val="single" w:color="000000" w:sz="4" w:space="0"/>
              <w:right w:val="double" w:color="000000" w:sz="4" w:space="0"/>
            </w:tcBorders>
            <w:shd w:val="clear" w:color="auto" w:fill="BFBFBF"/>
            <w:tcMar>
              <w:top w:w="0" w:type="dxa"/>
              <w:left w:w="105" w:type="dxa"/>
              <w:bottom w:w="0" w:type="dxa"/>
              <w:right w:w="105" w:type="dxa"/>
            </w:tcMar>
            <w:vAlign w:val="top"/>
          </w:tcPr>
          <w:p w14:paraId="559B293C">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b/>
                <w:sz w:val="24"/>
                <w:szCs w:val="24"/>
              </w:rPr>
              <w:t>单位</w:t>
            </w:r>
          </w:p>
        </w:tc>
      </w:tr>
      <w:tr w14:paraId="55336AEF">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446" w:type="dxa"/>
            <w:tcBorders>
              <w:top w:val="single" w:color="000000" w:sz="4" w:space="0"/>
              <w:left w:val="double" w:color="000000" w:sz="4" w:space="0"/>
              <w:bottom w:val="single" w:color="000000" w:sz="4" w:space="0"/>
              <w:right w:val="single" w:color="000000" w:sz="4" w:space="0"/>
            </w:tcBorders>
            <w:tcMar>
              <w:top w:w="0" w:type="dxa"/>
              <w:left w:w="105" w:type="dxa"/>
              <w:bottom w:w="0" w:type="dxa"/>
              <w:right w:w="105" w:type="dxa"/>
            </w:tcMar>
            <w:vAlign w:val="top"/>
          </w:tcPr>
          <w:p w14:paraId="1124F5D9">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1</w:t>
            </w:r>
          </w:p>
        </w:tc>
        <w:tc>
          <w:tcPr>
            <w:tcW w:w="1173"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3FD5C023">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AI算力节点类型1</w:t>
            </w:r>
          </w:p>
        </w:tc>
        <w:tc>
          <w:tcPr>
            <w:tcW w:w="4527"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32D9D331">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本设备用于热线语音转写、会话语义分析、工单智能研判、智能问答知识库调度、通话记录大数据处理等后台业务，支撑热线7X24小时高并发智能推理运算；不低于以下配置：</w:t>
            </w:r>
          </w:p>
          <w:p w14:paraId="0ECEFDBB">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1、AI处理能力：配置≥4个国产AI芯片，单个AI芯片支持≥280 TFLOPS@FP16算力、≥75 TFLOPS@FP32算力，片上内存≥64GB HBM；带宽≥1600GB/s；</w:t>
            </w:r>
          </w:p>
          <w:p w14:paraId="3BAD1BFA">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2、通用计算能力：配置≥96个核心的中央处理器资源,基础频率不低于≥2.6GHz；单核L3数据缓存≥1MB；</w:t>
            </w:r>
          </w:p>
          <w:p w14:paraId="7EE0AD9C">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3、高速内存：配置≥16条64GB DDR4，总容量≥1024GB；</w:t>
            </w:r>
          </w:p>
          <w:p w14:paraId="2E331BFF">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4、数据存储能力：配置≥2块 960GB SATA SSD+4 块 3840GB NVMe SSD，配套≥1张4G RAID卡及电容模块，实现数据冗余与高速存储；</w:t>
            </w:r>
          </w:p>
          <w:p w14:paraId="459F5118">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5、网络通信能力：配置≥2个10GE 端口、≥2个25GE 端口（均须包含多模光模块）；</w:t>
            </w:r>
          </w:p>
          <w:p w14:paraId="0D562EDD">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6、供电能力：配备≥4*2000W 电源，满足高速互联、AI算力与冗余供电需求；</w:t>
            </w:r>
          </w:p>
          <w:p w14:paraId="674C9D32">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▲7、可靠性：产品的平均失效间隔工作时间MTBF≥150000小时。</w:t>
            </w:r>
            <w:r>
              <w:rPr>
                <w:rFonts w:hint="eastAsia" w:ascii="宋体" w:hAnsi="宋体" w:eastAsia="宋体" w:cs="宋体"/>
                <w:b/>
                <w:sz w:val="24"/>
                <w:szCs w:val="24"/>
              </w:rPr>
              <w:t>（投标人须提供测试报告进行佐证，测试报告中受检（或委托）单位须为相应产品的制造商或投标人）</w:t>
            </w:r>
          </w:p>
        </w:tc>
        <w:tc>
          <w:tcPr>
            <w:tcW w:w="1173"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0546ADAE">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1</w:t>
            </w:r>
          </w:p>
        </w:tc>
        <w:tc>
          <w:tcPr>
            <w:tcW w:w="985" w:type="dxa"/>
            <w:tcBorders>
              <w:top w:val="single" w:color="000000" w:sz="4" w:space="0"/>
              <w:left w:val="single" w:color="000000" w:sz="4" w:space="0"/>
              <w:bottom w:val="single" w:color="000000" w:sz="4" w:space="0"/>
              <w:right w:val="double" w:color="000000" w:sz="4" w:space="0"/>
            </w:tcBorders>
            <w:tcMar>
              <w:top w:w="0" w:type="dxa"/>
              <w:left w:w="105" w:type="dxa"/>
              <w:bottom w:w="0" w:type="dxa"/>
              <w:right w:w="105" w:type="dxa"/>
            </w:tcMar>
            <w:vAlign w:val="top"/>
          </w:tcPr>
          <w:p w14:paraId="20731592">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台</w:t>
            </w:r>
          </w:p>
        </w:tc>
      </w:tr>
      <w:tr w14:paraId="440748FF">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446" w:type="dxa"/>
            <w:tcBorders>
              <w:top w:val="single" w:color="000000" w:sz="4" w:space="0"/>
              <w:left w:val="double" w:color="000000" w:sz="4" w:space="0"/>
              <w:bottom w:val="double" w:color="000000" w:sz="4" w:space="0"/>
              <w:right w:val="single" w:color="000000" w:sz="4" w:space="0"/>
            </w:tcBorders>
            <w:tcMar>
              <w:top w:w="0" w:type="dxa"/>
              <w:left w:w="105" w:type="dxa"/>
              <w:bottom w:w="0" w:type="dxa"/>
              <w:right w:w="105" w:type="dxa"/>
            </w:tcMar>
            <w:vAlign w:val="top"/>
          </w:tcPr>
          <w:p w14:paraId="65AC931A">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2</w:t>
            </w:r>
          </w:p>
        </w:tc>
        <w:tc>
          <w:tcPr>
            <w:tcW w:w="1173" w:type="dxa"/>
            <w:tcBorders>
              <w:top w:val="single" w:color="000000" w:sz="4" w:space="0"/>
              <w:left w:val="single" w:color="000000" w:sz="4" w:space="0"/>
              <w:bottom w:val="double" w:color="000000" w:sz="4" w:space="0"/>
              <w:right w:val="single" w:color="000000" w:sz="4" w:space="0"/>
            </w:tcBorders>
            <w:tcMar>
              <w:top w:w="0" w:type="dxa"/>
              <w:left w:w="105" w:type="dxa"/>
              <w:bottom w:w="0" w:type="dxa"/>
              <w:right w:w="105" w:type="dxa"/>
            </w:tcMar>
            <w:vAlign w:val="top"/>
          </w:tcPr>
          <w:p w14:paraId="7DBB2FE6">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AI算力节点类型2</w:t>
            </w:r>
          </w:p>
        </w:tc>
        <w:tc>
          <w:tcPr>
            <w:tcW w:w="4527" w:type="dxa"/>
            <w:tcBorders>
              <w:top w:val="single" w:color="000000" w:sz="4" w:space="0"/>
              <w:left w:val="single" w:color="000000" w:sz="4" w:space="0"/>
              <w:bottom w:val="double" w:color="000000" w:sz="4" w:space="0"/>
              <w:right w:val="single" w:color="000000" w:sz="4" w:space="0"/>
            </w:tcBorders>
            <w:tcMar>
              <w:top w:w="0" w:type="dxa"/>
              <w:left w:w="105" w:type="dxa"/>
              <w:bottom w:w="0" w:type="dxa"/>
              <w:right w:w="105" w:type="dxa"/>
            </w:tcMar>
            <w:vAlign w:val="top"/>
          </w:tcPr>
          <w:p w14:paraId="6E149130">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本设备用于病历文本智能解析、病案自动生成与质控规则运算，可承载大模型推理、多任务并发数据处理、病案知识库高谏调度等核心业务。不低于以下配置：</w:t>
            </w:r>
          </w:p>
          <w:p w14:paraId="1B52B9B9">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1、AI处理能力：配置≥8个国产AI芯片，单个AI芯片支持≥280 TFLOPS@FP16算力、≥75 TFLOPS@FP32算力，片上内存≥64GB HBM；带宽≥1600GB/s；</w:t>
            </w:r>
          </w:p>
          <w:p w14:paraId="0A494ADA">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2、通用计算能力：配置≥64个核心的中央处理器资源,基础频率不低于≥2.6GHz；单核L3数据缓存≥1MB；</w:t>
            </w:r>
          </w:p>
          <w:p w14:paraId="6EE465FC">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3、高速内存：配置≥8条64GB DDR4，总容量≥512GB；</w:t>
            </w:r>
          </w:p>
          <w:p w14:paraId="07EB15AF">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4、数据存储能力：配置≥2块 960GB SATA SSD+1 块 3840GB NVMe SSD，配套≥1张4G RAID卡及电容模块，实现数据冗余与高速存储；</w:t>
            </w:r>
          </w:p>
          <w:p w14:paraId="0D027574">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5、网络通信能力：配置≥4个千兆电口；</w:t>
            </w:r>
          </w:p>
          <w:p w14:paraId="224D47BA">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6、供电能力：配备≥4*2000W 电源，满足高速互联、AI算力与冗余供电需求；</w:t>
            </w:r>
          </w:p>
          <w:p w14:paraId="7673FF5D">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▲7、可靠性：产品的平均失效间隔工作时间MTBF≥150000小时；</w:t>
            </w:r>
            <w:r>
              <w:rPr>
                <w:rFonts w:hint="eastAsia" w:ascii="宋体" w:hAnsi="宋体" w:eastAsia="宋体" w:cs="宋体"/>
                <w:b/>
                <w:sz w:val="24"/>
                <w:szCs w:val="24"/>
              </w:rPr>
              <w:t>（投标人须提供测试报告进行佐证，测试报告中受检（或委托）单位须为相应产品的制造商或投标人）</w:t>
            </w:r>
          </w:p>
        </w:tc>
        <w:tc>
          <w:tcPr>
            <w:tcW w:w="1173" w:type="dxa"/>
            <w:tcBorders>
              <w:top w:val="single" w:color="000000" w:sz="4" w:space="0"/>
              <w:left w:val="single" w:color="000000" w:sz="4" w:space="0"/>
              <w:bottom w:val="double" w:color="000000" w:sz="4" w:space="0"/>
              <w:right w:val="single" w:color="000000" w:sz="4" w:space="0"/>
            </w:tcBorders>
            <w:tcMar>
              <w:top w:w="0" w:type="dxa"/>
              <w:left w:w="105" w:type="dxa"/>
              <w:bottom w:w="0" w:type="dxa"/>
              <w:right w:w="105" w:type="dxa"/>
            </w:tcMar>
            <w:vAlign w:val="top"/>
          </w:tcPr>
          <w:p w14:paraId="664A216C">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2</w:t>
            </w:r>
          </w:p>
        </w:tc>
        <w:tc>
          <w:tcPr>
            <w:tcW w:w="985" w:type="dxa"/>
            <w:tcBorders>
              <w:top w:val="single" w:color="000000" w:sz="4" w:space="0"/>
              <w:left w:val="single" w:color="000000" w:sz="4" w:space="0"/>
              <w:bottom w:val="double" w:color="000000" w:sz="4" w:space="0"/>
              <w:right w:val="double" w:color="000000" w:sz="4" w:space="0"/>
            </w:tcBorders>
            <w:tcMar>
              <w:top w:w="0" w:type="dxa"/>
              <w:left w:w="105" w:type="dxa"/>
              <w:bottom w:w="0" w:type="dxa"/>
              <w:right w:w="105" w:type="dxa"/>
            </w:tcMar>
            <w:vAlign w:val="top"/>
          </w:tcPr>
          <w:p w14:paraId="0B8C5AED">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台</w:t>
            </w:r>
          </w:p>
        </w:tc>
      </w:tr>
    </w:tbl>
    <w:p w14:paraId="5A3C1889">
      <w:pPr>
        <w:pStyle w:val="6"/>
        <w:keepNext w:val="0"/>
        <w:keepLines w:val="0"/>
        <w:pageBreakBefore w:val="0"/>
        <w:kinsoku/>
        <w:wordWrap/>
        <w:overflowPunct/>
        <w:topLinePunct w:val="0"/>
        <w:autoSpaceDE/>
        <w:autoSpaceDN/>
        <w:bidi w:val="0"/>
        <w:adjustRightInd/>
        <w:snapToGrid/>
        <w:spacing w:line="500" w:lineRule="exact"/>
        <w:ind w:left="855"/>
        <w:jc w:val="both"/>
        <w:textAlignment w:val="auto"/>
        <w:rPr>
          <w:rFonts w:hint="eastAsia" w:ascii="宋体" w:hAnsi="宋体" w:eastAsia="宋体" w:cs="宋体"/>
          <w:sz w:val="24"/>
          <w:szCs w:val="24"/>
        </w:rPr>
      </w:pPr>
      <w:r>
        <w:rPr>
          <w:rFonts w:hint="eastAsia" w:ascii="宋体" w:hAnsi="宋体" w:eastAsia="宋体" w:cs="宋体"/>
          <w:b/>
          <w:sz w:val="24"/>
          <w:szCs w:val="24"/>
        </w:rPr>
        <w:t>2.1.5.2.教学管理系统</w:t>
      </w:r>
    </w:p>
    <w:p w14:paraId="285D1747">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教学管理系统涵盖多个功能模块，全面支撑医院的教学培训工作。其中，进修医师模块用于管理进修医师的培训流程；研究生模块聚焦研究生的培养过程与学术管理；继续教育模块面向在职人员提供持续教育支持；高校教学模块对接高校合作教学任务；图书馆、阅览室模块则负责文献资源与学习空间的管理；考试模块支持从出卷任务、监考安排、题库维护到考试过程管控及在线阅卷与成绩管理的全流程操作。各模块各司其职、相互配合，共同支撑起覆盖不同人群、贯穿多类教学场景的综合性教学管理平台。</w:t>
      </w:r>
    </w:p>
    <w:p w14:paraId="12964FDC">
      <w:pPr>
        <w:pStyle w:val="6"/>
        <w:keepNext w:val="0"/>
        <w:keepLines w:val="0"/>
        <w:pageBreakBefore w:val="0"/>
        <w:kinsoku/>
        <w:wordWrap/>
        <w:overflowPunct/>
        <w:topLinePunct w:val="0"/>
        <w:autoSpaceDE/>
        <w:autoSpaceDN/>
        <w:bidi w:val="0"/>
        <w:adjustRightInd/>
        <w:snapToGrid/>
        <w:spacing w:line="500" w:lineRule="exact"/>
        <w:ind w:left="855"/>
        <w:jc w:val="both"/>
        <w:textAlignment w:val="auto"/>
        <w:rPr>
          <w:rFonts w:hint="eastAsia" w:ascii="宋体" w:hAnsi="宋体" w:eastAsia="宋体" w:cs="宋体"/>
          <w:sz w:val="24"/>
          <w:szCs w:val="24"/>
        </w:rPr>
      </w:pPr>
      <w:r>
        <w:rPr>
          <w:rFonts w:hint="eastAsia" w:ascii="宋体" w:hAnsi="宋体" w:eastAsia="宋体" w:cs="宋体"/>
          <w:b/>
          <w:sz w:val="24"/>
          <w:szCs w:val="24"/>
        </w:rPr>
        <w:t>2.1.5.2.1.进修医师模块(评审项83)</w:t>
      </w:r>
    </w:p>
    <w:p w14:paraId="0E04A057">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2.1.5.2.1.1.进修医师培训报名</w:t>
      </w:r>
    </w:p>
    <w:p w14:paraId="43130B4F">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个人或单位报名；报名基础信息的审核（如医师资格，年龄等）；报名成功后开班通知。</w:t>
      </w:r>
    </w:p>
    <w:p w14:paraId="36094907">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2.1.5.2.1.2.进修医师培训请假、延期或退出培训申请</w:t>
      </w:r>
    </w:p>
    <w:p w14:paraId="70C9B6E8">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培训过程中请假的申请和审批；培训过程中有突发情况的延期申请；延期报到或退出培训由个人提出申请经过审批后退培。</w:t>
      </w:r>
    </w:p>
    <w:p w14:paraId="2FE75611">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2.1.5.2.1.3.进修医师培训入科和出科</w:t>
      </w:r>
    </w:p>
    <w:p w14:paraId="22E636CC">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在培训初期上传轮转安排，根据安排入科，由科室主任、教学秘书审核并分配带教老师；</w:t>
      </w:r>
    </w:p>
    <w:p w14:paraId="55B44363">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由进修医师个人发起出科申请并进行自评，由教学秘书上传出科考核材料并作出考核意见，科室主任审批。</w:t>
      </w:r>
    </w:p>
    <w:p w14:paraId="26BCBD8C">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2.1.5.2.1.4.进修医师培训过程</w:t>
      </w:r>
    </w:p>
    <w:p w14:paraId="04AE6EA0">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关联临床工作系统，收集学员管床数和收治病种，最终形成个人数据汇总。</w:t>
      </w:r>
    </w:p>
    <w:p w14:paraId="3D092C1A">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2.1.5.2.1.5.进修医师培训、考试</w:t>
      </w:r>
    </w:p>
    <w:p w14:paraId="03246E3C">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对培训和考试进行通知，培训内置签到功能，考核结束后成绩上报。</w:t>
      </w:r>
    </w:p>
    <w:p w14:paraId="1852E5D3">
      <w:pPr>
        <w:pStyle w:val="6"/>
        <w:keepNext w:val="0"/>
        <w:keepLines w:val="0"/>
        <w:pageBreakBefore w:val="0"/>
        <w:kinsoku/>
        <w:wordWrap/>
        <w:overflowPunct/>
        <w:topLinePunct w:val="0"/>
        <w:autoSpaceDE/>
        <w:autoSpaceDN/>
        <w:bidi w:val="0"/>
        <w:adjustRightInd/>
        <w:snapToGrid/>
        <w:spacing w:line="500" w:lineRule="exact"/>
        <w:ind w:left="855"/>
        <w:jc w:val="both"/>
        <w:textAlignment w:val="auto"/>
        <w:rPr>
          <w:rFonts w:hint="eastAsia" w:ascii="宋体" w:hAnsi="宋体" w:eastAsia="宋体" w:cs="宋体"/>
          <w:sz w:val="24"/>
          <w:szCs w:val="24"/>
        </w:rPr>
      </w:pPr>
      <w:r>
        <w:rPr>
          <w:rFonts w:hint="eastAsia" w:ascii="宋体" w:hAnsi="宋体" w:eastAsia="宋体" w:cs="宋体"/>
          <w:b/>
          <w:sz w:val="24"/>
          <w:szCs w:val="24"/>
        </w:rPr>
        <w:t>2.1.5.2.2.研究生模块(评审项84)</w:t>
      </w:r>
    </w:p>
    <w:p w14:paraId="396F308A">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2.1.5.2.2.1.科研进度管理</w:t>
      </w:r>
    </w:p>
    <w:p w14:paraId="502439A0">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选题申请→收集数据进展（季报）→论文撰写上传→结题和毕业申请），其中各个环节个人上传和导师审核并反馈修改意见功能。</w:t>
      </w:r>
    </w:p>
    <w:p w14:paraId="18AAB1A6">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2.1.5.2.2.2.研究生请假及外出参加学术活动申请</w:t>
      </w:r>
    </w:p>
    <w:p w14:paraId="1923ED79">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请假由轮转科室和教学管理部门审核；</w:t>
      </w:r>
    </w:p>
    <w:p w14:paraId="2389ABD6">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参加学术活动附带凭证，由导师和教学管理部门审核，形成研究生参加学术活动数据报表。</w:t>
      </w:r>
    </w:p>
    <w:p w14:paraId="62DE3C39">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2.1.5.2.2.3.研究生经费申请</w:t>
      </w:r>
    </w:p>
    <w:p w14:paraId="056523FF">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根据研究生培养方案，每名研究生设置台账，对小金额购买教材和报销进行申请和审核。</w:t>
      </w:r>
    </w:p>
    <w:p w14:paraId="6A36FF50">
      <w:pPr>
        <w:pStyle w:val="6"/>
        <w:keepNext w:val="0"/>
        <w:keepLines w:val="0"/>
        <w:pageBreakBefore w:val="0"/>
        <w:kinsoku/>
        <w:wordWrap/>
        <w:overflowPunct/>
        <w:topLinePunct w:val="0"/>
        <w:autoSpaceDE/>
        <w:autoSpaceDN/>
        <w:bidi w:val="0"/>
        <w:adjustRightInd/>
        <w:snapToGrid/>
        <w:spacing w:line="500" w:lineRule="exact"/>
        <w:ind w:left="855"/>
        <w:jc w:val="both"/>
        <w:textAlignment w:val="auto"/>
        <w:rPr>
          <w:rFonts w:hint="eastAsia" w:ascii="宋体" w:hAnsi="宋体" w:eastAsia="宋体" w:cs="宋体"/>
          <w:sz w:val="24"/>
          <w:szCs w:val="24"/>
        </w:rPr>
      </w:pPr>
      <w:r>
        <w:rPr>
          <w:rFonts w:hint="eastAsia" w:ascii="宋体" w:hAnsi="宋体" w:eastAsia="宋体" w:cs="宋体"/>
          <w:b/>
          <w:sz w:val="24"/>
          <w:szCs w:val="24"/>
        </w:rPr>
        <w:t>2.1.5.2.3.继续教育模块(评审项85)</w:t>
      </w:r>
    </w:p>
    <w:p w14:paraId="09A78148">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2.1.5.2.3.1.科室业务学习</w:t>
      </w:r>
    </w:p>
    <w:p w14:paraId="25539733">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每月上报科室业务学习情况（时间地点人员内容照片）并汇总数据报表功能。</w:t>
      </w:r>
    </w:p>
    <w:p w14:paraId="33AD9545">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2.1.5.2.3.2.院内培训</w:t>
      </w:r>
    </w:p>
    <w:p w14:paraId="7DED308B">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科室院内培训项目申请（含时间，地点，规模，主讲人，授课题目）和审核，全院院内授课活动安排上传。</w:t>
      </w:r>
    </w:p>
    <w:p w14:paraId="5513D89C">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2.1.5.2.3.3.外出参加培训</w:t>
      </w:r>
    </w:p>
    <w:p w14:paraId="4F47C2C2">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统计OA里继续教育培训班的申请和外出授课的申请。</w:t>
      </w:r>
    </w:p>
    <w:p w14:paraId="467D4F66">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2.1.5.2.3.4.通知和报表</w:t>
      </w:r>
    </w:p>
    <w:p w14:paraId="5382A930">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本模块内培训项目教师和参加人员通知；</w:t>
      </w:r>
    </w:p>
    <w:p w14:paraId="7945CF0D">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科室业务学习次数及参与率、院内培训安排表和参与情况、外出参加培训情况报表。</w:t>
      </w:r>
    </w:p>
    <w:p w14:paraId="0CD48C9A">
      <w:pPr>
        <w:pStyle w:val="6"/>
        <w:keepNext w:val="0"/>
        <w:keepLines w:val="0"/>
        <w:pageBreakBefore w:val="0"/>
        <w:kinsoku/>
        <w:wordWrap/>
        <w:overflowPunct/>
        <w:topLinePunct w:val="0"/>
        <w:autoSpaceDE/>
        <w:autoSpaceDN/>
        <w:bidi w:val="0"/>
        <w:adjustRightInd/>
        <w:snapToGrid/>
        <w:spacing w:line="500" w:lineRule="exact"/>
        <w:ind w:left="855"/>
        <w:jc w:val="both"/>
        <w:textAlignment w:val="auto"/>
        <w:rPr>
          <w:rFonts w:hint="eastAsia" w:ascii="宋体" w:hAnsi="宋体" w:eastAsia="宋体" w:cs="宋体"/>
          <w:sz w:val="24"/>
          <w:szCs w:val="24"/>
        </w:rPr>
      </w:pPr>
      <w:r>
        <w:rPr>
          <w:rFonts w:hint="eastAsia" w:ascii="宋体" w:hAnsi="宋体" w:eastAsia="宋体" w:cs="宋体"/>
          <w:b/>
          <w:sz w:val="24"/>
          <w:szCs w:val="24"/>
        </w:rPr>
        <w:t>2.1.5.2.4.高校教学模块(评审项86)</w:t>
      </w:r>
    </w:p>
    <w:p w14:paraId="6FCA88BE">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2.1.5.2.4.1.教学任务分配</w:t>
      </w:r>
    </w:p>
    <w:p w14:paraId="28F6E18C">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教学任务由教研室或科教科上传教学任务安排（包括理论授课、见习带教、集体备课、参加师资培训），支持项目任务的分解与分配，成员可在线反馈进展情况。其中分配到个人任务由本人可查，科室任务分配到科室，需由科室教学秘书确认并分配到个人。</w:t>
      </w:r>
    </w:p>
    <w:p w14:paraId="610D92CB">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2.1.5.2.4.2.课程管理</w:t>
      </w:r>
    </w:p>
    <w:p w14:paraId="30BF3B66">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课程管理模块是培训工作的核心运营板块，实现心理健康课程从新建、查看、编辑到审核发布、状态管理、删除的全流程管控，支持课程的标准化搭建与规范化发布。</w:t>
      </w:r>
    </w:p>
    <w:p w14:paraId="12AEF400">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2.1.5.2.4.3.通知和确认</w:t>
      </w:r>
    </w:p>
    <w:p w14:paraId="58424EF1">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在教学任务分配模块各类教学任务开始前对于任务接收者进行通知和确认。</w:t>
      </w:r>
    </w:p>
    <w:p w14:paraId="26FBA983">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学期开始前对教师发布注意事项包括大纲课程考核标准，需进行确认；</w:t>
      </w:r>
    </w:p>
    <w:p w14:paraId="363FBBCA">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见习实习出科前科室保存材料内容及完成情况进行上传确认；</w:t>
      </w:r>
    </w:p>
    <w:p w14:paraId="469A5309">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在上课前设定时间节点通过微信公众号、小程序推送或短信等多种渠道向授课教师发送上课提醒，有效减少因遗漏或信息滞后导致的教学事故。</w:t>
      </w:r>
    </w:p>
    <w:p w14:paraId="67281F37">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2.1.5.2.4.4.督导评价</w:t>
      </w:r>
    </w:p>
    <w:p w14:paraId="644525A7">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分配本学期有任务量的教师进行交叉督导，需在时限内评分并上传照片。</w:t>
      </w:r>
    </w:p>
    <w:p w14:paraId="63F73CC8">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2.1.5.2.4.5.报表</w:t>
      </w:r>
    </w:p>
    <w:p w14:paraId="2F8D300E">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任务分配完成后的工作量统计报表和完成情况报表。</w:t>
      </w:r>
    </w:p>
    <w:p w14:paraId="4E05C9DE">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2.1.5.2.4.6.工作量体现及汇总</w:t>
      </w:r>
    </w:p>
    <w:p w14:paraId="1E44E2A8">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系统对上述所有教学任务及管理工作进行自动统计，生成个人及部门工作量报表，支持按学期、按人员、按任务类型多维度查询与导出，为绩效考核、职称评审及工作量核算提供客观数据支撑。</w:t>
      </w:r>
    </w:p>
    <w:p w14:paraId="24C620C9">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2.1.5.2.4.7.学生平时成绩</w:t>
      </w:r>
    </w:p>
    <w:p w14:paraId="4287CC6E">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学生见习成绩各部分构成在系统上体现，以便于计算平时成绩、计算总成绩时可以快速完成，避免反复录入及核对。</w:t>
      </w:r>
    </w:p>
    <w:p w14:paraId="24650160">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2.1.5.2.4.8.资料共享</w:t>
      </w:r>
    </w:p>
    <w:p w14:paraId="085FE754">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教研室成员对教学资料上传，保存和共享功能。</w:t>
      </w:r>
    </w:p>
    <w:p w14:paraId="4B87250C">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2.1.5.2.4.9.智能课表</w:t>
      </w:r>
    </w:p>
    <w:p w14:paraId="28C9FD80">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支持教师通过系统上传标准格式课表，系统自动解析课程信息。</w:t>
      </w:r>
    </w:p>
    <w:p w14:paraId="4B515BFC">
      <w:pPr>
        <w:pStyle w:val="6"/>
        <w:keepNext w:val="0"/>
        <w:keepLines w:val="0"/>
        <w:pageBreakBefore w:val="0"/>
        <w:kinsoku/>
        <w:wordWrap/>
        <w:overflowPunct/>
        <w:topLinePunct w:val="0"/>
        <w:autoSpaceDE/>
        <w:autoSpaceDN/>
        <w:bidi w:val="0"/>
        <w:adjustRightInd/>
        <w:snapToGrid/>
        <w:spacing w:line="500" w:lineRule="exact"/>
        <w:ind w:left="855"/>
        <w:jc w:val="both"/>
        <w:textAlignment w:val="auto"/>
        <w:rPr>
          <w:rFonts w:hint="eastAsia" w:ascii="宋体" w:hAnsi="宋体" w:eastAsia="宋体" w:cs="宋体"/>
          <w:sz w:val="24"/>
          <w:szCs w:val="24"/>
        </w:rPr>
      </w:pPr>
      <w:r>
        <w:rPr>
          <w:rFonts w:hint="eastAsia" w:ascii="宋体" w:hAnsi="宋体" w:eastAsia="宋体" w:cs="宋体"/>
          <w:b/>
          <w:sz w:val="24"/>
          <w:szCs w:val="24"/>
        </w:rPr>
        <w:t>2.1.5.2.5.图书馆、阅览室模块(评审项87)</w:t>
      </w:r>
    </w:p>
    <w:p w14:paraId="478228E9">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2.1.5.2.5.1.基础管理模块</w:t>
      </w:r>
    </w:p>
    <w:p w14:paraId="5B0F816E">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读者信息管理（职工、进修、规培、学生等）；馆藏书目管理（图书、期刊、电子资源、工具书）。</w:t>
      </w:r>
    </w:p>
    <w:p w14:paraId="3EACF45A">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2.1.5.2.5.2.阅览服务模块</w:t>
      </w:r>
    </w:p>
    <w:p w14:paraId="5CB606DB">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开放时间与使用规则公告；到馆登记。</w:t>
      </w:r>
    </w:p>
    <w:p w14:paraId="1C3D4485">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2.1.5.2.5.3.借阅流通模块</w:t>
      </w:r>
    </w:p>
    <w:p w14:paraId="1509E10A">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借书、还书、续借、预约、超期催还、罚款处理、借阅权限控制（职称/科室/可借数量）。</w:t>
      </w:r>
    </w:p>
    <w:p w14:paraId="54B7DC4F">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2.1.5.2.5.4.图书管理模块</w:t>
      </w:r>
    </w:p>
    <w:p w14:paraId="3A3BD54E">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图书的编目、入库、上架、检索和注销。</w:t>
      </w:r>
    </w:p>
    <w:p w14:paraId="5B67468F">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2.1.5.2.5.5.期刊/电子资源模块</w:t>
      </w:r>
    </w:p>
    <w:p w14:paraId="670F98EF">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期刊征订、到刊登记、电子图书、数据库访问入口、文献传递、下载记录。</w:t>
      </w:r>
    </w:p>
    <w:p w14:paraId="6E8AB2E2">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2.1.5.2.5.6.图书荐购模块</w:t>
      </w:r>
    </w:p>
    <w:p w14:paraId="017B945D">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允许推荐图书馆尚未收藏但有需求图书；在线填写书名、作者、ISBN、出版社、推荐理由等信息。</w:t>
      </w:r>
    </w:p>
    <w:p w14:paraId="3531D7BF">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2.1.5.2.5.7.统计与报表模块</w:t>
      </w:r>
    </w:p>
    <w:p w14:paraId="771D52F7">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借阅量、阅览人次统计。</w:t>
      </w:r>
    </w:p>
    <w:p w14:paraId="5B4E23C7">
      <w:pPr>
        <w:pStyle w:val="6"/>
        <w:keepNext w:val="0"/>
        <w:keepLines w:val="0"/>
        <w:pageBreakBefore w:val="0"/>
        <w:kinsoku/>
        <w:wordWrap/>
        <w:overflowPunct/>
        <w:topLinePunct w:val="0"/>
        <w:autoSpaceDE/>
        <w:autoSpaceDN/>
        <w:bidi w:val="0"/>
        <w:adjustRightInd/>
        <w:snapToGrid/>
        <w:spacing w:line="500" w:lineRule="exact"/>
        <w:ind w:left="855"/>
        <w:jc w:val="both"/>
        <w:textAlignment w:val="auto"/>
        <w:rPr>
          <w:rFonts w:hint="eastAsia" w:ascii="宋体" w:hAnsi="宋体" w:eastAsia="宋体" w:cs="宋体"/>
          <w:sz w:val="24"/>
          <w:szCs w:val="24"/>
        </w:rPr>
      </w:pPr>
      <w:r>
        <w:rPr>
          <w:rFonts w:hint="eastAsia" w:ascii="宋体" w:hAnsi="宋体" w:eastAsia="宋体" w:cs="宋体"/>
          <w:b/>
          <w:sz w:val="24"/>
          <w:szCs w:val="24"/>
        </w:rPr>
        <w:t>2.1.5.2.6.考试模块(评审项88)</w:t>
      </w:r>
    </w:p>
    <w:p w14:paraId="1FA99BA0">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2.1.5.2.6.1.出卷任务</w:t>
      </w:r>
    </w:p>
    <w:p w14:paraId="6BD3A8B4">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指定出卷教师、设置提交截止时间，教师完成后在线提交并由系统记录完成状态。</w:t>
      </w:r>
    </w:p>
    <w:p w14:paraId="75B37009">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2.1.5.2.6.2.监考任务</w:t>
      </w:r>
    </w:p>
    <w:p w14:paraId="01510B3B">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按场次分配监考人员，支持任务接收确认与调换申请。</w:t>
      </w:r>
    </w:p>
    <w:p w14:paraId="5F932E6D">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2.1.5.2.6.3.题库管理</w:t>
      </w:r>
    </w:p>
    <w:p w14:paraId="5A318717">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题库功能支持试题的分类存储，既允许用户逐一录入单个题目，也支持通过批量导入的方式同时添加多个题目。用户可根据系统提供的指引，事先准备好试题材料，并通过智能导入功能实现试题的批量上传。此外，题库支持包括单选题、多选题、判断题、填空题、简答题及论述题等在内的各类常见题型，满足不同评测需求。</w:t>
      </w:r>
    </w:p>
    <w:p w14:paraId="616C1C04">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2.1.5.2.6.4.考试管理</w:t>
      </w:r>
    </w:p>
    <w:p w14:paraId="3E59DA33">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可自定义考试名称、考试时间、考试时长、总分、及格分等核心参数。支持题目乱序/ 题支乱序功能，有效增加考试的公平性。组卷时可按题型、试题分类抽题，自定义各题型的题量与分值，实现试卷的个性化搭建。</w:t>
      </w:r>
    </w:p>
    <w:p w14:paraId="2F0B36C3">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2.1.5.2.6.5.在线阅卷与成绩管理</w:t>
      </w:r>
    </w:p>
    <w:p w14:paraId="0F54C1FC">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考试结束后，系统自动对客观题进行评分，主观题支持管理员在线人工阅卷评分；管理员可查看学员考试成绩、答题卡详情，对学员答题情况进行判题与评分，提交后学员可即时查看成绩，实现考核的高效测评。</w:t>
      </w:r>
    </w:p>
    <w:p w14:paraId="65251201">
      <w:pPr>
        <w:pStyle w:val="6"/>
        <w:keepNext w:val="0"/>
        <w:keepLines w:val="0"/>
        <w:pageBreakBefore w:val="0"/>
        <w:kinsoku/>
        <w:wordWrap/>
        <w:overflowPunct/>
        <w:topLinePunct w:val="0"/>
        <w:autoSpaceDE/>
        <w:autoSpaceDN/>
        <w:bidi w:val="0"/>
        <w:adjustRightInd/>
        <w:snapToGrid/>
        <w:spacing w:line="500" w:lineRule="exact"/>
        <w:ind w:left="855"/>
        <w:jc w:val="both"/>
        <w:textAlignment w:val="auto"/>
        <w:rPr>
          <w:rFonts w:hint="eastAsia" w:ascii="宋体" w:hAnsi="宋体" w:eastAsia="宋体" w:cs="宋体"/>
          <w:sz w:val="24"/>
          <w:szCs w:val="24"/>
        </w:rPr>
      </w:pPr>
      <w:r>
        <w:rPr>
          <w:rFonts w:hint="eastAsia" w:ascii="宋体" w:hAnsi="宋体" w:eastAsia="宋体" w:cs="宋体"/>
          <w:b/>
          <w:sz w:val="24"/>
          <w:szCs w:val="24"/>
        </w:rPr>
        <w:t>2.1.5.3.科研协作管理系统</w:t>
      </w:r>
    </w:p>
    <w:p w14:paraId="4BAF3BFD">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科研协作管理系统围绕多中心科研协作与数据全流程管理进行建设，涵盖多个核心功能模块。其中，多中心专病队列管理支持多机构协同开展专病队列建设；随访管理与数据采集实现规范化随访流程与多样化数据采集；多源数据整合与质控负责异构数据的融合与质量管控；科研数据分析与应用提供统计分析、挖掘建模等科研工具；多中心协同管理保障跨机构科研项目的组织与协同推进；安全合规与系统管理确保数据安全、权限控制及系统稳定运行。各模块协同配合，形成覆盖科研项目全生命周期的一体化支撑平台。</w:t>
      </w:r>
    </w:p>
    <w:p w14:paraId="09CEFA1C">
      <w:pPr>
        <w:pStyle w:val="6"/>
        <w:keepNext w:val="0"/>
        <w:keepLines w:val="0"/>
        <w:pageBreakBefore w:val="0"/>
        <w:kinsoku/>
        <w:wordWrap/>
        <w:overflowPunct/>
        <w:topLinePunct w:val="0"/>
        <w:autoSpaceDE/>
        <w:autoSpaceDN/>
        <w:bidi w:val="0"/>
        <w:adjustRightInd/>
        <w:snapToGrid/>
        <w:spacing w:line="500" w:lineRule="exact"/>
        <w:ind w:left="855"/>
        <w:jc w:val="both"/>
        <w:textAlignment w:val="auto"/>
        <w:rPr>
          <w:rFonts w:hint="eastAsia" w:ascii="宋体" w:hAnsi="宋体" w:eastAsia="宋体" w:cs="宋体"/>
          <w:sz w:val="24"/>
          <w:szCs w:val="24"/>
        </w:rPr>
      </w:pPr>
      <w:r>
        <w:rPr>
          <w:rFonts w:hint="eastAsia" w:ascii="宋体" w:hAnsi="宋体" w:eastAsia="宋体" w:cs="宋体"/>
          <w:b/>
          <w:sz w:val="24"/>
          <w:szCs w:val="24"/>
        </w:rPr>
        <w:t>2.1.5.3.1.多中心专病队列管理(评审项89)</w:t>
      </w:r>
    </w:p>
    <w:p w14:paraId="3667214F">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2.1.5.3.1.1.队列模板管理</w:t>
      </w:r>
    </w:p>
    <w:p w14:paraId="58C8C2C0">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1.项目模板库</w:t>
      </w:r>
    </w:p>
    <w:p w14:paraId="420B0902">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制定全省统一专病队列模板；模板新增、编辑、审核、备案；分中心模板微调申请与审批。</w:t>
      </w:r>
    </w:p>
    <w:p w14:paraId="23E1B142">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2.表单设计</w:t>
      </w:r>
    </w:p>
    <w:p w14:paraId="3FF4867A">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自定义队列纳入/排除逻辑条件。</w:t>
      </w:r>
    </w:p>
    <w:p w14:paraId="6D668642">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3.项目配置</w:t>
      </w:r>
    </w:p>
    <w:p w14:paraId="0DC47953">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配置队列研究终点、随访周期。</w:t>
      </w:r>
    </w:p>
    <w:p w14:paraId="3EFFB064">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b/>
          <w:sz w:val="24"/>
          <w:szCs w:val="24"/>
        </w:rPr>
        <w:t>2.1.5.3.1.2.患者入组管理</w:t>
      </w:r>
    </w:p>
    <w:p w14:paraId="6058027E">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1.入排标准</w:t>
      </w:r>
    </w:p>
    <w:p w14:paraId="5949175F">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按队列标准自动筛选符合条件患者；支持手动批量入组、单个入组；入组资格智能校验。</w:t>
      </w:r>
    </w:p>
    <w:p w14:paraId="2FF4EFE7">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2.修改信息</w:t>
      </w:r>
    </w:p>
    <w:p w14:paraId="351184A0">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患者入组信息登记与修改。</w:t>
      </w:r>
    </w:p>
    <w:p w14:paraId="28910FAE">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3.病历管理</w:t>
      </w:r>
    </w:p>
    <w:p w14:paraId="01538244">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入组队列分类查询与统计；入组进度实时监控。</w:t>
      </w:r>
    </w:p>
    <w:p w14:paraId="24BC7A0B">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2.1.5.3.1.3.队列档案管理</w:t>
      </w:r>
    </w:p>
    <w:p w14:paraId="4B86ED4E">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1.队列档案</w:t>
      </w:r>
    </w:p>
    <w:p w14:paraId="696CAF4F">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建立患者专病队列终身档案；全病程诊疗数据关联展示；队列患者分组管理（亚组分析）。</w:t>
      </w:r>
    </w:p>
    <w:p w14:paraId="51B65B06">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2.人员画像</w:t>
      </w:r>
    </w:p>
    <w:p w14:paraId="016DFB3F">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队列基本信息统计（人数、年龄、性别分布）。</w:t>
      </w:r>
    </w:p>
    <w:p w14:paraId="3CB62275">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3.队列导出</w:t>
      </w:r>
    </w:p>
    <w:p w14:paraId="5BF5018A">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队列数据导出与脱敏处理。</w:t>
      </w:r>
    </w:p>
    <w:p w14:paraId="1A42B5B9">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2.1.5.3.1.4.队列全局监控</w:t>
      </w:r>
    </w:p>
    <w:p w14:paraId="25698BFF">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1.管理报告</w:t>
      </w:r>
    </w:p>
    <w:p w14:paraId="24CEA57F">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全省各分中心队列入组情况统计；专病队列规模动态更新；队列数据质量汇总分析；队列研究进度跟踪。</w:t>
      </w:r>
    </w:p>
    <w:p w14:paraId="1FC05843">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2.数据质疑</w:t>
      </w:r>
    </w:p>
    <w:p w14:paraId="3AA48464">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异常队列数据预警。</w:t>
      </w:r>
    </w:p>
    <w:p w14:paraId="2DD8F200">
      <w:pPr>
        <w:pStyle w:val="6"/>
        <w:keepNext w:val="0"/>
        <w:keepLines w:val="0"/>
        <w:pageBreakBefore w:val="0"/>
        <w:kinsoku/>
        <w:wordWrap/>
        <w:overflowPunct/>
        <w:topLinePunct w:val="0"/>
        <w:autoSpaceDE/>
        <w:autoSpaceDN/>
        <w:bidi w:val="0"/>
        <w:adjustRightInd/>
        <w:snapToGrid/>
        <w:spacing w:line="500" w:lineRule="exact"/>
        <w:ind w:left="855"/>
        <w:jc w:val="both"/>
        <w:textAlignment w:val="auto"/>
        <w:rPr>
          <w:rFonts w:hint="eastAsia" w:ascii="宋体" w:hAnsi="宋体" w:eastAsia="宋体" w:cs="宋体"/>
          <w:sz w:val="24"/>
          <w:szCs w:val="24"/>
        </w:rPr>
      </w:pPr>
      <w:r>
        <w:rPr>
          <w:rFonts w:hint="eastAsia" w:ascii="宋体" w:hAnsi="宋体" w:eastAsia="宋体" w:cs="宋体"/>
          <w:b/>
          <w:sz w:val="24"/>
          <w:szCs w:val="24"/>
        </w:rPr>
        <w:t>2.1.5.3.2.随访管理与数据采集(评审项90)</w:t>
      </w:r>
    </w:p>
    <w:p w14:paraId="0C63C312">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2.1.5.3.2.1.随访任务管理</w:t>
      </w:r>
    </w:p>
    <w:p w14:paraId="44163B08">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1.访视设置</w:t>
      </w:r>
    </w:p>
    <w:p w14:paraId="50540E08">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自定义随访节点与周期（出院后1周/1月/3月等）；自动生成待随访患者清单；随访任务批量派发与提醒。</w:t>
      </w:r>
    </w:p>
    <w:p w14:paraId="60DB1FDD">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2.访视标记</w:t>
      </w:r>
    </w:p>
    <w:p w14:paraId="102DF68B">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随访状态标记（已完成/未完成/失联/拒绝）；随访失败原因登记。</w:t>
      </w:r>
    </w:p>
    <w:p w14:paraId="320F02C2">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2.1.5.3.2.2.微信随访小程序（监护人端）</w:t>
      </w:r>
    </w:p>
    <w:p w14:paraId="0E26C1C3">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1.微信绑定</w:t>
      </w:r>
    </w:p>
    <w:p w14:paraId="2F2BFC9C">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患者身份核验与绑定。</w:t>
      </w:r>
    </w:p>
    <w:p w14:paraId="76D678B0">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2.访问填写</w:t>
      </w:r>
    </w:p>
    <w:p w14:paraId="1F56BC04">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随访通知推送（微信/短信）；标准化量表自助自评（自动计分）；随访问卷便捷填写；服药依从性上报；症状变化与不良反应反馈；家属代填功能（患者ePRO、亲情账号）；随访记录查询。</w:t>
      </w:r>
    </w:p>
    <w:p w14:paraId="77A88D32">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2.1.5.3.2.3.人工电话随访工作台</w:t>
      </w:r>
    </w:p>
    <w:p w14:paraId="51EACDCA">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1.电话随访</w:t>
      </w:r>
    </w:p>
    <w:p w14:paraId="1240546C">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随访患者信息调取；标准化随访话术模板。</w:t>
      </w:r>
    </w:p>
    <w:p w14:paraId="40948908">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2.电访录入</w:t>
      </w:r>
    </w:p>
    <w:p w14:paraId="0D8D7F34">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随访数据实时录入；通话记录留存；失联患者追踪登记。</w:t>
      </w:r>
    </w:p>
    <w:p w14:paraId="18B3BC73">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3.数据同步</w:t>
      </w:r>
    </w:p>
    <w:p w14:paraId="354C41EC">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随访数据同步至队列数据库。</w:t>
      </w:r>
    </w:p>
    <w:p w14:paraId="39B01C59">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2.1.5.3.2.4.再就诊随访数据归集</w:t>
      </w:r>
    </w:p>
    <w:p w14:paraId="5FC6C5DA">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1.数据抓取</w:t>
      </w:r>
    </w:p>
    <w:p w14:paraId="35041233">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自动抓取市卫健委跨机构再就诊数据；同步分中心院内再就诊记录。</w:t>
      </w:r>
    </w:p>
    <w:p w14:paraId="5F8A2649">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2.数据导入</w:t>
      </w:r>
    </w:p>
    <w:p w14:paraId="68133CE3">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再就诊信息自动关联患者队列档案；再就诊诊疗数据补充采集。</w:t>
      </w:r>
    </w:p>
    <w:p w14:paraId="2E178897">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2.1.5.3.2.5.随访质控管理</w:t>
      </w:r>
    </w:p>
    <w:p w14:paraId="592A4B27">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1.数据考核</w:t>
      </w:r>
    </w:p>
    <w:p w14:paraId="78DD628A">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随访完成率统计；随访工作考核统计。</w:t>
      </w:r>
    </w:p>
    <w:p w14:paraId="705E5909">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2.数据校验</w:t>
      </w:r>
    </w:p>
    <w:p w14:paraId="1EAD51F2">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随访数据完整性校验；不合格随访数据退回整改。</w:t>
      </w:r>
    </w:p>
    <w:p w14:paraId="01A33D66">
      <w:pPr>
        <w:pStyle w:val="6"/>
        <w:keepNext w:val="0"/>
        <w:keepLines w:val="0"/>
        <w:pageBreakBefore w:val="0"/>
        <w:kinsoku/>
        <w:wordWrap/>
        <w:overflowPunct/>
        <w:topLinePunct w:val="0"/>
        <w:autoSpaceDE/>
        <w:autoSpaceDN/>
        <w:bidi w:val="0"/>
        <w:adjustRightInd/>
        <w:snapToGrid/>
        <w:spacing w:line="500" w:lineRule="exact"/>
        <w:ind w:left="855"/>
        <w:jc w:val="both"/>
        <w:textAlignment w:val="auto"/>
        <w:rPr>
          <w:rFonts w:hint="eastAsia" w:ascii="宋体" w:hAnsi="宋体" w:eastAsia="宋体" w:cs="宋体"/>
          <w:sz w:val="24"/>
          <w:szCs w:val="24"/>
        </w:rPr>
      </w:pPr>
      <w:r>
        <w:rPr>
          <w:rFonts w:hint="eastAsia" w:ascii="宋体" w:hAnsi="宋体" w:eastAsia="宋体" w:cs="宋体"/>
          <w:b/>
          <w:sz w:val="24"/>
          <w:szCs w:val="24"/>
        </w:rPr>
        <w:t>2.1.5.3.3.多源数据整合与质控(评审项91)</w:t>
      </w:r>
    </w:p>
    <w:p w14:paraId="220AE486">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2.1.5.3.3.1.数据接口对接</w:t>
      </w:r>
    </w:p>
    <w:p w14:paraId="3D1DA371">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市卫健委政务数据自动同步接口；分中心院内系统数据对接接口；数据定时同步与实时补传；同步日志查询与异常提醒。</w:t>
      </w:r>
    </w:p>
    <w:p w14:paraId="12EC999D">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2.1.5.3.3.2.数据清洗与标准化</w:t>
      </w:r>
    </w:p>
    <w:p w14:paraId="60CB2CF3">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1.数据清洗</w:t>
      </w:r>
    </w:p>
    <w:p w14:paraId="3E0B115C">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重复数据合并、冗余数据删除；缺失值标记与补录提醒。</w:t>
      </w:r>
    </w:p>
    <w:p w14:paraId="277AF0C2">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2.标准化处理</w:t>
      </w:r>
    </w:p>
    <w:p w14:paraId="455B7850">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数据格式标准化转换；术语统一映射（诊断、用药、量表）；非结构化数据NLP结构化转换。</w:t>
      </w:r>
    </w:p>
    <w:p w14:paraId="7C6948FD">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2.1.5.3.3.3.数据智能质控</w:t>
      </w:r>
    </w:p>
    <w:p w14:paraId="6FB62987">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1.数据核查</w:t>
      </w:r>
    </w:p>
    <w:p w14:paraId="2CD23EC8">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数据完整性、逻辑一致性自动校验；异常值、错误值筛查预警。</w:t>
      </w:r>
    </w:p>
    <w:p w14:paraId="79203BB8">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2.数据审核</w:t>
      </w:r>
    </w:p>
    <w:p w14:paraId="7A010A3D">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分中心数据初审、省级终审；质控流程全程留痕；质控报告自动生成。</w:t>
      </w:r>
    </w:p>
    <w:p w14:paraId="0E39132C">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2.1.5.3.3.4.数据存储管理</w:t>
      </w:r>
    </w:p>
    <w:p w14:paraId="4A8819AD">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1.数据存储</w:t>
      </w:r>
    </w:p>
    <w:p w14:paraId="7FDE89DD">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分级分类数据存储；数据加密与脱敏存储。</w:t>
      </w:r>
    </w:p>
    <w:p w14:paraId="2F17BADC">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2.数据管理</w:t>
      </w:r>
    </w:p>
    <w:p w14:paraId="0C128E45">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数据备份与恢复；存储容量监控；数据生命周期管理。</w:t>
      </w:r>
    </w:p>
    <w:p w14:paraId="0A54847E">
      <w:pPr>
        <w:pStyle w:val="6"/>
        <w:keepNext w:val="0"/>
        <w:keepLines w:val="0"/>
        <w:pageBreakBefore w:val="0"/>
        <w:kinsoku/>
        <w:wordWrap/>
        <w:overflowPunct/>
        <w:topLinePunct w:val="0"/>
        <w:autoSpaceDE/>
        <w:autoSpaceDN/>
        <w:bidi w:val="0"/>
        <w:adjustRightInd/>
        <w:snapToGrid/>
        <w:spacing w:line="500" w:lineRule="exact"/>
        <w:ind w:left="855"/>
        <w:jc w:val="both"/>
        <w:textAlignment w:val="auto"/>
        <w:rPr>
          <w:rFonts w:hint="eastAsia" w:ascii="宋体" w:hAnsi="宋体" w:eastAsia="宋体" w:cs="宋体"/>
          <w:sz w:val="24"/>
          <w:szCs w:val="24"/>
        </w:rPr>
      </w:pPr>
      <w:r>
        <w:rPr>
          <w:rFonts w:hint="eastAsia" w:ascii="宋体" w:hAnsi="宋体" w:eastAsia="宋体" w:cs="宋体"/>
          <w:b/>
          <w:sz w:val="24"/>
          <w:szCs w:val="24"/>
        </w:rPr>
        <w:t>2.1.5.3.4.科研数据分析与应用(评审项92)</w:t>
      </w:r>
    </w:p>
    <w:p w14:paraId="2E52BA16">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2.1.5.3.4.1.数据查询检索</w:t>
      </w:r>
    </w:p>
    <w:p w14:paraId="4957D21F">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1.数据查询</w:t>
      </w:r>
    </w:p>
    <w:p w14:paraId="5E637184">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多维度组合查询（队列、病种、时间、人口学、临床指标）；精准查询与模糊查询；查询结果可视化展示；查询日志留存。</w:t>
      </w:r>
    </w:p>
    <w:p w14:paraId="44EEAAED">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2.数据导出</w:t>
      </w:r>
    </w:p>
    <w:p w14:paraId="7C288F47">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数据按需导出（Excel/CSV/SPSS格式）。</w:t>
      </w:r>
    </w:p>
    <w:p w14:paraId="73986205">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2.1.5.3.4.2.基础统计分析</w:t>
      </w:r>
    </w:p>
    <w:p w14:paraId="5EEBDE32">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1.数据下载</w:t>
      </w:r>
    </w:p>
    <w:p w14:paraId="7BEDC8BB">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描述性统计分析（频数、均值、占比）。</w:t>
      </w:r>
    </w:p>
    <w:p w14:paraId="1CCAD963">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2.关键指标分析</w:t>
      </w:r>
    </w:p>
    <w:p w14:paraId="7FFC3600">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卡方检验、t检验、方差分析；单因素/多因素回归分析；生存分析；相关性分析。</w:t>
      </w:r>
    </w:p>
    <w:p w14:paraId="60C63C1B">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2.1.5.3.4.3.可视化展示</w:t>
      </w:r>
    </w:p>
    <w:p w14:paraId="1A9818BF">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数据可视化：数据图表生成（折线图、柱状图、饼图、森林图）；队列分布地图展示；分析结果导出打印。</w:t>
      </w:r>
    </w:p>
    <w:p w14:paraId="17629BC4">
      <w:pPr>
        <w:pStyle w:val="6"/>
        <w:keepNext w:val="0"/>
        <w:keepLines w:val="0"/>
        <w:pageBreakBefore w:val="0"/>
        <w:kinsoku/>
        <w:wordWrap/>
        <w:overflowPunct/>
        <w:topLinePunct w:val="0"/>
        <w:autoSpaceDE/>
        <w:autoSpaceDN/>
        <w:bidi w:val="0"/>
        <w:adjustRightInd/>
        <w:snapToGrid/>
        <w:spacing w:line="500" w:lineRule="exact"/>
        <w:ind w:left="855"/>
        <w:jc w:val="both"/>
        <w:textAlignment w:val="auto"/>
        <w:rPr>
          <w:rFonts w:hint="eastAsia" w:ascii="宋体" w:hAnsi="宋体" w:eastAsia="宋体" w:cs="宋体"/>
          <w:sz w:val="24"/>
          <w:szCs w:val="24"/>
        </w:rPr>
      </w:pPr>
      <w:r>
        <w:rPr>
          <w:rFonts w:hint="eastAsia" w:ascii="宋体" w:hAnsi="宋体" w:eastAsia="宋体" w:cs="宋体"/>
          <w:b/>
          <w:sz w:val="24"/>
          <w:szCs w:val="24"/>
        </w:rPr>
        <w:t>2.1.5.3.5.多中心协同管理(评审项93)</w:t>
      </w:r>
    </w:p>
    <w:p w14:paraId="068E21ED">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2.1.5.3.5.1.分中心管理</w:t>
      </w:r>
    </w:p>
    <w:p w14:paraId="4AA12098">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1.中心管理</w:t>
      </w:r>
    </w:p>
    <w:p w14:paraId="3F1F54CE">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分中心信息备案与维护；分中心账号开通与管理；分中心权限配置。</w:t>
      </w:r>
    </w:p>
    <w:p w14:paraId="6931082E">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2.中心考评</w:t>
      </w:r>
    </w:p>
    <w:p w14:paraId="4969FADB">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分中心工作进度监控；分中心考核评分。</w:t>
      </w:r>
    </w:p>
    <w:p w14:paraId="33E71831">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2.1.5.3.5.2.权限分级管控</w:t>
      </w:r>
    </w:p>
    <w:p w14:paraId="2944ACBD">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1.用户管理</w:t>
      </w:r>
    </w:p>
    <w:p w14:paraId="203921A0">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用户角色分类管理（省级/分中心/科研/患者）。</w:t>
      </w:r>
    </w:p>
    <w:p w14:paraId="38D82F49">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2.角色管理</w:t>
      </w:r>
    </w:p>
    <w:p w14:paraId="7F848999">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数据访问权限精细化分配；操作权限管控；权限变更与回收。</w:t>
      </w:r>
    </w:p>
    <w:p w14:paraId="4B8442F7">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2.1.5.3.5.3.协同沟通</w:t>
      </w:r>
    </w:p>
    <w:p w14:paraId="4641A011">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平台内部消息通知：问题反馈与答疑；公告发布；资料共享（规范、模板、培训材料）。</w:t>
      </w:r>
    </w:p>
    <w:p w14:paraId="1B836B5A">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2.1.5.3.5.4.运营统计</w:t>
      </w:r>
    </w:p>
    <w:p w14:paraId="2A552EEF">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看板：全省平台运营数据汇总；数据质量、随访率、入组率统计；运营报表生成与导出。</w:t>
      </w:r>
    </w:p>
    <w:p w14:paraId="111017BF">
      <w:pPr>
        <w:pStyle w:val="6"/>
        <w:keepNext w:val="0"/>
        <w:keepLines w:val="0"/>
        <w:pageBreakBefore w:val="0"/>
        <w:kinsoku/>
        <w:wordWrap/>
        <w:overflowPunct/>
        <w:topLinePunct w:val="0"/>
        <w:autoSpaceDE/>
        <w:autoSpaceDN/>
        <w:bidi w:val="0"/>
        <w:adjustRightInd/>
        <w:snapToGrid/>
        <w:spacing w:line="500" w:lineRule="exact"/>
        <w:ind w:left="855"/>
        <w:jc w:val="both"/>
        <w:textAlignment w:val="auto"/>
        <w:rPr>
          <w:rFonts w:hint="eastAsia" w:ascii="宋体" w:hAnsi="宋体" w:eastAsia="宋体" w:cs="宋体"/>
          <w:sz w:val="24"/>
          <w:szCs w:val="24"/>
        </w:rPr>
      </w:pPr>
      <w:r>
        <w:rPr>
          <w:rFonts w:hint="eastAsia" w:ascii="宋体" w:hAnsi="宋体" w:eastAsia="宋体" w:cs="宋体"/>
          <w:b/>
          <w:sz w:val="24"/>
          <w:szCs w:val="24"/>
        </w:rPr>
        <w:t>2.1.5.3.6.安全合规与系统管理(评审项94)</w:t>
      </w:r>
    </w:p>
    <w:p w14:paraId="5E1D9483">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2.1.5.3.6.1.伦理与知情同意管理</w:t>
      </w:r>
    </w:p>
    <w:p w14:paraId="718B585C">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文档管理：标准化知情同意书模板管理；伦理审查材料上传与备案。</w:t>
      </w:r>
    </w:p>
    <w:p w14:paraId="1422403A">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2.1.5.3.6.2.数据安全管理</w:t>
      </w:r>
    </w:p>
    <w:p w14:paraId="053291C6">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1.数据处理</w:t>
      </w:r>
    </w:p>
    <w:p w14:paraId="7C6ED829">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患者隐私数据脱敏；数据传输与存储加密；数据导出审批。</w:t>
      </w:r>
    </w:p>
    <w:p w14:paraId="14075537">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2.操作日志</w:t>
      </w:r>
    </w:p>
    <w:p w14:paraId="623DF879">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操作日志全程追溯。</w:t>
      </w:r>
    </w:p>
    <w:p w14:paraId="5A06C01B">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3.异常告示</w:t>
      </w:r>
    </w:p>
    <w:p w14:paraId="1E169299">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异常操作预警。</w:t>
      </w:r>
    </w:p>
    <w:p w14:paraId="0F4B1775">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2.1.5.3.6.3.系统基础管理</w:t>
      </w:r>
    </w:p>
    <w:p w14:paraId="75D195E8">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1.账号管理</w:t>
      </w:r>
    </w:p>
    <w:p w14:paraId="561763B3">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用户账号管理；密码重置与安全验证。</w:t>
      </w:r>
    </w:p>
    <w:p w14:paraId="5A32597A">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2.系统配置</w:t>
      </w:r>
    </w:p>
    <w:p w14:paraId="76B8BA01">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系统参数配置；版本更新与维护；日志管理；数据备份恢复。</w:t>
      </w:r>
    </w:p>
    <w:p w14:paraId="0AF4E699">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2.1.5.3.6.4.培训与帮助</w:t>
      </w:r>
    </w:p>
    <w:p w14:paraId="4C99BD59">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新手向导：操作手册下载；视频培训教程；常见问题解答。</w:t>
      </w:r>
    </w:p>
    <w:p w14:paraId="4F130B25">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2.1.6.应用系统接口</w:t>
      </w:r>
    </w:p>
    <w:p w14:paraId="2350AE12">
      <w:pPr>
        <w:pStyle w:val="6"/>
        <w:keepNext w:val="0"/>
        <w:keepLines w:val="0"/>
        <w:pageBreakBefore w:val="0"/>
        <w:kinsoku/>
        <w:wordWrap/>
        <w:overflowPunct/>
        <w:topLinePunct w:val="0"/>
        <w:autoSpaceDE/>
        <w:autoSpaceDN/>
        <w:bidi w:val="0"/>
        <w:adjustRightInd/>
        <w:snapToGrid/>
        <w:spacing w:line="500" w:lineRule="exact"/>
        <w:ind w:left="855"/>
        <w:jc w:val="both"/>
        <w:textAlignment w:val="auto"/>
        <w:rPr>
          <w:rFonts w:hint="eastAsia" w:ascii="宋体" w:hAnsi="宋体" w:eastAsia="宋体" w:cs="宋体"/>
          <w:sz w:val="24"/>
          <w:szCs w:val="24"/>
        </w:rPr>
      </w:pPr>
      <w:r>
        <w:rPr>
          <w:rFonts w:hint="eastAsia" w:ascii="宋体" w:hAnsi="宋体" w:eastAsia="宋体" w:cs="宋体"/>
          <w:b/>
          <w:sz w:val="24"/>
          <w:szCs w:val="24"/>
        </w:rPr>
        <w:t>2.1.6.1.与国家严重精神障碍管理信息系统对接</w:t>
      </w:r>
    </w:p>
    <w:p w14:paraId="1D82D8AE">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2.1.6.1.1.数据上传接口对接(评审项95)</w:t>
      </w:r>
    </w:p>
    <w:p w14:paraId="496285F4">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2.1.6.1.1.1.对接方式</w:t>
      </w:r>
    </w:p>
    <w:p w14:paraId="75722DAE">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省级精神卫生综合服务平台（严重精神障碍管理）向国家严重精神障碍管理系统的数据上传主要通过国家疾控中心统一数据交换平台来实现。</w:t>
      </w:r>
    </w:p>
    <w:p w14:paraId="1A9B8B38">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国家疾控数据交换平台针对省级精神卫生综合服务平台（严重精神障碍管理），提供前置数据交换软件方式，以实现与国家疾控数据交换平台进行数据交换。即需要下载国家疾控中心统一下发的前置交换工具来完成数据交换工作。</w:t>
      </w:r>
    </w:p>
    <w:p w14:paraId="7356CA2F">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与国家疾控数据交换平台进行数据交换和业务协同的机构，首先需要向中国疾病预防控制中心提交数据交换申请，在国家疾控数据交换平台提交交换业务授权码申请，同时备案前置交换服务器MAC地址及IP地址，中国疾病预防控制中心审核通过后分配给申请机构唯一授权码作为该机构进行数据交换过程中的认证标识。</w:t>
      </w:r>
    </w:p>
    <w:p w14:paraId="15AB2CC0">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省级精神卫生综合服务平台（严重精神障碍管理）下载并部署好前置交换工具后，按照规范要求组织好数据交换文档（XML），并将交换文档放到前置数据交换软件指定的文件夹中，前置数据交换软件自动读取文件夹中的文件交换到国家疾控数据交换平台，统一数据交换平台对交换文档（XML）进行安全、格式及业务规则验证，验证通过的数据保存到国家系统中。</w:t>
      </w:r>
    </w:p>
    <w:p w14:paraId="3E4E1E6F">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根据这种交换方式，省级精神卫生综合服务平台（严重精神障碍管理）在进行各类相关业务处理时（业务记录增、删、改时），需要根据接口规范规定的文档要求生成相应的交换文件，再通过前置交换工具进行上传。</w:t>
      </w:r>
    </w:p>
    <w:p w14:paraId="63BA37BB">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为确保业务数据能够成功交换到国家信息系统中，前置数据交换软件及工具包提供数据交换结果确认机制。</w:t>
      </w:r>
    </w:p>
    <w:p w14:paraId="58BD94E7">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2.1.6.1.1.2.对接内容</w:t>
      </w:r>
    </w:p>
    <w:p w14:paraId="7A4E95D7">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1.患者信息同步接口</w:t>
      </w:r>
    </w:p>
    <w:p w14:paraId="774873A7">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按照国家、省系统接口规范实现数据上传，需要对接的接口包括：新增患者基本信息接口、修改患者基本信息接口、删除患者基本信息接口、恢复患者基本信息接口、患者转死亡接口、死亡患者转非死亡接口。</w:t>
      </w:r>
    </w:p>
    <w:p w14:paraId="62249A7E">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2.患者报告卡信息同步接口</w:t>
      </w:r>
    </w:p>
    <w:p w14:paraId="47822560">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按照国家、省系统接口规范实现数据上传，需要对接的接口包括：新增患者报告卡信息接口、修改患者报告卡信息接口、删除患者报告卡信息接口、恢复患者报告卡信息接口。</w:t>
      </w:r>
    </w:p>
    <w:p w14:paraId="040518A8">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3.出院信息单信息同步接口</w:t>
      </w:r>
    </w:p>
    <w:p w14:paraId="01B2B8D6">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按照国家、省系统接口规范实现数据上传，需要对接的接口包括：新增出院单信息接口、修改出院单信息接口、删除出院单信息接口、恢复出院信息单信息接口。</w:t>
      </w:r>
    </w:p>
    <w:p w14:paraId="742D5079">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4.随访信息同步接口</w:t>
      </w:r>
    </w:p>
    <w:p w14:paraId="249FAC91">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按照国家、省系统接口规范实现数据上传，需要对接的接口包括：新增患者随访信息接口、修改患者随访信息接口、删除患者随访信息接口。</w:t>
      </w:r>
    </w:p>
    <w:p w14:paraId="7A38473C">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5.应急处置信息同步接口</w:t>
      </w:r>
    </w:p>
    <w:p w14:paraId="0AEF2AC2">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按照国家、省系统接口规范实现数据上传，需要对接的接口包括：新增应急处置信息接口、修改应急处置信息接口、删除应急处置信息接口。</w:t>
      </w:r>
    </w:p>
    <w:p w14:paraId="2FF26416">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6.精神卫生工作统计信息同步接口</w:t>
      </w:r>
    </w:p>
    <w:p w14:paraId="40E4BB27">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按照国家、省系统接口规范实现数据上传，需要对接的接口包括：精神卫生工作统计信息新增接口、精神卫生工作统计信息修改接口、精神卫生工作统计信息删除接口。</w:t>
      </w:r>
    </w:p>
    <w:p w14:paraId="605A60A5">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7.社会心理服务体系信息同步接口</w:t>
      </w:r>
    </w:p>
    <w:p w14:paraId="3C3BBE07">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按照国家、省系统接口规范实现数据上传，需要对接的接口包括：社会心理服务体系信息新增接口、社会心理服务体系信息修改接口、社会心理服务体系信息删除接口。</w:t>
      </w:r>
    </w:p>
    <w:p w14:paraId="2DCC399C">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8.心理热线培训信息同步接口</w:t>
      </w:r>
    </w:p>
    <w:p w14:paraId="3BA743A0">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按照国家、省系统接口规范实现数据上传，需要对接的接口包括：心理热线培训信息新增接口、心理热线培训信息修改接口、心理热线培训信息删除接口。</w:t>
      </w:r>
    </w:p>
    <w:p w14:paraId="0F206BB6">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9.转岗培训信息同步接口</w:t>
      </w:r>
    </w:p>
    <w:p w14:paraId="17A62831">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按照国家、省系统接口规范实现数据上传，需要对接的接口包括：转岗培训信息新增接口、转岗培训信息修改接口、转岗培训信息删除接口。</w:t>
      </w:r>
    </w:p>
    <w:p w14:paraId="08E291A2">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10.常见精神障碍信息同步接口</w:t>
      </w:r>
    </w:p>
    <w:p w14:paraId="32272157">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按照国家、省系统接口规范实现数据上传，需要对接的接口包括：常见精神障碍信息新增接口、常见精神障碍信息修改接口、常见精神障碍信息删除接口。</w:t>
      </w:r>
    </w:p>
    <w:p w14:paraId="3FF8710F">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11.儿少心理健康信息同步接口</w:t>
      </w:r>
    </w:p>
    <w:p w14:paraId="66932165">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按照国家、省系统接口规范实现数据上传，需要对接的接口包括：儿少心理健康信息新增接口、儿少心理健康信息修改接口、儿少心理健康信息删除接口。</w:t>
      </w:r>
    </w:p>
    <w:p w14:paraId="584D6694">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2.1.6.1.2.业务协作接口对接(评审项96)</w:t>
      </w:r>
    </w:p>
    <w:p w14:paraId="249FFEFD">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2.1.6.1.2.1.对接方式</w:t>
      </w:r>
    </w:p>
    <w:p w14:paraId="183A216A">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国家严重精神障碍管理系统提供各类业务协同服务接口，省级精神卫生综合服务平台（严重精神障碍管理）可调用国家级系统提供的业务协同服务接口完成信息查询和跨省间业务协同等工作。</w:t>
      </w:r>
    </w:p>
    <w:p w14:paraId="0C778F13">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通过HTTP接口的方式，接口采用REST风格的服务调用。接口调用时同样需要将授权码（密钥）作为参数带入，国家系统接口服务后台会根据授权码进行接口访问验证。</w:t>
      </w:r>
    </w:p>
    <w:p w14:paraId="6EA6EC10">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在省级精神卫生综合服务平台（严重精神障碍管理）中，会结合具体业务流程调用国家系统接口服务，实现患者流转、信息查重等业务操作。</w:t>
      </w:r>
    </w:p>
    <w:p w14:paraId="62F873A8">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2.1.6.1.2.2.对接内容</w:t>
      </w:r>
    </w:p>
    <w:p w14:paraId="585D32BE">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1.国家级严重精神障碍管理系统患者相关信息查询类接口</w:t>
      </w:r>
    </w:p>
    <w:p w14:paraId="4BAAC864">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用于获取国家级系统中的患者信息，结合本地业务流程实现患者信息同步，对接的接口包括：获取重复患者信息接口、根据患者主键获取患者信息接口、根据病例报告主键查询病例报告信息接口、根据患者主键查询随访信息接口、查询患者应急处置信息接口、根据患者主键查询病例报告信息接口、根据患者主键查询出院信息接口、根据出院主键查询出院信息接口、根据应急处置主键查询应急处置信息接口。</w:t>
      </w:r>
    </w:p>
    <w:p w14:paraId="1A217447">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2.跨区域业务流转类接口</w:t>
      </w:r>
    </w:p>
    <w:p w14:paraId="37E2587F">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用于实现跨地市、跨省各类患者流转业务的衔接处理，确保患者管理工作的连续性，对接的接口包括：迁出接口、病例报告接收不建档接口、获取迁入信息接口、迁入接收建档接口、患者社区迁入拒绝接口、病例报告流转上转接口、患者流转分配接口、基本信息上挂接口、获取迁出结果信息接口、迁出收回接口、重复患者迁移申请接口、重复患者迁移申请收回接口、重复患者迁移申请强制迁移接口、申请单审核结果查询接口、获取重复患者迁移申请接口、重复患者迁移申请审核接口、基本信息上挂收回接口。</w:t>
      </w:r>
    </w:p>
    <w:p w14:paraId="3AA504B8">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3.用户信息同步类接口</w:t>
      </w:r>
    </w:p>
    <w:p w14:paraId="5A0785A8">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用户信息同步类接口。用于实现用户基本信息的逐级同步，对接的接口包括：用户信息新增接口、用户信息修改接口、用户信息删除接口、用户信息查询接口、查询机构下有无基层直报用户接口、查询区县下有无质控员用户接口。</w:t>
      </w:r>
    </w:p>
    <w:p w14:paraId="2F2398BB">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4.机构信息同步类接口</w:t>
      </w:r>
    </w:p>
    <w:p w14:paraId="7384FC1A">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用于动态获取上级系统中的机构信息，确保基础编码一致性，对接的接口包括：机构信息批量同步接口、机构变更-患者迁移接口。</w:t>
      </w:r>
    </w:p>
    <w:p w14:paraId="19F22131">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5.其他接口</w:t>
      </w:r>
    </w:p>
    <w:p w14:paraId="1736D85F">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用于接收国家级系统发送的业务通知消息，并进行相关的业务处理，对接的接口包括：跨区域业务通知消息处理接口。</w:t>
      </w:r>
    </w:p>
    <w:p w14:paraId="2359E7FD">
      <w:pPr>
        <w:pStyle w:val="6"/>
        <w:keepNext w:val="0"/>
        <w:keepLines w:val="0"/>
        <w:pageBreakBefore w:val="0"/>
        <w:kinsoku/>
        <w:wordWrap/>
        <w:overflowPunct/>
        <w:topLinePunct w:val="0"/>
        <w:autoSpaceDE/>
        <w:autoSpaceDN/>
        <w:bidi w:val="0"/>
        <w:adjustRightInd/>
        <w:snapToGrid/>
        <w:spacing w:line="500" w:lineRule="exact"/>
        <w:ind w:left="855"/>
        <w:jc w:val="both"/>
        <w:textAlignment w:val="auto"/>
        <w:rPr>
          <w:rFonts w:hint="eastAsia" w:ascii="宋体" w:hAnsi="宋体" w:eastAsia="宋体" w:cs="宋体"/>
          <w:sz w:val="24"/>
          <w:szCs w:val="24"/>
        </w:rPr>
      </w:pPr>
      <w:r>
        <w:rPr>
          <w:rFonts w:hint="eastAsia" w:ascii="宋体" w:hAnsi="宋体" w:eastAsia="宋体" w:cs="宋体"/>
          <w:b/>
          <w:sz w:val="24"/>
          <w:szCs w:val="24"/>
        </w:rPr>
        <w:t>2.1.6.2.省级热线公安报警</w:t>
      </w:r>
    </w:p>
    <w:p w14:paraId="70DA36B6">
      <w:pPr>
        <w:pStyle w:val="6"/>
        <w:keepNext w:val="0"/>
        <w:keepLines w:val="0"/>
        <w:pageBreakBefore w:val="0"/>
        <w:kinsoku/>
        <w:wordWrap/>
        <w:overflowPunct/>
        <w:topLinePunct w:val="0"/>
        <w:autoSpaceDE/>
        <w:autoSpaceDN/>
        <w:bidi w:val="0"/>
        <w:adjustRightInd/>
        <w:snapToGrid/>
        <w:spacing w:line="500" w:lineRule="exact"/>
        <w:ind w:left="855"/>
        <w:jc w:val="both"/>
        <w:textAlignment w:val="auto"/>
        <w:rPr>
          <w:rFonts w:hint="eastAsia" w:ascii="宋体" w:hAnsi="宋体" w:eastAsia="宋体" w:cs="宋体"/>
          <w:sz w:val="24"/>
          <w:szCs w:val="24"/>
        </w:rPr>
      </w:pPr>
      <w:r>
        <w:rPr>
          <w:rFonts w:hint="eastAsia" w:ascii="宋体" w:hAnsi="宋体" w:eastAsia="宋体" w:cs="宋体"/>
          <w:b/>
          <w:sz w:val="24"/>
          <w:szCs w:val="24"/>
        </w:rPr>
        <w:t>2.1.6.2.1.一键报警(评审项97)</w:t>
      </w:r>
    </w:p>
    <w:p w14:paraId="6FEF393B">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2.1.6.2.1.1.对接方式</w:t>
      </w:r>
    </w:p>
    <w:p w14:paraId="1BB47156">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心理援助热线通过HTTP接口的方式对接省级公安报警接口，接口采用REST风格的服务调用。</w:t>
      </w:r>
    </w:p>
    <w:p w14:paraId="3EF0F0C3">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2.1.6.2.1.2.对接内容</w:t>
      </w:r>
    </w:p>
    <w:p w14:paraId="1E51BCF4">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1.危机工单发送接口</w:t>
      </w:r>
    </w:p>
    <w:p w14:paraId="4E62BD1F">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将高危及高风险人群来电信息通过接口发送给公安。包括：姓名、性别、来电电话、其他电话、所在地区区划、详细地址、联系人信息。风险等级、风险类型、自杀自伤方式、报警详情。报警人、报警人联系方式。</w:t>
      </w:r>
    </w:p>
    <w:p w14:paraId="6C978634">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2.回单接口</w:t>
      </w:r>
    </w:p>
    <w:p w14:paraId="62F8991A">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接收公安部门处理高危及高风险事件后的结果。包括：处置单位、处置时间、处置内容、处置人。</w:t>
      </w:r>
    </w:p>
    <w:p w14:paraId="2041BFED">
      <w:pPr>
        <w:pStyle w:val="6"/>
        <w:keepNext w:val="0"/>
        <w:keepLines w:val="0"/>
        <w:pageBreakBefore w:val="0"/>
        <w:kinsoku/>
        <w:wordWrap/>
        <w:overflowPunct/>
        <w:topLinePunct w:val="0"/>
        <w:autoSpaceDE/>
        <w:autoSpaceDN/>
        <w:bidi w:val="0"/>
        <w:adjustRightInd/>
        <w:snapToGrid/>
        <w:spacing w:line="500" w:lineRule="exact"/>
        <w:ind w:left="855"/>
        <w:jc w:val="both"/>
        <w:textAlignment w:val="auto"/>
        <w:rPr>
          <w:rFonts w:hint="eastAsia" w:ascii="宋体" w:hAnsi="宋体" w:eastAsia="宋体" w:cs="宋体"/>
          <w:sz w:val="24"/>
          <w:szCs w:val="24"/>
        </w:rPr>
      </w:pPr>
      <w:r>
        <w:rPr>
          <w:rFonts w:hint="eastAsia" w:ascii="宋体" w:hAnsi="宋体" w:eastAsia="宋体" w:cs="宋体"/>
          <w:b/>
          <w:sz w:val="24"/>
          <w:szCs w:val="24"/>
        </w:rPr>
        <w:t>2.1.6.3.与福州市第二总医院神经精神病防治院系统对接</w:t>
      </w:r>
    </w:p>
    <w:p w14:paraId="62B5AB73">
      <w:pPr>
        <w:pStyle w:val="6"/>
        <w:keepNext w:val="0"/>
        <w:keepLines w:val="0"/>
        <w:pageBreakBefore w:val="0"/>
        <w:kinsoku/>
        <w:wordWrap/>
        <w:overflowPunct/>
        <w:topLinePunct w:val="0"/>
        <w:autoSpaceDE/>
        <w:autoSpaceDN/>
        <w:bidi w:val="0"/>
        <w:adjustRightInd/>
        <w:snapToGrid/>
        <w:spacing w:line="500" w:lineRule="exact"/>
        <w:ind w:left="855"/>
        <w:jc w:val="both"/>
        <w:textAlignment w:val="auto"/>
        <w:rPr>
          <w:rFonts w:hint="eastAsia" w:ascii="宋体" w:hAnsi="宋体" w:eastAsia="宋体" w:cs="宋体"/>
          <w:sz w:val="24"/>
          <w:szCs w:val="24"/>
        </w:rPr>
      </w:pPr>
      <w:r>
        <w:rPr>
          <w:rFonts w:hint="eastAsia" w:ascii="宋体" w:hAnsi="宋体" w:eastAsia="宋体" w:cs="宋体"/>
          <w:b/>
          <w:sz w:val="24"/>
          <w:szCs w:val="24"/>
        </w:rPr>
        <w:t>2.1.6.3.1.医院数据中心数据接口(评审项98)</w:t>
      </w:r>
    </w:p>
    <w:p w14:paraId="341FFAC6">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2.1.6.3.1.1.对接方式</w:t>
      </w:r>
    </w:p>
    <w:p w14:paraId="123B4E03">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数据中台采用前置交换库的方式，即在机房中设置数据交换前置机（前置机可以联通两个系统，在保证必要的安全防护条件下，实现跨网数据交换），在前置机中部署数据交换中间库，依托医院数据中心定时向前置机中间库中推送福州市全民健康信息平台写入对接数据，平台也定时读取前置机中间库中的指标数据，并导入到平台信息资源库中。</w:t>
      </w:r>
    </w:p>
    <w:p w14:paraId="1F9C3476">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2.1.6.3.1.2.对接内容</w:t>
      </w:r>
    </w:p>
    <w:p w14:paraId="0D898A41">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依托医院数据中心获取福州市全民健康信息平台精神专科医疗机构相关数据，具体对接内容如下：</w:t>
      </w:r>
    </w:p>
    <w:p w14:paraId="33197B96">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1.门诊记录同步</w:t>
      </w:r>
    </w:p>
    <w:p w14:paraId="145D01DF">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获取福州市全民健康信息平台中精神专科医疗机构的门诊记录信息。</w:t>
      </w:r>
    </w:p>
    <w:p w14:paraId="2EA9C7CA">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2.住院记录同步</w:t>
      </w:r>
    </w:p>
    <w:p w14:paraId="2A6DD787">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获取福州市全民健康信息平台中精神专科医疗机构的住院记录信息。</w:t>
      </w:r>
    </w:p>
    <w:p w14:paraId="3622F301">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3.病案首页记录同步</w:t>
      </w:r>
    </w:p>
    <w:p w14:paraId="6F3F1FA3">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获取福州市全民健康信息平台中精神专科医疗机构的病案首页记录信息。</w:t>
      </w:r>
    </w:p>
    <w:p w14:paraId="58E9D53E">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4.获取福州市基层医疗卫生信息系统数据</w:t>
      </w:r>
    </w:p>
    <w:p w14:paraId="409C4984">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获取福州市基层医疗卫生信息系统的患者信息、随访记录和统计指标数据等。</w:t>
      </w:r>
    </w:p>
    <w:p w14:paraId="543C754E">
      <w:pPr>
        <w:pStyle w:val="6"/>
        <w:keepNext w:val="0"/>
        <w:keepLines w:val="0"/>
        <w:pageBreakBefore w:val="0"/>
        <w:kinsoku/>
        <w:wordWrap/>
        <w:overflowPunct/>
        <w:topLinePunct w:val="0"/>
        <w:autoSpaceDE/>
        <w:autoSpaceDN/>
        <w:bidi w:val="0"/>
        <w:adjustRightInd/>
        <w:snapToGrid/>
        <w:spacing w:line="500" w:lineRule="exact"/>
        <w:ind w:left="855"/>
        <w:jc w:val="both"/>
        <w:textAlignment w:val="auto"/>
        <w:rPr>
          <w:rFonts w:hint="eastAsia" w:ascii="宋体" w:hAnsi="宋体" w:eastAsia="宋体" w:cs="宋体"/>
          <w:sz w:val="24"/>
          <w:szCs w:val="24"/>
        </w:rPr>
      </w:pPr>
      <w:r>
        <w:rPr>
          <w:rFonts w:hint="eastAsia" w:ascii="宋体" w:hAnsi="宋体" w:eastAsia="宋体" w:cs="宋体"/>
          <w:b/>
          <w:sz w:val="24"/>
          <w:szCs w:val="24"/>
        </w:rPr>
        <w:t>2.1.6.3.2.医院HIS系统数据接口(评审项99)</w:t>
      </w:r>
    </w:p>
    <w:p w14:paraId="5AEA72AD">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2.1.6.3.2.1.患者报告卡上传</w:t>
      </w:r>
    </w:p>
    <w:p w14:paraId="18B13D98">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2.1.6.3.2.1.1.对接方式</w:t>
      </w:r>
    </w:p>
    <w:p w14:paraId="5726FFB6">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省级严重精神障碍管理系统与福州市第二总医院神经精神病防治院的HIS系统进行对接，可以根据医院实际情况选择具体的对接模式。</w:t>
      </w:r>
    </w:p>
    <w:p w14:paraId="38E494B7">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表2</w:t>
      </w:r>
      <w:r>
        <w:rPr>
          <w:rFonts w:hint="eastAsia" w:ascii="宋体" w:hAnsi="宋体" w:eastAsia="宋体" w:cs="宋体"/>
          <w:sz w:val="24"/>
          <w:szCs w:val="24"/>
          <w:lang w:val="en-US" w:eastAsia="zh-CN"/>
        </w:rPr>
        <w:t>-</w:t>
      </w:r>
      <w:r>
        <w:rPr>
          <w:rFonts w:hint="eastAsia" w:ascii="宋体" w:hAnsi="宋体" w:eastAsia="宋体" w:cs="宋体"/>
          <w:sz w:val="24"/>
          <w:szCs w:val="24"/>
        </w:rPr>
        <w:t>4患者报告卡上传接口</w:t>
      </w:r>
    </w:p>
    <w:tbl>
      <w:tblPr>
        <w:tblStyle w:val="4"/>
        <w:tblW w:w="0" w:type="auto"/>
        <w:tblInd w:w="0" w:type="dxa"/>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autofit"/>
        <w:tblCellMar>
          <w:top w:w="0" w:type="dxa"/>
          <w:left w:w="108" w:type="dxa"/>
          <w:bottom w:w="0" w:type="dxa"/>
          <w:right w:w="108" w:type="dxa"/>
        </w:tblCellMar>
      </w:tblPr>
      <w:tblGrid>
        <w:gridCol w:w="1055"/>
        <w:gridCol w:w="2357"/>
        <w:gridCol w:w="1588"/>
        <w:gridCol w:w="1588"/>
        <w:gridCol w:w="1718"/>
      </w:tblGrid>
      <w:tr w14:paraId="5F8C791E">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1055" w:type="dxa"/>
            <w:tcBorders>
              <w:top w:val="double" w:color="000000" w:sz="4" w:space="0"/>
              <w:left w:val="double" w:color="000000" w:sz="4" w:space="0"/>
              <w:bottom w:val="single" w:color="000000" w:sz="4" w:space="0"/>
              <w:right w:val="single" w:color="000000" w:sz="4" w:space="0"/>
            </w:tcBorders>
            <w:shd w:val="clear" w:color="auto" w:fill="BFBFBF"/>
            <w:tcMar>
              <w:top w:w="0" w:type="dxa"/>
              <w:left w:w="0" w:type="dxa"/>
              <w:bottom w:w="0" w:type="dxa"/>
              <w:right w:w="0" w:type="dxa"/>
            </w:tcMar>
            <w:vAlign w:val="top"/>
          </w:tcPr>
          <w:p w14:paraId="34DD2691">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b/>
                <w:sz w:val="24"/>
                <w:szCs w:val="24"/>
              </w:rPr>
              <w:t>模式</w:t>
            </w:r>
          </w:p>
        </w:tc>
        <w:tc>
          <w:tcPr>
            <w:tcW w:w="2357" w:type="dxa"/>
            <w:tcBorders>
              <w:top w:val="double" w:color="000000" w:sz="4" w:space="0"/>
              <w:left w:val="nil"/>
              <w:bottom w:val="single" w:color="000000" w:sz="4" w:space="0"/>
              <w:right w:val="single" w:color="000000" w:sz="4" w:space="0"/>
            </w:tcBorders>
            <w:shd w:val="clear" w:color="auto" w:fill="BFBFBF"/>
            <w:tcMar>
              <w:top w:w="0" w:type="dxa"/>
              <w:left w:w="0" w:type="dxa"/>
              <w:bottom w:w="0" w:type="dxa"/>
              <w:right w:w="0" w:type="dxa"/>
            </w:tcMar>
            <w:vAlign w:val="top"/>
          </w:tcPr>
          <w:p w14:paraId="1BAEA9CF">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b/>
                <w:sz w:val="24"/>
                <w:szCs w:val="24"/>
              </w:rPr>
              <w:t>描述</w:t>
            </w:r>
          </w:p>
        </w:tc>
        <w:tc>
          <w:tcPr>
            <w:tcW w:w="1588" w:type="dxa"/>
            <w:tcBorders>
              <w:top w:val="double" w:color="000000" w:sz="4" w:space="0"/>
              <w:left w:val="nil"/>
              <w:bottom w:val="single" w:color="000000" w:sz="4" w:space="0"/>
              <w:right w:val="single" w:color="000000" w:sz="4" w:space="0"/>
            </w:tcBorders>
            <w:shd w:val="clear" w:color="auto" w:fill="BFBFBF"/>
            <w:tcMar>
              <w:top w:w="0" w:type="dxa"/>
              <w:left w:w="0" w:type="dxa"/>
              <w:bottom w:w="0" w:type="dxa"/>
              <w:right w:w="0" w:type="dxa"/>
            </w:tcMar>
            <w:vAlign w:val="top"/>
          </w:tcPr>
          <w:p w14:paraId="7270114F">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b/>
                <w:sz w:val="24"/>
                <w:szCs w:val="24"/>
              </w:rPr>
              <w:t>自系统相关工作</w:t>
            </w:r>
          </w:p>
        </w:tc>
        <w:tc>
          <w:tcPr>
            <w:tcW w:w="1588" w:type="dxa"/>
            <w:tcBorders>
              <w:top w:val="double" w:color="000000" w:sz="4" w:space="0"/>
              <w:left w:val="nil"/>
              <w:bottom w:val="single" w:color="000000" w:sz="4" w:space="0"/>
              <w:right w:val="single" w:color="000000" w:sz="4" w:space="0"/>
            </w:tcBorders>
            <w:shd w:val="clear" w:color="auto" w:fill="BFBFBF"/>
            <w:tcMar>
              <w:top w:w="0" w:type="dxa"/>
              <w:left w:w="0" w:type="dxa"/>
              <w:bottom w:w="0" w:type="dxa"/>
              <w:right w:w="0" w:type="dxa"/>
            </w:tcMar>
            <w:vAlign w:val="top"/>
          </w:tcPr>
          <w:p w14:paraId="7C3AD9CD">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b/>
                <w:sz w:val="24"/>
                <w:szCs w:val="24"/>
              </w:rPr>
              <w:t>医院HIS系统相关工作</w:t>
            </w:r>
          </w:p>
        </w:tc>
        <w:tc>
          <w:tcPr>
            <w:tcW w:w="1718" w:type="dxa"/>
            <w:tcBorders>
              <w:top w:val="double" w:color="000000" w:sz="4" w:space="0"/>
              <w:left w:val="nil"/>
              <w:bottom w:val="single" w:color="000000" w:sz="4" w:space="0"/>
              <w:right w:val="double" w:color="000000" w:sz="4" w:space="0"/>
            </w:tcBorders>
            <w:shd w:val="clear" w:color="auto" w:fill="BFBFBF"/>
            <w:tcMar>
              <w:top w:w="0" w:type="dxa"/>
              <w:left w:w="0" w:type="dxa"/>
              <w:bottom w:w="0" w:type="dxa"/>
              <w:right w:w="0" w:type="dxa"/>
            </w:tcMar>
            <w:vAlign w:val="top"/>
          </w:tcPr>
          <w:p w14:paraId="756C9FBB">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b/>
                <w:sz w:val="24"/>
                <w:szCs w:val="24"/>
              </w:rPr>
              <w:t>优缺点分析</w:t>
            </w:r>
          </w:p>
        </w:tc>
      </w:tr>
      <w:tr w14:paraId="0BECCC80">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1055" w:type="dxa"/>
            <w:tcBorders>
              <w:top w:val="nil"/>
              <w:left w:val="double" w:color="000000" w:sz="4" w:space="0"/>
              <w:bottom w:val="single" w:color="000000" w:sz="4" w:space="0"/>
              <w:right w:val="single" w:color="000000" w:sz="4" w:space="0"/>
            </w:tcBorders>
            <w:tcMar>
              <w:top w:w="0" w:type="dxa"/>
              <w:left w:w="0" w:type="dxa"/>
              <w:bottom w:w="0" w:type="dxa"/>
              <w:right w:w="0" w:type="dxa"/>
            </w:tcMar>
            <w:vAlign w:val="top"/>
          </w:tcPr>
          <w:p w14:paraId="2D0CC75C">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sz w:val="24"/>
                <w:szCs w:val="24"/>
              </w:rPr>
              <w:t>方式一</w:t>
            </w:r>
          </w:p>
          <w:p w14:paraId="432A0CB8">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sz w:val="24"/>
                <w:szCs w:val="24"/>
              </w:rPr>
              <w:t>页面集成对接模式</w:t>
            </w:r>
          </w:p>
        </w:tc>
        <w:tc>
          <w:tcPr>
            <w:tcW w:w="2357" w:type="dxa"/>
            <w:tcBorders>
              <w:top w:val="nil"/>
              <w:left w:val="single" w:color="000000" w:sz="4" w:space="0"/>
              <w:bottom w:val="single" w:color="000000" w:sz="4" w:space="0"/>
              <w:right w:val="single" w:color="000000" w:sz="4" w:space="0"/>
            </w:tcBorders>
            <w:tcMar>
              <w:top w:w="0" w:type="dxa"/>
              <w:left w:w="0" w:type="dxa"/>
              <w:bottom w:w="0" w:type="dxa"/>
              <w:right w:w="0" w:type="dxa"/>
            </w:tcMar>
            <w:vAlign w:val="top"/>
          </w:tcPr>
          <w:p w14:paraId="257223D6">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sz w:val="24"/>
                <w:szCs w:val="24"/>
              </w:rPr>
              <w:t>省级精神卫生综合服务平台（严重精神障碍管理）提供相关的报告卡、出院单集成页面，医院系统在网络联通的情况下可以在医生工作站中打开省级精神卫生综合服务平台（严重精神障碍管理）提供的系统页面（调用页面时并可以代入HIS中的信息），完成信息填报操作。</w:t>
            </w:r>
          </w:p>
        </w:tc>
        <w:tc>
          <w:tcPr>
            <w:tcW w:w="1588" w:type="dxa"/>
            <w:tcBorders>
              <w:top w:val="nil"/>
              <w:left w:val="single" w:color="000000" w:sz="4" w:space="0"/>
              <w:bottom w:val="single" w:color="000000" w:sz="4" w:space="0"/>
              <w:right w:val="single" w:color="000000" w:sz="4" w:space="0"/>
            </w:tcBorders>
            <w:tcMar>
              <w:top w:w="0" w:type="dxa"/>
              <w:left w:w="0" w:type="dxa"/>
              <w:bottom w:w="0" w:type="dxa"/>
              <w:right w:w="0" w:type="dxa"/>
            </w:tcMar>
            <w:vAlign w:val="top"/>
          </w:tcPr>
          <w:p w14:paraId="5DA4729D">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sz w:val="24"/>
                <w:szCs w:val="24"/>
              </w:rPr>
              <w:t>提供统一的可供医院系统集成的信息填报页面。</w:t>
            </w:r>
          </w:p>
        </w:tc>
        <w:tc>
          <w:tcPr>
            <w:tcW w:w="1588" w:type="dxa"/>
            <w:tcBorders>
              <w:top w:val="nil"/>
              <w:left w:val="single" w:color="000000" w:sz="4" w:space="0"/>
              <w:bottom w:val="single" w:color="000000" w:sz="4" w:space="0"/>
              <w:right w:val="single" w:color="000000" w:sz="4" w:space="0"/>
            </w:tcBorders>
            <w:tcMar>
              <w:top w:w="0" w:type="dxa"/>
              <w:left w:w="0" w:type="dxa"/>
              <w:bottom w:w="0" w:type="dxa"/>
              <w:right w:w="0" w:type="dxa"/>
            </w:tcMar>
            <w:vAlign w:val="top"/>
          </w:tcPr>
          <w:p w14:paraId="55384CA4">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sz w:val="24"/>
                <w:szCs w:val="24"/>
              </w:rPr>
              <w:t>对医院系统进行改造，可以在医院系统中调用省系统提供集成页面。</w:t>
            </w:r>
          </w:p>
        </w:tc>
        <w:tc>
          <w:tcPr>
            <w:tcW w:w="1718" w:type="dxa"/>
            <w:tcBorders>
              <w:top w:val="nil"/>
              <w:left w:val="single" w:color="000000" w:sz="4" w:space="0"/>
              <w:bottom w:val="single" w:color="000000" w:sz="4" w:space="0"/>
              <w:right w:val="double" w:color="000000" w:sz="4" w:space="0"/>
            </w:tcBorders>
            <w:tcMar>
              <w:top w:w="0" w:type="dxa"/>
              <w:left w:w="0" w:type="dxa"/>
              <w:bottom w:w="0" w:type="dxa"/>
              <w:right w:w="0" w:type="dxa"/>
            </w:tcMar>
            <w:vAlign w:val="top"/>
          </w:tcPr>
          <w:p w14:paraId="2C508E73">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sz w:val="24"/>
                <w:szCs w:val="24"/>
              </w:rPr>
              <w:t>医院系统改造量一般（需要进行页面调用及字典映射工作）；但实现的功能有限，仅能提供信息填报功能。</w:t>
            </w:r>
          </w:p>
        </w:tc>
      </w:tr>
      <w:tr w14:paraId="755FDCE0">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1055" w:type="dxa"/>
            <w:tcBorders>
              <w:top w:val="single" w:color="000000" w:sz="4" w:space="0"/>
              <w:left w:val="double" w:color="000000" w:sz="4" w:space="0"/>
              <w:bottom w:val="single" w:color="000000" w:sz="4" w:space="0"/>
              <w:right w:val="single" w:color="000000" w:sz="4" w:space="0"/>
            </w:tcBorders>
            <w:tcMar>
              <w:top w:w="0" w:type="dxa"/>
              <w:left w:w="0" w:type="dxa"/>
              <w:bottom w:w="0" w:type="dxa"/>
              <w:right w:w="0" w:type="dxa"/>
            </w:tcMar>
            <w:vAlign w:val="top"/>
          </w:tcPr>
          <w:p w14:paraId="43BB184A">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sz w:val="24"/>
                <w:szCs w:val="24"/>
              </w:rPr>
              <w:t>方式二</w:t>
            </w:r>
          </w:p>
          <w:p w14:paraId="64D786F1">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sz w:val="24"/>
                <w:szCs w:val="24"/>
              </w:rPr>
              <w:t>服务接口对接模式</w:t>
            </w:r>
          </w:p>
        </w:tc>
        <w:tc>
          <w:tcPr>
            <w:tcW w:w="2357" w:type="dxa"/>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top"/>
          </w:tcPr>
          <w:p w14:paraId="46FAAD7A">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sz w:val="24"/>
                <w:szCs w:val="24"/>
              </w:rPr>
              <w:t>省级精神卫生综合服务平台（严重精神障碍管理）提供统一的服务接口，医院系统开发相应的管理功能模块，并调用省级精神卫生综合服务平台（严重精神障碍管理）提供的接口，实现信息上报、患者查询、信息查询、流转管理等业务。</w:t>
            </w:r>
          </w:p>
        </w:tc>
        <w:tc>
          <w:tcPr>
            <w:tcW w:w="1588" w:type="dxa"/>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top"/>
          </w:tcPr>
          <w:p w14:paraId="43D91AC0">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sz w:val="24"/>
                <w:szCs w:val="24"/>
              </w:rPr>
              <w:t>提供统一的服务接口，包括：</w:t>
            </w:r>
          </w:p>
          <w:p w14:paraId="2A9C44D5">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sz w:val="24"/>
                <w:szCs w:val="24"/>
              </w:rPr>
              <w:t>患者查重接口、报告卡相关接口、出院单相关接口流转相关接口、字典同步接口等。</w:t>
            </w:r>
          </w:p>
        </w:tc>
        <w:tc>
          <w:tcPr>
            <w:tcW w:w="1588" w:type="dxa"/>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top"/>
          </w:tcPr>
          <w:p w14:paraId="62226CDD">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sz w:val="24"/>
                <w:szCs w:val="24"/>
              </w:rPr>
              <w:t>对医院信息进行改造，实现报告卡、出院单、业务流转等功能模块，同时调用省级严重精神障碍管理系统接口进行数据同步。</w:t>
            </w:r>
          </w:p>
        </w:tc>
        <w:tc>
          <w:tcPr>
            <w:tcW w:w="1718" w:type="dxa"/>
            <w:tcBorders>
              <w:top w:val="single" w:color="000000" w:sz="4" w:space="0"/>
              <w:left w:val="single" w:color="000000" w:sz="4" w:space="0"/>
              <w:bottom w:val="single" w:color="000000" w:sz="4" w:space="0"/>
              <w:right w:val="double" w:color="000000" w:sz="4" w:space="0"/>
            </w:tcBorders>
            <w:tcMar>
              <w:top w:w="0" w:type="dxa"/>
              <w:left w:w="0" w:type="dxa"/>
              <w:bottom w:w="0" w:type="dxa"/>
              <w:right w:w="0" w:type="dxa"/>
            </w:tcMar>
            <w:vAlign w:val="top"/>
          </w:tcPr>
          <w:p w14:paraId="6D99FCA4">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sz w:val="24"/>
                <w:szCs w:val="24"/>
              </w:rPr>
              <w:t>医院系统改造量较大，需要实现相关患者报卡业务管理功能；但业务流程与医院信息系统的集成程度高，医生可以使用同一系统开展工作，用户体验较好。</w:t>
            </w:r>
          </w:p>
        </w:tc>
      </w:tr>
      <w:tr w14:paraId="0D1205FC">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1055" w:type="dxa"/>
            <w:tcBorders>
              <w:top w:val="single" w:color="000000" w:sz="4" w:space="0"/>
              <w:left w:val="double" w:color="000000" w:sz="4" w:space="0"/>
              <w:bottom w:val="double" w:color="000000" w:sz="4" w:space="0"/>
              <w:right w:val="single" w:color="000000" w:sz="4" w:space="0"/>
            </w:tcBorders>
            <w:tcMar>
              <w:top w:w="0" w:type="dxa"/>
              <w:left w:w="0" w:type="dxa"/>
              <w:bottom w:w="0" w:type="dxa"/>
              <w:right w:w="0" w:type="dxa"/>
            </w:tcMar>
            <w:vAlign w:val="top"/>
          </w:tcPr>
          <w:p w14:paraId="31841EDF">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sz w:val="24"/>
                <w:szCs w:val="24"/>
              </w:rPr>
              <w:t>方式三</w:t>
            </w:r>
          </w:p>
          <w:p w14:paraId="11CC0B54">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sz w:val="24"/>
                <w:szCs w:val="24"/>
              </w:rPr>
              <w:t>医院端系统下沉模式</w:t>
            </w:r>
          </w:p>
        </w:tc>
        <w:tc>
          <w:tcPr>
            <w:tcW w:w="2357" w:type="dxa"/>
            <w:tcBorders>
              <w:top w:val="single" w:color="000000" w:sz="4" w:space="0"/>
              <w:left w:val="single" w:color="000000" w:sz="4" w:space="0"/>
              <w:bottom w:val="double" w:color="000000" w:sz="4" w:space="0"/>
              <w:right w:val="single" w:color="000000" w:sz="4" w:space="0"/>
            </w:tcBorders>
            <w:tcMar>
              <w:top w:w="0" w:type="dxa"/>
              <w:left w:w="0" w:type="dxa"/>
              <w:bottom w:w="0" w:type="dxa"/>
              <w:right w:w="0" w:type="dxa"/>
            </w:tcMar>
            <w:vAlign w:val="top"/>
          </w:tcPr>
          <w:p w14:paraId="13B80839">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sz w:val="24"/>
                <w:szCs w:val="24"/>
              </w:rPr>
              <w:t>将省级精神卫生综合服务平台（严重精神障碍管理）中的报卡管理功能模块下沉到医院端，实现报卡管理功能在医院端的部署，并且与医院系统进行集成，可以获取HIS系统中记录，补充信息后完成报卡记录，生成的报卡记录同步到省级严重精神障碍管理系统中。</w:t>
            </w:r>
          </w:p>
        </w:tc>
        <w:tc>
          <w:tcPr>
            <w:tcW w:w="1588" w:type="dxa"/>
            <w:tcBorders>
              <w:top w:val="single" w:color="000000" w:sz="4" w:space="0"/>
              <w:left w:val="single" w:color="000000" w:sz="4" w:space="0"/>
              <w:bottom w:val="double" w:color="000000" w:sz="4" w:space="0"/>
              <w:right w:val="single" w:color="000000" w:sz="4" w:space="0"/>
            </w:tcBorders>
            <w:tcMar>
              <w:top w:w="0" w:type="dxa"/>
              <w:left w:w="0" w:type="dxa"/>
              <w:bottom w:w="0" w:type="dxa"/>
              <w:right w:w="0" w:type="dxa"/>
            </w:tcMar>
            <w:vAlign w:val="top"/>
          </w:tcPr>
          <w:p w14:paraId="53E8A82C">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sz w:val="24"/>
                <w:szCs w:val="24"/>
              </w:rPr>
              <w:t>省级严重精神障碍管理系统提供一套可在医院本地化部署的系统，并进行部署、集成等工作。</w:t>
            </w:r>
          </w:p>
        </w:tc>
        <w:tc>
          <w:tcPr>
            <w:tcW w:w="1588" w:type="dxa"/>
            <w:tcBorders>
              <w:top w:val="single" w:color="000000" w:sz="4" w:space="0"/>
              <w:left w:val="single" w:color="000000" w:sz="4" w:space="0"/>
              <w:bottom w:val="double" w:color="000000" w:sz="4" w:space="0"/>
              <w:right w:val="single" w:color="000000" w:sz="4" w:space="0"/>
            </w:tcBorders>
            <w:tcMar>
              <w:top w:w="0" w:type="dxa"/>
              <w:left w:w="0" w:type="dxa"/>
              <w:bottom w:w="0" w:type="dxa"/>
              <w:right w:w="0" w:type="dxa"/>
            </w:tcMar>
            <w:vAlign w:val="top"/>
          </w:tcPr>
          <w:p w14:paraId="51FE51CF">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sz w:val="24"/>
                <w:szCs w:val="24"/>
              </w:rPr>
              <w:t>可以不对医院HIS系统进行改造，医院系统只需开放数据库视图，供下沉系统调用获取诊疗数据，筛选出需报卡的记录。</w:t>
            </w:r>
          </w:p>
        </w:tc>
        <w:tc>
          <w:tcPr>
            <w:tcW w:w="1718" w:type="dxa"/>
            <w:tcBorders>
              <w:top w:val="single" w:color="000000" w:sz="4" w:space="0"/>
              <w:left w:val="single" w:color="000000" w:sz="4" w:space="0"/>
              <w:bottom w:val="double" w:color="000000" w:sz="4" w:space="0"/>
              <w:right w:val="double" w:color="000000" w:sz="4" w:space="0"/>
            </w:tcBorders>
            <w:tcMar>
              <w:top w:w="0" w:type="dxa"/>
              <w:left w:w="0" w:type="dxa"/>
              <w:bottom w:w="0" w:type="dxa"/>
              <w:right w:w="0" w:type="dxa"/>
            </w:tcMar>
            <w:vAlign w:val="top"/>
          </w:tcPr>
          <w:p w14:paraId="2724DB8B">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sz w:val="24"/>
                <w:szCs w:val="24"/>
              </w:rPr>
              <w:t>医院系统改造量小。下沉系统与省级严重精神障碍管理系统保持业务规则一致；但医院需要提供相关的部署设备及网络环境，且需要协调与医院信息系统厂商的配合。</w:t>
            </w:r>
          </w:p>
        </w:tc>
      </w:tr>
    </w:tbl>
    <w:p w14:paraId="5310C128">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2.1.6.3.2.1.2.对接内容</w:t>
      </w:r>
    </w:p>
    <w:p w14:paraId="129F64C0">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患者报告卡新增接口、患者报告卡修改接口、患者报告卡删除接口、患者报告卡查询接口。</w:t>
      </w:r>
    </w:p>
    <w:p w14:paraId="13401884">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2.1.6.3.2.2.出院信息单上传</w:t>
      </w:r>
    </w:p>
    <w:p w14:paraId="23CD21EF">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2.1.6.3.2.2.1.对接方式</w:t>
      </w:r>
    </w:p>
    <w:p w14:paraId="2EB1ED00">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在本项目中，可以根据医院实际情况选择具体的对接模式。</w:t>
      </w:r>
    </w:p>
    <w:p w14:paraId="31942F74">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表2</w:t>
      </w:r>
      <w:r>
        <w:rPr>
          <w:rFonts w:hint="eastAsia" w:ascii="宋体" w:hAnsi="宋体" w:eastAsia="宋体" w:cs="宋体"/>
          <w:sz w:val="24"/>
          <w:szCs w:val="24"/>
          <w:lang w:val="en-US" w:eastAsia="zh-CN"/>
        </w:rPr>
        <w:t>-</w:t>
      </w:r>
      <w:r>
        <w:rPr>
          <w:rFonts w:hint="eastAsia" w:ascii="宋体" w:hAnsi="宋体" w:eastAsia="宋体" w:cs="宋体"/>
          <w:sz w:val="24"/>
          <w:szCs w:val="24"/>
        </w:rPr>
        <w:t>5出院信息单上传接口</w:t>
      </w:r>
    </w:p>
    <w:tbl>
      <w:tblPr>
        <w:tblStyle w:val="4"/>
        <w:tblW w:w="0" w:type="auto"/>
        <w:tblInd w:w="0" w:type="dxa"/>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autofit"/>
        <w:tblCellMar>
          <w:top w:w="0" w:type="dxa"/>
          <w:left w:w="108" w:type="dxa"/>
          <w:bottom w:w="0" w:type="dxa"/>
          <w:right w:w="108" w:type="dxa"/>
        </w:tblCellMar>
      </w:tblPr>
      <w:tblGrid>
        <w:gridCol w:w="1055"/>
        <w:gridCol w:w="2357"/>
        <w:gridCol w:w="1588"/>
        <w:gridCol w:w="1588"/>
        <w:gridCol w:w="1719"/>
      </w:tblGrid>
      <w:tr w14:paraId="5C8BBEA4">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1055" w:type="dxa"/>
            <w:tcBorders>
              <w:top w:val="double" w:color="000000" w:sz="4" w:space="0"/>
              <w:left w:val="double" w:color="000000" w:sz="4" w:space="0"/>
              <w:bottom w:val="single" w:color="000000" w:sz="4" w:space="0"/>
              <w:right w:val="single" w:color="000000" w:sz="4" w:space="0"/>
            </w:tcBorders>
            <w:shd w:val="clear" w:color="auto" w:fill="BFBFBF"/>
            <w:tcMar>
              <w:top w:w="0" w:type="dxa"/>
              <w:left w:w="0" w:type="dxa"/>
              <w:bottom w:w="0" w:type="dxa"/>
              <w:right w:w="0" w:type="dxa"/>
            </w:tcMar>
            <w:vAlign w:val="top"/>
          </w:tcPr>
          <w:p w14:paraId="0602BC8D">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b/>
                <w:sz w:val="24"/>
                <w:szCs w:val="24"/>
              </w:rPr>
              <w:t>模式</w:t>
            </w:r>
          </w:p>
        </w:tc>
        <w:tc>
          <w:tcPr>
            <w:tcW w:w="2357" w:type="dxa"/>
            <w:tcBorders>
              <w:top w:val="double" w:color="000000" w:sz="4" w:space="0"/>
              <w:left w:val="nil"/>
              <w:bottom w:val="single" w:color="000000" w:sz="4" w:space="0"/>
              <w:right w:val="single" w:color="000000" w:sz="4" w:space="0"/>
            </w:tcBorders>
            <w:shd w:val="clear" w:color="auto" w:fill="BFBFBF"/>
            <w:tcMar>
              <w:top w:w="0" w:type="dxa"/>
              <w:left w:w="0" w:type="dxa"/>
              <w:bottom w:w="0" w:type="dxa"/>
              <w:right w:w="0" w:type="dxa"/>
            </w:tcMar>
            <w:vAlign w:val="top"/>
          </w:tcPr>
          <w:p w14:paraId="3E2E8682">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b/>
                <w:sz w:val="24"/>
                <w:szCs w:val="24"/>
              </w:rPr>
              <w:t>描述</w:t>
            </w:r>
          </w:p>
        </w:tc>
        <w:tc>
          <w:tcPr>
            <w:tcW w:w="1588" w:type="dxa"/>
            <w:tcBorders>
              <w:top w:val="double" w:color="000000" w:sz="4" w:space="0"/>
              <w:left w:val="nil"/>
              <w:bottom w:val="single" w:color="000000" w:sz="4" w:space="0"/>
              <w:right w:val="single" w:color="000000" w:sz="4" w:space="0"/>
            </w:tcBorders>
            <w:shd w:val="clear" w:color="auto" w:fill="BFBFBF"/>
            <w:tcMar>
              <w:top w:w="0" w:type="dxa"/>
              <w:left w:w="0" w:type="dxa"/>
              <w:bottom w:w="0" w:type="dxa"/>
              <w:right w:w="0" w:type="dxa"/>
            </w:tcMar>
            <w:vAlign w:val="top"/>
          </w:tcPr>
          <w:p w14:paraId="6094FDCF">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b/>
                <w:sz w:val="24"/>
                <w:szCs w:val="24"/>
              </w:rPr>
              <w:t>自系统相关工作</w:t>
            </w:r>
          </w:p>
        </w:tc>
        <w:tc>
          <w:tcPr>
            <w:tcW w:w="1588" w:type="dxa"/>
            <w:tcBorders>
              <w:top w:val="double" w:color="000000" w:sz="4" w:space="0"/>
              <w:left w:val="nil"/>
              <w:bottom w:val="single" w:color="000000" w:sz="4" w:space="0"/>
              <w:right w:val="single" w:color="000000" w:sz="4" w:space="0"/>
            </w:tcBorders>
            <w:shd w:val="clear" w:color="auto" w:fill="BFBFBF"/>
            <w:tcMar>
              <w:top w:w="0" w:type="dxa"/>
              <w:left w:w="0" w:type="dxa"/>
              <w:bottom w:w="0" w:type="dxa"/>
              <w:right w:w="0" w:type="dxa"/>
            </w:tcMar>
            <w:vAlign w:val="top"/>
          </w:tcPr>
          <w:p w14:paraId="20D82DB0">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b/>
                <w:sz w:val="24"/>
                <w:szCs w:val="24"/>
              </w:rPr>
              <w:t>医院HIS系统相关工作</w:t>
            </w:r>
          </w:p>
        </w:tc>
        <w:tc>
          <w:tcPr>
            <w:tcW w:w="1719" w:type="dxa"/>
            <w:tcBorders>
              <w:top w:val="double" w:color="000000" w:sz="4" w:space="0"/>
              <w:left w:val="nil"/>
              <w:bottom w:val="single" w:color="000000" w:sz="4" w:space="0"/>
              <w:right w:val="double" w:color="000000" w:sz="4" w:space="0"/>
            </w:tcBorders>
            <w:shd w:val="clear" w:color="auto" w:fill="BFBFBF"/>
            <w:tcMar>
              <w:top w:w="0" w:type="dxa"/>
              <w:left w:w="0" w:type="dxa"/>
              <w:bottom w:w="0" w:type="dxa"/>
              <w:right w:w="0" w:type="dxa"/>
            </w:tcMar>
            <w:vAlign w:val="top"/>
          </w:tcPr>
          <w:p w14:paraId="2A0AE119">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b/>
                <w:sz w:val="24"/>
                <w:szCs w:val="24"/>
              </w:rPr>
              <w:t>优缺点分析</w:t>
            </w:r>
          </w:p>
        </w:tc>
      </w:tr>
      <w:tr w14:paraId="7702C0C5">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1055" w:type="dxa"/>
            <w:tcBorders>
              <w:top w:val="nil"/>
              <w:left w:val="double" w:color="000000" w:sz="4" w:space="0"/>
              <w:bottom w:val="single" w:color="000000" w:sz="4" w:space="0"/>
              <w:right w:val="single" w:color="000000" w:sz="4" w:space="0"/>
            </w:tcBorders>
            <w:tcMar>
              <w:top w:w="0" w:type="dxa"/>
              <w:left w:w="0" w:type="dxa"/>
              <w:bottom w:w="0" w:type="dxa"/>
              <w:right w:w="0" w:type="dxa"/>
            </w:tcMar>
            <w:vAlign w:val="top"/>
          </w:tcPr>
          <w:p w14:paraId="74ACF22C">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sz w:val="24"/>
                <w:szCs w:val="24"/>
              </w:rPr>
              <w:t>方式一</w:t>
            </w:r>
          </w:p>
          <w:p w14:paraId="47752AFF">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sz w:val="24"/>
                <w:szCs w:val="24"/>
              </w:rPr>
              <w:t>页面集成对接模式</w:t>
            </w:r>
          </w:p>
        </w:tc>
        <w:tc>
          <w:tcPr>
            <w:tcW w:w="2357" w:type="dxa"/>
            <w:tcBorders>
              <w:top w:val="nil"/>
              <w:left w:val="single" w:color="000000" w:sz="4" w:space="0"/>
              <w:bottom w:val="single" w:color="000000" w:sz="4" w:space="0"/>
              <w:right w:val="single" w:color="000000" w:sz="4" w:space="0"/>
            </w:tcBorders>
            <w:tcMar>
              <w:top w:w="0" w:type="dxa"/>
              <w:left w:w="0" w:type="dxa"/>
              <w:bottom w:w="0" w:type="dxa"/>
              <w:right w:w="0" w:type="dxa"/>
            </w:tcMar>
            <w:vAlign w:val="top"/>
          </w:tcPr>
          <w:p w14:paraId="584A8508">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sz w:val="24"/>
                <w:szCs w:val="24"/>
              </w:rPr>
              <w:t>省级精神卫生综合服务平台（严重精神障碍管理）提供相关的报告卡、出院单集成页面，医院系统在网络联通的情况下可以在医生工作站中打开省级精神卫生综合服务平台（严重精神障碍管理）提供的系统页面（调用页面时并可以代入HIS中的信息），完成信息填报操作。</w:t>
            </w:r>
          </w:p>
        </w:tc>
        <w:tc>
          <w:tcPr>
            <w:tcW w:w="1588" w:type="dxa"/>
            <w:tcBorders>
              <w:top w:val="nil"/>
              <w:left w:val="single" w:color="000000" w:sz="4" w:space="0"/>
              <w:bottom w:val="single" w:color="000000" w:sz="4" w:space="0"/>
              <w:right w:val="single" w:color="000000" w:sz="4" w:space="0"/>
            </w:tcBorders>
            <w:tcMar>
              <w:top w:w="0" w:type="dxa"/>
              <w:left w:w="0" w:type="dxa"/>
              <w:bottom w:w="0" w:type="dxa"/>
              <w:right w:w="0" w:type="dxa"/>
            </w:tcMar>
            <w:vAlign w:val="top"/>
          </w:tcPr>
          <w:p w14:paraId="420E4AAD">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sz w:val="24"/>
                <w:szCs w:val="24"/>
              </w:rPr>
              <w:t>提供统一的可供医院系统集成的信息填报页面。</w:t>
            </w:r>
          </w:p>
        </w:tc>
        <w:tc>
          <w:tcPr>
            <w:tcW w:w="1588" w:type="dxa"/>
            <w:tcBorders>
              <w:top w:val="nil"/>
              <w:left w:val="single" w:color="000000" w:sz="4" w:space="0"/>
              <w:bottom w:val="single" w:color="000000" w:sz="4" w:space="0"/>
              <w:right w:val="single" w:color="000000" w:sz="4" w:space="0"/>
            </w:tcBorders>
            <w:tcMar>
              <w:top w:w="0" w:type="dxa"/>
              <w:left w:w="0" w:type="dxa"/>
              <w:bottom w:w="0" w:type="dxa"/>
              <w:right w:w="0" w:type="dxa"/>
            </w:tcMar>
            <w:vAlign w:val="top"/>
          </w:tcPr>
          <w:p w14:paraId="34A89E16">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sz w:val="24"/>
                <w:szCs w:val="24"/>
              </w:rPr>
              <w:t>对医院系统进行改造，可以在医院系统中调用省系统提供集成页面。</w:t>
            </w:r>
          </w:p>
        </w:tc>
        <w:tc>
          <w:tcPr>
            <w:tcW w:w="1719" w:type="dxa"/>
            <w:tcBorders>
              <w:top w:val="nil"/>
              <w:left w:val="single" w:color="000000" w:sz="4" w:space="0"/>
              <w:bottom w:val="single" w:color="000000" w:sz="4" w:space="0"/>
              <w:right w:val="double" w:color="000000" w:sz="4" w:space="0"/>
            </w:tcBorders>
            <w:tcMar>
              <w:top w:w="0" w:type="dxa"/>
              <w:left w:w="0" w:type="dxa"/>
              <w:bottom w:w="0" w:type="dxa"/>
              <w:right w:w="0" w:type="dxa"/>
            </w:tcMar>
            <w:vAlign w:val="top"/>
          </w:tcPr>
          <w:p w14:paraId="6C0B947F">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sz w:val="24"/>
                <w:szCs w:val="24"/>
              </w:rPr>
              <w:t>医院系统改造量一般（需要进行页面调用及字典映射工作）；但实现的功能有限，仅能提供信息填报功能。</w:t>
            </w:r>
          </w:p>
        </w:tc>
      </w:tr>
      <w:tr w14:paraId="10BC67DF">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1055" w:type="dxa"/>
            <w:tcBorders>
              <w:top w:val="single" w:color="000000" w:sz="4" w:space="0"/>
              <w:left w:val="double" w:color="000000" w:sz="4" w:space="0"/>
              <w:bottom w:val="single" w:color="000000" w:sz="4" w:space="0"/>
              <w:right w:val="single" w:color="000000" w:sz="4" w:space="0"/>
            </w:tcBorders>
            <w:tcMar>
              <w:top w:w="0" w:type="dxa"/>
              <w:left w:w="0" w:type="dxa"/>
              <w:bottom w:w="0" w:type="dxa"/>
              <w:right w:w="0" w:type="dxa"/>
            </w:tcMar>
            <w:vAlign w:val="top"/>
          </w:tcPr>
          <w:p w14:paraId="7E07C245">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sz w:val="24"/>
                <w:szCs w:val="24"/>
              </w:rPr>
              <w:t>方式二</w:t>
            </w:r>
          </w:p>
          <w:p w14:paraId="185EA938">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sz w:val="24"/>
                <w:szCs w:val="24"/>
              </w:rPr>
              <w:t>服务接口对接模式</w:t>
            </w:r>
          </w:p>
        </w:tc>
        <w:tc>
          <w:tcPr>
            <w:tcW w:w="2357" w:type="dxa"/>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top"/>
          </w:tcPr>
          <w:p w14:paraId="545D7CBF">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sz w:val="24"/>
                <w:szCs w:val="24"/>
              </w:rPr>
              <w:t>省级精神卫生综合服务平台（严重精神障碍管理）提供统一的服务接口，医院系统开发相应的管理功能模块，并调用省级精神卫生综合服务平台（严重精神障碍管理）提供的接口，实现信息上报、患者查询、信息查询、流转管理等业务。</w:t>
            </w:r>
          </w:p>
        </w:tc>
        <w:tc>
          <w:tcPr>
            <w:tcW w:w="1588" w:type="dxa"/>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top"/>
          </w:tcPr>
          <w:p w14:paraId="30623DF3">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sz w:val="24"/>
                <w:szCs w:val="24"/>
              </w:rPr>
              <w:t>提供统一的服务接口，包括：</w:t>
            </w:r>
          </w:p>
          <w:p w14:paraId="2DB53657">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sz w:val="24"/>
                <w:szCs w:val="24"/>
              </w:rPr>
              <w:t>患者查重接口、报告卡相关接口、出院单相关接口流转相关接口、字典同步接口等。</w:t>
            </w:r>
          </w:p>
        </w:tc>
        <w:tc>
          <w:tcPr>
            <w:tcW w:w="1588" w:type="dxa"/>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top"/>
          </w:tcPr>
          <w:p w14:paraId="77F6849D">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sz w:val="24"/>
                <w:szCs w:val="24"/>
              </w:rPr>
              <w:t>对医院信息进行改造，实现报告卡、出院单、业务流转等功能模块，同时调用省级严重精神障碍管理系统接口进行数据同步。</w:t>
            </w:r>
          </w:p>
        </w:tc>
        <w:tc>
          <w:tcPr>
            <w:tcW w:w="1719" w:type="dxa"/>
            <w:tcBorders>
              <w:top w:val="single" w:color="000000" w:sz="4" w:space="0"/>
              <w:left w:val="single" w:color="000000" w:sz="4" w:space="0"/>
              <w:bottom w:val="single" w:color="000000" w:sz="4" w:space="0"/>
              <w:right w:val="double" w:color="000000" w:sz="4" w:space="0"/>
            </w:tcBorders>
            <w:tcMar>
              <w:top w:w="0" w:type="dxa"/>
              <w:left w:w="0" w:type="dxa"/>
              <w:bottom w:w="0" w:type="dxa"/>
              <w:right w:w="0" w:type="dxa"/>
            </w:tcMar>
            <w:vAlign w:val="top"/>
          </w:tcPr>
          <w:p w14:paraId="291A5D9D">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sz w:val="24"/>
                <w:szCs w:val="24"/>
              </w:rPr>
              <w:t>医院系统改造量较大，需要实现相关患者报卡业务管理功能；但业务流程与医院信息系统的集成程度高，医生可以使用同一系统开展工作，用户体验较好。</w:t>
            </w:r>
          </w:p>
        </w:tc>
      </w:tr>
      <w:tr w14:paraId="621ADD78">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1055" w:type="dxa"/>
            <w:tcBorders>
              <w:top w:val="single" w:color="000000" w:sz="4" w:space="0"/>
              <w:left w:val="double" w:color="000000" w:sz="4" w:space="0"/>
              <w:bottom w:val="double" w:color="000000" w:sz="4" w:space="0"/>
              <w:right w:val="single" w:color="000000" w:sz="4" w:space="0"/>
            </w:tcBorders>
            <w:tcMar>
              <w:top w:w="0" w:type="dxa"/>
              <w:left w:w="0" w:type="dxa"/>
              <w:bottom w:w="0" w:type="dxa"/>
              <w:right w:w="0" w:type="dxa"/>
            </w:tcMar>
            <w:vAlign w:val="top"/>
          </w:tcPr>
          <w:p w14:paraId="069E86C7">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sz w:val="24"/>
                <w:szCs w:val="24"/>
              </w:rPr>
              <w:t>方式三</w:t>
            </w:r>
          </w:p>
          <w:p w14:paraId="0263DEDA">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sz w:val="24"/>
                <w:szCs w:val="24"/>
              </w:rPr>
              <w:t>医院端系统下沉模式</w:t>
            </w:r>
          </w:p>
        </w:tc>
        <w:tc>
          <w:tcPr>
            <w:tcW w:w="2357" w:type="dxa"/>
            <w:tcBorders>
              <w:top w:val="single" w:color="000000" w:sz="4" w:space="0"/>
              <w:left w:val="single" w:color="000000" w:sz="4" w:space="0"/>
              <w:bottom w:val="double" w:color="000000" w:sz="4" w:space="0"/>
              <w:right w:val="single" w:color="000000" w:sz="4" w:space="0"/>
            </w:tcBorders>
            <w:tcMar>
              <w:top w:w="0" w:type="dxa"/>
              <w:left w:w="0" w:type="dxa"/>
              <w:bottom w:w="0" w:type="dxa"/>
              <w:right w:w="0" w:type="dxa"/>
            </w:tcMar>
            <w:vAlign w:val="top"/>
          </w:tcPr>
          <w:p w14:paraId="22E07104">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sz w:val="24"/>
                <w:szCs w:val="24"/>
              </w:rPr>
              <w:t>将省级精神卫生综合服务平台（严重精神障碍管理）中的报卡管理功能模块下沉到医院端，实现报卡管理功能在医院端的部署，并且与医院系统进行集成，可以获取HIS系统中记录，补充信息后完成报卡记录，生成的报卡记录同步到省级严重精神障碍管理系统中。</w:t>
            </w:r>
          </w:p>
        </w:tc>
        <w:tc>
          <w:tcPr>
            <w:tcW w:w="1588" w:type="dxa"/>
            <w:tcBorders>
              <w:top w:val="single" w:color="000000" w:sz="4" w:space="0"/>
              <w:left w:val="single" w:color="000000" w:sz="4" w:space="0"/>
              <w:bottom w:val="double" w:color="000000" w:sz="4" w:space="0"/>
              <w:right w:val="single" w:color="000000" w:sz="4" w:space="0"/>
            </w:tcBorders>
            <w:tcMar>
              <w:top w:w="0" w:type="dxa"/>
              <w:left w:w="0" w:type="dxa"/>
              <w:bottom w:w="0" w:type="dxa"/>
              <w:right w:w="0" w:type="dxa"/>
            </w:tcMar>
            <w:vAlign w:val="top"/>
          </w:tcPr>
          <w:p w14:paraId="0DA52D30">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sz w:val="24"/>
                <w:szCs w:val="24"/>
              </w:rPr>
              <w:t>省级精神卫生综合服务平台（严重精神障碍管理）提供一套可在医院本地化部署的系统，并进行部署、集成等工作。</w:t>
            </w:r>
          </w:p>
        </w:tc>
        <w:tc>
          <w:tcPr>
            <w:tcW w:w="1588" w:type="dxa"/>
            <w:tcBorders>
              <w:top w:val="single" w:color="000000" w:sz="4" w:space="0"/>
              <w:left w:val="single" w:color="000000" w:sz="4" w:space="0"/>
              <w:bottom w:val="double" w:color="000000" w:sz="4" w:space="0"/>
              <w:right w:val="single" w:color="000000" w:sz="4" w:space="0"/>
            </w:tcBorders>
            <w:tcMar>
              <w:top w:w="0" w:type="dxa"/>
              <w:left w:w="0" w:type="dxa"/>
              <w:bottom w:w="0" w:type="dxa"/>
              <w:right w:w="0" w:type="dxa"/>
            </w:tcMar>
            <w:vAlign w:val="top"/>
          </w:tcPr>
          <w:p w14:paraId="7BB118B2">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sz w:val="24"/>
                <w:szCs w:val="24"/>
              </w:rPr>
              <w:t>可以不对医院HIS系统进行改造，医院系统只需开放数据库视图，供下沉系统调用获取诊疗数据，筛选出需报卡的记录。</w:t>
            </w:r>
          </w:p>
        </w:tc>
        <w:tc>
          <w:tcPr>
            <w:tcW w:w="1719" w:type="dxa"/>
            <w:tcBorders>
              <w:top w:val="single" w:color="000000" w:sz="4" w:space="0"/>
              <w:left w:val="single" w:color="000000" w:sz="4" w:space="0"/>
              <w:bottom w:val="double" w:color="000000" w:sz="4" w:space="0"/>
              <w:right w:val="double" w:color="000000" w:sz="4" w:space="0"/>
            </w:tcBorders>
            <w:tcMar>
              <w:top w:w="0" w:type="dxa"/>
              <w:left w:w="0" w:type="dxa"/>
              <w:bottom w:w="0" w:type="dxa"/>
              <w:right w:w="0" w:type="dxa"/>
            </w:tcMar>
            <w:vAlign w:val="top"/>
          </w:tcPr>
          <w:p w14:paraId="3080CF2F">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sz w:val="24"/>
                <w:szCs w:val="24"/>
              </w:rPr>
              <w:t>医院系统改造量小。下沉系统与省级严重精神障碍管理系统保持业务规则一致；但医院需要提供相关的部署设备及网络环境，且需要协调与医院信息系统厂商的配合。</w:t>
            </w:r>
          </w:p>
        </w:tc>
      </w:tr>
    </w:tbl>
    <w:p w14:paraId="005FA5CF">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2.1.6.3.2.2.2.对接内容</w:t>
      </w:r>
    </w:p>
    <w:p w14:paraId="55FBAAB2">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出院单新增接口、出院单修改接口、出院单删除接口、出院单查询接口。</w:t>
      </w:r>
    </w:p>
    <w:p w14:paraId="52AC7314">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2.1.6.3.2.3.其他数据对接</w:t>
      </w:r>
    </w:p>
    <w:p w14:paraId="39869781">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2.1.6.3.2.3.1.对接方式</w:t>
      </w:r>
    </w:p>
    <w:p w14:paraId="4FEDAE2B">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数据中台采用前置交换库的方式，即在机房中设置数据交换前置机（前置机可以联通两个系统，在保证必要的安全防护条件下，实现跨网数据交换），在前置机中部署数据交换中间库，HIS系统定时向前置机中间库中推送写入对接数据，平台也定时读取前置机中间库中的指标数据，并导入到平台信息资源库中。</w:t>
      </w:r>
    </w:p>
    <w:p w14:paraId="131803B2">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2.1.6.3.2.3.2.对接内容</w:t>
      </w:r>
    </w:p>
    <w:p w14:paraId="23E54C38">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获取患者在院内HIS系统中门急诊、住院诊断、用药、手术等信息。</w:t>
      </w:r>
    </w:p>
    <w:p w14:paraId="7126C14D">
      <w:pPr>
        <w:pStyle w:val="6"/>
        <w:keepNext w:val="0"/>
        <w:keepLines w:val="0"/>
        <w:pageBreakBefore w:val="0"/>
        <w:kinsoku/>
        <w:wordWrap/>
        <w:overflowPunct/>
        <w:topLinePunct w:val="0"/>
        <w:autoSpaceDE/>
        <w:autoSpaceDN/>
        <w:bidi w:val="0"/>
        <w:adjustRightInd/>
        <w:snapToGrid/>
        <w:spacing w:line="500" w:lineRule="exact"/>
        <w:ind w:left="855"/>
        <w:jc w:val="both"/>
        <w:textAlignment w:val="auto"/>
        <w:rPr>
          <w:rFonts w:hint="eastAsia" w:ascii="宋体" w:hAnsi="宋体" w:eastAsia="宋体" w:cs="宋体"/>
          <w:sz w:val="24"/>
          <w:szCs w:val="24"/>
        </w:rPr>
      </w:pPr>
      <w:r>
        <w:rPr>
          <w:rFonts w:hint="eastAsia" w:ascii="宋体" w:hAnsi="宋体" w:eastAsia="宋体" w:cs="宋体"/>
          <w:b/>
          <w:sz w:val="24"/>
          <w:szCs w:val="24"/>
        </w:rPr>
        <w:t>2.1.6.3.3.医院LIS系统数据接口(评审项100)</w:t>
      </w:r>
    </w:p>
    <w:p w14:paraId="3E92CC14">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2.1.6.3.3.1.对接方式</w:t>
      </w:r>
    </w:p>
    <w:p w14:paraId="3F5794D8">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数据中台采用前置交换库的方式，即在机房中设置数据交换前置机（前置机可以联通两个系统，在保证必要的安全防护条件下，实现跨网数据交换），在前置机中部署数据交换中间库，LIS系统定时向前置机中间库中推送写入对接数据，平台也定时读取前置机中间库中的指标数据，并导入到平台信息资源库中。</w:t>
      </w:r>
    </w:p>
    <w:p w14:paraId="3535B2C4">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2.1.6.3.3.2.对接内容</w:t>
      </w:r>
    </w:p>
    <w:p w14:paraId="6CF953BA">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获取患者在院内LIS系统中化验项目、明细及结果等信息。</w:t>
      </w:r>
    </w:p>
    <w:p w14:paraId="72921570">
      <w:pPr>
        <w:pStyle w:val="6"/>
        <w:keepNext w:val="0"/>
        <w:keepLines w:val="0"/>
        <w:pageBreakBefore w:val="0"/>
        <w:kinsoku/>
        <w:wordWrap/>
        <w:overflowPunct/>
        <w:topLinePunct w:val="0"/>
        <w:autoSpaceDE/>
        <w:autoSpaceDN/>
        <w:bidi w:val="0"/>
        <w:adjustRightInd/>
        <w:snapToGrid/>
        <w:spacing w:line="500" w:lineRule="exact"/>
        <w:ind w:left="855"/>
        <w:jc w:val="both"/>
        <w:textAlignment w:val="auto"/>
        <w:rPr>
          <w:rFonts w:hint="eastAsia" w:ascii="宋体" w:hAnsi="宋体" w:eastAsia="宋体" w:cs="宋体"/>
          <w:sz w:val="24"/>
          <w:szCs w:val="24"/>
        </w:rPr>
      </w:pPr>
      <w:r>
        <w:rPr>
          <w:rFonts w:hint="eastAsia" w:ascii="宋体" w:hAnsi="宋体" w:eastAsia="宋体" w:cs="宋体"/>
          <w:b/>
          <w:sz w:val="24"/>
          <w:szCs w:val="24"/>
        </w:rPr>
        <w:t>2.1.6.3.4.医院PACS系统数据接口(评审项101)</w:t>
      </w:r>
    </w:p>
    <w:p w14:paraId="2533C780">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2.1.6.3.4.1.对接方式</w:t>
      </w:r>
    </w:p>
    <w:p w14:paraId="2564F66D">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数据中台采用前置交换库的方式，即在机房中设置数据交换前置机（前置机可以联通两个系统，在保证必要的安全防护条件下，实现跨网数据交换），在前置机中部署数据交换中间库，HIS系统定时向前置机中间库中推送写入对接数据，平台也定时读取前置机中间库中的指标数据，并导入到平台信息资源库中。</w:t>
      </w:r>
    </w:p>
    <w:p w14:paraId="2D3C2CBE">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2.1.6.3.4.2.对接内容</w:t>
      </w:r>
    </w:p>
    <w:p w14:paraId="16503E8E">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获取患者在院内PACS系统中检查项目、明细及结果等信息。</w:t>
      </w:r>
    </w:p>
    <w:p w14:paraId="6420A1DF">
      <w:pPr>
        <w:pStyle w:val="6"/>
        <w:keepNext w:val="0"/>
        <w:keepLines w:val="0"/>
        <w:pageBreakBefore w:val="0"/>
        <w:kinsoku/>
        <w:wordWrap/>
        <w:overflowPunct/>
        <w:topLinePunct w:val="0"/>
        <w:autoSpaceDE/>
        <w:autoSpaceDN/>
        <w:bidi w:val="0"/>
        <w:adjustRightInd/>
        <w:snapToGrid/>
        <w:spacing w:line="500" w:lineRule="exact"/>
        <w:ind w:left="855"/>
        <w:jc w:val="both"/>
        <w:textAlignment w:val="auto"/>
        <w:rPr>
          <w:rFonts w:hint="eastAsia" w:ascii="宋体" w:hAnsi="宋体" w:eastAsia="宋体" w:cs="宋体"/>
          <w:sz w:val="24"/>
          <w:szCs w:val="24"/>
        </w:rPr>
      </w:pPr>
      <w:r>
        <w:rPr>
          <w:rFonts w:hint="eastAsia" w:ascii="宋体" w:hAnsi="宋体" w:eastAsia="宋体" w:cs="宋体"/>
          <w:b/>
          <w:sz w:val="24"/>
          <w:szCs w:val="24"/>
        </w:rPr>
        <w:t>2.1.6.3.5.医院系心通智能心理扫描系统数据接口(评审项102)</w:t>
      </w:r>
    </w:p>
    <w:p w14:paraId="213CC836">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2.1.6.3.5.1.对接方式</w:t>
      </w:r>
    </w:p>
    <w:p w14:paraId="387E7404">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数据中台通过HTTP接口的方式对接省级精神卫生综合服务平台。</w:t>
      </w:r>
    </w:p>
    <w:p w14:paraId="05723994">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2.1.6.3.5.2.对接内容</w:t>
      </w:r>
    </w:p>
    <w:p w14:paraId="7C3F0D8F">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在通过医院心理测评软件完成测评后，接收测评软件发送的测评数据，对接数据包括：量表名称、答题明细、测评结果（因子分和总分）等。</w:t>
      </w:r>
    </w:p>
    <w:p w14:paraId="5E01F727">
      <w:pPr>
        <w:pStyle w:val="6"/>
        <w:keepNext w:val="0"/>
        <w:keepLines w:val="0"/>
        <w:pageBreakBefore w:val="0"/>
        <w:kinsoku/>
        <w:wordWrap/>
        <w:overflowPunct/>
        <w:topLinePunct w:val="0"/>
        <w:autoSpaceDE/>
        <w:autoSpaceDN/>
        <w:bidi w:val="0"/>
        <w:adjustRightInd/>
        <w:snapToGrid/>
        <w:spacing w:line="500" w:lineRule="exact"/>
        <w:ind w:left="855"/>
        <w:jc w:val="both"/>
        <w:textAlignment w:val="auto"/>
        <w:rPr>
          <w:rFonts w:hint="eastAsia" w:ascii="宋体" w:hAnsi="宋体" w:eastAsia="宋体" w:cs="宋体"/>
          <w:sz w:val="24"/>
          <w:szCs w:val="24"/>
        </w:rPr>
      </w:pPr>
      <w:r>
        <w:rPr>
          <w:rFonts w:hint="eastAsia" w:ascii="宋体" w:hAnsi="宋体" w:eastAsia="宋体" w:cs="宋体"/>
          <w:b/>
          <w:sz w:val="24"/>
          <w:szCs w:val="24"/>
        </w:rPr>
        <w:t>2.1.6.3.6.医院精神卫生质控中心管理平台数据接口(评审项103)</w:t>
      </w:r>
    </w:p>
    <w:p w14:paraId="5B504826">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2.1.6.3.6.1.资源信息同步</w:t>
      </w:r>
    </w:p>
    <w:p w14:paraId="3838F598">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1.对接方式</w:t>
      </w:r>
    </w:p>
    <w:p w14:paraId="48C35E43">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数据中台在数据交换技术实现方式中，建议采用前置交换库的方式，即在机房中设置数据交换前置机（前置机可以联通两个网络，在保证必要的安全防护条件下，实现跨网数据交换），在前置机中部署数据交换中间库，医院精神卫生质控系统定时向前置机中间库中推送写入对接数据，平台也定时读取前置机中间库中的指标数据，并导入到平台信息资源库中。</w:t>
      </w:r>
    </w:p>
    <w:p w14:paraId="3F44A083">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2.对接内容</w:t>
      </w:r>
    </w:p>
    <w:p w14:paraId="3061D950">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实现精神卫生质控中心管理平台与省级精神卫生综合服务平台之间的用户信息、医疗机构信息等资源信息的同步。</w:t>
      </w:r>
    </w:p>
    <w:p w14:paraId="3A0F9124">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2.1.6.3.6.2.单点登录</w:t>
      </w:r>
    </w:p>
    <w:p w14:paraId="5B2F7511">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统一门户及权限认证管理提供OAuth2.0协议标准接口，应用通过配置或改造调用统一认证服务，满足OAuth2.0协议标准，实现单点登录。</w:t>
      </w:r>
    </w:p>
    <w:p w14:paraId="5693ABBC">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OAuth2.0（开放授权）是一个开放协议标准，允许用户授权第三方应用访问他们存储在另外的服务提供者上的信息，而不需要将用户名和密码提供给第三方应用或分享他们数据的所有内容。</w:t>
      </w:r>
    </w:p>
    <w:p w14:paraId="70158EE1">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1.对接方式</w:t>
      </w:r>
    </w:p>
    <w:p w14:paraId="05BB4C1F">
      <w:pPr>
        <w:pStyle w:val="6"/>
        <w:keepNext w:val="0"/>
        <w:keepLines w:val="0"/>
        <w:pageBreakBefore w:val="0"/>
        <w:numPr>
          <w:ilvl w:val="0"/>
          <w:numId w:val="1"/>
        </w:numPr>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sz w:val="24"/>
          <w:szCs w:val="24"/>
        </w:rPr>
        <w:t>用户访问应用，调用获取授权码接口authorize，重定向到统一认证服务器；</w:t>
      </w:r>
    </w:p>
    <w:p w14:paraId="59F080E4">
      <w:pPr>
        <w:pStyle w:val="6"/>
        <w:keepNext w:val="0"/>
        <w:keepLines w:val="0"/>
        <w:pageBreakBefore w:val="0"/>
        <w:numPr>
          <w:ilvl w:val="0"/>
          <w:numId w:val="1"/>
        </w:numPr>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sz w:val="24"/>
          <w:szCs w:val="24"/>
        </w:rPr>
        <w:t>统一认证服务判断登录状态，未登录，跳转到统一认证登录页面；</w:t>
      </w:r>
    </w:p>
    <w:p w14:paraId="35AAA1F9">
      <w:pPr>
        <w:pStyle w:val="6"/>
        <w:keepNext w:val="0"/>
        <w:keepLines w:val="0"/>
        <w:pageBreakBefore w:val="0"/>
        <w:numPr>
          <w:ilvl w:val="0"/>
          <w:numId w:val="1"/>
        </w:numPr>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sz w:val="24"/>
          <w:szCs w:val="24"/>
        </w:rPr>
        <w:t>输入用户名、密码进行授权确认；授权成功，统一认证服务携带授权码，重定向到指定的回调地址；</w:t>
      </w:r>
    </w:p>
    <w:p w14:paraId="7255014F">
      <w:pPr>
        <w:pStyle w:val="6"/>
        <w:keepNext w:val="0"/>
        <w:keepLines w:val="0"/>
        <w:pageBreakBefore w:val="0"/>
        <w:numPr>
          <w:ilvl w:val="0"/>
          <w:numId w:val="1"/>
        </w:numPr>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sz w:val="24"/>
          <w:szCs w:val="24"/>
        </w:rPr>
        <w:t>应用携带授权码，调用获取授权token接口；统一认证服务校验授权码成功，返回授权token；</w:t>
      </w:r>
    </w:p>
    <w:p w14:paraId="0B8BBB8C">
      <w:pPr>
        <w:pStyle w:val="6"/>
        <w:keepNext w:val="0"/>
        <w:keepLines w:val="0"/>
        <w:pageBreakBefore w:val="0"/>
        <w:numPr>
          <w:ilvl w:val="0"/>
          <w:numId w:val="1"/>
        </w:numPr>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sz w:val="24"/>
          <w:szCs w:val="24"/>
        </w:rPr>
        <w:t>应用携带授权token，调用获取用户信息接口；统一认证服务校验授权token成功，返回用户信息。</w:t>
      </w:r>
    </w:p>
    <w:p w14:paraId="3BD9EB5B">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2.对接内容</w:t>
      </w:r>
    </w:p>
    <w:p w14:paraId="472D0F54">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与精神卫生质控中心管理平台进行单点登录接口对接，统一认证规范进行改造，基于OAuth2认证的。</w:t>
      </w:r>
    </w:p>
    <w:p w14:paraId="155FE52E">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（1）认证授权服务；</w:t>
      </w:r>
    </w:p>
    <w:p w14:paraId="5BB3F9B4">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（2）授权Token获取服务；</w:t>
      </w:r>
    </w:p>
    <w:p w14:paraId="1F091E10">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（3）检查Token返回用户信息。</w:t>
      </w:r>
    </w:p>
    <w:p w14:paraId="5CD2BC66">
      <w:pPr>
        <w:pStyle w:val="6"/>
        <w:keepNext w:val="0"/>
        <w:keepLines w:val="0"/>
        <w:pageBreakBefore w:val="0"/>
        <w:kinsoku/>
        <w:wordWrap/>
        <w:overflowPunct/>
        <w:topLinePunct w:val="0"/>
        <w:autoSpaceDE/>
        <w:autoSpaceDN/>
        <w:bidi w:val="0"/>
        <w:adjustRightInd/>
        <w:snapToGrid/>
        <w:spacing w:line="500" w:lineRule="exact"/>
        <w:ind w:left="570"/>
        <w:jc w:val="both"/>
        <w:textAlignment w:val="auto"/>
        <w:rPr>
          <w:rFonts w:hint="eastAsia" w:ascii="宋体" w:hAnsi="宋体" w:eastAsia="宋体" w:cs="宋体"/>
          <w:sz w:val="24"/>
          <w:szCs w:val="24"/>
        </w:rPr>
      </w:pPr>
      <w:r>
        <w:rPr>
          <w:rFonts w:hint="eastAsia" w:ascii="宋体" w:hAnsi="宋体" w:eastAsia="宋体" w:cs="宋体"/>
          <w:b/>
          <w:sz w:val="24"/>
          <w:szCs w:val="24"/>
        </w:rPr>
        <w:t>2.2.存储、交换机、数据备份、智慧医院建设配套硬件等</w:t>
      </w:r>
    </w:p>
    <w:p w14:paraId="02CDEA5F">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2.2.1.网络系统</w:t>
      </w:r>
    </w:p>
    <w:p w14:paraId="18CD2947">
      <w:pPr>
        <w:pStyle w:val="6"/>
        <w:keepNext w:val="0"/>
        <w:keepLines w:val="0"/>
        <w:pageBreakBefore w:val="0"/>
        <w:kinsoku/>
        <w:wordWrap/>
        <w:overflowPunct/>
        <w:topLinePunct w:val="0"/>
        <w:autoSpaceDE/>
        <w:autoSpaceDN/>
        <w:bidi w:val="0"/>
        <w:adjustRightInd/>
        <w:snapToGrid/>
        <w:spacing w:line="500" w:lineRule="exact"/>
        <w:ind w:left="855"/>
        <w:jc w:val="both"/>
        <w:textAlignment w:val="auto"/>
        <w:rPr>
          <w:rFonts w:hint="eastAsia" w:ascii="宋体" w:hAnsi="宋体" w:eastAsia="宋体" w:cs="宋体"/>
          <w:sz w:val="24"/>
          <w:szCs w:val="24"/>
        </w:rPr>
      </w:pPr>
      <w:r>
        <w:rPr>
          <w:rFonts w:hint="eastAsia" w:ascii="宋体" w:hAnsi="宋体" w:eastAsia="宋体" w:cs="宋体"/>
          <w:b/>
          <w:sz w:val="24"/>
          <w:szCs w:val="24"/>
        </w:rPr>
        <w:t>2.2.1.1.福州市第二总医院网络设施</w:t>
      </w:r>
    </w:p>
    <w:tbl>
      <w:tblPr>
        <w:tblStyle w:val="4"/>
        <w:tblW w:w="0" w:type="auto"/>
        <w:tblInd w:w="0" w:type="dxa"/>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autofit"/>
        <w:tblCellMar>
          <w:top w:w="0" w:type="dxa"/>
          <w:left w:w="108" w:type="dxa"/>
          <w:bottom w:w="0" w:type="dxa"/>
          <w:right w:w="108" w:type="dxa"/>
        </w:tblCellMar>
      </w:tblPr>
      <w:tblGrid>
        <w:gridCol w:w="764"/>
        <w:gridCol w:w="899"/>
        <w:gridCol w:w="4497"/>
        <w:gridCol w:w="703"/>
        <w:gridCol w:w="778"/>
      </w:tblGrid>
      <w:tr w14:paraId="3824A556">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64" w:type="dxa"/>
            <w:tcBorders>
              <w:top w:val="double" w:color="000000" w:sz="4" w:space="0"/>
              <w:left w:val="double" w:color="000000" w:sz="4" w:space="0"/>
              <w:bottom w:val="single" w:color="000000" w:sz="4" w:space="0"/>
              <w:right w:val="single" w:color="000000" w:sz="4" w:space="0"/>
            </w:tcBorders>
            <w:shd w:val="clear" w:color="auto" w:fill="BFBFBF"/>
            <w:tcMar>
              <w:top w:w="0" w:type="dxa"/>
              <w:left w:w="105" w:type="dxa"/>
              <w:bottom w:w="0" w:type="dxa"/>
              <w:right w:w="105" w:type="dxa"/>
            </w:tcMar>
            <w:vAlign w:val="top"/>
          </w:tcPr>
          <w:p w14:paraId="37934F97">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b/>
                <w:sz w:val="24"/>
                <w:szCs w:val="24"/>
              </w:rPr>
              <w:t>编号</w:t>
            </w:r>
          </w:p>
        </w:tc>
        <w:tc>
          <w:tcPr>
            <w:tcW w:w="899" w:type="dxa"/>
            <w:tcBorders>
              <w:top w:val="double" w:color="000000" w:sz="4" w:space="0"/>
              <w:left w:val="single" w:color="000000" w:sz="4" w:space="0"/>
              <w:bottom w:val="single" w:color="000000" w:sz="4" w:space="0"/>
              <w:right w:val="single" w:color="000000" w:sz="4" w:space="0"/>
            </w:tcBorders>
            <w:shd w:val="clear" w:color="auto" w:fill="BFBFBF"/>
            <w:tcMar>
              <w:top w:w="0" w:type="dxa"/>
              <w:left w:w="105" w:type="dxa"/>
              <w:bottom w:w="0" w:type="dxa"/>
              <w:right w:w="105" w:type="dxa"/>
            </w:tcMar>
            <w:vAlign w:val="top"/>
          </w:tcPr>
          <w:p w14:paraId="0F29E313">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b/>
                <w:sz w:val="24"/>
                <w:szCs w:val="24"/>
              </w:rPr>
              <w:t>设备名称</w:t>
            </w:r>
          </w:p>
        </w:tc>
        <w:tc>
          <w:tcPr>
            <w:tcW w:w="4497" w:type="dxa"/>
            <w:tcBorders>
              <w:top w:val="double" w:color="000000" w:sz="4" w:space="0"/>
              <w:left w:val="single" w:color="000000" w:sz="4" w:space="0"/>
              <w:bottom w:val="single" w:color="000000" w:sz="4" w:space="0"/>
              <w:right w:val="single" w:color="000000" w:sz="4" w:space="0"/>
            </w:tcBorders>
            <w:shd w:val="clear" w:color="auto" w:fill="BFBFBF"/>
            <w:tcMar>
              <w:top w:w="0" w:type="dxa"/>
              <w:left w:w="105" w:type="dxa"/>
              <w:bottom w:w="0" w:type="dxa"/>
              <w:right w:w="105" w:type="dxa"/>
            </w:tcMar>
            <w:vAlign w:val="top"/>
          </w:tcPr>
          <w:p w14:paraId="2569BAF8">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b/>
                <w:sz w:val="24"/>
                <w:szCs w:val="24"/>
              </w:rPr>
              <w:t>性能参数要求</w:t>
            </w:r>
          </w:p>
        </w:tc>
        <w:tc>
          <w:tcPr>
            <w:tcW w:w="703" w:type="dxa"/>
            <w:tcBorders>
              <w:top w:val="double" w:color="000000" w:sz="4" w:space="0"/>
              <w:left w:val="single" w:color="000000" w:sz="4" w:space="0"/>
              <w:bottom w:val="single" w:color="000000" w:sz="4" w:space="0"/>
              <w:right w:val="single" w:color="000000" w:sz="4" w:space="0"/>
            </w:tcBorders>
            <w:shd w:val="clear" w:color="auto" w:fill="BFBFBF"/>
            <w:tcMar>
              <w:top w:w="0" w:type="dxa"/>
              <w:left w:w="105" w:type="dxa"/>
              <w:bottom w:w="0" w:type="dxa"/>
              <w:right w:w="105" w:type="dxa"/>
            </w:tcMar>
            <w:vAlign w:val="top"/>
          </w:tcPr>
          <w:p w14:paraId="29245FDD">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b/>
                <w:sz w:val="24"/>
                <w:szCs w:val="24"/>
              </w:rPr>
              <w:t>数量</w:t>
            </w:r>
          </w:p>
        </w:tc>
        <w:tc>
          <w:tcPr>
            <w:tcW w:w="778" w:type="dxa"/>
            <w:tcBorders>
              <w:top w:val="double" w:color="000000" w:sz="4" w:space="0"/>
              <w:left w:val="single" w:color="000000" w:sz="4" w:space="0"/>
              <w:bottom w:val="single" w:color="000000" w:sz="4" w:space="0"/>
              <w:right w:val="double" w:color="000000" w:sz="4" w:space="0"/>
            </w:tcBorders>
            <w:shd w:val="clear" w:color="auto" w:fill="BFBFBF"/>
            <w:tcMar>
              <w:top w:w="0" w:type="dxa"/>
              <w:left w:w="105" w:type="dxa"/>
              <w:bottom w:w="0" w:type="dxa"/>
              <w:right w:w="105" w:type="dxa"/>
            </w:tcMar>
            <w:vAlign w:val="top"/>
          </w:tcPr>
          <w:p w14:paraId="0FA03644">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b/>
                <w:sz w:val="24"/>
                <w:szCs w:val="24"/>
              </w:rPr>
              <w:t>单位</w:t>
            </w:r>
          </w:p>
        </w:tc>
      </w:tr>
      <w:tr w14:paraId="3FAC1B56">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64" w:type="dxa"/>
            <w:tcBorders>
              <w:top w:val="single" w:color="000000" w:sz="4" w:space="0"/>
              <w:left w:val="double" w:color="000000" w:sz="4" w:space="0"/>
              <w:bottom w:val="single" w:color="000000" w:sz="4" w:space="0"/>
              <w:right w:val="single" w:color="000000" w:sz="4" w:space="0"/>
            </w:tcBorders>
            <w:tcMar>
              <w:top w:w="0" w:type="dxa"/>
              <w:left w:w="105" w:type="dxa"/>
              <w:bottom w:w="0" w:type="dxa"/>
              <w:right w:w="105" w:type="dxa"/>
            </w:tcMar>
            <w:vAlign w:val="top"/>
          </w:tcPr>
          <w:p w14:paraId="351A998D">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1</w:t>
            </w:r>
          </w:p>
        </w:tc>
        <w:tc>
          <w:tcPr>
            <w:tcW w:w="899"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438BB010">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外网数据中心交换机(评审项104)</w:t>
            </w:r>
          </w:p>
        </w:tc>
        <w:tc>
          <w:tcPr>
            <w:tcW w:w="4497"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60F15009">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1、交换容量≥672Gbps，包转发率≥126Mpps，静音无风扇；</w:t>
            </w:r>
            <w:r>
              <w:rPr>
                <w:rFonts w:hint="eastAsia" w:ascii="宋体" w:hAnsi="宋体" w:eastAsia="宋体" w:cs="宋体"/>
                <w:sz w:val="24"/>
                <w:szCs w:val="24"/>
              </w:rPr>
              <w:br w:type="textWrapping"/>
            </w:r>
            <w:r>
              <w:rPr>
                <w:rFonts w:hint="eastAsia" w:ascii="宋体" w:hAnsi="宋体" w:eastAsia="宋体" w:cs="宋体"/>
                <w:sz w:val="24"/>
                <w:szCs w:val="24"/>
              </w:rPr>
              <w:t>2、提供≥24个10/100/1000BASE-T电口，提供≥4个1000 BASE-X SFP端口，配置2个千兆单模光模块</w:t>
            </w:r>
            <w:r>
              <w:rPr>
                <w:rFonts w:hint="eastAsia" w:ascii="宋体" w:hAnsi="宋体" w:eastAsia="宋体" w:cs="宋体"/>
                <w:sz w:val="24"/>
                <w:szCs w:val="24"/>
              </w:rPr>
              <w:br w:type="textWrapping"/>
            </w:r>
            <w:r>
              <w:rPr>
                <w:rFonts w:hint="eastAsia" w:ascii="宋体" w:hAnsi="宋体" w:eastAsia="宋体" w:cs="宋体"/>
                <w:sz w:val="24"/>
                <w:szCs w:val="24"/>
              </w:rPr>
              <w:t>3、支持基于端口的VLAN，支持基于协议的VLAN；</w:t>
            </w:r>
            <w:r>
              <w:rPr>
                <w:rFonts w:hint="eastAsia" w:ascii="宋体" w:hAnsi="宋体" w:eastAsia="宋体" w:cs="宋体"/>
                <w:sz w:val="24"/>
                <w:szCs w:val="24"/>
              </w:rPr>
              <w:br w:type="textWrapping"/>
            </w:r>
            <w:r>
              <w:rPr>
                <w:rFonts w:hint="eastAsia" w:ascii="宋体" w:hAnsi="宋体" w:eastAsia="宋体" w:cs="宋体"/>
                <w:sz w:val="24"/>
                <w:szCs w:val="24"/>
              </w:rPr>
              <w:t>4、堆叠链路冗余保护能够快速收敛，收敛时间≤50ms；</w:t>
            </w:r>
            <w:r>
              <w:rPr>
                <w:rFonts w:hint="eastAsia" w:ascii="宋体" w:hAnsi="宋体" w:eastAsia="宋体" w:cs="宋体"/>
                <w:sz w:val="24"/>
                <w:szCs w:val="24"/>
              </w:rPr>
              <w:br w:type="textWrapping"/>
            </w:r>
            <w:r>
              <w:rPr>
                <w:rFonts w:hint="eastAsia" w:ascii="宋体" w:hAnsi="宋体" w:eastAsia="宋体" w:cs="宋体"/>
                <w:sz w:val="24"/>
                <w:szCs w:val="24"/>
              </w:rPr>
              <w:t>5、支持IPv4/IPV6双栈管理和转发，支持静态路由协议和RIP、OSPF等路由协议，支持丰富的管理和安全特性；</w:t>
            </w:r>
            <w:r>
              <w:rPr>
                <w:rFonts w:hint="eastAsia" w:ascii="宋体" w:hAnsi="宋体" w:eastAsia="宋体" w:cs="宋体"/>
                <w:sz w:val="24"/>
                <w:szCs w:val="24"/>
              </w:rPr>
              <w:br w:type="textWrapping"/>
            </w:r>
            <w:r>
              <w:rPr>
                <w:rFonts w:hint="eastAsia" w:ascii="宋体" w:hAnsi="宋体" w:eastAsia="宋体" w:cs="宋体"/>
                <w:sz w:val="24"/>
                <w:szCs w:val="24"/>
              </w:rPr>
              <w:t>6、支持内置智能图形化管理功能，能够实现通过图形化界面设备配置及命令一键下发和版本智能升级，全局配置及网管口配置，设备升级备份、监控及设备故障替换，组网拓扑可视及管理、设备列表展示等功能。</w:t>
            </w:r>
            <w:r>
              <w:rPr>
                <w:rFonts w:hint="eastAsia" w:ascii="宋体" w:hAnsi="宋体" w:eastAsia="宋体" w:cs="宋体"/>
                <w:sz w:val="24"/>
                <w:szCs w:val="24"/>
              </w:rPr>
              <w:br w:type="textWrapping"/>
            </w:r>
            <w:r>
              <w:rPr>
                <w:rFonts w:hint="eastAsia" w:ascii="宋体" w:hAnsi="宋体" w:eastAsia="宋体" w:cs="宋体"/>
                <w:sz w:val="24"/>
                <w:szCs w:val="24"/>
              </w:rPr>
              <w:t>7、交换机管理平台软件支持指定网管与设备通信的IP 地址和 VPN 实例，应对多网隔离、NAT 网络场景；</w:t>
            </w:r>
            <w:r>
              <w:rPr>
                <w:rFonts w:hint="eastAsia" w:ascii="宋体" w:hAnsi="宋体" w:eastAsia="宋体" w:cs="宋体"/>
                <w:sz w:val="24"/>
                <w:szCs w:val="24"/>
              </w:rPr>
              <w:br w:type="textWrapping"/>
            </w:r>
            <w:r>
              <w:rPr>
                <w:rFonts w:hint="eastAsia" w:ascii="宋体" w:hAnsi="宋体" w:eastAsia="宋体" w:cs="宋体"/>
                <w:sz w:val="24"/>
                <w:szCs w:val="24"/>
              </w:rPr>
              <w:t>8、交换机管理平台软件支持运维地图中的资源连线至少支持 5 种不同的展示方式，如直线、曲线、自定义折线等。连线可选择显示名称、链路接口、连线类型、两端设备名称等信息，并可打开流量开关；</w:t>
            </w:r>
          </w:p>
        </w:tc>
        <w:tc>
          <w:tcPr>
            <w:tcW w:w="703"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1E85D87D">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2</w:t>
            </w:r>
          </w:p>
        </w:tc>
        <w:tc>
          <w:tcPr>
            <w:tcW w:w="778" w:type="dxa"/>
            <w:tcBorders>
              <w:top w:val="single" w:color="000000" w:sz="4" w:space="0"/>
              <w:left w:val="single" w:color="000000" w:sz="4" w:space="0"/>
              <w:bottom w:val="single" w:color="000000" w:sz="4" w:space="0"/>
              <w:right w:val="double" w:color="000000" w:sz="4" w:space="0"/>
            </w:tcBorders>
            <w:tcMar>
              <w:top w:w="0" w:type="dxa"/>
              <w:left w:w="105" w:type="dxa"/>
              <w:bottom w:w="0" w:type="dxa"/>
              <w:right w:w="105" w:type="dxa"/>
            </w:tcMar>
            <w:vAlign w:val="top"/>
          </w:tcPr>
          <w:p w14:paraId="285E7CFE">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台</w:t>
            </w:r>
          </w:p>
        </w:tc>
      </w:tr>
      <w:tr w14:paraId="0A2FE905">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64" w:type="dxa"/>
            <w:tcBorders>
              <w:top w:val="single" w:color="000000" w:sz="4" w:space="0"/>
              <w:left w:val="double" w:color="000000" w:sz="4" w:space="0"/>
              <w:bottom w:val="double" w:color="000000" w:sz="4" w:space="0"/>
              <w:right w:val="single" w:color="000000" w:sz="4" w:space="0"/>
            </w:tcBorders>
            <w:tcMar>
              <w:top w:w="0" w:type="dxa"/>
              <w:left w:w="105" w:type="dxa"/>
              <w:bottom w:w="0" w:type="dxa"/>
              <w:right w:w="105" w:type="dxa"/>
            </w:tcMar>
            <w:vAlign w:val="top"/>
          </w:tcPr>
          <w:p w14:paraId="2611896C">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2</w:t>
            </w:r>
          </w:p>
        </w:tc>
        <w:tc>
          <w:tcPr>
            <w:tcW w:w="899" w:type="dxa"/>
            <w:tcBorders>
              <w:top w:val="single" w:color="000000" w:sz="4" w:space="0"/>
              <w:left w:val="single" w:color="000000" w:sz="4" w:space="0"/>
              <w:bottom w:val="double" w:color="000000" w:sz="4" w:space="0"/>
              <w:right w:val="single" w:color="000000" w:sz="4" w:space="0"/>
            </w:tcBorders>
            <w:tcMar>
              <w:top w:w="0" w:type="dxa"/>
              <w:left w:w="105" w:type="dxa"/>
              <w:bottom w:w="0" w:type="dxa"/>
              <w:right w:w="105" w:type="dxa"/>
            </w:tcMar>
            <w:vAlign w:val="top"/>
          </w:tcPr>
          <w:p w14:paraId="312CD6B4">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外网运维管理接入交换机(评审项105)</w:t>
            </w:r>
          </w:p>
        </w:tc>
        <w:tc>
          <w:tcPr>
            <w:tcW w:w="4497" w:type="dxa"/>
            <w:tcBorders>
              <w:top w:val="single" w:color="000000" w:sz="4" w:space="0"/>
              <w:left w:val="single" w:color="000000" w:sz="4" w:space="0"/>
              <w:bottom w:val="double" w:color="000000" w:sz="4" w:space="0"/>
              <w:right w:val="single" w:color="000000" w:sz="4" w:space="0"/>
            </w:tcBorders>
            <w:tcMar>
              <w:top w:w="0" w:type="dxa"/>
              <w:left w:w="105" w:type="dxa"/>
              <w:bottom w:w="0" w:type="dxa"/>
              <w:right w:w="105" w:type="dxa"/>
            </w:tcMar>
            <w:vAlign w:val="top"/>
          </w:tcPr>
          <w:p w14:paraId="792C67DD">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1、交换容量≥688Gbps，包转发率≥171Mpps；</w:t>
            </w:r>
            <w:r>
              <w:rPr>
                <w:rFonts w:hint="eastAsia" w:ascii="宋体" w:hAnsi="宋体" w:eastAsia="宋体" w:cs="宋体"/>
                <w:sz w:val="24"/>
                <w:szCs w:val="24"/>
              </w:rPr>
              <w:br w:type="textWrapping"/>
            </w:r>
            <w:r>
              <w:rPr>
                <w:rFonts w:hint="eastAsia" w:ascii="宋体" w:hAnsi="宋体" w:eastAsia="宋体" w:cs="宋体"/>
                <w:sz w:val="24"/>
                <w:szCs w:val="24"/>
              </w:rPr>
              <w:t>2、提供≥24个100/1000Base-X SFP端口，8个10/100/1000Base-T端口，4个10G/1G SFP+口，配置8个千兆多模光模块，2个万兆多模光模块</w:t>
            </w:r>
            <w:r>
              <w:rPr>
                <w:rFonts w:hint="eastAsia" w:ascii="宋体" w:hAnsi="宋体" w:eastAsia="宋体" w:cs="宋体"/>
                <w:sz w:val="24"/>
                <w:szCs w:val="24"/>
              </w:rPr>
              <w:br w:type="textWrapping"/>
            </w:r>
            <w:r>
              <w:rPr>
                <w:rFonts w:hint="eastAsia" w:ascii="宋体" w:hAnsi="宋体" w:eastAsia="宋体" w:cs="宋体"/>
                <w:sz w:val="24"/>
                <w:szCs w:val="24"/>
              </w:rPr>
              <w:t>3、配置可插拔双电源</w:t>
            </w:r>
            <w:r>
              <w:rPr>
                <w:rFonts w:hint="eastAsia" w:ascii="宋体" w:hAnsi="宋体" w:eastAsia="宋体" w:cs="宋体"/>
                <w:sz w:val="24"/>
                <w:szCs w:val="24"/>
              </w:rPr>
              <w:br w:type="textWrapping"/>
            </w:r>
            <w:r>
              <w:rPr>
                <w:rFonts w:hint="eastAsia" w:ascii="宋体" w:hAnsi="宋体" w:eastAsia="宋体" w:cs="宋体"/>
                <w:sz w:val="24"/>
                <w:szCs w:val="24"/>
              </w:rPr>
              <w:t>4、支持内置智能图形化管理功能，能够实现通过图形化界面设备配置及命令一键下发和版本智能升级，全局配置及网管口配置，设备升级备份、监控及设备故障替换，组网拓扑可视及管理、设备列表展示等功能。</w:t>
            </w:r>
            <w:r>
              <w:rPr>
                <w:rFonts w:hint="eastAsia" w:ascii="宋体" w:hAnsi="宋体" w:eastAsia="宋体" w:cs="宋体"/>
                <w:sz w:val="24"/>
                <w:szCs w:val="24"/>
              </w:rPr>
              <w:br w:type="textWrapping"/>
            </w:r>
            <w:r>
              <w:rPr>
                <w:rFonts w:hint="eastAsia" w:ascii="宋体" w:hAnsi="宋体" w:eastAsia="宋体" w:cs="宋体"/>
                <w:sz w:val="24"/>
                <w:szCs w:val="24"/>
              </w:rPr>
              <w:t>5、支持SAVI功能</w:t>
            </w:r>
            <w:r>
              <w:rPr>
                <w:rFonts w:hint="eastAsia" w:ascii="宋体" w:hAnsi="宋体" w:eastAsia="宋体" w:cs="宋体"/>
                <w:sz w:val="24"/>
                <w:szCs w:val="24"/>
              </w:rPr>
              <w:br w:type="textWrapping"/>
            </w:r>
            <w:r>
              <w:rPr>
                <w:rFonts w:hint="eastAsia" w:ascii="宋体" w:hAnsi="宋体" w:eastAsia="宋体" w:cs="宋体"/>
                <w:sz w:val="24"/>
                <w:szCs w:val="24"/>
              </w:rPr>
              <w:t>6、支持ERPS功能，收敛时间小于50ms</w:t>
            </w:r>
            <w:r>
              <w:rPr>
                <w:rFonts w:hint="eastAsia" w:ascii="宋体" w:hAnsi="宋体" w:eastAsia="宋体" w:cs="宋体"/>
                <w:sz w:val="24"/>
                <w:szCs w:val="24"/>
              </w:rPr>
              <w:br w:type="textWrapping"/>
            </w:r>
            <w:r>
              <w:rPr>
                <w:rFonts w:hint="eastAsia" w:ascii="宋体" w:hAnsi="宋体" w:eastAsia="宋体" w:cs="宋体"/>
                <w:sz w:val="24"/>
                <w:szCs w:val="24"/>
              </w:rPr>
              <w:t>7、支持CPU保护功能</w:t>
            </w:r>
            <w:r>
              <w:rPr>
                <w:rFonts w:hint="eastAsia" w:ascii="宋体" w:hAnsi="宋体" w:eastAsia="宋体" w:cs="宋体"/>
                <w:sz w:val="24"/>
                <w:szCs w:val="24"/>
              </w:rPr>
              <w:br w:type="textWrapping"/>
            </w:r>
            <w:r>
              <w:rPr>
                <w:rFonts w:hint="eastAsia" w:ascii="宋体" w:hAnsi="宋体" w:eastAsia="宋体" w:cs="宋体"/>
                <w:sz w:val="24"/>
                <w:szCs w:val="24"/>
              </w:rPr>
              <w:t>▲8、交换机管理平台软件支持对拓扑图进行多种参数配置，包括图标颜色配置、背景配置、告警配置、自定义拓扑关系配置。</w:t>
            </w:r>
            <w:r>
              <w:rPr>
                <w:rFonts w:hint="eastAsia" w:ascii="宋体" w:hAnsi="宋体" w:eastAsia="宋体" w:cs="宋体"/>
                <w:b/>
                <w:sz w:val="24"/>
                <w:szCs w:val="24"/>
              </w:rPr>
              <w:t>（投标人须提供测试报告进行佐证，测试报告中受检（或委托）单位须为相应产品的制造商或投标人）</w:t>
            </w:r>
          </w:p>
        </w:tc>
        <w:tc>
          <w:tcPr>
            <w:tcW w:w="703" w:type="dxa"/>
            <w:tcBorders>
              <w:top w:val="single" w:color="000000" w:sz="4" w:space="0"/>
              <w:left w:val="single" w:color="000000" w:sz="4" w:space="0"/>
              <w:bottom w:val="double" w:color="000000" w:sz="4" w:space="0"/>
              <w:right w:val="single" w:color="000000" w:sz="4" w:space="0"/>
            </w:tcBorders>
            <w:tcMar>
              <w:top w:w="0" w:type="dxa"/>
              <w:left w:w="105" w:type="dxa"/>
              <w:bottom w:w="0" w:type="dxa"/>
              <w:right w:w="105" w:type="dxa"/>
            </w:tcMar>
            <w:vAlign w:val="top"/>
          </w:tcPr>
          <w:p w14:paraId="0EA27CE9">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2</w:t>
            </w:r>
          </w:p>
        </w:tc>
        <w:tc>
          <w:tcPr>
            <w:tcW w:w="778" w:type="dxa"/>
            <w:tcBorders>
              <w:top w:val="single" w:color="000000" w:sz="4" w:space="0"/>
              <w:left w:val="single" w:color="000000" w:sz="4" w:space="0"/>
              <w:bottom w:val="double" w:color="000000" w:sz="4" w:space="0"/>
              <w:right w:val="double" w:color="000000" w:sz="4" w:space="0"/>
            </w:tcBorders>
            <w:tcMar>
              <w:top w:w="0" w:type="dxa"/>
              <w:left w:w="105" w:type="dxa"/>
              <w:bottom w:w="0" w:type="dxa"/>
              <w:right w:w="105" w:type="dxa"/>
            </w:tcMar>
            <w:vAlign w:val="top"/>
          </w:tcPr>
          <w:p w14:paraId="0AC3FF36">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台</w:t>
            </w:r>
          </w:p>
        </w:tc>
      </w:tr>
    </w:tbl>
    <w:p w14:paraId="0F5CA503">
      <w:pPr>
        <w:pStyle w:val="6"/>
        <w:keepNext w:val="0"/>
        <w:keepLines w:val="0"/>
        <w:pageBreakBefore w:val="0"/>
        <w:kinsoku/>
        <w:wordWrap/>
        <w:overflowPunct/>
        <w:topLinePunct w:val="0"/>
        <w:autoSpaceDE/>
        <w:autoSpaceDN/>
        <w:bidi w:val="0"/>
        <w:adjustRightInd/>
        <w:snapToGrid/>
        <w:spacing w:line="500" w:lineRule="exact"/>
        <w:ind w:firstLine="480"/>
        <w:jc w:val="left"/>
        <w:textAlignment w:val="auto"/>
        <w:rPr>
          <w:rFonts w:hint="eastAsia" w:ascii="宋体" w:hAnsi="宋体" w:eastAsia="宋体" w:cs="宋体"/>
          <w:sz w:val="24"/>
          <w:szCs w:val="24"/>
        </w:rPr>
      </w:pPr>
      <w:r>
        <w:rPr>
          <w:rFonts w:hint="eastAsia" w:ascii="宋体" w:hAnsi="宋体" w:eastAsia="宋体" w:cs="宋体"/>
          <w:b/>
          <w:sz w:val="24"/>
          <w:szCs w:val="24"/>
        </w:rPr>
        <w:t>2.2.1.2.福州市第二总医院神经精神病防治院网络设施</w:t>
      </w:r>
    </w:p>
    <w:tbl>
      <w:tblPr>
        <w:tblStyle w:val="4"/>
        <w:tblW w:w="0" w:type="auto"/>
        <w:tblInd w:w="0" w:type="dxa"/>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autofit"/>
        <w:tblCellMar>
          <w:top w:w="0" w:type="dxa"/>
          <w:left w:w="108" w:type="dxa"/>
          <w:bottom w:w="0" w:type="dxa"/>
          <w:right w:w="108" w:type="dxa"/>
        </w:tblCellMar>
      </w:tblPr>
      <w:tblGrid>
        <w:gridCol w:w="593"/>
        <w:gridCol w:w="1193"/>
        <w:gridCol w:w="4530"/>
        <w:gridCol w:w="708"/>
        <w:gridCol w:w="784"/>
      </w:tblGrid>
      <w:tr w14:paraId="105E5AF7">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593" w:type="dxa"/>
            <w:tcBorders>
              <w:top w:val="double" w:color="000000" w:sz="4" w:space="0"/>
              <w:left w:val="double" w:color="000000" w:sz="4" w:space="0"/>
              <w:bottom w:val="single" w:color="000000" w:sz="4" w:space="0"/>
              <w:right w:val="single" w:color="000000" w:sz="4" w:space="0"/>
            </w:tcBorders>
            <w:shd w:val="clear" w:color="auto" w:fill="BFBFBF"/>
            <w:tcMar>
              <w:top w:w="0" w:type="dxa"/>
              <w:left w:w="105" w:type="dxa"/>
              <w:bottom w:w="0" w:type="dxa"/>
              <w:right w:w="105" w:type="dxa"/>
            </w:tcMar>
            <w:vAlign w:val="top"/>
          </w:tcPr>
          <w:p w14:paraId="1D98521F">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b/>
                <w:sz w:val="24"/>
                <w:szCs w:val="24"/>
              </w:rPr>
              <w:t>编号</w:t>
            </w:r>
          </w:p>
        </w:tc>
        <w:tc>
          <w:tcPr>
            <w:tcW w:w="1193" w:type="dxa"/>
            <w:tcBorders>
              <w:top w:val="double" w:color="000000" w:sz="4" w:space="0"/>
              <w:left w:val="single" w:color="000000" w:sz="4" w:space="0"/>
              <w:bottom w:val="single" w:color="000000" w:sz="4" w:space="0"/>
              <w:right w:val="single" w:color="000000" w:sz="4" w:space="0"/>
            </w:tcBorders>
            <w:shd w:val="clear" w:color="auto" w:fill="BFBFBF"/>
            <w:tcMar>
              <w:top w:w="0" w:type="dxa"/>
              <w:left w:w="105" w:type="dxa"/>
              <w:bottom w:w="0" w:type="dxa"/>
              <w:right w:w="105" w:type="dxa"/>
            </w:tcMar>
            <w:vAlign w:val="top"/>
          </w:tcPr>
          <w:p w14:paraId="6FACF6A2">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b/>
                <w:sz w:val="24"/>
                <w:szCs w:val="24"/>
              </w:rPr>
              <w:t>设备名称</w:t>
            </w:r>
          </w:p>
        </w:tc>
        <w:tc>
          <w:tcPr>
            <w:tcW w:w="4416" w:type="dxa"/>
            <w:tcBorders>
              <w:top w:val="double" w:color="000000" w:sz="4" w:space="0"/>
              <w:left w:val="single" w:color="000000" w:sz="4" w:space="0"/>
              <w:bottom w:val="single" w:color="000000" w:sz="4" w:space="0"/>
              <w:right w:val="single" w:color="000000" w:sz="4" w:space="0"/>
            </w:tcBorders>
            <w:shd w:val="clear" w:color="auto" w:fill="BFBFBF"/>
            <w:tcMar>
              <w:top w:w="0" w:type="dxa"/>
              <w:left w:w="105" w:type="dxa"/>
              <w:bottom w:w="0" w:type="dxa"/>
              <w:right w:w="105" w:type="dxa"/>
            </w:tcMar>
            <w:vAlign w:val="top"/>
          </w:tcPr>
          <w:p w14:paraId="53D0FBAC">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b/>
                <w:sz w:val="24"/>
                <w:szCs w:val="24"/>
              </w:rPr>
              <w:t>性能参数要求</w:t>
            </w:r>
          </w:p>
        </w:tc>
        <w:tc>
          <w:tcPr>
            <w:tcW w:w="708" w:type="dxa"/>
            <w:tcBorders>
              <w:top w:val="double" w:color="000000" w:sz="4" w:space="0"/>
              <w:left w:val="single" w:color="000000" w:sz="4" w:space="0"/>
              <w:bottom w:val="single" w:color="000000" w:sz="4" w:space="0"/>
              <w:right w:val="single" w:color="000000" w:sz="4" w:space="0"/>
            </w:tcBorders>
            <w:shd w:val="clear" w:color="auto" w:fill="BFBFBF"/>
            <w:tcMar>
              <w:top w:w="0" w:type="dxa"/>
              <w:left w:w="105" w:type="dxa"/>
              <w:bottom w:w="0" w:type="dxa"/>
              <w:right w:w="105" w:type="dxa"/>
            </w:tcMar>
            <w:vAlign w:val="top"/>
          </w:tcPr>
          <w:p w14:paraId="4581E5CF">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b/>
                <w:sz w:val="24"/>
                <w:szCs w:val="24"/>
              </w:rPr>
              <w:t>数量</w:t>
            </w:r>
          </w:p>
        </w:tc>
        <w:tc>
          <w:tcPr>
            <w:tcW w:w="784" w:type="dxa"/>
            <w:tcBorders>
              <w:top w:val="double" w:color="000000" w:sz="4" w:space="0"/>
              <w:left w:val="single" w:color="000000" w:sz="4" w:space="0"/>
              <w:bottom w:val="single" w:color="000000" w:sz="4" w:space="0"/>
              <w:right w:val="double" w:color="000000" w:sz="4" w:space="0"/>
            </w:tcBorders>
            <w:shd w:val="clear" w:color="auto" w:fill="BFBFBF"/>
            <w:tcMar>
              <w:top w:w="0" w:type="dxa"/>
              <w:left w:w="105" w:type="dxa"/>
              <w:bottom w:w="0" w:type="dxa"/>
              <w:right w:w="105" w:type="dxa"/>
            </w:tcMar>
            <w:vAlign w:val="top"/>
          </w:tcPr>
          <w:p w14:paraId="1EE25067">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b/>
                <w:sz w:val="24"/>
                <w:szCs w:val="24"/>
              </w:rPr>
              <w:t>单位</w:t>
            </w:r>
          </w:p>
        </w:tc>
      </w:tr>
      <w:tr w14:paraId="5E7F4B16">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593" w:type="dxa"/>
            <w:tcBorders>
              <w:top w:val="single" w:color="000000" w:sz="4" w:space="0"/>
              <w:left w:val="double" w:color="000000" w:sz="4" w:space="0"/>
              <w:bottom w:val="single" w:color="000000" w:sz="4" w:space="0"/>
              <w:right w:val="single" w:color="000000" w:sz="4" w:space="0"/>
            </w:tcBorders>
            <w:tcMar>
              <w:top w:w="0" w:type="dxa"/>
              <w:left w:w="105" w:type="dxa"/>
              <w:bottom w:w="0" w:type="dxa"/>
              <w:right w:w="105" w:type="dxa"/>
            </w:tcMar>
            <w:vAlign w:val="top"/>
          </w:tcPr>
          <w:p w14:paraId="2D21FB5E">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1</w:t>
            </w:r>
          </w:p>
        </w:tc>
        <w:tc>
          <w:tcPr>
            <w:tcW w:w="1193"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33DA5CCA">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内网运维管理接入交换机(评审项106)</w:t>
            </w:r>
          </w:p>
        </w:tc>
        <w:tc>
          <w:tcPr>
            <w:tcW w:w="4416"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02EF5F63">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1、交换容量≥672Gbps，包转发率≥126Mpps，静音无风扇；</w:t>
            </w:r>
            <w:r>
              <w:rPr>
                <w:rFonts w:hint="eastAsia" w:ascii="宋体" w:hAnsi="宋体" w:eastAsia="宋体" w:cs="宋体"/>
                <w:sz w:val="24"/>
                <w:szCs w:val="24"/>
              </w:rPr>
              <w:br w:type="textWrapping"/>
            </w:r>
            <w:r>
              <w:rPr>
                <w:rFonts w:hint="eastAsia" w:ascii="宋体" w:hAnsi="宋体" w:eastAsia="宋体" w:cs="宋体"/>
                <w:sz w:val="24"/>
                <w:szCs w:val="24"/>
              </w:rPr>
              <w:t>2、提供≥24个10/100/1000BASE-T电口，提供≥4个1000 BASE-X SFP端口，配置2个千兆单模光模块</w:t>
            </w:r>
            <w:r>
              <w:rPr>
                <w:rFonts w:hint="eastAsia" w:ascii="宋体" w:hAnsi="宋体" w:eastAsia="宋体" w:cs="宋体"/>
                <w:sz w:val="24"/>
                <w:szCs w:val="24"/>
              </w:rPr>
              <w:br w:type="textWrapping"/>
            </w:r>
            <w:r>
              <w:rPr>
                <w:rFonts w:hint="eastAsia" w:ascii="宋体" w:hAnsi="宋体" w:eastAsia="宋体" w:cs="宋体"/>
                <w:sz w:val="24"/>
                <w:szCs w:val="24"/>
              </w:rPr>
              <w:t>3、支持基于端口的VLAN，支持基于协议的VLAN；</w:t>
            </w:r>
            <w:r>
              <w:rPr>
                <w:rFonts w:hint="eastAsia" w:ascii="宋体" w:hAnsi="宋体" w:eastAsia="宋体" w:cs="宋体"/>
                <w:sz w:val="24"/>
                <w:szCs w:val="24"/>
              </w:rPr>
              <w:br w:type="textWrapping"/>
            </w:r>
            <w:r>
              <w:rPr>
                <w:rFonts w:hint="eastAsia" w:ascii="宋体" w:hAnsi="宋体" w:eastAsia="宋体" w:cs="宋体"/>
                <w:sz w:val="24"/>
                <w:szCs w:val="24"/>
              </w:rPr>
              <w:t>4、堆叠链路冗余保护能够快速收敛，收敛时间≤50ms；</w:t>
            </w:r>
            <w:r>
              <w:rPr>
                <w:rFonts w:hint="eastAsia" w:ascii="宋体" w:hAnsi="宋体" w:eastAsia="宋体" w:cs="宋体"/>
                <w:sz w:val="24"/>
                <w:szCs w:val="24"/>
              </w:rPr>
              <w:br w:type="textWrapping"/>
            </w:r>
            <w:r>
              <w:rPr>
                <w:rFonts w:hint="eastAsia" w:ascii="宋体" w:hAnsi="宋体" w:eastAsia="宋体" w:cs="宋体"/>
                <w:sz w:val="24"/>
                <w:szCs w:val="24"/>
              </w:rPr>
              <w:t>5、支持IPv4/IPV6双栈管理和转发，支持静态路由协议和RIP、OSPF等路由协议，支持丰富的管理和安全特性；</w:t>
            </w:r>
            <w:r>
              <w:rPr>
                <w:rFonts w:hint="eastAsia" w:ascii="宋体" w:hAnsi="宋体" w:eastAsia="宋体" w:cs="宋体"/>
                <w:sz w:val="24"/>
                <w:szCs w:val="24"/>
              </w:rPr>
              <w:br w:type="textWrapping"/>
            </w:r>
            <w:r>
              <w:rPr>
                <w:rFonts w:hint="eastAsia" w:ascii="宋体" w:hAnsi="宋体" w:eastAsia="宋体" w:cs="宋体"/>
                <w:sz w:val="24"/>
                <w:szCs w:val="24"/>
              </w:rPr>
              <w:t>6、支持内置智能图形化管理功能，能够实现通过图形化界面设备配置及命令一键下发和版本智能升级，全局配置及网管口配置，设备升级备份、监控及设备故障替换，组网拓扑可视及管理、设备列表展示等功能。</w:t>
            </w:r>
            <w:r>
              <w:rPr>
                <w:rFonts w:hint="eastAsia" w:ascii="宋体" w:hAnsi="宋体" w:eastAsia="宋体" w:cs="宋体"/>
                <w:sz w:val="24"/>
                <w:szCs w:val="24"/>
              </w:rPr>
              <w:br w:type="textWrapping"/>
            </w:r>
            <w:r>
              <w:rPr>
                <w:rFonts w:hint="eastAsia" w:ascii="宋体" w:hAnsi="宋体" w:eastAsia="宋体" w:cs="宋体"/>
                <w:sz w:val="24"/>
                <w:szCs w:val="24"/>
              </w:rPr>
              <w:t>7、交换机管理平台软件支持指定网管与设备通信的IP 地址和 VPN 实例，应对多网隔离、NAT 网络场景。</w:t>
            </w:r>
            <w:r>
              <w:rPr>
                <w:rFonts w:hint="eastAsia" w:ascii="宋体" w:hAnsi="宋体" w:eastAsia="宋体" w:cs="宋体"/>
                <w:sz w:val="24"/>
                <w:szCs w:val="24"/>
              </w:rPr>
              <w:br w:type="textWrapping"/>
            </w:r>
            <w:r>
              <w:rPr>
                <w:rFonts w:hint="eastAsia" w:ascii="宋体" w:hAnsi="宋体" w:eastAsia="宋体" w:cs="宋体"/>
                <w:sz w:val="24"/>
                <w:szCs w:val="24"/>
              </w:rPr>
              <w:t>8、交换机管理平台软件支持运维地图中的资源连线至少支持 5 种不同的展示方式，如直线、曲线、自定义折线等。连线可选择显示名称、链路接口、连线类型、两端设备名称等信息，并可打开流量开关。</w:t>
            </w:r>
          </w:p>
        </w:tc>
        <w:tc>
          <w:tcPr>
            <w:tcW w:w="708"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5AA734A0">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2</w:t>
            </w:r>
          </w:p>
        </w:tc>
        <w:tc>
          <w:tcPr>
            <w:tcW w:w="784" w:type="dxa"/>
            <w:tcBorders>
              <w:top w:val="single" w:color="000000" w:sz="4" w:space="0"/>
              <w:left w:val="single" w:color="000000" w:sz="4" w:space="0"/>
              <w:bottom w:val="single" w:color="000000" w:sz="4" w:space="0"/>
              <w:right w:val="double" w:color="000000" w:sz="4" w:space="0"/>
            </w:tcBorders>
            <w:tcMar>
              <w:top w:w="0" w:type="dxa"/>
              <w:left w:w="105" w:type="dxa"/>
              <w:bottom w:w="0" w:type="dxa"/>
              <w:right w:w="105" w:type="dxa"/>
            </w:tcMar>
            <w:vAlign w:val="top"/>
          </w:tcPr>
          <w:p w14:paraId="731DAFD2">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台</w:t>
            </w:r>
          </w:p>
        </w:tc>
      </w:tr>
      <w:tr w14:paraId="5ED8D065">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593" w:type="dxa"/>
            <w:tcBorders>
              <w:top w:val="single" w:color="000000" w:sz="4" w:space="0"/>
              <w:left w:val="double" w:color="000000" w:sz="4" w:space="0"/>
              <w:bottom w:val="single" w:color="000000" w:sz="4" w:space="0"/>
              <w:right w:val="single" w:color="000000" w:sz="4" w:space="0"/>
            </w:tcBorders>
            <w:tcMar>
              <w:top w:w="0" w:type="dxa"/>
              <w:left w:w="105" w:type="dxa"/>
              <w:bottom w:w="0" w:type="dxa"/>
              <w:right w:w="105" w:type="dxa"/>
            </w:tcMar>
            <w:vAlign w:val="top"/>
          </w:tcPr>
          <w:p w14:paraId="739C2DC8">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2</w:t>
            </w:r>
          </w:p>
        </w:tc>
        <w:tc>
          <w:tcPr>
            <w:tcW w:w="1193"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2457AE1F">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内网数据中心交换机(评审项107)</w:t>
            </w:r>
          </w:p>
        </w:tc>
        <w:tc>
          <w:tcPr>
            <w:tcW w:w="4416"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4C630F1B">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1、交换容量≥2.56Tbps，包转发率≥720Mpps（官网最小值），支持≥2个电源插槽,≥2个风扇插槽,≥2个接口扩展槽位。</w:t>
            </w:r>
            <w:r>
              <w:rPr>
                <w:rFonts w:hint="eastAsia" w:ascii="宋体" w:hAnsi="宋体" w:eastAsia="宋体" w:cs="宋体"/>
                <w:sz w:val="24"/>
                <w:szCs w:val="24"/>
              </w:rPr>
              <w:br w:type="textWrapping"/>
            </w:r>
            <w:r>
              <w:rPr>
                <w:rFonts w:hint="eastAsia" w:ascii="宋体" w:hAnsi="宋体" w:eastAsia="宋体" w:cs="宋体"/>
                <w:sz w:val="24"/>
                <w:szCs w:val="24"/>
              </w:rPr>
              <w:t>2、提供≥24个1/10G SFP Plus端口，≥2个QSFP+端口，配置8个万兆多模模块。</w:t>
            </w:r>
            <w:r>
              <w:rPr>
                <w:rFonts w:hint="eastAsia" w:ascii="宋体" w:hAnsi="宋体" w:eastAsia="宋体" w:cs="宋体"/>
                <w:sz w:val="24"/>
                <w:szCs w:val="24"/>
              </w:rPr>
              <w:br w:type="textWrapping"/>
            </w:r>
            <w:r>
              <w:rPr>
                <w:rFonts w:hint="eastAsia" w:ascii="宋体" w:hAnsi="宋体" w:eastAsia="宋体" w:cs="宋体"/>
                <w:sz w:val="24"/>
                <w:szCs w:val="24"/>
              </w:rPr>
              <w:t>3、支持M-LAG（MultichassisLinkAggregationGroup）跨设备链路聚合技术；</w:t>
            </w:r>
            <w:r>
              <w:rPr>
                <w:rFonts w:hint="eastAsia" w:ascii="宋体" w:hAnsi="宋体" w:eastAsia="宋体" w:cs="宋体"/>
                <w:sz w:val="24"/>
                <w:szCs w:val="24"/>
              </w:rPr>
              <w:br w:type="textWrapping"/>
            </w:r>
            <w:r>
              <w:rPr>
                <w:rFonts w:hint="eastAsia" w:ascii="宋体" w:hAnsi="宋体" w:eastAsia="宋体" w:cs="宋体"/>
                <w:sz w:val="24"/>
                <w:szCs w:val="24"/>
              </w:rPr>
              <w:t>4、支持业界10KV业务端口防雷能力；</w:t>
            </w:r>
            <w:r>
              <w:rPr>
                <w:rFonts w:hint="eastAsia" w:ascii="宋体" w:hAnsi="宋体" w:eastAsia="宋体" w:cs="宋体"/>
                <w:sz w:val="24"/>
                <w:szCs w:val="24"/>
              </w:rPr>
              <w:br w:type="textWrapping"/>
            </w:r>
            <w:r>
              <w:rPr>
                <w:rFonts w:hint="eastAsia" w:ascii="宋体" w:hAnsi="宋体" w:eastAsia="宋体" w:cs="宋体"/>
                <w:sz w:val="24"/>
                <w:szCs w:val="24"/>
              </w:rPr>
              <w:t>5、支持硬件层级双boot，采用两个FLASH芯片存储boot软件（系统引导程序），实现硬件级boot冗余备份；</w:t>
            </w:r>
            <w:r>
              <w:rPr>
                <w:rFonts w:hint="eastAsia" w:ascii="宋体" w:hAnsi="宋体" w:eastAsia="宋体" w:cs="宋体"/>
                <w:sz w:val="24"/>
                <w:szCs w:val="24"/>
              </w:rPr>
              <w:br w:type="textWrapping"/>
            </w:r>
            <w:r>
              <w:rPr>
                <w:rFonts w:hint="eastAsia" w:ascii="宋体" w:hAnsi="宋体" w:eastAsia="宋体" w:cs="宋体"/>
                <w:sz w:val="24"/>
                <w:szCs w:val="24"/>
              </w:rPr>
              <w:t>6、支持扩展防火墙模块、NetStream接口模块等多种接口模块；</w:t>
            </w:r>
            <w:r>
              <w:rPr>
                <w:rFonts w:hint="eastAsia" w:ascii="宋体" w:hAnsi="宋体" w:eastAsia="宋体" w:cs="宋体"/>
                <w:sz w:val="24"/>
                <w:szCs w:val="24"/>
              </w:rPr>
              <w:br w:type="textWrapping"/>
            </w:r>
            <w:r>
              <w:rPr>
                <w:rFonts w:hint="eastAsia" w:ascii="宋体" w:hAnsi="宋体" w:eastAsia="宋体" w:cs="宋体"/>
                <w:sz w:val="24"/>
                <w:szCs w:val="24"/>
              </w:rPr>
              <w:t>7、支持以设备内置及图形化操作的方式，实现对网络的统一运维及管理，支持设备角色选定、FTP服务器配置、全局配置及网管口配置；组管理、设备或组升级备份、监控及设备故障替换；组网拓扑可视及管理、设备列表展示等功能</w:t>
            </w:r>
            <w:r>
              <w:rPr>
                <w:rFonts w:hint="eastAsia" w:ascii="宋体" w:hAnsi="宋体" w:eastAsia="宋体" w:cs="宋体"/>
                <w:sz w:val="24"/>
                <w:szCs w:val="24"/>
              </w:rPr>
              <w:br w:type="textWrapping"/>
            </w:r>
            <w:r>
              <w:rPr>
                <w:rFonts w:hint="eastAsia" w:ascii="宋体" w:hAnsi="宋体" w:eastAsia="宋体" w:cs="宋体"/>
                <w:sz w:val="24"/>
                <w:szCs w:val="24"/>
              </w:rPr>
              <w:t>8、交换机管理平台软件为让资源拓扑有更友好的辨识度，需支持将一类资源按照某个维度拆分成多个子资源，并为每个子资源设置不同的拓扑图标和Tips 显示内容，例如将“操作系统 ”这一类资源类型拆分成 windows、linux、AIX、 HP-UX 等子资源，并各自使用不同的 logo。</w:t>
            </w:r>
            <w:r>
              <w:rPr>
                <w:rFonts w:hint="eastAsia" w:ascii="宋体" w:hAnsi="宋体" w:eastAsia="宋体" w:cs="宋体"/>
                <w:sz w:val="24"/>
                <w:szCs w:val="24"/>
              </w:rPr>
              <w:br w:type="textWrapping"/>
            </w:r>
            <w:r>
              <w:rPr>
                <w:rFonts w:hint="eastAsia" w:ascii="宋体" w:hAnsi="宋体" w:eastAsia="宋体" w:cs="宋体"/>
                <w:sz w:val="24"/>
                <w:szCs w:val="24"/>
              </w:rPr>
              <w:t>▲9、交换机管理平台软件支持 Server-proxy 模式，可扩展 100+子园区(proxy)，在总部(Server)端统一管控。</w:t>
            </w:r>
            <w:r>
              <w:rPr>
                <w:rFonts w:hint="eastAsia" w:ascii="宋体" w:hAnsi="宋体" w:eastAsia="宋体" w:cs="宋体"/>
                <w:b/>
                <w:sz w:val="24"/>
                <w:szCs w:val="24"/>
              </w:rPr>
              <w:t>（投标人须提供测试报告进行佐证，测试报告中受检（或委托）单位须为相应产品的制造商或投标人）</w:t>
            </w:r>
          </w:p>
        </w:tc>
        <w:tc>
          <w:tcPr>
            <w:tcW w:w="708"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522DD8A3">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2</w:t>
            </w:r>
          </w:p>
        </w:tc>
        <w:tc>
          <w:tcPr>
            <w:tcW w:w="784" w:type="dxa"/>
            <w:tcBorders>
              <w:top w:val="single" w:color="000000" w:sz="4" w:space="0"/>
              <w:left w:val="single" w:color="000000" w:sz="4" w:space="0"/>
              <w:bottom w:val="single" w:color="000000" w:sz="4" w:space="0"/>
              <w:right w:val="double" w:color="000000" w:sz="4" w:space="0"/>
            </w:tcBorders>
            <w:tcMar>
              <w:top w:w="0" w:type="dxa"/>
              <w:left w:w="105" w:type="dxa"/>
              <w:bottom w:w="0" w:type="dxa"/>
              <w:right w:w="105" w:type="dxa"/>
            </w:tcMar>
            <w:vAlign w:val="top"/>
          </w:tcPr>
          <w:p w14:paraId="414297DD">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台</w:t>
            </w:r>
          </w:p>
        </w:tc>
      </w:tr>
      <w:tr w14:paraId="10381243">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593" w:type="dxa"/>
            <w:tcBorders>
              <w:top w:val="single" w:color="000000" w:sz="4" w:space="0"/>
              <w:left w:val="double" w:color="000000" w:sz="4" w:space="0"/>
              <w:bottom w:val="double" w:color="000000" w:sz="4" w:space="0"/>
              <w:right w:val="single" w:color="000000" w:sz="4" w:space="0"/>
            </w:tcBorders>
            <w:tcMar>
              <w:top w:w="0" w:type="dxa"/>
              <w:left w:w="105" w:type="dxa"/>
              <w:bottom w:w="0" w:type="dxa"/>
              <w:right w:w="105" w:type="dxa"/>
            </w:tcMar>
            <w:vAlign w:val="top"/>
          </w:tcPr>
          <w:p w14:paraId="7F29324F">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3</w:t>
            </w:r>
          </w:p>
        </w:tc>
        <w:tc>
          <w:tcPr>
            <w:tcW w:w="1193" w:type="dxa"/>
            <w:tcBorders>
              <w:top w:val="single" w:color="000000" w:sz="4" w:space="0"/>
              <w:left w:val="single" w:color="000000" w:sz="4" w:space="0"/>
              <w:bottom w:val="double" w:color="000000" w:sz="4" w:space="0"/>
              <w:right w:val="single" w:color="000000" w:sz="4" w:space="0"/>
            </w:tcBorders>
            <w:tcMar>
              <w:top w:w="0" w:type="dxa"/>
              <w:left w:w="105" w:type="dxa"/>
              <w:bottom w:w="0" w:type="dxa"/>
              <w:right w:w="105" w:type="dxa"/>
            </w:tcMar>
            <w:vAlign w:val="top"/>
          </w:tcPr>
          <w:p w14:paraId="59739163">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光纤交换机(评审项108)</w:t>
            </w:r>
          </w:p>
        </w:tc>
        <w:tc>
          <w:tcPr>
            <w:tcW w:w="4416" w:type="dxa"/>
            <w:tcBorders>
              <w:top w:val="single" w:color="000000" w:sz="4" w:space="0"/>
              <w:left w:val="single" w:color="000000" w:sz="4" w:space="0"/>
              <w:bottom w:val="double" w:color="000000" w:sz="4" w:space="0"/>
              <w:right w:val="single" w:color="000000" w:sz="4" w:space="0"/>
            </w:tcBorders>
            <w:tcMar>
              <w:top w:w="0" w:type="dxa"/>
              <w:left w:w="105" w:type="dxa"/>
              <w:bottom w:w="0" w:type="dxa"/>
              <w:right w:w="105" w:type="dxa"/>
            </w:tcMar>
            <w:vAlign w:val="top"/>
          </w:tcPr>
          <w:p w14:paraId="19CC4A79">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1、端口数量：最大可扩展端口≥24。</w:t>
            </w:r>
            <w:r>
              <w:rPr>
                <w:rFonts w:hint="eastAsia" w:ascii="宋体" w:hAnsi="宋体" w:eastAsia="宋体" w:cs="宋体"/>
                <w:sz w:val="24"/>
                <w:szCs w:val="24"/>
              </w:rPr>
              <w:br w:type="textWrapping"/>
            </w:r>
            <w:r>
              <w:rPr>
                <w:rFonts w:hint="eastAsia" w:ascii="宋体" w:hAnsi="宋体" w:eastAsia="宋体" w:cs="宋体"/>
                <w:sz w:val="24"/>
                <w:szCs w:val="24"/>
              </w:rPr>
              <w:t>2、端口速率：端口速率32Gbps。</w:t>
            </w:r>
            <w:r>
              <w:rPr>
                <w:rFonts w:hint="eastAsia" w:ascii="宋体" w:hAnsi="宋体" w:eastAsia="宋体" w:cs="宋体"/>
                <w:sz w:val="24"/>
                <w:szCs w:val="24"/>
              </w:rPr>
              <w:br w:type="textWrapping"/>
            </w:r>
            <w:r>
              <w:rPr>
                <w:rFonts w:hint="eastAsia" w:ascii="宋体" w:hAnsi="宋体" w:eastAsia="宋体" w:cs="宋体"/>
                <w:sz w:val="24"/>
                <w:szCs w:val="24"/>
              </w:rPr>
              <w:t>3、配置激活≥24端口，并配置≥24个32Gb光模块。</w:t>
            </w:r>
          </w:p>
        </w:tc>
        <w:tc>
          <w:tcPr>
            <w:tcW w:w="708" w:type="dxa"/>
            <w:tcBorders>
              <w:top w:val="single" w:color="000000" w:sz="4" w:space="0"/>
              <w:left w:val="single" w:color="000000" w:sz="4" w:space="0"/>
              <w:bottom w:val="double" w:color="000000" w:sz="4" w:space="0"/>
              <w:right w:val="single" w:color="000000" w:sz="4" w:space="0"/>
            </w:tcBorders>
            <w:tcMar>
              <w:top w:w="0" w:type="dxa"/>
              <w:left w:w="105" w:type="dxa"/>
              <w:bottom w:w="0" w:type="dxa"/>
              <w:right w:w="105" w:type="dxa"/>
            </w:tcMar>
            <w:vAlign w:val="top"/>
          </w:tcPr>
          <w:p w14:paraId="4BACFD24">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2</w:t>
            </w:r>
          </w:p>
        </w:tc>
        <w:tc>
          <w:tcPr>
            <w:tcW w:w="784" w:type="dxa"/>
            <w:tcBorders>
              <w:top w:val="single" w:color="000000" w:sz="4" w:space="0"/>
              <w:left w:val="single" w:color="000000" w:sz="4" w:space="0"/>
              <w:bottom w:val="double" w:color="000000" w:sz="4" w:space="0"/>
              <w:right w:val="double" w:color="000000" w:sz="4" w:space="0"/>
            </w:tcBorders>
            <w:tcMar>
              <w:top w:w="0" w:type="dxa"/>
              <w:left w:w="105" w:type="dxa"/>
              <w:bottom w:w="0" w:type="dxa"/>
              <w:right w:w="105" w:type="dxa"/>
            </w:tcMar>
            <w:vAlign w:val="top"/>
          </w:tcPr>
          <w:p w14:paraId="6CA8C7DC">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台</w:t>
            </w:r>
          </w:p>
        </w:tc>
      </w:tr>
    </w:tbl>
    <w:p w14:paraId="1B9AAC97">
      <w:pPr>
        <w:pStyle w:val="6"/>
        <w:keepNext w:val="0"/>
        <w:keepLines w:val="0"/>
        <w:pageBreakBefore w:val="0"/>
        <w:kinsoku/>
        <w:wordWrap/>
        <w:overflowPunct/>
        <w:topLinePunct w:val="0"/>
        <w:autoSpaceDE/>
        <w:autoSpaceDN/>
        <w:bidi w:val="0"/>
        <w:adjustRightInd/>
        <w:snapToGrid/>
        <w:spacing w:line="500" w:lineRule="exact"/>
        <w:ind w:firstLine="480"/>
        <w:jc w:val="left"/>
        <w:textAlignment w:val="auto"/>
        <w:rPr>
          <w:rFonts w:hint="eastAsia" w:ascii="宋体" w:hAnsi="宋体" w:eastAsia="宋体" w:cs="宋体"/>
          <w:sz w:val="24"/>
          <w:szCs w:val="24"/>
        </w:rPr>
      </w:pPr>
      <w:r>
        <w:rPr>
          <w:rFonts w:hint="eastAsia" w:ascii="宋体" w:hAnsi="宋体" w:eastAsia="宋体" w:cs="宋体"/>
          <w:b/>
          <w:sz w:val="24"/>
          <w:szCs w:val="24"/>
        </w:rPr>
        <w:t>2.2.2.存储系统</w:t>
      </w:r>
    </w:p>
    <w:tbl>
      <w:tblPr>
        <w:tblStyle w:val="4"/>
        <w:tblW w:w="0" w:type="auto"/>
        <w:tblInd w:w="0" w:type="dxa"/>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autofit"/>
        <w:tblCellMar>
          <w:top w:w="0" w:type="dxa"/>
          <w:left w:w="108" w:type="dxa"/>
          <w:bottom w:w="0" w:type="dxa"/>
          <w:right w:w="108" w:type="dxa"/>
        </w:tblCellMar>
      </w:tblPr>
      <w:tblGrid>
        <w:gridCol w:w="451"/>
        <w:gridCol w:w="820"/>
        <w:gridCol w:w="5737"/>
        <w:gridCol w:w="656"/>
        <w:gridCol w:w="679"/>
      </w:tblGrid>
      <w:tr w14:paraId="7964EA73">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410" w:type="dxa"/>
            <w:tcBorders>
              <w:top w:val="single" w:color="000000" w:sz="4" w:space="0"/>
              <w:left w:val="single" w:color="000000" w:sz="4" w:space="0"/>
              <w:bottom w:val="single" w:color="000000" w:sz="4" w:space="0"/>
              <w:right w:val="single" w:color="000000" w:sz="4" w:space="0"/>
            </w:tcBorders>
            <w:shd w:val="clear" w:color="auto" w:fill="BFBFBF"/>
            <w:tcMar>
              <w:top w:w="0" w:type="dxa"/>
              <w:left w:w="105" w:type="dxa"/>
              <w:bottom w:w="0" w:type="dxa"/>
              <w:right w:w="105" w:type="dxa"/>
            </w:tcMar>
            <w:vAlign w:val="top"/>
          </w:tcPr>
          <w:p w14:paraId="02A8C20D">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b/>
                <w:sz w:val="24"/>
                <w:szCs w:val="24"/>
              </w:rPr>
              <w:t>编号</w:t>
            </w:r>
          </w:p>
        </w:tc>
        <w:tc>
          <w:tcPr>
            <w:tcW w:w="820" w:type="dxa"/>
            <w:tcBorders>
              <w:top w:val="single" w:color="000000" w:sz="4" w:space="0"/>
              <w:left w:val="nil"/>
              <w:bottom w:val="single" w:color="000000" w:sz="4" w:space="0"/>
              <w:right w:val="single" w:color="000000" w:sz="4" w:space="0"/>
            </w:tcBorders>
            <w:shd w:val="clear" w:color="auto" w:fill="BFBFBF"/>
            <w:tcMar>
              <w:top w:w="0" w:type="dxa"/>
              <w:left w:w="105" w:type="dxa"/>
              <w:bottom w:w="0" w:type="dxa"/>
              <w:right w:w="105" w:type="dxa"/>
            </w:tcMar>
            <w:vAlign w:val="top"/>
          </w:tcPr>
          <w:p w14:paraId="7393F98A">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b/>
                <w:sz w:val="24"/>
                <w:szCs w:val="24"/>
              </w:rPr>
              <w:t>设备名称</w:t>
            </w:r>
          </w:p>
        </w:tc>
        <w:tc>
          <w:tcPr>
            <w:tcW w:w="5737" w:type="dxa"/>
            <w:tcBorders>
              <w:top w:val="single" w:color="000000" w:sz="4" w:space="0"/>
              <w:left w:val="nil"/>
              <w:bottom w:val="single" w:color="000000" w:sz="4" w:space="0"/>
              <w:right w:val="single" w:color="000000" w:sz="4" w:space="0"/>
            </w:tcBorders>
            <w:shd w:val="clear" w:color="auto" w:fill="BFBFBF"/>
            <w:tcMar>
              <w:top w:w="0" w:type="dxa"/>
              <w:left w:w="105" w:type="dxa"/>
              <w:bottom w:w="0" w:type="dxa"/>
              <w:right w:w="105" w:type="dxa"/>
            </w:tcMar>
            <w:vAlign w:val="top"/>
          </w:tcPr>
          <w:p w14:paraId="5BD46BE9">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b/>
                <w:sz w:val="24"/>
                <w:szCs w:val="24"/>
              </w:rPr>
              <w:t>性能参数要求</w:t>
            </w:r>
          </w:p>
        </w:tc>
        <w:tc>
          <w:tcPr>
            <w:tcW w:w="656" w:type="dxa"/>
            <w:tcBorders>
              <w:top w:val="single" w:color="000000" w:sz="4" w:space="0"/>
              <w:left w:val="nil"/>
              <w:bottom w:val="single" w:color="000000" w:sz="4" w:space="0"/>
              <w:right w:val="single" w:color="000000" w:sz="4" w:space="0"/>
            </w:tcBorders>
            <w:shd w:val="clear" w:color="auto" w:fill="BFBFBF"/>
            <w:tcMar>
              <w:top w:w="0" w:type="dxa"/>
              <w:left w:w="105" w:type="dxa"/>
              <w:bottom w:w="0" w:type="dxa"/>
              <w:right w:w="105" w:type="dxa"/>
            </w:tcMar>
            <w:vAlign w:val="top"/>
          </w:tcPr>
          <w:p w14:paraId="24CDA0B4">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b/>
                <w:sz w:val="24"/>
                <w:szCs w:val="24"/>
              </w:rPr>
              <w:t>数量</w:t>
            </w:r>
          </w:p>
        </w:tc>
        <w:tc>
          <w:tcPr>
            <w:tcW w:w="679" w:type="dxa"/>
            <w:tcBorders>
              <w:top w:val="single" w:color="000000" w:sz="4" w:space="0"/>
              <w:left w:val="nil"/>
              <w:bottom w:val="single" w:color="000000" w:sz="4" w:space="0"/>
              <w:right w:val="single" w:color="000000" w:sz="4" w:space="0"/>
            </w:tcBorders>
            <w:shd w:val="clear" w:color="auto" w:fill="BFBFBF"/>
            <w:tcMar>
              <w:top w:w="0" w:type="dxa"/>
              <w:left w:w="105" w:type="dxa"/>
              <w:bottom w:w="0" w:type="dxa"/>
              <w:right w:w="105" w:type="dxa"/>
            </w:tcMar>
            <w:vAlign w:val="top"/>
          </w:tcPr>
          <w:p w14:paraId="7302A161">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b/>
                <w:sz w:val="24"/>
                <w:szCs w:val="24"/>
              </w:rPr>
              <w:t>单位</w:t>
            </w:r>
          </w:p>
        </w:tc>
      </w:tr>
      <w:tr w14:paraId="464FB9E1">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410"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58F23B79">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1</w:t>
            </w:r>
          </w:p>
        </w:tc>
        <w:tc>
          <w:tcPr>
            <w:tcW w:w="820" w:type="dxa"/>
            <w:tcBorders>
              <w:top w:val="nil"/>
              <w:left w:val="nil"/>
              <w:bottom w:val="single" w:color="000000" w:sz="4" w:space="0"/>
              <w:right w:val="single" w:color="000000" w:sz="4" w:space="0"/>
            </w:tcBorders>
            <w:tcMar>
              <w:top w:w="0" w:type="dxa"/>
              <w:left w:w="105" w:type="dxa"/>
              <w:bottom w:w="0" w:type="dxa"/>
              <w:right w:w="105" w:type="dxa"/>
            </w:tcMar>
            <w:vAlign w:val="top"/>
          </w:tcPr>
          <w:p w14:paraId="464D7CA1">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高性能集中存储设备(评审项109)</w:t>
            </w:r>
          </w:p>
        </w:tc>
        <w:tc>
          <w:tcPr>
            <w:tcW w:w="5737" w:type="dxa"/>
            <w:tcBorders>
              <w:top w:val="nil"/>
              <w:left w:val="nil"/>
              <w:bottom w:val="single" w:color="000000" w:sz="4" w:space="0"/>
              <w:right w:val="single" w:color="000000" w:sz="4" w:space="0"/>
            </w:tcBorders>
            <w:tcMar>
              <w:top w:w="0" w:type="dxa"/>
              <w:left w:w="105" w:type="dxa"/>
              <w:bottom w:w="0" w:type="dxa"/>
              <w:right w:w="105" w:type="dxa"/>
            </w:tcMar>
            <w:vAlign w:val="top"/>
          </w:tcPr>
          <w:p w14:paraId="1DDA7263">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1、支持FC，iSCSI，NFS，CIFS，S3协议；</w:t>
            </w:r>
            <w:r>
              <w:rPr>
                <w:rFonts w:hint="eastAsia" w:ascii="宋体" w:hAnsi="宋体" w:eastAsia="宋体" w:cs="宋体"/>
                <w:sz w:val="24"/>
                <w:szCs w:val="24"/>
              </w:rPr>
              <w:br w:type="textWrapping"/>
            </w:r>
            <w:r>
              <w:rPr>
                <w:rFonts w:hint="eastAsia" w:ascii="宋体" w:hAnsi="宋体" w:eastAsia="宋体" w:cs="宋体"/>
                <w:sz w:val="24"/>
                <w:szCs w:val="24"/>
              </w:rPr>
              <w:t>2、配置≥2个控制器，共配置≥192GB缓存；</w:t>
            </w:r>
            <w:r>
              <w:rPr>
                <w:rFonts w:hint="eastAsia" w:ascii="宋体" w:hAnsi="宋体" w:eastAsia="宋体" w:cs="宋体"/>
                <w:sz w:val="24"/>
                <w:szCs w:val="24"/>
              </w:rPr>
              <w:br w:type="textWrapping"/>
            </w:r>
            <w:r>
              <w:rPr>
                <w:rFonts w:hint="eastAsia" w:ascii="宋体" w:hAnsi="宋体" w:eastAsia="宋体" w:cs="宋体"/>
                <w:sz w:val="24"/>
                <w:szCs w:val="24"/>
              </w:rPr>
              <w:t>3、控制器采用Active-Active架构，LUN不归属于某一个控制器，业务负载均衡到多个控制器；</w:t>
            </w:r>
            <w:r>
              <w:rPr>
                <w:rFonts w:hint="eastAsia" w:ascii="宋体" w:hAnsi="宋体" w:eastAsia="宋体" w:cs="宋体"/>
                <w:sz w:val="24"/>
                <w:szCs w:val="24"/>
              </w:rPr>
              <w:br w:type="textWrapping"/>
            </w:r>
            <w:r>
              <w:rPr>
                <w:rFonts w:hint="eastAsia" w:ascii="宋体" w:hAnsi="宋体" w:eastAsia="宋体" w:cs="宋体"/>
                <w:sz w:val="24"/>
                <w:szCs w:val="24"/>
              </w:rPr>
              <w:t>4、存储采用分布式文件系统架构，文件系统无控制器归属，在单个文件系统的情况下，控制器负载均衡；</w:t>
            </w:r>
            <w:r>
              <w:rPr>
                <w:rFonts w:hint="eastAsia" w:ascii="宋体" w:hAnsi="宋体" w:eastAsia="宋体" w:cs="宋体"/>
                <w:sz w:val="24"/>
                <w:szCs w:val="24"/>
              </w:rPr>
              <w:br w:type="textWrapping"/>
            </w:r>
            <w:r>
              <w:rPr>
                <w:rFonts w:hint="eastAsia" w:ascii="宋体" w:hAnsi="宋体" w:eastAsia="宋体" w:cs="宋体"/>
                <w:sz w:val="24"/>
                <w:szCs w:val="24"/>
              </w:rPr>
              <w:t>5、存储控制器采用国产ARM架构CPU，存储系统总核心数≥64核，CPU主频≥2.6GHz；</w:t>
            </w:r>
            <w:r>
              <w:rPr>
                <w:rFonts w:hint="eastAsia" w:ascii="宋体" w:hAnsi="宋体" w:eastAsia="宋体" w:cs="宋体"/>
                <w:sz w:val="24"/>
                <w:szCs w:val="24"/>
              </w:rPr>
              <w:br w:type="textWrapping"/>
            </w:r>
            <w:r>
              <w:rPr>
                <w:rFonts w:hint="eastAsia" w:ascii="宋体" w:hAnsi="宋体" w:eastAsia="宋体" w:cs="宋体"/>
                <w:sz w:val="24"/>
                <w:szCs w:val="24"/>
              </w:rPr>
              <w:t>6、存储系统配置≥8个1Gb ETH电口，≥8个10Gb ETH光口（含光模块），≥8个16Gb FC端口（含光模块）；</w:t>
            </w:r>
            <w:r>
              <w:rPr>
                <w:rFonts w:hint="eastAsia" w:ascii="宋体" w:hAnsi="宋体" w:eastAsia="宋体" w:cs="宋体"/>
                <w:sz w:val="24"/>
                <w:szCs w:val="24"/>
              </w:rPr>
              <w:br w:type="textWrapping"/>
            </w:r>
            <w:r>
              <w:rPr>
                <w:rFonts w:hint="eastAsia" w:ascii="宋体" w:hAnsi="宋体" w:eastAsia="宋体" w:cs="宋体"/>
                <w:sz w:val="24"/>
                <w:szCs w:val="24"/>
              </w:rPr>
              <w:t>7、本次配置≥11块7.68TB NVME SSD硬盘，Raid6后可用容量≥50TB；</w:t>
            </w:r>
            <w:r>
              <w:rPr>
                <w:rFonts w:hint="eastAsia" w:ascii="宋体" w:hAnsi="宋体" w:eastAsia="宋体" w:cs="宋体"/>
                <w:sz w:val="24"/>
                <w:szCs w:val="24"/>
              </w:rPr>
              <w:br w:type="textWrapping"/>
            </w:r>
            <w:r>
              <w:rPr>
                <w:rFonts w:hint="eastAsia" w:ascii="宋体" w:hAnsi="宋体" w:eastAsia="宋体" w:cs="宋体"/>
                <w:sz w:val="24"/>
                <w:szCs w:val="24"/>
              </w:rPr>
              <w:t>8、配置精简配置、快照、远程复制、克隆、双活等功能；</w:t>
            </w:r>
            <w:r>
              <w:rPr>
                <w:rFonts w:hint="eastAsia" w:ascii="宋体" w:hAnsi="宋体" w:eastAsia="宋体" w:cs="宋体"/>
                <w:sz w:val="24"/>
                <w:szCs w:val="24"/>
              </w:rPr>
              <w:br w:type="textWrapping"/>
            </w:r>
            <w:r>
              <w:rPr>
                <w:rFonts w:hint="eastAsia" w:ascii="宋体" w:hAnsi="宋体" w:eastAsia="宋体" w:cs="宋体"/>
                <w:sz w:val="24"/>
                <w:szCs w:val="24"/>
              </w:rPr>
              <w:t>▲9、双活采用免网关双活架构；支持SAN、NAS、对象免网关一体化Active-Active双活；支持双活LUN在线扩容，容量修改在单端完成，对双活状态无影响；支持双活文件系统在线扩容，容量修改在单端完成，对双活状态无影响；支持对LUN创建定时快照，快照间隔≤3秒；支持文件系统定时快照，快照间隔≤15秒；持LUN回收站功能，可将删除的LUN移至回收站，额外保留一段时间，并支持还原功能；</w:t>
            </w:r>
            <w:r>
              <w:rPr>
                <w:rFonts w:hint="eastAsia" w:ascii="宋体" w:hAnsi="宋体" w:eastAsia="宋体" w:cs="宋体"/>
                <w:b/>
                <w:sz w:val="24"/>
                <w:szCs w:val="24"/>
              </w:rPr>
              <w:t>（投标人须提供测试报告进行佐证，测试报告中受检（或委托）单位须为相应产品的制造商或投标人）</w:t>
            </w:r>
          </w:p>
          <w:p w14:paraId="3E042B0D">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 xml:space="preserve">10、支持NFS/CIFS/S3协议访问同一存储池内的同一文件；协议转换过程中不影响业务和数据，协议转换后可达到单独使用一种协议部署的性能指标； </w:t>
            </w:r>
            <w:r>
              <w:rPr>
                <w:rFonts w:hint="eastAsia" w:ascii="宋体" w:hAnsi="宋体" w:eastAsia="宋体" w:cs="宋体"/>
                <w:sz w:val="24"/>
                <w:szCs w:val="24"/>
              </w:rPr>
              <w:br w:type="textWrapping"/>
            </w:r>
            <w:r>
              <w:rPr>
                <w:rFonts w:hint="eastAsia" w:ascii="宋体" w:hAnsi="宋体" w:eastAsia="宋体" w:cs="宋体"/>
                <w:sz w:val="24"/>
                <w:szCs w:val="24"/>
              </w:rPr>
              <w:t>11、远程复制功能支持同步复制和异步复制；异步复制支持链路压缩，支持自定义同步周期；</w:t>
            </w:r>
            <w:r>
              <w:rPr>
                <w:rFonts w:hint="eastAsia" w:ascii="宋体" w:hAnsi="宋体" w:eastAsia="宋体" w:cs="宋体"/>
                <w:sz w:val="24"/>
                <w:szCs w:val="24"/>
              </w:rPr>
              <w:br w:type="textWrapping"/>
            </w:r>
            <w:r>
              <w:rPr>
                <w:rFonts w:hint="eastAsia" w:ascii="宋体" w:hAnsi="宋体" w:eastAsia="宋体" w:cs="宋体"/>
                <w:sz w:val="24"/>
                <w:szCs w:val="24"/>
              </w:rPr>
              <w:t>12、支持多个租户，每个租户可以在web界面上配置不同业务网络VLAN实现业务网络隔离，可基于租户设置域控、协议类型、Qos。</w:t>
            </w:r>
          </w:p>
        </w:tc>
        <w:tc>
          <w:tcPr>
            <w:tcW w:w="656" w:type="dxa"/>
            <w:tcBorders>
              <w:top w:val="nil"/>
              <w:left w:val="nil"/>
              <w:bottom w:val="single" w:color="000000" w:sz="4" w:space="0"/>
              <w:right w:val="single" w:color="000000" w:sz="4" w:space="0"/>
            </w:tcBorders>
            <w:tcMar>
              <w:top w:w="0" w:type="dxa"/>
              <w:left w:w="105" w:type="dxa"/>
              <w:bottom w:w="0" w:type="dxa"/>
              <w:right w:w="105" w:type="dxa"/>
            </w:tcMar>
            <w:vAlign w:val="top"/>
          </w:tcPr>
          <w:p w14:paraId="4A732FB9">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2</w:t>
            </w:r>
          </w:p>
        </w:tc>
        <w:tc>
          <w:tcPr>
            <w:tcW w:w="679" w:type="dxa"/>
            <w:tcBorders>
              <w:top w:val="nil"/>
              <w:left w:val="nil"/>
              <w:bottom w:val="single" w:color="000000" w:sz="4" w:space="0"/>
              <w:right w:val="single" w:color="000000" w:sz="4" w:space="0"/>
            </w:tcBorders>
            <w:tcMar>
              <w:top w:w="0" w:type="dxa"/>
              <w:left w:w="105" w:type="dxa"/>
              <w:bottom w:w="0" w:type="dxa"/>
              <w:right w:w="105" w:type="dxa"/>
            </w:tcMar>
            <w:vAlign w:val="top"/>
          </w:tcPr>
          <w:p w14:paraId="1C9A2B8F">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台</w:t>
            </w:r>
          </w:p>
        </w:tc>
      </w:tr>
      <w:tr w14:paraId="3E052761">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410"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5EA2875D">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2</w:t>
            </w:r>
          </w:p>
        </w:tc>
        <w:tc>
          <w:tcPr>
            <w:tcW w:w="820" w:type="dxa"/>
            <w:tcBorders>
              <w:top w:val="nil"/>
              <w:left w:val="nil"/>
              <w:bottom w:val="single" w:color="000000" w:sz="4" w:space="0"/>
              <w:right w:val="single" w:color="000000" w:sz="4" w:space="0"/>
            </w:tcBorders>
            <w:tcMar>
              <w:top w:w="0" w:type="dxa"/>
              <w:left w:w="105" w:type="dxa"/>
              <w:bottom w:w="0" w:type="dxa"/>
              <w:right w:w="105" w:type="dxa"/>
            </w:tcMar>
            <w:vAlign w:val="top"/>
          </w:tcPr>
          <w:p w14:paraId="7ECB9F68">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普通性能集中存储设备(评审项110)</w:t>
            </w:r>
          </w:p>
        </w:tc>
        <w:tc>
          <w:tcPr>
            <w:tcW w:w="5737" w:type="dxa"/>
            <w:tcBorders>
              <w:top w:val="nil"/>
              <w:left w:val="nil"/>
              <w:bottom w:val="single" w:color="000000" w:sz="4" w:space="0"/>
              <w:right w:val="single" w:color="000000" w:sz="4" w:space="0"/>
            </w:tcBorders>
            <w:tcMar>
              <w:top w:w="0" w:type="dxa"/>
              <w:left w:w="105" w:type="dxa"/>
              <w:bottom w:w="0" w:type="dxa"/>
              <w:right w:w="105" w:type="dxa"/>
            </w:tcMar>
            <w:vAlign w:val="top"/>
          </w:tcPr>
          <w:p w14:paraId="5AC594CE">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1、支持FC、iSCSI、NFS、CIFS协议；</w:t>
            </w:r>
            <w:r>
              <w:rPr>
                <w:rFonts w:hint="eastAsia" w:ascii="宋体" w:hAnsi="宋体" w:eastAsia="宋体" w:cs="宋体"/>
                <w:sz w:val="24"/>
                <w:szCs w:val="24"/>
              </w:rPr>
              <w:br w:type="textWrapping"/>
            </w:r>
            <w:r>
              <w:rPr>
                <w:rFonts w:hint="eastAsia" w:ascii="宋体" w:hAnsi="宋体" w:eastAsia="宋体" w:cs="宋体"/>
                <w:sz w:val="24"/>
                <w:szCs w:val="24"/>
              </w:rPr>
              <w:t>2、配置≥2个控制器，共配置≥128GB缓存；</w:t>
            </w:r>
            <w:r>
              <w:rPr>
                <w:rFonts w:hint="eastAsia" w:ascii="宋体" w:hAnsi="宋体" w:eastAsia="宋体" w:cs="宋体"/>
                <w:sz w:val="24"/>
                <w:szCs w:val="24"/>
              </w:rPr>
              <w:br w:type="textWrapping"/>
            </w:r>
            <w:r>
              <w:rPr>
                <w:rFonts w:hint="eastAsia" w:ascii="宋体" w:hAnsi="宋体" w:eastAsia="宋体" w:cs="宋体"/>
                <w:sz w:val="24"/>
                <w:szCs w:val="24"/>
              </w:rPr>
              <w:t>3、存储系统为对称AA架构，LUN无控制器归属，能够实现控制器负载均衡；</w:t>
            </w:r>
            <w:r>
              <w:rPr>
                <w:rFonts w:hint="eastAsia" w:ascii="宋体" w:hAnsi="宋体" w:eastAsia="宋体" w:cs="宋体"/>
                <w:sz w:val="24"/>
                <w:szCs w:val="24"/>
              </w:rPr>
              <w:br w:type="textWrapping"/>
            </w:r>
            <w:r>
              <w:rPr>
                <w:rFonts w:hint="eastAsia" w:ascii="宋体" w:hAnsi="宋体" w:eastAsia="宋体" w:cs="宋体"/>
                <w:sz w:val="24"/>
                <w:szCs w:val="24"/>
              </w:rPr>
              <w:t>▲4、存储采用分布式文件系统架构，文件系统无控制器归属，能够实现控制器负载均衡；在单文件系统的情况下，控制器的OPS偏差≤5%；</w:t>
            </w:r>
            <w:r>
              <w:rPr>
                <w:rFonts w:hint="eastAsia" w:ascii="宋体" w:hAnsi="宋体" w:eastAsia="宋体" w:cs="宋体"/>
                <w:b/>
                <w:sz w:val="24"/>
                <w:szCs w:val="24"/>
              </w:rPr>
              <w:t>（投标人须提供测试报告进行佐证，测试报告中受检（或委托）单位须为相应产品的制造商或投标人）</w:t>
            </w:r>
          </w:p>
          <w:p w14:paraId="442D918F">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 xml:space="preserve">5、存储系统采用国产ARM架构CPU，CPU物理核数≥40个物理核，CPU主频≥2.1GHz； </w:t>
            </w:r>
            <w:r>
              <w:rPr>
                <w:rFonts w:hint="eastAsia" w:ascii="宋体" w:hAnsi="宋体" w:eastAsia="宋体" w:cs="宋体"/>
                <w:sz w:val="24"/>
                <w:szCs w:val="24"/>
              </w:rPr>
              <w:br w:type="textWrapping"/>
            </w:r>
            <w:r>
              <w:rPr>
                <w:rFonts w:hint="eastAsia" w:ascii="宋体" w:hAnsi="宋体" w:eastAsia="宋体" w:cs="宋体"/>
                <w:sz w:val="24"/>
                <w:szCs w:val="24"/>
              </w:rPr>
              <w:t>6、存储系统配置≥8个1Gb ETH电口，≥4个10Gb ETH光口（含光模块），≥8个16Gb FC端口（含光模块）；</w:t>
            </w:r>
            <w:r>
              <w:rPr>
                <w:rFonts w:hint="eastAsia" w:ascii="宋体" w:hAnsi="宋体" w:eastAsia="宋体" w:cs="宋体"/>
                <w:sz w:val="24"/>
                <w:szCs w:val="24"/>
              </w:rPr>
              <w:br w:type="textWrapping"/>
            </w:r>
            <w:r>
              <w:rPr>
                <w:rFonts w:hint="eastAsia" w:ascii="宋体" w:hAnsi="宋体" w:eastAsia="宋体" w:cs="宋体"/>
                <w:sz w:val="24"/>
                <w:szCs w:val="24"/>
              </w:rPr>
              <w:t>7、本次配置≥6块1.92TB SAS SSD硬盘，≥26块20TB NL-SAS硬盘，Raid6后可用容量≥370TB；</w:t>
            </w:r>
            <w:r>
              <w:rPr>
                <w:rFonts w:hint="eastAsia" w:ascii="宋体" w:hAnsi="宋体" w:eastAsia="宋体" w:cs="宋体"/>
                <w:sz w:val="24"/>
                <w:szCs w:val="24"/>
              </w:rPr>
              <w:br w:type="textWrapping"/>
            </w:r>
            <w:r>
              <w:rPr>
                <w:rFonts w:hint="eastAsia" w:ascii="宋体" w:hAnsi="宋体" w:eastAsia="宋体" w:cs="宋体"/>
                <w:sz w:val="24"/>
                <w:szCs w:val="24"/>
              </w:rPr>
              <w:t>8、配置精简配置、快照、远程复制、克隆、双活等功能；</w:t>
            </w:r>
            <w:r>
              <w:rPr>
                <w:rFonts w:hint="eastAsia" w:ascii="宋体" w:hAnsi="宋体" w:eastAsia="宋体" w:cs="宋体"/>
                <w:sz w:val="24"/>
                <w:szCs w:val="24"/>
              </w:rPr>
              <w:br w:type="textWrapping"/>
            </w:r>
            <w:r>
              <w:rPr>
                <w:rFonts w:hint="eastAsia" w:ascii="宋体" w:hAnsi="宋体" w:eastAsia="宋体" w:cs="宋体"/>
                <w:sz w:val="24"/>
                <w:szCs w:val="24"/>
              </w:rPr>
              <w:t>9、配置存储双活功能，支持SAN和NAS免网关一体化Active-Active双活；</w:t>
            </w:r>
            <w:r>
              <w:rPr>
                <w:rFonts w:hint="eastAsia" w:ascii="宋体" w:hAnsi="宋体" w:eastAsia="宋体" w:cs="宋体"/>
                <w:sz w:val="24"/>
                <w:szCs w:val="24"/>
              </w:rPr>
              <w:br w:type="textWrapping"/>
            </w:r>
            <w:r>
              <w:rPr>
                <w:rFonts w:hint="eastAsia" w:ascii="宋体" w:hAnsi="宋体" w:eastAsia="宋体" w:cs="宋体"/>
                <w:sz w:val="24"/>
                <w:szCs w:val="24"/>
              </w:rPr>
              <w:t>▲10、支持对LUN创建定时快照，快照间隔≤3秒，支持对文件系统创建定时快照，快照间隔≤15秒；提供安全快照功能，支持对快照设置保护周期，在保护周期内快照无法删除，无法篡改快照中的数据；支持远程复制功能，支持远程复制LUN在线扩容，容量修改操作单端完成，对同步复制的状态无影响，能够实现同步复制和异步复制在线转换；</w:t>
            </w:r>
            <w:r>
              <w:rPr>
                <w:rFonts w:hint="eastAsia" w:ascii="宋体" w:hAnsi="宋体" w:eastAsia="宋体" w:cs="宋体"/>
                <w:b/>
                <w:sz w:val="24"/>
                <w:szCs w:val="24"/>
              </w:rPr>
              <w:t>（投标人须提供测试报告进行佐证，测试报告中受检（或委托）单位须为相应产品的制造商或投标人）</w:t>
            </w:r>
          </w:p>
          <w:p w14:paraId="0A1F073B">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11、配置多租户功能，SAN和NAS场景下，各租户有独立的资源管理界面，各个租户直接操作互不干扰。</w:t>
            </w:r>
          </w:p>
        </w:tc>
        <w:tc>
          <w:tcPr>
            <w:tcW w:w="656" w:type="dxa"/>
            <w:tcBorders>
              <w:top w:val="nil"/>
              <w:left w:val="nil"/>
              <w:bottom w:val="single" w:color="000000" w:sz="4" w:space="0"/>
              <w:right w:val="single" w:color="000000" w:sz="4" w:space="0"/>
            </w:tcBorders>
            <w:tcMar>
              <w:top w:w="0" w:type="dxa"/>
              <w:left w:w="105" w:type="dxa"/>
              <w:bottom w:w="0" w:type="dxa"/>
              <w:right w:w="105" w:type="dxa"/>
            </w:tcMar>
            <w:vAlign w:val="top"/>
          </w:tcPr>
          <w:p w14:paraId="01D27A7C">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2</w:t>
            </w:r>
          </w:p>
        </w:tc>
        <w:tc>
          <w:tcPr>
            <w:tcW w:w="679" w:type="dxa"/>
            <w:tcBorders>
              <w:top w:val="nil"/>
              <w:left w:val="nil"/>
              <w:bottom w:val="single" w:color="000000" w:sz="4" w:space="0"/>
              <w:right w:val="single" w:color="000000" w:sz="4" w:space="0"/>
            </w:tcBorders>
            <w:tcMar>
              <w:top w:w="0" w:type="dxa"/>
              <w:left w:w="105" w:type="dxa"/>
              <w:bottom w:w="0" w:type="dxa"/>
              <w:right w:w="105" w:type="dxa"/>
            </w:tcMar>
            <w:vAlign w:val="top"/>
          </w:tcPr>
          <w:p w14:paraId="1386A3ED">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台</w:t>
            </w:r>
          </w:p>
        </w:tc>
      </w:tr>
    </w:tbl>
    <w:p w14:paraId="017D73A2">
      <w:pPr>
        <w:pStyle w:val="6"/>
        <w:keepNext w:val="0"/>
        <w:keepLines w:val="0"/>
        <w:pageBreakBefore w:val="0"/>
        <w:kinsoku/>
        <w:wordWrap/>
        <w:overflowPunct/>
        <w:topLinePunct w:val="0"/>
        <w:autoSpaceDE/>
        <w:autoSpaceDN/>
        <w:bidi w:val="0"/>
        <w:adjustRightInd/>
        <w:snapToGrid/>
        <w:spacing w:line="500" w:lineRule="exact"/>
        <w:ind w:firstLine="480"/>
        <w:jc w:val="left"/>
        <w:textAlignment w:val="auto"/>
        <w:rPr>
          <w:rFonts w:hint="eastAsia" w:ascii="宋体" w:hAnsi="宋体" w:eastAsia="宋体" w:cs="宋体"/>
          <w:sz w:val="24"/>
          <w:szCs w:val="24"/>
        </w:rPr>
      </w:pPr>
      <w:r>
        <w:rPr>
          <w:rFonts w:hint="eastAsia" w:ascii="宋体" w:hAnsi="宋体" w:eastAsia="宋体" w:cs="宋体"/>
          <w:b/>
          <w:sz w:val="24"/>
          <w:szCs w:val="24"/>
        </w:rPr>
        <w:t>2.2.3.备份系统</w:t>
      </w:r>
    </w:p>
    <w:tbl>
      <w:tblPr>
        <w:tblStyle w:val="4"/>
        <w:tblW w:w="0" w:type="auto"/>
        <w:tblInd w:w="0" w:type="dxa"/>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autofit"/>
        <w:tblCellMar>
          <w:top w:w="0" w:type="dxa"/>
          <w:left w:w="108" w:type="dxa"/>
          <w:bottom w:w="0" w:type="dxa"/>
          <w:right w:w="108" w:type="dxa"/>
        </w:tblCellMar>
      </w:tblPr>
      <w:tblGrid>
        <w:gridCol w:w="451"/>
        <w:gridCol w:w="690"/>
        <w:gridCol w:w="5535"/>
        <w:gridCol w:w="812"/>
        <w:gridCol w:w="830"/>
      </w:tblGrid>
      <w:tr w14:paraId="692CD91F">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409" w:type="dxa"/>
            <w:tcBorders>
              <w:top w:val="double" w:color="000000" w:sz="4" w:space="0"/>
              <w:left w:val="double" w:color="000000" w:sz="4" w:space="0"/>
              <w:bottom w:val="single" w:color="000000" w:sz="4" w:space="0"/>
              <w:right w:val="single" w:color="000000" w:sz="4" w:space="0"/>
            </w:tcBorders>
            <w:shd w:val="clear" w:color="auto" w:fill="BFBFBF"/>
            <w:tcMar>
              <w:top w:w="0" w:type="dxa"/>
              <w:left w:w="105" w:type="dxa"/>
              <w:bottom w:w="0" w:type="dxa"/>
              <w:right w:w="105" w:type="dxa"/>
            </w:tcMar>
            <w:vAlign w:val="top"/>
          </w:tcPr>
          <w:p w14:paraId="0F2344DB">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b/>
                <w:sz w:val="24"/>
                <w:szCs w:val="24"/>
              </w:rPr>
              <w:t>编号</w:t>
            </w:r>
          </w:p>
        </w:tc>
        <w:tc>
          <w:tcPr>
            <w:tcW w:w="660" w:type="dxa"/>
            <w:tcBorders>
              <w:top w:val="double" w:color="000000" w:sz="4" w:space="0"/>
              <w:left w:val="single" w:color="000000" w:sz="4" w:space="0"/>
              <w:bottom w:val="single" w:color="000000" w:sz="4" w:space="0"/>
              <w:right w:val="single" w:color="000000" w:sz="4" w:space="0"/>
            </w:tcBorders>
            <w:shd w:val="clear" w:color="auto" w:fill="BFBFBF"/>
            <w:tcMar>
              <w:top w:w="0" w:type="dxa"/>
              <w:left w:w="105" w:type="dxa"/>
              <w:bottom w:w="0" w:type="dxa"/>
              <w:right w:w="105" w:type="dxa"/>
            </w:tcMar>
            <w:vAlign w:val="top"/>
          </w:tcPr>
          <w:p w14:paraId="7B3ED873">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b/>
                <w:sz w:val="24"/>
                <w:szCs w:val="24"/>
              </w:rPr>
              <w:t>设备名称</w:t>
            </w:r>
          </w:p>
        </w:tc>
        <w:tc>
          <w:tcPr>
            <w:tcW w:w="5535" w:type="dxa"/>
            <w:tcBorders>
              <w:top w:val="double" w:color="000000" w:sz="4" w:space="0"/>
              <w:left w:val="single" w:color="000000" w:sz="4" w:space="0"/>
              <w:bottom w:val="single" w:color="000000" w:sz="4" w:space="0"/>
              <w:right w:val="single" w:color="000000" w:sz="4" w:space="0"/>
            </w:tcBorders>
            <w:shd w:val="clear" w:color="auto" w:fill="BFBFBF"/>
            <w:tcMar>
              <w:top w:w="0" w:type="dxa"/>
              <w:left w:w="105" w:type="dxa"/>
              <w:bottom w:w="0" w:type="dxa"/>
              <w:right w:w="105" w:type="dxa"/>
            </w:tcMar>
            <w:vAlign w:val="top"/>
          </w:tcPr>
          <w:p w14:paraId="5E2ABC1A">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b/>
                <w:sz w:val="24"/>
                <w:szCs w:val="24"/>
              </w:rPr>
              <w:t>性能参数要求</w:t>
            </w:r>
          </w:p>
        </w:tc>
        <w:tc>
          <w:tcPr>
            <w:tcW w:w="812" w:type="dxa"/>
            <w:tcBorders>
              <w:top w:val="double" w:color="000000" w:sz="4" w:space="0"/>
              <w:left w:val="single" w:color="000000" w:sz="4" w:space="0"/>
              <w:bottom w:val="single" w:color="000000" w:sz="4" w:space="0"/>
              <w:right w:val="single" w:color="000000" w:sz="4" w:space="0"/>
            </w:tcBorders>
            <w:shd w:val="clear" w:color="auto" w:fill="BFBFBF"/>
            <w:tcMar>
              <w:top w:w="0" w:type="dxa"/>
              <w:left w:w="105" w:type="dxa"/>
              <w:bottom w:w="0" w:type="dxa"/>
              <w:right w:w="105" w:type="dxa"/>
            </w:tcMar>
            <w:vAlign w:val="top"/>
          </w:tcPr>
          <w:p w14:paraId="6AE9885C">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b/>
                <w:sz w:val="24"/>
                <w:szCs w:val="24"/>
              </w:rPr>
              <w:t>数量</w:t>
            </w:r>
          </w:p>
        </w:tc>
        <w:tc>
          <w:tcPr>
            <w:tcW w:w="830" w:type="dxa"/>
            <w:tcBorders>
              <w:top w:val="double" w:color="000000" w:sz="4" w:space="0"/>
              <w:left w:val="single" w:color="000000" w:sz="4" w:space="0"/>
              <w:bottom w:val="single" w:color="000000" w:sz="4" w:space="0"/>
              <w:right w:val="double" w:color="000000" w:sz="4" w:space="0"/>
            </w:tcBorders>
            <w:shd w:val="clear" w:color="auto" w:fill="BFBFBF"/>
            <w:tcMar>
              <w:top w:w="0" w:type="dxa"/>
              <w:left w:w="105" w:type="dxa"/>
              <w:bottom w:w="0" w:type="dxa"/>
              <w:right w:w="105" w:type="dxa"/>
            </w:tcMar>
            <w:vAlign w:val="top"/>
          </w:tcPr>
          <w:p w14:paraId="0FC50D2D">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b/>
                <w:sz w:val="24"/>
                <w:szCs w:val="24"/>
              </w:rPr>
              <w:t>单位</w:t>
            </w:r>
          </w:p>
        </w:tc>
      </w:tr>
      <w:tr w14:paraId="54FB5315">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409" w:type="dxa"/>
            <w:tcBorders>
              <w:top w:val="single" w:color="000000" w:sz="4" w:space="0"/>
              <w:left w:val="double" w:color="000000" w:sz="4" w:space="0"/>
              <w:bottom w:val="double" w:color="000000" w:sz="4" w:space="0"/>
              <w:right w:val="single" w:color="000000" w:sz="4" w:space="0"/>
            </w:tcBorders>
            <w:tcMar>
              <w:top w:w="0" w:type="dxa"/>
              <w:left w:w="105" w:type="dxa"/>
              <w:bottom w:w="0" w:type="dxa"/>
              <w:right w:w="105" w:type="dxa"/>
            </w:tcMar>
            <w:vAlign w:val="top"/>
          </w:tcPr>
          <w:p w14:paraId="217E55BB">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1</w:t>
            </w:r>
          </w:p>
        </w:tc>
        <w:tc>
          <w:tcPr>
            <w:tcW w:w="660" w:type="dxa"/>
            <w:tcBorders>
              <w:top w:val="single" w:color="000000" w:sz="4" w:space="0"/>
              <w:left w:val="single" w:color="000000" w:sz="4" w:space="0"/>
              <w:bottom w:val="double" w:color="000000" w:sz="4" w:space="0"/>
              <w:right w:val="single" w:color="000000" w:sz="4" w:space="0"/>
            </w:tcBorders>
            <w:tcMar>
              <w:top w:w="0" w:type="dxa"/>
              <w:left w:w="105" w:type="dxa"/>
              <w:bottom w:w="0" w:type="dxa"/>
              <w:right w:w="105" w:type="dxa"/>
            </w:tcMar>
            <w:vAlign w:val="top"/>
          </w:tcPr>
          <w:p w14:paraId="3BFD044A">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备份一体机(评审项111)</w:t>
            </w:r>
          </w:p>
        </w:tc>
        <w:tc>
          <w:tcPr>
            <w:tcW w:w="5535" w:type="dxa"/>
            <w:tcBorders>
              <w:top w:val="single" w:color="000000" w:sz="4" w:space="0"/>
              <w:left w:val="single" w:color="000000" w:sz="4" w:space="0"/>
              <w:bottom w:val="double" w:color="000000" w:sz="4" w:space="0"/>
              <w:right w:val="single" w:color="000000" w:sz="4" w:space="0"/>
            </w:tcBorders>
            <w:tcMar>
              <w:top w:w="0" w:type="dxa"/>
              <w:left w:w="105" w:type="dxa"/>
              <w:bottom w:w="0" w:type="dxa"/>
              <w:right w:w="105" w:type="dxa"/>
            </w:tcMar>
            <w:vAlign w:val="top"/>
          </w:tcPr>
          <w:p w14:paraId="5FBA71C8">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1、机架式一体化灾备节点，非OEM。配置≥2颗32核国产化 CPU；配置≥256GB DDR4 REG ECC 内存；配置≥300TB硬盘；配置≥2*480GB 企业级SSD,配置≥2个千兆网口；配置≥2个万兆光口（含模块）；配置≥2GB 阵列卡（支持RAID 0,1,5,6,10.50,60，含掉电保护电池模块）；冗余电源；冗余风扇。</w:t>
            </w:r>
            <w:r>
              <w:rPr>
                <w:rFonts w:hint="eastAsia" w:ascii="宋体" w:hAnsi="宋体" w:eastAsia="宋体" w:cs="宋体"/>
                <w:sz w:val="24"/>
                <w:szCs w:val="24"/>
              </w:rPr>
              <w:br w:type="textWrapping"/>
            </w:r>
            <w:r>
              <w:rPr>
                <w:rFonts w:hint="eastAsia" w:ascii="宋体" w:hAnsi="宋体" w:eastAsia="宋体" w:cs="宋体"/>
                <w:sz w:val="24"/>
                <w:szCs w:val="24"/>
              </w:rPr>
              <w:t>2、配置不限数据量的数据重删功能；配置≥290TB备份软件；</w:t>
            </w:r>
            <w:r>
              <w:rPr>
                <w:rFonts w:hint="eastAsia" w:ascii="宋体" w:hAnsi="宋体" w:eastAsia="宋体" w:cs="宋体"/>
                <w:sz w:val="24"/>
                <w:szCs w:val="24"/>
              </w:rPr>
              <w:br w:type="textWrapping"/>
            </w:r>
            <w:r>
              <w:rPr>
                <w:rFonts w:hint="eastAsia" w:ascii="宋体" w:hAnsi="宋体" w:eastAsia="宋体" w:cs="宋体"/>
                <w:sz w:val="24"/>
                <w:szCs w:val="24"/>
              </w:rPr>
              <w:t>3、配置整机定时备份挂载恢复，可进行一键式应急接管；</w:t>
            </w:r>
            <w:r>
              <w:rPr>
                <w:rFonts w:hint="eastAsia" w:ascii="宋体" w:hAnsi="宋体" w:eastAsia="宋体" w:cs="宋体"/>
                <w:sz w:val="24"/>
                <w:szCs w:val="24"/>
              </w:rPr>
              <w:br w:type="textWrapping"/>
            </w:r>
            <w:r>
              <w:rPr>
                <w:rFonts w:hint="eastAsia" w:ascii="宋体" w:hAnsi="宋体" w:eastAsia="宋体" w:cs="宋体"/>
                <w:sz w:val="24"/>
                <w:szCs w:val="24"/>
              </w:rPr>
              <w:t>4、提供操作系统备份和裸机恢复功能，不限制保护的操作系统数量，支持Windows、Linux、麒麟、统信、欧拉、龙蜥等操作系统的在线备份，支持操作系统备份数据裸机恢复、异机恢复；支持将备份数据以网络链路挂载至任意目标服务器，挂载的卷可读可写；</w:t>
            </w:r>
            <w:r>
              <w:rPr>
                <w:rFonts w:hint="eastAsia" w:ascii="宋体" w:hAnsi="宋体" w:eastAsia="宋体" w:cs="宋体"/>
                <w:sz w:val="24"/>
                <w:szCs w:val="24"/>
              </w:rPr>
              <w:br w:type="textWrapping"/>
            </w:r>
            <w:r>
              <w:rPr>
                <w:rFonts w:hint="eastAsia" w:ascii="宋体" w:hAnsi="宋体" w:eastAsia="宋体" w:cs="宋体"/>
                <w:sz w:val="24"/>
                <w:szCs w:val="24"/>
              </w:rPr>
              <w:t>5、提供SQL Server、Oracle、MySQL、MariaDB、PostgreSQL、TiDB、TDSQL 、达梦、金仓、瀚高等国内外主流数据库的备份与恢复，不限保护的数据库类型、数量；</w:t>
            </w:r>
            <w:r>
              <w:rPr>
                <w:rFonts w:hint="eastAsia" w:ascii="宋体" w:hAnsi="宋体" w:eastAsia="宋体" w:cs="宋体"/>
                <w:sz w:val="24"/>
                <w:szCs w:val="24"/>
              </w:rPr>
              <w:br w:type="textWrapping"/>
            </w:r>
            <w:r>
              <w:rPr>
                <w:rFonts w:hint="eastAsia" w:ascii="宋体" w:hAnsi="宋体" w:eastAsia="宋体" w:cs="宋体"/>
                <w:sz w:val="24"/>
                <w:szCs w:val="24"/>
              </w:rPr>
              <w:t>6、提供VMware、Hyper-V、Huawei FusionCompute、H3C CAS、SANGFOR HCI、OpenStack、SmartX、青云Cloud、云宏CNware、浪潮InCloud 、ArcherOS安超等国内外主流虚拟化无代理备份，不限制保护的虚拟化云主机数量；</w:t>
            </w:r>
          </w:p>
          <w:p w14:paraId="4C65DB99">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7、支持虚拟机跨虚拟化平台（同架构CPU）瞬时恢复功能，支持任意一个备份集时间点的数据副本瞬时恢复至异构虚拟化平台，用于备份数据演练、验证、应急接管，而无需真实恢复故障虚拟机进行验证。</w:t>
            </w:r>
            <w:r>
              <w:rPr>
                <w:rFonts w:hint="eastAsia" w:ascii="宋体" w:hAnsi="宋体" w:eastAsia="宋体" w:cs="宋体"/>
                <w:sz w:val="24"/>
                <w:szCs w:val="24"/>
              </w:rPr>
              <w:br w:type="textWrapping"/>
            </w:r>
            <w:r>
              <w:rPr>
                <w:rFonts w:hint="eastAsia" w:ascii="宋体" w:hAnsi="宋体" w:eastAsia="宋体" w:cs="宋体"/>
                <w:sz w:val="24"/>
                <w:szCs w:val="24"/>
              </w:rPr>
              <w:t>8、系统支持配置多种安全模式，包含普通模式、自动模式、定时模式。在触发安全模式时，系统可以自动断网离线，成为离线设备，规避网络攻击、加密或删除风险；</w:t>
            </w:r>
            <w:r>
              <w:rPr>
                <w:rFonts w:hint="eastAsia" w:ascii="宋体" w:hAnsi="宋体" w:eastAsia="宋体" w:cs="宋体"/>
                <w:sz w:val="24"/>
                <w:szCs w:val="24"/>
              </w:rPr>
              <w:br w:type="textWrapping"/>
            </w:r>
            <w:r>
              <w:rPr>
                <w:rFonts w:hint="eastAsia" w:ascii="宋体" w:hAnsi="宋体" w:eastAsia="宋体" w:cs="宋体"/>
                <w:sz w:val="24"/>
                <w:szCs w:val="24"/>
              </w:rPr>
              <w:t>9、可扩展支持基于备份集群的WORM机制，对于备份系统的写权限进行限制，对于正常的备份数据流实行写保护，一次写入，多次读取模式，杜绝病毒破坏，非法篡改。支持任意目录级快照，分钟级数据保护，支持手动快照，定时快照，支持快照回滚；可支持目录同时做快照和WORM；</w:t>
            </w:r>
            <w:r>
              <w:rPr>
                <w:rFonts w:hint="eastAsia" w:ascii="宋体" w:hAnsi="宋体" w:eastAsia="宋体" w:cs="宋体"/>
                <w:b/>
                <w:sz w:val="24"/>
                <w:szCs w:val="24"/>
              </w:rPr>
              <w:t xml:space="preserve">（须提供系统支持worm功能的截图证明文件并加盖投标人公章） </w:t>
            </w:r>
            <w:r>
              <w:rPr>
                <w:rFonts w:hint="eastAsia" w:ascii="宋体" w:hAnsi="宋体" w:eastAsia="宋体" w:cs="宋体"/>
                <w:sz w:val="24"/>
                <w:szCs w:val="24"/>
              </w:rPr>
              <w:t>。</w:t>
            </w:r>
          </w:p>
        </w:tc>
        <w:tc>
          <w:tcPr>
            <w:tcW w:w="812" w:type="dxa"/>
            <w:tcBorders>
              <w:top w:val="single" w:color="000000" w:sz="4" w:space="0"/>
              <w:left w:val="single" w:color="000000" w:sz="4" w:space="0"/>
              <w:bottom w:val="double" w:color="000000" w:sz="4" w:space="0"/>
              <w:right w:val="single" w:color="000000" w:sz="4" w:space="0"/>
            </w:tcBorders>
            <w:tcMar>
              <w:top w:w="0" w:type="dxa"/>
              <w:left w:w="105" w:type="dxa"/>
              <w:bottom w:w="0" w:type="dxa"/>
              <w:right w:w="105" w:type="dxa"/>
            </w:tcMar>
            <w:vAlign w:val="top"/>
          </w:tcPr>
          <w:p w14:paraId="6734ADEB">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1</w:t>
            </w:r>
          </w:p>
        </w:tc>
        <w:tc>
          <w:tcPr>
            <w:tcW w:w="830" w:type="dxa"/>
            <w:tcBorders>
              <w:top w:val="single" w:color="000000" w:sz="4" w:space="0"/>
              <w:left w:val="single" w:color="000000" w:sz="4" w:space="0"/>
              <w:bottom w:val="double" w:color="000000" w:sz="4" w:space="0"/>
              <w:right w:val="double" w:color="000000" w:sz="4" w:space="0"/>
            </w:tcBorders>
            <w:tcMar>
              <w:top w:w="0" w:type="dxa"/>
              <w:left w:w="105" w:type="dxa"/>
              <w:bottom w:w="0" w:type="dxa"/>
              <w:right w:w="105" w:type="dxa"/>
            </w:tcMar>
            <w:vAlign w:val="top"/>
          </w:tcPr>
          <w:p w14:paraId="533D71DB">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台</w:t>
            </w:r>
          </w:p>
        </w:tc>
      </w:tr>
    </w:tbl>
    <w:p w14:paraId="4F707700">
      <w:pPr>
        <w:pStyle w:val="6"/>
        <w:keepNext w:val="0"/>
        <w:keepLines w:val="0"/>
        <w:pageBreakBefore w:val="0"/>
        <w:kinsoku/>
        <w:wordWrap/>
        <w:overflowPunct/>
        <w:topLinePunct w:val="0"/>
        <w:autoSpaceDE/>
        <w:autoSpaceDN/>
        <w:bidi w:val="0"/>
        <w:adjustRightInd/>
        <w:snapToGrid/>
        <w:spacing w:line="500" w:lineRule="exact"/>
        <w:ind w:firstLine="480"/>
        <w:jc w:val="left"/>
        <w:textAlignment w:val="auto"/>
        <w:rPr>
          <w:rFonts w:hint="eastAsia" w:ascii="宋体" w:hAnsi="宋体" w:eastAsia="宋体" w:cs="宋体"/>
          <w:sz w:val="24"/>
          <w:szCs w:val="24"/>
        </w:rPr>
      </w:pPr>
      <w:r>
        <w:rPr>
          <w:rFonts w:hint="eastAsia" w:ascii="宋体" w:hAnsi="宋体" w:eastAsia="宋体" w:cs="宋体"/>
          <w:b/>
          <w:sz w:val="24"/>
          <w:szCs w:val="24"/>
        </w:rPr>
        <w:t>2.2.4.基础硬件</w:t>
      </w:r>
    </w:p>
    <w:tbl>
      <w:tblPr>
        <w:tblStyle w:val="4"/>
        <w:tblW w:w="0" w:type="auto"/>
        <w:tblInd w:w="0" w:type="dxa"/>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autofit"/>
        <w:tblCellMar>
          <w:top w:w="0" w:type="dxa"/>
          <w:left w:w="108" w:type="dxa"/>
          <w:bottom w:w="0" w:type="dxa"/>
          <w:right w:w="108" w:type="dxa"/>
        </w:tblCellMar>
      </w:tblPr>
      <w:tblGrid>
        <w:gridCol w:w="650"/>
        <w:gridCol w:w="1745"/>
        <w:gridCol w:w="4596"/>
        <w:gridCol w:w="650"/>
        <w:gridCol w:w="663"/>
      </w:tblGrid>
      <w:tr w14:paraId="0E4782C8">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50" w:type="dxa"/>
            <w:tcBorders>
              <w:top w:val="double" w:color="000000" w:sz="4" w:space="0"/>
              <w:left w:val="double" w:color="000000" w:sz="4" w:space="0"/>
              <w:bottom w:val="single" w:color="000000" w:sz="4" w:space="0"/>
              <w:right w:val="single" w:color="000000" w:sz="4" w:space="0"/>
            </w:tcBorders>
            <w:shd w:val="clear" w:color="auto" w:fill="BFBFBF"/>
            <w:tcMar>
              <w:top w:w="0" w:type="dxa"/>
              <w:left w:w="105" w:type="dxa"/>
              <w:bottom w:w="0" w:type="dxa"/>
              <w:right w:w="105" w:type="dxa"/>
            </w:tcMar>
            <w:vAlign w:val="top"/>
          </w:tcPr>
          <w:p w14:paraId="5ABE4556">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b/>
                <w:sz w:val="24"/>
                <w:szCs w:val="24"/>
              </w:rPr>
              <w:t>编号</w:t>
            </w:r>
          </w:p>
        </w:tc>
        <w:tc>
          <w:tcPr>
            <w:tcW w:w="1745" w:type="dxa"/>
            <w:tcBorders>
              <w:top w:val="double" w:color="000000" w:sz="4" w:space="0"/>
              <w:left w:val="single" w:color="000000" w:sz="4" w:space="0"/>
              <w:bottom w:val="single" w:color="000000" w:sz="4" w:space="0"/>
              <w:right w:val="single" w:color="000000" w:sz="4" w:space="0"/>
            </w:tcBorders>
            <w:shd w:val="clear" w:color="auto" w:fill="BFBFBF"/>
            <w:tcMar>
              <w:top w:w="0" w:type="dxa"/>
              <w:left w:w="105" w:type="dxa"/>
              <w:bottom w:w="0" w:type="dxa"/>
              <w:right w:w="105" w:type="dxa"/>
            </w:tcMar>
            <w:vAlign w:val="top"/>
          </w:tcPr>
          <w:p w14:paraId="27493715">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b/>
                <w:sz w:val="24"/>
                <w:szCs w:val="24"/>
              </w:rPr>
              <w:t>设备名称</w:t>
            </w:r>
          </w:p>
        </w:tc>
        <w:tc>
          <w:tcPr>
            <w:tcW w:w="4596" w:type="dxa"/>
            <w:tcBorders>
              <w:top w:val="double" w:color="000000" w:sz="4" w:space="0"/>
              <w:left w:val="single" w:color="000000" w:sz="4" w:space="0"/>
              <w:bottom w:val="single" w:color="000000" w:sz="4" w:space="0"/>
              <w:right w:val="single" w:color="000000" w:sz="4" w:space="0"/>
            </w:tcBorders>
            <w:shd w:val="clear" w:color="auto" w:fill="BFBFBF"/>
            <w:tcMar>
              <w:top w:w="0" w:type="dxa"/>
              <w:left w:w="105" w:type="dxa"/>
              <w:bottom w:w="0" w:type="dxa"/>
              <w:right w:w="105" w:type="dxa"/>
            </w:tcMar>
            <w:vAlign w:val="top"/>
          </w:tcPr>
          <w:p w14:paraId="38D4AAA0">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b/>
                <w:sz w:val="24"/>
                <w:szCs w:val="24"/>
              </w:rPr>
              <w:t>性能参数要求</w:t>
            </w:r>
          </w:p>
        </w:tc>
        <w:tc>
          <w:tcPr>
            <w:tcW w:w="650" w:type="dxa"/>
            <w:tcBorders>
              <w:top w:val="double" w:color="000000" w:sz="4" w:space="0"/>
              <w:left w:val="single" w:color="000000" w:sz="4" w:space="0"/>
              <w:bottom w:val="single" w:color="000000" w:sz="4" w:space="0"/>
              <w:right w:val="single" w:color="000000" w:sz="4" w:space="0"/>
            </w:tcBorders>
            <w:shd w:val="clear" w:color="auto" w:fill="BFBFBF"/>
            <w:tcMar>
              <w:top w:w="0" w:type="dxa"/>
              <w:left w:w="105" w:type="dxa"/>
              <w:bottom w:w="0" w:type="dxa"/>
              <w:right w:w="105" w:type="dxa"/>
            </w:tcMar>
            <w:vAlign w:val="top"/>
          </w:tcPr>
          <w:p w14:paraId="4A45C87A">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b/>
                <w:sz w:val="24"/>
                <w:szCs w:val="24"/>
              </w:rPr>
              <w:t>数量</w:t>
            </w:r>
          </w:p>
        </w:tc>
        <w:tc>
          <w:tcPr>
            <w:tcW w:w="663" w:type="dxa"/>
            <w:tcBorders>
              <w:top w:val="double" w:color="000000" w:sz="4" w:space="0"/>
              <w:left w:val="single" w:color="000000" w:sz="4" w:space="0"/>
              <w:bottom w:val="single" w:color="000000" w:sz="4" w:space="0"/>
              <w:right w:val="double" w:color="000000" w:sz="4" w:space="0"/>
            </w:tcBorders>
            <w:shd w:val="clear" w:color="auto" w:fill="BFBFBF"/>
            <w:tcMar>
              <w:top w:w="0" w:type="dxa"/>
              <w:left w:w="105" w:type="dxa"/>
              <w:bottom w:w="0" w:type="dxa"/>
              <w:right w:w="105" w:type="dxa"/>
            </w:tcMar>
            <w:vAlign w:val="top"/>
          </w:tcPr>
          <w:p w14:paraId="728B58EE">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b/>
                <w:sz w:val="24"/>
                <w:szCs w:val="24"/>
              </w:rPr>
              <w:t>单位</w:t>
            </w:r>
          </w:p>
        </w:tc>
      </w:tr>
      <w:tr w14:paraId="0E5FAF10">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50" w:type="dxa"/>
            <w:tcBorders>
              <w:top w:val="single" w:color="000000" w:sz="4" w:space="0"/>
              <w:left w:val="double" w:color="000000" w:sz="4" w:space="0"/>
              <w:bottom w:val="double" w:color="000000" w:sz="4" w:space="0"/>
              <w:right w:val="single" w:color="000000" w:sz="4" w:space="0"/>
            </w:tcBorders>
            <w:tcMar>
              <w:top w:w="0" w:type="dxa"/>
              <w:left w:w="105" w:type="dxa"/>
              <w:bottom w:w="0" w:type="dxa"/>
              <w:right w:w="105" w:type="dxa"/>
            </w:tcMar>
            <w:vAlign w:val="top"/>
          </w:tcPr>
          <w:p w14:paraId="756EE412">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1</w:t>
            </w:r>
          </w:p>
        </w:tc>
        <w:tc>
          <w:tcPr>
            <w:tcW w:w="1745" w:type="dxa"/>
            <w:tcBorders>
              <w:top w:val="single" w:color="000000" w:sz="4" w:space="0"/>
              <w:left w:val="single" w:color="000000" w:sz="4" w:space="0"/>
              <w:bottom w:val="double" w:color="000000" w:sz="4" w:space="0"/>
              <w:right w:val="single" w:color="000000" w:sz="4" w:space="0"/>
            </w:tcBorders>
            <w:tcMar>
              <w:top w:w="0" w:type="dxa"/>
              <w:left w:w="105" w:type="dxa"/>
              <w:bottom w:w="0" w:type="dxa"/>
              <w:right w:w="105" w:type="dxa"/>
            </w:tcMar>
            <w:vAlign w:val="top"/>
          </w:tcPr>
          <w:p w14:paraId="13D7827D">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语音采集智能设备(评审项112)</w:t>
            </w:r>
          </w:p>
        </w:tc>
        <w:tc>
          <w:tcPr>
            <w:tcW w:w="4596" w:type="dxa"/>
            <w:tcBorders>
              <w:top w:val="single" w:color="000000" w:sz="4" w:space="0"/>
              <w:left w:val="single" w:color="000000" w:sz="4" w:space="0"/>
              <w:bottom w:val="double" w:color="000000" w:sz="4" w:space="0"/>
              <w:right w:val="single" w:color="000000" w:sz="4" w:space="0"/>
            </w:tcBorders>
            <w:tcMar>
              <w:top w:w="0" w:type="dxa"/>
              <w:left w:w="105" w:type="dxa"/>
              <w:bottom w:w="0" w:type="dxa"/>
              <w:right w:w="105" w:type="dxa"/>
            </w:tcMar>
            <w:vAlign w:val="top"/>
          </w:tcPr>
          <w:p w14:paraId="2AAF1C6E">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类型:专业录音麦克风；连接方式:2.4G，指向特征:全指向/无指向；传输方式:支持有线/无线；供电方式:多种供电方式。</w:t>
            </w:r>
          </w:p>
        </w:tc>
        <w:tc>
          <w:tcPr>
            <w:tcW w:w="650" w:type="dxa"/>
            <w:tcBorders>
              <w:top w:val="single" w:color="000000" w:sz="4" w:space="0"/>
              <w:left w:val="single" w:color="000000" w:sz="4" w:space="0"/>
              <w:bottom w:val="double" w:color="000000" w:sz="4" w:space="0"/>
              <w:right w:val="single" w:color="000000" w:sz="4" w:space="0"/>
            </w:tcBorders>
            <w:tcMar>
              <w:top w:w="0" w:type="dxa"/>
              <w:left w:w="105" w:type="dxa"/>
              <w:bottom w:w="0" w:type="dxa"/>
              <w:right w:w="105" w:type="dxa"/>
            </w:tcMar>
            <w:vAlign w:val="top"/>
          </w:tcPr>
          <w:p w14:paraId="47AFAD83">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78</w:t>
            </w:r>
          </w:p>
        </w:tc>
        <w:tc>
          <w:tcPr>
            <w:tcW w:w="663" w:type="dxa"/>
            <w:tcBorders>
              <w:top w:val="single" w:color="000000" w:sz="4" w:space="0"/>
              <w:left w:val="single" w:color="000000" w:sz="4" w:space="0"/>
              <w:bottom w:val="double" w:color="000000" w:sz="4" w:space="0"/>
              <w:right w:val="double" w:color="000000" w:sz="4" w:space="0"/>
            </w:tcBorders>
            <w:shd w:val="clear" w:color="auto" w:fill="FFFFFF"/>
            <w:tcMar>
              <w:top w:w="0" w:type="dxa"/>
              <w:left w:w="105" w:type="dxa"/>
              <w:bottom w:w="0" w:type="dxa"/>
              <w:right w:w="105" w:type="dxa"/>
            </w:tcMar>
            <w:vAlign w:val="top"/>
          </w:tcPr>
          <w:p w14:paraId="4917F782">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台</w:t>
            </w:r>
          </w:p>
        </w:tc>
      </w:tr>
    </w:tbl>
    <w:p w14:paraId="15EFF3F7">
      <w:pPr>
        <w:pStyle w:val="6"/>
        <w:keepNext w:val="0"/>
        <w:keepLines w:val="0"/>
        <w:pageBreakBefore w:val="0"/>
        <w:kinsoku/>
        <w:wordWrap/>
        <w:overflowPunct/>
        <w:topLinePunct w:val="0"/>
        <w:autoSpaceDE/>
        <w:autoSpaceDN/>
        <w:bidi w:val="0"/>
        <w:adjustRightInd/>
        <w:snapToGrid/>
        <w:spacing w:line="500" w:lineRule="exact"/>
        <w:ind w:firstLine="480"/>
        <w:jc w:val="left"/>
        <w:textAlignment w:val="auto"/>
        <w:rPr>
          <w:rFonts w:hint="eastAsia" w:ascii="宋体" w:hAnsi="宋体" w:eastAsia="宋体" w:cs="宋体"/>
          <w:sz w:val="24"/>
          <w:szCs w:val="24"/>
        </w:rPr>
      </w:pPr>
      <w:r>
        <w:rPr>
          <w:rFonts w:hint="eastAsia" w:ascii="宋体" w:hAnsi="宋体" w:eastAsia="宋体" w:cs="宋体"/>
          <w:b/>
          <w:sz w:val="24"/>
          <w:szCs w:val="24"/>
        </w:rPr>
        <w:t>2.2.5.院内导航系统</w:t>
      </w:r>
    </w:p>
    <w:p w14:paraId="3C65DBB7">
      <w:pPr>
        <w:pStyle w:val="6"/>
        <w:keepNext w:val="0"/>
        <w:keepLines w:val="0"/>
        <w:pageBreakBefore w:val="0"/>
        <w:kinsoku/>
        <w:wordWrap/>
        <w:overflowPunct/>
        <w:topLinePunct w:val="0"/>
        <w:autoSpaceDE/>
        <w:autoSpaceDN/>
        <w:bidi w:val="0"/>
        <w:adjustRightInd/>
        <w:snapToGrid/>
        <w:spacing w:line="500" w:lineRule="exact"/>
        <w:ind w:left="855"/>
        <w:jc w:val="both"/>
        <w:textAlignment w:val="auto"/>
        <w:rPr>
          <w:rFonts w:hint="eastAsia" w:ascii="宋体" w:hAnsi="宋体" w:eastAsia="宋体" w:cs="宋体"/>
          <w:sz w:val="24"/>
          <w:szCs w:val="24"/>
        </w:rPr>
      </w:pPr>
      <w:r>
        <w:rPr>
          <w:rFonts w:hint="eastAsia" w:ascii="宋体" w:hAnsi="宋体" w:eastAsia="宋体" w:cs="宋体"/>
          <w:b/>
          <w:sz w:val="24"/>
          <w:szCs w:val="24"/>
        </w:rPr>
        <w:t>2.2.5.1.定位引擎(评审项113)</w:t>
      </w:r>
    </w:p>
    <w:p w14:paraId="3F008B2A">
      <w:pPr>
        <w:pStyle w:val="6"/>
        <w:keepNext w:val="0"/>
        <w:keepLines w:val="0"/>
        <w:pageBreakBefore w:val="0"/>
        <w:kinsoku/>
        <w:wordWrap/>
        <w:overflowPunct/>
        <w:topLinePunct w:val="0"/>
        <w:autoSpaceDE/>
        <w:autoSpaceDN/>
        <w:bidi w:val="0"/>
        <w:adjustRightInd/>
        <w:snapToGrid/>
        <w:spacing w:line="500" w:lineRule="exact"/>
        <w:ind w:left="855"/>
        <w:jc w:val="both"/>
        <w:textAlignment w:val="auto"/>
        <w:rPr>
          <w:rFonts w:hint="eastAsia" w:ascii="宋体" w:hAnsi="宋体" w:eastAsia="宋体" w:cs="宋体"/>
          <w:sz w:val="24"/>
          <w:szCs w:val="24"/>
        </w:rPr>
      </w:pPr>
      <w:r>
        <w:rPr>
          <w:rFonts w:hint="eastAsia" w:ascii="宋体" w:hAnsi="宋体" w:eastAsia="宋体" w:cs="宋体"/>
          <w:b/>
          <w:sz w:val="24"/>
          <w:szCs w:val="24"/>
        </w:rPr>
        <w:t>2.2.5.1.1.融合定位组件</w:t>
      </w:r>
    </w:p>
    <w:p w14:paraId="06531CF1">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支持厘米级定位能力，支持蓝牙RSSI定位、AOA定位、UWB定位、PDR辅助定位等多种定位技术，支持主被动定位模式。</w:t>
      </w:r>
    </w:p>
    <w:p w14:paraId="0DF105E2">
      <w:pPr>
        <w:pStyle w:val="6"/>
        <w:keepNext w:val="0"/>
        <w:keepLines w:val="0"/>
        <w:pageBreakBefore w:val="0"/>
        <w:kinsoku/>
        <w:wordWrap/>
        <w:overflowPunct/>
        <w:topLinePunct w:val="0"/>
        <w:autoSpaceDE/>
        <w:autoSpaceDN/>
        <w:bidi w:val="0"/>
        <w:adjustRightInd/>
        <w:snapToGrid/>
        <w:spacing w:line="500" w:lineRule="exact"/>
        <w:ind w:left="855"/>
        <w:jc w:val="both"/>
        <w:textAlignment w:val="auto"/>
        <w:rPr>
          <w:rFonts w:hint="eastAsia" w:ascii="宋体" w:hAnsi="宋体" w:eastAsia="宋体" w:cs="宋体"/>
          <w:sz w:val="24"/>
          <w:szCs w:val="24"/>
        </w:rPr>
      </w:pPr>
      <w:r>
        <w:rPr>
          <w:rFonts w:hint="eastAsia" w:ascii="宋体" w:hAnsi="宋体" w:eastAsia="宋体" w:cs="宋体"/>
          <w:b/>
          <w:sz w:val="24"/>
          <w:szCs w:val="24"/>
        </w:rPr>
        <w:t>2.2.5.1.2.多数据源处理组件</w:t>
      </w:r>
    </w:p>
    <w:p w14:paraId="02229C98">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支持对时延、到达角、信号强度等多源数据进行独立或联合处理，对复杂场景认知与去噪，实现高精度实时定位。</w:t>
      </w:r>
    </w:p>
    <w:p w14:paraId="1159B090">
      <w:pPr>
        <w:pStyle w:val="6"/>
        <w:keepNext w:val="0"/>
        <w:keepLines w:val="0"/>
        <w:pageBreakBefore w:val="0"/>
        <w:kinsoku/>
        <w:wordWrap/>
        <w:overflowPunct/>
        <w:topLinePunct w:val="0"/>
        <w:autoSpaceDE/>
        <w:autoSpaceDN/>
        <w:bidi w:val="0"/>
        <w:adjustRightInd/>
        <w:snapToGrid/>
        <w:spacing w:line="500" w:lineRule="exact"/>
        <w:ind w:left="855"/>
        <w:jc w:val="both"/>
        <w:textAlignment w:val="auto"/>
        <w:rPr>
          <w:rFonts w:hint="eastAsia" w:ascii="宋体" w:hAnsi="宋体" w:eastAsia="宋体" w:cs="宋体"/>
          <w:sz w:val="24"/>
          <w:szCs w:val="24"/>
        </w:rPr>
      </w:pPr>
      <w:r>
        <w:rPr>
          <w:rFonts w:hint="eastAsia" w:ascii="宋体" w:hAnsi="宋体" w:eastAsia="宋体" w:cs="宋体"/>
          <w:b/>
          <w:sz w:val="24"/>
          <w:szCs w:val="24"/>
        </w:rPr>
        <w:t>2.2.5.2.地图引擎(评审项114)</w:t>
      </w:r>
    </w:p>
    <w:p w14:paraId="6438DA72">
      <w:pPr>
        <w:pStyle w:val="6"/>
        <w:keepNext w:val="0"/>
        <w:keepLines w:val="0"/>
        <w:pageBreakBefore w:val="0"/>
        <w:kinsoku/>
        <w:wordWrap/>
        <w:overflowPunct/>
        <w:topLinePunct w:val="0"/>
        <w:autoSpaceDE/>
        <w:autoSpaceDN/>
        <w:bidi w:val="0"/>
        <w:adjustRightInd/>
        <w:snapToGrid/>
        <w:spacing w:line="500" w:lineRule="exact"/>
        <w:ind w:left="855"/>
        <w:jc w:val="both"/>
        <w:textAlignment w:val="auto"/>
        <w:rPr>
          <w:rFonts w:hint="eastAsia" w:ascii="宋体" w:hAnsi="宋体" w:eastAsia="宋体" w:cs="宋体"/>
          <w:sz w:val="24"/>
          <w:szCs w:val="24"/>
        </w:rPr>
      </w:pPr>
      <w:r>
        <w:rPr>
          <w:rFonts w:hint="eastAsia" w:ascii="宋体" w:hAnsi="宋体" w:eastAsia="宋体" w:cs="宋体"/>
          <w:b/>
          <w:sz w:val="24"/>
          <w:szCs w:val="24"/>
        </w:rPr>
        <w:t>2.2.5.2.1.地图预览组件</w:t>
      </w:r>
    </w:p>
    <w:p w14:paraId="33A48357">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具有数字地图预览等操作，包括放大、缩小，平移、旋转、能够实现单/多楼层同时展示等。</w:t>
      </w:r>
    </w:p>
    <w:p w14:paraId="756F57B2">
      <w:pPr>
        <w:pStyle w:val="6"/>
        <w:keepNext w:val="0"/>
        <w:keepLines w:val="0"/>
        <w:pageBreakBefore w:val="0"/>
        <w:kinsoku/>
        <w:wordWrap/>
        <w:overflowPunct/>
        <w:topLinePunct w:val="0"/>
        <w:autoSpaceDE/>
        <w:autoSpaceDN/>
        <w:bidi w:val="0"/>
        <w:adjustRightInd/>
        <w:snapToGrid/>
        <w:spacing w:line="500" w:lineRule="exact"/>
        <w:ind w:left="855"/>
        <w:jc w:val="both"/>
        <w:textAlignment w:val="auto"/>
        <w:rPr>
          <w:rFonts w:hint="eastAsia" w:ascii="宋体" w:hAnsi="宋体" w:eastAsia="宋体" w:cs="宋体"/>
          <w:sz w:val="24"/>
          <w:szCs w:val="24"/>
        </w:rPr>
      </w:pPr>
      <w:r>
        <w:rPr>
          <w:rFonts w:hint="eastAsia" w:ascii="宋体" w:hAnsi="宋体" w:eastAsia="宋体" w:cs="宋体"/>
          <w:b/>
          <w:sz w:val="24"/>
          <w:szCs w:val="24"/>
        </w:rPr>
        <w:t>2.2.5.2.2.模型组件</w:t>
      </w:r>
    </w:p>
    <w:p w14:paraId="1E921039">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地图内的结构或科室均有符合医院标准的名称标注，可点击查看具体模型信息，且名称与详细内容可以通过系统后台进行设置。</w:t>
      </w:r>
    </w:p>
    <w:p w14:paraId="28D8C7CC">
      <w:pPr>
        <w:pStyle w:val="6"/>
        <w:keepNext w:val="0"/>
        <w:keepLines w:val="0"/>
        <w:pageBreakBefore w:val="0"/>
        <w:kinsoku/>
        <w:wordWrap/>
        <w:overflowPunct/>
        <w:topLinePunct w:val="0"/>
        <w:autoSpaceDE/>
        <w:autoSpaceDN/>
        <w:bidi w:val="0"/>
        <w:adjustRightInd/>
        <w:snapToGrid/>
        <w:spacing w:line="500" w:lineRule="exact"/>
        <w:ind w:left="855"/>
        <w:jc w:val="both"/>
        <w:textAlignment w:val="auto"/>
        <w:rPr>
          <w:rFonts w:hint="eastAsia" w:ascii="宋体" w:hAnsi="宋体" w:eastAsia="宋体" w:cs="宋体"/>
          <w:sz w:val="24"/>
          <w:szCs w:val="24"/>
        </w:rPr>
      </w:pPr>
      <w:r>
        <w:rPr>
          <w:rFonts w:hint="eastAsia" w:ascii="宋体" w:hAnsi="宋体" w:eastAsia="宋体" w:cs="宋体"/>
          <w:b/>
          <w:sz w:val="24"/>
          <w:szCs w:val="24"/>
        </w:rPr>
        <w:t>2.2.5.2.3.SDK组件</w:t>
      </w:r>
    </w:p>
    <w:p w14:paraId="4CDC2B43">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具有开放的地图生态，提供丰富的地图SDK接口，具有很强的扩展性。</w:t>
      </w:r>
    </w:p>
    <w:p w14:paraId="1DF5C162">
      <w:pPr>
        <w:pStyle w:val="6"/>
        <w:keepNext w:val="0"/>
        <w:keepLines w:val="0"/>
        <w:pageBreakBefore w:val="0"/>
        <w:kinsoku/>
        <w:wordWrap/>
        <w:overflowPunct/>
        <w:topLinePunct w:val="0"/>
        <w:autoSpaceDE/>
        <w:autoSpaceDN/>
        <w:bidi w:val="0"/>
        <w:adjustRightInd/>
        <w:snapToGrid/>
        <w:spacing w:line="500" w:lineRule="exact"/>
        <w:ind w:left="855"/>
        <w:jc w:val="both"/>
        <w:textAlignment w:val="auto"/>
        <w:rPr>
          <w:rFonts w:hint="eastAsia" w:ascii="宋体" w:hAnsi="宋体" w:eastAsia="宋体" w:cs="宋体"/>
          <w:sz w:val="24"/>
          <w:szCs w:val="24"/>
        </w:rPr>
      </w:pPr>
      <w:r>
        <w:rPr>
          <w:rFonts w:hint="eastAsia" w:ascii="宋体" w:hAnsi="宋体" w:eastAsia="宋体" w:cs="宋体"/>
          <w:b/>
          <w:sz w:val="24"/>
          <w:szCs w:val="24"/>
        </w:rPr>
        <w:t>2.2.5.2.4.地图引擎模块</w:t>
      </w:r>
    </w:p>
    <w:p w14:paraId="7741322E">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支持2.5D地图引擎、倾斜摄影地图引擎、三维建模地图引擎，支持多数据源的地图引擎。</w:t>
      </w:r>
    </w:p>
    <w:p w14:paraId="0EBA12A2">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b/>
          <w:sz w:val="24"/>
          <w:szCs w:val="24"/>
        </w:rPr>
        <w:t>2.2.5.3.室内定位信标(评审项115)</w:t>
      </w:r>
    </w:p>
    <w:p w14:paraId="10EE11F0">
      <w:pPr>
        <w:pStyle w:val="6"/>
        <w:keepNext w:val="0"/>
        <w:keepLines w:val="0"/>
        <w:pageBreakBefore w:val="0"/>
        <w:numPr>
          <w:ilvl w:val="0"/>
          <w:numId w:val="1"/>
        </w:numPr>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sz w:val="24"/>
          <w:szCs w:val="24"/>
        </w:rPr>
        <w:t>支持BluetoothBLE5.1和标准iBeacon协议；</w:t>
      </w:r>
    </w:p>
    <w:p w14:paraId="3BAC9DF8">
      <w:pPr>
        <w:pStyle w:val="6"/>
        <w:keepNext w:val="0"/>
        <w:keepLines w:val="0"/>
        <w:pageBreakBefore w:val="0"/>
        <w:numPr>
          <w:ilvl w:val="0"/>
          <w:numId w:val="1"/>
        </w:numPr>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sz w:val="24"/>
          <w:szCs w:val="24"/>
        </w:rPr>
        <w:t>尺寸直径≤70mm，厚度≤25mm；</w:t>
      </w:r>
    </w:p>
    <w:p w14:paraId="257967EF">
      <w:pPr>
        <w:pStyle w:val="6"/>
        <w:keepNext w:val="0"/>
        <w:keepLines w:val="0"/>
        <w:pageBreakBefore w:val="0"/>
        <w:numPr>
          <w:ilvl w:val="0"/>
          <w:numId w:val="1"/>
        </w:numPr>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sz w:val="24"/>
          <w:szCs w:val="24"/>
        </w:rPr>
        <w:t>内置锂电池，续航时间≥4年；</w:t>
      </w:r>
    </w:p>
    <w:p w14:paraId="6DD804AD">
      <w:pPr>
        <w:pStyle w:val="6"/>
        <w:keepNext w:val="0"/>
        <w:keepLines w:val="0"/>
        <w:pageBreakBefore w:val="0"/>
        <w:numPr>
          <w:ilvl w:val="0"/>
          <w:numId w:val="1"/>
        </w:numPr>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sz w:val="24"/>
          <w:szCs w:val="24"/>
        </w:rPr>
        <w:t>支持VHB背胶固定安装，同时支持螺丝固定安装方式，安装效果稳定可靠；</w:t>
      </w:r>
    </w:p>
    <w:p w14:paraId="6CBC4487">
      <w:pPr>
        <w:pStyle w:val="6"/>
        <w:keepNext w:val="0"/>
        <w:keepLines w:val="0"/>
        <w:pageBreakBefore w:val="0"/>
        <w:numPr>
          <w:ilvl w:val="0"/>
          <w:numId w:val="1"/>
        </w:numPr>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sz w:val="24"/>
          <w:szCs w:val="24"/>
        </w:rPr>
        <w:t>产品符合国家电磁兼容标准</w:t>
      </w:r>
    </w:p>
    <w:p w14:paraId="270CC51A">
      <w:pPr>
        <w:pStyle w:val="6"/>
        <w:keepNext w:val="0"/>
        <w:keepLines w:val="0"/>
        <w:pageBreakBefore w:val="0"/>
        <w:numPr>
          <w:ilvl w:val="0"/>
          <w:numId w:val="1"/>
        </w:numPr>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sz w:val="24"/>
          <w:szCs w:val="24"/>
        </w:rPr>
        <w:t>防水防尘，防护等级≥IP65。</w:t>
      </w:r>
      <w:r>
        <w:rPr>
          <w:rFonts w:hint="eastAsia" w:ascii="宋体" w:hAnsi="宋体" w:eastAsia="宋体" w:cs="宋体"/>
          <w:b/>
          <w:sz w:val="24"/>
          <w:szCs w:val="24"/>
        </w:rPr>
        <w:t>（投标人须提供测试报告进行佐证，测试报告中受检（或委托）单位须为相应产品的制造商或投标人）</w:t>
      </w:r>
    </w:p>
    <w:p w14:paraId="40AE1461">
      <w:pPr>
        <w:pStyle w:val="6"/>
        <w:keepNext w:val="0"/>
        <w:keepLines w:val="0"/>
        <w:pageBreakBefore w:val="0"/>
        <w:kinsoku/>
        <w:wordWrap/>
        <w:overflowPunct/>
        <w:topLinePunct w:val="0"/>
        <w:autoSpaceDE/>
        <w:autoSpaceDN/>
        <w:bidi w:val="0"/>
        <w:adjustRightInd/>
        <w:snapToGrid/>
        <w:spacing w:line="500" w:lineRule="exact"/>
        <w:ind w:left="855"/>
        <w:jc w:val="both"/>
        <w:textAlignment w:val="auto"/>
        <w:rPr>
          <w:rFonts w:hint="eastAsia" w:ascii="宋体" w:hAnsi="宋体" w:eastAsia="宋体" w:cs="宋体"/>
          <w:sz w:val="24"/>
          <w:szCs w:val="24"/>
        </w:rPr>
      </w:pPr>
      <w:r>
        <w:rPr>
          <w:rFonts w:hint="eastAsia" w:ascii="宋体" w:hAnsi="宋体" w:eastAsia="宋体" w:cs="宋体"/>
          <w:b/>
          <w:sz w:val="24"/>
          <w:szCs w:val="24"/>
        </w:rPr>
        <w:t>2.2.5.4.室外定位信标(评审项116)</w:t>
      </w:r>
    </w:p>
    <w:p w14:paraId="1E0CA7AA">
      <w:pPr>
        <w:pStyle w:val="6"/>
        <w:keepNext w:val="0"/>
        <w:keepLines w:val="0"/>
        <w:pageBreakBefore w:val="0"/>
        <w:numPr>
          <w:ilvl w:val="0"/>
          <w:numId w:val="1"/>
        </w:numPr>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sz w:val="24"/>
          <w:szCs w:val="24"/>
        </w:rPr>
        <w:t>支持Bluetooth BLE 4.0和标准iBeacon协议；</w:t>
      </w:r>
    </w:p>
    <w:p w14:paraId="33A37780">
      <w:pPr>
        <w:pStyle w:val="6"/>
        <w:keepNext w:val="0"/>
        <w:keepLines w:val="0"/>
        <w:pageBreakBefore w:val="0"/>
        <w:numPr>
          <w:ilvl w:val="0"/>
          <w:numId w:val="1"/>
        </w:numPr>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sz w:val="24"/>
          <w:szCs w:val="24"/>
        </w:rPr>
        <w:t>内置锂亚电池，续航≥8年；</w:t>
      </w:r>
    </w:p>
    <w:p w14:paraId="2F38C9DE">
      <w:pPr>
        <w:pStyle w:val="6"/>
        <w:keepNext w:val="0"/>
        <w:keepLines w:val="0"/>
        <w:pageBreakBefore w:val="0"/>
        <w:numPr>
          <w:ilvl w:val="0"/>
          <w:numId w:val="1"/>
        </w:numPr>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sz w:val="24"/>
          <w:szCs w:val="24"/>
        </w:rPr>
        <w:t>支持贴地安装、挂墙安装；</w:t>
      </w:r>
    </w:p>
    <w:p w14:paraId="6EE09A4F">
      <w:pPr>
        <w:pStyle w:val="6"/>
        <w:keepNext w:val="0"/>
        <w:keepLines w:val="0"/>
        <w:pageBreakBefore w:val="0"/>
        <w:numPr>
          <w:ilvl w:val="0"/>
          <w:numId w:val="1"/>
        </w:numPr>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sz w:val="24"/>
          <w:szCs w:val="24"/>
        </w:rPr>
        <w:t>设备需要防水防尘，防护等级≥IP68；</w:t>
      </w:r>
      <w:r>
        <w:rPr>
          <w:rFonts w:hint="eastAsia" w:ascii="宋体" w:hAnsi="宋体" w:eastAsia="宋体" w:cs="宋体"/>
          <w:b/>
          <w:sz w:val="24"/>
          <w:szCs w:val="24"/>
        </w:rPr>
        <w:t>（投标人须提供测试报告进行佐证，测试报告中受检（或委托）单位须为相应产品的制造商或投标人）</w:t>
      </w:r>
    </w:p>
    <w:p w14:paraId="409C4484">
      <w:pPr>
        <w:pStyle w:val="6"/>
        <w:keepNext w:val="0"/>
        <w:keepLines w:val="0"/>
        <w:pageBreakBefore w:val="0"/>
        <w:numPr>
          <w:ilvl w:val="0"/>
          <w:numId w:val="1"/>
        </w:numPr>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sz w:val="24"/>
          <w:szCs w:val="24"/>
        </w:rPr>
        <w:t>设备需要防腐；</w:t>
      </w:r>
      <w:r>
        <w:rPr>
          <w:rFonts w:hint="eastAsia" w:ascii="宋体" w:hAnsi="宋体" w:eastAsia="宋体" w:cs="宋体"/>
          <w:b/>
          <w:sz w:val="24"/>
          <w:szCs w:val="24"/>
        </w:rPr>
        <w:t>（投标人须提供测试报告进行佐证，测试报告中受检（或委托）单位须为相应产品的制造商或投标人）</w:t>
      </w:r>
    </w:p>
    <w:p w14:paraId="24E63B71">
      <w:pPr>
        <w:pStyle w:val="6"/>
        <w:keepNext w:val="0"/>
        <w:keepLines w:val="0"/>
        <w:pageBreakBefore w:val="0"/>
        <w:numPr>
          <w:ilvl w:val="0"/>
          <w:numId w:val="1"/>
        </w:numPr>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sz w:val="24"/>
          <w:szCs w:val="24"/>
        </w:rPr>
        <w:t>设备需要抗压，在承受不低于200KN的压力下，外壳无破裂、信号无断开；</w:t>
      </w:r>
      <w:r>
        <w:rPr>
          <w:rFonts w:hint="eastAsia" w:ascii="宋体" w:hAnsi="宋体" w:eastAsia="宋体" w:cs="宋体"/>
          <w:b/>
          <w:sz w:val="24"/>
          <w:szCs w:val="24"/>
        </w:rPr>
        <w:t>（投标人须提供测试报告进行佐证，测试报告中受检（或委托）单位须为相应产品的制造商或投标人）</w:t>
      </w:r>
    </w:p>
    <w:p w14:paraId="61596AD7">
      <w:pPr>
        <w:pStyle w:val="6"/>
        <w:keepNext w:val="0"/>
        <w:keepLines w:val="0"/>
        <w:pageBreakBefore w:val="0"/>
        <w:numPr>
          <w:ilvl w:val="0"/>
          <w:numId w:val="1"/>
        </w:numPr>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sz w:val="24"/>
          <w:szCs w:val="24"/>
        </w:rPr>
        <w:t>设备符合国家SAR电磁辐射要求标准。</w:t>
      </w:r>
      <w:r>
        <w:rPr>
          <w:rFonts w:hint="eastAsia" w:ascii="宋体" w:hAnsi="宋体" w:eastAsia="宋体" w:cs="宋体"/>
          <w:b/>
          <w:sz w:val="24"/>
          <w:szCs w:val="24"/>
        </w:rPr>
        <w:t>（投标人须提供测试报告进行佐证，测试报告中受检（或委托）单位须为相应产品的制造商或投标人）</w:t>
      </w:r>
    </w:p>
    <w:p w14:paraId="221A9A83">
      <w:pPr>
        <w:pStyle w:val="6"/>
        <w:keepNext w:val="0"/>
        <w:keepLines w:val="0"/>
        <w:pageBreakBefore w:val="0"/>
        <w:kinsoku/>
        <w:wordWrap/>
        <w:overflowPunct/>
        <w:topLinePunct w:val="0"/>
        <w:autoSpaceDE/>
        <w:autoSpaceDN/>
        <w:bidi w:val="0"/>
        <w:adjustRightInd/>
        <w:snapToGrid/>
        <w:spacing w:line="500" w:lineRule="exact"/>
        <w:ind w:left="855"/>
        <w:jc w:val="both"/>
        <w:textAlignment w:val="auto"/>
        <w:rPr>
          <w:rFonts w:hint="eastAsia" w:ascii="宋体" w:hAnsi="宋体" w:eastAsia="宋体" w:cs="宋体"/>
          <w:sz w:val="24"/>
          <w:szCs w:val="24"/>
        </w:rPr>
      </w:pPr>
      <w:r>
        <w:rPr>
          <w:rFonts w:hint="eastAsia" w:ascii="宋体" w:hAnsi="宋体" w:eastAsia="宋体" w:cs="宋体"/>
          <w:b/>
          <w:sz w:val="24"/>
          <w:szCs w:val="24"/>
        </w:rPr>
        <w:t>2.2.5.5.物联信标(评审项117)</w:t>
      </w:r>
    </w:p>
    <w:p w14:paraId="2EFC1E30">
      <w:pPr>
        <w:pStyle w:val="6"/>
        <w:keepNext w:val="0"/>
        <w:keepLines w:val="0"/>
        <w:pageBreakBefore w:val="0"/>
        <w:numPr>
          <w:ilvl w:val="0"/>
          <w:numId w:val="1"/>
        </w:numPr>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sz w:val="24"/>
          <w:szCs w:val="24"/>
        </w:rPr>
        <w:t>支持协议Bluetooth BLE4.0、标准iBeacon协议、NB-IoT；</w:t>
      </w:r>
    </w:p>
    <w:p w14:paraId="77019AA2">
      <w:pPr>
        <w:pStyle w:val="6"/>
        <w:keepNext w:val="0"/>
        <w:keepLines w:val="0"/>
        <w:pageBreakBefore w:val="0"/>
        <w:numPr>
          <w:ilvl w:val="0"/>
          <w:numId w:val="1"/>
        </w:numPr>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sz w:val="24"/>
          <w:szCs w:val="24"/>
        </w:rPr>
        <w:t>电池容量：≥4800Ah，支持电池更换；</w:t>
      </w:r>
    </w:p>
    <w:p w14:paraId="3FE1A7E4">
      <w:pPr>
        <w:pStyle w:val="6"/>
        <w:keepNext w:val="0"/>
        <w:keepLines w:val="0"/>
        <w:pageBreakBefore w:val="0"/>
        <w:numPr>
          <w:ilvl w:val="0"/>
          <w:numId w:val="1"/>
        </w:numPr>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sz w:val="24"/>
          <w:szCs w:val="24"/>
        </w:rPr>
        <w:t>续航时间≥4年；</w:t>
      </w:r>
    </w:p>
    <w:p w14:paraId="1F41D7AC">
      <w:pPr>
        <w:pStyle w:val="6"/>
        <w:keepNext w:val="0"/>
        <w:keepLines w:val="0"/>
        <w:pageBreakBefore w:val="0"/>
        <w:numPr>
          <w:ilvl w:val="0"/>
          <w:numId w:val="1"/>
        </w:numPr>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sz w:val="24"/>
          <w:szCs w:val="24"/>
        </w:rPr>
        <w:t>尺寸：直径≤70mm，厚度≤37mm；</w:t>
      </w:r>
    </w:p>
    <w:p w14:paraId="067E1117">
      <w:pPr>
        <w:pStyle w:val="6"/>
        <w:keepNext w:val="0"/>
        <w:keepLines w:val="0"/>
        <w:pageBreakBefore w:val="0"/>
        <w:numPr>
          <w:ilvl w:val="0"/>
          <w:numId w:val="1"/>
        </w:numPr>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sz w:val="24"/>
          <w:szCs w:val="24"/>
        </w:rPr>
        <w:t>支持APP配置；</w:t>
      </w:r>
    </w:p>
    <w:p w14:paraId="1A182D3F">
      <w:pPr>
        <w:pStyle w:val="6"/>
        <w:keepNext w:val="0"/>
        <w:keepLines w:val="0"/>
        <w:pageBreakBefore w:val="0"/>
        <w:numPr>
          <w:ilvl w:val="0"/>
          <w:numId w:val="1"/>
        </w:numPr>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sz w:val="24"/>
          <w:szCs w:val="24"/>
        </w:rPr>
        <w:t>支持防水防尘，防护等级≥IP64；</w:t>
      </w:r>
      <w:r>
        <w:rPr>
          <w:rFonts w:hint="eastAsia" w:ascii="宋体" w:hAnsi="宋体" w:eastAsia="宋体" w:cs="宋体"/>
          <w:b/>
          <w:sz w:val="24"/>
          <w:szCs w:val="24"/>
        </w:rPr>
        <w:t>（投标人须提供测试报告进行佐证，测试报告中受检（或委托）单位须为相应产品的制造商或投标人）</w:t>
      </w:r>
    </w:p>
    <w:p w14:paraId="2C8F16BE">
      <w:pPr>
        <w:pStyle w:val="6"/>
        <w:keepNext w:val="0"/>
        <w:keepLines w:val="0"/>
        <w:pageBreakBefore w:val="0"/>
        <w:numPr>
          <w:ilvl w:val="0"/>
          <w:numId w:val="1"/>
        </w:numPr>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sz w:val="24"/>
          <w:szCs w:val="24"/>
        </w:rPr>
        <w:t>具有扫描物联终端电量、信号强度、离在线等功能，每日数据支持自动更新且全覆盖，实现医院物联终端运维的智能化和自动化。</w:t>
      </w:r>
    </w:p>
    <w:p w14:paraId="6E6A9E1D">
      <w:pPr>
        <w:pStyle w:val="6"/>
        <w:keepNext w:val="0"/>
        <w:keepLines w:val="0"/>
        <w:pageBreakBefore w:val="0"/>
        <w:kinsoku/>
        <w:wordWrap/>
        <w:overflowPunct/>
        <w:topLinePunct w:val="0"/>
        <w:autoSpaceDE/>
        <w:autoSpaceDN/>
        <w:bidi w:val="0"/>
        <w:adjustRightInd/>
        <w:snapToGrid/>
        <w:spacing w:line="500" w:lineRule="exact"/>
        <w:ind w:left="855"/>
        <w:jc w:val="both"/>
        <w:textAlignment w:val="auto"/>
        <w:rPr>
          <w:rFonts w:hint="eastAsia" w:ascii="宋体" w:hAnsi="宋体" w:eastAsia="宋体" w:cs="宋体"/>
          <w:sz w:val="24"/>
          <w:szCs w:val="24"/>
        </w:rPr>
      </w:pPr>
      <w:r>
        <w:rPr>
          <w:rFonts w:hint="eastAsia" w:ascii="宋体" w:hAnsi="宋体" w:eastAsia="宋体" w:cs="宋体"/>
          <w:b/>
          <w:sz w:val="24"/>
          <w:szCs w:val="24"/>
        </w:rPr>
        <w:t>2.2.5.6.导航大屏幕(评审项118)</w:t>
      </w:r>
    </w:p>
    <w:p w14:paraId="68DBD2C4">
      <w:pPr>
        <w:pStyle w:val="6"/>
        <w:keepNext w:val="0"/>
        <w:keepLines w:val="0"/>
        <w:pageBreakBefore w:val="0"/>
        <w:numPr>
          <w:ilvl w:val="0"/>
          <w:numId w:val="1"/>
        </w:numPr>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sz w:val="24"/>
          <w:szCs w:val="24"/>
        </w:rPr>
        <w:t>显示面板：≥55英寸；</w:t>
      </w:r>
    </w:p>
    <w:p w14:paraId="64E2A662">
      <w:pPr>
        <w:pStyle w:val="6"/>
        <w:keepNext w:val="0"/>
        <w:keepLines w:val="0"/>
        <w:pageBreakBefore w:val="0"/>
        <w:numPr>
          <w:ilvl w:val="0"/>
          <w:numId w:val="1"/>
        </w:numPr>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sz w:val="24"/>
          <w:szCs w:val="24"/>
        </w:rPr>
        <w:t>分辨率：不低于1920×1080（16:9）；</w:t>
      </w:r>
    </w:p>
    <w:p w14:paraId="4EAC148F">
      <w:pPr>
        <w:pStyle w:val="6"/>
        <w:keepNext w:val="0"/>
        <w:keepLines w:val="0"/>
        <w:pageBreakBefore w:val="0"/>
        <w:numPr>
          <w:ilvl w:val="0"/>
          <w:numId w:val="1"/>
        </w:numPr>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sz w:val="24"/>
          <w:szCs w:val="24"/>
        </w:rPr>
        <w:t>触摸类型：电容；</w:t>
      </w:r>
    </w:p>
    <w:p w14:paraId="6F22A1D4">
      <w:pPr>
        <w:pStyle w:val="6"/>
        <w:keepNext w:val="0"/>
        <w:keepLines w:val="0"/>
        <w:pageBreakBefore w:val="0"/>
        <w:numPr>
          <w:ilvl w:val="0"/>
          <w:numId w:val="1"/>
        </w:numPr>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sz w:val="24"/>
          <w:szCs w:val="24"/>
        </w:rPr>
        <w:t>接口：支持WiFi天线/HDMI/LAN/USB；</w:t>
      </w:r>
    </w:p>
    <w:p w14:paraId="2E17A1A2">
      <w:pPr>
        <w:pStyle w:val="6"/>
        <w:keepNext w:val="0"/>
        <w:keepLines w:val="0"/>
        <w:pageBreakBefore w:val="0"/>
        <w:numPr>
          <w:ilvl w:val="0"/>
          <w:numId w:val="1"/>
        </w:numPr>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sz w:val="24"/>
          <w:szCs w:val="24"/>
        </w:rPr>
        <w:t>配置：预装国产操作系统 ，内存≥8G，硬盘≥256G固态硬盘，2G独显，国产CPU 4核8线程，主频≥2.0Ghz。</w:t>
      </w:r>
    </w:p>
    <w:p w14:paraId="0AE68BD1">
      <w:pPr>
        <w:pStyle w:val="6"/>
        <w:keepNext w:val="0"/>
        <w:keepLines w:val="0"/>
        <w:pageBreakBefore w:val="0"/>
        <w:kinsoku/>
        <w:wordWrap/>
        <w:overflowPunct/>
        <w:topLinePunct w:val="0"/>
        <w:autoSpaceDE/>
        <w:autoSpaceDN/>
        <w:bidi w:val="0"/>
        <w:adjustRightInd/>
        <w:snapToGrid/>
        <w:spacing w:line="500" w:lineRule="exact"/>
        <w:ind w:left="855"/>
        <w:jc w:val="both"/>
        <w:textAlignment w:val="auto"/>
        <w:rPr>
          <w:rFonts w:hint="eastAsia" w:ascii="宋体" w:hAnsi="宋体" w:eastAsia="宋体" w:cs="宋体"/>
          <w:sz w:val="24"/>
          <w:szCs w:val="24"/>
        </w:rPr>
      </w:pPr>
      <w:r>
        <w:rPr>
          <w:rFonts w:hint="eastAsia" w:ascii="宋体" w:hAnsi="宋体" w:eastAsia="宋体" w:cs="宋体"/>
          <w:b/>
          <w:sz w:val="24"/>
          <w:szCs w:val="24"/>
        </w:rPr>
        <w:t>2.2.5.7.手机导诊陪诊软件(评审项119)</w:t>
      </w:r>
    </w:p>
    <w:p w14:paraId="468835E0">
      <w:pPr>
        <w:pStyle w:val="6"/>
        <w:keepNext w:val="0"/>
        <w:keepLines w:val="0"/>
        <w:pageBreakBefore w:val="0"/>
        <w:kinsoku/>
        <w:wordWrap/>
        <w:overflowPunct/>
        <w:topLinePunct w:val="0"/>
        <w:autoSpaceDE/>
        <w:autoSpaceDN/>
        <w:bidi w:val="0"/>
        <w:adjustRightInd/>
        <w:snapToGrid/>
        <w:spacing w:line="500" w:lineRule="exact"/>
        <w:ind w:left="855"/>
        <w:jc w:val="both"/>
        <w:textAlignment w:val="auto"/>
        <w:rPr>
          <w:rFonts w:hint="eastAsia" w:ascii="宋体" w:hAnsi="宋体" w:eastAsia="宋体" w:cs="宋体"/>
          <w:sz w:val="24"/>
          <w:szCs w:val="24"/>
        </w:rPr>
      </w:pPr>
      <w:r>
        <w:rPr>
          <w:rFonts w:hint="eastAsia" w:ascii="宋体" w:hAnsi="宋体" w:eastAsia="宋体" w:cs="宋体"/>
          <w:b/>
          <w:sz w:val="24"/>
          <w:szCs w:val="24"/>
        </w:rPr>
        <w:t>2.2.5.7.1.地图组件</w:t>
      </w:r>
    </w:p>
    <w:p w14:paraId="2A5AF1C1">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地图支持2D、3D 模式自由切换；具有楼宇、楼层科室类别展示功能，系统将每层楼分布的大致科室、房间布局名称列于列表，用户可查看各楼宇或楼层科室信息并快速定位目的地；具备指北针控件、缩放控件、楼层切换控件。</w:t>
      </w:r>
    </w:p>
    <w:p w14:paraId="7BFED28A">
      <w:pPr>
        <w:pStyle w:val="6"/>
        <w:keepNext w:val="0"/>
        <w:keepLines w:val="0"/>
        <w:pageBreakBefore w:val="0"/>
        <w:kinsoku/>
        <w:wordWrap/>
        <w:overflowPunct/>
        <w:topLinePunct w:val="0"/>
        <w:autoSpaceDE/>
        <w:autoSpaceDN/>
        <w:bidi w:val="0"/>
        <w:adjustRightInd/>
        <w:snapToGrid/>
        <w:spacing w:line="500" w:lineRule="exact"/>
        <w:ind w:left="855"/>
        <w:jc w:val="both"/>
        <w:textAlignment w:val="auto"/>
        <w:rPr>
          <w:rFonts w:hint="eastAsia" w:ascii="宋体" w:hAnsi="宋体" w:eastAsia="宋体" w:cs="宋体"/>
          <w:sz w:val="24"/>
          <w:szCs w:val="24"/>
        </w:rPr>
      </w:pPr>
      <w:r>
        <w:rPr>
          <w:rFonts w:hint="eastAsia" w:ascii="宋体" w:hAnsi="宋体" w:eastAsia="宋体" w:cs="宋体"/>
          <w:b/>
          <w:sz w:val="24"/>
          <w:szCs w:val="24"/>
        </w:rPr>
        <w:t>2.2.5.7.2.医院信息</w:t>
      </w:r>
    </w:p>
    <w:p w14:paraId="70383C37">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具有医院信息模块，可作为医院宣传的窗口，发布医院简介。</w:t>
      </w:r>
    </w:p>
    <w:p w14:paraId="4661103F">
      <w:pPr>
        <w:pStyle w:val="6"/>
        <w:keepNext w:val="0"/>
        <w:keepLines w:val="0"/>
        <w:pageBreakBefore w:val="0"/>
        <w:kinsoku/>
        <w:wordWrap/>
        <w:overflowPunct/>
        <w:topLinePunct w:val="0"/>
        <w:autoSpaceDE/>
        <w:autoSpaceDN/>
        <w:bidi w:val="0"/>
        <w:adjustRightInd/>
        <w:snapToGrid/>
        <w:spacing w:line="500" w:lineRule="exact"/>
        <w:ind w:left="855"/>
        <w:jc w:val="both"/>
        <w:textAlignment w:val="auto"/>
        <w:rPr>
          <w:rFonts w:hint="eastAsia" w:ascii="宋体" w:hAnsi="宋体" w:eastAsia="宋体" w:cs="宋体"/>
          <w:sz w:val="24"/>
          <w:szCs w:val="24"/>
        </w:rPr>
      </w:pPr>
      <w:r>
        <w:rPr>
          <w:rFonts w:hint="eastAsia" w:ascii="宋体" w:hAnsi="宋体" w:eastAsia="宋体" w:cs="宋体"/>
          <w:b/>
          <w:sz w:val="24"/>
          <w:szCs w:val="24"/>
        </w:rPr>
        <w:t>2.2.5.7.3.路径规划组件</w:t>
      </w:r>
    </w:p>
    <w:p w14:paraId="1C08EEBA">
      <w:pPr>
        <w:pStyle w:val="6"/>
        <w:keepNext w:val="0"/>
        <w:keepLines w:val="0"/>
        <w:pageBreakBefore w:val="0"/>
        <w:numPr>
          <w:ilvl w:val="0"/>
          <w:numId w:val="1"/>
        </w:numPr>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sz w:val="24"/>
          <w:szCs w:val="24"/>
        </w:rPr>
        <w:t>支持院内外地图一体化展示，可将院内地图融入到如高德/百度/腾讯等院外地图中进行一体化展示；</w:t>
      </w:r>
    </w:p>
    <w:p w14:paraId="7C1A4172">
      <w:pPr>
        <w:pStyle w:val="6"/>
        <w:keepNext w:val="0"/>
        <w:keepLines w:val="0"/>
        <w:pageBreakBefore w:val="0"/>
        <w:numPr>
          <w:ilvl w:val="0"/>
          <w:numId w:val="1"/>
        </w:numPr>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sz w:val="24"/>
          <w:szCs w:val="24"/>
        </w:rPr>
        <w:t>支持跨楼层和跨楼栋实时导航，全程语音播报；</w:t>
      </w:r>
    </w:p>
    <w:p w14:paraId="73340AA3">
      <w:pPr>
        <w:pStyle w:val="6"/>
        <w:keepNext w:val="0"/>
        <w:keepLines w:val="0"/>
        <w:pageBreakBefore w:val="0"/>
        <w:numPr>
          <w:ilvl w:val="0"/>
          <w:numId w:val="1"/>
        </w:numPr>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sz w:val="24"/>
          <w:szCs w:val="24"/>
        </w:rPr>
        <w:t>具有智行/直梯/扶梯/步行梯多模式路径规划方式，用户可自由选择路径进行导航，智行模式下，支持跨一层走手扶电梯，跨两层及以上走直升电梯的智能路径规划。</w:t>
      </w:r>
    </w:p>
    <w:p w14:paraId="40805858">
      <w:pPr>
        <w:pStyle w:val="6"/>
        <w:keepNext w:val="0"/>
        <w:keepLines w:val="0"/>
        <w:pageBreakBefore w:val="0"/>
        <w:kinsoku/>
        <w:wordWrap/>
        <w:overflowPunct/>
        <w:topLinePunct w:val="0"/>
        <w:autoSpaceDE/>
        <w:autoSpaceDN/>
        <w:bidi w:val="0"/>
        <w:adjustRightInd/>
        <w:snapToGrid/>
        <w:spacing w:line="500" w:lineRule="exact"/>
        <w:ind w:left="855"/>
        <w:jc w:val="both"/>
        <w:textAlignment w:val="auto"/>
        <w:rPr>
          <w:rFonts w:hint="eastAsia" w:ascii="宋体" w:hAnsi="宋体" w:eastAsia="宋体" w:cs="宋体"/>
          <w:sz w:val="24"/>
          <w:szCs w:val="24"/>
        </w:rPr>
      </w:pPr>
      <w:r>
        <w:rPr>
          <w:rFonts w:hint="eastAsia" w:ascii="宋体" w:hAnsi="宋体" w:eastAsia="宋体" w:cs="宋体"/>
          <w:b/>
          <w:sz w:val="24"/>
          <w:szCs w:val="24"/>
        </w:rPr>
        <w:t>2.2.5.7.4.导航组件</w:t>
      </w:r>
    </w:p>
    <w:p w14:paraId="5D9CA654">
      <w:pPr>
        <w:pStyle w:val="6"/>
        <w:keepNext w:val="0"/>
        <w:keepLines w:val="0"/>
        <w:pageBreakBefore w:val="0"/>
        <w:numPr>
          <w:ilvl w:val="0"/>
          <w:numId w:val="1"/>
        </w:numPr>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sz w:val="24"/>
          <w:szCs w:val="24"/>
        </w:rPr>
        <w:t>实时导航过程中系统提供语音、文字、图片、AR等多种辅助导航提示；</w:t>
      </w:r>
    </w:p>
    <w:p w14:paraId="5B718285">
      <w:pPr>
        <w:pStyle w:val="6"/>
        <w:keepNext w:val="0"/>
        <w:keepLines w:val="0"/>
        <w:pageBreakBefore w:val="0"/>
        <w:numPr>
          <w:ilvl w:val="0"/>
          <w:numId w:val="1"/>
        </w:numPr>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sz w:val="24"/>
          <w:szCs w:val="24"/>
        </w:rPr>
        <w:t>具有模拟导航功能，如用户不在定位网络覆盖范围内可选择模拟导航查询全程导航路径，模拟导航支持高中低倍速切换；</w:t>
      </w:r>
    </w:p>
    <w:p w14:paraId="0ED61914">
      <w:pPr>
        <w:pStyle w:val="6"/>
        <w:keepNext w:val="0"/>
        <w:keepLines w:val="0"/>
        <w:pageBreakBefore w:val="0"/>
        <w:numPr>
          <w:ilvl w:val="0"/>
          <w:numId w:val="1"/>
        </w:numPr>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sz w:val="24"/>
          <w:szCs w:val="24"/>
        </w:rPr>
        <w:t>具有720°全景VR图片导航提示功能，支持查看关键节点全角度全景图，可浏览地图上关键节点位置的全景图，在模拟导航过程中也可以观看关键节点位置的全景图，在拐角处，图随路转；</w:t>
      </w:r>
    </w:p>
    <w:p w14:paraId="6FFCA7CD">
      <w:pPr>
        <w:pStyle w:val="6"/>
        <w:keepNext w:val="0"/>
        <w:keepLines w:val="0"/>
        <w:pageBreakBefore w:val="0"/>
        <w:numPr>
          <w:ilvl w:val="0"/>
          <w:numId w:val="1"/>
        </w:numPr>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sz w:val="24"/>
          <w:szCs w:val="24"/>
        </w:rPr>
        <w:t>支持起止位置设定时增加途径点实现就诊流程中路径智能规划总览，提高就诊效率；</w:t>
      </w:r>
    </w:p>
    <w:p w14:paraId="54E913AF">
      <w:pPr>
        <w:pStyle w:val="6"/>
        <w:keepNext w:val="0"/>
        <w:keepLines w:val="0"/>
        <w:pageBreakBefore w:val="0"/>
        <w:numPr>
          <w:ilvl w:val="0"/>
          <w:numId w:val="1"/>
        </w:numPr>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sz w:val="24"/>
          <w:szCs w:val="24"/>
        </w:rPr>
        <w:t>具有调用终端摄像头实现沉浸式AR实景导航提示功能，把路径以及方向绘制在引导画面中，让用户结合真实场景查看路线行走方向。</w:t>
      </w:r>
    </w:p>
    <w:p w14:paraId="66C7DDA0">
      <w:pPr>
        <w:pStyle w:val="6"/>
        <w:keepNext w:val="0"/>
        <w:keepLines w:val="0"/>
        <w:pageBreakBefore w:val="0"/>
        <w:kinsoku/>
        <w:wordWrap/>
        <w:overflowPunct/>
        <w:topLinePunct w:val="0"/>
        <w:autoSpaceDE/>
        <w:autoSpaceDN/>
        <w:bidi w:val="0"/>
        <w:adjustRightInd/>
        <w:snapToGrid/>
        <w:spacing w:line="500" w:lineRule="exact"/>
        <w:ind w:left="855"/>
        <w:jc w:val="both"/>
        <w:textAlignment w:val="auto"/>
        <w:rPr>
          <w:rFonts w:hint="eastAsia" w:ascii="宋体" w:hAnsi="宋体" w:eastAsia="宋体" w:cs="宋体"/>
          <w:sz w:val="24"/>
          <w:szCs w:val="24"/>
        </w:rPr>
      </w:pPr>
      <w:r>
        <w:rPr>
          <w:rFonts w:hint="eastAsia" w:ascii="宋体" w:hAnsi="宋体" w:eastAsia="宋体" w:cs="宋体"/>
          <w:b/>
          <w:sz w:val="24"/>
          <w:szCs w:val="24"/>
        </w:rPr>
        <w:t>2.2.5.7.5.搜索组件</w:t>
      </w:r>
    </w:p>
    <w:p w14:paraId="2EA55638">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具有多类型目的地搜索功能，包括目的地输入模糊搜索查询、目标医生姓名模糊搜索查询、语音识别查询、POI点选查询、历史搜索记录等，搜索结果列表按距离排序显示。支持搜索结果按楼栋区分展示。</w:t>
      </w:r>
    </w:p>
    <w:p w14:paraId="4AA6E022">
      <w:pPr>
        <w:pStyle w:val="6"/>
        <w:keepNext w:val="0"/>
        <w:keepLines w:val="0"/>
        <w:pageBreakBefore w:val="0"/>
        <w:kinsoku/>
        <w:wordWrap/>
        <w:overflowPunct/>
        <w:topLinePunct w:val="0"/>
        <w:autoSpaceDE/>
        <w:autoSpaceDN/>
        <w:bidi w:val="0"/>
        <w:adjustRightInd/>
        <w:snapToGrid/>
        <w:spacing w:line="500" w:lineRule="exact"/>
        <w:ind w:left="855"/>
        <w:jc w:val="both"/>
        <w:textAlignment w:val="auto"/>
        <w:rPr>
          <w:rFonts w:hint="eastAsia" w:ascii="宋体" w:hAnsi="宋体" w:eastAsia="宋体" w:cs="宋体"/>
          <w:sz w:val="24"/>
          <w:szCs w:val="24"/>
        </w:rPr>
      </w:pPr>
      <w:r>
        <w:rPr>
          <w:rFonts w:hint="eastAsia" w:ascii="宋体" w:hAnsi="宋体" w:eastAsia="宋体" w:cs="宋体"/>
          <w:b/>
          <w:sz w:val="24"/>
          <w:szCs w:val="24"/>
        </w:rPr>
        <w:t>2.2.5.7.6.天气组件</w:t>
      </w:r>
    </w:p>
    <w:p w14:paraId="44FBCA88">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支持小程序地图具备天气渲染，实时显示天气状况,使地图效果更直观真实。</w:t>
      </w:r>
    </w:p>
    <w:p w14:paraId="69D259DE">
      <w:pPr>
        <w:pStyle w:val="6"/>
        <w:keepNext w:val="0"/>
        <w:keepLines w:val="0"/>
        <w:pageBreakBefore w:val="0"/>
        <w:kinsoku/>
        <w:wordWrap/>
        <w:overflowPunct/>
        <w:topLinePunct w:val="0"/>
        <w:autoSpaceDE/>
        <w:autoSpaceDN/>
        <w:bidi w:val="0"/>
        <w:adjustRightInd/>
        <w:snapToGrid/>
        <w:spacing w:line="500" w:lineRule="exact"/>
        <w:ind w:left="855"/>
        <w:jc w:val="both"/>
        <w:textAlignment w:val="auto"/>
        <w:rPr>
          <w:rFonts w:hint="eastAsia" w:ascii="宋体" w:hAnsi="宋体" w:eastAsia="宋体" w:cs="宋体"/>
          <w:sz w:val="24"/>
          <w:szCs w:val="24"/>
        </w:rPr>
      </w:pPr>
      <w:r>
        <w:rPr>
          <w:rFonts w:hint="eastAsia" w:ascii="宋体" w:hAnsi="宋体" w:eastAsia="宋体" w:cs="宋体"/>
          <w:b/>
          <w:sz w:val="24"/>
          <w:szCs w:val="24"/>
        </w:rPr>
        <w:t>2.2.5.7.7.车主服务</w:t>
      </w:r>
    </w:p>
    <w:p w14:paraId="09D19C78">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具有车主服务组件，支持一键记录车位，一键反向寻车，找出口等功能。</w:t>
      </w:r>
    </w:p>
    <w:p w14:paraId="6D7055F0">
      <w:pPr>
        <w:pStyle w:val="6"/>
        <w:keepNext w:val="0"/>
        <w:keepLines w:val="0"/>
        <w:pageBreakBefore w:val="0"/>
        <w:kinsoku/>
        <w:wordWrap/>
        <w:overflowPunct/>
        <w:topLinePunct w:val="0"/>
        <w:autoSpaceDE/>
        <w:autoSpaceDN/>
        <w:bidi w:val="0"/>
        <w:adjustRightInd/>
        <w:snapToGrid/>
        <w:spacing w:line="500" w:lineRule="exact"/>
        <w:ind w:left="855"/>
        <w:jc w:val="both"/>
        <w:textAlignment w:val="auto"/>
        <w:rPr>
          <w:rFonts w:hint="eastAsia" w:ascii="宋体" w:hAnsi="宋体" w:eastAsia="宋体" w:cs="宋体"/>
          <w:sz w:val="24"/>
          <w:szCs w:val="24"/>
        </w:rPr>
      </w:pPr>
      <w:r>
        <w:rPr>
          <w:rFonts w:hint="eastAsia" w:ascii="宋体" w:hAnsi="宋体" w:eastAsia="宋体" w:cs="宋体"/>
          <w:b/>
          <w:sz w:val="24"/>
          <w:szCs w:val="24"/>
        </w:rPr>
        <w:t>2.2.5.7.8.地图主题组件</w:t>
      </w:r>
    </w:p>
    <w:p w14:paraId="2D0C77AA">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提供4种或以上地图配色供用户选择。</w:t>
      </w:r>
    </w:p>
    <w:p w14:paraId="095E42AC">
      <w:pPr>
        <w:pStyle w:val="6"/>
        <w:keepNext w:val="0"/>
        <w:keepLines w:val="0"/>
        <w:pageBreakBefore w:val="0"/>
        <w:kinsoku/>
        <w:wordWrap/>
        <w:overflowPunct/>
        <w:topLinePunct w:val="0"/>
        <w:autoSpaceDE/>
        <w:autoSpaceDN/>
        <w:bidi w:val="0"/>
        <w:adjustRightInd/>
        <w:snapToGrid/>
        <w:spacing w:line="500" w:lineRule="exact"/>
        <w:ind w:left="855"/>
        <w:jc w:val="both"/>
        <w:textAlignment w:val="auto"/>
        <w:rPr>
          <w:rFonts w:hint="eastAsia" w:ascii="宋体" w:hAnsi="宋体" w:eastAsia="宋体" w:cs="宋体"/>
          <w:sz w:val="24"/>
          <w:szCs w:val="24"/>
        </w:rPr>
      </w:pPr>
      <w:r>
        <w:rPr>
          <w:rFonts w:hint="eastAsia" w:ascii="宋体" w:hAnsi="宋体" w:eastAsia="宋体" w:cs="宋体"/>
          <w:b/>
          <w:sz w:val="24"/>
          <w:szCs w:val="24"/>
        </w:rPr>
        <w:t>2.2.5.7.9.分享及共享</w:t>
      </w:r>
    </w:p>
    <w:p w14:paraId="7C425EDD">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具有分享及共享用户实时位置功能，其他用户可通过分享链接或扫码打开位置点进行相互找寻导航。</w:t>
      </w:r>
    </w:p>
    <w:p w14:paraId="1FF5D9FB">
      <w:pPr>
        <w:pStyle w:val="6"/>
        <w:keepNext w:val="0"/>
        <w:keepLines w:val="0"/>
        <w:pageBreakBefore w:val="0"/>
        <w:kinsoku/>
        <w:wordWrap/>
        <w:overflowPunct/>
        <w:topLinePunct w:val="0"/>
        <w:autoSpaceDE/>
        <w:autoSpaceDN/>
        <w:bidi w:val="0"/>
        <w:adjustRightInd/>
        <w:snapToGrid/>
        <w:spacing w:line="500" w:lineRule="exact"/>
        <w:ind w:left="855"/>
        <w:jc w:val="both"/>
        <w:textAlignment w:val="auto"/>
        <w:rPr>
          <w:rFonts w:hint="eastAsia" w:ascii="宋体" w:hAnsi="宋体" w:eastAsia="宋体" w:cs="宋体"/>
          <w:sz w:val="24"/>
          <w:szCs w:val="24"/>
        </w:rPr>
      </w:pPr>
      <w:r>
        <w:rPr>
          <w:rFonts w:hint="eastAsia" w:ascii="宋体" w:hAnsi="宋体" w:eastAsia="宋体" w:cs="宋体"/>
          <w:b/>
          <w:sz w:val="24"/>
          <w:szCs w:val="24"/>
        </w:rPr>
        <w:t>2.2.5.7.10.关怀组件</w:t>
      </w:r>
    </w:p>
    <w:p w14:paraId="2DE599F8">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具有关怀模式切换功能，可以切换为适合老年用户的界面样式和交互逻辑。</w:t>
      </w:r>
    </w:p>
    <w:p w14:paraId="0D5C4F81">
      <w:pPr>
        <w:pStyle w:val="6"/>
        <w:keepNext w:val="0"/>
        <w:keepLines w:val="0"/>
        <w:pageBreakBefore w:val="0"/>
        <w:kinsoku/>
        <w:wordWrap/>
        <w:overflowPunct/>
        <w:topLinePunct w:val="0"/>
        <w:autoSpaceDE/>
        <w:autoSpaceDN/>
        <w:bidi w:val="0"/>
        <w:adjustRightInd/>
        <w:snapToGrid/>
        <w:spacing w:line="500" w:lineRule="exact"/>
        <w:ind w:left="855"/>
        <w:jc w:val="both"/>
        <w:textAlignment w:val="auto"/>
        <w:rPr>
          <w:rFonts w:hint="eastAsia" w:ascii="宋体" w:hAnsi="宋体" w:eastAsia="宋体" w:cs="宋体"/>
          <w:sz w:val="24"/>
          <w:szCs w:val="24"/>
        </w:rPr>
      </w:pPr>
      <w:r>
        <w:rPr>
          <w:rFonts w:hint="eastAsia" w:ascii="宋体" w:hAnsi="宋体" w:eastAsia="宋体" w:cs="宋体"/>
          <w:b/>
          <w:sz w:val="24"/>
          <w:szCs w:val="24"/>
        </w:rPr>
        <w:t>2.2.5.7.11.意见反馈组件</w:t>
      </w:r>
    </w:p>
    <w:p w14:paraId="0C70F373">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具有问题反馈功能，用户可以在小程序内快速查看就诊常见问题的解答，并可以提出新的问题由相关人员进行解答。</w:t>
      </w:r>
    </w:p>
    <w:p w14:paraId="79308288">
      <w:pPr>
        <w:pStyle w:val="6"/>
        <w:keepNext w:val="0"/>
        <w:keepLines w:val="0"/>
        <w:pageBreakBefore w:val="0"/>
        <w:kinsoku/>
        <w:wordWrap/>
        <w:overflowPunct/>
        <w:topLinePunct w:val="0"/>
        <w:autoSpaceDE/>
        <w:autoSpaceDN/>
        <w:bidi w:val="0"/>
        <w:adjustRightInd/>
        <w:snapToGrid/>
        <w:spacing w:line="500" w:lineRule="exact"/>
        <w:ind w:left="855"/>
        <w:jc w:val="both"/>
        <w:textAlignment w:val="auto"/>
        <w:rPr>
          <w:rFonts w:hint="eastAsia" w:ascii="宋体" w:hAnsi="宋体" w:eastAsia="宋体" w:cs="宋体"/>
          <w:sz w:val="24"/>
          <w:szCs w:val="24"/>
        </w:rPr>
      </w:pPr>
      <w:r>
        <w:rPr>
          <w:rFonts w:hint="eastAsia" w:ascii="宋体" w:hAnsi="宋体" w:eastAsia="宋体" w:cs="宋体"/>
          <w:b/>
          <w:sz w:val="24"/>
          <w:szCs w:val="24"/>
        </w:rPr>
        <w:t>2.2.5.8.导诊陪诊后台管理软件(评审项120)</w:t>
      </w:r>
    </w:p>
    <w:p w14:paraId="4B08E4EE">
      <w:pPr>
        <w:pStyle w:val="6"/>
        <w:keepNext w:val="0"/>
        <w:keepLines w:val="0"/>
        <w:pageBreakBefore w:val="0"/>
        <w:kinsoku/>
        <w:wordWrap/>
        <w:overflowPunct/>
        <w:topLinePunct w:val="0"/>
        <w:autoSpaceDE/>
        <w:autoSpaceDN/>
        <w:bidi w:val="0"/>
        <w:adjustRightInd/>
        <w:snapToGrid/>
        <w:spacing w:line="500" w:lineRule="exact"/>
        <w:ind w:left="855"/>
        <w:jc w:val="both"/>
        <w:textAlignment w:val="auto"/>
        <w:rPr>
          <w:rFonts w:hint="eastAsia" w:ascii="宋体" w:hAnsi="宋体" w:eastAsia="宋体" w:cs="宋体"/>
          <w:sz w:val="24"/>
          <w:szCs w:val="24"/>
        </w:rPr>
      </w:pPr>
      <w:r>
        <w:rPr>
          <w:rFonts w:hint="eastAsia" w:ascii="宋体" w:hAnsi="宋体" w:eastAsia="宋体" w:cs="宋体"/>
          <w:b/>
          <w:sz w:val="24"/>
          <w:szCs w:val="24"/>
        </w:rPr>
        <w:t>2.2.5.8.1.地图设置</w:t>
      </w:r>
    </w:p>
    <w:p w14:paraId="72D47A78">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1.页面编辑</w:t>
      </w:r>
    </w:p>
    <w:p w14:paraId="6E91D1DD">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可对系统前端界面的文字、图标样式、排序、楼宇设置、楼层设置、楼层内快捷地址进行设置；上传地图文件时可以对地图进行预览。</w:t>
      </w:r>
    </w:p>
    <w:p w14:paraId="75737B39">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2.POI编辑</w:t>
      </w:r>
    </w:p>
    <w:p w14:paraId="41D039A1">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可对POI信息进行编辑，结果可在后台其他地图页面预览显示；同时POI映射列表中具有添加备份、还原功能。</w:t>
      </w:r>
    </w:p>
    <w:p w14:paraId="4AB4BCF0">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3.扶梯上下行方向调整设置</w:t>
      </w:r>
    </w:p>
    <w:p w14:paraId="21BEA8A6">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当扶梯上下行方向发生变化时，可进行扶梯上下行方向调整设置，方便用户找到正确路径</w:t>
      </w:r>
    </w:p>
    <w:p w14:paraId="65ED25CA">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4.围栏设置</w:t>
      </w:r>
    </w:p>
    <w:p w14:paraId="59713DBD">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系统可设置电子围栏，并且可为电子围栏设置时间段等限制条件，用于医院部分区域的导航管理。</w:t>
      </w:r>
    </w:p>
    <w:p w14:paraId="383C254C">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5.小程序视图设置</w:t>
      </w:r>
    </w:p>
    <w:p w14:paraId="4FB044E1">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可以对小程序端地图显示的初始默认视角、光照补偿效果、语言、主题、控件、路径规划、定位方式设置，支持天气特效、主题按时段切换配置。</w:t>
      </w:r>
    </w:p>
    <w:p w14:paraId="04EA6479">
      <w:pPr>
        <w:pStyle w:val="6"/>
        <w:keepNext w:val="0"/>
        <w:keepLines w:val="0"/>
        <w:pageBreakBefore w:val="0"/>
        <w:kinsoku/>
        <w:wordWrap/>
        <w:overflowPunct/>
        <w:topLinePunct w:val="0"/>
        <w:autoSpaceDE/>
        <w:autoSpaceDN/>
        <w:bidi w:val="0"/>
        <w:adjustRightInd/>
        <w:snapToGrid/>
        <w:spacing w:line="500" w:lineRule="exact"/>
        <w:ind w:left="855"/>
        <w:jc w:val="both"/>
        <w:textAlignment w:val="auto"/>
        <w:rPr>
          <w:rFonts w:hint="eastAsia" w:ascii="宋体" w:hAnsi="宋体" w:eastAsia="宋体" w:cs="宋体"/>
          <w:sz w:val="24"/>
          <w:szCs w:val="24"/>
        </w:rPr>
      </w:pPr>
      <w:r>
        <w:rPr>
          <w:rFonts w:hint="eastAsia" w:ascii="宋体" w:hAnsi="宋体" w:eastAsia="宋体" w:cs="宋体"/>
          <w:b/>
          <w:sz w:val="24"/>
          <w:szCs w:val="24"/>
        </w:rPr>
        <w:t>2.2.5.8.2.导航设置</w:t>
      </w:r>
    </w:p>
    <w:p w14:paraId="4000E8AD">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1.预设图片配置</w:t>
      </w:r>
    </w:p>
    <w:p w14:paraId="40BC40F4">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可对系统内置的720°VR全景图片进行增删改查。</w:t>
      </w:r>
    </w:p>
    <w:p w14:paraId="5A58D3CB">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2.分时段通行设置</w:t>
      </w:r>
    </w:p>
    <w:p w14:paraId="2CC6FFB9">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系统可针对导航路径设置分时段通行规则，方便医院内部导航管理。</w:t>
      </w:r>
    </w:p>
    <w:p w14:paraId="53D3088F">
      <w:pPr>
        <w:pStyle w:val="6"/>
        <w:keepNext w:val="0"/>
        <w:keepLines w:val="0"/>
        <w:pageBreakBefore w:val="0"/>
        <w:kinsoku/>
        <w:wordWrap/>
        <w:overflowPunct/>
        <w:topLinePunct w:val="0"/>
        <w:autoSpaceDE/>
        <w:autoSpaceDN/>
        <w:bidi w:val="0"/>
        <w:adjustRightInd/>
        <w:snapToGrid/>
        <w:spacing w:line="500" w:lineRule="exact"/>
        <w:ind w:left="855"/>
        <w:jc w:val="both"/>
        <w:textAlignment w:val="auto"/>
        <w:rPr>
          <w:rFonts w:hint="eastAsia" w:ascii="宋体" w:hAnsi="宋体" w:eastAsia="宋体" w:cs="宋体"/>
          <w:sz w:val="24"/>
          <w:szCs w:val="24"/>
        </w:rPr>
      </w:pPr>
      <w:r>
        <w:rPr>
          <w:rFonts w:hint="eastAsia" w:ascii="宋体" w:hAnsi="宋体" w:eastAsia="宋体" w:cs="宋体"/>
          <w:b/>
          <w:sz w:val="24"/>
          <w:szCs w:val="24"/>
        </w:rPr>
        <w:t>2.2.5.8.3.业务功能</w:t>
      </w:r>
    </w:p>
    <w:p w14:paraId="4CD50A66">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1.查看评分</w:t>
      </w:r>
    </w:p>
    <w:p w14:paraId="37FFC662">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可查看用户对导航系统的评分反馈。</w:t>
      </w:r>
    </w:p>
    <w:p w14:paraId="4A20D25F">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2.问卷调查设置</w:t>
      </w:r>
    </w:p>
    <w:p w14:paraId="20EA0195">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系统可设置调查问卷并主动推送给用户，用于医院日常问卷调查发布及收集</w:t>
      </w:r>
    </w:p>
    <w:p w14:paraId="0084FFF3">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3.意见反馈</w:t>
      </w:r>
    </w:p>
    <w:p w14:paraId="1BA36BC6">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系统前端设有单独的意见反馈界面，用户可填写，后台可实时查看反馈信息。</w:t>
      </w:r>
    </w:p>
    <w:p w14:paraId="55099382">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4.卡路里统计</w:t>
      </w:r>
    </w:p>
    <w:p w14:paraId="1D48025A">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统计用户导航所消耗的卡路里。</w:t>
      </w:r>
    </w:p>
    <w:p w14:paraId="16633108">
      <w:pPr>
        <w:pStyle w:val="6"/>
        <w:keepNext w:val="0"/>
        <w:keepLines w:val="0"/>
        <w:pageBreakBefore w:val="0"/>
        <w:kinsoku/>
        <w:wordWrap/>
        <w:overflowPunct/>
        <w:topLinePunct w:val="0"/>
        <w:autoSpaceDE/>
        <w:autoSpaceDN/>
        <w:bidi w:val="0"/>
        <w:adjustRightInd/>
        <w:snapToGrid/>
        <w:spacing w:line="500" w:lineRule="exact"/>
        <w:ind w:left="855"/>
        <w:jc w:val="both"/>
        <w:textAlignment w:val="auto"/>
        <w:rPr>
          <w:rFonts w:hint="eastAsia" w:ascii="宋体" w:hAnsi="宋体" w:eastAsia="宋体" w:cs="宋体"/>
          <w:sz w:val="24"/>
          <w:szCs w:val="24"/>
        </w:rPr>
      </w:pPr>
      <w:r>
        <w:rPr>
          <w:rFonts w:hint="eastAsia" w:ascii="宋体" w:hAnsi="宋体" w:eastAsia="宋体" w:cs="宋体"/>
          <w:b/>
          <w:sz w:val="24"/>
          <w:szCs w:val="24"/>
        </w:rPr>
        <w:t>2.2.5.8.4.大屏设置</w:t>
      </w:r>
    </w:p>
    <w:p w14:paraId="4BD9C05A">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支持导航一体机界面及内容设置。</w:t>
      </w:r>
    </w:p>
    <w:p w14:paraId="34A8AC18">
      <w:pPr>
        <w:pStyle w:val="6"/>
        <w:keepNext w:val="0"/>
        <w:keepLines w:val="0"/>
        <w:pageBreakBefore w:val="0"/>
        <w:kinsoku/>
        <w:wordWrap/>
        <w:overflowPunct/>
        <w:topLinePunct w:val="0"/>
        <w:autoSpaceDE/>
        <w:autoSpaceDN/>
        <w:bidi w:val="0"/>
        <w:adjustRightInd/>
        <w:snapToGrid/>
        <w:spacing w:line="500" w:lineRule="exact"/>
        <w:ind w:left="855"/>
        <w:jc w:val="both"/>
        <w:textAlignment w:val="auto"/>
        <w:rPr>
          <w:rFonts w:hint="eastAsia" w:ascii="宋体" w:hAnsi="宋体" w:eastAsia="宋体" w:cs="宋体"/>
          <w:sz w:val="24"/>
          <w:szCs w:val="24"/>
        </w:rPr>
      </w:pPr>
      <w:r>
        <w:rPr>
          <w:rFonts w:hint="eastAsia" w:ascii="宋体" w:hAnsi="宋体" w:eastAsia="宋体" w:cs="宋体"/>
          <w:b/>
          <w:sz w:val="24"/>
          <w:szCs w:val="24"/>
        </w:rPr>
        <w:t>2.2.5.8.5.医院相关设置</w:t>
      </w:r>
    </w:p>
    <w:p w14:paraId="2A0BFB33">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支持对医院专家信息、科室信息进行维护，支持对医院专家出诊情况进行设置。</w:t>
      </w:r>
    </w:p>
    <w:p w14:paraId="6792B9CF">
      <w:pPr>
        <w:pStyle w:val="6"/>
        <w:keepNext w:val="0"/>
        <w:keepLines w:val="0"/>
        <w:pageBreakBefore w:val="0"/>
        <w:kinsoku/>
        <w:wordWrap/>
        <w:overflowPunct/>
        <w:topLinePunct w:val="0"/>
        <w:autoSpaceDE/>
        <w:autoSpaceDN/>
        <w:bidi w:val="0"/>
        <w:adjustRightInd/>
        <w:snapToGrid/>
        <w:spacing w:line="500" w:lineRule="exact"/>
        <w:ind w:left="855"/>
        <w:jc w:val="both"/>
        <w:textAlignment w:val="auto"/>
        <w:rPr>
          <w:rFonts w:hint="eastAsia" w:ascii="宋体" w:hAnsi="宋体" w:eastAsia="宋体" w:cs="宋体"/>
          <w:sz w:val="24"/>
          <w:szCs w:val="24"/>
        </w:rPr>
      </w:pPr>
      <w:r>
        <w:rPr>
          <w:rFonts w:hint="eastAsia" w:ascii="宋体" w:hAnsi="宋体" w:eastAsia="宋体" w:cs="宋体"/>
          <w:b/>
          <w:sz w:val="24"/>
          <w:szCs w:val="24"/>
        </w:rPr>
        <w:t>2.2.5.8.6.数据统计</w:t>
      </w:r>
    </w:p>
    <w:p w14:paraId="3121A611">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支持对智能导航产品累计访问人数、累计路径规划次数、累计搜索使用次数、累计实时导航次数、累计模拟导航次数、累计停车找车次数、热门搜索地点等使用情况等进行数据统计并通过WEB端进行实时展示，用以给导航服务策略优化提供依据。</w:t>
      </w:r>
    </w:p>
    <w:p w14:paraId="2D8D9E20">
      <w:pPr>
        <w:pStyle w:val="6"/>
        <w:keepNext w:val="0"/>
        <w:keepLines w:val="0"/>
        <w:pageBreakBefore w:val="0"/>
        <w:kinsoku/>
        <w:wordWrap/>
        <w:overflowPunct/>
        <w:topLinePunct w:val="0"/>
        <w:autoSpaceDE/>
        <w:autoSpaceDN/>
        <w:bidi w:val="0"/>
        <w:adjustRightInd/>
        <w:snapToGrid/>
        <w:spacing w:line="500" w:lineRule="exact"/>
        <w:ind w:left="855"/>
        <w:jc w:val="both"/>
        <w:textAlignment w:val="auto"/>
        <w:rPr>
          <w:rFonts w:hint="eastAsia" w:ascii="宋体" w:hAnsi="宋体" w:eastAsia="宋体" w:cs="宋体"/>
          <w:sz w:val="24"/>
          <w:szCs w:val="24"/>
        </w:rPr>
      </w:pPr>
      <w:r>
        <w:rPr>
          <w:rFonts w:hint="eastAsia" w:ascii="宋体" w:hAnsi="宋体" w:eastAsia="宋体" w:cs="宋体"/>
          <w:b/>
          <w:sz w:val="24"/>
          <w:szCs w:val="24"/>
        </w:rPr>
        <w:t>2.2.5.9.AI智能导诊模块(评审项121)</w:t>
      </w:r>
    </w:p>
    <w:p w14:paraId="55C974B8">
      <w:pPr>
        <w:pStyle w:val="6"/>
        <w:keepNext w:val="0"/>
        <w:keepLines w:val="0"/>
        <w:pageBreakBefore w:val="0"/>
        <w:kinsoku/>
        <w:wordWrap/>
        <w:overflowPunct/>
        <w:topLinePunct w:val="0"/>
        <w:autoSpaceDE/>
        <w:autoSpaceDN/>
        <w:bidi w:val="0"/>
        <w:adjustRightInd/>
        <w:snapToGrid/>
        <w:spacing w:line="500" w:lineRule="exact"/>
        <w:ind w:left="855"/>
        <w:jc w:val="both"/>
        <w:textAlignment w:val="auto"/>
        <w:rPr>
          <w:rFonts w:hint="eastAsia" w:ascii="宋体" w:hAnsi="宋体" w:eastAsia="宋体" w:cs="宋体"/>
          <w:sz w:val="24"/>
          <w:szCs w:val="24"/>
        </w:rPr>
      </w:pPr>
      <w:r>
        <w:rPr>
          <w:rFonts w:hint="eastAsia" w:ascii="宋体" w:hAnsi="宋体" w:eastAsia="宋体" w:cs="宋体"/>
          <w:b/>
          <w:sz w:val="24"/>
          <w:szCs w:val="24"/>
        </w:rPr>
        <w:t>2.2.5.9.1.任务引擎</w:t>
      </w:r>
    </w:p>
    <w:p w14:paraId="36F3DF7E">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（1）定制化就诊任务拆分：支持基于医院实际就诊流程，自动拆解患者就诊环节（如签到、初诊、检查、取药等），确保与医院业务流程无缝契合。</w:t>
      </w:r>
    </w:p>
    <w:p w14:paraId="1CEC532F">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2）智能检查排序：针对一条医嘱涉及到多地点多步骤的检查任务，基于医学规则（如空腹检查优先、项目互斥性）、科室实时排队人数、地理位置路径等因素，动态生成最优检查顺序，减少患者跨科室移动距离与等待时间，提升整体检查效率与患者体验。</w:t>
      </w:r>
    </w:p>
    <w:p w14:paraId="64E6F71A">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3）动态任务清单：对接HIS系统，动态展示患者当前已完成及未完成就诊节点，支持查看任务详情（如就诊科室、地点、任务名称等），患者可随时查看待办事项及排队情况，明确就诊进度；任务可结合地图查看，直接标识相关位置，并伴随导航指引，精准指引患者前往相应科室，减少迷路风险。</w:t>
      </w:r>
    </w:p>
    <w:p w14:paraId="2CE414F7">
      <w:pPr>
        <w:pStyle w:val="6"/>
        <w:keepNext w:val="0"/>
        <w:keepLines w:val="0"/>
        <w:pageBreakBefore w:val="0"/>
        <w:kinsoku/>
        <w:wordWrap/>
        <w:overflowPunct/>
        <w:topLinePunct w:val="0"/>
        <w:autoSpaceDE/>
        <w:autoSpaceDN/>
        <w:bidi w:val="0"/>
        <w:adjustRightInd/>
        <w:snapToGrid/>
        <w:spacing w:line="500" w:lineRule="exact"/>
        <w:ind w:left="855"/>
        <w:jc w:val="both"/>
        <w:textAlignment w:val="auto"/>
        <w:rPr>
          <w:rFonts w:hint="eastAsia" w:ascii="宋体" w:hAnsi="宋体" w:eastAsia="宋体" w:cs="宋体"/>
          <w:sz w:val="24"/>
          <w:szCs w:val="24"/>
        </w:rPr>
      </w:pPr>
      <w:r>
        <w:rPr>
          <w:rFonts w:hint="eastAsia" w:ascii="宋体" w:hAnsi="宋体" w:eastAsia="宋体" w:cs="宋体"/>
          <w:b/>
          <w:sz w:val="24"/>
          <w:szCs w:val="24"/>
        </w:rPr>
        <w:t>2.2.5.9.2.排队时间预测</w:t>
      </w:r>
    </w:p>
    <w:p w14:paraId="6686C391">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对接医院排队系统，实时获取各科室排队队列及待叫号人数。结合科室窗口数量、历史平均就诊时间（基于大数据统计分析而非人工经验），通过机器学习模型持续优化预测准确性，实时更新患者预计等候时间。</w:t>
      </w:r>
    </w:p>
    <w:p w14:paraId="53524B76">
      <w:pPr>
        <w:pStyle w:val="6"/>
        <w:keepNext w:val="0"/>
        <w:keepLines w:val="0"/>
        <w:pageBreakBefore w:val="0"/>
        <w:kinsoku/>
        <w:wordWrap/>
        <w:overflowPunct/>
        <w:topLinePunct w:val="0"/>
        <w:autoSpaceDE/>
        <w:autoSpaceDN/>
        <w:bidi w:val="0"/>
        <w:adjustRightInd/>
        <w:snapToGrid/>
        <w:spacing w:line="500" w:lineRule="exact"/>
        <w:ind w:left="855"/>
        <w:jc w:val="both"/>
        <w:textAlignment w:val="auto"/>
        <w:rPr>
          <w:rFonts w:hint="eastAsia" w:ascii="宋体" w:hAnsi="宋体" w:eastAsia="宋体" w:cs="宋体"/>
          <w:sz w:val="24"/>
          <w:szCs w:val="24"/>
        </w:rPr>
      </w:pPr>
      <w:r>
        <w:rPr>
          <w:rFonts w:hint="eastAsia" w:ascii="宋体" w:hAnsi="宋体" w:eastAsia="宋体" w:cs="宋体"/>
          <w:b/>
          <w:sz w:val="24"/>
          <w:szCs w:val="24"/>
        </w:rPr>
        <w:t>2.2.5.9.3.推送引擎</w:t>
      </w:r>
    </w:p>
    <w:p w14:paraId="2ED52569">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（1）推送规则支持配置：支持时间触发、事件触发、状态变更触发。时间触发：推送时间可自由设置；事件触发：支持基于业务事件的智能触发,可根据排队状态事件触发；状态变更触发。</w:t>
      </w:r>
    </w:p>
    <w:p w14:paraId="0C01C373">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（2）推送模板可设置：支持自定义消息模板，变量动态填充，且系统会按照就诊场景（如预约、排队、报告、缴费）默认预设模板，可一键启用。</w:t>
      </w:r>
    </w:p>
    <w:p w14:paraId="257EAB96">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（3）推送途径可选：支持微信公众号、短信等多种推送方式，确保患者及时接收；可根据患者渠道偏好自由选择推送路径（如年轻用户推微信消息、老年用户推短信）。</w:t>
      </w:r>
    </w:p>
    <w:p w14:paraId="7AF6D07D">
      <w:pPr>
        <w:pStyle w:val="6"/>
        <w:keepNext w:val="0"/>
        <w:keepLines w:val="0"/>
        <w:pageBreakBefore w:val="0"/>
        <w:kinsoku/>
        <w:wordWrap/>
        <w:overflowPunct/>
        <w:topLinePunct w:val="0"/>
        <w:autoSpaceDE/>
        <w:autoSpaceDN/>
        <w:bidi w:val="0"/>
        <w:adjustRightInd/>
        <w:snapToGrid/>
        <w:spacing w:line="500" w:lineRule="exact"/>
        <w:ind w:left="855"/>
        <w:jc w:val="both"/>
        <w:textAlignment w:val="auto"/>
        <w:rPr>
          <w:rFonts w:hint="eastAsia" w:ascii="宋体" w:hAnsi="宋体" w:eastAsia="宋体" w:cs="宋体"/>
          <w:sz w:val="24"/>
          <w:szCs w:val="24"/>
        </w:rPr>
      </w:pPr>
      <w:r>
        <w:rPr>
          <w:rFonts w:hint="eastAsia" w:ascii="宋体" w:hAnsi="宋体" w:eastAsia="宋体" w:cs="宋体"/>
          <w:b/>
          <w:sz w:val="24"/>
          <w:szCs w:val="24"/>
        </w:rPr>
        <w:t>2.2.5.9.4.AI问路</w:t>
      </w:r>
    </w:p>
    <w:p w14:paraId="27478625">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1）智能问诊：患者可自由描述症状（如“头痛”），系统基于医学知识库与NLP技术自动解析症状特征，推断可能病因，根据症状分析结果，自动推荐和病症相关的多个就诊科室，并给出推荐该科室的原因，描述该科室和病症相关信息，患者可根据描述自主选择相应科室，并支持导航到相应位置；</w:t>
      </w:r>
    </w:p>
    <w:p w14:paraId="3A39F370">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（2）智能问路：支持自然语言交互，底层深度集成国产主流大模型 NLP能力，支持患者通过自然语言、进行问路查询（例如：“牙科怎么走？”“我要抽血该去哪里？”），系统智能解析用户意图，精准识别目标科室或地点，并可结合院内高精度地图与实时位置服务，生成相应步行路径，提供导航指引，支持跨楼层、跨楼宇的连续导航。</w:t>
      </w:r>
    </w:p>
    <w:p w14:paraId="358F39F5">
      <w:pPr>
        <w:pStyle w:val="6"/>
        <w:keepNext w:val="0"/>
        <w:keepLines w:val="0"/>
        <w:pageBreakBefore w:val="0"/>
        <w:kinsoku/>
        <w:wordWrap/>
        <w:overflowPunct/>
        <w:topLinePunct w:val="0"/>
        <w:autoSpaceDE/>
        <w:autoSpaceDN/>
        <w:bidi w:val="0"/>
        <w:adjustRightInd/>
        <w:snapToGrid/>
        <w:spacing w:line="500" w:lineRule="exact"/>
        <w:ind w:left="855"/>
        <w:jc w:val="both"/>
        <w:textAlignment w:val="auto"/>
        <w:rPr>
          <w:rFonts w:hint="eastAsia" w:ascii="宋体" w:hAnsi="宋体" w:eastAsia="宋体" w:cs="宋体"/>
          <w:sz w:val="24"/>
          <w:szCs w:val="24"/>
        </w:rPr>
      </w:pPr>
      <w:r>
        <w:rPr>
          <w:rFonts w:hint="eastAsia" w:ascii="宋体" w:hAnsi="宋体" w:eastAsia="宋体" w:cs="宋体"/>
          <w:b/>
          <w:sz w:val="24"/>
          <w:szCs w:val="24"/>
        </w:rPr>
        <w:t>2.2.5.10.巡检部署工具(评审项122)</w:t>
      </w:r>
    </w:p>
    <w:p w14:paraId="40A6E728">
      <w:pPr>
        <w:pStyle w:val="6"/>
        <w:keepNext w:val="0"/>
        <w:keepLines w:val="0"/>
        <w:pageBreakBefore w:val="0"/>
        <w:kinsoku/>
        <w:wordWrap/>
        <w:overflowPunct/>
        <w:topLinePunct w:val="0"/>
        <w:autoSpaceDE/>
        <w:autoSpaceDN/>
        <w:bidi w:val="0"/>
        <w:adjustRightInd/>
        <w:snapToGrid/>
        <w:spacing w:line="500" w:lineRule="exact"/>
        <w:ind w:left="855"/>
        <w:jc w:val="both"/>
        <w:textAlignment w:val="auto"/>
        <w:rPr>
          <w:rFonts w:hint="eastAsia" w:ascii="宋体" w:hAnsi="宋体" w:eastAsia="宋体" w:cs="宋体"/>
          <w:sz w:val="24"/>
          <w:szCs w:val="24"/>
        </w:rPr>
      </w:pPr>
      <w:r>
        <w:rPr>
          <w:rFonts w:hint="eastAsia" w:ascii="宋体" w:hAnsi="宋体" w:eastAsia="宋体" w:cs="宋体"/>
          <w:b/>
          <w:sz w:val="24"/>
          <w:szCs w:val="24"/>
        </w:rPr>
        <w:t>2.2.5.10.1.全自动状态监控</w:t>
      </w:r>
    </w:p>
    <w:p w14:paraId="7B8BEA85">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支持自动采集定位信标运行状态（扫描状态、电量等），无需人工现场巡检，大幅降低运维成本。</w:t>
      </w:r>
    </w:p>
    <w:p w14:paraId="079F15C0">
      <w:pPr>
        <w:pStyle w:val="6"/>
        <w:keepNext w:val="0"/>
        <w:keepLines w:val="0"/>
        <w:pageBreakBefore w:val="0"/>
        <w:kinsoku/>
        <w:wordWrap/>
        <w:overflowPunct/>
        <w:topLinePunct w:val="0"/>
        <w:autoSpaceDE/>
        <w:autoSpaceDN/>
        <w:bidi w:val="0"/>
        <w:adjustRightInd/>
        <w:snapToGrid/>
        <w:spacing w:line="500" w:lineRule="exact"/>
        <w:ind w:left="855"/>
        <w:jc w:val="both"/>
        <w:textAlignment w:val="auto"/>
        <w:rPr>
          <w:rFonts w:hint="eastAsia" w:ascii="宋体" w:hAnsi="宋体" w:eastAsia="宋体" w:cs="宋体"/>
          <w:sz w:val="24"/>
          <w:szCs w:val="24"/>
        </w:rPr>
      </w:pPr>
      <w:r>
        <w:rPr>
          <w:rFonts w:hint="eastAsia" w:ascii="宋体" w:hAnsi="宋体" w:eastAsia="宋体" w:cs="宋体"/>
          <w:b/>
          <w:sz w:val="24"/>
          <w:szCs w:val="24"/>
        </w:rPr>
        <w:t>2.2.5.10.2.电量监测</w:t>
      </w:r>
    </w:p>
    <w:p w14:paraId="43D7D312">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定位信标电量数据可自动传至中央数据库，系统保留信标电量的历史记录，管理人员可以查看过去一段时间内的电量变化趋势，以便进行预测和分析，方便管理人员快速分析设备运行变化，提前防范设备离线。</w:t>
      </w:r>
    </w:p>
    <w:p w14:paraId="49138207">
      <w:pPr>
        <w:pStyle w:val="6"/>
        <w:keepNext w:val="0"/>
        <w:keepLines w:val="0"/>
        <w:pageBreakBefore w:val="0"/>
        <w:kinsoku/>
        <w:wordWrap/>
        <w:overflowPunct/>
        <w:topLinePunct w:val="0"/>
        <w:autoSpaceDE/>
        <w:autoSpaceDN/>
        <w:bidi w:val="0"/>
        <w:adjustRightInd/>
        <w:snapToGrid/>
        <w:spacing w:line="500" w:lineRule="exact"/>
        <w:ind w:left="855"/>
        <w:jc w:val="both"/>
        <w:textAlignment w:val="auto"/>
        <w:rPr>
          <w:rFonts w:hint="eastAsia" w:ascii="宋体" w:hAnsi="宋体" w:eastAsia="宋体" w:cs="宋体"/>
          <w:sz w:val="24"/>
          <w:szCs w:val="24"/>
        </w:rPr>
      </w:pPr>
      <w:r>
        <w:rPr>
          <w:rFonts w:hint="eastAsia" w:ascii="宋体" w:hAnsi="宋体" w:eastAsia="宋体" w:cs="宋体"/>
          <w:b/>
          <w:sz w:val="24"/>
          <w:szCs w:val="24"/>
        </w:rPr>
        <w:t>2.2.5.10.3.消息提醒</w:t>
      </w:r>
    </w:p>
    <w:p w14:paraId="2C5BCCDB">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当信标的电量低于设定阈值时，系统支持向相关人员发送提醒信息，确保及时更换电池或采取其他措施。</w:t>
      </w:r>
    </w:p>
    <w:p w14:paraId="0EDD7011">
      <w:pPr>
        <w:pStyle w:val="6"/>
        <w:keepNext w:val="0"/>
        <w:keepLines w:val="0"/>
        <w:pageBreakBefore w:val="0"/>
        <w:kinsoku/>
        <w:wordWrap/>
        <w:overflowPunct/>
        <w:topLinePunct w:val="0"/>
        <w:autoSpaceDE/>
        <w:autoSpaceDN/>
        <w:bidi w:val="0"/>
        <w:adjustRightInd/>
        <w:snapToGrid/>
        <w:spacing w:line="500" w:lineRule="exact"/>
        <w:ind w:left="855"/>
        <w:jc w:val="both"/>
        <w:textAlignment w:val="auto"/>
        <w:rPr>
          <w:rFonts w:hint="eastAsia" w:ascii="宋体" w:hAnsi="宋体" w:eastAsia="宋体" w:cs="宋体"/>
          <w:sz w:val="24"/>
          <w:szCs w:val="24"/>
        </w:rPr>
      </w:pPr>
      <w:r>
        <w:rPr>
          <w:rFonts w:hint="eastAsia" w:ascii="宋体" w:hAnsi="宋体" w:eastAsia="宋体" w:cs="宋体"/>
          <w:b/>
          <w:sz w:val="24"/>
          <w:szCs w:val="24"/>
        </w:rPr>
        <w:t>2.2.5.11.公众号对接(评审项123)</w:t>
      </w:r>
    </w:p>
    <w:p w14:paraId="0726340D">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通过微信公众号中的消息模板或智慧医院系统增加按钮的形式，增加跳转导航小程序链接，直接进入导航流程。</w:t>
      </w:r>
    </w:p>
    <w:p w14:paraId="409499DE">
      <w:pPr>
        <w:pStyle w:val="6"/>
        <w:keepNext w:val="0"/>
        <w:keepLines w:val="0"/>
        <w:pageBreakBefore w:val="0"/>
        <w:kinsoku/>
        <w:wordWrap/>
        <w:overflowPunct/>
        <w:topLinePunct w:val="0"/>
        <w:autoSpaceDE/>
        <w:autoSpaceDN/>
        <w:bidi w:val="0"/>
        <w:adjustRightInd/>
        <w:snapToGrid/>
        <w:spacing w:line="500" w:lineRule="exact"/>
        <w:ind w:left="855"/>
        <w:jc w:val="both"/>
        <w:textAlignment w:val="auto"/>
        <w:rPr>
          <w:rFonts w:hint="eastAsia" w:ascii="宋体" w:hAnsi="宋体" w:eastAsia="宋体" w:cs="宋体"/>
          <w:sz w:val="24"/>
          <w:szCs w:val="24"/>
        </w:rPr>
      </w:pPr>
      <w:r>
        <w:rPr>
          <w:rFonts w:hint="eastAsia" w:ascii="宋体" w:hAnsi="宋体" w:eastAsia="宋体" w:cs="宋体"/>
          <w:b/>
          <w:sz w:val="24"/>
          <w:szCs w:val="24"/>
        </w:rPr>
        <w:t>2.2.5.12.询机软件(评审项124)</w:t>
      </w:r>
    </w:p>
    <w:p w14:paraId="2A0881E2">
      <w:pPr>
        <w:pStyle w:val="6"/>
        <w:keepNext w:val="0"/>
        <w:keepLines w:val="0"/>
        <w:pageBreakBefore w:val="0"/>
        <w:kinsoku/>
        <w:wordWrap/>
        <w:overflowPunct/>
        <w:topLinePunct w:val="0"/>
        <w:autoSpaceDE/>
        <w:autoSpaceDN/>
        <w:bidi w:val="0"/>
        <w:adjustRightInd/>
        <w:snapToGrid/>
        <w:spacing w:line="500" w:lineRule="exact"/>
        <w:ind w:left="855"/>
        <w:jc w:val="both"/>
        <w:textAlignment w:val="auto"/>
        <w:rPr>
          <w:rFonts w:hint="eastAsia" w:ascii="宋体" w:hAnsi="宋体" w:eastAsia="宋体" w:cs="宋体"/>
          <w:sz w:val="24"/>
          <w:szCs w:val="24"/>
        </w:rPr>
      </w:pPr>
      <w:r>
        <w:rPr>
          <w:rFonts w:hint="eastAsia" w:ascii="宋体" w:hAnsi="宋体" w:eastAsia="宋体" w:cs="宋体"/>
          <w:b/>
          <w:sz w:val="24"/>
          <w:szCs w:val="24"/>
        </w:rPr>
        <w:t>2.2.5.12.1.地图组件</w:t>
      </w:r>
    </w:p>
    <w:p w14:paraId="7CFA1DEB">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提供专业的3D室内外融合电子地图，用户观感和体验效果更佳。医院结构及各POI点名称清晰展现；支持地图的缩放、旋转、平移及切换视角显示；支持楼栋科室列表展示。</w:t>
      </w:r>
    </w:p>
    <w:p w14:paraId="5FC8C01B">
      <w:pPr>
        <w:pStyle w:val="6"/>
        <w:keepNext w:val="0"/>
        <w:keepLines w:val="0"/>
        <w:pageBreakBefore w:val="0"/>
        <w:kinsoku/>
        <w:wordWrap/>
        <w:overflowPunct/>
        <w:topLinePunct w:val="0"/>
        <w:autoSpaceDE/>
        <w:autoSpaceDN/>
        <w:bidi w:val="0"/>
        <w:adjustRightInd/>
        <w:snapToGrid/>
        <w:spacing w:line="500" w:lineRule="exact"/>
        <w:ind w:left="855"/>
        <w:jc w:val="both"/>
        <w:textAlignment w:val="auto"/>
        <w:rPr>
          <w:rFonts w:hint="eastAsia" w:ascii="宋体" w:hAnsi="宋体" w:eastAsia="宋体" w:cs="宋体"/>
          <w:sz w:val="24"/>
          <w:szCs w:val="24"/>
        </w:rPr>
      </w:pPr>
      <w:r>
        <w:rPr>
          <w:rFonts w:hint="eastAsia" w:ascii="宋体" w:hAnsi="宋体" w:eastAsia="宋体" w:cs="宋体"/>
          <w:b/>
          <w:sz w:val="24"/>
          <w:szCs w:val="24"/>
        </w:rPr>
        <w:t>2.2.5.12.2.搜索组件</w:t>
      </w:r>
    </w:p>
    <w:p w14:paraId="2C39E70A">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支持根据POI名称首字母进行查询搜索功能，并可将搜索结果进行高亮显示；支持搜索框首字母搜索，具有模糊搜索功能。</w:t>
      </w:r>
    </w:p>
    <w:p w14:paraId="2EBEE8CA">
      <w:pPr>
        <w:pStyle w:val="6"/>
        <w:keepNext w:val="0"/>
        <w:keepLines w:val="0"/>
        <w:pageBreakBefore w:val="0"/>
        <w:kinsoku/>
        <w:wordWrap/>
        <w:overflowPunct/>
        <w:topLinePunct w:val="0"/>
        <w:autoSpaceDE/>
        <w:autoSpaceDN/>
        <w:bidi w:val="0"/>
        <w:adjustRightInd/>
        <w:snapToGrid/>
        <w:spacing w:line="500" w:lineRule="exact"/>
        <w:ind w:left="855"/>
        <w:jc w:val="both"/>
        <w:textAlignment w:val="auto"/>
        <w:rPr>
          <w:rFonts w:hint="eastAsia" w:ascii="宋体" w:hAnsi="宋体" w:eastAsia="宋体" w:cs="宋体"/>
          <w:sz w:val="24"/>
          <w:szCs w:val="24"/>
        </w:rPr>
      </w:pPr>
      <w:r>
        <w:rPr>
          <w:rFonts w:hint="eastAsia" w:ascii="宋体" w:hAnsi="宋体" w:eastAsia="宋体" w:cs="宋体"/>
          <w:b/>
          <w:sz w:val="24"/>
          <w:szCs w:val="24"/>
        </w:rPr>
        <w:t>2.2.5.12.3.导航组件</w:t>
      </w:r>
    </w:p>
    <w:p w14:paraId="06DDFC5C">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支持模拟导航，可根据科室类别、搜索接口进行目的地模拟导航，并可设置导航过程中是否跟随视角；支持扫码手机导航，选择目的地后大屏自动展示目的地二维码于大屏上，可通过手机扫一扫进行实时导航。</w:t>
      </w:r>
    </w:p>
    <w:p w14:paraId="0D1AAD6B">
      <w:pPr>
        <w:pStyle w:val="6"/>
        <w:keepNext w:val="0"/>
        <w:keepLines w:val="0"/>
        <w:pageBreakBefore w:val="0"/>
        <w:kinsoku/>
        <w:wordWrap/>
        <w:overflowPunct/>
        <w:topLinePunct w:val="0"/>
        <w:autoSpaceDE/>
        <w:autoSpaceDN/>
        <w:bidi w:val="0"/>
        <w:adjustRightInd/>
        <w:snapToGrid/>
        <w:spacing w:line="500" w:lineRule="exact"/>
        <w:ind w:left="855"/>
        <w:jc w:val="both"/>
        <w:textAlignment w:val="auto"/>
        <w:rPr>
          <w:rFonts w:hint="eastAsia" w:ascii="宋体" w:hAnsi="宋体" w:eastAsia="宋体" w:cs="宋体"/>
          <w:sz w:val="24"/>
          <w:szCs w:val="24"/>
        </w:rPr>
      </w:pPr>
      <w:r>
        <w:rPr>
          <w:rFonts w:hint="eastAsia" w:ascii="宋体" w:hAnsi="宋体" w:eastAsia="宋体" w:cs="宋体"/>
          <w:b/>
          <w:sz w:val="24"/>
          <w:szCs w:val="24"/>
        </w:rPr>
        <w:t>2.2.5.12.4.医院设置</w:t>
      </w:r>
    </w:p>
    <w:p w14:paraId="2C649ABD">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支持医院介绍展示、科室介绍展示、专家出诊情况展示等功能；支持医院公众号二维码展示推广功能。</w:t>
      </w:r>
    </w:p>
    <w:p w14:paraId="25A632F3">
      <w:pPr>
        <w:pStyle w:val="6"/>
        <w:keepNext w:val="0"/>
        <w:keepLines w:val="0"/>
        <w:pageBreakBefore w:val="0"/>
        <w:kinsoku/>
        <w:wordWrap/>
        <w:overflowPunct/>
        <w:topLinePunct w:val="0"/>
        <w:autoSpaceDE/>
        <w:autoSpaceDN/>
        <w:bidi w:val="0"/>
        <w:adjustRightInd/>
        <w:snapToGrid/>
        <w:spacing w:line="500" w:lineRule="exact"/>
        <w:ind w:left="855"/>
        <w:jc w:val="both"/>
        <w:textAlignment w:val="auto"/>
        <w:rPr>
          <w:rFonts w:hint="eastAsia" w:ascii="宋体" w:hAnsi="宋体" w:eastAsia="宋体" w:cs="宋体"/>
          <w:sz w:val="24"/>
          <w:szCs w:val="24"/>
        </w:rPr>
      </w:pPr>
      <w:r>
        <w:rPr>
          <w:rFonts w:hint="eastAsia" w:ascii="宋体" w:hAnsi="宋体" w:eastAsia="宋体" w:cs="宋体"/>
          <w:b/>
          <w:sz w:val="24"/>
          <w:szCs w:val="24"/>
        </w:rPr>
        <w:t>2.2.5.13.地图绘制（2.5D）(评审项125)</w:t>
      </w:r>
    </w:p>
    <w:p w14:paraId="6F58ABA6">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根据院方内部结构进行面积测算及2.5D电子地图绘制。</w:t>
      </w:r>
    </w:p>
    <w:p w14:paraId="068CC881">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2.2.6.患者定位管理系统</w:t>
      </w:r>
    </w:p>
    <w:p w14:paraId="7D6DBC34">
      <w:pPr>
        <w:pStyle w:val="6"/>
        <w:keepNext w:val="0"/>
        <w:keepLines w:val="0"/>
        <w:pageBreakBefore w:val="0"/>
        <w:kinsoku/>
        <w:wordWrap/>
        <w:overflowPunct/>
        <w:topLinePunct w:val="0"/>
        <w:autoSpaceDE/>
        <w:autoSpaceDN/>
        <w:bidi w:val="0"/>
        <w:adjustRightInd/>
        <w:snapToGrid/>
        <w:spacing w:line="500" w:lineRule="exact"/>
        <w:ind w:left="855"/>
        <w:jc w:val="both"/>
        <w:textAlignment w:val="auto"/>
        <w:rPr>
          <w:rFonts w:hint="eastAsia" w:ascii="宋体" w:hAnsi="宋体" w:eastAsia="宋体" w:cs="宋体"/>
          <w:sz w:val="24"/>
          <w:szCs w:val="24"/>
        </w:rPr>
      </w:pPr>
      <w:r>
        <w:rPr>
          <w:rFonts w:hint="eastAsia" w:ascii="宋体" w:hAnsi="宋体" w:eastAsia="宋体" w:cs="宋体"/>
          <w:b/>
          <w:sz w:val="24"/>
          <w:szCs w:val="24"/>
        </w:rPr>
        <w:t>2.2.6.1.物联网平台(评审项126)</w:t>
      </w:r>
    </w:p>
    <w:p w14:paraId="349A5D99">
      <w:pPr>
        <w:pStyle w:val="6"/>
        <w:keepNext w:val="0"/>
        <w:keepLines w:val="0"/>
        <w:pageBreakBefore w:val="0"/>
        <w:kinsoku/>
        <w:wordWrap/>
        <w:overflowPunct/>
        <w:topLinePunct w:val="0"/>
        <w:autoSpaceDE/>
        <w:autoSpaceDN/>
        <w:bidi w:val="0"/>
        <w:adjustRightInd/>
        <w:snapToGrid/>
        <w:spacing w:line="500" w:lineRule="exact"/>
        <w:ind w:left="855"/>
        <w:jc w:val="both"/>
        <w:textAlignment w:val="auto"/>
        <w:rPr>
          <w:rFonts w:hint="eastAsia" w:ascii="宋体" w:hAnsi="宋体" w:eastAsia="宋体" w:cs="宋体"/>
          <w:sz w:val="24"/>
          <w:szCs w:val="24"/>
        </w:rPr>
      </w:pPr>
      <w:r>
        <w:rPr>
          <w:rFonts w:hint="eastAsia" w:ascii="宋体" w:hAnsi="宋体" w:eastAsia="宋体" w:cs="宋体"/>
          <w:b/>
          <w:sz w:val="24"/>
          <w:szCs w:val="24"/>
        </w:rPr>
        <w:t>2.2.6.1.1.应用中心</w:t>
      </w:r>
    </w:p>
    <w:p w14:paraId="0B03E026">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支持将医院建设的物联网应用系统接入物联网平台统一管理，通过物联网平台实现各个应用系统的免密登录和权限配置。</w:t>
      </w:r>
    </w:p>
    <w:p w14:paraId="607396AB">
      <w:pPr>
        <w:pStyle w:val="6"/>
        <w:keepNext w:val="0"/>
        <w:keepLines w:val="0"/>
        <w:pageBreakBefore w:val="0"/>
        <w:kinsoku/>
        <w:wordWrap/>
        <w:overflowPunct/>
        <w:topLinePunct w:val="0"/>
        <w:autoSpaceDE/>
        <w:autoSpaceDN/>
        <w:bidi w:val="0"/>
        <w:adjustRightInd/>
        <w:snapToGrid/>
        <w:spacing w:line="500" w:lineRule="exact"/>
        <w:ind w:left="855"/>
        <w:jc w:val="both"/>
        <w:textAlignment w:val="auto"/>
        <w:rPr>
          <w:rFonts w:hint="eastAsia" w:ascii="宋体" w:hAnsi="宋体" w:eastAsia="宋体" w:cs="宋体"/>
          <w:sz w:val="24"/>
          <w:szCs w:val="24"/>
        </w:rPr>
      </w:pPr>
      <w:r>
        <w:rPr>
          <w:rFonts w:hint="eastAsia" w:ascii="宋体" w:hAnsi="宋体" w:eastAsia="宋体" w:cs="宋体"/>
          <w:b/>
          <w:sz w:val="24"/>
          <w:szCs w:val="24"/>
        </w:rPr>
        <w:t>2.2.6.1.2.应用看板</w:t>
      </w:r>
    </w:p>
    <w:p w14:paraId="5626DFAC">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（1）在可视化看板中，可以查看当前接入的物联网子系统，点击应用图标，可以跳转到对应的应用系统内；</w:t>
      </w:r>
    </w:p>
    <w:p w14:paraId="37DB20ED">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（2）异常信息速览：提供异常信息速览模块，可以查看平台侧、子系统提送上报的各种异常数据，包括异常数据来源、报警严重程度、处理状态等信息，点击任意一条异常数据，可以跳转到对应的应用系统内。</w:t>
      </w:r>
    </w:p>
    <w:p w14:paraId="42B702E7">
      <w:pPr>
        <w:pStyle w:val="6"/>
        <w:keepNext w:val="0"/>
        <w:keepLines w:val="0"/>
        <w:pageBreakBefore w:val="0"/>
        <w:kinsoku/>
        <w:wordWrap/>
        <w:overflowPunct/>
        <w:topLinePunct w:val="0"/>
        <w:autoSpaceDE/>
        <w:autoSpaceDN/>
        <w:bidi w:val="0"/>
        <w:adjustRightInd/>
        <w:snapToGrid/>
        <w:spacing w:line="500" w:lineRule="exact"/>
        <w:ind w:left="855"/>
        <w:jc w:val="both"/>
        <w:textAlignment w:val="auto"/>
        <w:rPr>
          <w:rFonts w:hint="eastAsia" w:ascii="宋体" w:hAnsi="宋体" w:eastAsia="宋体" w:cs="宋体"/>
          <w:sz w:val="24"/>
          <w:szCs w:val="24"/>
        </w:rPr>
      </w:pPr>
      <w:r>
        <w:rPr>
          <w:rFonts w:hint="eastAsia" w:ascii="宋体" w:hAnsi="宋体" w:eastAsia="宋体" w:cs="宋体"/>
          <w:b/>
          <w:sz w:val="24"/>
          <w:szCs w:val="24"/>
        </w:rPr>
        <w:t>2.2.6.1.3.设备管理</w:t>
      </w:r>
    </w:p>
    <w:p w14:paraId="7682A199">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1.设备管理组件</w:t>
      </w:r>
    </w:p>
    <w:p w14:paraId="03A4ADA0">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支持网关设备、网关子设备、直连设备、定位设备等的综合管理。支持设备新增、加密方式、分组、状态展示、下行配置等；支持设备拓扑结构及配置历史展示，支持基于设备地图管理设备。</w:t>
      </w:r>
    </w:p>
    <w:p w14:paraId="7A7E75D4">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2.具有设备管理功能</w:t>
      </w:r>
    </w:p>
    <w:p w14:paraId="439FEEC6">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支持将物联网网关设备、终端设备、直连设备接入物联网平台统一管理，可以查询设备的通信状态、所在位置、电量、MAC地址、网关IP、固件版本等信息；支持以拓扑结构图的形式展示各个通信节点的情况，可以查询网关设备历史连接的终端情况，便于运维人员分析某一网关离线后可能影响的终端设备。</w:t>
      </w:r>
    </w:p>
    <w:p w14:paraId="0E8E4662">
      <w:pPr>
        <w:pStyle w:val="6"/>
        <w:keepNext w:val="0"/>
        <w:keepLines w:val="0"/>
        <w:pageBreakBefore w:val="0"/>
        <w:kinsoku/>
        <w:wordWrap/>
        <w:overflowPunct/>
        <w:topLinePunct w:val="0"/>
        <w:autoSpaceDE/>
        <w:autoSpaceDN/>
        <w:bidi w:val="0"/>
        <w:adjustRightInd/>
        <w:snapToGrid/>
        <w:spacing w:line="500" w:lineRule="exact"/>
        <w:ind w:left="855"/>
        <w:jc w:val="both"/>
        <w:textAlignment w:val="auto"/>
        <w:rPr>
          <w:rFonts w:hint="eastAsia" w:ascii="宋体" w:hAnsi="宋体" w:eastAsia="宋体" w:cs="宋体"/>
          <w:sz w:val="24"/>
          <w:szCs w:val="24"/>
        </w:rPr>
      </w:pPr>
      <w:r>
        <w:rPr>
          <w:rFonts w:hint="eastAsia" w:ascii="宋体" w:hAnsi="宋体" w:eastAsia="宋体" w:cs="宋体"/>
          <w:b/>
          <w:sz w:val="24"/>
          <w:szCs w:val="24"/>
        </w:rPr>
        <w:t>2.2.6.1.4.地图管理</w:t>
      </w:r>
    </w:p>
    <w:p w14:paraId="21E010BE">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具有设备地图功能，在设备地图模块中，可以查看所有接入物联网平台终端、网关的所在楼层、通讯状态、最后通讯时间，支持在医院电子地图上展示该设备的位置。</w:t>
      </w:r>
    </w:p>
    <w:p w14:paraId="210559A5">
      <w:pPr>
        <w:pStyle w:val="6"/>
        <w:keepNext w:val="0"/>
        <w:keepLines w:val="0"/>
        <w:pageBreakBefore w:val="0"/>
        <w:kinsoku/>
        <w:wordWrap/>
        <w:overflowPunct/>
        <w:topLinePunct w:val="0"/>
        <w:autoSpaceDE/>
        <w:autoSpaceDN/>
        <w:bidi w:val="0"/>
        <w:adjustRightInd/>
        <w:snapToGrid/>
        <w:spacing w:line="500" w:lineRule="exact"/>
        <w:ind w:left="855"/>
        <w:jc w:val="both"/>
        <w:textAlignment w:val="auto"/>
        <w:rPr>
          <w:rFonts w:hint="eastAsia" w:ascii="宋体" w:hAnsi="宋体" w:eastAsia="宋体" w:cs="宋体"/>
          <w:sz w:val="24"/>
          <w:szCs w:val="24"/>
        </w:rPr>
      </w:pPr>
      <w:r>
        <w:rPr>
          <w:rFonts w:hint="eastAsia" w:ascii="宋体" w:hAnsi="宋体" w:eastAsia="宋体" w:cs="宋体"/>
          <w:b/>
          <w:sz w:val="24"/>
          <w:szCs w:val="24"/>
        </w:rPr>
        <w:t>2.2.6.1.5.规则引擎</w:t>
      </w:r>
    </w:p>
    <w:p w14:paraId="5BDE8C29">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1.数据订阅</w:t>
      </w:r>
    </w:p>
    <w:p w14:paraId="42F097A3">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业务应用可动态订阅设备数据，支持订阅设备实时数据、历史数据、设备事件、实时位置、进出围栏事件、下发命令结果、定位设备信息等。</w:t>
      </w:r>
    </w:p>
    <w:p w14:paraId="3BCDF9B1">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2.场景联动</w:t>
      </w:r>
    </w:p>
    <w:p w14:paraId="2AE626E2">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可基于业务场景动态配置数据规则，实现平台与业务系统、多个业务系统之间的联动，支持多个触发器、执行条件、执行动作组合配置；支持结合定位引擎及电子围栏联动指定地理位置的设备，执行动作应包括应用通知、短信通知、微信推送等。</w:t>
      </w:r>
    </w:p>
    <w:p w14:paraId="7D2CB844">
      <w:pPr>
        <w:pStyle w:val="6"/>
        <w:keepNext w:val="0"/>
        <w:keepLines w:val="0"/>
        <w:pageBreakBefore w:val="0"/>
        <w:kinsoku/>
        <w:wordWrap/>
        <w:overflowPunct/>
        <w:topLinePunct w:val="0"/>
        <w:autoSpaceDE/>
        <w:autoSpaceDN/>
        <w:bidi w:val="0"/>
        <w:adjustRightInd/>
        <w:snapToGrid/>
        <w:spacing w:line="500" w:lineRule="exact"/>
        <w:ind w:left="855"/>
        <w:jc w:val="both"/>
        <w:textAlignment w:val="auto"/>
        <w:rPr>
          <w:rFonts w:hint="eastAsia" w:ascii="宋体" w:hAnsi="宋体" w:eastAsia="宋体" w:cs="宋体"/>
          <w:sz w:val="24"/>
          <w:szCs w:val="24"/>
        </w:rPr>
      </w:pPr>
      <w:r>
        <w:rPr>
          <w:rFonts w:hint="eastAsia" w:ascii="宋体" w:hAnsi="宋体" w:eastAsia="宋体" w:cs="宋体"/>
          <w:b/>
          <w:sz w:val="24"/>
          <w:szCs w:val="24"/>
        </w:rPr>
        <w:t>2.2.6.1.6.监控运维</w:t>
      </w:r>
    </w:p>
    <w:p w14:paraId="29C04120">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支持设备升级管理、版本控制；支持信号覆盖分析；支持定位分析，支持多种定位方式的终端轨迹分析，可查看扫描信标情况，作为调整信标配置参数的参考；支持数测分析，可查看设备实时及历史运行状态信息；支持拉距测试和基站并发测试，可查看设备的通信情况、基站并发情况。</w:t>
      </w:r>
    </w:p>
    <w:p w14:paraId="12FD5883">
      <w:pPr>
        <w:pStyle w:val="6"/>
        <w:keepNext w:val="0"/>
        <w:keepLines w:val="0"/>
        <w:pageBreakBefore w:val="0"/>
        <w:kinsoku/>
        <w:wordWrap/>
        <w:overflowPunct/>
        <w:topLinePunct w:val="0"/>
        <w:autoSpaceDE/>
        <w:autoSpaceDN/>
        <w:bidi w:val="0"/>
        <w:adjustRightInd/>
        <w:snapToGrid/>
        <w:spacing w:line="500" w:lineRule="exact"/>
        <w:ind w:left="855"/>
        <w:jc w:val="both"/>
        <w:textAlignment w:val="auto"/>
        <w:rPr>
          <w:rFonts w:hint="eastAsia" w:ascii="宋体" w:hAnsi="宋体" w:eastAsia="宋体" w:cs="宋体"/>
          <w:sz w:val="24"/>
          <w:szCs w:val="24"/>
        </w:rPr>
      </w:pPr>
      <w:r>
        <w:rPr>
          <w:rFonts w:hint="eastAsia" w:ascii="宋体" w:hAnsi="宋体" w:eastAsia="宋体" w:cs="宋体"/>
          <w:b/>
          <w:sz w:val="24"/>
          <w:szCs w:val="24"/>
        </w:rPr>
        <w:t>2.2.6.1.7.系统设置</w:t>
      </w:r>
    </w:p>
    <w:p w14:paraId="02E9D39F">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具有系统设置功能模块，支持应用集成、看板集成、推送管理、设备广播、系统配置等功能；具有权限管理组件，可进行账号权限管理、数据权限管理、应用权限管理。</w:t>
      </w:r>
    </w:p>
    <w:p w14:paraId="771B7674">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b/>
          <w:sz w:val="24"/>
          <w:szCs w:val="24"/>
        </w:rPr>
        <w:t>2.2.6.2.数据处理能力：平台数据处理能力≥3000TPS；设备并发能力：平台并行处理连接设备数≥3000（投标人须提供测试报告进行佐证，测试报告中受检（或委托）单位须为相应产品的制造商或投标人）；物联网关(评审项127)</w:t>
      </w:r>
    </w:p>
    <w:p w14:paraId="6BDEC4CD">
      <w:pPr>
        <w:pStyle w:val="6"/>
        <w:keepNext w:val="0"/>
        <w:keepLines w:val="0"/>
        <w:pageBreakBefore w:val="0"/>
        <w:numPr>
          <w:ilvl w:val="0"/>
          <w:numId w:val="1"/>
        </w:numPr>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sz w:val="24"/>
          <w:szCs w:val="24"/>
        </w:rPr>
        <w:t>全套共配置681台物联网关；</w:t>
      </w:r>
    </w:p>
    <w:p w14:paraId="40A81E82">
      <w:pPr>
        <w:pStyle w:val="6"/>
        <w:keepNext w:val="0"/>
        <w:keepLines w:val="0"/>
        <w:pageBreakBefore w:val="0"/>
        <w:numPr>
          <w:ilvl w:val="0"/>
          <w:numId w:val="1"/>
        </w:numPr>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sz w:val="24"/>
          <w:szCs w:val="24"/>
        </w:rPr>
        <w:t>供电方式：POE/DC（24V 2A）；</w:t>
      </w:r>
    </w:p>
    <w:p w14:paraId="20372E26">
      <w:pPr>
        <w:pStyle w:val="6"/>
        <w:keepNext w:val="0"/>
        <w:keepLines w:val="0"/>
        <w:pageBreakBefore w:val="0"/>
        <w:numPr>
          <w:ilvl w:val="0"/>
          <w:numId w:val="1"/>
        </w:numPr>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sz w:val="24"/>
          <w:szCs w:val="24"/>
        </w:rPr>
        <w:t>供网方式：以太网/5G；</w:t>
      </w:r>
    </w:p>
    <w:p w14:paraId="48564C0D">
      <w:pPr>
        <w:pStyle w:val="6"/>
        <w:keepNext w:val="0"/>
        <w:keepLines w:val="0"/>
        <w:pageBreakBefore w:val="0"/>
        <w:numPr>
          <w:ilvl w:val="0"/>
          <w:numId w:val="1"/>
        </w:numPr>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sz w:val="24"/>
          <w:szCs w:val="24"/>
        </w:rPr>
        <w:t>天线：内置天线，支持通过馈线接口拓展外置天线；</w:t>
      </w:r>
    </w:p>
    <w:p w14:paraId="44520D7C">
      <w:pPr>
        <w:pStyle w:val="6"/>
        <w:keepNext w:val="0"/>
        <w:keepLines w:val="0"/>
        <w:pageBreakBefore w:val="0"/>
        <w:numPr>
          <w:ilvl w:val="0"/>
          <w:numId w:val="1"/>
        </w:numPr>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sz w:val="24"/>
          <w:szCs w:val="24"/>
        </w:rPr>
        <w:t>支持蓝牙主被动双重定位模式和蓝牙终端数据采集；</w:t>
      </w:r>
    </w:p>
    <w:p w14:paraId="720B76AE">
      <w:pPr>
        <w:pStyle w:val="6"/>
        <w:keepNext w:val="0"/>
        <w:keepLines w:val="0"/>
        <w:pageBreakBefore w:val="0"/>
        <w:numPr>
          <w:ilvl w:val="0"/>
          <w:numId w:val="1"/>
        </w:numPr>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sz w:val="24"/>
          <w:szCs w:val="24"/>
        </w:rPr>
        <w:t>物联网关需要具备高拓展性，采用模组化可拓展性网络设计，网关内设卡槽不低于3个，可接入多个物联网模组；</w:t>
      </w:r>
    </w:p>
    <w:p w14:paraId="6782DAC6">
      <w:pPr>
        <w:pStyle w:val="6"/>
        <w:keepNext w:val="0"/>
        <w:keepLines w:val="0"/>
        <w:pageBreakBefore w:val="0"/>
        <w:numPr>
          <w:ilvl w:val="0"/>
          <w:numId w:val="1"/>
        </w:numPr>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sz w:val="24"/>
          <w:szCs w:val="24"/>
        </w:rPr>
        <w:t>接口配置：网口数量≥2个，USB接口≥2个，馈线接口≥4路；</w:t>
      </w:r>
    </w:p>
    <w:p w14:paraId="5BB756C7">
      <w:pPr>
        <w:pStyle w:val="6"/>
        <w:keepNext w:val="0"/>
        <w:keepLines w:val="0"/>
        <w:pageBreakBefore w:val="0"/>
        <w:numPr>
          <w:ilvl w:val="0"/>
          <w:numId w:val="1"/>
        </w:numPr>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sz w:val="24"/>
          <w:szCs w:val="24"/>
        </w:rPr>
        <w:t>具有PoE out接口，为低功耗PoE设备供电；</w:t>
      </w:r>
    </w:p>
    <w:p w14:paraId="68704D71">
      <w:pPr>
        <w:pStyle w:val="6"/>
        <w:keepNext w:val="0"/>
        <w:keepLines w:val="0"/>
        <w:pageBreakBefore w:val="0"/>
        <w:numPr>
          <w:ilvl w:val="0"/>
          <w:numId w:val="1"/>
        </w:numPr>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sz w:val="24"/>
          <w:szCs w:val="24"/>
        </w:rPr>
        <w:t>支持离线缓存功能；</w:t>
      </w:r>
    </w:p>
    <w:p w14:paraId="14F7F15C">
      <w:pPr>
        <w:pStyle w:val="6"/>
        <w:keepNext w:val="0"/>
        <w:keepLines w:val="0"/>
        <w:pageBreakBefore w:val="0"/>
        <w:numPr>
          <w:ilvl w:val="0"/>
          <w:numId w:val="1"/>
        </w:numPr>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sz w:val="24"/>
          <w:szCs w:val="24"/>
        </w:rPr>
        <w:t>支持OTA远程升级。</w:t>
      </w:r>
    </w:p>
    <w:p w14:paraId="1F937F03">
      <w:pPr>
        <w:pStyle w:val="6"/>
        <w:keepNext w:val="0"/>
        <w:keepLines w:val="0"/>
        <w:pageBreakBefore w:val="0"/>
        <w:kinsoku/>
        <w:wordWrap/>
        <w:overflowPunct/>
        <w:topLinePunct w:val="0"/>
        <w:autoSpaceDE/>
        <w:autoSpaceDN/>
        <w:bidi w:val="0"/>
        <w:adjustRightInd/>
        <w:snapToGrid/>
        <w:spacing w:line="500" w:lineRule="exact"/>
        <w:ind w:left="855"/>
        <w:jc w:val="both"/>
        <w:textAlignment w:val="auto"/>
        <w:rPr>
          <w:rFonts w:hint="eastAsia" w:ascii="宋体" w:hAnsi="宋体" w:eastAsia="宋体" w:cs="宋体"/>
          <w:sz w:val="24"/>
          <w:szCs w:val="24"/>
        </w:rPr>
      </w:pPr>
      <w:r>
        <w:rPr>
          <w:rFonts w:hint="eastAsia" w:ascii="宋体" w:hAnsi="宋体" w:eastAsia="宋体" w:cs="宋体"/>
          <w:b/>
          <w:sz w:val="24"/>
          <w:szCs w:val="24"/>
        </w:rPr>
        <w:t>2.2.6.3.特殊病患管理系统(评审项128)</w:t>
      </w:r>
    </w:p>
    <w:p w14:paraId="0B0A6D7D">
      <w:pPr>
        <w:pStyle w:val="6"/>
        <w:keepNext w:val="0"/>
        <w:keepLines w:val="0"/>
        <w:pageBreakBefore w:val="0"/>
        <w:kinsoku/>
        <w:wordWrap/>
        <w:overflowPunct/>
        <w:topLinePunct w:val="0"/>
        <w:autoSpaceDE/>
        <w:autoSpaceDN/>
        <w:bidi w:val="0"/>
        <w:adjustRightInd/>
        <w:snapToGrid/>
        <w:spacing w:line="500" w:lineRule="exact"/>
        <w:ind w:left="855"/>
        <w:jc w:val="both"/>
        <w:textAlignment w:val="auto"/>
        <w:rPr>
          <w:rFonts w:hint="eastAsia" w:ascii="宋体" w:hAnsi="宋体" w:eastAsia="宋体" w:cs="宋体"/>
          <w:sz w:val="24"/>
          <w:szCs w:val="24"/>
        </w:rPr>
      </w:pPr>
      <w:r>
        <w:rPr>
          <w:rFonts w:hint="eastAsia" w:ascii="宋体" w:hAnsi="宋体" w:eastAsia="宋体" w:cs="宋体"/>
          <w:b/>
          <w:sz w:val="24"/>
          <w:szCs w:val="24"/>
        </w:rPr>
        <w:t>2.2.6.3.1.系统首页</w:t>
      </w:r>
    </w:p>
    <w:p w14:paraId="66E046F7">
      <w:pPr>
        <w:pStyle w:val="6"/>
        <w:keepNext w:val="0"/>
        <w:keepLines w:val="0"/>
        <w:pageBreakBefore w:val="0"/>
        <w:numPr>
          <w:ilvl w:val="0"/>
          <w:numId w:val="1"/>
        </w:numPr>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sz w:val="24"/>
          <w:szCs w:val="24"/>
        </w:rPr>
        <w:t>支持全区域定位覆盖及2D/3D地图展示，可支持2D、3D两种地图形式，地图支持缩放、旋转、平移、切换视角等查看方式；</w:t>
      </w:r>
    </w:p>
    <w:p w14:paraId="3D3769E2">
      <w:pPr>
        <w:pStyle w:val="6"/>
        <w:keepNext w:val="0"/>
        <w:keepLines w:val="0"/>
        <w:pageBreakBefore w:val="0"/>
        <w:numPr>
          <w:ilvl w:val="0"/>
          <w:numId w:val="1"/>
        </w:numPr>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sz w:val="24"/>
          <w:szCs w:val="24"/>
        </w:rPr>
        <w:t>具有人员实时位置查看、历史轨迹回放功能，查看历史轨迹时若人员所在位置有摄像头支持视频联动，记录查询出入时间；</w:t>
      </w:r>
    </w:p>
    <w:p w14:paraId="3EB190DC">
      <w:pPr>
        <w:pStyle w:val="6"/>
        <w:keepNext w:val="0"/>
        <w:keepLines w:val="0"/>
        <w:pageBreakBefore w:val="0"/>
        <w:numPr>
          <w:ilvl w:val="0"/>
          <w:numId w:val="1"/>
        </w:numPr>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sz w:val="24"/>
          <w:szCs w:val="24"/>
        </w:rPr>
        <w:t>支持查看当前患者总数、在线患者人数、离线患者人数、院内外出人数、院外外出人数等。</w:t>
      </w:r>
    </w:p>
    <w:p w14:paraId="5313CAFA">
      <w:pPr>
        <w:pStyle w:val="6"/>
        <w:keepNext w:val="0"/>
        <w:keepLines w:val="0"/>
        <w:pageBreakBefore w:val="0"/>
        <w:kinsoku/>
        <w:wordWrap/>
        <w:overflowPunct/>
        <w:topLinePunct w:val="0"/>
        <w:autoSpaceDE/>
        <w:autoSpaceDN/>
        <w:bidi w:val="0"/>
        <w:adjustRightInd/>
        <w:snapToGrid/>
        <w:spacing w:line="500" w:lineRule="exact"/>
        <w:ind w:left="855"/>
        <w:jc w:val="both"/>
        <w:textAlignment w:val="auto"/>
        <w:rPr>
          <w:rFonts w:hint="eastAsia" w:ascii="宋体" w:hAnsi="宋体" w:eastAsia="宋体" w:cs="宋体"/>
          <w:sz w:val="24"/>
          <w:szCs w:val="24"/>
        </w:rPr>
      </w:pPr>
      <w:r>
        <w:rPr>
          <w:rFonts w:hint="eastAsia" w:ascii="宋体" w:hAnsi="宋体" w:eastAsia="宋体" w:cs="宋体"/>
          <w:b/>
          <w:sz w:val="24"/>
          <w:szCs w:val="24"/>
        </w:rPr>
        <w:t>2.2.6.3.2.患者管理</w:t>
      </w:r>
    </w:p>
    <w:p w14:paraId="35292BCF">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具有患者管理模块，可查看患者姓名、性别、年龄、病房号、床位号、入科时间、入科诊断等信息；支持批量导入患者；支持外出申请；支持配置报警阈值，包括心率阈值，手环脱离时间阈值等。</w:t>
      </w:r>
    </w:p>
    <w:p w14:paraId="60848505">
      <w:pPr>
        <w:pStyle w:val="6"/>
        <w:keepNext w:val="0"/>
        <w:keepLines w:val="0"/>
        <w:pageBreakBefore w:val="0"/>
        <w:kinsoku/>
        <w:wordWrap/>
        <w:overflowPunct/>
        <w:topLinePunct w:val="0"/>
        <w:autoSpaceDE/>
        <w:autoSpaceDN/>
        <w:bidi w:val="0"/>
        <w:adjustRightInd/>
        <w:snapToGrid/>
        <w:spacing w:line="500" w:lineRule="exact"/>
        <w:ind w:left="855"/>
        <w:jc w:val="both"/>
        <w:textAlignment w:val="auto"/>
        <w:rPr>
          <w:rFonts w:hint="eastAsia" w:ascii="宋体" w:hAnsi="宋体" w:eastAsia="宋体" w:cs="宋体"/>
          <w:sz w:val="24"/>
          <w:szCs w:val="24"/>
        </w:rPr>
      </w:pPr>
      <w:r>
        <w:rPr>
          <w:rFonts w:hint="eastAsia" w:ascii="宋体" w:hAnsi="宋体" w:eastAsia="宋体" w:cs="宋体"/>
          <w:b/>
          <w:sz w:val="24"/>
          <w:szCs w:val="24"/>
        </w:rPr>
        <w:t>2.2.6.3.3.外出管理</w:t>
      </w:r>
    </w:p>
    <w:p w14:paraId="3CF9EB69">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支持查看患者外出情况，包括外出类型、外出时长、申请外出时间、外出事由等信息，支持延长外出时间。</w:t>
      </w:r>
    </w:p>
    <w:p w14:paraId="04C1382A">
      <w:pPr>
        <w:pStyle w:val="6"/>
        <w:keepNext w:val="0"/>
        <w:keepLines w:val="0"/>
        <w:pageBreakBefore w:val="0"/>
        <w:kinsoku/>
        <w:wordWrap/>
        <w:overflowPunct/>
        <w:topLinePunct w:val="0"/>
        <w:autoSpaceDE/>
        <w:autoSpaceDN/>
        <w:bidi w:val="0"/>
        <w:adjustRightInd/>
        <w:snapToGrid/>
        <w:spacing w:line="500" w:lineRule="exact"/>
        <w:ind w:left="855"/>
        <w:jc w:val="both"/>
        <w:textAlignment w:val="auto"/>
        <w:rPr>
          <w:rFonts w:hint="eastAsia" w:ascii="宋体" w:hAnsi="宋体" w:eastAsia="宋体" w:cs="宋体"/>
          <w:sz w:val="24"/>
          <w:szCs w:val="24"/>
        </w:rPr>
      </w:pPr>
      <w:r>
        <w:rPr>
          <w:rFonts w:hint="eastAsia" w:ascii="宋体" w:hAnsi="宋体" w:eastAsia="宋体" w:cs="宋体"/>
          <w:b/>
          <w:sz w:val="24"/>
          <w:szCs w:val="24"/>
        </w:rPr>
        <w:t>2.2.6.3.4.历史查询</w:t>
      </w:r>
    </w:p>
    <w:p w14:paraId="1C94CD7F">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支持查看历史患者数据、历史报警事件、历史外出记录等信息。</w:t>
      </w:r>
    </w:p>
    <w:p w14:paraId="4687DAE3">
      <w:pPr>
        <w:pStyle w:val="6"/>
        <w:keepNext w:val="0"/>
        <w:keepLines w:val="0"/>
        <w:pageBreakBefore w:val="0"/>
        <w:kinsoku/>
        <w:wordWrap/>
        <w:overflowPunct/>
        <w:topLinePunct w:val="0"/>
        <w:autoSpaceDE/>
        <w:autoSpaceDN/>
        <w:bidi w:val="0"/>
        <w:adjustRightInd/>
        <w:snapToGrid/>
        <w:spacing w:line="500" w:lineRule="exact"/>
        <w:ind w:left="855"/>
        <w:jc w:val="both"/>
        <w:textAlignment w:val="auto"/>
        <w:rPr>
          <w:rFonts w:hint="eastAsia" w:ascii="宋体" w:hAnsi="宋体" w:eastAsia="宋体" w:cs="宋体"/>
          <w:sz w:val="24"/>
          <w:szCs w:val="24"/>
        </w:rPr>
      </w:pPr>
      <w:r>
        <w:rPr>
          <w:rFonts w:hint="eastAsia" w:ascii="宋体" w:hAnsi="宋体" w:eastAsia="宋体" w:cs="宋体"/>
          <w:b/>
          <w:sz w:val="24"/>
          <w:szCs w:val="24"/>
        </w:rPr>
        <w:t>2.2.6.3.5.统计分析</w:t>
      </w:r>
    </w:p>
    <w:p w14:paraId="66523FCB">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可根据医院需求，满足对特殊病患管理数据分析统计，包含对患者数量、患者年龄、患者病情、报警事件、病房人员数量、治疗周期数据等进行统计分析。</w:t>
      </w:r>
    </w:p>
    <w:p w14:paraId="2B84D3AB">
      <w:pPr>
        <w:pStyle w:val="6"/>
        <w:keepNext w:val="0"/>
        <w:keepLines w:val="0"/>
        <w:pageBreakBefore w:val="0"/>
        <w:kinsoku/>
        <w:wordWrap/>
        <w:overflowPunct/>
        <w:topLinePunct w:val="0"/>
        <w:autoSpaceDE/>
        <w:autoSpaceDN/>
        <w:bidi w:val="0"/>
        <w:adjustRightInd/>
        <w:snapToGrid/>
        <w:spacing w:line="500" w:lineRule="exact"/>
        <w:ind w:left="855"/>
        <w:jc w:val="both"/>
        <w:textAlignment w:val="auto"/>
        <w:rPr>
          <w:rFonts w:hint="eastAsia" w:ascii="宋体" w:hAnsi="宋体" w:eastAsia="宋体" w:cs="宋体"/>
          <w:sz w:val="24"/>
          <w:szCs w:val="24"/>
        </w:rPr>
      </w:pPr>
      <w:r>
        <w:rPr>
          <w:rFonts w:hint="eastAsia" w:ascii="宋体" w:hAnsi="宋体" w:eastAsia="宋体" w:cs="宋体"/>
          <w:b/>
          <w:sz w:val="24"/>
          <w:szCs w:val="24"/>
        </w:rPr>
        <w:t>2.2.6.3.6.系统设置</w:t>
      </w:r>
    </w:p>
    <w:p w14:paraId="6FF91A96">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支持对手环终端进行配置；支持对病房、电子围栏、用户进行管理。</w:t>
      </w:r>
    </w:p>
    <w:p w14:paraId="26F2DE2F">
      <w:pPr>
        <w:pStyle w:val="6"/>
        <w:keepNext w:val="0"/>
        <w:keepLines w:val="0"/>
        <w:pageBreakBefore w:val="0"/>
        <w:kinsoku/>
        <w:wordWrap/>
        <w:overflowPunct/>
        <w:topLinePunct w:val="0"/>
        <w:autoSpaceDE/>
        <w:autoSpaceDN/>
        <w:bidi w:val="0"/>
        <w:adjustRightInd/>
        <w:snapToGrid/>
        <w:spacing w:line="500" w:lineRule="exact"/>
        <w:ind w:left="855"/>
        <w:jc w:val="both"/>
        <w:textAlignment w:val="auto"/>
        <w:rPr>
          <w:rFonts w:hint="eastAsia" w:ascii="宋体" w:hAnsi="宋体" w:eastAsia="宋体" w:cs="宋体"/>
          <w:sz w:val="24"/>
          <w:szCs w:val="24"/>
        </w:rPr>
      </w:pPr>
      <w:r>
        <w:rPr>
          <w:rFonts w:hint="eastAsia" w:ascii="宋体" w:hAnsi="宋体" w:eastAsia="宋体" w:cs="宋体"/>
          <w:b/>
          <w:sz w:val="24"/>
          <w:szCs w:val="24"/>
        </w:rPr>
        <w:t>2.2.6.3.7.可视化看板</w:t>
      </w:r>
    </w:p>
    <w:p w14:paraId="627ACB8B">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具有特殊病患管理数据可视化大屏，能够通过大屏直观查看患者数量，患者在各楼层的分布情况和实时位置、终端数量、终端电量情况、报警事件等信息。</w:t>
      </w:r>
    </w:p>
    <w:p w14:paraId="3AF3C148">
      <w:pPr>
        <w:pStyle w:val="6"/>
        <w:keepNext w:val="0"/>
        <w:keepLines w:val="0"/>
        <w:pageBreakBefore w:val="0"/>
        <w:kinsoku/>
        <w:wordWrap/>
        <w:overflowPunct/>
        <w:topLinePunct w:val="0"/>
        <w:autoSpaceDE/>
        <w:autoSpaceDN/>
        <w:bidi w:val="0"/>
        <w:adjustRightInd/>
        <w:snapToGrid/>
        <w:spacing w:line="500" w:lineRule="exact"/>
        <w:ind w:left="855"/>
        <w:jc w:val="both"/>
        <w:textAlignment w:val="auto"/>
        <w:rPr>
          <w:rFonts w:hint="eastAsia" w:ascii="宋体" w:hAnsi="宋体" w:eastAsia="宋体" w:cs="宋体"/>
          <w:sz w:val="24"/>
          <w:szCs w:val="24"/>
        </w:rPr>
      </w:pPr>
      <w:r>
        <w:rPr>
          <w:rFonts w:hint="eastAsia" w:ascii="宋体" w:hAnsi="宋体" w:eastAsia="宋体" w:cs="宋体"/>
          <w:b/>
          <w:sz w:val="24"/>
          <w:szCs w:val="24"/>
        </w:rPr>
        <w:t>2.2.6.4.定位手环(评审项129)</w:t>
      </w:r>
    </w:p>
    <w:p w14:paraId="47E19B1C">
      <w:pPr>
        <w:pStyle w:val="6"/>
        <w:keepNext w:val="0"/>
        <w:keepLines w:val="0"/>
        <w:pageBreakBefore w:val="0"/>
        <w:numPr>
          <w:ilvl w:val="0"/>
          <w:numId w:val="1"/>
        </w:numPr>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sz w:val="24"/>
          <w:szCs w:val="24"/>
        </w:rPr>
        <w:t>具有室内蓝牙定位和室外GPS定位；</w:t>
      </w:r>
    </w:p>
    <w:p w14:paraId="796D206A">
      <w:pPr>
        <w:pStyle w:val="6"/>
        <w:keepNext w:val="0"/>
        <w:keepLines w:val="0"/>
        <w:pageBreakBefore w:val="0"/>
        <w:numPr>
          <w:ilvl w:val="0"/>
          <w:numId w:val="1"/>
        </w:numPr>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sz w:val="24"/>
          <w:szCs w:val="24"/>
        </w:rPr>
        <w:t>支持电子防拆和物理防拆；</w:t>
      </w:r>
    </w:p>
    <w:p w14:paraId="45FE0E79">
      <w:pPr>
        <w:pStyle w:val="6"/>
        <w:keepNext w:val="0"/>
        <w:keepLines w:val="0"/>
        <w:pageBreakBefore w:val="0"/>
        <w:numPr>
          <w:ilvl w:val="0"/>
          <w:numId w:val="1"/>
        </w:numPr>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sz w:val="24"/>
          <w:szCs w:val="24"/>
        </w:rPr>
        <w:t>具有生命体征检测功能。</w:t>
      </w:r>
    </w:p>
    <w:p w14:paraId="1F0F7116">
      <w:pPr>
        <w:pStyle w:val="6"/>
        <w:keepNext w:val="0"/>
        <w:keepLines w:val="0"/>
        <w:pageBreakBefore w:val="0"/>
        <w:kinsoku/>
        <w:wordWrap/>
        <w:overflowPunct/>
        <w:topLinePunct w:val="0"/>
        <w:autoSpaceDE/>
        <w:autoSpaceDN/>
        <w:bidi w:val="0"/>
        <w:adjustRightInd/>
        <w:snapToGrid/>
        <w:spacing w:line="500" w:lineRule="exact"/>
        <w:ind w:left="855"/>
        <w:jc w:val="both"/>
        <w:textAlignment w:val="auto"/>
        <w:rPr>
          <w:rFonts w:hint="eastAsia" w:ascii="宋体" w:hAnsi="宋体" w:eastAsia="宋体" w:cs="宋体"/>
          <w:sz w:val="24"/>
          <w:szCs w:val="24"/>
        </w:rPr>
      </w:pPr>
      <w:r>
        <w:rPr>
          <w:rFonts w:hint="eastAsia" w:ascii="宋体" w:hAnsi="宋体" w:eastAsia="宋体" w:cs="宋体"/>
          <w:b/>
          <w:sz w:val="24"/>
          <w:szCs w:val="24"/>
        </w:rPr>
        <w:t>2.2.6.5.辅材(评审项130)</w:t>
      </w:r>
    </w:p>
    <w:p w14:paraId="4FEF7178">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提供项目施工所需管线等辅材。</w:t>
      </w:r>
    </w:p>
    <w:p w14:paraId="7B18E785">
      <w:pPr>
        <w:pStyle w:val="6"/>
        <w:keepNext w:val="0"/>
        <w:keepLines w:val="0"/>
        <w:pageBreakBefore w:val="0"/>
        <w:kinsoku/>
        <w:wordWrap/>
        <w:overflowPunct/>
        <w:topLinePunct w:val="0"/>
        <w:autoSpaceDE/>
        <w:autoSpaceDN/>
        <w:bidi w:val="0"/>
        <w:adjustRightInd/>
        <w:snapToGrid/>
        <w:spacing w:line="500" w:lineRule="exact"/>
        <w:ind w:left="570"/>
        <w:jc w:val="both"/>
        <w:textAlignment w:val="auto"/>
        <w:rPr>
          <w:rFonts w:hint="eastAsia" w:ascii="宋体" w:hAnsi="宋体" w:eastAsia="宋体" w:cs="宋体"/>
          <w:sz w:val="24"/>
          <w:szCs w:val="24"/>
        </w:rPr>
      </w:pPr>
      <w:r>
        <w:rPr>
          <w:rFonts w:hint="eastAsia" w:ascii="宋体" w:hAnsi="宋体" w:eastAsia="宋体" w:cs="宋体"/>
          <w:b/>
          <w:sz w:val="24"/>
          <w:szCs w:val="24"/>
        </w:rPr>
        <w:t>2.3.患者视频行为分析</w:t>
      </w:r>
    </w:p>
    <w:p w14:paraId="0101EF3C">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2.3.1.AI智能监控系统</w:t>
      </w:r>
    </w:p>
    <w:tbl>
      <w:tblPr>
        <w:tblStyle w:val="4"/>
        <w:tblW w:w="0" w:type="auto"/>
        <w:tblInd w:w="0" w:type="dxa"/>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autofit"/>
        <w:tblCellMar>
          <w:top w:w="0" w:type="dxa"/>
          <w:left w:w="108" w:type="dxa"/>
          <w:bottom w:w="0" w:type="dxa"/>
          <w:right w:w="108" w:type="dxa"/>
        </w:tblCellMar>
      </w:tblPr>
      <w:tblGrid>
        <w:gridCol w:w="750"/>
        <w:gridCol w:w="1149"/>
        <w:gridCol w:w="4690"/>
        <w:gridCol w:w="856"/>
        <w:gridCol w:w="856"/>
      </w:tblGrid>
      <w:tr w14:paraId="2CD5E189">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50" w:type="dxa"/>
            <w:tcBorders>
              <w:top w:val="double" w:color="000000" w:sz="4" w:space="0"/>
              <w:left w:val="double" w:color="000000" w:sz="4" w:space="0"/>
              <w:bottom w:val="single" w:color="000000" w:sz="4" w:space="0"/>
              <w:right w:val="single" w:color="000000" w:sz="4" w:space="0"/>
            </w:tcBorders>
            <w:shd w:val="clear" w:color="auto" w:fill="D7D7D7"/>
            <w:tcMar>
              <w:top w:w="0" w:type="dxa"/>
              <w:left w:w="105" w:type="dxa"/>
              <w:bottom w:w="0" w:type="dxa"/>
              <w:right w:w="105" w:type="dxa"/>
            </w:tcMar>
            <w:vAlign w:val="top"/>
          </w:tcPr>
          <w:p w14:paraId="06818D04">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b/>
                <w:sz w:val="24"/>
                <w:szCs w:val="24"/>
              </w:rPr>
              <w:t>编号</w:t>
            </w:r>
          </w:p>
        </w:tc>
        <w:tc>
          <w:tcPr>
            <w:tcW w:w="1149" w:type="dxa"/>
            <w:tcBorders>
              <w:top w:val="double" w:color="000000" w:sz="4" w:space="0"/>
              <w:left w:val="single" w:color="000000" w:sz="4" w:space="0"/>
              <w:bottom w:val="single" w:color="000000" w:sz="4" w:space="0"/>
              <w:right w:val="single" w:color="000000" w:sz="4" w:space="0"/>
            </w:tcBorders>
            <w:shd w:val="clear" w:color="auto" w:fill="D7D7D7"/>
            <w:tcMar>
              <w:top w:w="0" w:type="dxa"/>
              <w:left w:w="105" w:type="dxa"/>
              <w:bottom w:w="0" w:type="dxa"/>
              <w:right w:w="105" w:type="dxa"/>
            </w:tcMar>
            <w:vAlign w:val="top"/>
          </w:tcPr>
          <w:p w14:paraId="5C743E2E">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b/>
                <w:sz w:val="24"/>
                <w:szCs w:val="24"/>
              </w:rPr>
              <w:t>设备名称</w:t>
            </w:r>
          </w:p>
        </w:tc>
        <w:tc>
          <w:tcPr>
            <w:tcW w:w="4690" w:type="dxa"/>
            <w:tcBorders>
              <w:top w:val="double" w:color="000000" w:sz="4" w:space="0"/>
              <w:left w:val="single" w:color="000000" w:sz="4" w:space="0"/>
              <w:bottom w:val="single" w:color="000000" w:sz="4" w:space="0"/>
              <w:right w:val="single" w:color="000000" w:sz="4" w:space="0"/>
            </w:tcBorders>
            <w:shd w:val="clear" w:color="auto" w:fill="D7D7D7"/>
            <w:tcMar>
              <w:top w:w="0" w:type="dxa"/>
              <w:left w:w="105" w:type="dxa"/>
              <w:bottom w:w="0" w:type="dxa"/>
              <w:right w:w="105" w:type="dxa"/>
            </w:tcMar>
            <w:vAlign w:val="top"/>
          </w:tcPr>
          <w:p w14:paraId="5AECED5D">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b/>
                <w:sz w:val="24"/>
                <w:szCs w:val="24"/>
              </w:rPr>
              <w:t>性能参数要求</w:t>
            </w:r>
          </w:p>
        </w:tc>
        <w:tc>
          <w:tcPr>
            <w:tcW w:w="856" w:type="dxa"/>
            <w:tcBorders>
              <w:top w:val="double" w:color="000000" w:sz="4" w:space="0"/>
              <w:left w:val="single" w:color="000000" w:sz="4" w:space="0"/>
              <w:bottom w:val="single" w:color="000000" w:sz="4" w:space="0"/>
              <w:right w:val="single" w:color="000000" w:sz="4" w:space="0"/>
            </w:tcBorders>
            <w:shd w:val="clear" w:color="auto" w:fill="D7D7D7"/>
            <w:tcMar>
              <w:top w:w="0" w:type="dxa"/>
              <w:left w:w="105" w:type="dxa"/>
              <w:bottom w:w="0" w:type="dxa"/>
              <w:right w:w="105" w:type="dxa"/>
            </w:tcMar>
            <w:vAlign w:val="top"/>
          </w:tcPr>
          <w:p w14:paraId="46505E81">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b/>
                <w:sz w:val="24"/>
                <w:szCs w:val="24"/>
              </w:rPr>
              <w:t>数量</w:t>
            </w:r>
          </w:p>
        </w:tc>
        <w:tc>
          <w:tcPr>
            <w:tcW w:w="856" w:type="dxa"/>
            <w:tcBorders>
              <w:top w:val="double" w:color="000000" w:sz="4" w:space="0"/>
              <w:left w:val="single" w:color="000000" w:sz="4" w:space="0"/>
              <w:bottom w:val="single" w:color="000000" w:sz="4" w:space="0"/>
              <w:right w:val="double" w:color="000000" w:sz="4" w:space="0"/>
            </w:tcBorders>
            <w:shd w:val="clear" w:color="auto" w:fill="D7D7D7"/>
            <w:tcMar>
              <w:top w:w="0" w:type="dxa"/>
              <w:left w:w="105" w:type="dxa"/>
              <w:bottom w:w="0" w:type="dxa"/>
              <w:right w:w="105" w:type="dxa"/>
            </w:tcMar>
            <w:vAlign w:val="top"/>
          </w:tcPr>
          <w:p w14:paraId="18FA2985">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b/>
                <w:sz w:val="24"/>
                <w:szCs w:val="24"/>
              </w:rPr>
              <w:t>单位</w:t>
            </w:r>
          </w:p>
        </w:tc>
      </w:tr>
      <w:tr w14:paraId="1D44F53C">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50" w:type="dxa"/>
            <w:tcBorders>
              <w:top w:val="single" w:color="000000" w:sz="4" w:space="0"/>
              <w:left w:val="double" w:color="000000" w:sz="4" w:space="0"/>
              <w:bottom w:val="single" w:color="000000" w:sz="4" w:space="0"/>
              <w:right w:val="single" w:color="000000" w:sz="4" w:space="0"/>
            </w:tcBorders>
            <w:tcMar>
              <w:top w:w="0" w:type="dxa"/>
              <w:left w:w="105" w:type="dxa"/>
              <w:bottom w:w="0" w:type="dxa"/>
              <w:right w:w="105" w:type="dxa"/>
            </w:tcMar>
            <w:vAlign w:val="top"/>
          </w:tcPr>
          <w:p w14:paraId="69E32599">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1</w:t>
            </w:r>
          </w:p>
        </w:tc>
        <w:tc>
          <w:tcPr>
            <w:tcW w:w="1149"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4C18CBF7">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b/>
                <w:sz w:val="24"/>
                <w:szCs w:val="24"/>
              </w:rPr>
              <w:t>前端设备</w:t>
            </w:r>
          </w:p>
        </w:tc>
        <w:tc>
          <w:tcPr>
            <w:tcW w:w="4690"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050AC5AB">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p>
        </w:tc>
        <w:tc>
          <w:tcPr>
            <w:tcW w:w="856"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6E7A2701">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hAnsi="宋体" w:eastAsia="宋体" w:cs="宋体"/>
                <w:sz w:val="24"/>
                <w:szCs w:val="24"/>
              </w:rPr>
            </w:pPr>
          </w:p>
        </w:tc>
        <w:tc>
          <w:tcPr>
            <w:tcW w:w="856" w:type="dxa"/>
            <w:tcBorders>
              <w:top w:val="single" w:color="000000" w:sz="4" w:space="0"/>
              <w:left w:val="single" w:color="000000" w:sz="4" w:space="0"/>
              <w:bottom w:val="single" w:color="000000" w:sz="4" w:space="0"/>
              <w:right w:val="double" w:color="000000" w:sz="4" w:space="0"/>
            </w:tcBorders>
            <w:tcMar>
              <w:top w:w="0" w:type="dxa"/>
              <w:left w:w="105" w:type="dxa"/>
              <w:bottom w:w="0" w:type="dxa"/>
              <w:right w:w="105" w:type="dxa"/>
            </w:tcMar>
            <w:vAlign w:val="top"/>
          </w:tcPr>
          <w:p w14:paraId="69790FD8">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hAnsi="宋体" w:eastAsia="宋体" w:cs="宋体"/>
                <w:sz w:val="24"/>
                <w:szCs w:val="24"/>
              </w:rPr>
            </w:pPr>
          </w:p>
        </w:tc>
      </w:tr>
      <w:tr w14:paraId="3AB9AE04">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50" w:type="dxa"/>
            <w:tcBorders>
              <w:top w:val="single" w:color="000000" w:sz="4" w:space="0"/>
              <w:left w:val="double" w:color="000000" w:sz="4" w:space="0"/>
              <w:bottom w:val="single" w:color="000000" w:sz="4" w:space="0"/>
              <w:right w:val="single" w:color="000000" w:sz="4" w:space="0"/>
            </w:tcBorders>
            <w:tcMar>
              <w:top w:w="0" w:type="dxa"/>
              <w:left w:w="105" w:type="dxa"/>
              <w:bottom w:w="0" w:type="dxa"/>
              <w:right w:w="105" w:type="dxa"/>
            </w:tcMar>
            <w:vAlign w:val="top"/>
          </w:tcPr>
          <w:p w14:paraId="0E395876">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1.1</w:t>
            </w:r>
          </w:p>
        </w:tc>
        <w:tc>
          <w:tcPr>
            <w:tcW w:w="1149"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4D9DAA43">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400万网络半球摄像机(评审项131)</w:t>
            </w:r>
          </w:p>
        </w:tc>
        <w:tc>
          <w:tcPr>
            <w:tcW w:w="4690"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7CFB63DF">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1. ≥400万像素</w:t>
            </w:r>
            <w:r>
              <w:rPr>
                <w:rFonts w:hint="eastAsia" w:ascii="宋体" w:hAnsi="宋体" w:eastAsia="宋体" w:cs="宋体"/>
                <w:sz w:val="24"/>
                <w:szCs w:val="24"/>
              </w:rPr>
              <w:br w:type="textWrapping"/>
            </w:r>
            <w:r>
              <w:rPr>
                <w:rFonts w:hint="eastAsia" w:ascii="宋体" w:hAnsi="宋体" w:eastAsia="宋体" w:cs="宋体"/>
                <w:sz w:val="24"/>
                <w:szCs w:val="24"/>
              </w:rPr>
              <w:t>2. 最高分辨率可达≥2560 × 1440 @25 fps</w:t>
            </w:r>
            <w:r>
              <w:rPr>
                <w:rFonts w:hint="eastAsia" w:ascii="宋体" w:hAnsi="宋体" w:eastAsia="宋体" w:cs="宋体"/>
                <w:sz w:val="24"/>
                <w:szCs w:val="24"/>
              </w:rPr>
              <w:br w:type="textWrapping"/>
            </w:r>
            <w:r>
              <w:rPr>
                <w:rFonts w:hint="eastAsia" w:ascii="宋体" w:hAnsi="宋体" w:eastAsia="宋体" w:cs="宋体"/>
                <w:sz w:val="24"/>
                <w:szCs w:val="24"/>
              </w:rPr>
              <w:t>3. 支持SmartIR，防止夜间红外过曝</w:t>
            </w:r>
            <w:r>
              <w:rPr>
                <w:rFonts w:hint="eastAsia" w:ascii="宋体" w:hAnsi="宋体" w:eastAsia="宋体" w:cs="宋体"/>
                <w:sz w:val="24"/>
                <w:szCs w:val="24"/>
              </w:rPr>
              <w:br w:type="textWrapping"/>
            </w:r>
            <w:r>
              <w:rPr>
                <w:rFonts w:hint="eastAsia" w:ascii="宋体" w:hAnsi="宋体" w:eastAsia="宋体" w:cs="宋体"/>
                <w:sz w:val="24"/>
                <w:szCs w:val="24"/>
              </w:rPr>
              <w:t>4. 支持背光补偿，强光抑制，3D数字降噪，数字宽动态，适应不同使用环境</w:t>
            </w:r>
            <w:r>
              <w:rPr>
                <w:rFonts w:hint="eastAsia" w:ascii="宋体" w:hAnsi="宋体" w:eastAsia="宋体" w:cs="宋体"/>
                <w:sz w:val="24"/>
                <w:szCs w:val="24"/>
              </w:rPr>
              <w:br w:type="textWrapping"/>
            </w:r>
            <w:r>
              <w:rPr>
                <w:rFonts w:hint="eastAsia" w:ascii="宋体" w:hAnsi="宋体" w:eastAsia="宋体" w:cs="宋体"/>
                <w:sz w:val="24"/>
                <w:szCs w:val="24"/>
              </w:rPr>
              <w:t>5. 支持开放型网络视频接口，SDK，GB28181协议接入</w:t>
            </w:r>
            <w:r>
              <w:rPr>
                <w:rFonts w:hint="eastAsia" w:ascii="宋体" w:hAnsi="宋体" w:eastAsia="宋体" w:cs="宋体"/>
                <w:sz w:val="24"/>
                <w:szCs w:val="24"/>
              </w:rPr>
              <w:br w:type="textWrapping"/>
            </w:r>
            <w:r>
              <w:rPr>
                <w:rFonts w:hint="eastAsia" w:ascii="宋体" w:hAnsi="宋体" w:eastAsia="宋体" w:cs="宋体"/>
                <w:sz w:val="24"/>
                <w:szCs w:val="24"/>
              </w:rPr>
              <w:t>6. ≥1个内置麦克风</w:t>
            </w:r>
            <w:r>
              <w:rPr>
                <w:rFonts w:hint="eastAsia" w:ascii="宋体" w:hAnsi="宋体" w:eastAsia="宋体" w:cs="宋体"/>
                <w:sz w:val="24"/>
                <w:szCs w:val="24"/>
              </w:rPr>
              <w:br w:type="textWrapping"/>
            </w:r>
            <w:r>
              <w:rPr>
                <w:rFonts w:hint="eastAsia" w:ascii="宋体" w:hAnsi="宋体" w:eastAsia="宋体" w:cs="宋体"/>
                <w:sz w:val="24"/>
                <w:szCs w:val="24"/>
              </w:rPr>
              <w:t>7. 智能补光，支持白光/红外双补光，红外光最远可达≥50 m，白光最远可达≥30 m</w:t>
            </w:r>
            <w:r>
              <w:rPr>
                <w:rFonts w:hint="eastAsia" w:ascii="宋体" w:hAnsi="宋体" w:eastAsia="宋体" w:cs="宋体"/>
                <w:sz w:val="24"/>
                <w:szCs w:val="24"/>
              </w:rPr>
              <w:br w:type="textWrapping"/>
            </w:r>
            <w:r>
              <w:rPr>
                <w:rFonts w:hint="eastAsia" w:ascii="宋体" w:hAnsi="宋体" w:eastAsia="宋体" w:cs="宋体"/>
                <w:sz w:val="24"/>
                <w:szCs w:val="24"/>
              </w:rPr>
              <w:t>8. 符合≥IP67防尘防水设计，可靠性高</w:t>
            </w:r>
          </w:p>
        </w:tc>
        <w:tc>
          <w:tcPr>
            <w:tcW w:w="856"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27EB2F42">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10</w:t>
            </w:r>
          </w:p>
        </w:tc>
        <w:tc>
          <w:tcPr>
            <w:tcW w:w="856" w:type="dxa"/>
            <w:tcBorders>
              <w:top w:val="single" w:color="000000" w:sz="4" w:space="0"/>
              <w:left w:val="single" w:color="000000" w:sz="4" w:space="0"/>
              <w:bottom w:val="single" w:color="000000" w:sz="4" w:space="0"/>
              <w:right w:val="double" w:color="000000" w:sz="4" w:space="0"/>
            </w:tcBorders>
            <w:tcMar>
              <w:top w:w="0" w:type="dxa"/>
              <w:left w:w="105" w:type="dxa"/>
              <w:bottom w:w="0" w:type="dxa"/>
              <w:right w:w="105" w:type="dxa"/>
            </w:tcMar>
            <w:vAlign w:val="top"/>
          </w:tcPr>
          <w:p w14:paraId="16A8B192">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台</w:t>
            </w:r>
          </w:p>
        </w:tc>
      </w:tr>
      <w:tr w14:paraId="26758C24">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50" w:type="dxa"/>
            <w:tcBorders>
              <w:top w:val="single" w:color="000000" w:sz="4" w:space="0"/>
              <w:left w:val="double" w:color="000000" w:sz="4" w:space="0"/>
              <w:bottom w:val="single" w:color="000000" w:sz="4" w:space="0"/>
              <w:right w:val="single" w:color="000000" w:sz="4" w:space="0"/>
            </w:tcBorders>
            <w:tcMar>
              <w:top w:w="0" w:type="dxa"/>
              <w:left w:w="105" w:type="dxa"/>
              <w:bottom w:w="0" w:type="dxa"/>
              <w:right w:w="105" w:type="dxa"/>
            </w:tcMar>
            <w:vAlign w:val="top"/>
          </w:tcPr>
          <w:p w14:paraId="69956EBF">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1.2</w:t>
            </w:r>
          </w:p>
        </w:tc>
        <w:tc>
          <w:tcPr>
            <w:tcW w:w="1149"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7BD19F40">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摄像机支架(评审项132)</w:t>
            </w:r>
          </w:p>
        </w:tc>
        <w:tc>
          <w:tcPr>
            <w:tcW w:w="4690"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516A8ACF">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摄像机配件支架</w:t>
            </w:r>
          </w:p>
        </w:tc>
        <w:tc>
          <w:tcPr>
            <w:tcW w:w="856"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50E1237F">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10</w:t>
            </w:r>
          </w:p>
        </w:tc>
        <w:tc>
          <w:tcPr>
            <w:tcW w:w="856" w:type="dxa"/>
            <w:tcBorders>
              <w:top w:val="single" w:color="000000" w:sz="4" w:space="0"/>
              <w:left w:val="single" w:color="000000" w:sz="4" w:space="0"/>
              <w:bottom w:val="single" w:color="000000" w:sz="4" w:space="0"/>
              <w:right w:val="double" w:color="000000" w:sz="4" w:space="0"/>
            </w:tcBorders>
            <w:tcMar>
              <w:top w:w="0" w:type="dxa"/>
              <w:left w:w="105" w:type="dxa"/>
              <w:bottom w:w="0" w:type="dxa"/>
              <w:right w:w="105" w:type="dxa"/>
            </w:tcMar>
            <w:vAlign w:val="top"/>
          </w:tcPr>
          <w:p w14:paraId="64CDC95D">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台</w:t>
            </w:r>
          </w:p>
        </w:tc>
      </w:tr>
      <w:tr w14:paraId="63E213AA">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50" w:type="dxa"/>
            <w:tcBorders>
              <w:top w:val="single" w:color="000000" w:sz="4" w:space="0"/>
              <w:left w:val="double" w:color="000000" w:sz="4" w:space="0"/>
              <w:bottom w:val="single" w:color="000000" w:sz="4" w:space="0"/>
              <w:right w:val="single" w:color="000000" w:sz="4" w:space="0"/>
            </w:tcBorders>
            <w:tcMar>
              <w:top w:w="0" w:type="dxa"/>
              <w:left w:w="105" w:type="dxa"/>
              <w:bottom w:w="0" w:type="dxa"/>
              <w:right w:w="105" w:type="dxa"/>
            </w:tcMar>
            <w:vAlign w:val="top"/>
          </w:tcPr>
          <w:p w14:paraId="21CEFD1D">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1.3</w:t>
            </w:r>
          </w:p>
        </w:tc>
        <w:tc>
          <w:tcPr>
            <w:tcW w:w="1149"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1F658A01">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8口POE交换机(评审项133)</w:t>
            </w:r>
          </w:p>
        </w:tc>
        <w:tc>
          <w:tcPr>
            <w:tcW w:w="4690"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2B7A87B9">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1. 端口：≥4个千兆Hi-PoE电口，≥4个千兆PoE电口，≥2个万兆光口</w:t>
            </w:r>
            <w:r>
              <w:rPr>
                <w:rFonts w:hint="eastAsia" w:ascii="宋体" w:hAnsi="宋体" w:eastAsia="宋体" w:cs="宋体"/>
                <w:sz w:val="24"/>
                <w:szCs w:val="24"/>
              </w:rPr>
              <w:br w:type="textWrapping"/>
            </w:r>
            <w:r>
              <w:rPr>
                <w:rFonts w:hint="eastAsia" w:ascii="宋体" w:hAnsi="宋体" w:eastAsia="宋体" w:cs="宋体"/>
                <w:sz w:val="24"/>
                <w:szCs w:val="24"/>
              </w:rPr>
              <w:t>2. 支持IEEE 802.3at/af/bt标准，单端口最大支持≥90W PoE输出</w:t>
            </w:r>
            <w:r>
              <w:rPr>
                <w:rFonts w:hint="eastAsia" w:ascii="宋体" w:hAnsi="宋体" w:eastAsia="宋体" w:cs="宋体"/>
                <w:sz w:val="24"/>
                <w:szCs w:val="24"/>
              </w:rPr>
              <w:br w:type="textWrapping"/>
            </w:r>
            <w:r>
              <w:rPr>
                <w:rFonts w:hint="eastAsia" w:ascii="宋体" w:hAnsi="宋体" w:eastAsia="宋体" w:cs="宋体"/>
                <w:sz w:val="24"/>
                <w:szCs w:val="24"/>
              </w:rPr>
              <w:t>3. 支持PoE输出功率管理</w:t>
            </w:r>
            <w:r>
              <w:rPr>
                <w:rFonts w:hint="eastAsia" w:ascii="宋体" w:hAnsi="宋体" w:eastAsia="宋体" w:cs="宋体"/>
                <w:sz w:val="24"/>
                <w:szCs w:val="24"/>
              </w:rPr>
              <w:br w:type="textWrapping"/>
            </w:r>
            <w:r>
              <w:rPr>
                <w:rFonts w:hint="eastAsia" w:ascii="宋体" w:hAnsi="宋体" w:eastAsia="宋体" w:cs="宋体"/>
                <w:sz w:val="24"/>
                <w:szCs w:val="24"/>
              </w:rPr>
              <w:t>4. 千兆网络接入，万兆网络上行</w:t>
            </w:r>
            <w:r>
              <w:rPr>
                <w:rFonts w:hint="eastAsia" w:ascii="宋体" w:hAnsi="宋体" w:eastAsia="宋体" w:cs="宋体"/>
                <w:sz w:val="24"/>
                <w:szCs w:val="24"/>
              </w:rPr>
              <w:br w:type="textWrapping"/>
            </w:r>
            <w:r>
              <w:rPr>
                <w:rFonts w:hint="eastAsia" w:ascii="宋体" w:hAnsi="宋体" w:eastAsia="宋体" w:cs="宋体"/>
                <w:sz w:val="24"/>
                <w:szCs w:val="24"/>
              </w:rPr>
              <w:t>5. 线速转发</w:t>
            </w:r>
            <w:r>
              <w:rPr>
                <w:rFonts w:hint="eastAsia" w:ascii="宋体" w:hAnsi="宋体" w:eastAsia="宋体" w:cs="宋体"/>
                <w:sz w:val="24"/>
                <w:szCs w:val="24"/>
              </w:rPr>
              <w:br w:type="textWrapping"/>
            </w:r>
            <w:r>
              <w:rPr>
                <w:rFonts w:hint="eastAsia" w:ascii="宋体" w:hAnsi="宋体" w:eastAsia="宋体" w:cs="宋体"/>
                <w:sz w:val="24"/>
                <w:szCs w:val="24"/>
              </w:rPr>
              <w:t>6. 存储转发交换方式</w:t>
            </w:r>
            <w:r>
              <w:rPr>
                <w:rFonts w:hint="eastAsia" w:ascii="宋体" w:hAnsi="宋体" w:eastAsia="宋体" w:cs="宋体"/>
                <w:sz w:val="24"/>
                <w:szCs w:val="24"/>
              </w:rPr>
              <w:br w:type="textWrapping"/>
            </w:r>
            <w:r>
              <w:rPr>
                <w:rFonts w:hint="eastAsia" w:ascii="宋体" w:hAnsi="宋体" w:eastAsia="宋体" w:cs="宋体"/>
                <w:sz w:val="24"/>
                <w:szCs w:val="24"/>
              </w:rPr>
              <w:t>7. 支持安防网络拓扑管理、链路聚合、端口管理</w:t>
            </w:r>
            <w:r>
              <w:rPr>
                <w:rFonts w:hint="eastAsia" w:ascii="宋体" w:hAnsi="宋体" w:eastAsia="宋体" w:cs="宋体"/>
                <w:sz w:val="24"/>
                <w:szCs w:val="24"/>
              </w:rPr>
              <w:br w:type="textWrapping"/>
            </w:r>
            <w:r>
              <w:rPr>
                <w:rFonts w:hint="eastAsia" w:ascii="宋体" w:hAnsi="宋体" w:eastAsia="宋体" w:cs="宋体"/>
                <w:sz w:val="24"/>
                <w:szCs w:val="24"/>
              </w:rPr>
              <w:t>8. 支持远程升级</w:t>
            </w:r>
            <w:r>
              <w:rPr>
                <w:rFonts w:hint="eastAsia" w:ascii="宋体" w:hAnsi="宋体" w:eastAsia="宋体" w:cs="宋体"/>
                <w:sz w:val="24"/>
                <w:szCs w:val="24"/>
              </w:rPr>
              <w:br w:type="textWrapping"/>
            </w:r>
            <w:r>
              <w:rPr>
                <w:rFonts w:hint="eastAsia" w:ascii="宋体" w:hAnsi="宋体" w:eastAsia="宋体" w:cs="宋体"/>
                <w:sz w:val="24"/>
                <w:szCs w:val="24"/>
              </w:rPr>
              <w:t>9. 坚固式高强度金属外壳</w:t>
            </w:r>
          </w:p>
        </w:tc>
        <w:tc>
          <w:tcPr>
            <w:tcW w:w="856"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30038C16">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3</w:t>
            </w:r>
          </w:p>
        </w:tc>
        <w:tc>
          <w:tcPr>
            <w:tcW w:w="856" w:type="dxa"/>
            <w:tcBorders>
              <w:top w:val="single" w:color="000000" w:sz="4" w:space="0"/>
              <w:left w:val="single" w:color="000000" w:sz="4" w:space="0"/>
              <w:bottom w:val="single" w:color="000000" w:sz="4" w:space="0"/>
              <w:right w:val="double" w:color="000000" w:sz="4" w:space="0"/>
            </w:tcBorders>
            <w:tcMar>
              <w:top w:w="0" w:type="dxa"/>
              <w:left w:w="105" w:type="dxa"/>
              <w:bottom w:w="0" w:type="dxa"/>
              <w:right w:w="105" w:type="dxa"/>
            </w:tcMar>
            <w:vAlign w:val="top"/>
          </w:tcPr>
          <w:p w14:paraId="304E51B0">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台</w:t>
            </w:r>
          </w:p>
        </w:tc>
      </w:tr>
      <w:tr w14:paraId="2EE9F9CD">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50" w:type="dxa"/>
            <w:tcBorders>
              <w:top w:val="single" w:color="000000" w:sz="4" w:space="0"/>
              <w:left w:val="double" w:color="000000" w:sz="4" w:space="0"/>
              <w:bottom w:val="single" w:color="000000" w:sz="4" w:space="0"/>
              <w:right w:val="single" w:color="000000" w:sz="4" w:space="0"/>
            </w:tcBorders>
            <w:tcMar>
              <w:top w:w="0" w:type="dxa"/>
              <w:left w:w="105" w:type="dxa"/>
              <w:bottom w:w="0" w:type="dxa"/>
              <w:right w:w="105" w:type="dxa"/>
            </w:tcMar>
            <w:vAlign w:val="top"/>
          </w:tcPr>
          <w:p w14:paraId="6B689A56">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1.4</w:t>
            </w:r>
          </w:p>
        </w:tc>
        <w:tc>
          <w:tcPr>
            <w:tcW w:w="1149"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31BDE237">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辅助材料(评审项134)</w:t>
            </w:r>
          </w:p>
        </w:tc>
        <w:tc>
          <w:tcPr>
            <w:tcW w:w="4690"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4A542DD1">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定制、含配套的光纤网线及室外箱体等。</w:t>
            </w:r>
          </w:p>
        </w:tc>
        <w:tc>
          <w:tcPr>
            <w:tcW w:w="856"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56B1A64E">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1</w:t>
            </w:r>
          </w:p>
        </w:tc>
        <w:tc>
          <w:tcPr>
            <w:tcW w:w="856" w:type="dxa"/>
            <w:tcBorders>
              <w:top w:val="single" w:color="000000" w:sz="4" w:space="0"/>
              <w:left w:val="single" w:color="000000" w:sz="4" w:space="0"/>
              <w:bottom w:val="single" w:color="000000" w:sz="4" w:space="0"/>
              <w:right w:val="double" w:color="000000" w:sz="4" w:space="0"/>
            </w:tcBorders>
            <w:tcMar>
              <w:top w:w="0" w:type="dxa"/>
              <w:left w:w="105" w:type="dxa"/>
              <w:bottom w:w="0" w:type="dxa"/>
              <w:right w:w="105" w:type="dxa"/>
            </w:tcMar>
            <w:vAlign w:val="top"/>
          </w:tcPr>
          <w:p w14:paraId="7293C1F2">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项</w:t>
            </w:r>
          </w:p>
        </w:tc>
      </w:tr>
      <w:tr w14:paraId="7A8C2CD9">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50" w:type="dxa"/>
            <w:tcBorders>
              <w:top w:val="single" w:color="000000" w:sz="4" w:space="0"/>
              <w:left w:val="double" w:color="000000" w:sz="4" w:space="0"/>
              <w:bottom w:val="single" w:color="000000" w:sz="4" w:space="0"/>
              <w:right w:val="single" w:color="000000" w:sz="4" w:space="0"/>
            </w:tcBorders>
            <w:tcMar>
              <w:top w:w="0" w:type="dxa"/>
              <w:left w:w="105" w:type="dxa"/>
              <w:bottom w:w="0" w:type="dxa"/>
              <w:right w:w="105" w:type="dxa"/>
            </w:tcMar>
            <w:vAlign w:val="top"/>
          </w:tcPr>
          <w:p w14:paraId="50271A6D">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b/>
                <w:sz w:val="24"/>
                <w:szCs w:val="24"/>
              </w:rPr>
              <w:t>2</w:t>
            </w:r>
          </w:p>
        </w:tc>
        <w:tc>
          <w:tcPr>
            <w:tcW w:w="1149"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2CA71870">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b/>
                <w:sz w:val="24"/>
                <w:szCs w:val="24"/>
              </w:rPr>
              <w:t>后端设备</w:t>
            </w:r>
          </w:p>
        </w:tc>
        <w:tc>
          <w:tcPr>
            <w:tcW w:w="4690"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242382C1">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p>
        </w:tc>
        <w:tc>
          <w:tcPr>
            <w:tcW w:w="856"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26EB1401">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hAnsi="宋体" w:eastAsia="宋体" w:cs="宋体"/>
                <w:sz w:val="24"/>
                <w:szCs w:val="24"/>
              </w:rPr>
            </w:pPr>
          </w:p>
        </w:tc>
        <w:tc>
          <w:tcPr>
            <w:tcW w:w="856" w:type="dxa"/>
            <w:tcBorders>
              <w:top w:val="single" w:color="000000" w:sz="4" w:space="0"/>
              <w:left w:val="single" w:color="000000" w:sz="4" w:space="0"/>
              <w:bottom w:val="single" w:color="000000" w:sz="4" w:space="0"/>
              <w:right w:val="double" w:color="000000" w:sz="4" w:space="0"/>
            </w:tcBorders>
            <w:tcMar>
              <w:top w:w="0" w:type="dxa"/>
              <w:left w:w="105" w:type="dxa"/>
              <w:bottom w:w="0" w:type="dxa"/>
              <w:right w:w="105" w:type="dxa"/>
            </w:tcMar>
            <w:vAlign w:val="top"/>
          </w:tcPr>
          <w:p w14:paraId="716B96CB">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hAnsi="宋体" w:eastAsia="宋体" w:cs="宋体"/>
                <w:sz w:val="24"/>
                <w:szCs w:val="24"/>
              </w:rPr>
            </w:pPr>
          </w:p>
        </w:tc>
      </w:tr>
      <w:tr w14:paraId="5E8B6E87">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50" w:type="dxa"/>
            <w:tcBorders>
              <w:top w:val="single" w:color="000000" w:sz="4" w:space="0"/>
              <w:left w:val="double" w:color="000000" w:sz="4" w:space="0"/>
              <w:bottom w:val="single" w:color="000000" w:sz="4" w:space="0"/>
              <w:right w:val="single" w:color="000000" w:sz="4" w:space="0"/>
            </w:tcBorders>
            <w:tcMar>
              <w:top w:w="0" w:type="dxa"/>
              <w:left w:w="105" w:type="dxa"/>
              <w:bottom w:w="0" w:type="dxa"/>
              <w:right w:w="105" w:type="dxa"/>
            </w:tcMar>
            <w:vAlign w:val="top"/>
          </w:tcPr>
          <w:p w14:paraId="237541E4">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2.1</w:t>
            </w:r>
          </w:p>
        </w:tc>
        <w:tc>
          <w:tcPr>
            <w:tcW w:w="1149"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012267FE">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AI融合巡检超脑(评审项135)</w:t>
            </w:r>
          </w:p>
        </w:tc>
        <w:tc>
          <w:tcPr>
            <w:tcW w:w="4690"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66484668">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1. 视频接口：≥2个HDMI，≥1个VGA</w:t>
            </w:r>
            <w:r>
              <w:rPr>
                <w:rFonts w:hint="eastAsia" w:ascii="宋体" w:hAnsi="宋体" w:eastAsia="宋体" w:cs="宋体"/>
                <w:sz w:val="24"/>
                <w:szCs w:val="24"/>
              </w:rPr>
              <w:br w:type="textWrapping"/>
            </w:r>
            <w:r>
              <w:rPr>
                <w:rFonts w:hint="eastAsia" w:ascii="宋体" w:hAnsi="宋体" w:eastAsia="宋体" w:cs="宋体"/>
                <w:sz w:val="24"/>
                <w:szCs w:val="24"/>
              </w:rPr>
              <w:t>2. 硬盘接口：已内置≥2TB（3.5寸）硬盘（主要用于报警图片和报警录像存储）</w:t>
            </w:r>
            <w:r>
              <w:rPr>
                <w:rFonts w:hint="eastAsia" w:ascii="宋体" w:hAnsi="宋体" w:eastAsia="宋体" w:cs="宋体"/>
                <w:sz w:val="24"/>
                <w:szCs w:val="24"/>
              </w:rPr>
              <w:br w:type="textWrapping"/>
            </w:r>
            <w:r>
              <w:rPr>
                <w:rFonts w:hint="eastAsia" w:ascii="宋体" w:hAnsi="宋体" w:eastAsia="宋体" w:cs="宋体"/>
                <w:sz w:val="24"/>
                <w:szCs w:val="24"/>
              </w:rPr>
              <w:t>3. 网络接口：≥2个10M/100M/1000Mbps网口</w:t>
            </w:r>
            <w:r>
              <w:rPr>
                <w:rFonts w:hint="eastAsia" w:ascii="宋体" w:hAnsi="宋体" w:eastAsia="宋体" w:cs="宋体"/>
                <w:sz w:val="24"/>
                <w:szCs w:val="24"/>
              </w:rPr>
              <w:br w:type="textWrapping"/>
            </w:r>
            <w:r>
              <w:rPr>
                <w:rFonts w:hint="eastAsia" w:ascii="宋体" w:hAnsi="宋体" w:eastAsia="宋体" w:cs="宋体"/>
                <w:sz w:val="24"/>
                <w:szCs w:val="24"/>
              </w:rPr>
              <w:t>4. USB接口：≥2个USB2.0接口、≥2个USB3.0接口</w:t>
            </w:r>
            <w:r>
              <w:rPr>
                <w:rFonts w:hint="eastAsia" w:ascii="宋体" w:hAnsi="宋体" w:eastAsia="宋体" w:cs="宋体"/>
                <w:sz w:val="24"/>
                <w:szCs w:val="24"/>
              </w:rPr>
              <w:br w:type="textWrapping"/>
            </w:r>
            <w:r>
              <w:rPr>
                <w:rFonts w:hint="eastAsia" w:ascii="宋体" w:hAnsi="宋体" w:eastAsia="宋体" w:cs="宋体"/>
                <w:sz w:val="24"/>
                <w:szCs w:val="24"/>
              </w:rPr>
              <w:t>5. 报警接口：≥16路报警输入，≥4路报警输出</w:t>
            </w:r>
            <w:r>
              <w:rPr>
                <w:rFonts w:hint="eastAsia" w:ascii="宋体" w:hAnsi="宋体" w:eastAsia="宋体" w:cs="宋体"/>
                <w:sz w:val="24"/>
                <w:szCs w:val="24"/>
              </w:rPr>
              <w:br w:type="textWrapping"/>
            </w:r>
            <w:r>
              <w:rPr>
                <w:rFonts w:hint="eastAsia" w:ascii="宋体" w:hAnsi="宋体" w:eastAsia="宋体" w:cs="宋体"/>
                <w:sz w:val="24"/>
                <w:szCs w:val="24"/>
              </w:rPr>
              <w:t>6. 输入带宽：≥256Mbps</w:t>
            </w:r>
            <w:r>
              <w:rPr>
                <w:rFonts w:hint="eastAsia" w:ascii="宋体" w:hAnsi="宋体" w:eastAsia="宋体" w:cs="宋体"/>
                <w:sz w:val="24"/>
                <w:szCs w:val="24"/>
              </w:rPr>
              <w:br w:type="textWrapping"/>
            </w:r>
            <w:r>
              <w:rPr>
                <w:rFonts w:hint="eastAsia" w:ascii="宋体" w:hAnsi="宋体" w:eastAsia="宋体" w:cs="宋体"/>
                <w:sz w:val="24"/>
                <w:szCs w:val="24"/>
              </w:rPr>
              <w:t>7. 输出带宽：≥256Mbps</w:t>
            </w:r>
            <w:r>
              <w:rPr>
                <w:rFonts w:hint="eastAsia" w:ascii="宋体" w:hAnsi="宋体" w:eastAsia="宋体" w:cs="宋体"/>
                <w:sz w:val="24"/>
                <w:szCs w:val="24"/>
              </w:rPr>
              <w:br w:type="textWrapping"/>
            </w:r>
            <w:r>
              <w:rPr>
                <w:rFonts w:hint="eastAsia" w:ascii="宋体" w:hAnsi="宋体" w:eastAsia="宋体" w:cs="宋体"/>
                <w:sz w:val="24"/>
                <w:szCs w:val="24"/>
              </w:rPr>
              <w:t>8. 接入能力：≥16路H.264、H.265格式高清码流接入</w:t>
            </w:r>
            <w:r>
              <w:rPr>
                <w:rFonts w:hint="eastAsia" w:ascii="宋体" w:hAnsi="宋体" w:eastAsia="宋体" w:cs="宋体"/>
                <w:sz w:val="24"/>
                <w:szCs w:val="24"/>
              </w:rPr>
              <w:br w:type="textWrapping"/>
            </w:r>
            <w:r>
              <w:rPr>
                <w:rFonts w:hint="eastAsia" w:ascii="宋体" w:hAnsi="宋体" w:eastAsia="宋体" w:cs="宋体"/>
                <w:sz w:val="24"/>
                <w:szCs w:val="24"/>
              </w:rPr>
              <w:t>9. 解码能力：最大支持≥16×1080P</w:t>
            </w:r>
            <w:r>
              <w:rPr>
                <w:rFonts w:hint="eastAsia" w:ascii="宋体" w:hAnsi="宋体" w:eastAsia="宋体" w:cs="宋体"/>
                <w:sz w:val="24"/>
                <w:szCs w:val="24"/>
              </w:rPr>
              <w:br w:type="textWrapping"/>
            </w:r>
            <w:r>
              <w:rPr>
                <w:rFonts w:hint="eastAsia" w:ascii="宋体" w:hAnsi="宋体" w:eastAsia="宋体" w:cs="宋体"/>
                <w:sz w:val="24"/>
                <w:szCs w:val="24"/>
              </w:rPr>
              <w:t>10. 人脸识别：人脸抓拍、人脸比对、倒地、剧烈运动（打架）、聚集、快速移动（奔跑）等。</w:t>
            </w:r>
            <w:r>
              <w:rPr>
                <w:rFonts w:hint="eastAsia" w:ascii="宋体" w:hAnsi="宋体" w:eastAsia="宋体" w:cs="宋体"/>
                <w:sz w:val="24"/>
                <w:szCs w:val="24"/>
              </w:rPr>
              <w:br w:type="textWrapping"/>
            </w:r>
            <w:r>
              <w:rPr>
                <w:rFonts w:hint="eastAsia" w:ascii="宋体" w:hAnsi="宋体" w:eastAsia="宋体" w:cs="宋体"/>
                <w:sz w:val="24"/>
                <w:szCs w:val="24"/>
              </w:rPr>
              <w:t>11. 设备≥1颗AI引擎，总算力≥24TOPS(INT8)，单引擎支持≥8路实时或≥16路定时抓图或轮巡视频分析</w:t>
            </w:r>
            <w:r>
              <w:rPr>
                <w:rFonts w:hint="eastAsia" w:ascii="宋体" w:hAnsi="宋体" w:eastAsia="宋体" w:cs="宋体"/>
                <w:sz w:val="24"/>
                <w:szCs w:val="24"/>
              </w:rPr>
              <w:br w:type="textWrapping"/>
            </w:r>
            <w:r>
              <w:rPr>
                <w:rFonts w:hint="eastAsia" w:ascii="宋体" w:hAnsi="宋体" w:eastAsia="宋体" w:cs="宋体"/>
                <w:sz w:val="24"/>
                <w:szCs w:val="24"/>
              </w:rPr>
              <w:t>12. 支持同一个算法的大小模型嵌入在同一个算法包中，绑定引擎时，在一个界面分配好引擎选择模式后即可自动关联大小模型，无须重复配置，并且规则配置只要配置一次即可实现大小模型协同分析； 支持效果增强模式：大小模型协同部署；高性能模式：仅部署小模型；超高精度模式：仅部署大模型。引擎状态界面可显示引擎工作温度， 可查看引擎配置及利用率。当平台接收到支持AI算法摄像机给出的报警后，平台会将报警结果发送给具备大模型算法的设备进行二次分析；并将二次分析结果上报给平台。</w:t>
            </w:r>
            <w:r>
              <w:rPr>
                <w:rFonts w:hint="eastAsia" w:ascii="宋体" w:hAnsi="宋体" w:eastAsia="宋体" w:cs="宋体"/>
                <w:b/>
                <w:sz w:val="24"/>
                <w:szCs w:val="24"/>
              </w:rPr>
              <w:t>（投标人须提供测试报告进行佐证，测试报告中受检（或委托）单位须为相应产品的制造商或投标人）</w:t>
            </w:r>
          </w:p>
        </w:tc>
        <w:tc>
          <w:tcPr>
            <w:tcW w:w="856"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47110B46">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1</w:t>
            </w:r>
          </w:p>
        </w:tc>
        <w:tc>
          <w:tcPr>
            <w:tcW w:w="856" w:type="dxa"/>
            <w:tcBorders>
              <w:top w:val="single" w:color="000000" w:sz="4" w:space="0"/>
              <w:left w:val="single" w:color="000000" w:sz="4" w:space="0"/>
              <w:bottom w:val="single" w:color="000000" w:sz="4" w:space="0"/>
              <w:right w:val="double" w:color="000000" w:sz="4" w:space="0"/>
            </w:tcBorders>
            <w:tcMar>
              <w:top w:w="0" w:type="dxa"/>
              <w:left w:w="105" w:type="dxa"/>
              <w:bottom w:w="0" w:type="dxa"/>
              <w:right w:w="105" w:type="dxa"/>
            </w:tcMar>
            <w:vAlign w:val="top"/>
          </w:tcPr>
          <w:p w14:paraId="3B348F19">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台</w:t>
            </w:r>
          </w:p>
        </w:tc>
      </w:tr>
      <w:tr w14:paraId="7A8B5C87">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50" w:type="dxa"/>
            <w:tcBorders>
              <w:top w:val="single" w:color="000000" w:sz="4" w:space="0"/>
              <w:left w:val="double" w:color="000000" w:sz="4" w:space="0"/>
              <w:bottom w:val="single" w:color="000000" w:sz="4" w:space="0"/>
              <w:right w:val="single" w:color="000000" w:sz="4" w:space="0"/>
            </w:tcBorders>
            <w:tcMar>
              <w:top w:w="0" w:type="dxa"/>
              <w:left w:w="105" w:type="dxa"/>
              <w:bottom w:w="0" w:type="dxa"/>
              <w:right w:w="105" w:type="dxa"/>
            </w:tcMar>
            <w:vAlign w:val="top"/>
          </w:tcPr>
          <w:p w14:paraId="31C3B937">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2.2</w:t>
            </w:r>
          </w:p>
        </w:tc>
        <w:tc>
          <w:tcPr>
            <w:tcW w:w="1149"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194A66F0">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NVR存储(评审项136)</w:t>
            </w:r>
          </w:p>
        </w:tc>
        <w:tc>
          <w:tcPr>
            <w:tcW w:w="4690"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0F8FBA5B">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1. 具有≥1个HDMI接口、≥1个VGA接口、≥2个千兆以太网口、≥3个USB2.0接口（其中2个为前置）、内置≥4个SATA硬盘接口；≥1路RCA音频输入接口、≥1路RCA音频输出接口；≥16路报警输入接口、≥4路报警输出接口</w:t>
            </w:r>
            <w:r>
              <w:rPr>
                <w:rFonts w:hint="eastAsia" w:ascii="宋体" w:hAnsi="宋体" w:eastAsia="宋体" w:cs="宋体"/>
                <w:sz w:val="24"/>
                <w:szCs w:val="24"/>
              </w:rPr>
              <w:br w:type="textWrapping"/>
            </w:r>
            <w:r>
              <w:rPr>
                <w:rFonts w:hint="eastAsia" w:ascii="宋体" w:hAnsi="宋体" w:eastAsia="宋体" w:cs="宋体"/>
                <w:sz w:val="24"/>
                <w:szCs w:val="24"/>
              </w:rPr>
              <w:t>2. 可接入1T、2T、3T、4T、6T、8T、10T容量的SATA接口硬盘</w:t>
            </w:r>
            <w:r>
              <w:rPr>
                <w:rFonts w:hint="eastAsia" w:ascii="宋体" w:hAnsi="宋体" w:eastAsia="宋体" w:cs="宋体"/>
                <w:sz w:val="24"/>
                <w:szCs w:val="24"/>
              </w:rPr>
              <w:br w:type="textWrapping"/>
            </w:r>
            <w:r>
              <w:rPr>
                <w:rFonts w:hint="eastAsia" w:ascii="宋体" w:hAnsi="宋体" w:eastAsia="宋体" w:cs="宋体"/>
                <w:sz w:val="24"/>
                <w:szCs w:val="24"/>
              </w:rPr>
              <w:t>3. 最大接入路数：≥16路。满负载条件下的最大接入带宽≥160Mbps、最大存储带宽≥128Mbps、最大转发带宽≥128Mbps</w:t>
            </w:r>
            <w:r>
              <w:rPr>
                <w:rFonts w:hint="eastAsia" w:ascii="宋体" w:hAnsi="宋体" w:eastAsia="宋体" w:cs="宋体"/>
                <w:sz w:val="24"/>
                <w:szCs w:val="24"/>
              </w:rPr>
              <w:br w:type="textWrapping"/>
            </w:r>
            <w:r>
              <w:rPr>
                <w:rFonts w:hint="eastAsia" w:ascii="宋体" w:hAnsi="宋体" w:eastAsia="宋体" w:cs="宋体"/>
                <w:sz w:val="24"/>
                <w:szCs w:val="24"/>
              </w:rPr>
              <w:t>4. 支持开启SVC解码功能，可同时回放≥5路400W分辨率、H.264/H.265编码格式的视频图像，解码总资源为≥10个1920×1080格式的视频图像</w:t>
            </w:r>
            <w:r>
              <w:rPr>
                <w:rFonts w:hint="eastAsia" w:ascii="宋体" w:hAnsi="宋体" w:eastAsia="宋体" w:cs="宋体"/>
                <w:sz w:val="24"/>
                <w:szCs w:val="24"/>
              </w:rPr>
              <w:br w:type="textWrapping"/>
            </w:r>
            <w:r>
              <w:rPr>
                <w:rFonts w:hint="eastAsia" w:ascii="宋体" w:hAnsi="宋体" w:eastAsia="宋体" w:cs="宋体"/>
                <w:sz w:val="24"/>
                <w:szCs w:val="24"/>
              </w:rPr>
              <w:t>5. 可同时显示输出≥10路H.265/H.264编码、25fps、1920×1080格式的视频图像</w:t>
            </w:r>
            <w:r>
              <w:rPr>
                <w:rFonts w:hint="eastAsia" w:ascii="宋体" w:hAnsi="宋体" w:eastAsia="宋体" w:cs="宋体"/>
                <w:sz w:val="24"/>
                <w:szCs w:val="24"/>
              </w:rPr>
              <w:br w:type="textWrapping"/>
            </w:r>
            <w:r>
              <w:rPr>
                <w:rFonts w:hint="eastAsia" w:ascii="宋体" w:hAnsi="宋体" w:eastAsia="宋体" w:cs="宋体"/>
                <w:sz w:val="24"/>
                <w:szCs w:val="24"/>
              </w:rPr>
              <w:t>6. 可自动搜索局域网内IPC，并查看IPC设备型号、固件版本、序列号等信息</w:t>
            </w:r>
          </w:p>
        </w:tc>
        <w:tc>
          <w:tcPr>
            <w:tcW w:w="856"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004467C2">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1</w:t>
            </w:r>
          </w:p>
        </w:tc>
        <w:tc>
          <w:tcPr>
            <w:tcW w:w="856" w:type="dxa"/>
            <w:tcBorders>
              <w:top w:val="single" w:color="000000" w:sz="4" w:space="0"/>
              <w:left w:val="single" w:color="000000" w:sz="4" w:space="0"/>
              <w:bottom w:val="single" w:color="000000" w:sz="4" w:space="0"/>
              <w:right w:val="double" w:color="000000" w:sz="4" w:space="0"/>
            </w:tcBorders>
            <w:tcMar>
              <w:top w:w="0" w:type="dxa"/>
              <w:left w:w="105" w:type="dxa"/>
              <w:bottom w:w="0" w:type="dxa"/>
              <w:right w:w="105" w:type="dxa"/>
            </w:tcMar>
            <w:vAlign w:val="top"/>
          </w:tcPr>
          <w:p w14:paraId="4FCFDB4B">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台</w:t>
            </w:r>
          </w:p>
        </w:tc>
      </w:tr>
      <w:tr w14:paraId="0A8868C6">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50" w:type="dxa"/>
            <w:tcBorders>
              <w:top w:val="single" w:color="000000" w:sz="4" w:space="0"/>
              <w:left w:val="double" w:color="000000" w:sz="4" w:space="0"/>
              <w:bottom w:val="single" w:color="000000" w:sz="4" w:space="0"/>
              <w:right w:val="single" w:color="000000" w:sz="4" w:space="0"/>
            </w:tcBorders>
            <w:tcMar>
              <w:top w:w="0" w:type="dxa"/>
              <w:left w:w="105" w:type="dxa"/>
              <w:bottom w:w="0" w:type="dxa"/>
              <w:right w:w="105" w:type="dxa"/>
            </w:tcMar>
            <w:vAlign w:val="top"/>
          </w:tcPr>
          <w:p w14:paraId="6F7BACAC">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2.3</w:t>
            </w:r>
          </w:p>
        </w:tc>
        <w:tc>
          <w:tcPr>
            <w:tcW w:w="1149"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2CB25744">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监控级硬盘6T(评审项137)</w:t>
            </w:r>
          </w:p>
        </w:tc>
        <w:tc>
          <w:tcPr>
            <w:tcW w:w="4690"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143AEFE3">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≥6TB容量，3.5英寸。</w:t>
            </w:r>
          </w:p>
        </w:tc>
        <w:tc>
          <w:tcPr>
            <w:tcW w:w="856"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46B4533B">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4</w:t>
            </w:r>
          </w:p>
        </w:tc>
        <w:tc>
          <w:tcPr>
            <w:tcW w:w="856" w:type="dxa"/>
            <w:tcBorders>
              <w:top w:val="single" w:color="000000" w:sz="4" w:space="0"/>
              <w:left w:val="single" w:color="000000" w:sz="4" w:space="0"/>
              <w:bottom w:val="single" w:color="000000" w:sz="4" w:space="0"/>
              <w:right w:val="double" w:color="000000" w:sz="4" w:space="0"/>
            </w:tcBorders>
            <w:tcMar>
              <w:top w:w="0" w:type="dxa"/>
              <w:left w:w="105" w:type="dxa"/>
              <w:bottom w:w="0" w:type="dxa"/>
              <w:right w:w="105" w:type="dxa"/>
            </w:tcMar>
            <w:vAlign w:val="top"/>
          </w:tcPr>
          <w:p w14:paraId="35E91159">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片</w:t>
            </w:r>
          </w:p>
        </w:tc>
      </w:tr>
      <w:tr w14:paraId="491C89AE">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50" w:type="dxa"/>
            <w:tcBorders>
              <w:top w:val="single" w:color="000000" w:sz="4" w:space="0"/>
              <w:left w:val="double" w:color="000000" w:sz="4" w:space="0"/>
              <w:bottom w:val="single" w:color="000000" w:sz="4" w:space="0"/>
              <w:right w:val="single" w:color="000000" w:sz="4" w:space="0"/>
            </w:tcBorders>
            <w:tcMar>
              <w:top w:w="0" w:type="dxa"/>
              <w:left w:w="105" w:type="dxa"/>
              <w:bottom w:w="0" w:type="dxa"/>
              <w:right w:w="105" w:type="dxa"/>
            </w:tcMar>
            <w:vAlign w:val="top"/>
          </w:tcPr>
          <w:p w14:paraId="2B4B4E06">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2.4</w:t>
            </w:r>
          </w:p>
        </w:tc>
        <w:tc>
          <w:tcPr>
            <w:tcW w:w="1149"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2257BD13">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边缘计算设备(评审项138)</w:t>
            </w:r>
          </w:p>
        </w:tc>
        <w:tc>
          <w:tcPr>
            <w:tcW w:w="4690"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78006A57">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设备为边缘侧综合计算设备，可部署于业务前端站点，完成现场数据采集、协议解析、视频智能分析、本地缓存、断点续传、数据过滤预处理后再上送云端平台；支持容器化部署边缘应用，适配国产化操作系统，支持7×24 小时无人值守稳定运行。</w:t>
            </w:r>
          </w:p>
          <w:p w14:paraId="612C114D">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1. 整机形态：机架式安装，机箱高度≤2U，适合部署于站点机柜，支持 7×24 小时不间断运行；工作环境温度 0℃</w:t>
            </w:r>
            <w:r>
              <w:rPr>
                <w:rFonts w:hint="eastAsia" w:ascii="宋体" w:hAnsi="宋体" w:eastAsia="宋体" w:cs="宋体"/>
                <w:sz w:val="24"/>
                <w:szCs w:val="24"/>
                <w:lang w:val="en-US" w:eastAsia="zh-CN"/>
              </w:rPr>
              <w:t>-</w:t>
            </w:r>
            <w:r>
              <w:rPr>
                <w:rFonts w:hint="eastAsia" w:ascii="宋体" w:hAnsi="宋体" w:eastAsia="宋体" w:cs="宋体"/>
                <w:sz w:val="24"/>
                <w:szCs w:val="24"/>
              </w:rPr>
              <w:t>45℃，具备边缘现场宽温适应性。</w:t>
            </w:r>
          </w:p>
          <w:p w14:paraId="300FE6AD">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2.按运行软件要求需提供保障监控系统和数据库运行的计算资源。提供冗余存储、冗余电源、冗余网络，当设备的一个存储或一个电源出现故障，保证系统不停机连续运行。需提供保障监控系统数和数据库运行的计算资源。提供冗余存储、冗余电源、冗余网络，当设备的一个存储或一个电源出现故障，保证系统不停机连续运行。</w:t>
            </w:r>
          </w:p>
          <w:p w14:paraId="63C77071">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3. 阵列卡：配置≥1块SAS_HBA卡，(支持RAID 0/1/10)。</w:t>
            </w:r>
          </w:p>
          <w:p w14:paraId="0298D738">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4. PCIE扩展：支持4个PCIE插槽。</w:t>
            </w:r>
          </w:p>
          <w:p w14:paraId="4AB5FED6">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5. 网口：板载≥2个千兆电口。</w:t>
            </w:r>
          </w:p>
          <w:p w14:paraId="760058C6">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6. 其他接口：≥1个千兆RJ-45管理接口，≥7个USB 3.0接口，≥6个位于机箱前部，≥1个位于机箱内部，≥2个VGA口，位于机箱前部。</w:t>
            </w:r>
          </w:p>
          <w:p w14:paraId="51B33E3B">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7. 电源：配置≥360W高效双电源。</w:t>
            </w:r>
          </w:p>
          <w:p w14:paraId="614C7B30">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注:以上内容应满足信创建设及适配要求。</w:t>
            </w:r>
          </w:p>
        </w:tc>
        <w:tc>
          <w:tcPr>
            <w:tcW w:w="856"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2A0B602E">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1</w:t>
            </w:r>
          </w:p>
        </w:tc>
        <w:tc>
          <w:tcPr>
            <w:tcW w:w="856" w:type="dxa"/>
            <w:tcBorders>
              <w:top w:val="single" w:color="000000" w:sz="4" w:space="0"/>
              <w:left w:val="single" w:color="000000" w:sz="4" w:space="0"/>
              <w:bottom w:val="single" w:color="000000" w:sz="4" w:space="0"/>
              <w:right w:val="double" w:color="000000" w:sz="4" w:space="0"/>
            </w:tcBorders>
            <w:tcMar>
              <w:top w:w="0" w:type="dxa"/>
              <w:left w:w="105" w:type="dxa"/>
              <w:bottom w:w="0" w:type="dxa"/>
              <w:right w:w="105" w:type="dxa"/>
            </w:tcMar>
            <w:vAlign w:val="top"/>
          </w:tcPr>
          <w:p w14:paraId="6CB5B50C">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台</w:t>
            </w:r>
          </w:p>
        </w:tc>
      </w:tr>
      <w:tr w14:paraId="398A51D7">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50" w:type="dxa"/>
            <w:tcBorders>
              <w:top w:val="single" w:color="000000" w:sz="4" w:space="0"/>
              <w:left w:val="double" w:color="000000" w:sz="4" w:space="0"/>
              <w:bottom w:val="single" w:color="000000" w:sz="4" w:space="0"/>
              <w:right w:val="single" w:color="000000" w:sz="4" w:space="0"/>
            </w:tcBorders>
            <w:tcMar>
              <w:top w:w="0" w:type="dxa"/>
              <w:left w:w="105" w:type="dxa"/>
              <w:bottom w:w="0" w:type="dxa"/>
              <w:right w:w="105" w:type="dxa"/>
            </w:tcMar>
            <w:vAlign w:val="top"/>
          </w:tcPr>
          <w:p w14:paraId="345EFF84">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2.5</w:t>
            </w:r>
          </w:p>
        </w:tc>
        <w:tc>
          <w:tcPr>
            <w:tcW w:w="1149"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04BBCC9D">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基础包(评审项139)</w:t>
            </w:r>
          </w:p>
        </w:tc>
        <w:tc>
          <w:tcPr>
            <w:tcW w:w="4690"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33603425">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1. 系统管理基础包，提供业务应用依赖的基础资源信息及基础服务能力，包括系统基础信息、用户管理、用户权限管理、物联设备管理、事件联动、NTP校时服务、运行管理中心、统一开放能力等。</w:t>
            </w:r>
            <w:r>
              <w:rPr>
                <w:rFonts w:hint="eastAsia" w:ascii="宋体" w:hAnsi="宋体" w:eastAsia="宋体" w:cs="宋体"/>
                <w:sz w:val="24"/>
                <w:szCs w:val="24"/>
              </w:rPr>
              <w:br w:type="textWrapping"/>
            </w:r>
            <w:r>
              <w:rPr>
                <w:rFonts w:hint="eastAsia" w:ascii="宋体" w:hAnsi="宋体" w:eastAsia="宋体" w:cs="宋体"/>
                <w:sz w:val="24"/>
                <w:szCs w:val="24"/>
              </w:rPr>
              <w:t>2. 支持配置向导，包括基础管理、视频、门禁、停车、访客等业务，可点击链接跳转至对应配置页面</w:t>
            </w:r>
          </w:p>
          <w:p w14:paraId="0EAFB887">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3． 需支持API网关功能：查看API基础信息、入参定义、后端服务信息、后端服务参数、返回结果等，同时支持API状态的切换（在线、下线、隐藏）。</w:t>
            </w:r>
          </w:p>
          <w:p w14:paraId="0E43C467">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4. 支持合作方管理功能：根据合作方名称、AppKey进行模糊查询，点击合作方名称可显示合作方详细信息。</w:t>
            </w:r>
          </w:p>
          <w:p w14:paraId="065446E8">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5. 调用记录支持API接口的调用方、调用地址、耗时、调用结果、调用时间。</w:t>
            </w:r>
          </w:p>
          <w:p w14:paraId="774F333E">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6. 支持提供知识库功能，便于解决常规平台问题；需支持知识库搜索、导入、导出，支持经验分享。</w:t>
            </w:r>
          </w:p>
        </w:tc>
        <w:tc>
          <w:tcPr>
            <w:tcW w:w="856"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37027B32">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1</w:t>
            </w:r>
          </w:p>
        </w:tc>
        <w:tc>
          <w:tcPr>
            <w:tcW w:w="856" w:type="dxa"/>
            <w:tcBorders>
              <w:top w:val="single" w:color="000000" w:sz="4" w:space="0"/>
              <w:left w:val="single" w:color="000000" w:sz="4" w:space="0"/>
              <w:bottom w:val="single" w:color="000000" w:sz="4" w:space="0"/>
              <w:right w:val="double" w:color="000000" w:sz="4" w:space="0"/>
            </w:tcBorders>
            <w:tcMar>
              <w:top w:w="0" w:type="dxa"/>
              <w:left w:w="105" w:type="dxa"/>
              <w:bottom w:w="0" w:type="dxa"/>
              <w:right w:w="105" w:type="dxa"/>
            </w:tcMar>
            <w:vAlign w:val="top"/>
          </w:tcPr>
          <w:p w14:paraId="407D12C7">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套</w:t>
            </w:r>
          </w:p>
        </w:tc>
      </w:tr>
      <w:tr w14:paraId="67221B0B">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50" w:type="dxa"/>
            <w:tcBorders>
              <w:top w:val="single" w:color="000000" w:sz="4" w:space="0"/>
              <w:left w:val="double" w:color="000000" w:sz="4" w:space="0"/>
              <w:bottom w:val="single" w:color="000000" w:sz="4" w:space="0"/>
              <w:right w:val="single" w:color="000000" w:sz="4" w:space="0"/>
            </w:tcBorders>
            <w:tcMar>
              <w:top w:w="0" w:type="dxa"/>
              <w:left w:w="105" w:type="dxa"/>
              <w:bottom w:w="0" w:type="dxa"/>
              <w:right w:w="105" w:type="dxa"/>
            </w:tcMar>
            <w:vAlign w:val="top"/>
          </w:tcPr>
          <w:p w14:paraId="0B277849">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2.6</w:t>
            </w:r>
          </w:p>
        </w:tc>
        <w:tc>
          <w:tcPr>
            <w:tcW w:w="1149"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765A9892">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视频质量诊断(评审项140)</w:t>
            </w:r>
          </w:p>
        </w:tc>
        <w:tc>
          <w:tcPr>
            <w:tcW w:w="4690"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0F9C0AFE">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1. 视频质量诊断应用，提供视频图像诊断和监测服务。</w:t>
            </w:r>
          </w:p>
        </w:tc>
        <w:tc>
          <w:tcPr>
            <w:tcW w:w="856"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30A12510">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10</w:t>
            </w:r>
          </w:p>
        </w:tc>
        <w:tc>
          <w:tcPr>
            <w:tcW w:w="856" w:type="dxa"/>
            <w:tcBorders>
              <w:top w:val="single" w:color="000000" w:sz="4" w:space="0"/>
              <w:left w:val="single" w:color="000000" w:sz="4" w:space="0"/>
              <w:bottom w:val="single" w:color="000000" w:sz="4" w:space="0"/>
              <w:right w:val="double" w:color="000000" w:sz="4" w:space="0"/>
            </w:tcBorders>
            <w:tcMar>
              <w:top w:w="0" w:type="dxa"/>
              <w:left w:w="105" w:type="dxa"/>
              <w:bottom w:w="0" w:type="dxa"/>
              <w:right w:w="105" w:type="dxa"/>
            </w:tcMar>
            <w:vAlign w:val="top"/>
          </w:tcPr>
          <w:p w14:paraId="28C4F511">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路</w:t>
            </w:r>
          </w:p>
        </w:tc>
      </w:tr>
      <w:tr w14:paraId="1F3F6A54">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50" w:type="dxa"/>
            <w:tcBorders>
              <w:top w:val="single" w:color="000000" w:sz="4" w:space="0"/>
              <w:left w:val="double" w:color="000000" w:sz="4" w:space="0"/>
              <w:bottom w:val="single" w:color="000000" w:sz="4" w:space="0"/>
              <w:right w:val="single" w:color="000000" w:sz="4" w:space="0"/>
            </w:tcBorders>
            <w:tcMar>
              <w:top w:w="0" w:type="dxa"/>
              <w:left w:w="105" w:type="dxa"/>
              <w:bottom w:w="0" w:type="dxa"/>
              <w:right w:w="105" w:type="dxa"/>
            </w:tcMar>
            <w:vAlign w:val="top"/>
          </w:tcPr>
          <w:p w14:paraId="0C3210BD">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2.7</w:t>
            </w:r>
          </w:p>
        </w:tc>
        <w:tc>
          <w:tcPr>
            <w:tcW w:w="1149"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2FEA3F04">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视频联网(评审项141)</w:t>
            </w:r>
          </w:p>
        </w:tc>
        <w:tc>
          <w:tcPr>
            <w:tcW w:w="4690"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14139674">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1. 提供视频点位联网服务能力，用于平台域间视频联网，基于视频通用标准协议（GB/T28181-2011,GB/T28181-2016）与外域平台互联互通，实现平台视频资源点位推送等操作控制。</w:t>
            </w:r>
          </w:p>
        </w:tc>
        <w:tc>
          <w:tcPr>
            <w:tcW w:w="856"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08CE3218">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1</w:t>
            </w:r>
          </w:p>
        </w:tc>
        <w:tc>
          <w:tcPr>
            <w:tcW w:w="856" w:type="dxa"/>
            <w:tcBorders>
              <w:top w:val="single" w:color="000000" w:sz="4" w:space="0"/>
              <w:left w:val="single" w:color="000000" w:sz="4" w:space="0"/>
              <w:bottom w:val="single" w:color="000000" w:sz="4" w:space="0"/>
              <w:right w:val="double" w:color="000000" w:sz="4" w:space="0"/>
            </w:tcBorders>
            <w:tcMar>
              <w:top w:w="0" w:type="dxa"/>
              <w:left w:w="105" w:type="dxa"/>
              <w:bottom w:w="0" w:type="dxa"/>
              <w:right w:w="105" w:type="dxa"/>
            </w:tcMar>
            <w:vAlign w:val="top"/>
          </w:tcPr>
          <w:p w14:paraId="07CD2A54">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套</w:t>
            </w:r>
          </w:p>
        </w:tc>
      </w:tr>
      <w:tr w14:paraId="186FC4C6">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50" w:type="dxa"/>
            <w:tcBorders>
              <w:top w:val="single" w:color="000000" w:sz="4" w:space="0"/>
              <w:left w:val="double" w:color="000000" w:sz="4" w:space="0"/>
              <w:bottom w:val="single" w:color="000000" w:sz="4" w:space="0"/>
              <w:right w:val="single" w:color="000000" w:sz="4" w:space="0"/>
            </w:tcBorders>
            <w:tcMar>
              <w:top w:w="0" w:type="dxa"/>
              <w:left w:w="105" w:type="dxa"/>
              <w:bottom w:w="0" w:type="dxa"/>
              <w:right w:w="105" w:type="dxa"/>
            </w:tcMar>
            <w:vAlign w:val="top"/>
          </w:tcPr>
          <w:p w14:paraId="42A8C764">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2.8</w:t>
            </w:r>
          </w:p>
        </w:tc>
        <w:tc>
          <w:tcPr>
            <w:tcW w:w="1149"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6ACD7C4D">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智能算法模型应用(评审项142)</w:t>
            </w:r>
          </w:p>
        </w:tc>
        <w:tc>
          <w:tcPr>
            <w:tcW w:w="4690"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3B58124C">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1. 提供模型管理、模型下发、智能分析配置、抓图计划配置。通过将AI模型下发至设备，为设备通道配置智能分析任务，使设备拥有针对特定对象和场景的智能分析能力，能够解决碎片化场景下的智能分析问题。</w:t>
            </w:r>
            <w:r>
              <w:rPr>
                <w:rFonts w:hint="eastAsia" w:ascii="宋体" w:hAnsi="宋体" w:eastAsia="宋体" w:cs="宋体"/>
                <w:sz w:val="24"/>
                <w:szCs w:val="24"/>
              </w:rPr>
              <w:br w:type="textWrapping"/>
            </w:r>
            <w:r>
              <w:rPr>
                <w:rFonts w:hint="eastAsia" w:ascii="宋体" w:hAnsi="宋体" w:eastAsia="宋体" w:cs="宋体"/>
                <w:sz w:val="24"/>
                <w:szCs w:val="24"/>
              </w:rPr>
              <w:t>2. 支持配置重点目标识别、陌生人识别、高频目标、人体/车辆识别计划；</w:t>
            </w:r>
            <w:r>
              <w:rPr>
                <w:rFonts w:hint="eastAsia" w:ascii="宋体" w:hAnsi="宋体" w:eastAsia="宋体" w:cs="宋体"/>
                <w:sz w:val="24"/>
                <w:szCs w:val="24"/>
              </w:rPr>
              <w:br w:type="textWrapping"/>
            </w:r>
            <w:r>
              <w:rPr>
                <w:rFonts w:hint="eastAsia" w:ascii="宋体" w:hAnsi="宋体" w:eastAsia="宋体" w:cs="宋体"/>
                <w:sz w:val="24"/>
                <w:szCs w:val="24"/>
              </w:rPr>
              <w:t>3. 支持接收重点，目标、陌生人、高频目标、预警车辆目标比对事件，支持接收人脸、人体、车辆实时抓拍事件；</w:t>
            </w:r>
            <w:r>
              <w:rPr>
                <w:rFonts w:hint="eastAsia" w:ascii="宋体" w:hAnsi="宋体" w:eastAsia="宋体" w:cs="宋体"/>
                <w:sz w:val="24"/>
                <w:szCs w:val="24"/>
              </w:rPr>
              <w:br w:type="textWrapping"/>
            </w:r>
            <w:r>
              <w:rPr>
                <w:rFonts w:hint="eastAsia" w:ascii="宋体" w:hAnsi="宋体" w:eastAsia="宋体" w:cs="宋体"/>
                <w:sz w:val="24"/>
                <w:szCs w:val="24"/>
              </w:rPr>
              <w:t>4. 支持配置智能行为分析规则，实现行为分析事件的上报和联动报警；</w:t>
            </w:r>
            <w:r>
              <w:rPr>
                <w:rFonts w:hint="eastAsia" w:ascii="宋体" w:hAnsi="宋体" w:eastAsia="宋体" w:cs="宋体"/>
                <w:sz w:val="24"/>
                <w:szCs w:val="24"/>
              </w:rPr>
              <w:br w:type="textWrapping"/>
            </w:r>
            <w:r>
              <w:rPr>
                <w:rFonts w:hint="eastAsia" w:ascii="宋体" w:hAnsi="宋体" w:eastAsia="宋体" w:cs="宋体"/>
                <w:sz w:val="24"/>
                <w:szCs w:val="24"/>
              </w:rPr>
              <w:t>5. 支持上传照片并分析照片中人车目标，可选定人脸、人体、车辆目标进行以图搜图；</w:t>
            </w:r>
            <w:r>
              <w:rPr>
                <w:rFonts w:hint="eastAsia" w:ascii="宋体" w:hAnsi="宋体" w:eastAsia="宋体" w:cs="宋体"/>
                <w:sz w:val="24"/>
                <w:szCs w:val="24"/>
              </w:rPr>
              <w:br w:type="textWrapping"/>
            </w:r>
            <w:r>
              <w:rPr>
                <w:rFonts w:hint="eastAsia" w:ascii="宋体" w:hAnsi="宋体" w:eastAsia="宋体" w:cs="宋体"/>
                <w:sz w:val="24"/>
                <w:szCs w:val="24"/>
              </w:rPr>
              <w:t>6. 支持人员、车辆运行轨迹展示；</w:t>
            </w:r>
            <w:r>
              <w:rPr>
                <w:rFonts w:hint="eastAsia" w:ascii="宋体" w:hAnsi="宋体" w:eastAsia="宋体" w:cs="宋体"/>
                <w:sz w:val="24"/>
                <w:szCs w:val="24"/>
              </w:rPr>
              <w:br w:type="textWrapping"/>
            </w:r>
            <w:r>
              <w:rPr>
                <w:rFonts w:hint="eastAsia" w:ascii="宋体" w:hAnsi="宋体" w:eastAsia="宋体" w:cs="宋体"/>
                <w:sz w:val="24"/>
                <w:szCs w:val="24"/>
              </w:rPr>
              <w:t>7. 支持上传两张人脸图片进行相似度比对；支持上传人脸照片，判断是否为内部人员；</w:t>
            </w:r>
            <w:r>
              <w:rPr>
                <w:rFonts w:hint="eastAsia" w:ascii="宋体" w:hAnsi="宋体" w:eastAsia="宋体" w:cs="宋体"/>
                <w:sz w:val="24"/>
                <w:szCs w:val="24"/>
              </w:rPr>
              <w:br w:type="textWrapping"/>
            </w:r>
            <w:r>
              <w:rPr>
                <w:rFonts w:hint="eastAsia" w:ascii="宋体" w:hAnsi="宋体" w:eastAsia="宋体" w:cs="宋体"/>
                <w:sz w:val="24"/>
                <w:szCs w:val="24"/>
              </w:rPr>
              <w:t>8. 通过配置实时流分析任务完成视频流实时智能分析，包括重点目标、陌生人、高频目标、人体/车辆结构化、行为检测分析；</w:t>
            </w:r>
            <w:r>
              <w:rPr>
                <w:rFonts w:hint="eastAsia" w:ascii="宋体" w:hAnsi="宋体" w:eastAsia="宋体" w:cs="宋体"/>
                <w:sz w:val="24"/>
                <w:szCs w:val="24"/>
              </w:rPr>
              <w:br w:type="textWrapping"/>
            </w:r>
            <w:r>
              <w:rPr>
                <w:rFonts w:hint="eastAsia" w:ascii="宋体" w:hAnsi="宋体" w:eastAsia="宋体" w:cs="宋体"/>
                <w:sz w:val="24"/>
                <w:szCs w:val="24"/>
              </w:rPr>
              <w:t>9. 支持配置录像点位及目标时段，对录像码流中的人、车数据进行结构化录像码流分析，实现智能分析事件快速查询。</w:t>
            </w:r>
          </w:p>
        </w:tc>
        <w:tc>
          <w:tcPr>
            <w:tcW w:w="856"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38B9C8B4">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1</w:t>
            </w:r>
          </w:p>
        </w:tc>
        <w:tc>
          <w:tcPr>
            <w:tcW w:w="856" w:type="dxa"/>
            <w:tcBorders>
              <w:top w:val="single" w:color="000000" w:sz="4" w:space="0"/>
              <w:left w:val="single" w:color="000000" w:sz="4" w:space="0"/>
              <w:bottom w:val="single" w:color="000000" w:sz="4" w:space="0"/>
              <w:right w:val="double" w:color="000000" w:sz="4" w:space="0"/>
            </w:tcBorders>
            <w:tcMar>
              <w:top w:w="0" w:type="dxa"/>
              <w:left w:w="105" w:type="dxa"/>
              <w:bottom w:w="0" w:type="dxa"/>
              <w:right w:w="105" w:type="dxa"/>
            </w:tcMar>
            <w:vAlign w:val="top"/>
          </w:tcPr>
          <w:p w14:paraId="54C7514B">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套</w:t>
            </w:r>
          </w:p>
        </w:tc>
      </w:tr>
      <w:tr w14:paraId="37819542">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50" w:type="dxa"/>
            <w:tcBorders>
              <w:top w:val="single" w:color="000000" w:sz="4" w:space="0"/>
              <w:left w:val="double" w:color="000000" w:sz="4" w:space="0"/>
              <w:bottom w:val="single" w:color="000000" w:sz="4" w:space="0"/>
              <w:right w:val="single" w:color="000000" w:sz="4" w:space="0"/>
            </w:tcBorders>
            <w:tcMar>
              <w:top w:w="0" w:type="dxa"/>
              <w:left w:w="105" w:type="dxa"/>
              <w:bottom w:w="0" w:type="dxa"/>
              <w:right w:w="105" w:type="dxa"/>
            </w:tcMar>
            <w:vAlign w:val="top"/>
          </w:tcPr>
          <w:p w14:paraId="469D5CF9">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2.9</w:t>
            </w:r>
          </w:p>
        </w:tc>
        <w:tc>
          <w:tcPr>
            <w:tcW w:w="1149"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4059D827">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汇聚交换机(评审项143)</w:t>
            </w:r>
          </w:p>
        </w:tc>
        <w:tc>
          <w:tcPr>
            <w:tcW w:w="4690"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1C63448C">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1、千兆SFP光口≥24个，千兆Combo口≥4个，万兆SFP+光口≥4个，Console口≥1个、Manage口≥1个。</w:t>
            </w:r>
            <w:r>
              <w:rPr>
                <w:rFonts w:hint="eastAsia" w:ascii="宋体" w:hAnsi="宋体" w:eastAsia="宋体" w:cs="宋体"/>
                <w:sz w:val="24"/>
                <w:szCs w:val="24"/>
              </w:rPr>
              <w:br w:type="textWrapping"/>
            </w:r>
            <w:r>
              <w:rPr>
                <w:rFonts w:hint="eastAsia" w:ascii="宋体" w:hAnsi="宋体" w:eastAsia="宋体" w:cs="宋体"/>
                <w:sz w:val="24"/>
                <w:szCs w:val="24"/>
              </w:rPr>
              <w:t>2、交换容量≥672Gbps/6.72Tbps，包转发率≥171Mpps/309Mpps。</w:t>
            </w:r>
            <w:r>
              <w:rPr>
                <w:rFonts w:hint="eastAsia" w:ascii="宋体" w:hAnsi="宋体" w:eastAsia="宋体" w:cs="宋体"/>
                <w:sz w:val="24"/>
                <w:szCs w:val="24"/>
              </w:rPr>
              <w:br w:type="textWrapping"/>
            </w:r>
            <w:r>
              <w:rPr>
                <w:rFonts w:hint="eastAsia" w:ascii="宋体" w:hAnsi="宋体" w:eastAsia="宋体" w:cs="宋体"/>
                <w:sz w:val="24"/>
                <w:szCs w:val="24"/>
              </w:rPr>
              <w:t>3、支持IGMP v1/v2/v3 Snooping，支持STP、RSTP、MSTP协议，支持端口聚合，支持手工和静态LACP。</w:t>
            </w:r>
            <w:r>
              <w:rPr>
                <w:rFonts w:hint="eastAsia" w:ascii="宋体" w:hAnsi="宋体" w:eastAsia="宋体" w:cs="宋体"/>
                <w:sz w:val="24"/>
                <w:szCs w:val="24"/>
              </w:rPr>
              <w:br w:type="textWrapping"/>
            </w:r>
            <w:r>
              <w:rPr>
                <w:rFonts w:hint="eastAsia" w:ascii="宋体" w:hAnsi="宋体" w:eastAsia="宋体" w:cs="宋体"/>
                <w:sz w:val="24"/>
                <w:szCs w:val="24"/>
              </w:rPr>
              <w:t>4、支持终端类型库，基于指纹终端识别库自动识别PC、路由器、摄像头设备等；</w:t>
            </w:r>
            <w:r>
              <w:rPr>
                <w:rFonts w:hint="eastAsia" w:ascii="宋体" w:hAnsi="宋体" w:eastAsia="宋体" w:cs="宋体"/>
                <w:sz w:val="24"/>
                <w:szCs w:val="24"/>
              </w:rPr>
              <w:br w:type="textWrapping"/>
            </w:r>
            <w:r>
              <w:rPr>
                <w:rFonts w:hint="eastAsia" w:ascii="宋体" w:hAnsi="宋体" w:eastAsia="宋体" w:cs="宋体"/>
                <w:sz w:val="24"/>
                <w:szCs w:val="24"/>
              </w:rPr>
              <w:t>5、交换机支持与外部安全感知平台联动，且联动实现从系统及接入层交换机对风险终端MAC地址进行封堵；交换机支持与外部防火墙联动，且联动实现从系统及接入层交换机对风险终端MAC地址进行封堵。</w:t>
            </w:r>
            <w:r>
              <w:rPr>
                <w:rFonts w:hint="eastAsia" w:ascii="宋体" w:hAnsi="宋体" w:eastAsia="宋体" w:cs="宋体"/>
                <w:sz w:val="24"/>
                <w:szCs w:val="24"/>
              </w:rPr>
              <w:br w:type="textWrapping"/>
            </w:r>
            <w:r>
              <w:rPr>
                <w:rFonts w:hint="eastAsia" w:ascii="宋体" w:hAnsi="宋体" w:eastAsia="宋体" w:cs="宋体"/>
                <w:sz w:val="24"/>
                <w:szCs w:val="24"/>
              </w:rPr>
              <w:t>6、▲支持在交换机上创建东西向安全策略，实现全网安全风险拦截；并支持各个区域/角色流量互访记录并呈现，支持攻击源定位，检测到攻击源后根据策略将终端拉黑，防止终端持续攻击；</w:t>
            </w:r>
            <w:r>
              <w:rPr>
                <w:rFonts w:hint="eastAsia" w:ascii="宋体" w:hAnsi="宋体" w:eastAsia="宋体" w:cs="宋体"/>
                <w:b/>
                <w:sz w:val="24"/>
                <w:szCs w:val="24"/>
              </w:rPr>
              <w:t>（投标人须提供测试报告进行佐证，测试报告中受检（或委托）单位须为相应产品的制造商或投标人）</w:t>
            </w:r>
          </w:p>
          <w:p w14:paraId="26EC934E">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7、支持通过APP进行远程管理，并且可以修改交换机网络配置。</w:t>
            </w:r>
          </w:p>
        </w:tc>
        <w:tc>
          <w:tcPr>
            <w:tcW w:w="856"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2882A3FB">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1</w:t>
            </w:r>
          </w:p>
        </w:tc>
        <w:tc>
          <w:tcPr>
            <w:tcW w:w="856" w:type="dxa"/>
            <w:tcBorders>
              <w:top w:val="single" w:color="000000" w:sz="4" w:space="0"/>
              <w:left w:val="single" w:color="000000" w:sz="4" w:space="0"/>
              <w:bottom w:val="single" w:color="000000" w:sz="4" w:space="0"/>
              <w:right w:val="double" w:color="000000" w:sz="4" w:space="0"/>
            </w:tcBorders>
            <w:tcMar>
              <w:top w:w="0" w:type="dxa"/>
              <w:left w:w="105" w:type="dxa"/>
              <w:bottom w:w="0" w:type="dxa"/>
              <w:right w:w="105" w:type="dxa"/>
            </w:tcMar>
            <w:vAlign w:val="top"/>
          </w:tcPr>
          <w:p w14:paraId="472B110F">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台</w:t>
            </w:r>
          </w:p>
        </w:tc>
      </w:tr>
      <w:tr w14:paraId="0D6A8CEC">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50" w:type="dxa"/>
            <w:tcBorders>
              <w:top w:val="single" w:color="000000" w:sz="4" w:space="0"/>
              <w:left w:val="double" w:color="000000" w:sz="4" w:space="0"/>
              <w:bottom w:val="single" w:color="000000" w:sz="4" w:space="0"/>
              <w:right w:val="single" w:color="000000" w:sz="4" w:space="0"/>
            </w:tcBorders>
            <w:tcMar>
              <w:top w:w="0" w:type="dxa"/>
              <w:left w:w="105" w:type="dxa"/>
              <w:bottom w:w="0" w:type="dxa"/>
              <w:right w:w="105" w:type="dxa"/>
            </w:tcMar>
            <w:vAlign w:val="top"/>
          </w:tcPr>
          <w:p w14:paraId="0B45F5BD">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2.10</w:t>
            </w:r>
          </w:p>
        </w:tc>
        <w:tc>
          <w:tcPr>
            <w:tcW w:w="1149"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52FFF135">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千兆光模块(评审项144)</w:t>
            </w:r>
          </w:p>
        </w:tc>
        <w:tc>
          <w:tcPr>
            <w:tcW w:w="4690"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226A7F87">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SFP 千兆单模光模块，单模，1310nm，最大传输距离 40km，接头类型：LC。</w:t>
            </w:r>
          </w:p>
        </w:tc>
        <w:tc>
          <w:tcPr>
            <w:tcW w:w="856"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4BAC795F">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6</w:t>
            </w:r>
          </w:p>
        </w:tc>
        <w:tc>
          <w:tcPr>
            <w:tcW w:w="856" w:type="dxa"/>
            <w:tcBorders>
              <w:top w:val="single" w:color="000000" w:sz="4" w:space="0"/>
              <w:left w:val="single" w:color="000000" w:sz="4" w:space="0"/>
              <w:bottom w:val="single" w:color="000000" w:sz="4" w:space="0"/>
              <w:right w:val="double" w:color="000000" w:sz="4" w:space="0"/>
            </w:tcBorders>
            <w:tcMar>
              <w:top w:w="0" w:type="dxa"/>
              <w:left w:w="105" w:type="dxa"/>
              <w:bottom w:w="0" w:type="dxa"/>
              <w:right w:w="105" w:type="dxa"/>
            </w:tcMar>
            <w:vAlign w:val="top"/>
          </w:tcPr>
          <w:p w14:paraId="15D3B218">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个</w:t>
            </w:r>
          </w:p>
        </w:tc>
      </w:tr>
      <w:tr w14:paraId="43CCAF06">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50" w:type="dxa"/>
            <w:tcBorders>
              <w:top w:val="single" w:color="000000" w:sz="4" w:space="0"/>
              <w:left w:val="double" w:color="000000" w:sz="4" w:space="0"/>
              <w:bottom w:val="double" w:color="000000" w:sz="4" w:space="0"/>
              <w:right w:val="single" w:color="000000" w:sz="4" w:space="0"/>
            </w:tcBorders>
            <w:tcMar>
              <w:top w:w="0" w:type="dxa"/>
              <w:left w:w="105" w:type="dxa"/>
              <w:bottom w:w="0" w:type="dxa"/>
              <w:right w:w="105" w:type="dxa"/>
            </w:tcMar>
            <w:vAlign w:val="top"/>
          </w:tcPr>
          <w:p w14:paraId="69D00A3B">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2.11</w:t>
            </w:r>
          </w:p>
        </w:tc>
        <w:tc>
          <w:tcPr>
            <w:tcW w:w="1149" w:type="dxa"/>
            <w:tcBorders>
              <w:top w:val="single" w:color="000000" w:sz="4" w:space="0"/>
              <w:left w:val="single" w:color="000000" w:sz="4" w:space="0"/>
              <w:bottom w:val="double" w:color="000000" w:sz="4" w:space="0"/>
              <w:right w:val="single" w:color="000000" w:sz="4" w:space="0"/>
            </w:tcBorders>
            <w:tcMar>
              <w:top w:w="0" w:type="dxa"/>
              <w:left w:w="105" w:type="dxa"/>
              <w:bottom w:w="0" w:type="dxa"/>
              <w:right w:w="105" w:type="dxa"/>
            </w:tcMar>
            <w:vAlign w:val="top"/>
          </w:tcPr>
          <w:p w14:paraId="6AFD6B6B">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万兆光模块(评审项145)</w:t>
            </w:r>
          </w:p>
        </w:tc>
        <w:tc>
          <w:tcPr>
            <w:tcW w:w="4690" w:type="dxa"/>
            <w:tcBorders>
              <w:top w:val="single" w:color="000000" w:sz="4" w:space="0"/>
              <w:left w:val="single" w:color="000000" w:sz="4" w:space="0"/>
              <w:bottom w:val="double" w:color="000000" w:sz="4" w:space="0"/>
              <w:right w:val="single" w:color="000000" w:sz="4" w:space="0"/>
            </w:tcBorders>
            <w:tcMar>
              <w:top w:w="0" w:type="dxa"/>
              <w:left w:w="105" w:type="dxa"/>
              <w:bottom w:w="0" w:type="dxa"/>
              <w:right w:w="105" w:type="dxa"/>
            </w:tcMar>
            <w:vAlign w:val="top"/>
          </w:tcPr>
          <w:p w14:paraId="712E3712">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SFP+ 万兆单模光模块，单模，1310nm，最大传输距离 10km，接头类型：LC。</w:t>
            </w:r>
          </w:p>
        </w:tc>
        <w:tc>
          <w:tcPr>
            <w:tcW w:w="856" w:type="dxa"/>
            <w:tcBorders>
              <w:top w:val="single" w:color="000000" w:sz="4" w:space="0"/>
              <w:left w:val="single" w:color="000000" w:sz="4" w:space="0"/>
              <w:bottom w:val="double" w:color="000000" w:sz="4" w:space="0"/>
              <w:right w:val="single" w:color="000000" w:sz="4" w:space="0"/>
            </w:tcBorders>
            <w:tcMar>
              <w:top w:w="0" w:type="dxa"/>
              <w:left w:w="105" w:type="dxa"/>
              <w:bottom w:w="0" w:type="dxa"/>
              <w:right w:w="105" w:type="dxa"/>
            </w:tcMar>
            <w:vAlign w:val="top"/>
          </w:tcPr>
          <w:p w14:paraId="310ED963">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2</w:t>
            </w:r>
          </w:p>
        </w:tc>
        <w:tc>
          <w:tcPr>
            <w:tcW w:w="856" w:type="dxa"/>
            <w:tcBorders>
              <w:top w:val="single" w:color="000000" w:sz="4" w:space="0"/>
              <w:left w:val="single" w:color="000000" w:sz="4" w:space="0"/>
              <w:bottom w:val="double" w:color="000000" w:sz="4" w:space="0"/>
              <w:right w:val="double" w:color="000000" w:sz="4" w:space="0"/>
            </w:tcBorders>
            <w:tcMar>
              <w:top w:w="0" w:type="dxa"/>
              <w:left w:w="105" w:type="dxa"/>
              <w:bottom w:w="0" w:type="dxa"/>
              <w:right w:w="105" w:type="dxa"/>
            </w:tcMar>
            <w:vAlign w:val="top"/>
          </w:tcPr>
          <w:p w14:paraId="19FAD056">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个</w:t>
            </w:r>
          </w:p>
        </w:tc>
      </w:tr>
    </w:tbl>
    <w:p w14:paraId="686A7B0E">
      <w:pPr>
        <w:pStyle w:val="6"/>
        <w:keepNext w:val="0"/>
        <w:keepLines w:val="0"/>
        <w:pageBreakBefore w:val="0"/>
        <w:kinsoku/>
        <w:wordWrap/>
        <w:overflowPunct/>
        <w:topLinePunct w:val="0"/>
        <w:autoSpaceDE/>
        <w:autoSpaceDN/>
        <w:bidi w:val="0"/>
        <w:adjustRightInd/>
        <w:snapToGrid/>
        <w:spacing w:line="500" w:lineRule="exact"/>
        <w:ind w:firstLine="480"/>
        <w:jc w:val="left"/>
        <w:textAlignment w:val="auto"/>
        <w:rPr>
          <w:rFonts w:hint="eastAsia" w:ascii="宋体" w:hAnsi="宋体" w:eastAsia="宋体" w:cs="宋体"/>
          <w:sz w:val="24"/>
          <w:szCs w:val="24"/>
        </w:rPr>
      </w:pPr>
      <w:r>
        <w:rPr>
          <w:rFonts w:hint="eastAsia" w:ascii="宋体" w:hAnsi="宋体" w:eastAsia="宋体" w:cs="宋体"/>
          <w:b/>
          <w:sz w:val="24"/>
          <w:szCs w:val="24"/>
        </w:rPr>
        <w:t>2.3.2.视频监控系统升级改造（闽清院区）</w:t>
      </w:r>
    </w:p>
    <w:tbl>
      <w:tblPr>
        <w:tblStyle w:val="4"/>
        <w:tblW w:w="0" w:type="auto"/>
        <w:tblInd w:w="0" w:type="dxa"/>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autofit"/>
        <w:tblCellMar>
          <w:top w:w="0" w:type="dxa"/>
          <w:left w:w="108" w:type="dxa"/>
          <w:bottom w:w="0" w:type="dxa"/>
          <w:right w:w="108" w:type="dxa"/>
        </w:tblCellMar>
      </w:tblPr>
      <w:tblGrid>
        <w:gridCol w:w="774"/>
        <w:gridCol w:w="1170"/>
        <w:gridCol w:w="4651"/>
        <w:gridCol w:w="1066"/>
        <w:gridCol w:w="855"/>
      </w:tblGrid>
      <w:tr w14:paraId="16D10F9B">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74" w:type="dxa"/>
            <w:tcBorders>
              <w:top w:val="double" w:color="000000" w:sz="4" w:space="0"/>
              <w:left w:val="double" w:color="000000" w:sz="4" w:space="0"/>
              <w:bottom w:val="single" w:color="000000" w:sz="4" w:space="0"/>
              <w:right w:val="single" w:color="000000" w:sz="4" w:space="0"/>
            </w:tcBorders>
            <w:shd w:val="clear" w:color="auto" w:fill="BFBFBF"/>
            <w:tcMar>
              <w:top w:w="0" w:type="dxa"/>
              <w:left w:w="105" w:type="dxa"/>
              <w:bottom w:w="0" w:type="dxa"/>
              <w:right w:w="105" w:type="dxa"/>
            </w:tcMar>
            <w:vAlign w:val="top"/>
          </w:tcPr>
          <w:p w14:paraId="6C325E96">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b/>
                <w:sz w:val="24"/>
                <w:szCs w:val="24"/>
              </w:rPr>
              <w:t>编号</w:t>
            </w:r>
          </w:p>
        </w:tc>
        <w:tc>
          <w:tcPr>
            <w:tcW w:w="950" w:type="dxa"/>
            <w:tcBorders>
              <w:top w:val="double" w:color="000000" w:sz="4" w:space="0"/>
              <w:left w:val="single" w:color="000000" w:sz="4" w:space="0"/>
              <w:bottom w:val="single" w:color="000000" w:sz="4" w:space="0"/>
              <w:right w:val="single" w:color="000000" w:sz="4" w:space="0"/>
            </w:tcBorders>
            <w:shd w:val="clear" w:color="auto" w:fill="D9D9D9"/>
            <w:tcMar>
              <w:top w:w="0" w:type="dxa"/>
              <w:left w:w="105" w:type="dxa"/>
              <w:bottom w:w="0" w:type="dxa"/>
              <w:right w:w="105" w:type="dxa"/>
            </w:tcMar>
            <w:vAlign w:val="top"/>
          </w:tcPr>
          <w:p w14:paraId="46F89A57">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b/>
                <w:sz w:val="24"/>
                <w:szCs w:val="24"/>
              </w:rPr>
              <w:t>设备名称</w:t>
            </w:r>
          </w:p>
        </w:tc>
        <w:tc>
          <w:tcPr>
            <w:tcW w:w="4655" w:type="dxa"/>
            <w:tcBorders>
              <w:top w:val="double" w:color="000000" w:sz="4" w:space="0"/>
              <w:left w:val="single" w:color="000000" w:sz="4" w:space="0"/>
              <w:bottom w:val="single" w:color="000000" w:sz="4" w:space="0"/>
              <w:right w:val="single" w:color="000000" w:sz="4" w:space="0"/>
            </w:tcBorders>
            <w:shd w:val="clear" w:color="auto" w:fill="D9D9D9"/>
            <w:tcMar>
              <w:top w:w="0" w:type="dxa"/>
              <w:left w:w="105" w:type="dxa"/>
              <w:bottom w:w="0" w:type="dxa"/>
              <w:right w:w="105" w:type="dxa"/>
            </w:tcMar>
            <w:vAlign w:val="top"/>
          </w:tcPr>
          <w:p w14:paraId="56DA915A">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b/>
                <w:sz w:val="24"/>
                <w:szCs w:val="24"/>
              </w:rPr>
              <w:t>性能参数要求</w:t>
            </w:r>
          </w:p>
        </w:tc>
        <w:tc>
          <w:tcPr>
            <w:tcW w:w="1067" w:type="dxa"/>
            <w:tcBorders>
              <w:top w:val="double" w:color="000000" w:sz="4" w:space="0"/>
              <w:left w:val="single" w:color="000000" w:sz="4" w:space="0"/>
              <w:bottom w:val="single" w:color="000000" w:sz="4" w:space="0"/>
              <w:right w:val="single" w:color="000000" w:sz="4" w:space="0"/>
            </w:tcBorders>
            <w:shd w:val="clear" w:color="auto" w:fill="D9D9D9"/>
            <w:tcMar>
              <w:top w:w="0" w:type="dxa"/>
              <w:left w:w="105" w:type="dxa"/>
              <w:bottom w:w="0" w:type="dxa"/>
              <w:right w:w="105" w:type="dxa"/>
            </w:tcMar>
            <w:vAlign w:val="top"/>
          </w:tcPr>
          <w:p w14:paraId="137AC325">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b/>
                <w:sz w:val="24"/>
                <w:szCs w:val="24"/>
              </w:rPr>
              <w:t>数量</w:t>
            </w:r>
          </w:p>
        </w:tc>
        <w:tc>
          <w:tcPr>
            <w:tcW w:w="856" w:type="dxa"/>
            <w:tcBorders>
              <w:top w:val="double" w:color="000000" w:sz="4" w:space="0"/>
              <w:left w:val="single" w:color="000000" w:sz="4" w:space="0"/>
              <w:bottom w:val="single" w:color="000000" w:sz="4" w:space="0"/>
              <w:right w:val="double" w:color="000000" w:sz="4" w:space="0"/>
            </w:tcBorders>
            <w:shd w:val="clear" w:color="auto" w:fill="D9D9D9"/>
            <w:tcMar>
              <w:top w:w="0" w:type="dxa"/>
              <w:left w:w="105" w:type="dxa"/>
              <w:bottom w:w="0" w:type="dxa"/>
              <w:right w:w="105" w:type="dxa"/>
            </w:tcMar>
            <w:vAlign w:val="top"/>
          </w:tcPr>
          <w:p w14:paraId="31AB8BED">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b/>
                <w:sz w:val="24"/>
                <w:szCs w:val="24"/>
              </w:rPr>
              <w:t>单位</w:t>
            </w:r>
          </w:p>
        </w:tc>
      </w:tr>
      <w:tr w14:paraId="23D45D82">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74" w:type="dxa"/>
            <w:tcBorders>
              <w:top w:val="single" w:color="000000" w:sz="4" w:space="0"/>
              <w:left w:val="double" w:color="000000" w:sz="4" w:space="0"/>
              <w:bottom w:val="single" w:color="000000" w:sz="4" w:space="0"/>
              <w:right w:val="single" w:color="000000" w:sz="4" w:space="0"/>
            </w:tcBorders>
            <w:tcMar>
              <w:top w:w="0" w:type="dxa"/>
              <w:left w:w="105" w:type="dxa"/>
              <w:bottom w:w="0" w:type="dxa"/>
              <w:right w:w="105" w:type="dxa"/>
            </w:tcMar>
            <w:vAlign w:val="top"/>
          </w:tcPr>
          <w:p w14:paraId="05FFD50E">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一</w:t>
            </w:r>
          </w:p>
        </w:tc>
        <w:tc>
          <w:tcPr>
            <w:tcW w:w="950"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0B4D87B2">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b/>
                <w:sz w:val="24"/>
                <w:szCs w:val="24"/>
              </w:rPr>
              <w:t>视频监控系统</w:t>
            </w:r>
          </w:p>
        </w:tc>
        <w:tc>
          <w:tcPr>
            <w:tcW w:w="4655"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76B604B6">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p>
        </w:tc>
        <w:tc>
          <w:tcPr>
            <w:tcW w:w="1067"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0502E626">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hAnsi="宋体" w:eastAsia="宋体" w:cs="宋体"/>
                <w:sz w:val="24"/>
                <w:szCs w:val="24"/>
              </w:rPr>
            </w:pPr>
          </w:p>
        </w:tc>
        <w:tc>
          <w:tcPr>
            <w:tcW w:w="856" w:type="dxa"/>
            <w:tcBorders>
              <w:top w:val="single" w:color="000000" w:sz="4" w:space="0"/>
              <w:left w:val="single" w:color="000000" w:sz="4" w:space="0"/>
              <w:bottom w:val="single" w:color="000000" w:sz="4" w:space="0"/>
              <w:right w:val="double" w:color="000000" w:sz="4" w:space="0"/>
            </w:tcBorders>
            <w:tcMar>
              <w:top w:w="0" w:type="dxa"/>
              <w:left w:w="105" w:type="dxa"/>
              <w:bottom w:w="0" w:type="dxa"/>
              <w:right w:w="105" w:type="dxa"/>
            </w:tcMar>
            <w:vAlign w:val="top"/>
          </w:tcPr>
          <w:p w14:paraId="71A14AEC">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hAnsi="宋体" w:eastAsia="宋体" w:cs="宋体"/>
                <w:sz w:val="24"/>
                <w:szCs w:val="24"/>
              </w:rPr>
            </w:pPr>
          </w:p>
        </w:tc>
      </w:tr>
      <w:tr w14:paraId="5595856B">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74" w:type="dxa"/>
            <w:tcBorders>
              <w:top w:val="single" w:color="000000" w:sz="4" w:space="0"/>
              <w:left w:val="double" w:color="000000" w:sz="4" w:space="0"/>
              <w:bottom w:val="single" w:color="000000" w:sz="4" w:space="0"/>
              <w:right w:val="single" w:color="000000" w:sz="4" w:space="0"/>
            </w:tcBorders>
            <w:tcMar>
              <w:top w:w="0" w:type="dxa"/>
              <w:left w:w="105" w:type="dxa"/>
              <w:bottom w:w="0" w:type="dxa"/>
              <w:right w:w="105" w:type="dxa"/>
            </w:tcMar>
            <w:vAlign w:val="top"/>
          </w:tcPr>
          <w:p w14:paraId="042F24E9">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1</w:t>
            </w:r>
          </w:p>
        </w:tc>
        <w:tc>
          <w:tcPr>
            <w:tcW w:w="950"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79F2DA6C">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b/>
                <w:sz w:val="24"/>
                <w:szCs w:val="24"/>
              </w:rPr>
              <w:t>前端设备</w:t>
            </w:r>
          </w:p>
        </w:tc>
        <w:tc>
          <w:tcPr>
            <w:tcW w:w="4655"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3D24F97C">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p>
        </w:tc>
        <w:tc>
          <w:tcPr>
            <w:tcW w:w="1067"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59D0FFFF">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hAnsi="宋体" w:eastAsia="宋体" w:cs="宋体"/>
                <w:sz w:val="24"/>
                <w:szCs w:val="24"/>
              </w:rPr>
            </w:pPr>
          </w:p>
        </w:tc>
        <w:tc>
          <w:tcPr>
            <w:tcW w:w="856" w:type="dxa"/>
            <w:tcBorders>
              <w:top w:val="single" w:color="000000" w:sz="4" w:space="0"/>
              <w:left w:val="single" w:color="000000" w:sz="4" w:space="0"/>
              <w:bottom w:val="single" w:color="000000" w:sz="4" w:space="0"/>
              <w:right w:val="double" w:color="000000" w:sz="4" w:space="0"/>
            </w:tcBorders>
            <w:tcMar>
              <w:top w:w="0" w:type="dxa"/>
              <w:left w:w="105" w:type="dxa"/>
              <w:bottom w:w="0" w:type="dxa"/>
              <w:right w:w="105" w:type="dxa"/>
            </w:tcMar>
            <w:vAlign w:val="top"/>
          </w:tcPr>
          <w:p w14:paraId="2D8A0AB1">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hAnsi="宋体" w:eastAsia="宋体" w:cs="宋体"/>
                <w:sz w:val="24"/>
                <w:szCs w:val="24"/>
              </w:rPr>
            </w:pPr>
          </w:p>
        </w:tc>
      </w:tr>
      <w:tr w14:paraId="55A061F5">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74" w:type="dxa"/>
            <w:tcBorders>
              <w:top w:val="single" w:color="000000" w:sz="4" w:space="0"/>
              <w:left w:val="double" w:color="000000" w:sz="4" w:space="0"/>
              <w:bottom w:val="single" w:color="000000" w:sz="4" w:space="0"/>
              <w:right w:val="single" w:color="000000" w:sz="4" w:space="0"/>
            </w:tcBorders>
            <w:tcMar>
              <w:top w:w="0" w:type="dxa"/>
              <w:left w:w="105" w:type="dxa"/>
              <w:bottom w:w="0" w:type="dxa"/>
              <w:right w:w="105" w:type="dxa"/>
            </w:tcMar>
            <w:vAlign w:val="top"/>
          </w:tcPr>
          <w:p w14:paraId="6435614D">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1.1</w:t>
            </w:r>
          </w:p>
        </w:tc>
        <w:tc>
          <w:tcPr>
            <w:tcW w:w="950"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20BB5DED">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400万网络半球摄像机(评审项146)</w:t>
            </w:r>
          </w:p>
        </w:tc>
        <w:tc>
          <w:tcPr>
            <w:tcW w:w="4655"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5963F5FA">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1. ≥400万半球型网络摄像机</w:t>
            </w:r>
            <w:r>
              <w:rPr>
                <w:rFonts w:hint="eastAsia" w:ascii="宋体" w:hAnsi="宋体" w:eastAsia="宋体" w:cs="宋体"/>
                <w:sz w:val="24"/>
                <w:szCs w:val="24"/>
              </w:rPr>
              <w:br w:type="textWrapping"/>
            </w:r>
            <w:r>
              <w:rPr>
                <w:rFonts w:hint="eastAsia" w:ascii="宋体" w:hAnsi="宋体" w:eastAsia="宋体" w:cs="宋体"/>
                <w:sz w:val="24"/>
                <w:szCs w:val="24"/>
              </w:rPr>
              <w:t>2. 最高分辨率可达≥2560 × 1440 @25 fps，在该分辨率下可输出实时图像</w:t>
            </w:r>
            <w:r>
              <w:rPr>
                <w:rFonts w:hint="eastAsia" w:ascii="宋体" w:hAnsi="宋体" w:eastAsia="宋体" w:cs="宋体"/>
                <w:sz w:val="24"/>
                <w:szCs w:val="24"/>
              </w:rPr>
              <w:br w:type="textWrapping"/>
            </w:r>
            <w:r>
              <w:rPr>
                <w:rFonts w:hint="eastAsia" w:ascii="宋体" w:hAnsi="宋体" w:eastAsia="宋体" w:cs="宋体"/>
                <w:sz w:val="24"/>
                <w:szCs w:val="24"/>
              </w:rPr>
              <w:t>3. 支持背光补偿，强光抑制，3D数字降噪，数字宽动态，适应不同环境</w:t>
            </w:r>
            <w:r>
              <w:rPr>
                <w:rFonts w:hint="eastAsia" w:ascii="宋体" w:hAnsi="宋体" w:eastAsia="宋体" w:cs="宋体"/>
                <w:sz w:val="24"/>
                <w:szCs w:val="24"/>
              </w:rPr>
              <w:br w:type="textWrapping"/>
            </w:r>
            <w:r>
              <w:rPr>
                <w:rFonts w:hint="eastAsia" w:ascii="宋体" w:hAnsi="宋体" w:eastAsia="宋体" w:cs="宋体"/>
                <w:sz w:val="24"/>
                <w:szCs w:val="24"/>
              </w:rPr>
              <w:t>4. 采用高效阵列红外灯，使用寿命长，红外照射距离最远可达≥30 m</w:t>
            </w:r>
            <w:r>
              <w:rPr>
                <w:rFonts w:hint="eastAsia" w:ascii="宋体" w:hAnsi="宋体" w:eastAsia="宋体" w:cs="宋体"/>
                <w:sz w:val="24"/>
                <w:szCs w:val="24"/>
              </w:rPr>
              <w:br w:type="textWrapping"/>
            </w:r>
            <w:r>
              <w:rPr>
                <w:rFonts w:hint="eastAsia" w:ascii="宋体" w:hAnsi="宋体" w:eastAsia="宋体" w:cs="宋体"/>
                <w:sz w:val="24"/>
                <w:szCs w:val="24"/>
              </w:rPr>
              <w:t>5. 支持PoE供电</w:t>
            </w:r>
            <w:r>
              <w:rPr>
                <w:rFonts w:hint="eastAsia" w:ascii="宋体" w:hAnsi="宋体" w:eastAsia="宋体" w:cs="宋体"/>
                <w:sz w:val="24"/>
                <w:szCs w:val="24"/>
              </w:rPr>
              <w:br w:type="textWrapping"/>
            </w:r>
            <w:r>
              <w:rPr>
                <w:rFonts w:hint="eastAsia" w:ascii="宋体" w:hAnsi="宋体" w:eastAsia="宋体" w:cs="宋体"/>
                <w:sz w:val="24"/>
                <w:szCs w:val="24"/>
              </w:rPr>
              <w:t>6. 符合≥IP67，≥IK10，可靠性高</w:t>
            </w:r>
          </w:p>
        </w:tc>
        <w:tc>
          <w:tcPr>
            <w:tcW w:w="1067"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4D30E5E4">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139</w:t>
            </w:r>
          </w:p>
        </w:tc>
        <w:tc>
          <w:tcPr>
            <w:tcW w:w="856" w:type="dxa"/>
            <w:tcBorders>
              <w:top w:val="single" w:color="000000" w:sz="4" w:space="0"/>
              <w:left w:val="single" w:color="000000" w:sz="4" w:space="0"/>
              <w:bottom w:val="single" w:color="000000" w:sz="4" w:space="0"/>
              <w:right w:val="double" w:color="000000" w:sz="4" w:space="0"/>
            </w:tcBorders>
            <w:tcMar>
              <w:top w:w="0" w:type="dxa"/>
              <w:left w:w="105" w:type="dxa"/>
              <w:bottom w:w="0" w:type="dxa"/>
              <w:right w:w="105" w:type="dxa"/>
            </w:tcMar>
            <w:vAlign w:val="top"/>
          </w:tcPr>
          <w:p w14:paraId="4D8D3823">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台</w:t>
            </w:r>
          </w:p>
        </w:tc>
      </w:tr>
      <w:tr w14:paraId="62A7528C">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74" w:type="dxa"/>
            <w:tcBorders>
              <w:top w:val="single" w:color="000000" w:sz="4" w:space="0"/>
              <w:left w:val="double" w:color="000000" w:sz="4" w:space="0"/>
              <w:bottom w:val="single" w:color="000000" w:sz="4" w:space="0"/>
              <w:right w:val="single" w:color="000000" w:sz="4" w:space="0"/>
            </w:tcBorders>
            <w:tcMar>
              <w:top w:w="0" w:type="dxa"/>
              <w:left w:w="105" w:type="dxa"/>
              <w:bottom w:w="0" w:type="dxa"/>
              <w:right w:w="105" w:type="dxa"/>
            </w:tcMar>
            <w:vAlign w:val="top"/>
          </w:tcPr>
          <w:p w14:paraId="332FFE9F">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1.2</w:t>
            </w:r>
          </w:p>
        </w:tc>
        <w:tc>
          <w:tcPr>
            <w:tcW w:w="950"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05F6998B">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400万星光级网络枪机(评审项147)</w:t>
            </w:r>
          </w:p>
        </w:tc>
        <w:tc>
          <w:tcPr>
            <w:tcW w:w="4655"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55865B39">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1. 支持分辨率不小于2560×1440@25fps，分辨力不小于1500TVL。</w:t>
            </w:r>
            <w:r>
              <w:rPr>
                <w:rFonts w:hint="eastAsia" w:ascii="宋体" w:hAnsi="宋体" w:eastAsia="宋体" w:cs="宋体"/>
                <w:sz w:val="24"/>
                <w:szCs w:val="24"/>
              </w:rPr>
              <w:br w:type="textWrapping"/>
            </w:r>
            <w:r>
              <w:rPr>
                <w:rFonts w:hint="eastAsia" w:ascii="宋体" w:hAnsi="宋体" w:eastAsia="宋体" w:cs="宋体"/>
                <w:sz w:val="24"/>
                <w:szCs w:val="24"/>
              </w:rPr>
              <w:t>2. 最低照度彩色：≤0.0002 lx，黑白: ≤0.0001 lx，最大亮度鉴别等级（灰度等级）不小于11级。</w:t>
            </w:r>
            <w:r>
              <w:rPr>
                <w:rFonts w:hint="eastAsia" w:ascii="宋体" w:hAnsi="宋体" w:eastAsia="宋体" w:cs="宋体"/>
                <w:sz w:val="24"/>
                <w:szCs w:val="24"/>
              </w:rPr>
              <w:br w:type="textWrapping"/>
            </w:r>
            <w:r>
              <w:rPr>
                <w:rFonts w:hint="eastAsia" w:ascii="宋体" w:hAnsi="宋体" w:eastAsia="宋体" w:cs="宋体"/>
                <w:sz w:val="24"/>
                <w:szCs w:val="24"/>
              </w:rPr>
              <w:t>3. 支持H.264、H.265、MJPEG视频编码格式，且具有High Profile编码能力。</w:t>
            </w:r>
            <w:r>
              <w:rPr>
                <w:rFonts w:hint="eastAsia" w:ascii="宋体" w:hAnsi="宋体" w:eastAsia="宋体" w:cs="宋体"/>
                <w:sz w:val="24"/>
                <w:szCs w:val="24"/>
              </w:rPr>
              <w:br w:type="textWrapping"/>
            </w:r>
            <w:r>
              <w:rPr>
                <w:rFonts w:hint="eastAsia" w:ascii="宋体" w:hAnsi="宋体" w:eastAsia="宋体" w:cs="宋体"/>
                <w:sz w:val="24"/>
                <w:szCs w:val="24"/>
              </w:rPr>
              <w:t>4. 内置GPU芯片。</w:t>
            </w:r>
            <w:r>
              <w:rPr>
                <w:rFonts w:hint="eastAsia" w:ascii="宋体" w:hAnsi="宋体" w:eastAsia="宋体" w:cs="宋体"/>
                <w:sz w:val="24"/>
                <w:szCs w:val="24"/>
              </w:rPr>
              <w:br w:type="textWrapping"/>
            </w:r>
            <w:r>
              <w:rPr>
                <w:rFonts w:hint="eastAsia" w:ascii="宋体" w:hAnsi="宋体" w:eastAsia="宋体" w:cs="宋体"/>
                <w:sz w:val="24"/>
                <w:szCs w:val="24"/>
              </w:rPr>
              <w:t>5. 支持检出两眼瞳距40像素点以上的人脸图片。</w:t>
            </w:r>
            <w:r>
              <w:rPr>
                <w:rFonts w:hint="eastAsia" w:ascii="宋体" w:hAnsi="宋体" w:eastAsia="宋体" w:cs="宋体"/>
                <w:sz w:val="24"/>
                <w:szCs w:val="24"/>
              </w:rPr>
              <w:br w:type="textWrapping"/>
            </w:r>
            <w:r>
              <w:rPr>
                <w:rFonts w:hint="eastAsia" w:ascii="宋体" w:hAnsi="宋体" w:eastAsia="宋体" w:cs="宋体"/>
                <w:sz w:val="24"/>
                <w:szCs w:val="24"/>
              </w:rPr>
              <w:t>6. 支持侧脸过滤功能，可过滤上下、左右倾斜角度超过预设值的人脸。</w:t>
            </w:r>
            <w:r>
              <w:rPr>
                <w:rFonts w:hint="eastAsia" w:ascii="宋体" w:hAnsi="宋体" w:eastAsia="宋体" w:cs="宋体"/>
                <w:sz w:val="24"/>
                <w:szCs w:val="24"/>
              </w:rPr>
              <w:br w:type="textWrapping"/>
            </w:r>
            <w:r>
              <w:rPr>
                <w:rFonts w:hint="eastAsia" w:ascii="宋体" w:hAnsi="宋体" w:eastAsia="宋体" w:cs="宋体"/>
                <w:sz w:val="24"/>
                <w:szCs w:val="24"/>
              </w:rPr>
              <w:t>7. 支持宽动态≥120dB。</w:t>
            </w:r>
            <w:r>
              <w:rPr>
                <w:rFonts w:hint="eastAsia" w:ascii="宋体" w:hAnsi="宋体" w:eastAsia="宋体" w:cs="宋体"/>
                <w:sz w:val="24"/>
                <w:szCs w:val="24"/>
              </w:rPr>
              <w:br w:type="textWrapping"/>
            </w:r>
            <w:r>
              <w:rPr>
                <w:rFonts w:hint="eastAsia" w:ascii="宋体" w:hAnsi="宋体" w:eastAsia="宋体" w:cs="宋体"/>
                <w:sz w:val="24"/>
                <w:szCs w:val="24"/>
              </w:rPr>
              <w:t>8. 当进入区域、离开区域、越界侦测或区域入侵报警产生时，可在报警布防时间内联动声音报警和/或白光灯闪烁。</w:t>
            </w:r>
            <w:r>
              <w:rPr>
                <w:rFonts w:hint="eastAsia" w:ascii="宋体" w:hAnsi="宋体" w:eastAsia="宋体" w:cs="宋体"/>
                <w:sz w:val="24"/>
                <w:szCs w:val="24"/>
              </w:rPr>
              <w:br w:type="textWrapping"/>
            </w:r>
            <w:r>
              <w:rPr>
                <w:rFonts w:hint="eastAsia" w:ascii="宋体" w:hAnsi="宋体" w:eastAsia="宋体" w:cs="宋体"/>
                <w:sz w:val="24"/>
                <w:szCs w:val="24"/>
              </w:rPr>
              <w:t>9. 设备具有耀光抑制功能，耀光区域≤1%。</w:t>
            </w:r>
            <w:r>
              <w:rPr>
                <w:rFonts w:hint="eastAsia" w:ascii="宋体" w:hAnsi="宋体" w:eastAsia="宋体" w:cs="宋体"/>
                <w:sz w:val="24"/>
                <w:szCs w:val="24"/>
              </w:rPr>
              <w:br w:type="textWrapping"/>
            </w:r>
            <w:r>
              <w:rPr>
                <w:rFonts w:hint="eastAsia" w:ascii="宋体" w:hAnsi="宋体" w:eastAsia="宋体" w:cs="宋体"/>
                <w:sz w:val="24"/>
                <w:szCs w:val="24"/>
              </w:rPr>
              <w:t>10. 内置≥1个麦克风、≥1个扬声器，≥1个报警输入接口、≥1个报警输出接口、≥1个音频输入接口、≥1个音频输出接口。</w:t>
            </w:r>
            <w:r>
              <w:rPr>
                <w:rFonts w:hint="eastAsia" w:ascii="宋体" w:hAnsi="宋体" w:eastAsia="宋体" w:cs="宋体"/>
                <w:sz w:val="24"/>
                <w:szCs w:val="24"/>
              </w:rPr>
              <w:br w:type="textWrapping"/>
            </w:r>
            <w:r>
              <w:rPr>
                <w:rFonts w:hint="eastAsia" w:ascii="宋体" w:hAnsi="宋体" w:eastAsia="宋体" w:cs="宋体"/>
                <w:sz w:val="24"/>
                <w:szCs w:val="24"/>
              </w:rPr>
              <w:t>11. 不低于IP67防尘防水等级。</w:t>
            </w:r>
          </w:p>
        </w:tc>
        <w:tc>
          <w:tcPr>
            <w:tcW w:w="1067"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520F3FFF">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11</w:t>
            </w:r>
          </w:p>
        </w:tc>
        <w:tc>
          <w:tcPr>
            <w:tcW w:w="856" w:type="dxa"/>
            <w:tcBorders>
              <w:top w:val="single" w:color="000000" w:sz="4" w:space="0"/>
              <w:left w:val="single" w:color="000000" w:sz="4" w:space="0"/>
              <w:bottom w:val="single" w:color="000000" w:sz="4" w:space="0"/>
              <w:right w:val="double" w:color="000000" w:sz="4" w:space="0"/>
            </w:tcBorders>
            <w:tcMar>
              <w:top w:w="0" w:type="dxa"/>
              <w:left w:w="105" w:type="dxa"/>
              <w:bottom w:w="0" w:type="dxa"/>
              <w:right w:w="105" w:type="dxa"/>
            </w:tcMar>
            <w:vAlign w:val="top"/>
          </w:tcPr>
          <w:p w14:paraId="25A689C8">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台</w:t>
            </w:r>
          </w:p>
        </w:tc>
      </w:tr>
      <w:tr w14:paraId="20A80565">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74" w:type="dxa"/>
            <w:tcBorders>
              <w:top w:val="single" w:color="000000" w:sz="4" w:space="0"/>
              <w:left w:val="double" w:color="000000" w:sz="4" w:space="0"/>
              <w:bottom w:val="single" w:color="000000" w:sz="4" w:space="0"/>
              <w:right w:val="single" w:color="000000" w:sz="4" w:space="0"/>
            </w:tcBorders>
            <w:tcMar>
              <w:top w:w="0" w:type="dxa"/>
              <w:left w:w="105" w:type="dxa"/>
              <w:bottom w:w="0" w:type="dxa"/>
              <w:right w:w="105" w:type="dxa"/>
            </w:tcMar>
            <w:vAlign w:val="top"/>
          </w:tcPr>
          <w:p w14:paraId="1ABB5A8B">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1.3</w:t>
            </w:r>
          </w:p>
        </w:tc>
        <w:tc>
          <w:tcPr>
            <w:tcW w:w="950"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4B4DF50A">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摄像机支架(评审项148)</w:t>
            </w:r>
          </w:p>
        </w:tc>
        <w:tc>
          <w:tcPr>
            <w:tcW w:w="4655"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794FFE9C">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外观颜色：白色；承重：1.0kg；安装方式：壁装。</w:t>
            </w:r>
          </w:p>
        </w:tc>
        <w:tc>
          <w:tcPr>
            <w:tcW w:w="1067"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69F4E35E">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11</w:t>
            </w:r>
          </w:p>
        </w:tc>
        <w:tc>
          <w:tcPr>
            <w:tcW w:w="856" w:type="dxa"/>
            <w:tcBorders>
              <w:top w:val="single" w:color="000000" w:sz="4" w:space="0"/>
              <w:left w:val="single" w:color="000000" w:sz="4" w:space="0"/>
              <w:bottom w:val="single" w:color="000000" w:sz="4" w:space="0"/>
              <w:right w:val="double" w:color="000000" w:sz="4" w:space="0"/>
            </w:tcBorders>
            <w:tcMar>
              <w:top w:w="0" w:type="dxa"/>
              <w:left w:w="105" w:type="dxa"/>
              <w:bottom w:w="0" w:type="dxa"/>
              <w:right w:w="105" w:type="dxa"/>
            </w:tcMar>
            <w:vAlign w:val="top"/>
          </w:tcPr>
          <w:p w14:paraId="49724910">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台</w:t>
            </w:r>
          </w:p>
        </w:tc>
      </w:tr>
      <w:tr w14:paraId="337C7405">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74" w:type="dxa"/>
            <w:tcBorders>
              <w:top w:val="single" w:color="000000" w:sz="4" w:space="0"/>
              <w:left w:val="double" w:color="000000" w:sz="4" w:space="0"/>
              <w:bottom w:val="single" w:color="000000" w:sz="4" w:space="0"/>
              <w:right w:val="single" w:color="000000" w:sz="4" w:space="0"/>
            </w:tcBorders>
            <w:tcMar>
              <w:top w:w="0" w:type="dxa"/>
              <w:left w:w="105" w:type="dxa"/>
              <w:bottom w:w="0" w:type="dxa"/>
              <w:right w:w="105" w:type="dxa"/>
            </w:tcMar>
            <w:vAlign w:val="top"/>
          </w:tcPr>
          <w:p w14:paraId="203EB14C">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1.4</w:t>
            </w:r>
          </w:p>
        </w:tc>
        <w:tc>
          <w:tcPr>
            <w:tcW w:w="950"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567262EB">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24口POE交换机(评审项149)</w:t>
            </w:r>
          </w:p>
        </w:tc>
        <w:tc>
          <w:tcPr>
            <w:tcW w:w="4655"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315DF7DC">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1. 可用千兆电接口数量≥24个，千兆光接口数量≥4个，支持自适应802.3af/at供电标准，整机最大输出功率≥370W；支持独立的console管理串口</w:t>
            </w:r>
            <w:r>
              <w:rPr>
                <w:rFonts w:hint="eastAsia" w:ascii="宋体" w:hAnsi="宋体" w:eastAsia="宋体" w:cs="宋体"/>
                <w:sz w:val="24"/>
                <w:szCs w:val="24"/>
              </w:rPr>
              <w:br w:type="textWrapping"/>
            </w:r>
            <w:r>
              <w:rPr>
                <w:rFonts w:hint="eastAsia" w:ascii="宋体" w:hAnsi="宋体" w:eastAsia="宋体" w:cs="宋体"/>
                <w:sz w:val="24"/>
                <w:szCs w:val="24"/>
              </w:rPr>
              <w:t>2. 交换容量≥336Gbps，包转发率≥78Mpps</w:t>
            </w:r>
            <w:r>
              <w:rPr>
                <w:rFonts w:hint="eastAsia" w:ascii="宋体" w:hAnsi="宋体" w:eastAsia="宋体" w:cs="宋体"/>
                <w:sz w:val="24"/>
                <w:szCs w:val="24"/>
              </w:rPr>
              <w:br w:type="textWrapping"/>
            </w:r>
            <w:r>
              <w:rPr>
                <w:rFonts w:hint="eastAsia" w:ascii="宋体" w:hAnsi="宋体" w:eastAsia="宋体" w:cs="宋体"/>
                <w:sz w:val="24"/>
                <w:szCs w:val="24"/>
              </w:rPr>
              <w:t>3. 支持基于源MAC地址的、目的MAC的 ACL，支持基于源MAC地址、目的MAC的 流分类</w:t>
            </w:r>
            <w:r>
              <w:rPr>
                <w:rFonts w:hint="eastAsia" w:ascii="宋体" w:hAnsi="宋体" w:eastAsia="宋体" w:cs="宋体"/>
                <w:sz w:val="24"/>
                <w:szCs w:val="24"/>
              </w:rPr>
              <w:br w:type="textWrapping"/>
            </w:r>
            <w:r>
              <w:rPr>
                <w:rFonts w:hint="eastAsia" w:ascii="宋体" w:hAnsi="宋体" w:eastAsia="宋体" w:cs="宋体"/>
                <w:sz w:val="24"/>
                <w:szCs w:val="24"/>
              </w:rPr>
              <w:t>4. 支持通过平台进行区域分组管理，支持设备名称同步、设备名称下发、固件升级、一键免密远程跳转到设备web端、定位到拓扑图显示等操作</w:t>
            </w:r>
            <w:r>
              <w:rPr>
                <w:rFonts w:hint="eastAsia" w:ascii="宋体" w:hAnsi="宋体" w:eastAsia="宋体" w:cs="宋体"/>
                <w:sz w:val="24"/>
                <w:szCs w:val="24"/>
              </w:rPr>
              <w:br w:type="textWrapping"/>
            </w:r>
            <w:r>
              <w:rPr>
                <w:rFonts w:hint="eastAsia" w:ascii="宋体" w:hAnsi="宋体" w:eastAsia="宋体" w:cs="宋体"/>
                <w:sz w:val="24"/>
                <w:szCs w:val="24"/>
              </w:rPr>
              <w:t>5. 支持通过平台进行拓扑可视化配置业务优先；支持在拓扑图上直接选择任意两个设备配置为业务优先保障，系统自动完成相关配置的下发</w:t>
            </w:r>
            <w:r>
              <w:rPr>
                <w:rFonts w:hint="eastAsia" w:ascii="宋体" w:hAnsi="宋体" w:eastAsia="宋体" w:cs="宋体"/>
                <w:sz w:val="24"/>
                <w:szCs w:val="24"/>
              </w:rPr>
              <w:br w:type="textWrapping"/>
            </w:r>
            <w:r>
              <w:rPr>
                <w:rFonts w:hint="eastAsia" w:ascii="宋体" w:hAnsi="宋体" w:eastAsia="宋体" w:cs="宋体"/>
                <w:sz w:val="24"/>
                <w:szCs w:val="24"/>
              </w:rPr>
              <w:t>6. 支持一键生成交付报告：报告包含设备清单、上联设备信息、网络拓扑等； 支持报告查看和导出功能。</w:t>
            </w:r>
            <w:r>
              <w:rPr>
                <w:rFonts w:hint="eastAsia" w:ascii="宋体" w:hAnsi="宋体" w:eastAsia="宋体" w:cs="宋体"/>
                <w:sz w:val="24"/>
                <w:szCs w:val="24"/>
              </w:rPr>
              <w:br w:type="textWrapping"/>
            </w:r>
            <w:r>
              <w:rPr>
                <w:rFonts w:hint="eastAsia" w:ascii="宋体" w:hAnsi="宋体" w:eastAsia="宋体" w:cs="宋体"/>
                <w:sz w:val="24"/>
                <w:szCs w:val="24"/>
              </w:rPr>
              <w:t>7. 支持通过平台进行整网VLAN配置，支持基于拓扑可视化选择划分VLAN的设备端口，支持自动识别网络设备端口对端的物联设备业务类型</w:t>
            </w:r>
          </w:p>
        </w:tc>
        <w:tc>
          <w:tcPr>
            <w:tcW w:w="1067"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61427B78">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11</w:t>
            </w:r>
          </w:p>
        </w:tc>
        <w:tc>
          <w:tcPr>
            <w:tcW w:w="856" w:type="dxa"/>
            <w:tcBorders>
              <w:top w:val="single" w:color="000000" w:sz="4" w:space="0"/>
              <w:left w:val="single" w:color="000000" w:sz="4" w:space="0"/>
              <w:bottom w:val="single" w:color="000000" w:sz="4" w:space="0"/>
              <w:right w:val="double" w:color="000000" w:sz="4" w:space="0"/>
            </w:tcBorders>
            <w:tcMar>
              <w:top w:w="0" w:type="dxa"/>
              <w:left w:w="105" w:type="dxa"/>
              <w:bottom w:w="0" w:type="dxa"/>
              <w:right w:w="105" w:type="dxa"/>
            </w:tcMar>
            <w:vAlign w:val="top"/>
          </w:tcPr>
          <w:p w14:paraId="5D124293">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台</w:t>
            </w:r>
          </w:p>
        </w:tc>
      </w:tr>
      <w:tr w14:paraId="581990C5">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74" w:type="dxa"/>
            <w:tcBorders>
              <w:top w:val="single" w:color="000000" w:sz="4" w:space="0"/>
              <w:left w:val="double" w:color="000000" w:sz="4" w:space="0"/>
              <w:bottom w:val="single" w:color="000000" w:sz="4" w:space="0"/>
              <w:right w:val="single" w:color="000000" w:sz="4" w:space="0"/>
            </w:tcBorders>
            <w:tcMar>
              <w:top w:w="0" w:type="dxa"/>
              <w:left w:w="105" w:type="dxa"/>
              <w:bottom w:w="0" w:type="dxa"/>
              <w:right w:w="105" w:type="dxa"/>
            </w:tcMar>
            <w:vAlign w:val="top"/>
          </w:tcPr>
          <w:p w14:paraId="635D5847">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1.5</w:t>
            </w:r>
          </w:p>
        </w:tc>
        <w:tc>
          <w:tcPr>
            <w:tcW w:w="950"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4ADE0B19">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光纤配线架(评审项150)</w:t>
            </w:r>
          </w:p>
        </w:tc>
        <w:tc>
          <w:tcPr>
            <w:tcW w:w="4655"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01075746">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≥12口光纤配线架</w:t>
            </w:r>
          </w:p>
        </w:tc>
        <w:tc>
          <w:tcPr>
            <w:tcW w:w="1067"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4D582636">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14</w:t>
            </w:r>
          </w:p>
        </w:tc>
        <w:tc>
          <w:tcPr>
            <w:tcW w:w="856" w:type="dxa"/>
            <w:tcBorders>
              <w:top w:val="single" w:color="000000" w:sz="4" w:space="0"/>
              <w:left w:val="single" w:color="000000" w:sz="4" w:space="0"/>
              <w:bottom w:val="single" w:color="000000" w:sz="4" w:space="0"/>
              <w:right w:val="double" w:color="000000" w:sz="4" w:space="0"/>
            </w:tcBorders>
            <w:tcMar>
              <w:top w:w="0" w:type="dxa"/>
              <w:left w:w="105" w:type="dxa"/>
              <w:bottom w:w="0" w:type="dxa"/>
              <w:right w:w="105" w:type="dxa"/>
            </w:tcMar>
            <w:vAlign w:val="top"/>
          </w:tcPr>
          <w:p w14:paraId="2238F736">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台</w:t>
            </w:r>
          </w:p>
        </w:tc>
      </w:tr>
      <w:tr w14:paraId="3C6986D1">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74" w:type="dxa"/>
            <w:tcBorders>
              <w:top w:val="single" w:color="000000" w:sz="4" w:space="0"/>
              <w:left w:val="double" w:color="000000" w:sz="4" w:space="0"/>
              <w:bottom w:val="single" w:color="000000" w:sz="4" w:space="0"/>
              <w:right w:val="single" w:color="000000" w:sz="4" w:space="0"/>
            </w:tcBorders>
            <w:tcMar>
              <w:top w:w="0" w:type="dxa"/>
              <w:left w:w="105" w:type="dxa"/>
              <w:bottom w:w="0" w:type="dxa"/>
              <w:right w:w="105" w:type="dxa"/>
            </w:tcMar>
            <w:vAlign w:val="top"/>
          </w:tcPr>
          <w:p w14:paraId="5C90DC7D">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1.6</w:t>
            </w:r>
          </w:p>
        </w:tc>
        <w:tc>
          <w:tcPr>
            <w:tcW w:w="950"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512B7BA0">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理线器(评审项151)</w:t>
            </w:r>
          </w:p>
        </w:tc>
        <w:tc>
          <w:tcPr>
            <w:tcW w:w="4655"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3EF454CB">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1U理线器</w:t>
            </w:r>
          </w:p>
        </w:tc>
        <w:tc>
          <w:tcPr>
            <w:tcW w:w="1067"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5DE3D798">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14</w:t>
            </w:r>
          </w:p>
        </w:tc>
        <w:tc>
          <w:tcPr>
            <w:tcW w:w="856" w:type="dxa"/>
            <w:tcBorders>
              <w:top w:val="single" w:color="000000" w:sz="4" w:space="0"/>
              <w:left w:val="single" w:color="000000" w:sz="4" w:space="0"/>
              <w:bottom w:val="single" w:color="000000" w:sz="4" w:space="0"/>
              <w:right w:val="double" w:color="000000" w:sz="4" w:space="0"/>
            </w:tcBorders>
            <w:tcMar>
              <w:top w:w="0" w:type="dxa"/>
              <w:left w:w="105" w:type="dxa"/>
              <w:bottom w:w="0" w:type="dxa"/>
              <w:right w:w="105" w:type="dxa"/>
            </w:tcMar>
            <w:vAlign w:val="top"/>
          </w:tcPr>
          <w:p w14:paraId="38102A9B">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台</w:t>
            </w:r>
          </w:p>
        </w:tc>
      </w:tr>
      <w:tr w14:paraId="740CEDB4">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74" w:type="dxa"/>
            <w:tcBorders>
              <w:top w:val="single" w:color="000000" w:sz="4" w:space="0"/>
              <w:left w:val="double" w:color="000000" w:sz="4" w:space="0"/>
              <w:bottom w:val="single" w:color="000000" w:sz="4" w:space="0"/>
              <w:right w:val="single" w:color="000000" w:sz="4" w:space="0"/>
            </w:tcBorders>
            <w:tcMar>
              <w:top w:w="0" w:type="dxa"/>
              <w:left w:w="105" w:type="dxa"/>
              <w:bottom w:w="0" w:type="dxa"/>
              <w:right w:w="105" w:type="dxa"/>
            </w:tcMar>
            <w:vAlign w:val="top"/>
          </w:tcPr>
          <w:p w14:paraId="347DE172">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1.7</w:t>
            </w:r>
          </w:p>
        </w:tc>
        <w:tc>
          <w:tcPr>
            <w:tcW w:w="950"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04CAF950">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光纤跳线(评审项152)</w:t>
            </w:r>
          </w:p>
        </w:tc>
        <w:tc>
          <w:tcPr>
            <w:tcW w:w="4655"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32F4DEF5">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≥1.5米</w:t>
            </w:r>
          </w:p>
        </w:tc>
        <w:tc>
          <w:tcPr>
            <w:tcW w:w="1067"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46E2C825">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30</w:t>
            </w:r>
          </w:p>
        </w:tc>
        <w:tc>
          <w:tcPr>
            <w:tcW w:w="856" w:type="dxa"/>
            <w:tcBorders>
              <w:top w:val="single" w:color="000000" w:sz="4" w:space="0"/>
              <w:left w:val="single" w:color="000000" w:sz="4" w:space="0"/>
              <w:bottom w:val="single" w:color="000000" w:sz="4" w:space="0"/>
              <w:right w:val="double" w:color="000000" w:sz="4" w:space="0"/>
            </w:tcBorders>
            <w:tcMar>
              <w:top w:w="0" w:type="dxa"/>
              <w:left w:w="105" w:type="dxa"/>
              <w:bottom w:w="0" w:type="dxa"/>
              <w:right w:w="105" w:type="dxa"/>
            </w:tcMar>
            <w:vAlign w:val="top"/>
          </w:tcPr>
          <w:p w14:paraId="483F9556">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条</w:t>
            </w:r>
          </w:p>
        </w:tc>
      </w:tr>
      <w:tr w14:paraId="2044952B">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74" w:type="dxa"/>
            <w:tcBorders>
              <w:top w:val="single" w:color="000000" w:sz="4" w:space="0"/>
              <w:left w:val="double" w:color="000000" w:sz="4" w:space="0"/>
              <w:bottom w:val="single" w:color="000000" w:sz="4" w:space="0"/>
              <w:right w:val="single" w:color="000000" w:sz="4" w:space="0"/>
            </w:tcBorders>
            <w:tcMar>
              <w:top w:w="0" w:type="dxa"/>
              <w:left w:w="105" w:type="dxa"/>
              <w:bottom w:w="0" w:type="dxa"/>
              <w:right w:w="105" w:type="dxa"/>
            </w:tcMar>
            <w:vAlign w:val="top"/>
          </w:tcPr>
          <w:p w14:paraId="0E6EACF7">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1.8</w:t>
            </w:r>
          </w:p>
        </w:tc>
        <w:tc>
          <w:tcPr>
            <w:tcW w:w="950"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7DBE1E18">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尾纤(评审项153)</w:t>
            </w:r>
          </w:p>
        </w:tc>
        <w:tc>
          <w:tcPr>
            <w:tcW w:w="4655"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11372B37">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≥1.5米</w:t>
            </w:r>
          </w:p>
        </w:tc>
        <w:tc>
          <w:tcPr>
            <w:tcW w:w="1067"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5BB98621">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152</w:t>
            </w:r>
          </w:p>
        </w:tc>
        <w:tc>
          <w:tcPr>
            <w:tcW w:w="856" w:type="dxa"/>
            <w:tcBorders>
              <w:top w:val="single" w:color="000000" w:sz="4" w:space="0"/>
              <w:left w:val="single" w:color="000000" w:sz="4" w:space="0"/>
              <w:bottom w:val="single" w:color="000000" w:sz="4" w:space="0"/>
              <w:right w:val="double" w:color="000000" w:sz="4" w:space="0"/>
            </w:tcBorders>
            <w:tcMar>
              <w:top w:w="0" w:type="dxa"/>
              <w:left w:w="105" w:type="dxa"/>
              <w:bottom w:w="0" w:type="dxa"/>
              <w:right w:w="105" w:type="dxa"/>
            </w:tcMar>
            <w:vAlign w:val="top"/>
          </w:tcPr>
          <w:p w14:paraId="606680E3">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条</w:t>
            </w:r>
          </w:p>
        </w:tc>
      </w:tr>
      <w:tr w14:paraId="1684C4D6">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74" w:type="dxa"/>
            <w:tcBorders>
              <w:top w:val="single" w:color="000000" w:sz="4" w:space="0"/>
              <w:left w:val="double" w:color="000000" w:sz="4" w:space="0"/>
              <w:bottom w:val="single" w:color="000000" w:sz="4" w:space="0"/>
              <w:right w:val="single" w:color="000000" w:sz="4" w:space="0"/>
            </w:tcBorders>
            <w:tcMar>
              <w:top w:w="0" w:type="dxa"/>
              <w:left w:w="105" w:type="dxa"/>
              <w:bottom w:w="0" w:type="dxa"/>
              <w:right w:w="105" w:type="dxa"/>
            </w:tcMar>
            <w:vAlign w:val="top"/>
          </w:tcPr>
          <w:p w14:paraId="71110396">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1.9</w:t>
            </w:r>
          </w:p>
        </w:tc>
        <w:tc>
          <w:tcPr>
            <w:tcW w:w="950"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60F045A7">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耦合器(评审项154)</w:t>
            </w:r>
          </w:p>
        </w:tc>
        <w:tc>
          <w:tcPr>
            <w:tcW w:w="4655"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10174BAB">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耦合器</w:t>
            </w:r>
          </w:p>
        </w:tc>
        <w:tc>
          <w:tcPr>
            <w:tcW w:w="1067"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726DE5A2">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152</w:t>
            </w:r>
          </w:p>
        </w:tc>
        <w:tc>
          <w:tcPr>
            <w:tcW w:w="856" w:type="dxa"/>
            <w:tcBorders>
              <w:top w:val="single" w:color="000000" w:sz="4" w:space="0"/>
              <w:left w:val="single" w:color="000000" w:sz="4" w:space="0"/>
              <w:bottom w:val="single" w:color="000000" w:sz="4" w:space="0"/>
              <w:right w:val="double" w:color="000000" w:sz="4" w:space="0"/>
            </w:tcBorders>
            <w:tcMar>
              <w:top w:w="0" w:type="dxa"/>
              <w:left w:w="105" w:type="dxa"/>
              <w:bottom w:w="0" w:type="dxa"/>
              <w:right w:w="105" w:type="dxa"/>
            </w:tcMar>
            <w:vAlign w:val="top"/>
          </w:tcPr>
          <w:p w14:paraId="7AD1DF73">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个</w:t>
            </w:r>
          </w:p>
        </w:tc>
      </w:tr>
      <w:tr w14:paraId="0BDE9C42">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74" w:type="dxa"/>
            <w:tcBorders>
              <w:top w:val="single" w:color="000000" w:sz="4" w:space="0"/>
              <w:left w:val="double" w:color="000000" w:sz="4" w:space="0"/>
              <w:bottom w:val="single" w:color="000000" w:sz="4" w:space="0"/>
              <w:right w:val="single" w:color="000000" w:sz="4" w:space="0"/>
            </w:tcBorders>
            <w:tcMar>
              <w:top w:w="0" w:type="dxa"/>
              <w:left w:w="105" w:type="dxa"/>
              <w:bottom w:w="0" w:type="dxa"/>
              <w:right w:w="105" w:type="dxa"/>
            </w:tcMar>
            <w:vAlign w:val="top"/>
          </w:tcPr>
          <w:p w14:paraId="300E6F98">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1.10</w:t>
            </w:r>
          </w:p>
        </w:tc>
        <w:tc>
          <w:tcPr>
            <w:tcW w:w="950"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7C75E590">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熔接(评审项155)</w:t>
            </w:r>
          </w:p>
        </w:tc>
        <w:tc>
          <w:tcPr>
            <w:tcW w:w="4655"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14131478">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光纤熔纤</w:t>
            </w:r>
          </w:p>
        </w:tc>
        <w:tc>
          <w:tcPr>
            <w:tcW w:w="1067"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14E015DA">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152</w:t>
            </w:r>
          </w:p>
        </w:tc>
        <w:tc>
          <w:tcPr>
            <w:tcW w:w="856" w:type="dxa"/>
            <w:tcBorders>
              <w:top w:val="single" w:color="000000" w:sz="4" w:space="0"/>
              <w:left w:val="single" w:color="000000" w:sz="4" w:space="0"/>
              <w:bottom w:val="single" w:color="000000" w:sz="4" w:space="0"/>
              <w:right w:val="double" w:color="000000" w:sz="4" w:space="0"/>
            </w:tcBorders>
            <w:tcMar>
              <w:top w:w="0" w:type="dxa"/>
              <w:left w:w="105" w:type="dxa"/>
              <w:bottom w:w="0" w:type="dxa"/>
              <w:right w:w="105" w:type="dxa"/>
            </w:tcMar>
            <w:vAlign w:val="top"/>
          </w:tcPr>
          <w:p w14:paraId="33901BD8">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芯</w:t>
            </w:r>
          </w:p>
        </w:tc>
      </w:tr>
      <w:tr w14:paraId="4BFC6AE7">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74" w:type="dxa"/>
            <w:tcBorders>
              <w:top w:val="single" w:color="000000" w:sz="4" w:space="0"/>
              <w:left w:val="double" w:color="000000" w:sz="4" w:space="0"/>
              <w:bottom w:val="single" w:color="000000" w:sz="4" w:space="0"/>
              <w:right w:val="single" w:color="000000" w:sz="4" w:space="0"/>
            </w:tcBorders>
            <w:tcMar>
              <w:top w:w="0" w:type="dxa"/>
              <w:left w:w="105" w:type="dxa"/>
              <w:bottom w:w="0" w:type="dxa"/>
              <w:right w:w="105" w:type="dxa"/>
            </w:tcMar>
            <w:vAlign w:val="top"/>
          </w:tcPr>
          <w:p w14:paraId="5B683478">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1.11</w:t>
            </w:r>
          </w:p>
        </w:tc>
        <w:tc>
          <w:tcPr>
            <w:tcW w:w="950"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6AF45A49">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12U壁挂机柜(评审项156)</w:t>
            </w:r>
          </w:p>
        </w:tc>
        <w:tc>
          <w:tcPr>
            <w:tcW w:w="4655"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62778707">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12U壁挂机柜</w:t>
            </w:r>
          </w:p>
        </w:tc>
        <w:tc>
          <w:tcPr>
            <w:tcW w:w="1067"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58D6DF05">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11</w:t>
            </w:r>
          </w:p>
        </w:tc>
        <w:tc>
          <w:tcPr>
            <w:tcW w:w="856" w:type="dxa"/>
            <w:tcBorders>
              <w:top w:val="single" w:color="000000" w:sz="4" w:space="0"/>
              <w:left w:val="single" w:color="000000" w:sz="4" w:space="0"/>
              <w:bottom w:val="single" w:color="000000" w:sz="4" w:space="0"/>
              <w:right w:val="double" w:color="000000" w:sz="4" w:space="0"/>
            </w:tcBorders>
            <w:tcMar>
              <w:top w:w="0" w:type="dxa"/>
              <w:left w:w="105" w:type="dxa"/>
              <w:bottom w:w="0" w:type="dxa"/>
              <w:right w:w="105" w:type="dxa"/>
            </w:tcMar>
            <w:vAlign w:val="top"/>
          </w:tcPr>
          <w:p w14:paraId="7A9C792A">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台</w:t>
            </w:r>
          </w:p>
        </w:tc>
      </w:tr>
      <w:tr w14:paraId="0A068B3F">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74" w:type="dxa"/>
            <w:tcBorders>
              <w:top w:val="single" w:color="000000" w:sz="4" w:space="0"/>
              <w:left w:val="double" w:color="000000" w:sz="4" w:space="0"/>
              <w:bottom w:val="single" w:color="000000" w:sz="4" w:space="0"/>
              <w:right w:val="single" w:color="000000" w:sz="4" w:space="0"/>
            </w:tcBorders>
            <w:tcMar>
              <w:top w:w="0" w:type="dxa"/>
              <w:left w:w="105" w:type="dxa"/>
              <w:bottom w:w="0" w:type="dxa"/>
              <w:right w:w="105" w:type="dxa"/>
            </w:tcMar>
            <w:vAlign w:val="top"/>
          </w:tcPr>
          <w:p w14:paraId="6D3316B6">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1.12</w:t>
            </w:r>
          </w:p>
        </w:tc>
        <w:tc>
          <w:tcPr>
            <w:tcW w:w="950"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0B89B2F3">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室外防水安防设备箱(评审项157)</w:t>
            </w:r>
          </w:p>
        </w:tc>
        <w:tc>
          <w:tcPr>
            <w:tcW w:w="4655"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0BFD9F50">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室外防水箱，含箱内轨道、空开、接地线等安装配件</w:t>
            </w:r>
          </w:p>
        </w:tc>
        <w:tc>
          <w:tcPr>
            <w:tcW w:w="1067"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12662370">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1</w:t>
            </w:r>
          </w:p>
        </w:tc>
        <w:tc>
          <w:tcPr>
            <w:tcW w:w="856" w:type="dxa"/>
            <w:tcBorders>
              <w:top w:val="single" w:color="000000" w:sz="4" w:space="0"/>
              <w:left w:val="single" w:color="000000" w:sz="4" w:space="0"/>
              <w:bottom w:val="single" w:color="000000" w:sz="4" w:space="0"/>
              <w:right w:val="double" w:color="000000" w:sz="4" w:space="0"/>
            </w:tcBorders>
            <w:tcMar>
              <w:top w:w="0" w:type="dxa"/>
              <w:left w:w="105" w:type="dxa"/>
              <w:bottom w:w="0" w:type="dxa"/>
              <w:right w:w="105" w:type="dxa"/>
            </w:tcMar>
            <w:vAlign w:val="top"/>
          </w:tcPr>
          <w:p w14:paraId="778C0E49">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个</w:t>
            </w:r>
          </w:p>
        </w:tc>
      </w:tr>
      <w:tr w14:paraId="7BF2DCF5">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74" w:type="dxa"/>
            <w:tcBorders>
              <w:top w:val="single" w:color="000000" w:sz="4" w:space="0"/>
              <w:left w:val="double" w:color="000000" w:sz="4" w:space="0"/>
              <w:bottom w:val="single" w:color="000000" w:sz="4" w:space="0"/>
              <w:right w:val="single" w:color="000000" w:sz="4" w:space="0"/>
            </w:tcBorders>
            <w:tcMar>
              <w:top w:w="0" w:type="dxa"/>
              <w:left w:w="105" w:type="dxa"/>
              <w:bottom w:w="0" w:type="dxa"/>
              <w:right w:w="105" w:type="dxa"/>
            </w:tcMar>
            <w:vAlign w:val="top"/>
          </w:tcPr>
          <w:p w14:paraId="071DFA72">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1.13</w:t>
            </w:r>
          </w:p>
        </w:tc>
        <w:tc>
          <w:tcPr>
            <w:tcW w:w="950"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21990AC7">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6类非屏蔽双绞线(评审项158)</w:t>
            </w:r>
          </w:p>
        </w:tc>
        <w:tc>
          <w:tcPr>
            <w:tcW w:w="4655"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038998CE">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UTP6</w:t>
            </w:r>
          </w:p>
        </w:tc>
        <w:tc>
          <w:tcPr>
            <w:tcW w:w="1067"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48CC2B31">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8000</w:t>
            </w:r>
          </w:p>
        </w:tc>
        <w:tc>
          <w:tcPr>
            <w:tcW w:w="856" w:type="dxa"/>
            <w:tcBorders>
              <w:top w:val="single" w:color="000000" w:sz="4" w:space="0"/>
              <w:left w:val="single" w:color="000000" w:sz="4" w:space="0"/>
              <w:bottom w:val="single" w:color="000000" w:sz="4" w:space="0"/>
              <w:right w:val="double" w:color="000000" w:sz="4" w:space="0"/>
            </w:tcBorders>
            <w:tcMar>
              <w:top w:w="0" w:type="dxa"/>
              <w:left w:w="105" w:type="dxa"/>
              <w:bottom w:w="0" w:type="dxa"/>
              <w:right w:w="105" w:type="dxa"/>
            </w:tcMar>
            <w:vAlign w:val="top"/>
          </w:tcPr>
          <w:p w14:paraId="0328657E">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米</w:t>
            </w:r>
          </w:p>
        </w:tc>
      </w:tr>
      <w:tr w14:paraId="5ABB3781">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74" w:type="dxa"/>
            <w:tcBorders>
              <w:top w:val="single" w:color="000000" w:sz="4" w:space="0"/>
              <w:left w:val="double" w:color="000000" w:sz="4" w:space="0"/>
              <w:bottom w:val="single" w:color="000000" w:sz="4" w:space="0"/>
              <w:right w:val="single" w:color="000000" w:sz="4" w:space="0"/>
            </w:tcBorders>
            <w:tcMar>
              <w:top w:w="0" w:type="dxa"/>
              <w:left w:w="105" w:type="dxa"/>
              <w:bottom w:w="0" w:type="dxa"/>
              <w:right w:w="105" w:type="dxa"/>
            </w:tcMar>
            <w:vAlign w:val="top"/>
          </w:tcPr>
          <w:p w14:paraId="22873A80">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1.14</w:t>
            </w:r>
          </w:p>
        </w:tc>
        <w:tc>
          <w:tcPr>
            <w:tcW w:w="950"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78127FAF">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4芯单模光缆(评审项159)</w:t>
            </w:r>
          </w:p>
        </w:tc>
        <w:tc>
          <w:tcPr>
            <w:tcW w:w="4655"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5B40B97D">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国标  GYXTW 4芯单模</w:t>
            </w:r>
          </w:p>
        </w:tc>
        <w:tc>
          <w:tcPr>
            <w:tcW w:w="1067"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3B9FA06B">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550</w:t>
            </w:r>
          </w:p>
        </w:tc>
        <w:tc>
          <w:tcPr>
            <w:tcW w:w="856" w:type="dxa"/>
            <w:tcBorders>
              <w:top w:val="single" w:color="000000" w:sz="4" w:space="0"/>
              <w:left w:val="single" w:color="000000" w:sz="4" w:space="0"/>
              <w:bottom w:val="single" w:color="000000" w:sz="4" w:space="0"/>
              <w:right w:val="double" w:color="000000" w:sz="4" w:space="0"/>
            </w:tcBorders>
            <w:tcMar>
              <w:top w:w="0" w:type="dxa"/>
              <w:left w:w="105" w:type="dxa"/>
              <w:bottom w:w="0" w:type="dxa"/>
              <w:right w:w="105" w:type="dxa"/>
            </w:tcMar>
            <w:vAlign w:val="top"/>
          </w:tcPr>
          <w:p w14:paraId="073C67FC">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米</w:t>
            </w:r>
          </w:p>
        </w:tc>
      </w:tr>
      <w:tr w14:paraId="73A92B7D">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74" w:type="dxa"/>
            <w:tcBorders>
              <w:top w:val="single" w:color="000000" w:sz="4" w:space="0"/>
              <w:left w:val="double" w:color="000000" w:sz="4" w:space="0"/>
              <w:bottom w:val="single" w:color="000000" w:sz="4" w:space="0"/>
              <w:right w:val="single" w:color="000000" w:sz="4" w:space="0"/>
            </w:tcBorders>
            <w:tcMar>
              <w:top w:w="0" w:type="dxa"/>
              <w:left w:w="105" w:type="dxa"/>
              <w:bottom w:w="0" w:type="dxa"/>
              <w:right w:w="105" w:type="dxa"/>
            </w:tcMar>
            <w:vAlign w:val="top"/>
          </w:tcPr>
          <w:p w14:paraId="1A252F1C">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1.15</w:t>
            </w:r>
          </w:p>
        </w:tc>
        <w:tc>
          <w:tcPr>
            <w:tcW w:w="950"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1BE9A1E4">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8芯单模光缆(评审项160)</w:t>
            </w:r>
          </w:p>
        </w:tc>
        <w:tc>
          <w:tcPr>
            <w:tcW w:w="4655"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7F857A3C">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国标  GYXTW 8芯单模</w:t>
            </w:r>
          </w:p>
        </w:tc>
        <w:tc>
          <w:tcPr>
            <w:tcW w:w="1067"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2B998988">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300</w:t>
            </w:r>
          </w:p>
        </w:tc>
        <w:tc>
          <w:tcPr>
            <w:tcW w:w="856" w:type="dxa"/>
            <w:tcBorders>
              <w:top w:val="single" w:color="000000" w:sz="4" w:space="0"/>
              <w:left w:val="single" w:color="000000" w:sz="4" w:space="0"/>
              <w:bottom w:val="single" w:color="000000" w:sz="4" w:space="0"/>
              <w:right w:val="double" w:color="000000" w:sz="4" w:space="0"/>
            </w:tcBorders>
            <w:tcMar>
              <w:top w:w="0" w:type="dxa"/>
              <w:left w:w="105" w:type="dxa"/>
              <w:bottom w:w="0" w:type="dxa"/>
              <w:right w:w="105" w:type="dxa"/>
            </w:tcMar>
            <w:vAlign w:val="top"/>
          </w:tcPr>
          <w:p w14:paraId="33B2B2F4">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米</w:t>
            </w:r>
          </w:p>
        </w:tc>
      </w:tr>
      <w:tr w14:paraId="6D61AEFC">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74" w:type="dxa"/>
            <w:tcBorders>
              <w:top w:val="single" w:color="000000" w:sz="4" w:space="0"/>
              <w:left w:val="double" w:color="000000" w:sz="4" w:space="0"/>
              <w:bottom w:val="single" w:color="000000" w:sz="4" w:space="0"/>
              <w:right w:val="single" w:color="000000" w:sz="4" w:space="0"/>
            </w:tcBorders>
            <w:tcMar>
              <w:top w:w="0" w:type="dxa"/>
              <w:left w:w="105" w:type="dxa"/>
              <w:bottom w:w="0" w:type="dxa"/>
              <w:right w:w="105" w:type="dxa"/>
            </w:tcMar>
            <w:vAlign w:val="top"/>
          </w:tcPr>
          <w:p w14:paraId="58117EC7">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1.16</w:t>
            </w:r>
          </w:p>
        </w:tc>
        <w:tc>
          <w:tcPr>
            <w:tcW w:w="950"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1295CEBA">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主干电源线(评审项161)</w:t>
            </w:r>
          </w:p>
        </w:tc>
        <w:tc>
          <w:tcPr>
            <w:tcW w:w="4655"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6D70F406">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YJV3*2.5</w:t>
            </w:r>
          </w:p>
        </w:tc>
        <w:tc>
          <w:tcPr>
            <w:tcW w:w="1067"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1CEC4275">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350</w:t>
            </w:r>
          </w:p>
        </w:tc>
        <w:tc>
          <w:tcPr>
            <w:tcW w:w="856" w:type="dxa"/>
            <w:tcBorders>
              <w:top w:val="single" w:color="000000" w:sz="4" w:space="0"/>
              <w:left w:val="single" w:color="000000" w:sz="4" w:space="0"/>
              <w:bottom w:val="single" w:color="000000" w:sz="4" w:space="0"/>
              <w:right w:val="double" w:color="000000" w:sz="4" w:space="0"/>
            </w:tcBorders>
            <w:tcMar>
              <w:top w:w="0" w:type="dxa"/>
              <w:left w:w="105" w:type="dxa"/>
              <w:bottom w:w="0" w:type="dxa"/>
              <w:right w:w="105" w:type="dxa"/>
            </w:tcMar>
            <w:vAlign w:val="top"/>
          </w:tcPr>
          <w:p w14:paraId="0FF65277">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米</w:t>
            </w:r>
          </w:p>
        </w:tc>
      </w:tr>
      <w:tr w14:paraId="005ACD22">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74" w:type="dxa"/>
            <w:tcBorders>
              <w:top w:val="single" w:color="000000" w:sz="4" w:space="0"/>
              <w:left w:val="double" w:color="000000" w:sz="4" w:space="0"/>
              <w:bottom w:val="single" w:color="000000" w:sz="4" w:space="0"/>
              <w:right w:val="single" w:color="000000" w:sz="4" w:space="0"/>
            </w:tcBorders>
            <w:tcMar>
              <w:top w:w="0" w:type="dxa"/>
              <w:left w:w="105" w:type="dxa"/>
              <w:bottom w:w="0" w:type="dxa"/>
              <w:right w:w="105" w:type="dxa"/>
            </w:tcMar>
            <w:vAlign w:val="top"/>
          </w:tcPr>
          <w:p w14:paraId="49C6A9ED">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1.17</w:t>
            </w:r>
          </w:p>
        </w:tc>
        <w:tc>
          <w:tcPr>
            <w:tcW w:w="950"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386E67D4">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PVC25(评审项162)</w:t>
            </w:r>
          </w:p>
        </w:tc>
        <w:tc>
          <w:tcPr>
            <w:tcW w:w="4655"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4BE2A0AE">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DN25</w:t>
            </w:r>
          </w:p>
        </w:tc>
        <w:tc>
          <w:tcPr>
            <w:tcW w:w="1067"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1ED85A4B">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3500</w:t>
            </w:r>
          </w:p>
        </w:tc>
        <w:tc>
          <w:tcPr>
            <w:tcW w:w="856" w:type="dxa"/>
            <w:tcBorders>
              <w:top w:val="single" w:color="000000" w:sz="4" w:space="0"/>
              <w:left w:val="single" w:color="000000" w:sz="4" w:space="0"/>
              <w:bottom w:val="single" w:color="000000" w:sz="4" w:space="0"/>
              <w:right w:val="double" w:color="000000" w:sz="4" w:space="0"/>
            </w:tcBorders>
            <w:tcMar>
              <w:top w:w="0" w:type="dxa"/>
              <w:left w:w="105" w:type="dxa"/>
              <w:bottom w:w="0" w:type="dxa"/>
              <w:right w:w="105" w:type="dxa"/>
            </w:tcMar>
            <w:vAlign w:val="top"/>
          </w:tcPr>
          <w:p w14:paraId="6EB7D652">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米</w:t>
            </w:r>
          </w:p>
        </w:tc>
      </w:tr>
      <w:tr w14:paraId="201F4359">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74" w:type="dxa"/>
            <w:tcBorders>
              <w:top w:val="single" w:color="000000" w:sz="4" w:space="0"/>
              <w:left w:val="double" w:color="000000" w:sz="4" w:space="0"/>
              <w:bottom w:val="single" w:color="000000" w:sz="4" w:space="0"/>
              <w:right w:val="single" w:color="000000" w:sz="4" w:space="0"/>
            </w:tcBorders>
            <w:tcMar>
              <w:top w:w="0" w:type="dxa"/>
              <w:left w:w="105" w:type="dxa"/>
              <w:bottom w:w="0" w:type="dxa"/>
              <w:right w:w="105" w:type="dxa"/>
            </w:tcMar>
            <w:vAlign w:val="top"/>
          </w:tcPr>
          <w:p w14:paraId="46070EA5">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1.18</w:t>
            </w:r>
          </w:p>
        </w:tc>
        <w:tc>
          <w:tcPr>
            <w:tcW w:w="950"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01142A37">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PVC32(评审项163)</w:t>
            </w:r>
          </w:p>
        </w:tc>
        <w:tc>
          <w:tcPr>
            <w:tcW w:w="4655"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50D93742">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DN32</w:t>
            </w:r>
          </w:p>
        </w:tc>
        <w:tc>
          <w:tcPr>
            <w:tcW w:w="1067"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3C36D7CC">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500</w:t>
            </w:r>
          </w:p>
        </w:tc>
        <w:tc>
          <w:tcPr>
            <w:tcW w:w="856" w:type="dxa"/>
            <w:tcBorders>
              <w:top w:val="single" w:color="000000" w:sz="4" w:space="0"/>
              <w:left w:val="single" w:color="000000" w:sz="4" w:space="0"/>
              <w:bottom w:val="single" w:color="000000" w:sz="4" w:space="0"/>
              <w:right w:val="double" w:color="000000" w:sz="4" w:space="0"/>
            </w:tcBorders>
            <w:tcMar>
              <w:top w:w="0" w:type="dxa"/>
              <w:left w:w="105" w:type="dxa"/>
              <w:bottom w:w="0" w:type="dxa"/>
              <w:right w:w="105" w:type="dxa"/>
            </w:tcMar>
            <w:vAlign w:val="top"/>
          </w:tcPr>
          <w:p w14:paraId="39CCFFE2">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米</w:t>
            </w:r>
          </w:p>
        </w:tc>
      </w:tr>
      <w:tr w14:paraId="4139AFDE">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74" w:type="dxa"/>
            <w:tcBorders>
              <w:top w:val="single" w:color="000000" w:sz="4" w:space="0"/>
              <w:left w:val="double" w:color="000000" w:sz="4" w:space="0"/>
              <w:bottom w:val="single" w:color="000000" w:sz="4" w:space="0"/>
              <w:right w:val="single" w:color="000000" w:sz="4" w:space="0"/>
            </w:tcBorders>
            <w:tcMar>
              <w:top w:w="0" w:type="dxa"/>
              <w:left w:w="105" w:type="dxa"/>
              <w:bottom w:w="0" w:type="dxa"/>
              <w:right w:w="105" w:type="dxa"/>
            </w:tcMar>
            <w:vAlign w:val="top"/>
          </w:tcPr>
          <w:p w14:paraId="41D32C9C">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1.19</w:t>
            </w:r>
          </w:p>
        </w:tc>
        <w:tc>
          <w:tcPr>
            <w:tcW w:w="950"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2C4444C1">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辅材(评审项164)</w:t>
            </w:r>
          </w:p>
        </w:tc>
        <w:tc>
          <w:tcPr>
            <w:tcW w:w="4655"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277F4A0B">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管线材接插配件、标签、色带、水晶头、电缆头、卡扣、扎带等等。</w:t>
            </w:r>
          </w:p>
        </w:tc>
        <w:tc>
          <w:tcPr>
            <w:tcW w:w="1067"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2BEDEC15">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1</w:t>
            </w:r>
          </w:p>
        </w:tc>
        <w:tc>
          <w:tcPr>
            <w:tcW w:w="856" w:type="dxa"/>
            <w:tcBorders>
              <w:top w:val="single" w:color="000000" w:sz="4" w:space="0"/>
              <w:left w:val="single" w:color="000000" w:sz="4" w:space="0"/>
              <w:bottom w:val="single" w:color="000000" w:sz="4" w:space="0"/>
              <w:right w:val="double" w:color="000000" w:sz="4" w:space="0"/>
            </w:tcBorders>
            <w:tcMar>
              <w:top w:w="0" w:type="dxa"/>
              <w:left w:w="105" w:type="dxa"/>
              <w:bottom w:w="0" w:type="dxa"/>
              <w:right w:w="105" w:type="dxa"/>
            </w:tcMar>
            <w:vAlign w:val="top"/>
          </w:tcPr>
          <w:p w14:paraId="0C88E7BF">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项</w:t>
            </w:r>
          </w:p>
        </w:tc>
      </w:tr>
      <w:tr w14:paraId="6778B9A1">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74" w:type="dxa"/>
            <w:tcBorders>
              <w:top w:val="single" w:color="000000" w:sz="4" w:space="0"/>
              <w:left w:val="double" w:color="000000" w:sz="4" w:space="0"/>
              <w:bottom w:val="single" w:color="000000" w:sz="4" w:space="0"/>
              <w:right w:val="single" w:color="000000" w:sz="4" w:space="0"/>
            </w:tcBorders>
            <w:tcMar>
              <w:top w:w="0" w:type="dxa"/>
              <w:left w:w="105" w:type="dxa"/>
              <w:bottom w:w="0" w:type="dxa"/>
              <w:right w:w="105" w:type="dxa"/>
            </w:tcMar>
            <w:vAlign w:val="top"/>
          </w:tcPr>
          <w:p w14:paraId="06734295">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2</w:t>
            </w:r>
          </w:p>
        </w:tc>
        <w:tc>
          <w:tcPr>
            <w:tcW w:w="950"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5FCBF71C">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b/>
                <w:sz w:val="24"/>
                <w:szCs w:val="24"/>
              </w:rPr>
              <w:t>后端设备</w:t>
            </w:r>
          </w:p>
        </w:tc>
        <w:tc>
          <w:tcPr>
            <w:tcW w:w="4655"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2953E89F">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p>
        </w:tc>
        <w:tc>
          <w:tcPr>
            <w:tcW w:w="1067"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12361D9A">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hAnsi="宋体" w:eastAsia="宋体" w:cs="宋体"/>
                <w:sz w:val="24"/>
                <w:szCs w:val="24"/>
              </w:rPr>
            </w:pPr>
          </w:p>
        </w:tc>
        <w:tc>
          <w:tcPr>
            <w:tcW w:w="856" w:type="dxa"/>
            <w:tcBorders>
              <w:top w:val="single" w:color="000000" w:sz="4" w:space="0"/>
              <w:left w:val="single" w:color="000000" w:sz="4" w:space="0"/>
              <w:bottom w:val="single" w:color="000000" w:sz="4" w:space="0"/>
              <w:right w:val="double" w:color="000000" w:sz="4" w:space="0"/>
            </w:tcBorders>
            <w:tcMar>
              <w:top w:w="0" w:type="dxa"/>
              <w:left w:w="105" w:type="dxa"/>
              <w:bottom w:w="0" w:type="dxa"/>
              <w:right w:w="105" w:type="dxa"/>
            </w:tcMar>
            <w:vAlign w:val="top"/>
          </w:tcPr>
          <w:p w14:paraId="49CA3A31">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hAnsi="宋体" w:eastAsia="宋体" w:cs="宋体"/>
                <w:sz w:val="24"/>
                <w:szCs w:val="24"/>
              </w:rPr>
            </w:pPr>
          </w:p>
        </w:tc>
      </w:tr>
      <w:tr w14:paraId="253FE839">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74" w:type="dxa"/>
            <w:tcBorders>
              <w:top w:val="single" w:color="000000" w:sz="4" w:space="0"/>
              <w:left w:val="double" w:color="000000" w:sz="4" w:space="0"/>
              <w:bottom w:val="single" w:color="000000" w:sz="4" w:space="0"/>
              <w:right w:val="single" w:color="000000" w:sz="4" w:space="0"/>
            </w:tcBorders>
            <w:tcMar>
              <w:top w:w="0" w:type="dxa"/>
              <w:left w:w="105" w:type="dxa"/>
              <w:bottom w:w="0" w:type="dxa"/>
              <w:right w:w="105" w:type="dxa"/>
            </w:tcMar>
            <w:vAlign w:val="top"/>
          </w:tcPr>
          <w:p w14:paraId="6AB4A5B3">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2.1</w:t>
            </w:r>
          </w:p>
        </w:tc>
        <w:tc>
          <w:tcPr>
            <w:tcW w:w="950"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5C24BE0A">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网络存储设备(评审项165)</w:t>
            </w:r>
          </w:p>
        </w:tc>
        <w:tc>
          <w:tcPr>
            <w:tcW w:w="4655"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6C69C93E">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1. 处理器：≥1颗64位多核处理器</w:t>
            </w:r>
            <w:r>
              <w:rPr>
                <w:rFonts w:hint="eastAsia" w:ascii="宋体" w:hAnsi="宋体" w:eastAsia="宋体" w:cs="宋体"/>
                <w:sz w:val="24"/>
                <w:szCs w:val="24"/>
              </w:rPr>
              <w:br w:type="textWrapping"/>
            </w:r>
            <w:r>
              <w:rPr>
                <w:rFonts w:hint="eastAsia" w:ascii="宋体" w:hAnsi="宋体" w:eastAsia="宋体" w:cs="宋体"/>
                <w:sz w:val="24"/>
                <w:szCs w:val="24"/>
              </w:rPr>
              <w:t>2. 系统内存：≥32GB</w:t>
            </w:r>
            <w:r>
              <w:rPr>
                <w:rFonts w:hint="eastAsia" w:ascii="宋体" w:hAnsi="宋体" w:eastAsia="宋体" w:cs="宋体"/>
                <w:sz w:val="24"/>
                <w:szCs w:val="24"/>
              </w:rPr>
              <w:br w:type="textWrapping"/>
            </w:r>
            <w:r>
              <w:rPr>
                <w:rFonts w:hint="eastAsia" w:ascii="宋体" w:hAnsi="宋体" w:eastAsia="宋体" w:cs="宋体"/>
                <w:sz w:val="24"/>
                <w:szCs w:val="24"/>
              </w:rPr>
              <w:t>3. 系统盘：≥240GB SSD（后置）</w:t>
            </w:r>
            <w:r>
              <w:rPr>
                <w:rFonts w:hint="eastAsia" w:ascii="宋体" w:hAnsi="宋体" w:eastAsia="宋体" w:cs="宋体"/>
                <w:sz w:val="24"/>
                <w:szCs w:val="24"/>
              </w:rPr>
              <w:br w:type="textWrapping"/>
            </w:r>
            <w:r>
              <w:rPr>
                <w:rFonts w:hint="eastAsia" w:ascii="宋体" w:hAnsi="宋体" w:eastAsia="宋体" w:cs="宋体"/>
                <w:sz w:val="24"/>
                <w:szCs w:val="24"/>
              </w:rPr>
              <w:t>4. 数据盘：≥960GB SSD（数据存储）</w:t>
            </w:r>
            <w:r>
              <w:rPr>
                <w:rFonts w:hint="eastAsia" w:ascii="宋体" w:hAnsi="宋体" w:eastAsia="宋体" w:cs="宋体"/>
                <w:sz w:val="24"/>
                <w:szCs w:val="24"/>
              </w:rPr>
              <w:br w:type="textWrapping"/>
            </w:r>
            <w:r>
              <w:rPr>
                <w:rFonts w:hint="eastAsia" w:ascii="宋体" w:hAnsi="宋体" w:eastAsia="宋体" w:cs="宋体"/>
                <w:sz w:val="24"/>
                <w:szCs w:val="24"/>
              </w:rPr>
              <w:t>5. 存储接口：≥24个SATA接口，支持硬盘热插拔</w:t>
            </w:r>
            <w:r>
              <w:rPr>
                <w:rFonts w:hint="eastAsia" w:ascii="宋体" w:hAnsi="宋体" w:eastAsia="宋体" w:cs="宋体"/>
                <w:sz w:val="24"/>
                <w:szCs w:val="24"/>
              </w:rPr>
              <w:br w:type="textWrapping"/>
            </w:r>
            <w:r>
              <w:rPr>
                <w:rFonts w:hint="eastAsia" w:ascii="宋体" w:hAnsi="宋体" w:eastAsia="宋体" w:cs="宋体"/>
                <w:sz w:val="24"/>
                <w:szCs w:val="24"/>
              </w:rPr>
              <w:t>6. 网络接口：≥4个2.5G数据网口，≥1个千兆管理口</w:t>
            </w:r>
            <w:r>
              <w:rPr>
                <w:rFonts w:hint="eastAsia" w:ascii="宋体" w:hAnsi="宋体" w:eastAsia="宋体" w:cs="宋体"/>
                <w:sz w:val="24"/>
                <w:szCs w:val="24"/>
              </w:rPr>
              <w:br w:type="textWrapping"/>
            </w:r>
            <w:r>
              <w:rPr>
                <w:rFonts w:hint="eastAsia" w:ascii="宋体" w:hAnsi="宋体" w:eastAsia="宋体" w:cs="宋体"/>
                <w:sz w:val="24"/>
                <w:szCs w:val="24"/>
              </w:rPr>
              <w:t>7. 其他接口：COM≥1，USB2.0≥2（前置），USB3.0≥2（后置），VGA≥1（前置），HDMI≥1（后置）</w:t>
            </w:r>
            <w:r>
              <w:rPr>
                <w:rFonts w:hint="eastAsia" w:ascii="宋体" w:hAnsi="宋体" w:eastAsia="宋体" w:cs="宋体"/>
                <w:sz w:val="24"/>
                <w:szCs w:val="24"/>
              </w:rPr>
              <w:br w:type="textWrapping"/>
            </w:r>
            <w:r>
              <w:rPr>
                <w:rFonts w:hint="eastAsia" w:ascii="宋体" w:hAnsi="宋体" w:eastAsia="宋体" w:cs="宋体"/>
                <w:sz w:val="24"/>
                <w:szCs w:val="24"/>
              </w:rPr>
              <w:t>8. 具备≥1个定位灯、≥1个电源灯、≥1个设备报警灯、≥1个就绪灯、≥1个网络状态灯、≥1个系统盘状态灯、≥1个硬盘状态灯，机箱具备防尘滤网，采用双立柱防震设计。设备左右侧面各≥2个抬手，具备前面板抽拉标签卡</w:t>
            </w:r>
            <w:r>
              <w:rPr>
                <w:rFonts w:hint="eastAsia" w:ascii="宋体" w:hAnsi="宋体" w:eastAsia="宋体" w:cs="宋体"/>
                <w:sz w:val="24"/>
                <w:szCs w:val="24"/>
              </w:rPr>
              <w:br w:type="textWrapping"/>
            </w:r>
            <w:r>
              <w:rPr>
                <w:rFonts w:hint="eastAsia" w:ascii="宋体" w:hAnsi="宋体" w:eastAsia="宋体" w:cs="宋体"/>
                <w:sz w:val="24"/>
                <w:szCs w:val="24"/>
              </w:rPr>
              <w:t>9. 整机电源：≥800W，1+1冗余电源</w:t>
            </w:r>
            <w:r>
              <w:rPr>
                <w:rFonts w:hint="eastAsia" w:ascii="宋体" w:hAnsi="宋体" w:eastAsia="宋体" w:cs="宋体"/>
                <w:sz w:val="24"/>
                <w:szCs w:val="24"/>
              </w:rPr>
              <w:br w:type="textWrapping"/>
            </w:r>
            <w:r>
              <w:rPr>
                <w:rFonts w:hint="eastAsia" w:ascii="宋体" w:hAnsi="宋体" w:eastAsia="宋体" w:cs="宋体"/>
                <w:sz w:val="24"/>
                <w:szCs w:val="24"/>
              </w:rPr>
              <w:t>10. 设备内置大模型算法引擎，支持对目标图像和自然语言的多模态大模型建模，建立目标图像和自然语言的对应关系，目标包括人、车、非机动车及其附属物品；内置图文搜索引擎，支持开放式语义检索，输入文字描述即可查找人、车、非机动车及附属物等目标；搜索文本支持32个以内文字</w:t>
            </w:r>
            <w:r>
              <w:rPr>
                <w:rFonts w:hint="eastAsia" w:ascii="宋体" w:hAnsi="宋体" w:eastAsia="宋体" w:cs="宋体"/>
                <w:b/>
                <w:sz w:val="24"/>
                <w:szCs w:val="24"/>
              </w:rPr>
              <w:t>（投标人须提供测试报告进行佐证，测试报告中受检（或委托）单位须为相应产品的制造商或投标人）</w:t>
            </w:r>
          </w:p>
          <w:p w14:paraId="192EC14E">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11. 以文搜图模式一：≥768路（文搜IPC）或 ≥200路2MP（普通IPC，视频流）+ ≥568路（文搜IPC）;以文搜图模式二：≥300路2MP（普通IPC，视频流）</w:t>
            </w:r>
            <w:r>
              <w:rPr>
                <w:rFonts w:hint="eastAsia" w:ascii="宋体" w:hAnsi="宋体" w:eastAsia="宋体" w:cs="宋体"/>
                <w:sz w:val="24"/>
                <w:szCs w:val="24"/>
              </w:rPr>
              <w:br w:type="textWrapping"/>
            </w:r>
            <w:r>
              <w:rPr>
                <w:rFonts w:hint="eastAsia" w:ascii="宋体" w:hAnsi="宋体" w:eastAsia="宋体" w:cs="宋体"/>
                <w:sz w:val="24"/>
                <w:szCs w:val="24"/>
              </w:rPr>
              <w:t>12. 视频性能：最大支持接入≥768路（最大接入带宽≥1920Mbps）</w:t>
            </w:r>
            <w:r>
              <w:rPr>
                <w:rFonts w:hint="eastAsia" w:ascii="宋体" w:hAnsi="宋体" w:eastAsia="宋体" w:cs="宋体"/>
                <w:sz w:val="24"/>
                <w:szCs w:val="24"/>
              </w:rPr>
              <w:br w:type="textWrapping"/>
            </w:r>
            <w:r>
              <w:rPr>
                <w:rFonts w:hint="eastAsia" w:ascii="宋体" w:hAnsi="宋体" w:eastAsia="宋体" w:cs="宋体"/>
                <w:sz w:val="24"/>
                <w:szCs w:val="24"/>
              </w:rPr>
              <w:t>13. 图片性能：最大支持≥100张/S（单张图片≥500KB）</w:t>
            </w:r>
            <w:r>
              <w:rPr>
                <w:rFonts w:hint="eastAsia" w:ascii="宋体" w:hAnsi="宋体" w:eastAsia="宋体" w:cs="宋体"/>
                <w:sz w:val="24"/>
                <w:szCs w:val="24"/>
              </w:rPr>
              <w:br w:type="textWrapping"/>
            </w:r>
            <w:r>
              <w:rPr>
                <w:rFonts w:hint="eastAsia" w:ascii="宋体" w:hAnsi="宋体" w:eastAsia="宋体" w:cs="宋体"/>
                <w:sz w:val="24"/>
                <w:szCs w:val="24"/>
              </w:rPr>
              <w:t>14. 回放性能：最大支持≥76路2Mbps</w:t>
            </w:r>
            <w:r>
              <w:rPr>
                <w:rFonts w:hint="eastAsia" w:ascii="宋体" w:hAnsi="宋体" w:eastAsia="宋体" w:cs="宋体"/>
                <w:sz w:val="24"/>
                <w:szCs w:val="24"/>
              </w:rPr>
              <w:br w:type="textWrapping"/>
            </w:r>
            <w:r>
              <w:rPr>
                <w:rFonts w:hint="eastAsia" w:ascii="宋体" w:hAnsi="宋体" w:eastAsia="宋体" w:cs="宋体"/>
                <w:sz w:val="24"/>
                <w:szCs w:val="24"/>
              </w:rPr>
              <w:t>15. 事件录像：最大支持≥200路2Mbps</w:t>
            </w:r>
            <w:r>
              <w:rPr>
                <w:rFonts w:hint="eastAsia" w:ascii="宋体" w:hAnsi="宋体" w:eastAsia="宋体" w:cs="宋体"/>
                <w:sz w:val="24"/>
                <w:szCs w:val="24"/>
              </w:rPr>
              <w:br w:type="textWrapping"/>
            </w:r>
            <w:r>
              <w:rPr>
                <w:rFonts w:hint="eastAsia" w:ascii="宋体" w:hAnsi="宋体" w:eastAsia="宋体" w:cs="宋体"/>
                <w:sz w:val="24"/>
                <w:szCs w:val="24"/>
              </w:rPr>
              <w:t>16. 支持视频流、图片直写</w:t>
            </w:r>
            <w:r>
              <w:rPr>
                <w:rFonts w:hint="eastAsia" w:ascii="宋体" w:hAnsi="宋体" w:eastAsia="宋体" w:cs="宋体"/>
                <w:sz w:val="24"/>
                <w:szCs w:val="24"/>
              </w:rPr>
              <w:br w:type="textWrapping"/>
            </w:r>
            <w:r>
              <w:rPr>
                <w:rFonts w:hint="eastAsia" w:ascii="宋体" w:hAnsi="宋体" w:eastAsia="宋体" w:cs="宋体"/>
                <w:sz w:val="24"/>
                <w:szCs w:val="24"/>
              </w:rPr>
              <w:t>17. 支持ONVIF、GB/T 28181、RTSP等标准协议</w:t>
            </w:r>
            <w:r>
              <w:rPr>
                <w:rFonts w:hint="eastAsia" w:ascii="宋体" w:hAnsi="宋体" w:eastAsia="宋体" w:cs="宋体"/>
                <w:sz w:val="24"/>
                <w:szCs w:val="24"/>
              </w:rPr>
              <w:br w:type="textWrapping"/>
            </w:r>
            <w:r>
              <w:rPr>
                <w:rFonts w:hint="eastAsia" w:ascii="宋体" w:hAnsi="宋体" w:eastAsia="宋体" w:cs="宋体"/>
                <w:sz w:val="24"/>
                <w:szCs w:val="24"/>
              </w:rPr>
              <w:t>18. 支持VRAID、RAID0、1、5、6、10等多种RAID模式</w:t>
            </w:r>
            <w:r>
              <w:rPr>
                <w:rFonts w:hint="eastAsia" w:ascii="宋体" w:hAnsi="宋体" w:eastAsia="宋体" w:cs="宋体"/>
                <w:sz w:val="24"/>
                <w:szCs w:val="24"/>
              </w:rPr>
              <w:br w:type="textWrapping"/>
            </w:r>
            <w:r>
              <w:rPr>
                <w:rFonts w:hint="eastAsia" w:ascii="宋体" w:hAnsi="宋体" w:eastAsia="宋体" w:cs="宋体"/>
                <w:sz w:val="24"/>
                <w:szCs w:val="24"/>
              </w:rPr>
              <w:t>19. 支持RAID降级可读写(VRAID)，支持全局热备</w:t>
            </w:r>
            <w:r>
              <w:rPr>
                <w:rFonts w:hint="eastAsia" w:ascii="宋体" w:hAnsi="宋体" w:eastAsia="宋体" w:cs="宋体"/>
                <w:sz w:val="24"/>
                <w:szCs w:val="24"/>
              </w:rPr>
              <w:br w:type="textWrapping"/>
            </w:r>
            <w:r>
              <w:rPr>
                <w:rFonts w:hint="eastAsia" w:ascii="宋体" w:hAnsi="宋体" w:eastAsia="宋体" w:cs="宋体"/>
                <w:sz w:val="24"/>
                <w:szCs w:val="24"/>
              </w:rPr>
              <w:t>20. 支持局部重构，原盘或其克隆盘拔出设备后再插回，未被覆盖数据可快速恢复</w:t>
            </w:r>
          </w:p>
        </w:tc>
        <w:tc>
          <w:tcPr>
            <w:tcW w:w="1067"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7A9707A8">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1</w:t>
            </w:r>
          </w:p>
        </w:tc>
        <w:tc>
          <w:tcPr>
            <w:tcW w:w="856" w:type="dxa"/>
            <w:tcBorders>
              <w:top w:val="single" w:color="000000" w:sz="4" w:space="0"/>
              <w:left w:val="single" w:color="000000" w:sz="4" w:space="0"/>
              <w:bottom w:val="single" w:color="000000" w:sz="4" w:space="0"/>
              <w:right w:val="double" w:color="000000" w:sz="4" w:space="0"/>
            </w:tcBorders>
            <w:tcMar>
              <w:top w:w="0" w:type="dxa"/>
              <w:left w:w="105" w:type="dxa"/>
              <w:bottom w:w="0" w:type="dxa"/>
              <w:right w:w="105" w:type="dxa"/>
            </w:tcMar>
            <w:vAlign w:val="top"/>
          </w:tcPr>
          <w:p w14:paraId="07B4E904">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台</w:t>
            </w:r>
          </w:p>
        </w:tc>
      </w:tr>
      <w:tr w14:paraId="70582164">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74" w:type="dxa"/>
            <w:tcBorders>
              <w:top w:val="single" w:color="000000" w:sz="4" w:space="0"/>
              <w:left w:val="double" w:color="000000" w:sz="4" w:space="0"/>
              <w:bottom w:val="single" w:color="000000" w:sz="4" w:space="0"/>
              <w:right w:val="single" w:color="000000" w:sz="4" w:space="0"/>
            </w:tcBorders>
            <w:tcMar>
              <w:top w:w="0" w:type="dxa"/>
              <w:left w:w="105" w:type="dxa"/>
              <w:bottom w:w="0" w:type="dxa"/>
              <w:right w:w="105" w:type="dxa"/>
            </w:tcMar>
            <w:vAlign w:val="top"/>
          </w:tcPr>
          <w:p w14:paraId="203BAF25">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2.2</w:t>
            </w:r>
          </w:p>
        </w:tc>
        <w:tc>
          <w:tcPr>
            <w:tcW w:w="950"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532405B8">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企业级硬盘(评审项166)</w:t>
            </w:r>
          </w:p>
        </w:tc>
        <w:tc>
          <w:tcPr>
            <w:tcW w:w="4655"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06ACAA72">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1.≥16TB容量，3.5英寸</w:t>
            </w:r>
            <w:r>
              <w:rPr>
                <w:rFonts w:hint="eastAsia" w:ascii="宋体" w:hAnsi="宋体" w:eastAsia="宋体" w:cs="宋体"/>
                <w:sz w:val="24"/>
                <w:szCs w:val="24"/>
              </w:rPr>
              <w:br w:type="textWrapping"/>
            </w:r>
            <w:r>
              <w:rPr>
                <w:rFonts w:hint="eastAsia" w:ascii="宋体" w:hAnsi="宋体" w:eastAsia="宋体" w:cs="宋体"/>
                <w:sz w:val="24"/>
                <w:szCs w:val="24"/>
              </w:rPr>
              <w:t>2.氦气盘， CMR传统磁记录</w:t>
            </w:r>
          </w:p>
        </w:tc>
        <w:tc>
          <w:tcPr>
            <w:tcW w:w="1067"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5031F3AE">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23</w:t>
            </w:r>
          </w:p>
        </w:tc>
        <w:tc>
          <w:tcPr>
            <w:tcW w:w="856" w:type="dxa"/>
            <w:tcBorders>
              <w:top w:val="single" w:color="000000" w:sz="4" w:space="0"/>
              <w:left w:val="single" w:color="000000" w:sz="4" w:space="0"/>
              <w:bottom w:val="single" w:color="000000" w:sz="4" w:space="0"/>
              <w:right w:val="double" w:color="000000" w:sz="4" w:space="0"/>
            </w:tcBorders>
            <w:tcMar>
              <w:top w:w="0" w:type="dxa"/>
              <w:left w:w="105" w:type="dxa"/>
              <w:bottom w:w="0" w:type="dxa"/>
              <w:right w:w="105" w:type="dxa"/>
            </w:tcMar>
            <w:vAlign w:val="top"/>
          </w:tcPr>
          <w:p w14:paraId="5C52DC60">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块</w:t>
            </w:r>
          </w:p>
        </w:tc>
      </w:tr>
      <w:tr w14:paraId="6DAEA900">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74" w:type="dxa"/>
            <w:tcBorders>
              <w:top w:val="single" w:color="000000" w:sz="4" w:space="0"/>
              <w:left w:val="double" w:color="000000" w:sz="4" w:space="0"/>
              <w:bottom w:val="single" w:color="000000" w:sz="4" w:space="0"/>
              <w:right w:val="single" w:color="000000" w:sz="4" w:space="0"/>
            </w:tcBorders>
            <w:tcMar>
              <w:top w:w="0" w:type="dxa"/>
              <w:left w:w="105" w:type="dxa"/>
              <w:bottom w:w="0" w:type="dxa"/>
              <w:right w:w="105" w:type="dxa"/>
            </w:tcMar>
            <w:vAlign w:val="top"/>
          </w:tcPr>
          <w:p w14:paraId="792094C4">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2.3</w:t>
            </w:r>
          </w:p>
        </w:tc>
        <w:tc>
          <w:tcPr>
            <w:tcW w:w="950"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5D753F31">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智能分析录像机(评审项167)</w:t>
            </w:r>
          </w:p>
        </w:tc>
        <w:tc>
          <w:tcPr>
            <w:tcW w:w="4655"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430A93F7">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1. 外观形态：2U标准机架式8盘位超脑NVR</w:t>
            </w:r>
            <w:r>
              <w:rPr>
                <w:rFonts w:hint="eastAsia" w:ascii="宋体" w:hAnsi="宋体" w:eastAsia="宋体" w:cs="宋体"/>
                <w:sz w:val="24"/>
                <w:szCs w:val="24"/>
              </w:rPr>
              <w:br w:type="textWrapping"/>
            </w:r>
            <w:r>
              <w:rPr>
                <w:rFonts w:hint="eastAsia" w:ascii="宋体" w:hAnsi="宋体" w:eastAsia="宋体" w:cs="宋体"/>
                <w:sz w:val="24"/>
                <w:szCs w:val="24"/>
              </w:rPr>
              <w:t>2. 视频接口：2个HDMI，2个VGA</w:t>
            </w:r>
            <w:r>
              <w:rPr>
                <w:rFonts w:hint="eastAsia" w:ascii="宋体" w:hAnsi="宋体" w:eastAsia="宋体" w:cs="宋体"/>
                <w:sz w:val="24"/>
                <w:szCs w:val="24"/>
              </w:rPr>
              <w:br w:type="textWrapping"/>
            </w:r>
            <w:r>
              <w:rPr>
                <w:rFonts w:hint="eastAsia" w:ascii="宋体" w:hAnsi="宋体" w:eastAsia="宋体" w:cs="宋体"/>
                <w:sz w:val="24"/>
                <w:szCs w:val="24"/>
              </w:rPr>
              <w:t>3. 硬盘接口：8个SATA口，支持满配20TB硬盘</w:t>
            </w:r>
            <w:r>
              <w:rPr>
                <w:rFonts w:hint="eastAsia" w:ascii="宋体" w:hAnsi="宋体" w:eastAsia="宋体" w:cs="宋体"/>
                <w:sz w:val="24"/>
                <w:szCs w:val="24"/>
              </w:rPr>
              <w:br w:type="textWrapping"/>
            </w:r>
            <w:r>
              <w:rPr>
                <w:rFonts w:hint="eastAsia" w:ascii="宋体" w:hAnsi="宋体" w:eastAsia="宋体" w:cs="宋体"/>
                <w:sz w:val="24"/>
                <w:szCs w:val="24"/>
              </w:rPr>
              <w:t>4. 网络接口：2个10M/100M/1000Mbps网口</w:t>
            </w:r>
            <w:r>
              <w:rPr>
                <w:rFonts w:hint="eastAsia" w:ascii="宋体" w:hAnsi="宋体" w:eastAsia="宋体" w:cs="宋体"/>
                <w:sz w:val="24"/>
                <w:szCs w:val="24"/>
              </w:rPr>
              <w:br w:type="textWrapping"/>
            </w:r>
            <w:r>
              <w:rPr>
                <w:rFonts w:hint="eastAsia" w:ascii="宋体" w:hAnsi="宋体" w:eastAsia="宋体" w:cs="宋体"/>
                <w:sz w:val="24"/>
                <w:szCs w:val="24"/>
              </w:rPr>
              <w:t>5. USB接口：2个USB2.0接口，2个USB3.0接口</w:t>
            </w:r>
            <w:r>
              <w:rPr>
                <w:rFonts w:hint="eastAsia" w:ascii="宋体" w:hAnsi="宋体" w:eastAsia="宋体" w:cs="宋体"/>
                <w:sz w:val="24"/>
                <w:szCs w:val="24"/>
              </w:rPr>
              <w:br w:type="textWrapping"/>
            </w:r>
            <w:r>
              <w:rPr>
                <w:rFonts w:hint="eastAsia" w:ascii="宋体" w:hAnsi="宋体" w:eastAsia="宋体" w:cs="宋体"/>
                <w:sz w:val="24"/>
                <w:szCs w:val="24"/>
              </w:rPr>
              <w:t>6. 扩展接口：1个eSATA接口</w:t>
            </w:r>
            <w:r>
              <w:rPr>
                <w:rFonts w:hint="eastAsia" w:ascii="宋体" w:hAnsi="宋体" w:eastAsia="宋体" w:cs="宋体"/>
                <w:sz w:val="24"/>
                <w:szCs w:val="24"/>
              </w:rPr>
              <w:br w:type="textWrapping"/>
            </w:r>
            <w:r>
              <w:rPr>
                <w:rFonts w:hint="eastAsia" w:ascii="宋体" w:hAnsi="宋体" w:eastAsia="宋体" w:cs="宋体"/>
                <w:sz w:val="24"/>
                <w:szCs w:val="24"/>
              </w:rPr>
              <w:t>7. 报警接口：16路报警输入，9路报警输出</w:t>
            </w:r>
            <w:r>
              <w:rPr>
                <w:rFonts w:hint="eastAsia" w:ascii="宋体" w:hAnsi="宋体" w:eastAsia="宋体" w:cs="宋体"/>
                <w:sz w:val="24"/>
                <w:szCs w:val="24"/>
              </w:rPr>
              <w:br w:type="textWrapping"/>
            </w:r>
            <w:r>
              <w:rPr>
                <w:rFonts w:hint="eastAsia" w:ascii="宋体" w:hAnsi="宋体" w:eastAsia="宋体" w:cs="宋体"/>
                <w:sz w:val="24"/>
                <w:szCs w:val="24"/>
              </w:rPr>
              <w:t>8. 输入带宽：384Mbps</w:t>
            </w:r>
            <w:r>
              <w:rPr>
                <w:rFonts w:hint="eastAsia" w:ascii="宋体" w:hAnsi="宋体" w:eastAsia="宋体" w:cs="宋体"/>
                <w:sz w:val="24"/>
                <w:szCs w:val="24"/>
              </w:rPr>
              <w:br w:type="textWrapping"/>
            </w:r>
            <w:r>
              <w:rPr>
                <w:rFonts w:hint="eastAsia" w:ascii="宋体" w:hAnsi="宋体" w:eastAsia="宋体" w:cs="宋体"/>
                <w:sz w:val="24"/>
                <w:szCs w:val="24"/>
              </w:rPr>
              <w:t>9. 输出带宽：256Mbps</w:t>
            </w:r>
            <w:r>
              <w:rPr>
                <w:rFonts w:hint="eastAsia" w:ascii="宋体" w:hAnsi="宋体" w:eastAsia="宋体" w:cs="宋体"/>
                <w:sz w:val="24"/>
                <w:szCs w:val="24"/>
              </w:rPr>
              <w:br w:type="textWrapping"/>
            </w:r>
            <w:r>
              <w:rPr>
                <w:rFonts w:hint="eastAsia" w:ascii="宋体" w:hAnsi="宋体" w:eastAsia="宋体" w:cs="宋体"/>
                <w:sz w:val="24"/>
                <w:szCs w:val="24"/>
              </w:rPr>
              <w:t>10. 接入能力：64路H.264、H.265格式高清码流接入</w:t>
            </w:r>
            <w:r>
              <w:rPr>
                <w:rFonts w:hint="eastAsia" w:ascii="宋体" w:hAnsi="宋体" w:eastAsia="宋体" w:cs="宋体"/>
                <w:sz w:val="24"/>
                <w:szCs w:val="24"/>
              </w:rPr>
              <w:br w:type="textWrapping"/>
            </w:r>
            <w:r>
              <w:rPr>
                <w:rFonts w:hint="eastAsia" w:ascii="宋体" w:hAnsi="宋体" w:eastAsia="宋体" w:cs="宋体"/>
                <w:sz w:val="24"/>
                <w:szCs w:val="24"/>
              </w:rPr>
              <w:t>11. 解码能力：最大支持32×1080P</w:t>
            </w:r>
            <w:r>
              <w:rPr>
                <w:rFonts w:hint="eastAsia" w:ascii="宋体" w:hAnsi="宋体" w:eastAsia="宋体" w:cs="宋体"/>
                <w:sz w:val="24"/>
                <w:szCs w:val="24"/>
              </w:rPr>
              <w:br w:type="textWrapping"/>
            </w:r>
            <w:r>
              <w:rPr>
                <w:rFonts w:hint="eastAsia" w:ascii="宋体" w:hAnsi="宋体" w:eastAsia="宋体" w:cs="宋体"/>
                <w:sz w:val="24"/>
                <w:szCs w:val="24"/>
              </w:rPr>
              <w:t>12. 5合1 AI融合巡检，集成人、车、物、环境等大类多种算法于一体</w:t>
            </w:r>
            <w:r>
              <w:rPr>
                <w:rFonts w:hint="eastAsia" w:ascii="宋体" w:hAnsi="宋体" w:eastAsia="宋体" w:cs="宋体"/>
                <w:sz w:val="24"/>
                <w:szCs w:val="24"/>
              </w:rPr>
              <w:br w:type="textWrapping"/>
            </w:r>
            <w:r>
              <w:rPr>
                <w:rFonts w:hint="eastAsia" w:ascii="宋体" w:hAnsi="宋体" w:eastAsia="宋体" w:cs="宋体"/>
                <w:sz w:val="24"/>
                <w:szCs w:val="24"/>
              </w:rPr>
              <w:t>13. 支持人脸识别：人脸抓拍、人脸比对；人数统计：倾斜客流统计、区域人数统计；人员合规：安全帽、反光衣、离岗、睡岗、玩手机、抽烟、打电话、滞留、徘徊、皮肤裸露；注册比对：工服工帽注册比对；街面行为：倒地、剧烈运动（打架）、聚集、快速移动（奔跑）等多种算法</w:t>
            </w:r>
            <w:r>
              <w:rPr>
                <w:rFonts w:hint="eastAsia" w:ascii="宋体" w:hAnsi="宋体" w:eastAsia="宋体" w:cs="宋体"/>
                <w:sz w:val="24"/>
                <w:szCs w:val="24"/>
              </w:rPr>
              <w:br w:type="textWrapping"/>
            </w:r>
            <w:r>
              <w:rPr>
                <w:rFonts w:hint="eastAsia" w:ascii="宋体" w:hAnsi="宋体" w:eastAsia="宋体" w:cs="宋体"/>
                <w:sz w:val="24"/>
                <w:szCs w:val="24"/>
              </w:rPr>
              <w:t>14. 设备4颗AI引擎，总算力96TOPS(INT8)，默认配置3颗引擎做直接分析（单引擎支持8路实时或16路定时抓图或轮巡视频分析）+1颗引擎做大模型二次研判；大模型引擎可按需配置成直接分析引擎模式</w:t>
            </w:r>
            <w:r>
              <w:rPr>
                <w:rFonts w:hint="eastAsia" w:ascii="宋体" w:hAnsi="宋体" w:eastAsia="宋体" w:cs="宋体"/>
                <w:sz w:val="24"/>
                <w:szCs w:val="24"/>
              </w:rPr>
              <w:br w:type="textWrapping"/>
            </w:r>
            <w:r>
              <w:rPr>
                <w:rFonts w:hint="eastAsia" w:ascii="宋体" w:hAnsi="宋体" w:eastAsia="宋体" w:cs="宋体"/>
                <w:sz w:val="24"/>
                <w:szCs w:val="24"/>
              </w:rPr>
              <w:t>15. 支持同一个算法的大小模型嵌入在同一个算法包中，绑定引擎时，在一个界面分配好引擎选择模式后即可自动关联大小模型，无须重复配置，并且规则配置只要配置一次即可实现大小模型协同分析；支持效果增强模式：大小模型协同部署；高性能模式：仅部署小模型；超高精度模式：仅部署大模型；引擎状态界面可显示引擎工作温度，可查看引擎配置及利用率。</w:t>
            </w:r>
            <w:r>
              <w:rPr>
                <w:rFonts w:hint="eastAsia" w:ascii="宋体" w:hAnsi="宋体" w:eastAsia="宋体" w:cs="宋体"/>
                <w:b/>
                <w:sz w:val="24"/>
                <w:szCs w:val="24"/>
              </w:rPr>
              <w:t>（投标人须提供测试报告进行佐证，测试报告中受检（或委托）单位须为相应产品的制造商或投标人）</w:t>
            </w:r>
          </w:p>
        </w:tc>
        <w:tc>
          <w:tcPr>
            <w:tcW w:w="1067"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0F7655C8">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1</w:t>
            </w:r>
          </w:p>
        </w:tc>
        <w:tc>
          <w:tcPr>
            <w:tcW w:w="856" w:type="dxa"/>
            <w:tcBorders>
              <w:top w:val="single" w:color="000000" w:sz="4" w:space="0"/>
              <w:left w:val="single" w:color="000000" w:sz="4" w:space="0"/>
              <w:bottom w:val="single" w:color="000000" w:sz="4" w:space="0"/>
              <w:right w:val="double" w:color="000000" w:sz="4" w:space="0"/>
            </w:tcBorders>
            <w:tcMar>
              <w:top w:w="0" w:type="dxa"/>
              <w:left w:w="105" w:type="dxa"/>
              <w:bottom w:w="0" w:type="dxa"/>
              <w:right w:w="105" w:type="dxa"/>
            </w:tcMar>
            <w:vAlign w:val="top"/>
          </w:tcPr>
          <w:p w14:paraId="4C193D18">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台</w:t>
            </w:r>
          </w:p>
        </w:tc>
      </w:tr>
      <w:tr w14:paraId="165BA9ED">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74" w:type="dxa"/>
            <w:tcBorders>
              <w:top w:val="single" w:color="000000" w:sz="4" w:space="0"/>
              <w:left w:val="double" w:color="000000" w:sz="4" w:space="0"/>
              <w:bottom w:val="single" w:color="000000" w:sz="4" w:space="0"/>
              <w:right w:val="single" w:color="000000" w:sz="4" w:space="0"/>
            </w:tcBorders>
            <w:tcMar>
              <w:top w:w="0" w:type="dxa"/>
              <w:left w:w="105" w:type="dxa"/>
              <w:bottom w:w="0" w:type="dxa"/>
              <w:right w:w="105" w:type="dxa"/>
            </w:tcMar>
            <w:vAlign w:val="top"/>
          </w:tcPr>
          <w:p w14:paraId="0096F71E">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2.4</w:t>
            </w:r>
          </w:p>
        </w:tc>
        <w:tc>
          <w:tcPr>
            <w:tcW w:w="950"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1D1F0081">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管理平台(评审项168)</w:t>
            </w:r>
          </w:p>
        </w:tc>
        <w:tc>
          <w:tcPr>
            <w:tcW w:w="4655"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236306BB">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1. 系统管理基础包，提供业务应用依赖的基础资源信息及基础服务能力，包括系统基础信息、用户管理、用户权限管理、物联设备管理、事件联动、NTP校时服务、运行管理中心、统一开放能力等。</w:t>
            </w:r>
            <w:r>
              <w:rPr>
                <w:rFonts w:hint="eastAsia" w:ascii="宋体" w:hAnsi="宋体" w:eastAsia="宋体" w:cs="宋体"/>
                <w:sz w:val="24"/>
                <w:szCs w:val="24"/>
              </w:rPr>
              <w:br w:type="textWrapping"/>
            </w:r>
            <w:r>
              <w:rPr>
                <w:rFonts w:hint="eastAsia" w:ascii="宋体" w:hAnsi="宋体" w:eastAsia="宋体" w:cs="宋体"/>
                <w:sz w:val="24"/>
                <w:szCs w:val="24"/>
              </w:rPr>
              <w:t>2. 支持配置向导，包括基础管理、视频、门禁、停车、访客等业务，可点击链接跳转至对应配置页面</w:t>
            </w:r>
            <w:r>
              <w:rPr>
                <w:rFonts w:hint="eastAsia" w:ascii="宋体" w:hAnsi="宋体" w:eastAsia="宋体" w:cs="宋体"/>
                <w:sz w:val="24"/>
                <w:szCs w:val="24"/>
              </w:rPr>
              <w:br w:type="textWrapping"/>
            </w:r>
            <w:r>
              <w:rPr>
                <w:rFonts w:hint="eastAsia" w:ascii="宋体" w:hAnsi="宋体" w:eastAsia="宋体" w:cs="宋体"/>
                <w:sz w:val="24"/>
                <w:szCs w:val="24"/>
              </w:rPr>
              <w:t>3. 支持配置重点目标识别、陌生人识别、高频目标、人体/车辆识别计划；</w:t>
            </w:r>
            <w:r>
              <w:rPr>
                <w:rFonts w:hint="eastAsia" w:ascii="宋体" w:hAnsi="宋体" w:eastAsia="宋体" w:cs="宋体"/>
                <w:sz w:val="24"/>
                <w:szCs w:val="24"/>
              </w:rPr>
              <w:br w:type="textWrapping"/>
            </w:r>
            <w:r>
              <w:rPr>
                <w:rFonts w:hint="eastAsia" w:ascii="宋体" w:hAnsi="宋体" w:eastAsia="宋体" w:cs="宋体"/>
                <w:sz w:val="24"/>
                <w:szCs w:val="24"/>
              </w:rPr>
              <w:t>4. 支持接收重点，目标、陌生人、高频目标、预警车辆目标比对事件，支持接收人脸、人体、车辆实时抓拍事件；</w:t>
            </w:r>
            <w:r>
              <w:rPr>
                <w:rFonts w:hint="eastAsia" w:ascii="宋体" w:hAnsi="宋体" w:eastAsia="宋体" w:cs="宋体"/>
                <w:sz w:val="24"/>
                <w:szCs w:val="24"/>
              </w:rPr>
              <w:br w:type="textWrapping"/>
            </w:r>
            <w:r>
              <w:rPr>
                <w:rFonts w:hint="eastAsia" w:ascii="宋体" w:hAnsi="宋体" w:eastAsia="宋体" w:cs="宋体"/>
                <w:sz w:val="24"/>
                <w:szCs w:val="24"/>
              </w:rPr>
              <w:t>5 支持配置智能行为分析规则，实现行为分析事件的上报和联动报警；</w:t>
            </w:r>
            <w:r>
              <w:rPr>
                <w:rFonts w:hint="eastAsia" w:ascii="宋体" w:hAnsi="宋体" w:eastAsia="宋体" w:cs="宋体"/>
                <w:sz w:val="24"/>
                <w:szCs w:val="24"/>
              </w:rPr>
              <w:br w:type="textWrapping"/>
            </w:r>
            <w:r>
              <w:rPr>
                <w:rFonts w:hint="eastAsia" w:ascii="宋体" w:hAnsi="宋体" w:eastAsia="宋体" w:cs="宋体"/>
                <w:sz w:val="24"/>
                <w:szCs w:val="24"/>
              </w:rPr>
              <w:t>6. 支持上传照片并分析照片中人车目标，可选定人脸、人体、车辆目标进行以图搜图；</w:t>
            </w:r>
            <w:r>
              <w:rPr>
                <w:rFonts w:hint="eastAsia" w:ascii="宋体" w:hAnsi="宋体" w:eastAsia="宋体" w:cs="宋体"/>
                <w:sz w:val="24"/>
                <w:szCs w:val="24"/>
              </w:rPr>
              <w:br w:type="textWrapping"/>
            </w:r>
            <w:r>
              <w:rPr>
                <w:rFonts w:hint="eastAsia" w:ascii="宋体" w:hAnsi="宋体" w:eastAsia="宋体" w:cs="宋体"/>
                <w:sz w:val="24"/>
                <w:szCs w:val="24"/>
              </w:rPr>
              <w:t>7. 支持人员、车辆运行轨迹展示；</w:t>
            </w:r>
            <w:r>
              <w:rPr>
                <w:rFonts w:hint="eastAsia" w:ascii="宋体" w:hAnsi="宋体" w:eastAsia="宋体" w:cs="宋体"/>
                <w:sz w:val="24"/>
                <w:szCs w:val="24"/>
              </w:rPr>
              <w:br w:type="textWrapping"/>
            </w:r>
            <w:r>
              <w:rPr>
                <w:rFonts w:hint="eastAsia" w:ascii="宋体" w:hAnsi="宋体" w:eastAsia="宋体" w:cs="宋体"/>
                <w:sz w:val="24"/>
                <w:szCs w:val="24"/>
              </w:rPr>
              <w:t>8. 支持上传两张人脸图片进行相似度比对；支持上传人脸照片，判断是否为内部人员；</w:t>
            </w:r>
            <w:r>
              <w:rPr>
                <w:rFonts w:hint="eastAsia" w:ascii="宋体" w:hAnsi="宋体" w:eastAsia="宋体" w:cs="宋体"/>
                <w:sz w:val="24"/>
                <w:szCs w:val="24"/>
              </w:rPr>
              <w:br w:type="textWrapping"/>
            </w:r>
            <w:r>
              <w:rPr>
                <w:rFonts w:hint="eastAsia" w:ascii="宋体" w:hAnsi="宋体" w:eastAsia="宋体" w:cs="宋体"/>
                <w:sz w:val="24"/>
                <w:szCs w:val="24"/>
              </w:rPr>
              <w:t>9. 通过配置实时流分析任务完成视频流实时智能分析，包括重点目标、陌生人、高频目标、人体/车辆结构化、行为检测分析；</w:t>
            </w:r>
            <w:r>
              <w:rPr>
                <w:rFonts w:hint="eastAsia" w:ascii="宋体" w:hAnsi="宋体" w:eastAsia="宋体" w:cs="宋体"/>
                <w:sz w:val="24"/>
                <w:szCs w:val="24"/>
              </w:rPr>
              <w:br w:type="textWrapping"/>
            </w:r>
            <w:r>
              <w:rPr>
                <w:rFonts w:hint="eastAsia" w:ascii="宋体" w:hAnsi="宋体" w:eastAsia="宋体" w:cs="宋体"/>
                <w:sz w:val="24"/>
                <w:szCs w:val="24"/>
              </w:rPr>
              <w:t>10. 支持配置录像点位及目标时段，对录像码流中的人、车数据进行结构化录像码流分析，实现智能分析事件快速查询。</w:t>
            </w:r>
            <w:r>
              <w:rPr>
                <w:rFonts w:hint="eastAsia" w:ascii="宋体" w:hAnsi="宋体" w:eastAsia="宋体" w:cs="宋体"/>
                <w:sz w:val="24"/>
                <w:szCs w:val="24"/>
              </w:rPr>
              <w:br w:type="textWrapping"/>
            </w:r>
            <w:r>
              <w:rPr>
                <w:rFonts w:hint="eastAsia" w:ascii="宋体" w:hAnsi="宋体" w:eastAsia="宋体" w:cs="宋体"/>
                <w:sz w:val="24"/>
                <w:szCs w:val="24"/>
              </w:rPr>
              <w:t>11.提供统一智能检索入口，深度融合门禁、出入口、卡口、访客、文搜、人车抓拍等多源安防数据，构建"人-车-事-轨迹-档案"一体化关联数据体系，实现找人、找车、找“万物"的快速精准检索，为安防管控提供智能化支撑。</w:t>
            </w:r>
          </w:p>
        </w:tc>
        <w:tc>
          <w:tcPr>
            <w:tcW w:w="1067"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12705C31">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1</w:t>
            </w:r>
          </w:p>
        </w:tc>
        <w:tc>
          <w:tcPr>
            <w:tcW w:w="856" w:type="dxa"/>
            <w:tcBorders>
              <w:top w:val="single" w:color="000000" w:sz="4" w:space="0"/>
              <w:left w:val="single" w:color="000000" w:sz="4" w:space="0"/>
              <w:bottom w:val="single" w:color="000000" w:sz="4" w:space="0"/>
              <w:right w:val="double" w:color="000000" w:sz="4" w:space="0"/>
            </w:tcBorders>
            <w:tcMar>
              <w:top w:w="0" w:type="dxa"/>
              <w:left w:w="105" w:type="dxa"/>
              <w:bottom w:w="0" w:type="dxa"/>
              <w:right w:w="105" w:type="dxa"/>
            </w:tcMar>
            <w:vAlign w:val="top"/>
          </w:tcPr>
          <w:p w14:paraId="05AF4153">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台</w:t>
            </w:r>
          </w:p>
        </w:tc>
      </w:tr>
      <w:tr w14:paraId="78E1A170">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74" w:type="dxa"/>
            <w:tcBorders>
              <w:top w:val="single" w:color="000000" w:sz="4" w:space="0"/>
              <w:left w:val="double" w:color="000000" w:sz="4" w:space="0"/>
              <w:bottom w:val="single" w:color="000000" w:sz="4" w:space="0"/>
              <w:right w:val="single" w:color="000000" w:sz="4" w:space="0"/>
            </w:tcBorders>
            <w:tcMar>
              <w:top w:w="0" w:type="dxa"/>
              <w:left w:w="105" w:type="dxa"/>
              <w:bottom w:w="0" w:type="dxa"/>
              <w:right w:w="105" w:type="dxa"/>
            </w:tcMar>
            <w:vAlign w:val="top"/>
          </w:tcPr>
          <w:p w14:paraId="3B18A197">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2.5</w:t>
            </w:r>
          </w:p>
        </w:tc>
        <w:tc>
          <w:tcPr>
            <w:tcW w:w="950"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24C81F9D">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视频通道授权(评审项169)</w:t>
            </w:r>
          </w:p>
        </w:tc>
        <w:tc>
          <w:tcPr>
            <w:tcW w:w="4655"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05E90266">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视频通道授权</w:t>
            </w:r>
          </w:p>
        </w:tc>
        <w:tc>
          <w:tcPr>
            <w:tcW w:w="1067"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2F1D5D93">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400</w:t>
            </w:r>
          </w:p>
        </w:tc>
        <w:tc>
          <w:tcPr>
            <w:tcW w:w="856" w:type="dxa"/>
            <w:tcBorders>
              <w:top w:val="single" w:color="000000" w:sz="4" w:space="0"/>
              <w:left w:val="single" w:color="000000" w:sz="4" w:space="0"/>
              <w:bottom w:val="single" w:color="000000" w:sz="4" w:space="0"/>
              <w:right w:val="double" w:color="000000" w:sz="4" w:space="0"/>
            </w:tcBorders>
            <w:tcMar>
              <w:top w:w="0" w:type="dxa"/>
              <w:left w:w="105" w:type="dxa"/>
              <w:bottom w:w="0" w:type="dxa"/>
              <w:right w:w="105" w:type="dxa"/>
            </w:tcMar>
            <w:vAlign w:val="top"/>
          </w:tcPr>
          <w:p w14:paraId="2CE080DC">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台</w:t>
            </w:r>
          </w:p>
        </w:tc>
      </w:tr>
      <w:tr w14:paraId="27D73DCD">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74" w:type="dxa"/>
            <w:tcBorders>
              <w:top w:val="single" w:color="000000" w:sz="4" w:space="0"/>
              <w:left w:val="double" w:color="000000" w:sz="4" w:space="0"/>
              <w:bottom w:val="single" w:color="000000" w:sz="4" w:space="0"/>
              <w:right w:val="single" w:color="000000" w:sz="4" w:space="0"/>
            </w:tcBorders>
            <w:tcMar>
              <w:top w:w="0" w:type="dxa"/>
              <w:left w:w="105" w:type="dxa"/>
              <w:bottom w:w="0" w:type="dxa"/>
              <w:right w:w="105" w:type="dxa"/>
            </w:tcMar>
            <w:vAlign w:val="top"/>
          </w:tcPr>
          <w:p w14:paraId="1DB6CD02">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2.6</w:t>
            </w:r>
          </w:p>
        </w:tc>
        <w:tc>
          <w:tcPr>
            <w:tcW w:w="950"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17C6802E">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运维通道授权(评审项170)</w:t>
            </w:r>
          </w:p>
        </w:tc>
        <w:tc>
          <w:tcPr>
            <w:tcW w:w="4655"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233A6123">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1. 支持监控摄像机、编码设备、存储设备、解码设备等物联设备在线状态、工作状态、硬盘状态、指标采集。</w:t>
            </w:r>
            <w:r>
              <w:rPr>
                <w:rFonts w:hint="eastAsia" w:ascii="宋体" w:hAnsi="宋体" w:eastAsia="宋体" w:cs="宋体"/>
                <w:sz w:val="24"/>
                <w:szCs w:val="24"/>
              </w:rPr>
              <w:br w:type="textWrapping"/>
            </w:r>
            <w:r>
              <w:rPr>
                <w:rFonts w:hint="eastAsia" w:ascii="宋体" w:hAnsi="宋体" w:eastAsia="宋体" w:cs="宋体"/>
                <w:sz w:val="24"/>
                <w:szCs w:val="24"/>
              </w:rPr>
              <w:t>2. 支持监控点通道的在线状态、录制状态、录像完整性、录像保存天数指标检测。</w:t>
            </w:r>
            <w:r>
              <w:rPr>
                <w:rFonts w:hint="eastAsia" w:ascii="宋体" w:hAnsi="宋体" w:eastAsia="宋体" w:cs="宋体"/>
                <w:sz w:val="24"/>
                <w:szCs w:val="24"/>
              </w:rPr>
              <w:br w:type="textWrapping"/>
            </w:r>
            <w:r>
              <w:rPr>
                <w:rFonts w:hint="eastAsia" w:ascii="宋体" w:hAnsi="宋体" w:eastAsia="宋体" w:cs="宋体"/>
                <w:sz w:val="24"/>
                <w:szCs w:val="24"/>
              </w:rPr>
              <w:t>3. 支持告警信息统计展现。并支持对监控点、编码设备、解码设备、视频综合矩阵、NVR/CVR、云储存、门禁设备、门禁点、读卡器、梯控设备/梯控读卡器/可视对讲的告警阈值进行配置。</w:t>
            </w:r>
            <w:r>
              <w:rPr>
                <w:rFonts w:hint="eastAsia" w:ascii="宋体" w:hAnsi="宋体" w:eastAsia="宋体" w:cs="宋体"/>
                <w:sz w:val="24"/>
                <w:szCs w:val="24"/>
              </w:rPr>
              <w:br w:type="textWrapping"/>
            </w:r>
            <w:r>
              <w:rPr>
                <w:rFonts w:hint="eastAsia" w:ascii="宋体" w:hAnsi="宋体" w:eastAsia="宋体" w:cs="宋体"/>
                <w:sz w:val="24"/>
                <w:szCs w:val="24"/>
              </w:rPr>
              <w:t>4. 提供视频运维报表统计能力，包含区域综合排名统计、录像完整性统计、录像存储达标统计、在线状态统计、离线时长统计报表。</w:t>
            </w:r>
            <w:r>
              <w:rPr>
                <w:rFonts w:hint="eastAsia" w:ascii="宋体" w:hAnsi="宋体" w:eastAsia="宋体" w:cs="宋体"/>
                <w:sz w:val="24"/>
                <w:szCs w:val="24"/>
              </w:rPr>
              <w:br w:type="textWrapping"/>
            </w:r>
            <w:r>
              <w:rPr>
                <w:rFonts w:hint="eastAsia" w:ascii="宋体" w:hAnsi="宋体" w:eastAsia="宋体" w:cs="宋体"/>
                <w:sz w:val="24"/>
                <w:szCs w:val="24"/>
              </w:rPr>
              <w:t>5. 支持巡检计划配置，可以按照类型和资源以及自定义的巡检周期进行巡检计划配置。</w:t>
            </w:r>
          </w:p>
        </w:tc>
        <w:tc>
          <w:tcPr>
            <w:tcW w:w="1067"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060664A1">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400</w:t>
            </w:r>
          </w:p>
        </w:tc>
        <w:tc>
          <w:tcPr>
            <w:tcW w:w="856" w:type="dxa"/>
            <w:tcBorders>
              <w:top w:val="single" w:color="000000" w:sz="4" w:space="0"/>
              <w:left w:val="single" w:color="000000" w:sz="4" w:space="0"/>
              <w:bottom w:val="single" w:color="000000" w:sz="4" w:space="0"/>
              <w:right w:val="double" w:color="000000" w:sz="4" w:space="0"/>
            </w:tcBorders>
            <w:tcMar>
              <w:top w:w="0" w:type="dxa"/>
              <w:left w:w="105" w:type="dxa"/>
              <w:bottom w:w="0" w:type="dxa"/>
              <w:right w:w="105" w:type="dxa"/>
            </w:tcMar>
            <w:vAlign w:val="top"/>
          </w:tcPr>
          <w:p w14:paraId="2A7C622E">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台</w:t>
            </w:r>
          </w:p>
        </w:tc>
      </w:tr>
      <w:tr w14:paraId="05B057CE">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74" w:type="dxa"/>
            <w:tcBorders>
              <w:top w:val="single" w:color="000000" w:sz="4" w:space="0"/>
              <w:left w:val="double" w:color="000000" w:sz="4" w:space="0"/>
              <w:bottom w:val="single" w:color="000000" w:sz="4" w:space="0"/>
              <w:right w:val="single" w:color="000000" w:sz="4" w:space="0"/>
            </w:tcBorders>
            <w:tcMar>
              <w:top w:w="0" w:type="dxa"/>
              <w:left w:w="105" w:type="dxa"/>
              <w:bottom w:w="0" w:type="dxa"/>
              <w:right w:w="105" w:type="dxa"/>
            </w:tcMar>
            <w:vAlign w:val="top"/>
          </w:tcPr>
          <w:p w14:paraId="16416386">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2.7</w:t>
            </w:r>
          </w:p>
        </w:tc>
        <w:tc>
          <w:tcPr>
            <w:tcW w:w="950"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16F1DDDF">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边缘计算设备2(评审项171)</w:t>
            </w:r>
          </w:p>
        </w:tc>
        <w:tc>
          <w:tcPr>
            <w:tcW w:w="4655"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70280BAB">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设备为边缘侧综合计算设备，可部署于业务前端站点，完成现场数据采集、协议解析、视频智能分析、本地缓存、断点续传、数据过滤预处理后再上送云端平台；支持容器化部署边缘应用，适配国产化操作系统，支持7×24 小时无人值守稳定运行。</w:t>
            </w:r>
          </w:p>
          <w:p w14:paraId="03409456">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1. 整机形态：机架式安装，机箱高度≤2U，适合部署于站点机柜，支持 7×24 小时不间断运行；工作环境温度 0℃</w:t>
            </w:r>
            <w:r>
              <w:rPr>
                <w:rFonts w:hint="eastAsia" w:ascii="宋体" w:hAnsi="宋体" w:eastAsia="宋体" w:cs="宋体"/>
                <w:sz w:val="24"/>
                <w:szCs w:val="24"/>
                <w:lang w:val="en-US" w:eastAsia="zh-CN"/>
              </w:rPr>
              <w:t>-</w:t>
            </w:r>
            <w:r>
              <w:rPr>
                <w:rFonts w:hint="eastAsia" w:ascii="宋体" w:hAnsi="宋体" w:eastAsia="宋体" w:cs="宋体"/>
                <w:sz w:val="24"/>
                <w:szCs w:val="24"/>
              </w:rPr>
              <w:t>45℃，具备边缘现场宽温适应性。</w:t>
            </w:r>
          </w:p>
          <w:p w14:paraId="2592DB5E">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2.需提供保障监控系统和数据库运行的计算资源。提供冗余存储、冗余电源、冗余网络，当设备的一个存储或一个电源出现故障，保证系统不停机连续运行。需提供保障监控系统数和数据库运行的计算资源。提供冗余存储、冗余电源、冗余网络，当设备的一个存储或一个电源出现故障，保证系统不停机连续运行。</w:t>
            </w:r>
          </w:p>
          <w:p w14:paraId="2826D30D">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3. 阵列卡：配置≥1块SAS+HBA卡(支持RAID 0/1/10)</w:t>
            </w:r>
          </w:p>
          <w:p w14:paraId="752F91B6">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4. PCIE扩展：支持4个PCIe 4.0扩展插槽</w:t>
            </w:r>
          </w:p>
          <w:p w14:paraId="4DA41CB5">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5. 网口：板载≥2个千兆电口和≥2个PCIE千兆电口</w:t>
            </w:r>
          </w:p>
          <w:p w14:paraId="45563768">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6. 其他接口：≥1个千兆RJ-45管理接口</w:t>
            </w:r>
          </w:p>
          <w:p w14:paraId="2067E58B">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7. ≥2个VGA接口，≥1个位于机箱后部、≥1个位于机箱前部</w:t>
            </w:r>
          </w:p>
          <w:p w14:paraId="0CD684B1">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8. ≥5个USB接口，≥2个位于机箱后部、≥2个位于机箱前部、≥1个位于机箱内部</w:t>
            </w:r>
          </w:p>
          <w:p w14:paraId="418360F6">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9. ≥1个Type-C Debug接口位于机箱前部</w:t>
            </w:r>
          </w:p>
          <w:p w14:paraId="359332F9">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10. 电源：配置≥550W（1+1）高效CRPS冗余白金电源。</w:t>
            </w:r>
          </w:p>
          <w:p w14:paraId="397E91F3">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注:以上内容应满足信创建设及适配要求。</w:t>
            </w:r>
          </w:p>
        </w:tc>
        <w:tc>
          <w:tcPr>
            <w:tcW w:w="1067"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5879AAC3">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1</w:t>
            </w:r>
          </w:p>
        </w:tc>
        <w:tc>
          <w:tcPr>
            <w:tcW w:w="856" w:type="dxa"/>
            <w:tcBorders>
              <w:top w:val="single" w:color="000000" w:sz="4" w:space="0"/>
              <w:left w:val="single" w:color="000000" w:sz="4" w:space="0"/>
              <w:bottom w:val="single" w:color="000000" w:sz="4" w:space="0"/>
              <w:right w:val="double" w:color="000000" w:sz="4" w:space="0"/>
            </w:tcBorders>
            <w:tcMar>
              <w:top w:w="0" w:type="dxa"/>
              <w:left w:w="105" w:type="dxa"/>
              <w:bottom w:w="0" w:type="dxa"/>
              <w:right w:w="105" w:type="dxa"/>
            </w:tcMar>
            <w:vAlign w:val="top"/>
          </w:tcPr>
          <w:p w14:paraId="087EA625">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台</w:t>
            </w:r>
          </w:p>
        </w:tc>
      </w:tr>
      <w:tr w14:paraId="2EC3A829">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74" w:type="dxa"/>
            <w:tcBorders>
              <w:top w:val="single" w:color="000000" w:sz="4" w:space="0"/>
              <w:left w:val="double" w:color="000000" w:sz="4" w:space="0"/>
              <w:bottom w:val="single" w:color="000000" w:sz="4" w:space="0"/>
              <w:right w:val="single" w:color="000000" w:sz="4" w:space="0"/>
            </w:tcBorders>
            <w:tcMar>
              <w:top w:w="0" w:type="dxa"/>
              <w:left w:w="105" w:type="dxa"/>
              <w:bottom w:w="0" w:type="dxa"/>
              <w:right w:w="105" w:type="dxa"/>
            </w:tcMar>
            <w:vAlign w:val="top"/>
          </w:tcPr>
          <w:p w14:paraId="3DE6B51B">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2.8</w:t>
            </w:r>
          </w:p>
        </w:tc>
        <w:tc>
          <w:tcPr>
            <w:tcW w:w="950"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59851391">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报警接入网关(评审项172)</w:t>
            </w:r>
          </w:p>
        </w:tc>
        <w:tc>
          <w:tcPr>
            <w:tcW w:w="4655"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75A49E05">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可以接入市场主流报警主机，获取报警主机状态及报警消息上报，远程控制报警主机。</w:t>
            </w:r>
          </w:p>
        </w:tc>
        <w:tc>
          <w:tcPr>
            <w:tcW w:w="1067"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3304DF66">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1</w:t>
            </w:r>
          </w:p>
        </w:tc>
        <w:tc>
          <w:tcPr>
            <w:tcW w:w="856" w:type="dxa"/>
            <w:tcBorders>
              <w:top w:val="single" w:color="000000" w:sz="4" w:space="0"/>
              <w:left w:val="single" w:color="000000" w:sz="4" w:space="0"/>
              <w:bottom w:val="single" w:color="000000" w:sz="4" w:space="0"/>
              <w:right w:val="double" w:color="000000" w:sz="4" w:space="0"/>
            </w:tcBorders>
            <w:tcMar>
              <w:top w:w="0" w:type="dxa"/>
              <w:left w:w="105" w:type="dxa"/>
              <w:bottom w:w="0" w:type="dxa"/>
              <w:right w:w="105" w:type="dxa"/>
            </w:tcMar>
            <w:vAlign w:val="top"/>
          </w:tcPr>
          <w:p w14:paraId="5D75A0B4">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台</w:t>
            </w:r>
          </w:p>
        </w:tc>
      </w:tr>
      <w:tr w14:paraId="4F8DE803">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74" w:type="dxa"/>
            <w:tcBorders>
              <w:top w:val="single" w:color="000000" w:sz="4" w:space="0"/>
              <w:left w:val="double" w:color="000000" w:sz="4" w:space="0"/>
              <w:bottom w:val="single" w:color="000000" w:sz="4" w:space="0"/>
              <w:right w:val="single" w:color="000000" w:sz="4" w:space="0"/>
            </w:tcBorders>
            <w:tcMar>
              <w:top w:w="0" w:type="dxa"/>
              <w:left w:w="105" w:type="dxa"/>
              <w:bottom w:w="0" w:type="dxa"/>
              <w:right w:w="105" w:type="dxa"/>
            </w:tcMar>
            <w:vAlign w:val="top"/>
          </w:tcPr>
          <w:p w14:paraId="086A5B9D">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2.9</w:t>
            </w:r>
          </w:p>
        </w:tc>
        <w:tc>
          <w:tcPr>
            <w:tcW w:w="950"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0427D51D">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解码器(评审项173)</w:t>
            </w:r>
          </w:p>
        </w:tc>
        <w:tc>
          <w:tcPr>
            <w:tcW w:w="4655"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1598B122">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1. 支持网络IPC、NVR等设备类型作为网络信号源输入</w:t>
            </w:r>
            <w:r>
              <w:rPr>
                <w:rFonts w:hint="eastAsia" w:ascii="宋体" w:hAnsi="宋体" w:eastAsia="宋体" w:cs="宋体"/>
                <w:sz w:val="24"/>
                <w:szCs w:val="24"/>
              </w:rPr>
              <w:br w:type="textWrapping"/>
            </w:r>
            <w:r>
              <w:rPr>
                <w:rFonts w:hint="eastAsia" w:ascii="宋体" w:hAnsi="宋体" w:eastAsia="宋体" w:cs="宋体"/>
                <w:sz w:val="24"/>
                <w:szCs w:val="24"/>
              </w:rPr>
              <w:t>2. HDMI输出路数: ≥10</w:t>
            </w:r>
            <w:r>
              <w:rPr>
                <w:rFonts w:hint="eastAsia" w:ascii="宋体" w:hAnsi="宋体" w:eastAsia="宋体" w:cs="宋体"/>
                <w:sz w:val="24"/>
                <w:szCs w:val="24"/>
              </w:rPr>
              <w:br w:type="textWrapping"/>
            </w:r>
            <w:r>
              <w:rPr>
                <w:rFonts w:hint="eastAsia" w:ascii="宋体" w:hAnsi="宋体" w:eastAsia="宋体" w:cs="宋体"/>
                <w:sz w:val="24"/>
                <w:szCs w:val="24"/>
              </w:rPr>
              <w:t>3. 支持HDMI 1.4视频信号输出，支持≥4K分辨率（≥3840 × 2160@30 Hz）超高清输出；支持对接LED显示系统，视频输出最大的LED带载能力为单口≥260 W</w:t>
            </w:r>
            <w:r>
              <w:rPr>
                <w:rFonts w:hint="eastAsia" w:ascii="宋体" w:hAnsi="宋体" w:eastAsia="宋体" w:cs="宋体"/>
                <w:sz w:val="24"/>
                <w:szCs w:val="24"/>
              </w:rPr>
              <w:br w:type="textWrapping"/>
            </w:r>
            <w:r>
              <w:rPr>
                <w:rFonts w:hint="eastAsia" w:ascii="宋体" w:hAnsi="宋体" w:eastAsia="宋体" w:cs="宋体"/>
                <w:sz w:val="24"/>
                <w:szCs w:val="24"/>
              </w:rPr>
              <w:t>4. 支持两种音频输出方式：HDMI内嵌音频和外置音频输出</w:t>
            </w:r>
            <w:r>
              <w:rPr>
                <w:rFonts w:hint="eastAsia" w:ascii="宋体" w:hAnsi="宋体" w:eastAsia="宋体" w:cs="宋体"/>
                <w:sz w:val="24"/>
                <w:szCs w:val="24"/>
              </w:rPr>
              <w:br w:type="textWrapping"/>
            </w:r>
            <w:r>
              <w:rPr>
                <w:rFonts w:hint="eastAsia" w:ascii="宋体" w:hAnsi="宋体" w:eastAsia="宋体" w:cs="宋体"/>
                <w:sz w:val="24"/>
                <w:szCs w:val="24"/>
              </w:rPr>
              <w:t>5. 采用H.264/H.265编码标准，默认采用H.265，支持子码流及主码流编码</w:t>
            </w:r>
            <w:r>
              <w:rPr>
                <w:rFonts w:hint="eastAsia" w:ascii="宋体" w:hAnsi="宋体" w:eastAsia="宋体" w:cs="宋体"/>
                <w:sz w:val="24"/>
                <w:szCs w:val="24"/>
              </w:rPr>
              <w:br w:type="textWrapping"/>
            </w:r>
            <w:r>
              <w:rPr>
                <w:rFonts w:hint="eastAsia" w:ascii="宋体" w:hAnsi="宋体" w:eastAsia="宋体" w:cs="宋体"/>
                <w:sz w:val="24"/>
                <w:szCs w:val="24"/>
              </w:rPr>
              <w:t>6. 支持网络设备解码，支持H.264、H.265、Smart264、Smart265、MJPEG等主流码流格式，支持PS、TS、ES、RTP等主流封装格式，支持子码流及主码流切换</w:t>
            </w:r>
            <w:r>
              <w:rPr>
                <w:rFonts w:hint="eastAsia" w:ascii="宋体" w:hAnsi="宋体" w:eastAsia="宋体" w:cs="宋体"/>
                <w:sz w:val="24"/>
                <w:szCs w:val="24"/>
              </w:rPr>
              <w:br w:type="textWrapping"/>
            </w:r>
            <w:r>
              <w:rPr>
                <w:rFonts w:hint="eastAsia" w:ascii="宋体" w:hAnsi="宋体" w:eastAsia="宋体" w:cs="宋体"/>
                <w:sz w:val="24"/>
                <w:szCs w:val="24"/>
              </w:rPr>
              <w:t>7. 最大支持≥3200w分辨率解码，具有≥160个解码通道，支持≥80路200W，或≥160路720P视频同时解码上墙</w:t>
            </w:r>
            <w:r>
              <w:rPr>
                <w:rFonts w:hint="eastAsia" w:ascii="宋体" w:hAnsi="宋体" w:eastAsia="宋体" w:cs="宋体"/>
                <w:sz w:val="24"/>
                <w:szCs w:val="24"/>
              </w:rPr>
              <w:br w:type="textWrapping"/>
            </w:r>
            <w:r>
              <w:rPr>
                <w:rFonts w:hint="eastAsia" w:ascii="宋体" w:hAnsi="宋体" w:eastAsia="宋体" w:cs="宋体"/>
                <w:sz w:val="24"/>
                <w:szCs w:val="24"/>
              </w:rPr>
              <w:t>8. 支持客户端软件将电脑投屏后，通过设备对电脑进行远程操作。</w:t>
            </w:r>
            <w:r>
              <w:rPr>
                <w:rFonts w:hint="eastAsia" w:ascii="宋体" w:hAnsi="宋体" w:eastAsia="宋体" w:cs="宋体"/>
                <w:sz w:val="24"/>
                <w:szCs w:val="24"/>
              </w:rPr>
              <w:br w:type="textWrapping"/>
            </w:r>
            <w:r>
              <w:rPr>
                <w:rFonts w:hint="eastAsia" w:ascii="宋体" w:hAnsi="宋体" w:eastAsia="宋体" w:cs="宋体"/>
                <w:sz w:val="24"/>
                <w:szCs w:val="24"/>
              </w:rPr>
              <w:t>9. 支持加密码流、多轨码流、智能码流解码；支持码流修改和切换；支持解码异常提示</w:t>
            </w:r>
            <w:r>
              <w:rPr>
                <w:rFonts w:hint="eastAsia" w:ascii="宋体" w:hAnsi="宋体" w:eastAsia="宋体" w:cs="宋体"/>
                <w:sz w:val="24"/>
                <w:szCs w:val="24"/>
              </w:rPr>
              <w:br w:type="textWrapping"/>
            </w:r>
            <w:r>
              <w:rPr>
                <w:rFonts w:hint="eastAsia" w:ascii="宋体" w:hAnsi="宋体" w:eastAsia="宋体" w:cs="宋体"/>
                <w:sz w:val="24"/>
                <w:szCs w:val="24"/>
              </w:rPr>
              <w:t>10. 支持单面电视墙拼接、开窗、窗口跨屏漫游、场景轮巡和窗口轮巡功能，单屏支持≥4个1080P或≥2个4K图层，单窗口支持1/4/6/8/9/16/25/36窗口分屏功能，整机最大支持≥64个场景，整机支持≥256个平台预案轮巡组</w:t>
            </w:r>
            <w:r>
              <w:rPr>
                <w:rFonts w:hint="eastAsia" w:ascii="宋体" w:hAnsi="宋体" w:eastAsia="宋体" w:cs="宋体"/>
                <w:sz w:val="24"/>
                <w:szCs w:val="24"/>
              </w:rPr>
              <w:br w:type="textWrapping"/>
            </w:r>
            <w:r>
              <w:rPr>
                <w:rFonts w:hint="eastAsia" w:ascii="宋体" w:hAnsi="宋体" w:eastAsia="宋体" w:cs="宋体"/>
                <w:sz w:val="24"/>
                <w:szCs w:val="24"/>
              </w:rPr>
              <w:t>11. 支持RTP\RTSP协议进行网络源预览，可通过客户端进行桌面投屏上墙</w:t>
            </w:r>
            <w:r>
              <w:rPr>
                <w:rFonts w:hint="eastAsia" w:ascii="宋体" w:hAnsi="宋体" w:eastAsia="宋体" w:cs="宋体"/>
                <w:sz w:val="24"/>
                <w:szCs w:val="24"/>
              </w:rPr>
              <w:br w:type="textWrapping"/>
            </w:r>
            <w:r>
              <w:rPr>
                <w:rFonts w:hint="eastAsia" w:ascii="宋体" w:hAnsi="宋体" w:eastAsia="宋体" w:cs="宋体"/>
                <w:sz w:val="24"/>
                <w:szCs w:val="24"/>
              </w:rPr>
              <w:t>12. 支持电视墙界面对网络信号源云台八个方向、自动扫描、光圈、调焦、聚焦、调用预置点等操作</w:t>
            </w:r>
            <w:r>
              <w:rPr>
                <w:rFonts w:hint="eastAsia" w:ascii="宋体" w:hAnsi="宋体" w:eastAsia="宋体" w:cs="宋体"/>
                <w:sz w:val="24"/>
                <w:szCs w:val="24"/>
              </w:rPr>
              <w:br w:type="textWrapping"/>
            </w:r>
            <w:r>
              <w:rPr>
                <w:rFonts w:hint="eastAsia" w:ascii="宋体" w:hAnsi="宋体" w:eastAsia="宋体" w:cs="宋体"/>
                <w:sz w:val="24"/>
                <w:szCs w:val="24"/>
              </w:rPr>
              <w:t>13. 支持电视墙窗口开始/停止预览、开始/停止解码、开始/停止轮巡、打开/关闭声音、置顶、置底等操作</w:t>
            </w:r>
          </w:p>
        </w:tc>
        <w:tc>
          <w:tcPr>
            <w:tcW w:w="1067"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22C33F74">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1</w:t>
            </w:r>
          </w:p>
        </w:tc>
        <w:tc>
          <w:tcPr>
            <w:tcW w:w="856" w:type="dxa"/>
            <w:tcBorders>
              <w:top w:val="single" w:color="000000" w:sz="4" w:space="0"/>
              <w:left w:val="single" w:color="000000" w:sz="4" w:space="0"/>
              <w:bottom w:val="single" w:color="000000" w:sz="4" w:space="0"/>
              <w:right w:val="double" w:color="000000" w:sz="4" w:space="0"/>
            </w:tcBorders>
            <w:tcMar>
              <w:top w:w="0" w:type="dxa"/>
              <w:left w:w="105" w:type="dxa"/>
              <w:bottom w:w="0" w:type="dxa"/>
              <w:right w:w="105" w:type="dxa"/>
            </w:tcMar>
            <w:vAlign w:val="top"/>
          </w:tcPr>
          <w:p w14:paraId="395C7941">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台</w:t>
            </w:r>
          </w:p>
        </w:tc>
      </w:tr>
      <w:tr w14:paraId="32348A9D">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74" w:type="dxa"/>
            <w:tcBorders>
              <w:top w:val="single" w:color="000000" w:sz="4" w:space="0"/>
              <w:left w:val="double" w:color="000000" w:sz="4" w:space="0"/>
              <w:bottom w:val="single" w:color="000000" w:sz="4" w:space="0"/>
              <w:right w:val="single" w:color="000000" w:sz="4" w:space="0"/>
            </w:tcBorders>
            <w:tcMar>
              <w:top w:w="0" w:type="dxa"/>
              <w:left w:w="105" w:type="dxa"/>
              <w:bottom w:w="0" w:type="dxa"/>
              <w:right w:w="105" w:type="dxa"/>
            </w:tcMar>
            <w:vAlign w:val="top"/>
          </w:tcPr>
          <w:p w14:paraId="224E7283">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2.10</w:t>
            </w:r>
          </w:p>
        </w:tc>
        <w:tc>
          <w:tcPr>
            <w:tcW w:w="950"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57615020">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汇聚交换机(评审项174)</w:t>
            </w:r>
          </w:p>
        </w:tc>
        <w:tc>
          <w:tcPr>
            <w:tcW w:w="4655"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0DB6D234">
            <w:pPr>
              <w:pStyle w:val="6"/>
              <w:keepNext w:val="0"/>
              <w:keepLines w:val="0"/>
              <w:pageBreakBefore w:val="0"/>
              <w:numPr>
                <w:ilvl w:val="0"/>
                <w:numId w:val="2"/>
              </w:numPr>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千兆SFP光口≥24个，千兆Combo口≥4个，万兆SFP+光口≥4个，Console口≥1个、Manage口≥1个；</w:t>
            </w:r>
            <w:r>
              <w:rPr>
                <w:rFonts w:hint="eastAsia" w:ascii="宋体" w:hAnsi="宋体" w:eastAsia="宋体" w:cs="宋体"/>
                <w:sz w:val="24"/>
                <w:szCs w:val="24"/>
              </w:rPr>
              <w:br w:type="textWrapping"/>
            </w:r>
            <w:r>
              <w:rPr>
                <w:rFonts w:hint="eastAsia" w:ascii="宋体" w:hAnsi="宋体" w:eastAsia="宋体" w:cs="宋体"/>
                <w:sz w:val="24"/>
                <w:szCs w:val="24"/>
              </w:rPr>
              <w:t>2、交换容量≥672Gbps/6.72Tbps，包转发率≥171Mpps/309Mpps。</w:t>
            </w:r>
          </w:p>
          <w:p w14:paraId="471739D0">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3、支持IGMP v1/v2/v3 Snooping，支持STP、RSTP、MSTP协议，支持端口聚合，支持手工和静态LACP。</w:t>
            </w:r>
          </w:p>
          <w:p w14:paraId="59F6A297">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4、支持智能交换机和普通交换机两种工作模式，可以根据不同的组网需要，随时灵活的进行切换；</w:t>
            </w:r>
          </w:p>
          <w:p w14:paraId="2C8CD6A1">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5、支持交换机运行状态可视化、交换机画像可视化、终端业务可视化、IP地址池可视化；支持M-LAG技术，要求配对的设备有独立的控制平面；</w:t>
            </w:r>
          </w:p>
        </w:tc>
        <w:tc>
          <w:tcPr>
            <w:tcW w:w="1067"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699A19D9">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1</w:t>
            </w:r>
          </w:p>
        </w:tc>
        <w:tc>
          <w:tcPr>
            <w:tcW w:w="856" w:type="dxa"/>
            <w:tcBorders>
              <w:top w:val="single" w:color="000000" w:sz="4" w:space="0"/>
              <w:left w:val="single" w:color="000000" w:sz="4" w:space="0"/>
              <w:bottom w:val="single" w:color="000000" w:sz="4" w:space="0"/>
              <w:right w:val="double" w:color="000000" w:sz="4" w:space="0"/>
            </w:tcBorders>
            <w:tcMar>
              <w:top w:w="0" w:type="dxa"/>
              <w:left w:w="105" w:type="dxa"/>
              <w:bottom w:w="0" w:type="dxa"/>
              <w:right w:w="105" w:type="dxa"/>
            </w:tcMar>
            <w:vAlign w:val="top"/>
          </w:tcPr>
          <w:p w14:paraId="5E745276">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台</w:t>
            </w:r>
          </w:p>
        </w:tc>
      </w:tr>
      <w:tr w14:paraId="1B1E401B">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74" w:type="dxa"/>
            <w:tcBorders>
              <w:top w:val="single" w:color="000000" w:sz="4" w:space="0"/>
              <w:left w:val="double" w:color="000000" w:sz="4" w:space="0"/>
              <w:bottom w:val="single" w:color="000000" w:sz="4" w:space="0"/>
              <w:right w:val="single" w:color="000000" w:sz="4" w:space="0"/>
            </w:tcBorders>
            <w:tcMar>
              <w:top w:w="0" w:type="dxa"/>
              <w:left w:w="105" w:type="dxa"/>
              <w:bottom w:w="0" w:type="dxa"/>
              <w:right w:w="105" w:type="dxa"/>
            </w:tcMar>
            <w:vAlign w:val="top"/>
          </w:tcPr>
          <w:p w14:paraId="0DE6D436">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2.11</w:t>
            </w:r>
          </w:p>
        </w:tc>
        <w:tc>
          <w:tcPr>
            <w:tcW w:w="950"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1490D862">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核心交换机(评审项175)</w:t>
            </w:r>
          </w:p>
        </w:tc>
        <w:tc>
          <w:tcPr>
            <w:tcW w:w="4655"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334C354D">
            <w:pPr>
              <w:pStyle w:val="6"/>
              <w:keepNext w:val="0"/>
              <w:keepLines w:val="0"/>
              <w:pageBreakBefore w:val="0"/>
              <w:numPr>
                <w:ilvl w:val="0"/>
                <w:numId w:val="2"/>
              </w:numPr>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千兆光口≥24个，千兆电口≥8，万兆SFP+光口≥4个，扩展插槽≥1个，支持双电源模块（电源模块支持交流）。</w:t>
            </w:r>
            <w:r>
              <w:rPr>
                <w:rFonts w:hint="eastAsia" w:ascii="宋体" w:hAnsi="宋体" w:eastAsia="宋体" w:cs="宋体"/>
                <w:sz w:val="24"/>
                <w:szCs w:val="24"/>
              </w:rPr>
              <w:br w:type="textWrapping"/>
            </w:r>
            <w:r>
              <w:rPr>
                <w:rFonts w:hint="eastAsia" w:ascii="宋体" w:hAnsi="宋体" w:eastAsia="宋体" w:cs="宋体"/>
                <w:sz w:val="24"/>
                <w:szCs w:val="24"/>
              </w:rPr>
              <w:t>2、交换容量≥2.4Tbps/24Tbps，包转发率≥780Mpps/810Mpps。</w:t>
            </w:r>
          </w:p>
          <w:p w14:paraId="535E7266">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3、三层功能支持静态路由、DHCP Server；二层功能支持MAC地址≥32K，支持MAC地址自动学习；</w:t>
            </w:r>
          </w:p>
          <w:p w14:paraId="64BA1098">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4、支持外部服务器认证，实现Radius、LADP认证等；支持DHCP Snooping，支持交换机端口设置为信任端口或非信任端口，非信任端口也可设置白名单响应DHCP报文；</w:t>
            </w:r>
          </w:p>
          <w:p w14:paraId="64C78622">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5、支持M-LAG技术，要求配对的设备有独立的控制平面；</w:t>
            </w:r>
          </w:p>
          <w:p w14:paraId="68B02ED8">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6、▲交换机支持与外部安全感知平台联动，且联动实现从系统及接入层交换机对风险终端MAC地址进行封堵；交换机支持与外部防火墙联动，且联动实现从系统及接入层交换机对风险终端MAC地址进行封堵。</w:t>
            </w:r>
            <w:r>
              <w:rPr>
                <w:rFonts w:hint="eastAsia" w:ascii="宋体" w:hAnsi="宋体" w:eastAsia="宋体" w:cs="宋体"/>
                <w:b/>
                <w:sz w:val="24"/>
                <w:szCs w:val="24"/>
              </w:rPr>
              <w:t>（投标人须提供测试报告进行佐证，测试报告中受检（或委托）单位须为相应产品的制造商或投标人）</w:t>
            </w:r>
          </w:p>
        </w:tc>
        <w:tc>
          <w:tcPr>
            <w:tcW w:w="1067"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69071770">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2</w:t>
            </w:r>
          </w:p>
        </w:tc>
        <w:tc>
          <w:tcPr>
            <w:tcW w:w="856" w:type="dxa"/>
            <w:tcBorders>
              <w:top w:val="single" w:color="000000" w:sz="4" w:space="0"/>
              <w:left w:val="single" w:color="000000" w:sz="4" w:space="0"/>
              <w:bottom w:val="single" w:color="000000" w:sz="4" w:space="0"/>
              <w:right w:val="double" w:color="000000" w:sz="4" w:space="0"/>
            </w:tcBorders>
            <w:tcMar>
              <w:top w:w="0" w:type="dxa"/>
              <w:left w:w="105" w:type="dxa"/>
              <w:bottom w:w="0" w:type="dxa"/>
              <w:right w:w="105" w:type="dxa"/>
            </w:tcMar>
            <w:vAlign w:val="top"/>
          </w:tcPr>
          <w:p w14:paraId="7966C565">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台</w:t>
            </w:r>
          </w:p>
        </w:tc>
      </w:tr>
      <w:tr w14:paraId="665BECB3">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74" w:type="dxa"/>
            <w:tcBorders>
              <w:top w:val="single" w:color="000000" w:sz="4" w:space="0"/>
              <w:left w:val="double" w:color="000000" w:sz="4" w:space="0"/>
              <w:bottom w:val="single" w:color="000000" w:sz="4" w:space="0"/>
              <w:right w:val="single" w:color="000000" w:sz="4" w:space="0"/>
            </w:tcBorders>
            <w:tcMar>
              <w:top w:w="0" w:type="dxa"/>
              <w:left w:w="105" w:type="dxa"/>
              <w:bottom w:w="0" w:type="dxa"/>
              <w:right w:w="105" w:type="dxa"/>
            </w:tcMar>
            <w:vAlign w:val="top"/>
          </w:tcPr>
          <w:p w14:paraId="064A8C6F">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2.12</w:t>
            </w:r>
          </w:p>
        </w:tc>
        <w:tc>
          <w:tcPr>
            <w:tcW w:w="950"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62B5B41C">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千兆光模块(评审项176)</w:t>
            </w:r>
          </w:p>
        </w:tc>
        <w:tc>
          <w:tcPr>
            <w:tcW w:w="4655"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56917099">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SFP 千兆单模光模块，单模，1310nm，最大传输距离≥40km，接头类型：LC。</w:t>
            </w:r>
          </w:p>
        </w:tc>
        <w:tc>
          <w:tcPr>
            <w:tcW w:w="1067"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37777865">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22</w:t>
            </w:r>
          </w:p>
        </w:tc>
        <w:tc>
          <w:tcPr>
            <w:tcW w:w="856" w:type="dxa"/>
            <w:tcBorders>
              <w:top w:val="single" w:color="000000" w:sz="4" w:space="0"/>
              <w:left w:val="single" w:color="000000" w:sz="4" w:space="0"/>
              <w:bottom w:val="single" w:color="000000" w:sz="4" w:space="0"/>
              <w:right w:val="double" w:color="000000" w:sz="4" w:space="0"/>
            </w:tcBorders>
            <w:tcMar>
              <w:top w:w="0" w:type="dxa"/>
              <w:left w:w="105" w:type="dxa"/>
              <w:bottom w:w="0" w:type="dxa"/>
              <w:right w:w="105" w:type="dxa"/>
            </w:tcMar>
            <w:vAlign w:val="top"/>
          </w:tcPr>
          <w:p w14:paraId="3D9E1CE3">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个</w:t>
            </w:r>
          </w:p>
        </w:tc>
      </w:tr>
      <w:tr w14:paraId="3CFC6612">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74" w:type="dxa"/>
            <w:tcBorders>
              <w:top w:val="single" w:color="000000" w:sz="4" w:space="0"/>
              <w:left w:val="double" w:color="000000" w:sz="4" w:space="0"/>
              <w:bottom w:val="single" w:color="000000" w:sz="4" w:space="0"/>
              <w:right w:val="single" w:color="000000" w:sz="4" w:space="0"/>
            </w:tcBorders>
            <w:tcMar>
              <w:top w:w="0" w:type="dxa"/>
              <w:left w:w="105" w:type="dxa"/>
              <w:bottom w:w="0" w:type="dxa"/>
              <w:right w:w="105" w:type="dxa"/>
            </w:tcMar>
            <w:vAlign w:val="top"/>
          </w:tcPr>
          <w:p w14:paraId="2AB29373">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2.13</w:t>
            </w:r>
          </w:p>
        </w:tc>
        <w:tc>
          <w:tcPr>
            <w:tcW w:w="950"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05418E89">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万兆光模块(评审项177)</w:t>
            </w:r>
          </w:p>
        </w:tc>
        <w:tc>
          <w:tcPr>
            <w:tcW w:w="4655"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1E51D6E8">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SFP+ 万兆单模光模块，单模，1310nm，最大传输距离≥10km，接头类型：LC。</w:t>
            </w:r>
          </w:p>
        </w:tc>
        <w:tc>
          <w:tcPr>
            <w:tcW w:w="1067"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384DA128">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4</w:t>
            </w:r>
          </w:p>
        </w:tc>
        <w:tc>
          <w:tcPr>
            <w:tcW w:w="856" w:type="dxa"/>
            <w:tcBorders>
              <w:top w:val="single" w:color="000000" w:sz="4" w:space="0"/>
              <w:left w:val="single" w:color="000000" w:sz="4" w:space="0"/>
              <w:bottom w:val="single" w:color="000000" w:sz="4" w:space="0"/>
              <w:right w:val="double" w:color="000000" w:sz="4" w:space="0"/>
            </w:tcBorders>
            <w:tcMar>
              <w:top w:w="0" w:type="dxa"/>
              <w:left w:w="105" w:type="dxa"/>
              <w:bottom w:w="0" w:type="dxa"/>
              <w:right w:w="105" w:type="dxa"/>
            </w:tcMar>
            <w:vAlign w:val="top"/>
          </w:tcPr>
          <w:p w14:paraId="26D23961">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个</w:t>
            </w:r>
          </w:p>
        </w:tc>
      </w:tr>
      <w:tr w14:paraId="12C41402">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74" w:type="dxa"/>
            <w:tcBorders>
              <w:top w:val="single" w:color="000000" w:sz="4" w:space="0"/>
              <w:left w:val="double" w:color="000000" w:sz="4" w:space="0"/>
              <w:bottom w:val="single" w:color="000000" w:sz="4" w:space="0"/>
              <w:right w:val="single" w:color="000000" w:sz="4" w:space="0"/>
            </w:tcBorders>
            <w:tcMar>
              <w:top w:w="0" w:type="dxa"/>
              <w:left w:w="105" w:type="dxa"/>
              <w:bottom w:w="0" w:type="dxa"/>
              <w:right w:w="105" w:type="dxa"/>
            </w:tcMar>
            <w:vAlign w:val="top"/>
          </w:tcPr>
          <w:p w14:paraId="51BD487D">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2.14</w:t>
            </w:r>
          </w:p>
        </w:tc>
        <w:tc>
          <w:tcPr>
            <w:tcW w:w="950"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4DF084E0">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二合一防雷器(评审项178)</w:t>
            </w:r>
          </w:p>
        </w:tc>
        <w:tc>
          <w:tcPr>
            <w:tcW w:w="4655"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18D3F3FC">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1、传输速率：网络接口：≥1000Mbps。</w:t>
            </w:r>
            <w:r>
              <w:rPr>
                <w:rFonts w:hint="eastAsia" w:ascii="宋体" w:hAnsi="宋体" w:eastAsia="宋体" w:cs="宋体"/>
                <w:sz w:val="24"/>
                <w:szCs w:val="24"/>
              </w:rPr>
              <w:br w:type="textWrapping"/>
            </w:r>
            <w:r>
              <w:rPr>
                <w:rFonts w:hint="eastAsia" w:ascii="宋体" w:hAnsi="宋体" w:eastAsia="宋体" w:cs="宋体"/>
                <w:sz w:val="24"/>
                <w:szCs w:val="24"/>
              </w:rPr>
              <w:t>2、端口：RJ45网络端口电源端口。</w:t>
            </w:r>
          </w:p>
        </w:tc>
        <w:tc>
          <w:tcPr>
            <w:tcW w:w="1067"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2059182D">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4</w:t>
            </w:r>
          </w:p>
        </w:tc>
        <w:tc>
          <w:tcPr>
            <w:tcW w:w="856" w:type="dxa"/>
            <w:tcBorders>
              <w:top w:val="single" w:color="000000" w:sz="4" w:space="0"/>
              <w:left w:val="single" w:color="000000" w:sz="4" w:space="0"/>
              <w:bottom w:val="single" w:color="000000" w:sz="4" w:space="0"/>
              <w:right w:val="double" w:color="000000" w:sz="4" w:space="0"/>
            </w:tcBorders>
            <w:tcMar>
              <w:top w:w="0" w:type="dxa"/>
              <w:left w:w="105" w:type="dxa"/>
              <w:bottom w:w="0" w:type="dxa"/>
              <w:right w:w="105" w:type="dxa"/>
            </w:tcMar>
            <w:vAlign w:val="top"/>
          </w:tcPr>
          <w:p w14:paraId="5467C368">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台</w:t>
            </w:r>
          </w:p>
        </w:tc>
      </w:tr>
      <w:tr w14:paraId="014352C7">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74" w:type="dxa"/>
            <w:tcBorders>
              <w:top w:val="single" w:color="000000" w:sz="4" w:space="0"/>
              <w:left w:val="double" w:color="000000" w:sz="4" w:space="0"/>
              <w:bottom w:val="single" w:color="000000" w:sz="4" w:space="0"/>
              <w:right w:val="single" w:color="000000" w:sz="4" w:space="0"/>
            </w:tcBorders>
            <w:tcMar>
              <w:top w:w="0" w:type="dxa"/>
              <w:left w:w="105" w:type="dxa"/>
              <w:bottom w:w="0" w:type="dxa"/>
              <w:right w:w="105" w:type="dxa"/>
            </w:tcMar>
            <w:vAlign w:val="top"/>
          </w:tcPr>
          <w:p w14:paraId="0BB9C5F7">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2.15</w:t>
            </w:r>
          </w:p>
        </w:tc>
        <w:tc>
          <w:tcPr>
            <w:tcW w:w="950"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6F5656A0">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监控业务管理终端(评审项179)</w:t>
            </w:r>
          </w:p>
        </w:tc>
        <w:tc>
          <w:tcPr>
            <w:tcW w:w="4655"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1BE24F5C">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1.主控模块：适配视频解码、监控平台调度、录像检索回放等多任务并发业务处理，采用X86国产化处理器 (≥8核/16线程/3.0 GHz）</w:t>
            </w:r>
          </w:p>
          <w:p w14:paraId="65C17E23">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2.运行内存： ≥16 GB，≥3200速率，≥DDR4，≥4个内存插槽，最大支持≥128 GB内存</w:t>
            </w:r>
          </w:p>
          <w:p w14:paraId="3C235298">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3. SSD硬盘：≥512G M.2 SSD</w:t>
            </w:r>
          </w:p>
          <w:p w14:paraId="0821303E">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4. 图形加速单元：显存容量≥4 GB，视频接口≥1个HDMI，≥1个DP</w:t>
            </w:r>
          </w:p>
          <w:p w14:paraId="0D57177E">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5. 光盘读写模块：内置光盘读写驱动器，支持监控取证光盘刻录归档</w:t>
            </w:r>
          </w:p>
          <w:p w14:paraId="39D041EE">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6. 供电模块：≥350 W</w:t>
            </w:r>
          </w:p>
          <w:p w14:paraId="0D26E6A8">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7. 人机交互外设：含USB有线键鼠套件</w:t>
            </w:r>
          </w:p>
          <w:p w14:paraId="41D5AAA5">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8. 显示单元：≥23.8英寸，分辨率≥1920x1080，刷新率≥75Hz，≥1个HDMI，≥1个VGA视频接口</w:t>
            </w:r>
          </w:p>
          <w:p w14:paraId="547AF066">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9. 操作系统：预装国产操作系统并激活</w:t>
            </w:r>
          </w:p>
          <w:p w14:paraId="23F08AFA">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10. 前面板接口：≥1个USB 2.0, ≥2个USB 3.0, ≥1个Type-C</w:t>
            </w:r>
          </w:p>
          <w:p w14:paraId="3FBB4D91">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11. 后面板接口：≥2个USB 2.0, ≥4个USB 3.0, ≥1个Type-C</w:t>
            </w:r>
          </w:p>
          <w:p w14:paraId="3DDDFB17">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12. 数据存储扩展通道：支持≥4个SATA接口，≥1个M.2接口</w:t>
            </w:r>
          </w:p>
          <w:p w14:paraId="31C72673">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13. 高速业务扩展接口：≥1个PCIE4.0 x16插槽, ≥1个PCIE3.0 x16插槽, ≥1个PCIE3.0 x8插槽, ≥1个PCIE3.0 x4插槽</w:t>
            </w:r>
          </w:p>
          <w:p w14:paraId="5FC86851">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14. 音频业务接口：前置：≥1个Mic in，≥1个headphone out；后置：≥1个line in，≥1个line out，≥1个Mic in</w:t>
            </w:r>
          </w:p>
          <w:p w14:paraId="677EEBCF">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15. 网络通信模块：≥1个RJ45，千兆以太网口（10 M/100 M/1000 M自适应），支持网络唤醒，接入视频</w:t>
            </w:r>
          </w:p>
          <w:p w14:paraId="00D755DC">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16. 其他接口：≥1个RS232串口，可对接云台、解码器等安防外设。</w:t>
            </w:r>
          </w:p>
        </w:tc>
        <w:tc>
          <w:tcPr>
            <w:tcW w:w="1067"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500AE718">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5</w:t>
            </w:r>
          </w:p>
        </w:tc>
        <w:tc>
          <w:tcPr>
            <w:tcW w:w="856" w:type="dxa"/>
            <w:tcBorders>
              <w:top w:val="single" w:color="000000" w:sz="4" w:space="0"/>
              <w:left w:val="single" w:color="000000" w:sz="4" w:space="0"/>
              <w:bottom w:val="single" w:color="000000" w:sz="4" w:space="0"/>
              <w:right w:val="double" w:color="000000" w:sz="4" w:space="0"/>
            </w:tcBorders>
            <w:tcMar>
              <w:top w:w="0" w:type="dxa"/>
              <w:left w:w="105" w:type="dxa"/>
              <w:bottom w:w="0" w:type="dxa"/>
              <w:right w:w="105" w:type="dxa"/>
            </w:tcMar>
            <w:vAlign w:val="top"/>
          </w:tcPr>
          <w:p w14:paraId="7E0E1D6F">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台</w:t>
            </w:r>
          </w:p>
        </w:tc>
      </w:tr>
      <w:tr w14:paraId="20D35495">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74" w:type="dxa"/>
            <w:tcBorders>
              <w:top w:val="single" w:color="000000" w:sz="4" w:space="0"/>
              <w:left w:val="double" w:color="000000" w:sz="4" w:space="0"/>
              <w:bottom w:val="single" w:color="000000" w:sz="4" w:space="0"/>
              <w:right w:val="single" w:color="000000" w:sz="4" w:space="0"/>
            </w:tcBorders>
            <w:tcMar>
              <w:top w:w="0" w:type="dxa"/>
              <w:left w:w="105" w:type="dxa"/>
              <w:bottom w:w="0" w:type="dxa"/>
              <w:right w:w="105" w:type="dxa"/>
            </w:tcMar>
            <w:vAlign w:val="top"/>
          </w:tcPr>
          <w:p w14:paraId="0B0AACFA">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2.16</w:t>
            </w:r>
          </w:p>
        </w:tc>
        <w:tc>
          <w:tcPr>
            <w:tcW w:w="950"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32B5F78A">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可视化监控显示单元(评审项180)</w:t>
            </w:r>
          </w:p>
        </w:tc>
        <w:tc>
          <w:tcPr>
            <w:tcW w:w="4655"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367BDB74">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显示面板：≥21.45英寸； 分辨率：≥1920×1080； 亮度：≥250cd/m²(max)。</w:t>
            </w:r>
          </w:p>
        </w:tc>
        <w:tc>
          <w:tcPr>
            <w:tcW w:w="1067"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029B77C8">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5</w:t>
            </w:r>
          </w:p>
        </w:tc>
        <w:tc>
          <w:tcPr>
            <w:tcW w:w="856" w:type="dxa"/>
            <w:tcBorders>
              <w:top w:val="single" w:color="000000" w:sz="4" w:space="0"/>
              <w:left w:val="single" w:color="000000" w:sz="4" w:space="0"/>
              <w:bottom w:val="single" w:color="000000" w:sz="4" w:space="0"/>
              <w:right w:val="double" w:color="000000" w:sz="4" w:space="0"/>
            </w:tcBorders>
            <w:tcMar>
              <w:top w:w="0" w:type="dxa"/>
              <w:left w:w="105" w:type="dxa"/>
              <w:bottom w:w="0" w:type="dxa"/>
              <w:right w:w="105" w:type="dxa"/>
            </w:tcMar>
            <w:vAlign w:val="top"/>
          </w:tcPr>
          <w:p w14:paraId="0985C4F9">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台</w:t>
            </w:r>
          </w:p>
        </w:tc>
      </w:tr>
      <w:tr w14:paraId="419C53E3">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74" w:type="dxa"/>
            <w:tcBorders>
              <w:top w:val="single" w:color="000000" w:sz="4" w:space="0"/>
              <w:left w:val="double" w:color="000000" w:sz="4" w:space="0"/>
              <w:bottom w:val="single" w:color="000000" w:sz="4" w:space="0"/>
              <w:right w:val="single" w:color="000000" w:sz="4" w:space="0"/>
            </w:tcBorders>
            <w:tcMar>
              <w:top w:w="0" w:type="dxa"/>
              <w:left w:w="105" w:type="dxa"/>
              <w:bottom w:w="0" w:type="dxa"/>
              <w:right w:w="105" w:type="dxa"/>
            </w:tcMar>
            <w:vAlign w:val="top"/>
          </w:tcPr>
          <w:p w14:paraId="5D27C007">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2.17</w:t>
            </w:r>
          </w:p>
        </w:tc>
        <w:tc>
          <w:tcPr>
            <w:tcW w:w="950"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3597C484">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蓄电池(评审项181)</w:t>
            </w:r>
          </w:p>
        </w:tc>
        <w:tc>
          <w:tcPr>
            <w:tcW w:w="4655"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13ADF6E9">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≥20节≥100Ah 12V蓄电池，含电池连接线、电池柜等。</w:t>
            </w:r>
          </w:p>
        </w:tc>
        <w:tc>
          <w:tcPr>
            <w:tcW w:w="1067"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038CD7C9">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1</w:t>
            </w:r>
          </w:p>
        </w:tc>
        <w:tc>
          <w:tcPr>
            <w:tcW w:w="856" w:type="dxa"/>
            <w:tcBorders>
              <w:top w:val="single" w:color="000000" w:sz="4" w:space="0"/>
              <w:left w:val="single" w:color="000000" w:sz="4" w:space="0"/>
              <w:bottom w:val="single" w:color="000000" w:sz="4" w:space="0"/>
              <w:right w:val="double" w:color="000000" w:sz="4" w:space="0"/>
            </w:tcBorders>
            <w:tcMar>
              <w:top w:w="0" w:type="dxa"/>
              <w:left w:w="105" w:type="dxa"/>
              <w:bottom w:w="0" w:type="dxa"/>
              <w:right w:w="105" w:type="dxa"/>
            </w:tcMar>
            <w:vAlign w:val="top"/>
          </w:tcPr>
          <w:p w14:paraId="0D84D919">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套</w:t>
            </w:r>
          </w:p>
        </w:tc>
      </w:tr>
      <w:tr w14:paraId="05C79017">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74" w:type="dxa"/>
            <w:tcBorders>
              <w:top w:val="single" w:color="000000" w:sz="4" w:space="0"/>
              <w:left w:val="double" w:color="000000" w:sz="4" w:space="0"/>
              <w:bottom w:val="single" w:color="000000" w:sz="4" w:space="0"/>
              <w:right w:val="single" w:color="000000" w:sz="4" w:space="0"/>
            </w:tcBorders>
            <w:tcMar>
              <w:top w:w="0" w:type="dxa"/>
              <w:left w:w="105" w:type="dxa"/>
              <w:bottom w:w="0" w:type="dxa"/>
              <w:right w:w="105" w:type="dxa"/>
            </w:tcMar>
            <w:vAlign w:val="top"/>
          </w:tcPr>
          <w:p w14:paraId="4EB80535">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2.18</w:t>
            </w:r>
          </w:p>
        </w:tc>
        <w:tc>
          <w:tcPr>
            <w:tcW w:w="950"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1279B95E">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核心业务负载应急供电(评审项182)</w:t>
            </w:r>
          </w:p>
        </w:tc>
        <w:tc>
          <w:tcPr>
            <w:tcW w:w="4655"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614F542F">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1. 高频在线式供电主机，三进三出/三进单出/单进单出可调，塔式/机架式可转换安装</w:t>
            </w:r>
          </w:p>
          <w:p w14:paraId="23AA7D79">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2. 输入输出制式：单进单出、三进单出、三进三出（默认）</w:t>
            </w:r>
          </w:p>
          <w:p w14:paraId="143A5674">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3. 输入电压范围： 138~485（L-L），80~280（L-N）</w:t>
            </w:r>
          </w:p>
          <w:p w14:paraId="740429FD">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4. 输入频率范围：40~70（50/60电网自适应）</w:t>
            </w:r>
          </w:p>
          <w:p w14:paraId="02B0BAE0">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5. 输入功率因数：满载&gt;0.99</w:t>
            </w:r>
          </w:p>
          <w:p w14:paraId="31E9D475">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6. 供电主机具有双键组合开关机功能，主机开机应同时按ON双键，关机应同时按OFF双键。</w:t>
            </w:r>
          </w:p>
          <w:p w14:paraId="7E664C17">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7. 供电主机具有并机通信冗余功能，当单根并机线故障时，不影响供电并机输出。</w:t>
            </w:r>
          </w:p>
          <w:p w14:paraId="487B89C2">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8. 供电主机具有电池冷启动按钮，支持在无市电情况下启动供电。</w:t>
            </w:r>
          </w:p>
          <w:p w14:paraId="22DFD487">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9. 供电主机组成并机系统时，具有并机共用电池组功能。</w:t>
            </w:r>
          </w:p>
          <w:p w14:paraId="28CE6952">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10. 供电主机具有电池管理功能，可设置电池充电限流系数和温度补偿系数。</w:t>
            </w:r>
          </w:p>
          <w:p w14:paraId="5F1ACC07">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11. 供电主机具有放电记录查询功能。</w:t>
            </w:r>
          </w:p>
          <w:p w14:paraId="200AE0E0">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12. 供电主机具有电池剩余电量管理功能，可查询电池剩余容量（%）和电池剩余时间（min）。供电主机支持设置开启标准电池测试和深度电池测试。</w:t>
            </w:r>
          </w:p>
          <w:p w14:paraId="5F94BFCE">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13. 供电主机可设置开启来电启动功能。</w:t>
            </w:r>
          </w:p>
          <w:p w14:paraId="5515AA8F">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14. 供电主机具有电池回路异常告警功能，当电池回路异常时可触发异常告警。</w:t>
            </w:r>
          </w:p>
          <w:p w14:paraId="31F3CC49">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15.≥100Ah12V电池≥32节，搭配电池柜，含设备安装接插配件、电缆等。</w:t>
            </w:r>
          </w:p>
        </w:tc>
        <w:tc>
          <w:tcPr>
            <w:tcW w:w="1067"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75110E59">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1</w:t>
            </w:r>
          </w:p>
        </w:tc>
        <w:tc>
          <w:tcPr>
            <w:tcW w:w="856" w:type="dxa"/>
            <w:tcBorders>
              <w:top w:val="single" w:color="000000" w:sz="4" w:space="0"/>
              <w:left w:val="single" w:color="000000" w:sz="4" w:space="0"/>
              <w:bottom w:val="single" w:color="000000" w:sz="4" w:space="0"/>
              <w:right w:val="double" w:color="000000" w:sz="4" w:space="0"/>
            </w:tcBorders>
            <w:tcMar>
              <w:top w:w="0" w:type="dxa"/>
              <w:left w:w="105" w:type="dxa"/>
              <w:bottom w:w="0" w:type="dxa"/>
              <w:right w:w="105" w:type="dxa"/>
            </w:tcMar>
            <w:vAlign w:val="top"/>
          </w:tcPr>
          <w:p w14:paraId="35A82E1D">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套</w:t>
            </w:r>
          </w:p>
        </w:tc>
      </w:tr>
      <w:tr w14:paraId="0F48AFCC">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74" w:type="dxa"/>
            <w:tcBorders>
              <w:top w:val="single" w:color="000000" w:sz="4" w:space="0"/>
              <w:left w:val="double" w:color="000000" w:sz="4" w:space="0"/>
              <w:bottom w:val="single" w:color="000000" w:sz="4" w:space="0"/>
              <w:right w:val="single" w:color="000000" w:sz="4" w:space="0"/>
            </w:tcBorders>
            <w:shd w:val="clear" w:color="auto" w:fill="FCE4D6"/>
            <w:tcMar>
              <w:top w:w="0" w:type="dxa"/>
              <w:left w:w="105" w:type="dxa"/>
              <w:bottom w:w="0" w:type="dxa"/>
              <w:right w:w="105" w:type="dxa"/>
            </w:tcMar>
            <w:vAlign w:val="top"/>
          </w:tcPr>
          <w:p w14:paraId="3BA01462">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二</w:t>
            </w:r>
          </w:p>
        </w:tc>
        <w:tc>
          <w:tcPr>
            <w:tcW w:w="950" w:type="dxa"/>
            <w:tcBorders>
              <w:top w:val="single" w:color="000000" w:sz="4" w:space="0"/>
              <w:left w:val="single" w:color="000000" w:sz="4" w:space="0"/>
              <w:bottom w:val="single" w:color="000000" w:sz="4" w:space="0"/>
              <w:right w:val="single" w:color="000000" w:sz="4" w:space="0"/>
            </w:tcBorders>
            <w:shd w:val="clear" w:color="auto" w:fill="FCE4D6"/>
            <w:tcMar>
              <w:top w:w="0" w:type="dxa"/>
              <w:left w:w="105" w:type="dxa"/>
              <w:bottom w:w="0" w:type="dxa"/>
              <w:right w:w="105" w:type="dxa"/>
            </w:tcMar>
            <w:vAlign w:val="top"/>
          </w:tcPr>
          <w:p w14:paraId="39C03165">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b/>
                <w:sz w:val="24"/>
                <w:szCs w:val="24"/>
              </w:rPr>
              <w:t>动环监控系统</w:t>
            </w:r>
          </w:p>
        </w:tc>
        <w:tc>
          <w:tcPr>
            <w:tcW w:w="4655" w:type="dxa"/>
            <w:tcBorders>
              <w:top w:val="single" w:color="000000" w:sz="4" w:space="0"/>
              <w:left w:val="single" w:color="000000" w:sz="4" w:space="0"/>
              <w:bottom w:val="single" w:color="000000" w:sz="4" w:space="0"/>
              <w:right w:val="single" w:color="000000" w:sz="4" w:space="0"/>
            </w:tcBorders>
            <w:shd w:val="clear" w:color="auto" w:fill="FCE4D6"/>
            <w:tcMar>
              <w:top w:w="0" w:type="dxa"/>
              <w:left w:w="105" w:type="dxa"/>
              <w:bottom w:w="0" w:type="dxa"/>
              <w:right w:w="105" w:type="dxa"/>
            </w:tcMar>
            <w:vAlign w:val="top"/>
          </w:tcPr>
          <w:p w14:paraId="739AE00B">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p>
        </w:tc>
        <w:tc>
          <w:tcPr>
            <w:tcW w:w="1067" w:type="dxa"/>
            <w:tcBorders>
              <w:top w:val="single" w:color="000000" w:sz="4" w:space="0"/>
              <w:left w:val="single" w:color="000000" w:sz="4" w:space="0"/>
              <w:bottom w:val="single" w:color="000000" w:sz="4" w:space="0"/>
              <w:right w:val="single" w:color="000000" w:sz="4" w:space="0"/>
            </w:tcBorders>
            <w:shd w:val="clear" w:color="auto" w:fill="FCE4D6"/>
            <w:tcMar>
              <w:top w:w="0" w:type="dxa"/>
              <w:left w:w="105" w:type="dxa"/>
              <w:bottom w:w="0" w:type="dxa"/>
              <w:right w:w="105" w:type="dxa"/>
            </w:tcMar>
            <w:vAlign w:val="top"/>
          </w:tcPr>
          <w:p w14:paraId="78A5BC34">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hAnsi="宋体" w:eastAsia="宋体" w:cs="宋体"/>
                <w:sz w:val="24"/>
                <w:szCs w:val="24"/>
              </w:rPr>
            </w:pPr>
          </w:p>
        </w:tc>
        <w:tc>
          <w:tcPr>
            <w:tcW w:w="856" w:type="dxa"/>
            <w:tcBorders>
              <w:top w:val="single" w:color="000000" w:sz="4" w:space="0"/>
              <w:left w:val="single" w:color="000000" w:sz="4" w:space="0"/>
              <w:bottom w:val="single" w:color="000000" w:sz="4" w:space="0"/>
              <w:right w:val="double" w:color="000000" w:sz="4" w:space="0"/>
            </w:tcBorders>
            <w:shd w:val="clear" w:color="auto" w:fill="FCE4D6"/>
            <w:tcMar>
              <w:top w:w="0" w:type="dxa"/>
              <w:left w:w="105" w:type="dxa"/>
              <w:bottom w:w="0" w:type="dxa"/>
              <w:right w:w="105" w:type="dxa"/>
            </w:tcMar>
            <w:vAlign w:val="top"/>
          </w:tcPr>
          <w:p w14:paraId="256A1415">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hAnsi="宋体" w:eastAsia="宋体" w:cs="宋体"/>
                <w:sz w:val="24"/>
                <w:szCs w:val="24"/>
              </w:rPr>
            </w:pPr>
          </w:p>
        </w:tc>
      </w:tr>
      <w:tr w14:paraId="0A028119">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74" w:type="dxa"/>
            <w:tcBorders>
              <w:top w:val="single" w:color="000000" w:sz="4" w:space="0"/>
              <w:left w:val="double" w:color="000000" w:sz="4" w:space="0"/>
              <w:bottom w:val="single" w:color="000000" w:sz="4" w:space="0"/>
              <w:right w:val="single" w:color="000000" w:sz="4" w:space="0"/>
            </w:tcBorders>
            <w:tcMar>
              <w:top w:w="0" w:type="dxa"/>
              <w:left w:w="105" w:type="dxa"/>
              <w:bottom w:w="0" w:type="dxa"/>
              <w:right w:w="105" w:type="dxa"/>
            </w:tcMar>
            <w:vAlign w:val="top"/>
          </w:tcPr>
          <w:p w14:paraId="70548B03">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1</w:t>
            </w:r>
          </w:p>
        </w:tc>
        <w:tc>
          <w:tcPr>
            <w:tcW w:w="950"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76C4EDC7">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温湿度传感器(评审项183)</w:t>
            </w:r>
          </w:p>
        </w:tc>
        <w:tc>
          <w:tcPr>
            <w:tcW w:w="4655"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407C6888">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1、支持温度、湿度数据采集与上报的机架式温湿度传感器</w:t>
            </w:r>
            <w:r>
              <w:rPr>
                <w:rFonts w:hint="eastAsia" w:ascii="宋体" w:hAnsi="宋体" w:eastAsia="宋体" w:cs="宋体"/>
                <w:sz w:val="24"/>
                <w:szCs w:val="24"/>
              </w:rPr>
              <w:br w:type="textWrapping"/>
            </w:r>
            <w:r>
              <w:rPr>
                <w:rFonts w:hint="eastAsia" w:ascii="宋体" w:hAnsi="宋体" w:eastAsia="宋体" w:cs="宋体"/>
                <w:sz w:val="24"/>
                <w:szCs w:val="24"/>
              </w:rPr>
              <w:t>2、支持采集温度范围：-10℃～70℃；误差&lt;±0.3℃，在25℃时测试</w:t>
            </w:r>
            <w:r>
              <w:rPr>
                <w:rFonts w:hint="eastAsia" w:ascii="宋体" w:hAnsi="宋体" w:eastAsia="宋体" w:cs="宋体"/>
                <w:sz w:val="24"/>
                <w:szCs w:val="24"/>
              </w:rPr>
              <w:br w:type="textWrapping"/>
            </w:r>
            <w:r>
              <w:rPr>
                <w:rFonts w:hint="eastAsia" w:ascii="宋体" w:hAnsi="宋体" w:eastAsia="宋体" w:cs="宋体"/>
                <w:sz w:val="24"/>
                <w:szCs w:val="24"/>
              </w:rPr>
              <w:t>3、支持采集湿度范围：5％～95％RH（无凝露）；误差&lt;±3%RH，在25℃时测试。</w:t>
            </w:r>
            <w:r>
              <w:rPr>
                <w:rFonts w:hint="eastAsia" w:ascii="宋体" w:hAnsi="宋体" w:eastAsia="宋体" w:cs="宋体"/>
                <w:sz w:val="24"/>
                <w:szCs w:val="24"/>
              </w:rPr>
              <w:br w:type="textWrapping"/>
            </w:r>
            <w:r>
              <w:rPr>
                <w:rFonts w:hint="eastAsia" w:ascii="宋体" w:hAnsi="宋体" w:eastAsia="宋体" w:cs="宋体"/>
                <w:sz w:val="24"/>
                <w:szCs w:val="24"/>
              </w:rPr>
              <w:t>4、支持液晶显示：显示当前温度，湿度，网络连接状态。</w:t>
            </w:r>
            <w:r>
              <w:rPr>
                <w:rFonts w:hint="eastAsia" w:ascii="宋体" w:hAnsi="宋体" w:eastAsia="宋体" w:cs="宋体"/>
                <w:sz w:val="24"/>
                <w:szCs w:val="24"/>
              </w:rPr>
              <w:br w:type="textWrapping"/>
            </w:r>
            <w:r>
              <w:rPr>
                <w:rFonts w:hint="eastAsia" w:ascii="宋体" w:hAnsi="宋体" w:eastAsia="宋体" w:cs="宋体"/>
                <w:sz w:val="24"/>
                <w:szCs w:val="24"/>
              </w:rPr>
              <w:t>5、支持RS485接口：通信协议：MODBUS-RTU 协议；波特率：默认9600；可选2400、4800、9600、19200bit/s；数据格式：N,8,1。</w:t>
            </w:r>
          </w:p>
        </w:tc>
        <w:tc>
          <w:tcPr>
            <w:tcW w:w="1067"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46B88721">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2</w:t>
            </w:r>
          </w:p>
        </w:tc>
        <w:tc>
          <w:tcPr>
            <w:tcW w:w="856" w:type="dxa"/>
            <w:tcBorders>
              <w:top w:val="single" w:color="000000" w:sz="4" w:space="0"/>
              <w:left w:val="single" w:color="000000" w:sz="4" w:space="0"/>
              <w:bottom w:val="single" w:color="000000" w:sz="4" w:space="0"/>
              <w:right w:val="double" w:color="000000" w:sz="4" w:space="0"/>
            </w:tcBorders>
            <w:tcMar>
              <w:top w:w="0" w:type="dxa"/>
              <w:left w:w="105" w:type="dxa"/>
              <w:bottom w:w="0" w:type="dxa"/>
              <w:right w:w="105" w:type="dxa"/>
            </w:tcMar>
            <w:vAlign w:val="top"/>
          </w:tcPr>
          <w:p w14:paraId="3B2F2C82">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台</w:t>
            </w:r>
          </w:p>
        </w:tc>
      </w:tr>
      <w:tr w14:paraId="10A67E27">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74" w:type="dxa"/>
            <w:tcBorders>
              <w:top w:val="single" w:color="000000" w:sz="4" w:space="0"/>
              <w:left w:val="double" w:color="000000" w:sz="4" w:space="0"/>
              <w:bottom w:val="single" w:color="000000" w:sz="4" w:space="0"/>
              <w:right w:val="single" w:color="000000" w:sz="4" w:space="0"/>
            </w:tcBorders>
            <w:tcMar>
              <w:top w:w="0" w:type="dxa"/>
              <w:left w:w="105" w:type="dxa"/>
              <w:bottom w:w="0" w:type="dxa"/>
              <w:right w:w="105" w:type="dxa"/>
            </w:tcMar>
            <w:vAlign w:val="top"/>
          </w:tcPr>
          <w:p w14:paraId="7C4C5D3F">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2</w:t>
            </w:r>
          </w:p>
        </w:tc>
        <w:tc>
          <w:tcPr>
            <w:tcW w:w="950"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7C464855">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漏水传感器(评审项184)</w:t>
            </w:r>
          </w:p>
        </w:tc>
        <w:tc>
          <w:tcPr>
            <w:tcW w:w="4655"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729C2387">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1、漏水反应时间≤2S。</w:t>
            </w:r>
            <w:r>
              <w:rPr>
                <w:rFonts w:hint="eastAsia" w:ascii="宋体" w:hAnsi="宋体" w:eastAsia="宋体" w:cs="宋体"/>
                <w:sz w:val="24"/>
                <w:szCs w:val="24"/>
              </w:rPr>
              <w:br w:type="textWrapping"/>
            </w:r>
            <w:r>
              <w:rPr>
                <w:rFonts w:hint="eastAsia" w:ascii="宋体" w:hAnsi="宋体" w:eastAsia="宋体" w:cs="宋体"/>
                <w:sz w:val="24"/>
                <w:szCs w:val="24"/>
              </w:rPr>
              <w:t>2、支持至少检测200米距离范围的漏水情况。</w:t>
            </w:r>
            <w:r>
              <w:rPr>
                <w:rFonts w:hint="eastAsia" w:ascii="宋体" w:hAnsi="宋体" w:eastAsia="宋体" w:cs="宋体"/>
                <w:sz w:val="24"/>
                <w:szCs w:val="24"/>
              </w:rPr>
              <w:br w:type="textWrapping"/>
            </w:r>
            <w:r>
              <w:rPr>
                <w:rFonts w:hint="eastAsia" w:ascii="宋体" w:hAnsi="宋体" w:eastAsia="宋体" w:cs="宋体"/>
                <w:sz w:val="24"/>
                <w:szCs w:val="24"/>
              </w:rPr>
              <w:t>3、支持兼容两芯或四芯测漏传感电缆。</w:t>
            </w:r>
            <w:r>
              <w:rPr>
                <w:rFonts w:hint="eastAsia" w:ascii="宋体" w:hAnsi="宋体" w:eastAsia="宋体" w:cs="宋体"/>
                <w:sz w:val="24"/>
                <w:szCs w:val="24"/>
              </w:rPr>
              <w:br w:type="textWrapping"/>
            </w:r>
            <w:r>
              <w:rPr>
                <w:rFonts w:hint="eastAsia" w:ascii="宋体" w:hAnsi="宋体" w:eastAsia="宋体" w:cs="宋体"/>
                <w:sz w:val="24"/>
                <w:szCs w:val="24"/>
              </w:rPr>
              <w:t>4、支持本地12~24VDC供电。</w:t>
            </w:r>
            <w:r>
              <w:rPr>
                <w:rFonts w:hint="eastAsia" w:ascii="宋体" w:hAnsi="宋体" w:eastAsia="宋体" w:cs="宋体"/>
                <w:sz w:val="24"/>
                <w:szCs w:val="24"/>
              </w:rPr>
              <w:br w:type="textWrapping"/>
            </w:r>
            <w:r>
              <w:rPr>
                <w:rFonts w:hint="eastAsia" w:ascii="宋体" w:hAnsi="宋体" w:eastAsia="宋体" w:cs="宋体"/>
                <w:sz w:val="24"/>
                <w:szCs w:val="24"/>
              </w:rPr>
              <w:t>5、支持告警时输出阻抗&lt;50Ω，负载电压＜60V，负载电流＜300mA。</w:t>
            </w:r>
            <w:r>
              <w:rPr>
                <w:rFonts w:hint="eastAsia" w:ascii="宋体" w:hAnsi="宋体" w:eastAsia="宋体" w:cs="宋体"/>
                <w:sz w:val="24"/>
                <w:szCs w:val="24"/>
              </w:rPr>
              <w:br w:type="textWrapping"/>
            </w:r>
            <w:r>
              <w:rPr>
                <w:rFonts w:hint="eastAsia" w:ascii="宋体" w:hAnsi="宋体" w:eastAsia="宋体" w:cs="宋体"/>
                <w:sz w:val="24"/>
                <w:szCs w:val="24"/>
              </w:rPr>
              <w:t>6、支持兼容两芯或四芯测漏传感电缆。</w:t>
            </w:r>
            <w:r>
              <w:rPr>
                <w:rFonts w:hint="eastAsia" w:ascii="宋体" w:hAnsi="宋体" w:eastAsia="宋体" w:cs="宋体"/>
                <w:sz w:val="24"/>
                <w:szCs w:val="24"/>
              </w:rPr>
              <w:br w:type="textWrapping"/>
            </w:r>
            <w:r>
              <w:rPr>
                <w:rFonts w:hint="eastAsia" w:ascii="宋体" w:hAnsi="宋体" w:eastAsia="宋体" w:cs="宋体"/>
                <w:sz w:val="24"/>
                <w:szCs w:val="24"/>
              </w:rPr>
              <w:t>7、支持不同档位触发报警的进水量设置，以适应不同环境下的漏检测。</w:t>
            </w:r>
            <w:r>
              <w:rPr>
                <w:rFonts w:hint="eastAsia" w:ascii="宋体" w:hAnsi="宋体" w:eastAsia="宋体" w:cs="宋体"/>
                <w:sz w:val="24"/>
                <w:szCs w:val="24"/>
              </w:rPr>
              <w:br w:type="textWrapping"/>
            </w:r>
            <w:r>
              <w:rPr>
                <w:rFonts w:hint="eastAsia" w:ascii="宋体" w:hAnsi="宋体" w:eastAsia="宋体" w:cs="宋体"/>
                <w:sz w:val="24"/>
                <w:szCs w:val="24"/>
              </w:rPr>
              <w:t>8、支持通过RJ45接口接入。</w:t>
            </w:r>
          </w:p>
        </w:tc>
        <w:tc>
          <w:tcPr>
            <w:tcW w:w="1067"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53CAA7F4">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2</w:t>
            </w:r>
          </w:p>
        </w:tc>
        <w:tc>
          <w:tcPr>
            <w:tcW w:w="856" w:type="dxa"/>
            <w:tcBorders>
              <w:top w:val="single" w:color="000000" w:sz="4" w:space="0"/>
              <w:left w:val="single" w:color="000000" w:sz="4" w:space="0"/>
              <w:bottom w:val="single" w:color="000000" w:sz="4" w:space="0"/>
              <w:right w:val="double" w:color="000000" w:sz="4" w:space="0"/>
            </w:tcBorders>
            <w:tcMar>
              <w:top w:w="0" w:type="dxa"/>
              <w:left w:w="105" w:type="dxa"/>
              <w:bottom w:w="0" w:type="dxa"/>
              <w:right w:w="105" w:type="dxa"/>
            </w:tcMar>
            <w:vAlign w:val="top"/>
          </w:tcPr>
          <w:p w14:paraId="2C9C0EBF">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台</w:t>
            </w:r>
          </w:p>
        </w:tc>
      </w:tr>
      <w:tr w14:paraId="34FD4468">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74" w:type="dxa"/>
            <w:tcBorders>
              <w:top w:val="single" w:color="000000" w:sz="4" w:space="0"/>
              <w:left w:val="double" w:color="000000" w:sz="4" w:space="0"/>
              <w:bottom w:val="single" w:color="000000" w:sz="4" w:space="0"/>
              <w:right w:val="single" w:color="000000" w:sz="4" w:space="0"/>
            </w:tcBorders>
            <w:tcMar>
              <w:top w:w="0" w:type="dxa"/>
              <w:left w:w="105" w:type="dxa"/>
              <w:bottom w:w="0" w:type="dxa"/>
              <w:right w:w="105" w:type="dxa"/>
            </w:tcMar>
            <w:vAlign w:val="top"/>
          </w:tcPr>
          <w:p w14:paraId="0ECE1B21">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3</w:t>
            </w:r>
          </w:p>
        </w:tc>
        <w:tc>
          <w:tcPr>
            <w:tcW w:w="950"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49978843">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漏水线缆(评审项185)</w:t>
            </w:r>
          </w:p>
        </w:tc>
        <w:tc>
          <w:tcPr>
            <w:tcW w:w="4655"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77215561">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≥5米不定位漏水检测线缆。</w:t>
            </w:r>
          </w:p>
        </w:tc>
        <w:tc>
          <w:tcPr>
            <w:tcW w:w="1067"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5FF1E801">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2</w:t>
            </w:r>
          </w:p>
        </w:tc>
        <w:tc>
          <w:tcPr>
            <w:tcW w:w="856" w:type="dxa"/>
            <w:tcBorders>
              <w:top w:val="single" w:color="000000" w:sz="4" w:space="0"/>
              <w:left w:val="single" w:color="000000" w:sz="4" w:space="0"/>
              <w:bottom w:val="single" w:color="000000" w:sz="4" w:space="0"/>
              <w:right w:val="double" w:color="000000" w:sz="4" w:space="0"/>
            </w:tcBorders>
            <w:tcMar>
              <w:top w:w="0" w:type="dxa"/>
              <w:left w:w="105" w:type="dxa"/>
              <w:bottom w:w="0" w:type="dxa"/>
              <w:right w:w="105" w:type="dxa"/>
            </w:tcMar>
            <w:vAlign w:val="top"/>
          </w:tcPr>
          <w:p w14:paraId="7451BD06">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个</w:t>
            </w:r>
          </w:p>
        </w:tc>
      </w:tr>
      <w:tr w14:paraId="254C08E3">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74" w:type="dxa"/>
            <w:tcBorders>
              <w:top w:val="single" w:color="000000" w:sz="4" w:space="0"/>
              <w:left w:val="double" w:color="000000" w:sz="4" w:space="0"/>
              <w:bottom w:val="single" w:color="000000" w:sz="4" w:space="0"/>
              <w:right w:val="single" w:color="000000" w:sz="4" w:space="0"/>
            </w:tcBorders>
            <w:tcMar>
              <w:top w:w="0" w:type="dxa"/>
              <w:left w:w="105" w:type="dxa"/>
              <w:bottom w:w="0" w:type="dxa"/>
              <w:right w:w="105" w:type="dxa"/>
            </w:tcMar>
            <w:vAlign w:val="top"/>
          </w:tcPr>
          <w:p w14:paraId="5904B9CF">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4</w:t>
            </w:r>
          </w:p>
        </w:tc>
        <w:tc>
          <w:tcPr>
            <w:tcW w:w="950"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48CAF835">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烟雾传感器(评审项186)</w:t>
            </w:r>
          </w:p>
        </w:tc>
        <w:tc>
          <w:tcPr>
            <w:tcW w:w="4655"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649CAAF9">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1、支持本地供电、双绞屏蔽线供电。</w:t>
            </w:r>
            <w:r>
              <w:rPr>
                <w:rFonts w:hint="eastAsia" w:ascii="宋体" w:hAnsi="宋体" w:eastAsia="宋体" w:cs="宋体"/>
                <w:sz w:val="24"/>
                <w:szCs w:val="24"/>
              </w:rPr>
              <w:br w:type="textWrapping"/>
            </w:r>
            <w:r>
              <w:rPr>
                <w:rFonts w:hint="eastAsia" w:ascii="宋体" w:hAnsi="宋体" w:eastAsia="宋体" w:cs="宋体"/>
                <w:sz w:val="24"/>
                <w:szCs w:val="24"/>
              </w:rPr>
              <w:t>2、支持监控电流：＜4mA，支持火警电流：＜30mA。</w:t>
            </w:r>
            <w:r>
              <w:rPr>
                <w:rFonts w:hint="eastAsia" w:ascii="宋体" w:hAnsi="宋体" w:eastAsia="宋体" w:cs="宋体"/>
                <w:sz w:val="24"/>
                <w:szCs w:val="24"/>
              </w:rPr>
              <w:br w:type="textWrapping"/>
            </w:r>
            <w:r>
              <w:rPr>
                <w:rFonts w:hint="eastAsia" w:ascii="宋体" w:hAnsi="宋体" w:eastAsia="宋体" w:cs="宋体"/>
                <w:sz w:val="24"/>
                <w:szCs w:val="24"/>
              </w:rPr>
              <w:t>3、支持继电器干接点输出，监控时输出开路，报警时输出短路（用户可以自行设定）。</w:t>
            </w:r>
            <w:r>
              <w:rPr>
                <w:rFonts w:hint="eastAsia" w:ascii="宋体" w:hAnsi="宋体" w:eastAsia="宋体" w:cs="宋体"/>
                <w:sz w:val="24"/>
                <w:szCs w:val="24"/>
              </w:rPr>
              <w:br w:type="textWrapping"/>
            </w:r>
            <w:r>
              <w:rPr>
                <w:rFonts w:hint="eastAsia" w:ascii="宋体" w:hAnsi="宋体" w:eastAsia="宋体" w:cs="宋体"/>
                <w:sz w:val="24"/>
                <w:szCs w:val="24"/>
              </w:rPr>
              <w:t>4、支持指示灯提示，正常情况绿灯灯常亮，检测有烟雾异常时红灯闪烁。</w:t>
            </w:r>
            <w:r>
              <w:rPr>
                <w:rFonts w:hint="eastAsia" w:ascii="宋体" w:hAnsi="宋体" w:eastAsia="宋体" w:cs="宋体"/>
                <w:sz w:val="24"/>
                <w:szCs w:val="24"/>
              </w:rPr>
              <w:br w:type="textWrapping"/>
            </w:r>
            <w:r>
              <w:rPr>
                <w:rFonts w:hint="eastAsia" w:ascii="宋体" w:hAnsi="宋体" w:eastAsia="宋体" w:cs="宋体"/>
                <w:sz w:val="24"/>
                <w:szCs w:val="24"/>
              </w:rPr>
              <w:t>5、支持自动报警且报警音量：＞80dB（正前方3m内）。</w:t>
            </w:r>
            <w:r>
              <w:rPr>
                <w:rFonts w:hint="eastAsia" w:ascii="宋体" w:hAnsi="宋体" w:eastAsia="宋体" w:cs="宋体"/>
                <w:sz w:val="24"/>
                <w:szCs w:val="24"/>
              </w:rPr>
              <w:br w:type="textWrapping"/>
            </w:r>
            <w:r>
              <w:rPr>
                <w:rFonts w:hint="eastAsia" w:ascii="宋体" w:hAnsi="宋体" w:eastAsia="宋体" w:cs="宋体"/>
                <w:sz w:val="24"/>
                <w:szCs w:val="24"/>
              </w:rPr>
              <w:t>6、支持正常工作温度：-10℃～+50℃，相对湿度：＜95%。</w:t>
            </w:r>
          </w:p>
        </w:tc>
        <w:tc>
          <w:tcPr>
            <w:tcW w:w="1067"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0CCA56BA">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1</w:t>
            </w:r>
          </w:p>
        </w:tc>
        <w:tc>
          <w:tcPr>
            <w:tcW w:w="856" w:type="dxa"/>
            <w:tcBorders>
              <w:top w:val="single" w:color="000000" w:sz="4" w:space="0"/>
              <w:left w:val="single" w:color="000000" w:sz="4" w:space="0"/>
              <w:bottom w:val="single" w:color="000000" w:sz="4" w:space="0"/>
              <w:right w:val="double" w:color="000000" w:sz="4" w:space="0"/>
            </w:tcBorders>
            <w:tcMar>
              <w:top w:w="0" w:type="dxa"/>
              <w:left w:w="105" w:type="dxa"/>
              <w:bottom w:w="0" w:type="dxa"/>
              <w:right w:w="105" w:type="dxa"/>
            </w:tcMar>
            <w:vAlign w:val="top"/>
          </w:tcPr>
          <w:p w14:paraId="55A2C96A">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台</w:t>
            </w:r>
          </w:p>
        </w:tc>
      </w:tr>
      <w:tr w14:paraId="7951C211">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74" w:type="dxa"/>
            <w:tcBorders>
              <w:top w:val="single" w:color="000000" w:sz="4" w:space="0"/>
              <w:left w:val="double" w:color="000000" w:sz="4" w:space="0"/>
              <w:bottom w:val="single" w:color="000000" w:sz="4" w:space="0"/>
              <w:right w:val="single" w:color="000000" w:sz="4" w:space="0"/>
            </w:tcBorders>
            <w:tcMar>
              <w:top w:w="0" w:type="dxa"/>
              <w:left w:w="105" w:type="dxa"/>
              <w:bottom w:w="0" w:type="dxa"/>
              <w:right w:w="105" w:type="dxa"/>
            </w:tcMar>
            <w:vAlign w:val="top"/>
          </w:tcPr>
          <w:p w14:paraId="72208427">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5</w:t>
            </w:r>
          </w:p>
        </w:tc>
        <w:tc>
          <w:tcPr>
            <w:tcW w:w="950"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25ABD810">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负载应急供电、精密空调采集器(评审项187)</w:t>
            </w:r>
          </w:p>
        </w:tc>
        <w:tc>
          <w:tcPr>
            <w:tcW w:w="4655"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4FB02FB9">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1、 PRS485接口≥1，DATA接口≥1。</w:t>
            </w:r>
            <w:r>
              <w:rPr>
                <w:rFonts w:hint="eastAsia" w:ascii="宋体" w:hAnsi="宋体" w:eastAsia="宋体" w:cs="宋体"/>
                <w:sz w:val="24"/>
                <w:szCs w:val="24"/>
              </w:rPr>
              <w:br w:type="textWrapping"/>
            </w:r>
            <w:r>
              <w:rPr>
                <w:rFonts w:hint="eastAsia" w:ascii="宋体" w:hAnsi="宋体" w:eastAsia="宋体" w:cs="宋体"/>
                <w:sz w:val="24"/>
                <w:szCs w:val="24"/>
              </w:rPr>
              <w:t>2、 PRS485、DATA接口均为RJ45形态</w:t>
            </w:r>
            <w:r>
              <w:rPr>
                <w:rFonts w:hint="eastAsia" w:ascii="宋体" w:hAnsi="宋体" w:eastAsia="宋体" w:cs="宋体"/>
                <w:sz w:val="24"/>
                <w:szCs w:val="24"/>
              </w:rPr>
              <w:br w:type="textWrapping"/>
            </w:r>
            <w:r>
              <w:rPr>
                <w:rFonts w:hint="eastAsia" w:ascii="宋体" w:hAnsi="宋体" w:eastAsia="宋体" w:cs="宋体"/>
                <w:sz w:val="24"/>
                <w:szCs w:val="24"/>
              </w:rPr>
              <w:t>3、 支持MODBUS 485、RS232两种接口形式的数据采集及对接。</w:t>
            </w:r>
            <w:r>
              <w:rPr>
                <w:rFonts w:hint="eastAsia" w:ascii="宋体" w:hAnsi="宋体" w:eastAsia="宋体" w:cs="宋体"/>
                <w:sz w:val="24"/>
                <w:szCs w:val="24"/>
              </w:rPr>
              <w:br w:type="textWrapping"/>
            </w:r>
            <w:r>
              <w:rPr>
                <w:rFonts w:hint="eastAsia" w:ascii="宋体" w:hAnsi="宋体" w:eastAsia="宋体" w:cs="宋体"/>
                <w:sz w:val="24"/>
                <w:szCs w:val="24"/>
              </w:rPr>
              <w:t>4、 RS485接口速率≥3Mbps，RS232接口速率≥250kbps。</w:t>
            </w:r>
            <w:r>
              <w:rPr>
                <w:rFonts w:hint="eastAsia" w:ascii="宋体" w:hAnsi="宋体" w:eastAsia="宋体" w:cs="宋体"/>
                <w:sz w:val="24"/>
                <w:szCs w:val="24"/>
              </w:rPr>
              <w:br w:type="textWrapping"/>
            </w:r>
            <w:r>
              <w:rPr>
                <w:rFonts w:hint="eastAsia" w:ascii="宋体" w:hAnsi="宋体" w:eastAsia="宋体" w:cs="宋体"/>
                <w:sz w:val="24"/>
                <w:szCs w:val="24"/>
              </w:rPr>
              <w:t>5、 支持通过软件自定义RS485、RS232接口线序。</w:t>
            </w:r>
            <w:r>
              <w:rPr>
                <w:rFonts w:hint="eastAsia" w:ascii="宋体" w:hAnsi="宋体" w:eastAsia="宋体" w:cs="宋体"/>
                <w:sz w:val="24"/>
                <w:szCs w:val="24"/>
              </w:rPr>
              <w:br w:type="textWrapping"/>
            </w:r>
            <w:r>
              <w:rPr>
                <w:rFonts w:hint="eastAsia" w:ascii="宋体" w:hAnsi="宋体" w:eastAsia="宋体" w:cs="宋体"/>
                <w:sz w:val="24"/>
                <w:szCs w:val="24"/>
              </w:rPr>
              <w:t>6、 可以被采集主机及机房动环平台统一管理，实现激活、上线、调试等操作。</w:t>
            </w:r>
          </w:p>
        </w:tc>
        <w:tc>
          <w:tcPr>
            <w:tcW w:w="1067"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55C4A2BD">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3</w:t>
            </w:r>
          </w:p>
        </w:tc>
        <w:tc>
          <w:tcPr>
            <w:tcW w:w="856" w:type="dxa"/>
            <w:tcBorders>
              <w:top w:val="single" w:color="000000" w:sz="4" w:space="0"/>
              <w:left w:val="single" w:color="000000" w:sz="4" w:space="0"/>
              <w:bottom w:val="single" w:color="000000" w:sz="4" w:space="0"/>
              <w:right w:val="double" w:color="000000" w:sz="4" w:space="0"/>
            </w:tcBorders>
            <w:tcMar>
              <w:top w:w="0" w:type="dxa"/>
              <w:left w:w="105" w:type="dxa"/>
              <w:bottom w:w="0" w:type="dxa"/>
              <w:right w:w="105" w:type="dxa"/>
            </w:tcMar>
            <w:vAlign w:val="top"/>
          </w:tcPr>
          <w:p w14:paraId="571ECF46">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台</w:t>
            </w:r>
          </w:p>
        </w:tc>
      </w:tr>
      <w:tr w14:paraId="587E936E">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74" w:type="dxa"/>
            <w:tcBorders>
              <w:top w:val="single" w:color="000000" w:sz="4" w:space="0"/>
              <w:left w:val="double" w:color="000000" w:sz="4" w:space="0"/>
              <w:bottom w:val="single" w:color="000000" w:sz="4" w:space="0"/>
              <w:right w:val="single" w:color="000000" w:sz="4" w:space="0"/>
            </w:tcBorders>
            <w:tcMar>
              <w:top w:w="0" w:type="dxa"/>
              <w:left w:w="105" w:type="dxa"/>
              <w:bottom w:w="0" w:type="dxa"/>
              <w:right w:w="105" w:type="dxa"/>
            </w:tcMar>
            <w:vAlign w:val="top"/>
          </w:tcPr>
          <w:p w14:paraId="1A02A883">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6</w:t>
            </w:r>
          </w:p>
        </w:tc>
        <w:tc>
          <w:tcPr>
            <w:tcW w:w="950"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3F7ED16D">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采集主机(评审项188)</w:t>
            </w:r>
          </w:p>
        </w:tc>
        <w:tc>
          <w:tcPr>
            <w:tcW w:w="4655"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1855B84A">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1、 以太网口数≥3个；Console管理口≥1个；USB接口≥1; PDI接口≥4个，PRS485接口≥5个，DO接口≥1个。</w:t>
            </w:r>
            <w:r>
              <w:rPr>
                <w:rFonts w:hint="eastAsia" w:ascii="宋体" w:hAnsi="宋体" w:eastAsia="宋体" w:cs="宋体"/>
                <w:sz w:val="24"/>
                <w:szCs w:val="24"/>
              </w:rPr>
              <w:br w:type="textWrapping"/>
            </w:r>
            <w:r>
              <w:rPr>
                <w:rFonts w:hint="eastAsia" w:ascii="宋体" w:hAnsi="宋体" w:eastAsia="宋体" w:cs="宋体"/>
                <w:sz w:val="24"/>
                <w:szCs w:val="24"/>
              </w:rPr>
              <w:t>2、 支持门禁主机功能，具备专门的门禁接口，电源接口≥1;干接点开关接口≥1个；韦根接口≥1个。</w:t>
            </w:r>
            <w:r>
              <w:rPr>
                <w:rFonts w:hint="eastAsia" w:ascii="宋体" w:hAnsi="宋体" w:eastAsia="宋体" w:cs="宋体"/>
                <w:sz w:val="24"/>
                <w:szCs w:val="24"/>
              </w:rPr>
              <w:br w:type="textWrapping"/>
            </w:r>
            <w:r>
              <w:rPr>
                <w:rFonts w:hint="eastAsia" w:ascii="宋体" w:hAnsi="宋体" w:eastAsia="宋体" w:cs="宋体"/>
                <w:sz w:val="24"/>
                <w:szCs w:val="24"/>
              </w:rPr>
              <w:t>3、 内存≥8GB。</w:t>
            </w:r>
            <w:r>
              <w:rPr>
                <w:rFonts w:hint="eastAsia" w:ascii="宋体" w:hAnsi="宋体" w:eastAsia="宋体" w:cs="宋体"/>
                <w:sz w:val="24"/>
                <w:szCs w:val="24"/>
              </w:rPr>
              <w:br w:type="textWrapping"/>
            </w:r>
            <w:r>
              <w:rPr>
                <w:rFonts w:hint="eastAsia" w:ascii="宋体" w:hAnsi="宋体" w:eastAsia="宋体" w:cs="宋体"/>
                <w:sz w:val="24"/>
                <w:szCs w:val="24"/>
              </w:rPr>
              <w:t>4、 PDI接口、PRS485接口均支持RJ45形态，支持对外提供24V直流供电。</w:t>
            </w:r>
            <w:r>
              <w:rPr>
                <w:rFonts w:hint="eastAsia" w:ascii="宋体" w:hAnsi="宋体" w:eastAsia="宋体" w:cs="宋体"/>
                <w:sz w:val="24"/>
                <w:szCs w:val="24"/>
              </w:rPr>
              <w:br w:type="textWrapping"/>
            </w:r>
            <w:r>
              <w:rPr>
                <w:rFonts w:hint="eastAsia" w:ascii="宋体" w:hAnsi="宋体" w:eastAsia="宋体" w:cs="宋体"/>
                <w:sz w:val="24"/>
                <w:szCs w:val="24"/>
              </w:rPr>
              <w:t>5、 支持传感器类型智能识别，智能上线。</w:t>
            </w:r>
            <w:r>
              <w:rPr>
                <w:rFonts w:hint="eastAsia" w:ascii="宋体" w:hAnsi="宋体" w:eastAsia="宋体" w:cs="宋体"/>
                <w:sz w:val="24"/>
                <w:szCs w:val="24"/>
              </w:rPr>
              <w:br w:type="textWrapping"/>
            </w:r>
            <w:r>
              <w:rPr>
                <w:rFonts w:hint="eastAsia" w:ascii="宋体" w:hAnsi="宋体" w:eastAsia="宋体" w:cs="宋体"/>
                <w:sz w:val="24"/>
                <w:szCs w:val="24"/>
              </w:rPr>
              <w:t>6、含≥5年原厂质保。</w:t>
            </w:r>
          </w:p>
        </w:tc>
        <w:tc>
          <w:tcPr>
            <w:tcW w:w="1067"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44CBB2F1">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1</w:t>
            </w:r>
          </w:p>
        </w:tc>
        <w:tc>
          <w:tcPr>
            <w:tcW w:w="856" w:type="dxa"/>
            <w:tcBorders>
              <w:top w:val="single" w:color="000000" w:sz="4" w:space="0"/>
              <w:left w:val="single" w:color="000000" w:sz="4" w:space="0"/>
              <w:bottom w:val="single" w:color="000000" w:sz="4" w:space="0"/>
              <w:right w:val="double" w:color="000000" w:sz="4" w:space="0"/>
            </w:tcBorders>
            <w:tcMar>
              <w:top w:w="0" w:type="dxa"/>
              <w:left w:w="105" w:type="dxa"/>
              <w:bottom w:w="0" w:type="dxa"/>
              <w:right w:w="105" w:type="dxa"/>
            </w:tcMar>
            <w:vAlign w:val="top"/>
          </w:tcPr>
          <w:p w14:paraId="7A3591D7">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台</w:t>
            </w:r>
          </w:p>
        </w:tc>
      </w:tr>
      <w:tr w14:paraId="4198CDFB">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74" w:type="dxa"/>
            <w:tcBorders>
              <w:top w:val="single" w:color="000000" w:sz="4" w:space="0"/>
              <w:left w:val="double" w:color="000000" w:sz="4" w:space="0"/>
              <w:bottom w:val="single" w:color="000000" w:sz="4" w:space="0"/>
              <w:right w:val="single" w:color="000000" w:sz="4" w:space="0"/>
            </w:tcBorders>
            <w:tcMar>
              <w:top w:w="0" w:type="dxa"/>
              <w:left w:w="105" w:type="dxa"/>
              <w:bottom w:w="0" w:type="dxa"/>
              <w:right w:w="105" w:type="dxa"/>
            </w:tcMar>
            <w:vAlign w:val="top"/>
          </w:tcPr>
          <w:p w14:paraId="420AB542">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7</w:t>
            </w:r>
          </w:p>
        </w:tc>
        <w:tc>
          <w:tcPr>
            <w:tcW w:w="950"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5C8BC229">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物联网控制器(评审项189)</w:t>
            </w:r>
          </w:p>
        </w:tc>
        <w:tc>
          <w:tcPr>
            <w:tcW w:w="4655"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15A08C7D">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1、千兆以太网口数≥4个；RJ-45 Console管理口≥1个；USB接口≥2; 最大支持≥256个终端接入。</w:t>
            </w:r>
            <w:r>
              <w:rPr>
                <w:rFonts w:hint="eastAsia" w:ascii="宋体" w:hAnsi="宋体" w:eastAsia="宋体" w:cs="宋体"/>
                <w:sz w:val="24"/>
                <w:szCs w:val="24"/>
              </w:rPr>
              <w:br w:type="textWrapping"/>
            </w:r>
            <w:r>
              <w:rPr>
                <w:rFonts w:hint="eastAsia" w:ascii="宋体" w:hAnsi="宋体" w:eastAsia="宋体" w:cs="宋体"/>
                <w:sz w:val="24"/>
                <w:szCs w:val="24"/>
              </w:rPr>
              <w:t>2、支持对接市电监测模块、三相电量仪、负载应急供电、蓄电池、柴油发电机等动力系统，实现对机房动力系统物理安全状态的实时感知。</w:t>
            </w:r>
            <w:r>
              <w:rPr>
                <w:rFonts w:hint="eastAsia" w:ascii="宋体" w:hAnsi="宋体" w:eastAsia="宋体" w:cs="宋体"/>
                <w:sz w:val="24"/>
                <w:szCs w:val="24"/>
              </w:rPr>
              <w:br w:type="textWrapping"/>
            </w:r>
            <w:r>
              <w:rPr>
                <w:rFonts w:hint="eastAsia" w:ascii="宋体" w:hAnsi="宋体" w:eastAsia="宋体" w:cs="宋体"/>
                <w:sz w:val="24"/>
                <w:szCs w:val="24"/>
              </w:rPr>
              <w:t>3、支持接入温湿传感器、精密空调、普通空调、漏水传感器等，实现对机房环境物理安全状态的实时感知。</w:t>
            </w:r>
            <w:r>
              <w:rPr>
                <w:rFonts w:hint="eastAsia" w:ascii="宋体" w:hAnsi="宋体" w:eastAsia="宋体" w:cs="宋体"/>
                <w:sz w:val="24"/>
                <w:szCs w:val="24"/>
              </w:rPr>
              <w:br w:type="textWrapping"/>
            </w:r>
            <w:r>
              <w:rPr>
                <w:rFonts w:hint="eastAsia" w:ascii="宋体" w:hAnsi="宋体" w:eastAsia="宋体" w:cs="宋体"/>
                <w:sz w:val="24"/>
                <w:szCs w:val="24"/>
              </w:rPr>
              <w:t>4、支持接入门禁、门磁、烟雾传感器、视频等，实现对机房安防系统物理安全状态的实时感知。</w:t>
            </w:r>
            <w:r>
              <w:rPr>
                <w:rFonts w:hint="eastAsia" w:ascii="宋体" w:hAnsi="宋体" w:eastAsia="宋体" w:cs="宋体"/>
                <w:sz w:val="24"/>
                <w:szCs w:val="24"/>
              </w:rPr>
              <w:br w:type="textWrapping"/>
            </w:r>
            <w:r>
              <w:rPr>
                <w:rFonts w:hint="eastAsia" w:ascii="宋体" w:hAnsi="宋体" w:eastAsia="宋体" w:cs="宋体"/>
                <w:sz w:val="24"/>
                <w:szCs w:val="24"/>
              </w:rPr>
              <w:t>5、支持接入智能PDU，实现对配电单元远程管理和控制。</w:t>
            </w:r>
          </w:p>
          <w:p w14:paraId="73FD7BF9">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6、▲支持易部署上线，可以通过导航式部署快速上线传感器；支持多分支机房统一管理，支持本地局域网部署和跨互联网远程部署，通过平台可以对所有分支的接入传感器和物联网关进行统一集中管理，包括统一策略配置、统一运行状态查看、统一数据分析；支持管理员分权分级，不同的管理员拥有不同的管辖权限，方便平台的维护管理；支持基于机房物理空间真实展现各个传感器和系统状态，并联动告警，同时在空间展示也出现颜色的变化，告警恢复后，颜色恢复成正常状态；</w:t>
            </w:r>
            <w:r>
              <w:rPr>
                <w:rFonts w:hint="eastAsia" w:ascii="宋体" w:hAnsi="宋体" w:eastAsia="宋体" w:cs="宋体"/>
                <w:b/>
                <w:sz w:val="24"/>
                <w:szCs w:val="24"/>
              </w:rPr>
              <w:t>（投标人须提供测试报告进行佐证，测试报告中受检（或委托）单位须为相应产品的制造商或投标人）</w:t>
            </w:r>
          </w:p>
          <w:p w14:paraId="7459E2F9">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7、支持与视频监控对接，实现视频弹窗告警，联动抓拍；支持内置视频中心；支持实时录制告警发生的全过程，并内置视频中心随时查看，实现告警回溯；</w:t>
            </w:r>
          </w:p>
          <w:p w14:paraId="6A62FBF4">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8、支持通过动环监测管理平台基于数字孪生技术的大屏展示，向管理人员展示整体机房整体运行状态，包括温湿度情况、告警情况等信息；</w:t>
            </w:r>
          </w:p>
        </w:tc>
        <w:tc>
          <w:tcPr>
            <w:tcW w:w="1067"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3431B877">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1</w:t>
            </w:r>
          </w:p>
        </w:tc>
        <w:tc>
          <w:tcPr>
            <w:tcW w:w="856" w:type="dxa"/>
            <w:tcBorders>
              <w:top w:val="single" w:color="000000" w:sz="4" w:space="0"/>
              <w:left w:val="single" w:color="000000" w:sz="4" w:space="0"/>
              <w:bottom w:val="single" w:color="000000" w:sz="4" w:space="0"/>
              <w:right w:val="double" w:color="000000" w:sz="4" w:space="0"/>
            </w:tcBorders>
            <w:tcMar>
              <w:top w:w="0" w:type="dxa"/>
              <w:left w:w="105" w:type="dxa"/>
              <w:bottom w:w="0" w:type="dxa"/>
              <w:right w:w="105" w:type="dxa"/>
            </w:tcMar>
            <w:vAlign w:val="top"/>
          </w:tcPr>
          <w:p w14:paraId="4A13D4B3">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台</w:t>
            </w:r>
          </w:p>
        </w:tc>
      </w:tr>
      <w:tr w14:paraId="43A42DB1">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74" w:type="dxa"/>
            <w:tcBorders>
              <w:top w:val="single" w:color="000000" w:sz="4" w:space="0"/>
              <w:left w:val="double" w:color="000000" w:sz="4" w:space="0"/>
              <w:bottom w:val="single" w:color="000000" w:sz="4" w:space="0"/>
              <w:right w:val="single" w:color="000000" w:sz="4" w:space="0"/>
            </w:tcBorders>
            <w:tcMar>
              <w:top w:w="0" w:type="dxa"/>
              <w:left w:w="105" w:type="dxa"/>
              <w:bottom w:w="0" w:type="dxa"/>
              <w:right w:w="105" w:type="dxa"/>
            </w:tcMar>
            <w:vAlign w:val="top"/>
          </w:tcPr>
          <w:p w14:paraId="0A4210B1">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8</w:t>
            </w:r>
          </w:p>
        </w:tc>
        <w:tc>
          <w:tcPr>
            <w:tcW w:w="950"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752F83DE">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显示系统(评审项190)</w:t>
            </w:r>
          </w:p>
        </w:tc>
        <w:tc>
          <w:tcPr>
            <w:tcW w:w="4655"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08186095">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1、支持3D智能引擎，内置网络设备、机柜、负载应急供电、办公资产等素材，可以基于机房真实情况，通过拖拽式真实还原，实现所画即所得。</w:t>
            </w:r>
            <w:r>
              <w:rPr>
                <w:rFonts w:hint="eastAsia" w:ascii="宋体" w:hAnsi="宋体" w:eastAsia="宋体" w:cs="宋体"/>
                <w:sz w:val="24"/>
                <w:szCs w:val="24"/>
              </w:rPr>
              <w:br w:type="textWrapping"/>
            </w:r>
            <w:r>
              <w:rPr>
                <w:rFonts w:hint="eastAsia" w:ascii="宋体" w:hAnsi="宋体" w:eastAsia="宋体" w:cs="宋体"/>
                <w:sz w:val="24"/>
                <w:szCs w:val="24"/>
              </w:rPr>
              <w:t>2、支持基于数字孪生技术的大屏展示，向管理人员展示整体机房整体运行状态，包括负载应急供电状态、精密空调状态、电力系统、温湿度情况、告警情况等信息，数据通过友好的大屏直观呈现展示，实现管理可视化。</w:t>
            </w:r>
            <w:r>
              <w:rPr>
                <w:rFonts w:hint="eastAsia" w:ascii="宋体" w:hAnsi="宋体" w:eastAsia="宋体" w:cs="宋体"/>
                <w:sz w:val="24"/>
                <w:szCs w:val="24"/>
              </w:rPr>
              <w:br w:type="textWrapping"/>
            </w:r>
            <w:r>
              <w:rPr>
                <w:rFonts w:hint="eastAsia" w:ascii="宋体" w:hAnsi="宋体" w:eastAsia="宋体" w:cs="宋体"/>
                <w:sz w:val="24"/>
                <w:szCs w:val="24"/>
              </w:rPr>
              <w:t>3、支持机柜级微环境监测，监测机柜内的温湿度，机柜门的闭合情况。</w:t>
            </w:r>
            <w:r>
              <w:rPr>
                <w:rFonts w:hint="eastAsia" w:ascii="宋体" w:hAnsi="宋体" w:eastAsia="宋体" w:cs="宋体"/>
                <w:sz w:val="24"/>
                <w:szCs w:val="24"/>
              </w:rPr>
              <w:br w:type="textWrapping"/>
            </w:r>
            <w:r>
              <w:rPr>
                <w:rFonts w:hint="eastAsia" w:ascii="宋体" w:hAnsi="宋体" w:eastAsia="宋体" w:cs="宋体"/>
                <w:sz w:val="24"/>
                <w:szCs w:val="24"/>
              </w:rPr>
              <w:t>4、支持多种告警模式，包括电话告警、短信告警、声光告警、APP告警、WEB告警、阿里钉钉、微信告警、邮件等；。</w:t>
            </w:r>
            <w:r>
              <w:rPr>
                <w:rFonts w:hint="eastAsia" w:ascii="宋体" w:hAnsi="宋体" w:eastAsia="宋体" w:cs="宋体"/>
                <w:sz w:val="24"/>
                <w:szCs w:val="24"/>
              </w:rPr>
              <w:br w:type="textWrapping"/>
            </w:r>
            <w:r>
              <w:rPr>
                <w:rFonts w:hint="eastAsia" w:ascii="宋体" w:hAnsi="宋体" w:eastAsia="宋体" w:cs="宋体"/>
                <w:sz w:val="24"/>
                <w:szCs w:val="24"/>
              </w:rPr>
              <w:t>5、支持多分支机房统一管理，支持本地局域网部署和跨互联网远程部署，通过平台可以对所有分支的接入传感器和物联网关进行统一集中管理，包括统一策略配置、统一运行状态查看、统一数据分析。</w:t>
            </w:r>
            <w:r>
              <w:rPr>
                <w:rFonts w:hint="eastAsia" w:ascii="宋体" w:hAnsi="宋体" w:eastAsia="宋体" w:cs="宋体"/>
                <w:sz w:val="24"/>
                <w:szCs w:val="24"/>
              </w:rPr>
              <w:br w:type="textWrapping"/>
            </w:r>
            <w:r>
              <w:rPr>
                <w:rFonts w:hint="eastAsia" w:ascii="宋体" w:hAnsi="宋体" w:eastAsia="宋体" w:cs="宋体"/>
                <w:sz w:val="24"/>
                <w:szCs w:val="24"/>
              </w:rPr>
              <w:t>6、支持与视频监控对接，实现视频弹窗告警，联动抓拍；支持内置视频中心；支持实时录制告警发生的全过程，并内置视频中心随时查看，实现告警回溯。</w:t>
            </w:r>
          </w:p>
        </w:tc>
        <w:tc>
          <w:tcPr>
            <w:tcW w:w="1067"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348316A1">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1</w:t>
            </w:r>
          </w:p>
        </w:tc>
        <w:tc>
          <w:tcPr>
            <w:tcW w:w="856" w:type="dxa"/>
            <w:tcBorders>
              <w:top w:val="single" w:color="000000" w:sz="4" w:space="0"/>
              <w:left w:val="single" w:color="000000" w:sz="4" w:space="0"/>
              <w:bottom w:val="single" w:color="000000" w:sz="4" w:space="0"/>
              <w:right w:val="double" w:color="000000" w:sz="4" w:space="0"/>
            </w:tcBorders>
            <w:tcMar>
              <w:top w:w="0" w:type="dxa"/>
              <w:left w:w="105" w:type="dxa"/>
              <w:bottom w:w="0" w:type="dxa"/>
              <w:right w:w="105" w:type="dxa"/>
            </w:tcMar>
            <w:vAlign w:val="top"/>
          </w:tcPr>
          <w:p w14:paraId="25E98134">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套</w:t>
            </w:r>
          </w:p>
        </w:tc>
      </w:tr>
      <w:tr w14:paraId="61DCB44C">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74" w:type="dxa"/>
            <w:tcBorders>
              <w:top w:val="single" w:color="000000" w:sz="4" w:space="0"/>
              <w:left w:val="double" w:color="000000" w:sz="4" w:space="0"/>
              <w:bottom w:val="single" w:color="000000" w:sz="4" w:space="0"/>
              <w:right w:val="single" w:color="000000" w:sz="4" w:space="0"/>
            </w:tcBorders>
            <w:tcMar>
              <w:top w:w="0" w:type="dxa"/>
              <w:left w:w="105" w:type="dxa"/>
              <w:bottom w:w="0" w:type="dxa"/>
              <w:right w:w="105" w:type="dxa"/>
            </w:tcMar>
            <w:vAlign w:val="top"/>
          </w:tcPr>
          <w:p w14:paraId="130BE5FD">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9</w:t>
            </w:r>
          </w:p>
        </w:tc>
        <w:tc>
          <w:tcPr>
            <w:tcW w:w="950"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2BEE8F51">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火灾报警控制系统(评审项191)</w:t>
            </w:r>
          </w:p>
        </w:tc>
        <w:tc>
          <w:tcPr>
            <w:tcW w:w="4655"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3F668F36">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1、交流主电 AC220V (+10%~-15%) 50Hz±1Hz；直流备电 DC24V/24Ah 铅酸蓄电池，双电源冗余设计保障供电连续性。</w:t>
            </w:r>
            <w:r>
              <w:rPr>
                <w:rFonts w:hint="eastAsia" w:ascii="宋体" w:hAnsi="宋体" w:eastAsia="宋体" w:cs="宋体"/>
                <w:sz w:val="24"/>
                <w:szCs w:val="24"/>
              </w:rPr>
              <w:br w:type="textWrapping"/>
            </w:r>
            <w:r>
              <w:rPr>
                <w:rFonts w:hint="eastAsia" w:ascii="宋体" w:hAnsi="宋体" w:eastAsia="宋体" w:cs="宋体"/>
                <w:sz w:val="24"/>
                <w:szCs w:val="24"/>
              </w:rPr>
              <w:t>2、监控状态功耗＜55W，满足节能运行需求，降低长期使用成本。</w:t>
            </w:r>
            <w:r>
              <w:rPr>
                <w:rFonts w:hint="eastAsia" w:ascii="宋体" w:hAnsi="宋体" w:eastAsia="宋体" w:cs="宋体"/>
                <w:sz w:val="24"/>
                <w:szCs w:val="24"/>
              </w:rPr>
              <w:br w:type="textWrapping"/>
            </w:r>
            <w:r>
              <w:rPr>
                <w:rFonts w:hint="eastAsia" w:ascii="宋体" w:hAnsi="宋体" w:eastAsia="宋体" w:cs="宋体"/>
                <w:sz w:val="24"/>
                <w:szCs w:val="24"/>
              </w:rPr>
              <w:t>3、总线回路：≥1 个回路，每回路支持 ≥252 个地址编码设备；多线联动：标配 ≥8 点，最大可扩展至≥160 点。</w:t>
            </w:r>
          </w:p>
        </w:tc>
        <w:tc>
          <w:tcPr>
            <w:tcW w:w="1067"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27FC4FDE">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1</w:t>
            </w:r>
          </w:p>
        </w:tc>
        <w:tc>
          <w:tcPr>
            <w:tcW w:w="856" w:type="dxa"/>
            <w:tcBorders>
              <w:top w:val="single" w:color="000000" w:sz="4" w:space="0"/>
              <w:left w:val="single" w:color="000000" w:sz="4" w:space="0"/>
              <w:bottom w:val="single" w:color="000000" w:sz="4" w:space="0"/>
              <w:right w:val="double" w:color="000000" w:sz="4" w:space="0"/>
            </w:tcBorders>
            <w:tcMar>
              <w:top w:w="0" w:type="dxa"/>
              <w:left w:w="105" w:type="dxa"/>
              <w:bottom w:w="0" w:type="dxa"/>
              <w:right w:w="105" w:type="dxa"/>
            </w:tcMar>
            <w:vAlign w:val="top"/>
          </w:tcPr>
          <w:p w14:paraId="6A754AF1">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套</w:t>
            </w:r>
          </w:p>
        </w:tc>
      </w:tr>
      <w:tr w14:paraId="6EBA9E04">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74" w:type="dxa"/>
            <w:tcBorders>
              <w:top w:val="single" w:color="000000" w:sz="4" w:space="0"/>
              <w:left w:val="double" w:color="000000" w:sz="4" w:space="0"/>
              <w:bottom w:val="single" w:color="000000" w:sz="4" w:space="0"/>
              <w:right w:val="single" w:color="000000" w:sz="4" w:space="0"/>
            </w:tcBorders>
            <w:tcMar>
              <w:top w:w="0" w:type="dxa"/>
              <w:left w:w="105" w:type="dxa"/>
              <w:bottom w:w="0" w:type="dxa"/>
              <w:right w:w="105" w:type="dxa"/>
            </w:tcMar>
            <w:vAlign w:val="top"/>
          </w:tcPr>
          <w:p w14:paraId="14528E93">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10</w:t>
            </w:r>
          </w:p>
        </w:tc>
        <w:tc>
          <w:tcPr>
            <w:tcW w:w="950"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66BF95B5">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负载应急供电(评审项192)</w:t>
            </w:r>
          </w:p>
        </w:tc>
        <w:tc>
          <w:tcPr>
            <w:tcW w:w="4655"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2853D06A">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1KVA 备电1小时。</w:t>
            </w:r>
          </w:p>
        </w:tc>
        <w:tc>
          <w:tcPr>
            <w:tcW w:w="1067"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2CA8E271">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1</w:t>
            </w:r>
          </w:p>
        </w:tc>
        <w:tc>
          <w:tcPr>
            <w:tcW w:w="856" w:type="dxa"/>
            <w:tcBorders>
              <w:top w:val="single" w:color="000000" w:sz="4" w:space="0"/>
              <w:left w:val="single" w:color="000000" w:sz="4" w:space="0"/>
              <w:bottom w:val="single" w:color="000000" w:sz="4" w:space="0"/>
              <w:right w:val="double" w:color="000000" w:sz="4" w:space="0"/>
            </w:tcBorders>
            <w:tcMar>
              <w:top w:w="0" w:type="dxa"/>
              <w:left w:w="105" w:type="dxa"/>
              <w:bottom w:w="0" w:type="dxa"/>
              <w:right w:w="105" w:type="dxa"/>
            </w:tcMar>
            <w:vAlign w:val="top"/>
          </w:tcPr>
          <w:p w14:paraId="2BAA2AFA">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套</w:t>
            </w:r>
          </w:p>
        </w:tc>
      </w:tr>
      <w:tr w14:paraId="7D919EF0">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74" w:type="dxa"/>
            <w:tcBorders>
              <w:top w:val="single" w:color="000000" w:sz="4" w:space="0"/>
              <w:left w:val="double" w:color="000000" w:sz="4" w:space="0"/>
              <w:bottom w:val="double" w:color="000000" w:sz="4" w:space="0"/>
              <w:right w:val="single" w:color="000000" w:sz="4" w:space="0"/>
            </w:tcBorders>
            <w:tcMar>
              <w:top w:w="0" w:type="dxa"/>
              <w:left w:w="105" w:type="dxa"/>
              <w:bottom w:w="0" w:type="dxa"/>
              <w:right w:w="105" w:type="dxa"/>
            </w:tcMar>
            <w:vAlign w:val="top"/>
          </w:tcPr>
          <w:p w14:paraId="3DABF16A">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11</w:t>
            </w:r>
          </w:p>
        </w:tc>
        <w:tc>
          <w:tcPr>
            <w:tcW w:w="950" w:type="dxa"/>
            <w:tcBorders>
              <w:top w:val="single" w:color="000000" w:sz="4" w:space="0"/>
              <w:left w:val="single" w:color="000000" w:sz="4" w:space="0"/>
              <w:bottom w:val="double" w:color="000000" w:sz="4" w:space="0"/>
              <w:right w:val="single" w:color="000000" w:sz="4" w:space="0"/>
            </w:tcBorders>
            <w:tcMar>
              <w:top w:w="0" w:type="dxa"/>
              <w:left w:w="105" w:type="dxa"/>
              <w:bottom w:w="0" w:type="dxa"/>
              <w:right w:w="105" w:type="dxa"/>
            </w:tcMar>
            <w:vAlign w:val="top"/>
          </w:tcPr>
          <w:p w14:paraId="5C942005">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动环管线材(评审项193)</w:t>
            </w:r>
          </w:p>
        </w:tc>
        <w:tc>
          <w:tcPr>
            <w:tcW w:w="4655" w:type="dxa"/>
            <w:tcBorders>
              <w:top w:val="single" w:color="000000" w:sz="4" w:space="0"/>
              <w:left w:val="single" w:color="000000" w:sz="4" w:space="0"/>
              <w:bottom w:val="double" w:color="000000" w:sz="4" w:space="0"/>
              <w:right w:val="single" w:color="000000" w:sz="4" w:space="0"/>
            </w:tcBorders>
            <w:tcMar>
              <w:top w:w="0" w:type="dxa"/>
              <w:left w:w="105" w:type="dxa"/>
              <w:bottom w:w="0" w:type="dxa"/>
              <w:right w:w="105" w:type="dxa"/>
            </w:tcMar>
            <w:vAlign w:val="top"/>
          </w:tcPr>
          <w:p w14:paraId="11B3B31E">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信号线、辅助管材、扎带、水晶头等。</w:t>
            </w:r>
          </w:p>
        </w:tc>
        <w:tc>
          <w:tcPr>
            <w:tcW w:w="1067" w:type="dxa"/>
            <w:tcBorders>
              <w:top w:val="single" w:color="000000" w:sz="4" w:space="0"/>
              <w:left w:val="single" w:color="000000" w:sz="4" w:space="0"/>
              <w:bottom w:val="double" w:color="000000" w:sz="4" w:space="0"/>
              <w:right w:val="single" w:color="000000" w:sz="4" w:space="0"/>
            </w:tcBorders>
            <w:tcMar>
              <w:top w:w="0" w:type="dxa"/>
              <w:left w:w="105" w:type="dxa"/>
              <w:bottom w:w="0" w:type="dxa"/>
              <w:right w:w="105" w:type="dxa"/>
            </w:tcMar>
            <w:vAlign w:val="top"/>
          </w:tcPr>
          <w:p w14:paraId="649A2282">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1</w:t>
            </w:r>
          </w:p>
        </w:tc>
        <w:tc>
          <w:tcPr>
            <w:tcW w:w="856" w:type="dxa"/>
            <w:tcBorders>
              <w:top w:val="single" w:color="000000" w:sz="4" w:space="0"/>
              <w:left w:val="single" w:color="000000" w:sz="4" w:space="0"/>
              <w:bottom w:val="double" w:color="000000" w:sz="4" w:space="0"/>
              <w:right w:val="double" w:color="000000" w:sz="4" w:space="0"/>
            </w:tcBorders>
            <w:tcMar>
              <w:top w:w="0" w:type="dxa"/>
              <w:left w:w="105" w:type="dxa"/>
              <w:bottom w:w="0" w:type="dxa"/>
              <w:right w:w="105" w:type="dxa"/>
            </w:tcMar>
            <w:vAlign w:val="top"/>
          </w:tcPr>
          <w:p w14:paraId="7184C3B7">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项</w:t>
            </w:r>
          </w:p>
        </w:tc>
      </w:tr>
    </w:tbl>
    <w:p w14:paraId="05128350">
      <w:pPr>
        <w:pStyle w:val="6"/>
        <w:keepNext w:val="0"/>
        <w:keepLines w:val="0"/>
        <w:pageBreakBefore w:val="0"/>
        <w:kinsoku/>
        <w:wordWrap/>
        <w:overflowPunct/>
        <w:topLinePunct w:val="0"/>
        <w:autoSpaceDE/>
        <w:autoSpaceDN/>
        <w:bidi w:val="0"/>
        <w:adjustRightInd/>
        <w:snapToGrid/>
        <w:spacing w:line="500" w:lineRule="exact"/>
        <w:ind w:left="570"/>
        <w:jc w:val="both"/>
        <w:textAlignment w:val="auto"/>
        <w:rPr>
          <w:rFonts w:hint="eastAsia" w:ascii="宋体" w:hAnsi="宋体" w:eastAsia="宋体" w:cs="宋体"/>
          <w:sz w:val="24"/>
          <w:szCs w:val="24"/>
        </w:rPr>
      </w:pPr>
      <w:r>
        <w:rPr>
          <w:rFonts w:hint="eastAsia" w:ascii="宋体" w:hAnsi="宋体" w:eastAsia="宋体" w:cs="宋体"/>
          <w:b/>
          <w:sz w:val="24"/>
          <w:szCs w:val="24"/>
        </w:rPr>
        <w:t>2.4.网络安全设备</w:t>
      </w:r>
    </w:p>
    <w:p w14:paraId="11985017">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b/>
          <w:sz w:val="24"/>
          <w:szCs w:val="24"/>
        </w:rPr>
        <w:t>2.4.1.网络安全</w:t>
      </w:r>
    </w:p>
    <w:p w14:paraId="05A3F50F">
      <w:pPr>
        <w:pStyle w:val="6"/>
        <w:keepNext w:val="0"/>
        <w:keepLines w:val="0"/>
        <w:pageBreakBefore w:val="0"/>
        <w:kinsoku/>
        <w:wordWrap/>
        <w:overflowPunct/>
        <w:topLinePunct w:val="0"/>
        <w:autoSpaceDE/>
        <w:autoSpaceDN/>
        <w:bidi w:val="0"/>
        <w:adjustRightInd/>
        <w:snapToGrid/>
        <w:spacing w:line="500" w:lineRule="exact"/>
        <w:ind w:left="855"/>
        <w:jc w:val="both"/>
        <w:textAlignment w:val="auto"/>
        <w:rPr>
          <w:rFonts w:hint="eastAsia" w:ascii="宋体" w:hAnsi="宋体" w:eastAsia="宋体" w:cs="宋体"/>
          <w:sz w:val="24"/>
          <w:szCs w:val="24"/>
        </w:rPr>
      </w:pPr>
      <w:r>
        <w:rPr>
          <w:rFonts w:hint="eastAsia" w:ascii="宋体" w:hAnsi="宋体" w:eastAsia="宋体" w:cs="宋体"/>
          <w:b/>
          <w:sz w:val="24"/>
          <w:szCs w:val="24"/>
        </w:rPr>
        <w:t>2.4.1.1.福州市第二总医院网络安全设备</w:t>
      </w:r>
    </w:p>
    <w:tbl>
      <w:tblPr>
        <w:tblStyle w:val="4"/>
        <w:tblW w:w="0" w:type="auto"/>
        <w:tblInd w:w="0" w:type="dxa"/>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autofit"/>
        <w:tblCellMar>
          <w:top w:w="0" w:type="dxa"/>
          <w:left w:w="108" w:type="dxa"/>
          <w:bottom w:w="0" w:type="dxa"/>
          <w:right w:w="108" w:type="dxa"/>
        </w:tblCellMar>
      </w:tblPr>
      <w:tblGrid>
        <w:gridCol w:w="611"/>
        <w:gridCol w:w="1050"/>
        <w:gridCol w:w="5489"/>
        <w:gridCol w:w="662"/>
        <w:gridCol w:w="704"/>
      </w:tblGrid>
      <w:tr w14:paraId="46830B03">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18" w:type="dxa"/>
            <w:tcBorders>
              <w:top w:val="double" w:color="000000" w:sz="4" w:space="0"/>
              <w:left w:val="double" w:color="000000" w:sz="4" w:space="0"/>
              <w:bottom w:val="single" w:color="000000" w:sz="4" w:space="0"/>
              <w:right w:val="single" w:color="000000" w:sz="4" w:space="0"/>
            </w:tcBorders>
            <w:shd w:val="clear" w:color="auto" w:fill="BFBFBF"/>
            <w:tcMar>
              <w:top w:w="0" w:type="dxa"/>
              <w:left w:w="105" w:type="dxa"/>
              <w:bottom w:w="0" w:type="dxa"/>
              <w:right w:w="105" w:type="dxa"/>
            </w:tcMar>
            <w:vAlign w:val="top"/>
          </w:tcPr>
          <w:p w14:paraId="55A0EAE8">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b/>
                <w:sz w:val="24"/>
                <w:szCs w:val="24"/>
              </w:rPr>
              <w:t>编号</w:t>
            </w:r>
          </w:p>
        </w:tc>
        <w:tc>
          <w:tcPr>
            <w:tcW w:w="658" w:type="dxa"/>
            <w:tcBorders>
              <w:top w:val="double" w:color="000000" w:sz="4" w:space="0"/>
              <w:left w:val="nil"/>
              <w:bottom w:val="single" w:color="000000" w:sz="4" w:space="0"/>
              <w:right w:val="single" w:color="000000" w:sz="4" w:space="0"/>
            </w:tcBorders>
            <w:shd w:val="clear" w:color="auto" w:fill="BEBEBE"/>
            <w:tcMar>
              <w:top w:w="0" w:type="dxa"/>
              <w:left w:w="105" w:type="dxa"/>
              <w:bottom w:w="0" w:type="dxa"/>
              <w:right w:w="105" w:type="dxa"/>
            </w:tcMar>
            <w:vAlign w:val="top"/>
          </w:tcPr>
          <w:p w14:paraId="4E94DF4E">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b/>
                <w:sz w:val="24"/>
                <w:szCs w:val="24"/>
              </w:rPr>
              <w:t>设备名称</w:t>
            </w:r>
          </w:p>
        </w:tc>
        <w:tc>
          <w:tcPr>
            <w:tcW w:w="5640" w:type="dxa"/>
            <w:tcBorders>
              <w:top w:val="double" w:color="000000" w:sz="4" w:space="0"/>
              <w:left w:val="nil"/>
              <w:bottom w:val="single" w:color="000000" w:sz="4" w:space="0"/>
              <w:right w:val="single" w:color="000000" w:sz="4" w:space="0"/>
            </w:tcBorders>
            <w:shd w:val="clear" w:color="auto" w:fill="BEBEBE"/>
            <w:tcMar>
              <w:top w:w="0" w:type="dxa"/>
              <w:left w:w="105" w:type="dxa"/>
              <w:bottom w:w="0" w:type="dxa"/>
              <w:right w:w="105" w:type="dxa"/>
            </w:tcMar>
            <w:vAlign w:val="top"/>
          </w:tcPr>
          <w:p w14:paraId="40171914">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b/>
                <w:sz w:val="24"/>
                <w:szCs w:val="24"/>
              </w:rPr>
              <w:t>性能参数要求</w:t>
            </w:r>
          </w:p>
        </w:tc>
        <w:tc>
          <w:tcPr>
            <w:tcW w:w="671" w:type="dxa"/>
            <w:tcBorders>
              <w:top w:val="double" w:color="000000" w:sz="4" w:space="0"/>
              <w:left w:val="nil"/>
              <w:bottom w:val="single" w:color="000000" w:sz="4" w:space="0"/>
              <w:right w:val="single" w:color="000000" w:sz="4" w:space="0"/>
            </w:tcBorders>
            <w:shd w:val="clear" w:color="auto" w:fill="BEBEBE"/>
            <w:tcMar>
              <w:top w:w="0" w:type="dxa"/>
              <w:left w:w="105" w:type="dxa"/>
              <w:bottom w:w="0" w:type="dxa"/>
              <w:right w:w="105" w:type="dxa"/>
            </w:tcMar>
            <w:vAlign w:val="top"/>
          </w:tcPr>
          <w:p w14:paraId="0DF0A21B">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b/>
                <w:sz w:val="24"/>
                <w:szCs w:val="24"/>
              </w:rPr>
              <w:t>数量</w:t>
            </w:r>
          </w:p>
        </w:tc>
        <w:tc>
          <w:tcPr>
            <w:tcW w:w="714" w:type="dxa"/>
            <w:tcBorders>
              <w:top w:val="double" w:color="000000" w:sz="4" w:space="0"/>
              <w:left w:val="nil"/>
              <w:bottom w:val="single" w:color="000000" w:sz="4" w:space="0"/>
              <w:right w:val="single" w:color="000000" w:sz="4" w:space="0"/>
            </w:tcBorders>
            <w:shd w:val="clear" w:color="auto" w:fill="BEBEBE"/>
            <w:tcMar>
              <w:top w:w="0" w:type="dxa"/>
              <w:left w:w="105" w:type="dxa"/>
              <w:bottom w:w="0" w:type="dxa"/>
              <w:right w:w="105" w:type="dxa"/>
            </w:tcMar>
            <w:vAlign w:val="top"/>
          </w:tcPr>
          <w:p w14:paraId="0BDBF0BE">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b/>
                <w:sz w:val="24"/>
                <w:szCs w:val="24"/>
              </w:rPr>
              <w:t>单位</w:t>
            </w:r>
          </w:p>
        </w:tc>
      </w:tr>
      <w:tr w14:paraId="35445442">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18"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79DFF46E">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1</w:t>
            </w:r>
          </w:p>
        </w:tc>
        <w:tc>
          <w:tcPr>
            <w:tcW w:w="658" w:type="dxa"/>
            <w:tcBorders>
              <w:top w:val="nil"/>
              <w:left w:val="nil"/>
              <w:bottom w:val="single" w:color="000000" w:sz="4" w:space="0"/>
              <w:right w:val="single" w:color="000000" w:sz="4" w:space="0"/>
            </w:tcBorders>
            <w:tcMar>
              <w:top w:w="0" w:type="dxa"/>
              <w:left w:w="105" w:type="dxa"/>
              <w:bottom w:w="0" w:type="dxa"/>
              <w:right w:w="105" w:type="dxa"/>
            </w:tcMar>
            <w:vAlign w:val="top"/>
          </w:tcPr>
          <w:p w14:paraId="0EF7222D">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sz w:val="24"/>
                <w:szCs w:val="24"/>
              </w:rPr>
              <w:t>外网互联网接入区抗DDOS(评审项194)</w:t>
            </w:r>
          </w:p>
        </w:tc>
        <w:tc>
          <w:tcPr>
            <w:tcW w:w="5640" w:type="dxa"/>
            <w:tcBorders>
              <w:top w:val="nil"/>
              <w:left w:val="nil"/>
              <w:bottom w:val="single" w:color="000000" w:sz="4" w:space="0"/>
              <w:right w:val="single" w:color="000000" w:sz="4" w:space="0"/>
            </w:tcBorders>
            <w:tcMar>
              <w:top w:w="0" w:type="dxa"/>
              <w:left w:w="105" w:type="dxa"/>
              <w:bottom w:w="0" w:type="dxa"/>
              <w:right w:w="105" w:type="dxa"/>
            </w:tcMar>
            <w:vAlign w:val="top"/>
          </w:tcPr>
          <w:p w14:paraId="35AE220A">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sz w:val="24"/>
                <w:szCs w:val="24"/>
              </w:rPr>
              <w:t>1、小包流量清洗能力10Gbps;最大保护服务器数4096台。</w:t>
            </w:r>
            <w:r>
              <w:rPr>
                <w:rFonts w:hint="eastAsia" w:ascii="宋体" w:hAnsi="宋体" w:eastAsia="宋体" w:cs="宋体"/>
                <w:sz w:val="24"/>
                <w:szCs w:val="24"/>
              </w:rPr>
              <w:br w:type="textWrapping"/>
            </w:r>
            <w:r>
              <w:rPr>
                <w:rFonts w:hint="eastAsia" w:ascii="宋体" w:hAnsi="宋体" w:eastAsia="宋体" w:cs="宋体"/>
                <w:sz w:val="24"/>
                <w:szCs w:val="24"/>
              </w:rPr>
              <w:t>2、支持网络层DDOS防护，包括但不限于Land防护、Smurf防护、Winnuke防护、分片攻击防护、ICMP Flood攻击防护</w:t>
            </w:r>
            <w:r>
              <w:rPr>
                <w:rFonts w:hint="eastAsia" w:ascii="宋体" w:hAnsi="宋体" w:eastAsia="宋体" w:cs="宋体"/>
                <w:sz w:val="24"/>
                <w:szCs w:val="24"/>
              </w:rPr>
              <w:br w:type="textWrapping"/>
            </w:r>
            <w:r>
              <w:rPr>
                <w:rFonts w:hint="eastAsia" w:ascii="宋体" w:hAnsi="宋体" w:eastAsia="宋体" w:cs="宋体"/>
                <w:sz w:val="24"/>
                <w:szCs w:val="24"/>
              </w:rPr>
              <w:t>3、支持传输层DDOS防护，包括但不限于端口扫描防护、SVN Flood攻击防护、Conn Flood攻击防护、ACKFlood攻击防护、序号攻击防护、慢速攻击防护UDPFlood防护</w:t>
            </w:r>
            <w:r>
              <w:rPr>
                <w:rFonts w:hint="eastAsia" w:ascii="宋体" w:hAnsi="宋体" w:eastAsia="宋体" w:cs="宋体"/>
                <w:sz w:val="24"/>
                <w:szCs w:val="24"/>
              </w:rPr>
              <w:br w:type="textWrapping"/>
            </w:r>
            <w:r>
              <w:rPr>
                <w:rFonts w:hint="eastAsia" w:ascii="宋体" w:hAnsi="宋体" w:eastAsia="宋体" w:cs="宋体"/>
                <w:sz w:val="24"/>
                <w:szCs w:val="24"/>
              </w:rPr>
              <w:t>4、支持应用层DDOS防护，包括但不限于DNS Flood攻击防护、HTTP Flood攻击防护、CC攻击防护</w:t>
            </w:r>
            <w:r>
              <w:rPr>
                <w:rFonts w:hint="eastAsia" w:ascii="宋体" w:hAnsi="宋体" w:eastAsia="宋体" w:cs="宋体"/>
                <w:sz w:val="24"/>
                <w:szCs w:val="24"/>
              </w:rPr>
              <w:br w:type="textWrapping"/>
            </w:r>
            <w:r>
              <w:rPr>
                <w:rFonts w:hint="eastAsia" w:ascii="宋体" w:hAnsi="宋体" w:eastAsia="宋体" w:cs="宋体"/>
                <w:sz w:val="24"/>
                <w:szCs w:val="24"/>
              </w:rPr>
              <w:t>5、支持通过对网络流量的学习，定义对应的风险等级和清洗混值，并形成模板以供使用，降低操作难度。</w:t>
            </w:r>
            <w:r>
              <w:rPr>
                <w:rFonts w:hint="eastAsia" w:ascii="宋体" w:hAnsi="宋体" w:eastAsia="宋体" w:cs="宋体"/>
                <w:sz w:val="24"/>
                <w:szCs w:val="24"/>
              </w:rPr>
              <w:br w:type="textWrapping"/>
            </w:r>
            <w:r>
              <w:rPr>
                <w:rFonts w:hint="eastAsia" w:ascii="宋体" w:hAnsi="宋体" w:eastAsia="宋体" w:cs="宋体"/>
                <w:sz w:val="24"/>
                <w:szCs w:val="24"/>
              </w:rPr>
              <w:t>6、支持对所监测到的风险事件可以进行动态控制，根据当前网络态势定义一个风控时间，在此期间封禁某个攻击源，当网络恢复平稳后进行动态释放。</w:t>
            </w:r>
          </w:p>
        </w:tc>
        <w:tc>
          <w:tcPr>
            <w:tcW w:w="671" w:type="dxa"/>
            <w:tcBorders>
              <w:top w:val="nil"/>
              <w:left w:val="nil"/>
              <w:bottom w:val="single" w:color="000000" w:sz="4" w:space="0"/>
              <w:right w:val="single" w:color="000000" w:sz="4" w:space="0"/>
            </w:tcBorders>
            <w:tcMar>
              <w:top w:w="0" w:type="dxa"/>
              <w:left w:w="105" w:type="dxa"/>
              <w:bottom w:w="0" w:type="dxa"/>
              <w:right w:w="105" w:type="dxa"/>
            </w:tcMar>
            <w:vAlign w:val="top"/>
          </w:tcPr>
          <w:p w14:paraId="096CEF57">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2</w:t>
            </w:r>
          </w:p>
        </w:tc>
        <w:tc>
          <w:tcPr>
            <w:tcW w:w="714" w:type="dxa"/>
            <w:tcBorders>
              <w:top w:val="nil"/>
              <w:left w:val="nil"/>
              <w:bottom w:val="single" w:color="000000" w:sz="4" w:space="0"/>
              <w:right w:val="single" w:color="000000" w:sz="4" w:space="0"/>
            </w:tcBorders>
            <w:tcMar>
              <w:top w:w="0" w:type="dxa"/>
              <w:left w:w="105" w:type="dxa"/>
              <w:bottom w:w="0" w:type="dxa"/>
              <w:right w:w="105" w:type="dxa"/>
            </w:tcMar>
            <w:vAlign w:val="top"/>
          </w:tcPr>
          <w:p w14:paraId="525DA96F">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套</w:t>
            </w:r>
          </w:p>
        </w:tc>
      </w:tr>
      <w:tr w14:paraId="50D517DC">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18"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1F8C9EF2">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2</w:t>
            </w:r>
          </w:p>
        </w:tc>
        <w:tc>
          <w:tcPr>
            <w:tcW w:w="658" w:type="dxa"/>
            <w:tcBorders>
              <w:top w:val="nil"/>
              <w:left w:val="nil"/>
              <w:bottom w:val="single" w:color="000000" w:sz="4" w:space="0"/>
              <w:right w:val="single" w:color="000000" w:sz="4" w:space="0"/>
            </w:tcBorders>
            <w:tcMar>
              <w:top w:w="0" w:type="dxa"/>
              <w:left w:w="105" w:type="dxa"/>
              <w:bottom w:w="0" w:type="dxa"/>
              <w:right w:w="105" w:type="dxa"/>
            </w:tcMar>
            <w:vAlign w:val="top"/>
          </w:tcPr>
          <w:p w14:paraId="3082A7F7">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sz w:val="24"/>
                <w:szCs w:val="24"/>
              </w:rPr>
              <w:t>外网出口防火墙(评审项195)</w:t>
            </w:r>
          </w:p>
        </w:tc>
        <w:tc>
          <w:tcPr>
            <w:tcW w:w="5640" w:type="dxa"/>
            <w:tcBorders>
              <w:top w:val="nil"/>
              <w:left w:val="nil"/>
              <w:bottom w:val="single" w:color="000000" w:sz="4" w:space="0"/>
              <w:right w:val="single" w:color="000000" w:sz="4" w:space="0"/>
            </w:tcBorders>
            <w:tcMar>
              <w:top w:w="0" w:type="dxa"/>
              <w:left w:w="105" w:type="dxa"/>
              <w:bottom w:w="0" w:type="dxa"/>
              <w:right w:w="105" w:type="dxa"/>
            </w:tcMar>
            <w:vAlign w:val="top"/>
          </w:tcPr>
          <w:p w14:paraId="3CF17642">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sz w:val="24"/>
                <w:szCs w:val="24"/>
              </w:rPr>
              <w:t>1、性能参数：网络层吞吐量≥20G，应用层吞吐量≥15G，防病毒吞吐量≥2G，IPS吞吐量≥2G，并发连接数≥2000W，HTTP新建连接数≥16W，防护全开性能≥2Gbps。</w:t>
            </w:r>
            <w:r>
              <w:rPr>
                <w:rFonts w:hint="eastAsia" w:ascii="宋体" w:hAnsi="宋体" w:eastAsia="宋体" w:cs="宋体"/>
                <w:sz w:val="24"/>
                <w:szCs w:val="24"/>
              </w:rPr>
              <w:br w:type="textWrapping"/>
            </w:r>
            <w:r>
              <w:rPr>
                <w:rFonts w:hint="eastAsia" w:ascii="宋体" w:hAnsi="宋体" w:eastAsia="宋体" w:cs="宋体"/>
                <w:sz w:val="24"/>
                <w:szCs w:val="24"/>
              </w:rPr>
              <w:t>2、硬件参数：内存≥16G，硬盘容量≥128GSSD，接口≥6千兆电口，采用国产化CPU，提供访问控制、应用管控、入侵防御、防病毒能力，含软件、规则库升级及硬件质保服务。</w:t>
            </w:r>
            <w:r>
              <w:rPr>
                <w:rFonts w:hint="eastAsia" w:ascii="宋体" w:hAnsi="宋体" w:eastAsia="宋体" w:cs="宋体"/>
                <w:sz w:val="24"/>
                <w:szCs w:val="24"/>
              </w:rPr>
              <w:br w:type="textWrapping"/>
            </w:r>
            <w:r>
              <w:rPr>
                <w:rFonts w:hint="eastAsia" w:ascii="宋体" w:hAnsi="宋体" w:eastAsia="宋体" w:cs="宋体"/>
                <w:sz w:val="24"/>
                <w:szCs w:val="24"/>
              </w:rPr>
              <w:t>3、支持双机主从热备功能，双机切换不丢包，在双机部署场景下支持升级过程网络不中断。</w:t>
            </w:r>
            <w:r>
              <w:rPr>
                <w:rFonts w:hint="eastAsia" w:ascii="宋体" w:hAnsi="宋体" w:eastAsia="宋体" w:cs="宋体"/>
                <w:sz w:val="24"/>
                <w:szCs w:val="24"/>
              </w:rPr>
              <w:br w:type="textWrapping"/>
            </w:r>
            <w:r>
              <w:rPr>
                <w:rFonts w:hint="eastAsia" w:ascii="宋体" w:hAnsi="宋体" w:eastAsia="宋体" w:cs="宋体"/>
                <w:sz w:val="24"/>
                <w:szCs w:val="24"/>
              </w:rPr>
              <w:t>4、支持防暴力破解，可针对端口和域名进行防护，可自定义选择阻断时间；支持ZIP、TAR等压缩打包文件的病毒查杀。</w:t>
            </w:r>
            <w:r>
              <w:rPr>
                <w:rFonts w:hint="eastAsia" w:ascii="宋体" w:hAnsi="宋体" w:eastAsia="宋体" w:cs="宋体"/>
                <w:sz w:val="24"/>
                <w:szCs w:val="24"/>
              </w:rPr>
              <w:br w:type="textWrapping"/>
            </w:r>
            <w:r>
              <w:rPr>
                <w:rFonts w:hint="eastAsia" w:ascii="宋体" w:hAnsi="宋体" w:eastAsia="宋体" w:cs="宋体"/>
                <w:sz w:val="24"/>
                <w:szCs w:val="24"/>
              </w:rPr>
              <w:t>5、支持VPN、DDOS以及WEB应用防护功能。</w:t>
            </w:r>
            <w:r>
              <w:rPr>
                <w:rFonts w:hint="eastAsia" w:ascii="宋体" w:hAnsi="宋体" w:eastAsia="宋体" w:cs="宋体"/>
                <w:sz w:val="24"/>
                <w:szCs w:val="24"/>
              </w:rPr>
              <w:br w:type="textWrapping"/>
            </w:r>
            <w:r>
              <w:rPr>
                <w:rFonts w:hint="eastAsia" w:ascii="宋体" w:hAnsi="宋体" w:eastAsia="宋体" w:cs="宋体"/>
                <w:sz w:val="24"/>
                <w:szCs w:val="24"/>
              </w:rPr>
              <w:t>6、支持数据下钻至单资产风险详情，可自动关联该资产所有安全信息。</w:t>
            </w:r>
            <w:r>
              <w:rPr>
                <w:rFonts w:hint="eastAsia" w:ascii="宋体" w:hAnsi="宋体" w:eastAsia="宋体" w:cs="宋体"/>
                <w:sz w:val="24"/>
                <w:szCs w:val="24"/>
              </w:rPr>
              <w:br w:type="textWrapping"/>
            </w:r>
            <w:r>
              <w:rPr>
                <w:rFonts w:hint="eastAsia" w:ascii="宋体" w:hAnsi="宋体" w:eastAsia="宋体" w:cs="宋体"/>
                <w:sz w:val="24"/>
                <w:szCs w:val="24"/>
              </w:rPr>
              <w:t>7、支持端口镜像功能，支持入流量、出流量和双向流量等类型的镜像。</w:t>
            </w:r>
            <w:r>
              <w:rPr>
                <w:rFonts w:hint="eastAsia" w:ascii="宋体" w:hAnsi="宋体" w:eastAsia="宋体" w:cs="宋体"/>
                <w:sz w:val="24"/>
                <w:szCs w:val="24"/>
              </w:rPr>
              <w:br w:type="textWrapping"/>
            </w:r>
            <w:r>
              <w:rPr>
                <w:rFonts w:hint="eastAsia" w:ascii="宋体" w:hAnsi="宋体" w:eastAsia="宋体" w:cs="宋体"/>
                <w:sz w:val="24"/>
                <w:szCs w:val="24"/>
              </w:rPr>
              <w:t>8、支持非法外联学习和防护特性，可定义外联白名单地址和端口。</w:t>
            </w:r>
            <w:r>
              <w:rPr>
                <w:rFonts w:hint="eastAsia" w:ascii="宋体" w:hAnsi="宋体" w:eastAsia="宋体" w:cs="宋体"/>
                <w:sz w:val="24"/>
                <w:szCs w:val="24"/>
              </w:rPr>
              <w:br w:type="textWrapping"/>
            </w:r>
            <w:r>
              <w:rPr>
                <w:rFonts w:hint="eastAsia" w:ascii="宋体" w:hAnsi="宋体" w:eastAsia="宋体" w:cs="宋体"/>
                <w:sz w:val="24"/>
                <w:szCs w:val="24"/>
              </w:rPr>
              <w:t>9、支持防网络共享行为，针对私接路由器和非法无线热点行为进行识别和阻断。</w:t>
            </w:r>
            <w:r>
              <w:rPr>
                <w:rFonts w:hint="eastAsia" w:ascii="宋体" w:hAnsi="宋体" w:eastAsia="宋体" w:cs="宋体"/>
                <w:sz w:val="24"/>
                <w:szCs w:val="24"/>
              </w:rPr>
              <w:br w:type="textWrapping"/>
            </w:r>
            <w:r>
              <w:rPr>
                <w:rFonts w:hint="eastAsia" w:ascii="宋体" w:hAnsi="宋体" w:eastAsia="宋体" w:cs="宋体"/>
                <w:sz w:val="24"/>
                <w:szCs w:val="24"/>
              </w:rPr>
              <w:t>10、具备外置Reset重置插孔，支持一键恢复出厂设置。</w:t>
            </w:r>
            <w:r>
              <w:rPr>
                <w:rFonts w:hint="eastAsia" w:ascii="宋体" w:hAnsi="宋体" w:eastAsia="宋体" w:cs="宋体"/>
                <w:sz w:val="24"/>
                <w:szCs w:val="24"/>
              </w:rPr>
              <w:br w:type="textWrapping"/>
            </w:r>
            <w:r>
              <w:rPr>
                <w:rFonts w:hint="eastAsia" w:ascii="宋体" w:hAnsi="宋体" w:eastAsia="宋体" w:cs="宋体"/>
                <w:sz w:val="24"/>
                <w:szCs w:val="24"/>
              </w:rPr>
              <w:t>11、支持Portal逃生，支持选择不逃生、全部用户逃生和已认证用户逃生等方式；可基于PING、TCP、DNS等方式探测认证服务器。</w:t>
            </w:r>
          </w:p>
          <w:p w14:paraId="513CC821">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sz w:val="24"/>
                <w:szCs w:val="24"/>
              </w:rPr>
              <w:t>12、支持弱口令扫描能力，可针对IP、IP端、端口等对象，扫描监控空密码、用户名密码相同、预置弱口令、自定义弱口令等规则。</w:t>
            </w:r>
            <w:r>
              <w:rPr>
                <w:rFonts w:hint="eastAsia" w:ascii="宋体" w:hAnsi="宋体" w:eastAsia="宋体" w:cs="宋体"/>
                <w:sz w:val="24"/>
                <w:szCs w:val="24"/>
              </w:rPr>
              <w:br w:type="textWrapping"/>
            </w:r>
            <w:r>
              <w:rPr>
                <w:rFonts w:hint="eastAsia" w:ascii="宋体" w:hAnsi="宋体" w:eastAsia="宋体" w:cs="宋体"/>
                <w:sz w:val="24"/>
                <w:szCs w:val="24"/>
              </w:rPr>
              <w:t>13、支持流量限额功能，可基于用户、源IP、目的IP、时间、应用等维度，进行日流量总额、月流量总额、当日使用时长、当月使用时长等限额类型进行流量管理。</w:t>
            </w:r>
          </w:p>
          <w:p w14:paraId="5131E231">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sz w:val="24"/>
                <w:szCs w:val="24"/>
              </w:rPr>
              <w:t>▲14、支持数据下钻至单资产风险详情，可自动关联该资产所有安全信息，安全信息包括但不少于:入侵防御、威胁情报、WEB防护、病毒防护、防暴力破解、非法外联防护、弱密码防护、安全防护和行为模型，支持以趋势图方式按时间展示各类安全事件的趋势，方便管理员快速了解资产安全状况，以便进行准确的进行安全防护。</w:t>
            </w:r>
            <w:r>
              <w:rPr>
                <w:rFonts w:hint="eastAsia" w:ascii="宋体" w:hAnsi="宋体" w:eastAsia="宋体" w:cs="宋体"/>
                <w:b/>
                <w:sz w:val="24"/>
                <w:szCs w:val="24"/>
              </w:rPr>
              <w:t>（投标人须提供测试报告进行佐证，测试报告中受检（或委托）单位须为相应产品的制造商或投标人）</w:t>
            </w:r>
          </w:p>
        </w:tc>
        <w:tc>
          <w:tcPr>
            <w:tcW w:w="671" w:type="dxa"/>
            <w:tcBorders>
              <w:top w:val="nil"/>
              <w:left w:val="nil"/>
              <w:bottom w:val="single" w:color="000000" w:sz="4" w:space="0"/>
              <w:right w:val="single" w:color="000000" w:sz="4" w:space="0"/>
            </w:tcBorders>
            <w:tcMar>
              <w:top w:w="0" w:type="dxa"/>
              <w:left w:w="105" w:type="dxa"/>
              <w:bottom w:w="0" w:type="dxa"/>
              <w:right w:w="105" w:type="dxa"/>
            </w:tcMar>
            <w:vAlign w:val="top"/>
          </w:tcPr>
          <w:p w14:paraId="595DC3AE">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2</w:t>
            </w:r>
          </w:p>
        </w:tc>
        <w:tc>
          <w:tcPr>
            <w:tcW w:w="714" w:type="dxa"/>
            <w:tcBorders>
              <w:top w:val="nil"/>
              <w:left w:val="nil"/>
              <w:bottom w:val="single" w:color="000000" w:sz="4" w:space="0"/>
              <w:right w:val="single" w:color="000000" w:sz="4" w:space="0"/>
            </w:tcBorders>
            <w:tcMar>
              <w:top w:w="0" w:type="dxa"/>
              <w:left w:w="105" w:type="dxa"/>
              <w:bottom w:w="0" w:type="dxa"/>
              <w:right w:w="105" w:type="dxa"/>
            </w:tcMar>
            <w:vAlign w:val="top"/>
          </w:tcPr>
          <w:p w14:paraId="6A21FAA0">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套</w:t>
            </w:r>
          </w:p>
        </w:tc>
      </w:tr>
      <w:tr w14:paraId="383B226C">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18"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189ABE79">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3</w:t>
            </w:r>
          </w:p>
        </w:tc>
        <w:tc>
          <w:tcPr>
            <w:tcW w:w="658" w:type="dxa"/>
            <w:tcBorders>
              <w:top w:val="nil"/>
              <w:left w:val="nil"/>
              <w:bottom w:val="single" w:color="000000" w:sz="4" w:space="0"/>
              <w:right w:val="single" w:color="000000" w:sz="4" w:space="0"/>
            </w:tcBorders>
            <w:tcMar>
              <w:top w:w="0" w:type="dxa"/>
              <w:left w:w="105" w:type="dxa"/>
              <w:bottom w:w="0" w:type="dxa"/>
              <w:right w:w="105" w:type="dxa"/>
            </w:tcMar>
            <w:vAlign w:val="top"/>
          </w:tcPr>
          <w:p w14:paraId="7FBC8B01">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sz w:val="24"/>
                <w:szCs w:val="24"/>
              </w:rPr>
              <w:t>上网行为管理(评审项196)</w:t>
            </w:r>
          </w:p>
        </w:tc>
        <w:tc>
          <w:tcPr>
            <w:tcW w:w="5640" w:type="dxa"/>
            <w:tcBorders>
              <w:top w:val="nil"/>
              <w:left w:val="nil"/>
              <w:bottom w:val="single" w:color="000000" w:sz="4" w:space="0"/>
              <w:right w:val="single" w:color="000000" w:sz="4" w:space="0"/>
            </w:tcBorders>
            <w:tcMar>
              <w:top w:w="0" w:type="dxa"/>
              <w:left w:w="105" w:type="dxa"/>
              <w:bottom w:w="0" w:type="dxa"/>
              <w:right w:w="105" w:type="dxa"/>
            </w:tcMar>
            <w:vAlign w:val="top"/>
          </w:tcPr>
          <w:p w14:paraId="3BD88BD8">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sz w:val="24"/>
                <w:szCs w:val="24"/>
              </w:rPr>
              <w:t>1、性能参数：带宽≥1200M，适用用户数≥4000人，网络吞吐量≥10G，最大并发连接数≥300万，每秒最大新建连接数≥60000。</w:t>
            </w:r>
            <w:r>
              <w:rPr>
                <w:rFonts w:hint="eastAsia" w:ascii="宋体" w:hAnsi="宋体" w:eastAsia="宋体" w:cs="宋体"/>
                <w:sz w:val="24"/>
                <w:szCs w:val="24"/>
              </w:rPr>
              <w:br w:type="textWrapping"/>
            </w:r>
            <w:r>
              <w:rPr>
                <w:rFonts w:hint="eastAsia" w:ascii="宋体" w:hAnsi="宋体" w:eastAsia="宋体" w:cs="宋体"/>
                <w:sz w:val="24"/>
                <w:szCs w:val="24"/>
              </w:rPr>
              <w:t>2、硬件参数：规格≥1U，国产处理器，国产操作系统，标准配置≥6个千兆电口，≥4个千兆光口，≥2个扩展槽；≥4T硬盘；冗余电源。</w:t>
            </w:r>
            <w:r>
              <w:rPr>
                <w:rFonts w:hint="eastAsia" w:ascii="宋体" w:hAnsi="宋体" w:eastAsia="宋体" w:cs="宋体"/>
                <w:sz w:val="24"/>
                <w:szCs w:val="24"/>
              </w:rPr>
              <w:br w:type="textWrapping"/>
            </w:r>
            <w:r>
              <w:rPr>
                <w:rFonts w:hint="eastAsia" w:ascii="宋体" w:hAnsi="宋体" w:eastAsia="宋体" w:cs="宋体"/>
                <w:sz w:val="24"/>
                <w:szCs w:val="24"/>
              </w:rPr>
              <w:t>3、支持网络故障排查，具有PPS异常、丢包异常、ARP异常、内网DOS攻击等异常情况实时监测。</w:t>
            </w:r>
            <w:r>
              <w:rPr>
                <w:rFonts w:hint="eastAsia" w:ascii="宋体" w:hAnsi="宋体" w:eastAsia="宋体" w:cs="宋体"/>
                <w:sz w:val="24"/>
                <w:szCs w:val="24"/>
              </w:rPr>
              <w:br w:type="textWrapping"/>
            </w:r>
            <w:r>
              <w:rPr>
                <w:rFonts w:hint="eastAsia" w:ascii="宋体" w:hAnsi="宋体" w:eastAsia="宋体" w:cs="宋体"/>
                <w:sz w:val="24"/>
                <w:szCs w:val="24"/>
              </w:rPr>
              <w:t>4、内置应用识别规则库，具有超过9000种以上应用规则数、具有超过6000种以上的应用。</w:t>
            </w:r>
            <w:r>
              <w:rPr>
                <w:rFonts w:hint="eastAsia" w:ascii="宋体" w:hAnsi="宋体" w:eastAsia="宋体" w:cs="宋体"/>
                <w:sz w:val="24"/>
                <w:szCs w:val="24"/>
              </w:rPr>
              <w:br w:type="textWrapping"/>
            </w:r>
            <w:r>
              <w:rPr>
                <w:rFonts w:hint="eastAsia" w:ascii="宋体" w:hAnsi="宋体" w:eastAsia="宋体" w:cs="宋体"/>
                <w:sz w:val="24"/>
                <w:szCs w:val="24"/>
              </w:rPr>
              <w:t>5、对网络共享行为进行检测，并把共享IP加入黑名单；支持详细的告警功能，包含管理员操作日志、设备状态、违规搜索、违规网站、违规帖子、违规文件上传、违规邮件发送以及潜在危害的行为告警。</w:t>
            </w:r>
          </w:p>
          <w:p w14:paraId="0F60E559">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sz w:val="24"/>
                <w:szCs w:val="24"/>
              </w:rPr>
              <w:t>6、可通过策略对IP或用户进行白名单的控制，符合白名单规则的IP或用户不做行为控制和审计。</w:t>
            </w:r>
            <w:r>
              <w:rPr>
                <w:rFonts w:hint="eastAsia" w:ascii="宋体" w:hAnsi="宋体" w:eastAsia="宋体" w:cs="宋体"/>
                <w:sz w:val="24"/>
                <w:szCs w:val="24"/>
              </w:rPr>
              <w:br w:type="textWrapping"/>
            </w:r>
            <w:r>
              <w:rPr>
                <w:rFonts w:hint="eastAsia" w:ascii="宋体" w:hAnsi="宋体" w:eastAsia="宋体" w:cs="宋体"/>
                <w:sz w:val="24"/>
                <w:szCs w:val="24"/>
              </w:rPr>
              <w:t>7、可自定义基于协议和端口的对象，可根据协议、端口、报文长度、报文特征、目的IP等信息自定义特征识别规则。</w:t>
            </w:r>
            <w:r>
              <w:rPr>
                <w:rFonts w:hint="eastAsia" w:ascii="宋体" w:hAnsi="宋体" w:eastAsia="宋体" w:cs="宋体"/>
                <w:sz w:val="24"/>
                <w:szCs w:val="24"/>
              </w:rPr>
              <w:br w:type="textWrapping"/>
            </w:r>
            <w:r>
              <w:rPr>
                <w:rFonts w:hint="eastAsia" w:ascii="宋体" w:hAnsi="宋体" w:eastAsia="宋体" w:cs="宋体"/>
                <w:sz w:val="24"/>
                <w:szCs w:val="24"/>
              </w:rPr>
              <w:t>8、支持将特殊协议（如L2TP、GRE、LWAPP、CAPWAP等）的协议头剥离掉，对特殊协议封装内的原始数据进行认证、审计和控制。</w:t>
            </w:r>
            <w:r>
              <w:rPr>
                <w:rFonts w:hint="eastAsia" w:ascii="宋体" w:hAnsi="宋体" w:eastAsia="宋体" w:cs="宋体"/>
                <w:sz w:val="24"/>
                <w:szCs w:val="24"/>
              </w:rPr>
              <w:br w:type="textWrapping"/>
            </w:r>
            <w:r>
              <w:rPr>
                <w:rFonts w:hint="eastAsia" w:ascii="宋体" w:hAnsi="宋体" w:eastAsia="宋体" w:cs="宋体"/>
                <w:sz w:val="24"/>
                <w:szCs w:val="24"/>
              </w:rPr>
              <w:t>9、支持基于组织结构的个人行为监控，包括：网页标题记录、发贴记录、网页评论记录、在搜索引擎上的搜索记录、网页文件上传记录、URL访问记录、即时通讯的登录信息/聊天内容/文件传输记录、邮件记录（详细内容、附件）、FTP登录信息/上传记录/下载记录。</w:t>
            </w:r>
            <w:r>
              <w:rPr>
                <w:rFonts w:hint="eastAsia" w:ascii="宋体" w:hAnsi="宋体" w:eastAsia="宋体" w:cs="宋体"/>
                <w:sz w:val="24"/>
                <w:szCs w:val="24"/>
              </w:rPr>
              <w:br w:type="textWrapping"/>
            </w:r>
            <w:r>
              <w:rPr>
                <w:rFonts w:hint="eastAsia" w:ascii="宋体" w:hAnsi="宋体" w:eastAsia="宋体" w:cs="宋体"/>
                <w:sz w:val="24"/>
                <w:szCs w:val="24"/>
              </w:rPr>
              <w:t>10、支持中文/英文操作界面，支持HTTP/HTTPS/SSH等方式进行远程管理操作，支持SNMP管理。</w:t>
            </w:r>
          </w:p>
          <w:p w14:paraId="45797CFC">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sz w:val="24"/>
                <w:szCs w:val="24"/>
              </w:rPr>
              <w:t>▲11、产品采用基于大数据行为分析的流量数据自识别技术，能够实现详细的告警功能，包含管理员操作日志、设备状态、违规搜索、违规网站、违规帖子、违规文件上传、违规邮件发送以及潜在危害的行为告警。（须提供基于大数据行为分析的流量数据自识别技术的相关证明材料，包括相关证书复印件</w:t>
            </w:r>
            <w:r>
              <w:rPr>
                <w:rFonts w:hint="eastAsia" w:ascii="宋体" w:hAnsi="宋体" w:eastAsia="宋体" w:cs="宋体"/>
                <w:b/>
                <w:sz w:val="24"/>
                <w:szCs w:val="24"/>
              </w:rPr>
              <w:t>及测试报告进行佐证，测试报告中受检（或委托）单位须为相应产品的制造商或投标人</w:t>
            </w:r>
            <w:r>
              <w:rPr>
                <w:rFonts w:hint="eastAsia" w:ascii="宋体" w:hAnsi="宋体" w:eastAsia="宋体" w:cs="宋体"/>
                <w:sz w:val="24"/>
                <w:szCs w:val="24"/>
              </w:rPr>
              <w:t>）</w:t>
            </w:r>
          </w:p>
        </w:tc>
        <w:tc>
          <w:tcPr>
            <w:tcW w:w="671" w:type="dxa"/>
            <w:tcBorders>
              <w:top w:val="nil"/>
              <w:left w:val="nil"/>
              <w:bottom w:val="single" w:color="000000" w:sz="4" w:space="0"/>
              <w:right w:val="single" w:color="000000" w:sz="4" w:space="0"/>
            </w:tcBorders>
            <w:tcMar>
              <w:top w:w="0" w:type="dxa"/>
              <w:left w:w="105" w:type="dxa"/>
              <w:bottom w:w="0" w:type="dxa"/>
              <w:right w:w="105" w:type="dxa"/>
            </w:tcMar>
            <w:vAlign w:val="top"/>
          </w:tcPr>
          <w:p w14:paraId="3D695F44">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2</w:t>
            </w:r>
          </w:p>
        </w:tc>
        <w:tc>
          <w:tcPr>
            <w:tcW w:w="714" w:type="dxa"/>
            <w:tcBorders>
              <w:top w:val="nil"/>
              <w:left w:val="nil"/>
              <w:bottom w:val="single" w:color="000000" w:sz="4" w:space="0"/>
              <w:right w:val="single" w:color="000000" w:sz="4" w:space="0"/>
            </w:tcBorders>
            <w:tcMar>
              <w:top w:w="0" w:type="dxa"/>
              <w:left w:w="105" w:type="dxa"/>
              <w:bottom w:w="0" w:type="dxa"/>
              <w:right w:w="105" w:type="dxa"/>
            </w:tcMar>
            <w:vAlign w:val="top"/>
          </w:tcPr>
          <w:p w14:paraId="03C22684">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套</w:t>
            </w:r>
          </w:p>
        </w:tc>
      </w:tr>
      <w:tr w14:paraId="28FC10A9">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18"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374C3CE">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4</w:t>
            </w:r>
          </w:p>
        </w:tc>
        <w:tc>
          <w:tcPr>
            <w:tcW w:w="658" w:type="dxa"/>
            <w:tcBorders>
              <w:top w:val="nil"/>
              <w:left w:val="nil"/>
              <w:bottom w:val="single" w:color="000000" w:sz="4" w:space="0"/>
              <w:right w:val="single" w:color="000000" w:sz="4" w:space="0"/>
            </w:tcBorders>
            <w:tcMar>
              <w:top w:w="0" w:type="dxa"/>
              <w:left w:w="105" w:type="dxa"/>
              <w:bottom w:w="0" w:type="dxa"/>
              <w:right w:w="105" w:type="dxa"/>
            </w:tcMar>
            <w:vAlign w:val="top"/>
          </w:tcPr>
          <w:p w14:paraId="7F168DA7">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sz w:val="24"/>
                <w:szCs w:val="24"/>
              </w:rPr>
              <w:t>外网日志审计系统(评审项197)</w:t>
            </w:r>
          </w:p>
        </w:tc>
        <w:tc>
          <w:tcPr>
            <w:tcW w:w="5640" w:type="dxa"/>
            <w:tcBorders>
              <w:top w:val="nil"/>
              <w:left w:val="nil"/>
              <w:bottom w:val="single" w:color="000000" w:sz="4" w:space="0"/>
              <w:right w:val="single" w:color="000000" w:sz="4" w:space="0"/>
            </w:tcBorders>
            <w:tcMar>
              <w:top w:w="0" w:type="dxa"/>
              <w:left w:w="105" w:type="dxa"/>
              <w:bottom w:w="0" w:type="dxa"/>
              <w:right w:w="105" w:type="dxa"/>
            </w:tcMar>
            <w:vAlign w:val="top"/>
          </w:tcPr>
          <w:p w14:paraId="15CC8F0C">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sz w:val="24"/>
                <w:szCs w:val="24"/>
              </w:rPr>
              <w:t>1、默认包含主机审计许可证书数量≥100，最大可扩展审计主机许可数≥500，平均每秒处理日志数（eps）最大性能≥2500。</w:t>
            </w:r>
            <w:r>
              <w:rPr>
                <w:rFonts w:hint="eastAsia" w:ascii="宋体" w:hAnsi="宋体" w:eastAsia="宋体" w:cs="宋体"/>
                <w:sz w:val="24"/>
                <w:szCs w:val="24"/>
              </w:rPr>
              <w:br w:type="textWrapping"/>
            </w:r>
            <w:r>
              <w:rPr>
                <w:rFonts w:hint="eastAsia" w:ascii="宋体" w:hAnsi="宋体" w:eastAsia="宋体" w:cs="宋体"/>
                <w:sz w:val="24"/>
                <w:szCs w:val="24"/>
              </w:rPr>
              <w:t>2、规格：2U，内存≥16G，硬盘容量≥128GSSD，≥4TSATA，接口≥6千兆电口，≥2万兆光口SFP+，采用国产化CPU，含软件升级及硬件质保服务。</w:t>
            </w:r>
            <w:r>
              <w:rPr>
                <w:rFonts w:hint="eastAsia" w:ascii="宋体" w:hAnsi="宋体" w:eastAsia="宋体" w:cs="宋体"/>
                <w:sz w:val="24"/>
                <w:szCs w:val="24"/>
              </w:rPr>
              <w:br w:type="textWrapping"/>
            </w:r>
            <w:r>
              <w:rPr>
                <w:rFonts w:hint="eastAsia" w:ascii="宋体" w:hAnsi="宋体" w:eastAsia="宋体" w:cs="宋体"/>
                <w:sz w:val="24"/>
                <w:szCs w:val="24"/>
              </w:rPr>
              <w:t>3、支持全文检索、短语检索、字段值精确检索、通配符检索、正则表达式检索高量显示。</w:t>
            </w:r>
            <w:r>
              <w:rPr>
                <w:rFonts w:hint="eastAsia" w:ascii="宋体" w:hAnsi="宋体" w:eastAsia="宋体" w:cs="宋体"/>
                <w:sz w:val="24"/>
                <w:szCs w:val="24"/>
              </w:rPr>
              <w:br w:type="textWrapping"/>
            </w:r>
            <w:r>
              <w:rPr>
                <w:rFonts w:hint="eastAsia" w:ascii="宋体" w:hAnsi="宋体" w:eastAsia="宋体" w:cs="宋体"/>
                <w:sz w:val="24"/>
                <w:szCs w:val="24"/>
              </w:rPr>
              <w:t>4、支持市面主流安全设备、网络设备、中间件、服务器、数据库、操作系统等设备对象的日志数据采集；支持主动、被动相结合的数据采集方式，支持日志转发；支持通过标准协议的方式进行日志事件收集。</w:t>
            </w:r>
            <w:r>
              <w:rPr>
                <w:rFonts w:hint="eastAsia" w:ascii="宋体" w:hAnsi="宋体" w:eastAsia="宋体" w:cs="宋体"/>
                <w:sz w:val="24"/>
                <w:szCs w:val="24"/>
              </w:rPr>
              <w:br w:type="textWrapping"/>
            </w:r>
            <w:r>
              <w:rPr>
                <w:rFonts w:hint="eastAsia" w:ascii="宋体" w:hAnsi="宋体" w:eastAsia="宋体" w:cs="宋体"/>
                <w:sz w:val="24"/>
                <w:szCs w:val="24"/>
              </w:rPr>
              <w:t>5、支持日志数据采集实时展示；支持实时显示日志采集速度，无需人工统计。</w:t>
            </w:r>
            <w:r>
              <w:rPr>
                <w:rFonts w:hint="eastAsia" w:ascii="宋体" w:hAnsi="宋体" w:eastAsia="宋体" w:cs="宋体"/>
                <w:sz w:val="24"/>
                <w:szCs w:val="24"/>
              </w:rPr>
              <w:br w:type="textWrapping"/>
            </w:r>
            <w:r>
              <w:rPr>
                <w:rFonts w:hint="eastAsia" w:ascii="宋体" w:hAnsi="宋体" w:eastAsia="宋体" w:cs="宋体"/>
                <w:sz w:val="24"/>
                <w:szCs w:val="24"/>
              </w:rPr>
              <w:t>6、支持日志归一化处理，采用标准化日志描述语言快速扩展兼容特殊日志；支持在Web端配置日志过滤规则。</w:t>
            </w:r>
            <w:r>
              <w:rPr>
                <w:rFonts w:hint="eastAsia" w:ascii="宋体" w:hAnsi="宋体" w:eastAsia="宋体" w:cs="宋体"/>
                <w:sz w:val="24"/>
                <w:szCs w:val="24"/>
              </w:rPr>
              <w:br w:type="textWrapping"/>
            </w:r>
            <w:r>
              <w:rPr>
                <w:rFonts w:hint="eastAsia" w:ascii="宋体" w:hAnsi="宋体" w:eastAsia="宋体" w:cs="宋体"/>
                <w:sz w:val="24"/>
                <w:szCs w:val="24"/>
              </w:rPr>
              <w:t>7、支持对所管理设备的日志原始数据完整存储，海量数据加密存储，防篡改；支持数据自动、手动备份以及备份数据恢复查看。支持数据本地集中存储、本地离线备份存储、FTP离线存储、网络存储。</w:t>
            </w:r>
            <w:r>
              <w:rPr>
                <w:rFonts w:hint="eastAsia" w:ascii="宋体" w:hAnsi="宋体" w:eastAsia="宋体" w:cs="宋体"/>
                <w:sz w:val="24"/>
                <w:szCs w:val="24"/>
              </w:rPr>
              <w:br w:type="textWrapping"/>
            </w:r>
            <w:r>
              <w:rPr>
                <w:rFonts w:hint="eastAsia" w:ascii="宋体" w:hAnsi="宋体" w:eastAsia="宋体" w:cs="宋体"/>
                <w:sz w:val="24"/>
                <w:szCs w:val="24"/>
              </w:rPr>
              <w:t>8、提供符合等级保护、SOX、ISO27001、PCI相关要求的报表数据，支持自定义报表；支持PDF、Word、HTML等方式导出报表。支持生成周期定时报表，可选统一报表不同生成时间预览和下载。</w:t>
            </w:r>
            <w:r>
              <w:rPr>
                <w:rFonts w:hint="eastAsia" w:ascii="宋体" w:hAnsi="宋体" w:eastAsia="宋体" w:cs="宋体"/>
                <w:sz w:val="24"/>
                <w:szCs w:val="24"/>
              </w:rPr>
              <w:br w:type="textWrapping"/>
            </w:r>
            <w:r>
              <w:rPr>
                <w:rFonts w:hint="eastAsia" w:ascii="宋体" w:hAnsi="宋体" w:eastAsia="宋体" w:cs="宋体"/>
                <w:sz w:val="24"/>
                <w:szCs w:val="24"/>
              </w:rPr>
              <w:t>9、提供合规分析图表，如等级保护、SOX、ISO27001、PCI等；提供按照全网概况、操作系统分析、安全设备分析、网络设备分析、数据库分析、Web应用分析、连接关系、事件关系、网络流量等进行分类的分析图组。</w:t>
            </w:r>
            <w:r>
              <w:rPr>
                <w:rFonts w:hint="eastAsia" w:ascii="宋体" w:hAnsi="宋体" w:eastAsia="宋体" w:cs="宋体"/>
                <w:sz w:val="24"/>
                <w:szCs w:val="24"/>
              </w:rPr>
              <w:br w:type="textWrapping"/>
            </w:r>
            <w:r>
              <w:rPr>
                <w:rFonts w:hint="eastAsia" w:ascii="宋体" w:hAnsi="宋体" w:eastAsia="宋体" w:cs="宋体"/>
                <w:sz w:val="24"/>
                <w:szCs w:val="24"/>
              </w:rPr>
              <w:t>10、支持根据时间范围、级别、规则类型、告警全文关键字等方式快速检索安全事件告警，检索结果支持Excel等格式导出。支持邮件、声音、syslog等多种告警方式，支持在全局显示告警提醒；可以针对不同类型、不同种类以及不同安全级别的安全事件制定不同的告警方式。</w:t>
            </w:r>
          </w:p>
          <w:p w14:paraId="4EEF25FA">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sz w:val="24"/>
                <w:szCs w:val="24"/>
              </w:rPr>
              <w:t>▲11、产品采用基于大数据技术的计算机数据安全监测技术，实现自动生成主机访问关系图谱，关系图谱支持无限级延伸，支持点击业务主机节点自动绘制访问关系；（须提供基于大数据技术的计算机数据安全监测技术的相关证明材料，包括相关证书复印件</w:t>
            </w:r>
            <w:r>
              <w:rPr>
                <w:rFonts w:hint="eastAsia" w:ascii="宋体" w:hAnsi="宋体" w:eastAsia="宋体" w:cs="宋体"/>
                <w:b/>
                <w:sz w:val="24"/>
                <w:szCs w:val="24"/>
              </w:rPr>
              <w:t>及测试报告进行佐证，测试报告中受检（或委托）单位须为相应产品的制造商或投标人</w:t>
            </w:r>
            <w:r>
              <w:rPr>
                <w:rFonts w:hint="eastAsia" w:ascii="宋体" w:hAnsi="宋体" w:eastAsia="宋体" w:cs="宋体"/>
                <w:sz w:val="24"/>
                <w:szCs w:val="24"/>
              </w:rPr>
              <w:t>）</w:t>
            </w:r>
          </w:p>
        </w:tc>
        <w:tc>
          <w:tcPr>
            <w:tcW w:w="671" w:type="dxa"/>
            <w:tcBorders>
              <w:top w:val="nil"/>
              <w:left w:val="nil"/>
              <w:bottom w:val="single" w:color="000000" w:sz="4" w:space="0"/>
              <w:right w:val="single" w:color="000000" w:sz="4" w:space="0"/>
            </w:tcBorders>
            <w:tcMar>
              <w:top w:w="0" w:type="dxa"/>
              <w:left w:w="105" w:type="dxa"/>
              <w:bottom w:w="0" w:type="dxa"/>
              <w:right w:w="105" w:type="dxa"/>
            </w:tcMar>
            <w:vAlign w:val="top"/>
          </w:tcPr>
          <w:p w14:paraId="2075E9F9">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1</w:t>
            </w:r>
          </w:p>
        </w:tc>
        <w:tc>
          <w:tcPr>
            <w:tcW w:w="714" w:type="dxa"/>
            <w:tcBorders>
              <w:top w:val="nil"/>
              <w:left w:val="nil"/>
              <w:bottom w:val="single" w:color="000000" w:sz="4" w:space="0"/>
              <w:right w:val="single" w:color="000000" w:sz="4" w:space="0"/>
            </w:tcBorders>
            <w:tcMar>
              <w:top w:w="0" w:type="dxa"/>
              <w:left w:w="105" w:type="dxa"/>
              <w:bottom w:w="0" w:type="dxa"/>
              <w:right w:w="105" w:type="dxa"/>
            </w:tcMar>
            <w:vAlign w:val="top"/>
          </w:tcPr>
          <w:p w14:paraId="17BB044C">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套</w:t>
            </w:r>
          </w:p>
        </w:tc>
      </w:tr>
      <w:tr w14:paraId="2EA4B68C">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18"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74841C7">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5</w:t>
            </w:r>
          </w:p>
        </w:tc>
        <w:tc>
          <w:tcPr>
            <w:tcW w:w="658" w:type="dxa"/>
            <w:tcBorders>
              <w:top w:val="nil"/>
              <w:left w:val="nil"/>
              <w:bottom w:val="single" w:color="000000" w:sz="4" w:space="0"/>
              <w:right w:val="single" w:color="000000" w:sz="4" w:space="0"/>
            </w:tcBorders>
            <w:tcMar>
              <w:top w:w="0" w:type="dxa"/>
              <w:left w:w="105" w:type="dxa"/>
              <w:bottom w:w="0" w:type="dxa"/>
              <w:right w:w="105" w:type="dxa"/>
            </w:tcMar>
            <w:vAlign w:val="top"/>
          </w:tcPr>
          <w:p w14:paraId="6409ED5D">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sz w:val="24"/>
                <w:szCs w:val="24"/>
              </w:rPr>
              <w:t>外网WAF(评审项198)</w:t>
            </w:r>
          </w:p>
        </w:tc>
        <w:tc>
          <w:tcPr>
            <w:tcW w:w="5640" w:type="dxa"/>
            <w:tcBorders>
              <w:top w:val="nil"/>
              <w:left w:val="nil"/>
              <w:bottom w:val="single" w:color="000000" w:sz="4" w:space="0"/>
              <w:right w:val="single" w:color="000000" w:sz="4" w:space="0"/>
            </w:tcBorders>
            <w:tcMar>
              <w:top w:w="0" w:type="dxa"/>
              <w:left w:w="105" w:type="dxa"/>
              <w:bottom w:w="0" w:type="dxa"/>
              <w:right w:w="105" w:type="dxa"/>
            </w:tcMar>
            <w:vAlign w:val="top"/>
          </w:tcPr>
          <w:p w14:paraId="5A747021">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sz w:val="24"/>
                <w:szCs w:val="24"/>
              </w:rPr>
              <w:t>1、2U标准机架，国产处理器，国产操作系统，标准配置≥6个1000M电口,≥2个扩展槽，≥2个USB，≥1个COM口，≥1T硬盘。HTTP吞吐≥1Gbps；HTTP新建（CPS）≥7,500/s；HTTP新建事务能力（TPS）≥14,000/s；HTTP最大并发连接数≥900,000；DDOS防护能力（64字节）≥1.5Mpps；网络层吞吐≥2.5Gbps；网络层新建≥14000/s；网络层最大并发≥1,500,000；≥16个WEB站点防护，≥75个抗DDOS站点防护，≥16个防篡改。</w:t>
            </w:r>
            <w:r>
              <w:rPr>
                <w:rFonts w:hint="eastAsia" w:ascii="宋体" w:hAnsi="宋体" w:eastAsia="宋体" w:cs="宋体"/>
                <w:sz w:val="24"/>
                <w:szCs w:val="24"/>
              </w:rPr>
              <w:br w:type="textWrapping"/>
            </w:r>
            <w:r>
              <w:rPr>
                <w:rFonts w:hint="eastAsia" w:ascii="宋体" w:hAnsi="宋体" w:eastAsia="宋体" w:cs="宋体"/>
                <w:sz w:val="24"/>
                <w:szCs w:val="24"/>
              </w:rPr>
              <w:t>2、支持防暴力破解功能，可支持频率阈值，动态令牌以及频率阈值+动态令牌等三种方式实现暴力破解防护。</w:t>
            </w:r>
            <w:r>
              <w:rPr>
                <w:rFonts w:hint="eastAsia" w:ascii="宋体" w:hAnsi="宋体" w:eastAsia="宋体" w:cs="宋体"/>
                <w:sz w:val="24"/>
                <w:szCs w:val="24"/>
              </w:rPr>
              <w:br w:type="textWrapping"/>
            </w:r>
            <w:r>
              <w:rPr>
                <w:rFonts w:hint="eastAsia" w:ascii="宋体" w:hAnsi="宋体" w:eastAsia="宋体" w:cs="宋体"/>
                <w:sz w:val="24"/>
                <w:szCs w:val="24"/>
              </w:rPr>
              <w:t>3、支持虚拟补丁功能，支持导入appscan扫描器的扫描结果生成WAF的规则，对此类网站漏洞直接防护。</w:t>
            </w:r>
            <w:r>
              <w:rPr>
                <w:rFonts w:hint="eastAsia" w:ascii="宋体" w:hAnsi="宋体" w:eastAsia="宋体" w:cs="宋体"/>
                <w:sz w:val="24"/>
                <w:szCs w:val="24"/>
              </w:rPr>
              <w:br w:type="textWrapping"/>
            </w:r>
            <w:r>
              <w:rPr>
                <w:rFonts w:hint="eastAsia" w:ascii="宋体" w:hAnsi="宋体" w:eastAsia="宋体" w:cs="宋体"/>
                <w:sz w:val="24"/>
                <w:szCs w:val="24"/>
              </w:rPr>
              <w:t>4、支持资产探测功能，提供自动识别资产系统类型和开放端口。</w:t>
            </w:r>
          </w:p>
          <w:p w14:paraId="232E5E70">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sz w:val="24"/>
                <w:szCs w:val="24"/>
              </w:rPr>
              <w:t>▲5、产品采用网络安全信息监控装置技术,能够实现非法URL外联检测功能，针对特定外联URL进行监控或阻断，并且支持自定义URL地址。（须提供网络安全信息监控装置技术的相关证明材料，包括相关证书复印件</w:t>
            </w:r>
            <w:r>
              <w:rPr>
                <w:rFonts w:hint="eastAsia" w:ascii="宋体" w:hAnsi="宋体" w:eastAsia="宋体" w:cs="宋体"/>
                <w:b/>
                <w:sz w:val="24"/>
                <w:szCs w:val="24"/>
              </w:rPr>
              <w:t>及测试报告进行佐证，测试报告中受检（或委托）单位须为相应产品的制造商或投标人</w:t>
            </w:r>
            <w:r>
              <w:rPr>
                <w:rFonts w:hint="eastAsia" w:ascii="宋体" w:hAnsi="宋体" w:eastAsia="宋体" w:cs="宋体"/>
                <w:sz w:val="24"/>
                <w:szCs w:val="24"/>
              </w:rPr>
              <w:t>）</w:t>
            </w:r>
            <w:r>
              <w:rPr>
                <w:rFonts w:hint="eastAsia" w:ascii="宋体" w:hAnsi="宋体" w:eastAsia="宋体" w:cs="宋体"/>
                <w:sz w:val="24"/>
                <w:szCs w:val="24"/>
              </w:rPr>
              <w:br w:type="textWrapping"/>
            </w:r>
            <w:r>
              <w:rPr>
                <w:rFonts w:hint="eastAsia" w:ascii="宋体" w:hAnsi="宋体" w:eastAsia="宋体" w:cs="宋体"/>
                <w:sz w:val="24"/>
                <w:szCs w:val="24"/>
              </w:rPr>
              <w:t>6、支持检测TCP并发链接数，TCP新建链接数，TCP带宽（c2s），UDP带宽（c2s），ICMP带宽（c2s），HTTPGET速率，HTTPPOST速率，HTTP其他请求速率，DNS查询请求速率，并发IP数量等单用户和总量进行自定义阈值配置。</w:t>
            </w:r>
          </w:p>
          <w:p w14:paraId="74C3694C">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sz w:val="24"/>
                <w:szCs w:val="24"/>
              </w:rPr>
              <w:t>7、支持针对系统菜单项进行自定义分配功能，并且可自定义账号的编辑、只读权限。</w:t>
            </w:r>
            <w:r>
              <w:rPr>
                <w:rFonts w:hint="eastAsia" w:ascii="宋体" w:hAnsi="宋体" w:eastAsia="宋体" w:cs="宋体"/>
                <w:sz w:val="24"/>
                <w:szCs w:val="24"/>
              </w:rPr>
              <w:br w:type="textWrapping"/>
            </w:r>
            <w:r>
              <w:rPr>
                <w:rFonts w:hint="eastAsia" w:ascii="宋体" w:hAnsi="宋体" w:eastAsia="宋体" w:cs="宋体"/>
                <w:sz w:val="24"/>
                <w:szCs w:val="24"/>
              </w:rPr>
              <w:t>8、支持日志快速响应功能，日志具备一键黑名单设置以及一键白名单排除功能。</w:t>
            </w:r>
            <w:r>
              <w:rPr>
                <w:rFonts w:hint="eastAsia" w:ascii="宋体" w:hAnsi="宋体" w:eastAsia="宋体" w:cs="宋体"/>
                <w:sz w:val="24"/>
                <w:szCs w:val="24"/>
              </w:rPr>
              <w:br w:type="textWrapping"/>
            </w:r>
            <w:r>
              <w:rPr>
                <w:rFonts w:hint="eastAsia" w:ascii="宋体" w:hAnsi="宋体" w:eastAsia="宋体" w:cs="宋体"/>
                <w:sz w:val="24"/>
                <w:szCs w:val="24"/>
              </w:rPr>
              <w:t>9、支持日志综合统计分析，可对源IP、目的IP、源地域、攻击类型、级别、处理动作、协议类型、客户端设备类型、客户端操作系统、客户端浏览器类型进行综合统计分析，并通过饼图、曲线图及柱图等对分析结果进行图形化统计。</w:t>
            </w:r>
            <w:r>
              <w:rPr>
                <w:rFonts w:hint="eastAsia" w:ascii="宋体" w:hAnsi="宋体" w:eastAsia="宋体" w:cs="宋体"/>
                <w:sz w:val="24"/>
                <w:szCs w:val="24"/>
              </w:rPr>
              <w:br w:type="textWrapping"/>
            </w:r>
            <w:r>
              <w:rPr>
                <w:rFonts w:hint="eastAsia" w:ascii="宋体" w:hAnsi="宋体" w:eastAsia="宋体" w:cs="宋体"/>
                <w:sz w:val="24"/>
                <w:szCs w:val="24"/>
              </w:rPr>
              <w:t>10、支持移动端管理功能，不需要安装APP和第三方插件，通过手机浏览器即可管理设备，并可查看设备CPU、内存使用情况。</w:t>
            </w:r>
          </w:p>
          <w:p w14:paraId="54D65903">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sz w:val="24"/>
                <w:szCs w:val="24"/>
              </w:rPr>
              <w:t>★11、福州市第二总医院已部署的外网数据库审计系统支持通过Syslog（RFC5424标准）协议进行对接，所投外网WAF产品须与已部署的外网数据库审计系统进行安全事件信息互通，完成 Web 攻击和数据库访问行为的溯源关联分析；</w:t>
            </w:r>
            <w:r>
              <w:rPr>
                <w:rFonts w:hint="eastAsia" w:ascii="宋体" w:hAnsi="宋体" w:eastAsia="宋体" w:cs="宋体"/>
                <w:b/>
                <w:sz w:val="24"/>
                <w:szCs w:val="24"/>
              </w:rPr>
              <w:t>（投标人须提供承诺函，承诺该设备具备以上功能，承诺函格式自拟）</w:t>
            </w:r>
          </w:p>
        </w:tc>
        <w:tc>
          <w:tcPr>
            <w:tcW w:w="671" w:type="dxa"/>
            <w:tcBorders>
              <w:top w:val="nil"/>
              <w:left w:val="nil"/>
              <w:bottom w:val="single" w:color="000000" w:sz="4" w:space="0"/>
              <w:right w:val="single" w:color="000000" w:sz="4" w:space="0"/>
            </w:tcBorders>
            <w:tcMar>
              <w:top w:w="0" w:type="dxa"/>
              <w:left w:w="105" w:type="dxa"/>
              <w:bottom w:w="0" w:type="dxa"/>
              <w:right w:w="105" w:type="dxa"/>
            </w:tcMar>
            <w:vAlign w:val="top"/>
          </w:tcPr>
          <w:p w14:paraId="5EB60B59">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2</w:t>
            </w:r>
          </w:p>
        </w:tc>
        <w:tc>
          <w:tcPr>
            <w:tcW w:w="714" w:type="dxa"/>
            <w:tcBorders>
              <w:top w:val="nil"/>
              <w:left w:val="nil"/>
              <w:bottom w:val="single" w:color="000000" w:sz="4" w:space="0"/>
              <w:right w:val="single" w:color="000000" w:sz="4" w:space="0"/>
            </w:tcBorders>
            <w:tcMar>
              <w:top w:w="0" w:type="dxa"/>
              <w:left w:w="105" w:type="dxa"/>
              <w:bottom w:w="0" w:type="dxa"/>
              <w:right w:w="105" w:type="dxa"/>
            </w:tcMar>
            <w:vAlign w:val="top"/>
          </w:tcPr>
          <w:p w14:paraId="6EF96D49">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套</w:t>
            </w:r>
          </w:p>
        </w:tc>
      </w:tr>
      <w:tr w14:paraId="496CE588">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18"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577E9915">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6</w:t>
            </w:r>
          </w:p>
        </w:tc>
        <w:tc>
          <w:tcPr>
            <w:tcW w:w="658" w:type="dxa"/>
            <w:tcBorders>
              <w:top w:val="nil"/>
              <w:left w:val="nil"/>
              <w:bottom w:val="single" w:color="000000" w:sz="4" w:space="0"/>
              <w:right w:val="single" w:color="000000" w:sz="4" w:space="0"/>
            </w:tcBorders>
            <w:tcMar>
              <w:top w:w="0" w:type="dxa"/>
              <w:left w:w="105" w:type="dxa"/>
              <w:bottom w:w="0" w:type="dxa"/>
              <w:right w:w="105" w:type="dxa"/>
            </w:tcMar>
            <w:vAlign w:val="top"/>
          </w:tcPr>
          <w:p w14:paraId="26B2C1B6">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sz w:val="24"/>
                <w:szCs w:val="24"/>
              </w:rPr>
              <w:t>外网前端接入区边界隔离防火墙(评审项199)</w:t>
            </w:r>
          </w:p>
        </w:tc>
        <w:tc>
          <w:tcPr>
            <w:tcW w:w="5640" w:type="dxa"/>
            <w:tcBorders>
              <w:top w:val="nil"/>
              <w:left w:val="nil"/>
              <w:bottom w:val="single" w:color="000000" w:sz="4" w:space="0"/>
              <w:right w:val="single" w:color="000000" w:sz="4" w:space="0"/>
            </w:tcBorders>
            <w:tcMar>
              <w:top w:w="0" w:type="dxa"/>
              <w:left w:w="105" w:type="dxa"/>
              <w:bottom w:w="0" w:type="dxa"/>
              <w:right w:w="105" w:type="dxa"/>
            </w:tcMar>
            <w:vAlign w:val="top"/>
          </w:tcPr>
          <w:p w14:paraId="22990D82">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sz w:val="24"/>
                <w:szCs w:val="24"/>
              </w:rPr>
              <w:t>1、1U标准机架式设备，国产处理器，国产操作系统，≥10个千兆电口，≥4个千兆Combo接口（光电复用），提供≥2个扩展槽，标配≥1T硬盘，冗余电源。网络吞吐量≥10Gbps，应用性能≥2Gbps，防护全开性能≥1Gbps，最大并发连接数≥800万；至少包含三年IPS、AV、应用识别特征库升级服务。</w:t>
            </w:r>
            <w:r>
              <w:rPr>
                <w:rFonts w:hint="eastAsia" w:ascii="宋体" w:hAnsi="宋体" w:eastAsia="宋体" w:cs="宋体"/>
                <w:sz w:val="24"/>
                <w:szCs w:val="24"/>
              </w:rPr>
              <w:br w:type="textWrapping"/>
            </w:r>
            <w:r>
              <w:rPr>
                <w:rFonts w:hint="eastAsia" w:ascii="宋体" w:hAnsi="宋体" w:eastAsia="宋体" w:cs="宋体"/>
                <w:sz w:val="24"/>
                <w:szCs w:val="24"/>
              </w:rPr>
              <w:t>2、支持双机主从热备功能，双机切换不丢包，在双机部署场景下支持升级过程网络不中断。</w:t>
            </w:r>
            <w:r>
              <w:rPr>
                <w:rFonts w:hint="eastAsia" w:ascii="宋体" w:hAnsi="宋体" w:eastAsia="宋体" w:cs="宋体"/>
                <w:sz w:val="24"/>
                <w:szCs w:val="24"/>
              </w:rPr>
              <w:br w:type="textWrapping"/>
            </w:r>
            <w:r>
              <w:rPr>
                <w:rFonts w:hint="eastAsia" w:ascii="宋体" w:hAnsi="宋体" w:eastAsia="宋体" w:cs="宋体"/>
                <w:sz w:val="24"/>
                <w:szCs w:val="24"/>
              </w:rPr>
              <w:t>3、支持防暴力破解，可针对端口和域名进行防护，可自定义选择阻断时间；支持ZIP、TAR等压缩打包文件的病毒查杀。</w:t>
            </w:r>
            <w:r>
              <w:rPr>
                <w:rFonts w:hint="eastAsia" w:ascii="宋体" w:hAnsi="宋体" w:eastAsia="宋体" w:cs="宋体"/>
                <w:sz w:val="24"/>
                <w:szCs w:val="24"/>
              </w:rPr>
              <w:br w:type="textWrapping"/>
            </w:r>
            <w:r>
              <w:rPr>
                <w:rFonts w:hint="eastAsia" w:ascii="宋体" w:hAnsi="宋体" w:eastAsia="宋体" w:cs="宋体"/>
                <w:sz w:val="24"/>
                <w:szCs w:val="24"/>
              </w:rPr>
              <w:t>4、支持VPN、DDOS以及WEB应用防护功能。</w:t>
            </w:r>
            <w:r>
              <w:rPr>
                <w:rFonts w:hint="eastAsia" w:ascii="宋体" w:hAnsi="宋体" w:eastAsia="宋体" w:cs="宋体"/>
                <w:sz w:val="24"/>
                <w:szCs w:val="24"/>
              </w:rPr>
              <w:br w:type="textWrapping"/>
            </w:r>
            <w:r>
              <w:rPr>
                <w:rFonts w:hint="eastAsia" w:ascii="宋体" w:hAnsi="宋体" w:eastAsia="宋体" w:cs="宋体"/>
                <w:sz w:val="24"/>
                <w:szCs w:val="24"/>
              </w:rPr>
              <w:t>5、支持数据下钻至单资产风险详情，可自动关联该资产所有安全信息。</w:t>
            </w:r>
            <w:r>
              <w:rPr>
                <w:rFonts w:hint="eastAsia" w:ascii="宋体" w:hAnsi="宋体" w:eastAsia="宋体" w:cs="宋体"/>
                <w:sz w:val="24"/>
                <w:szCs w:val="24"/>
              </w:rPr>
              <w:br w:type="textWrapping"/>
            </w:r>
            <w:r>
              <w:rPr>
                <w:rFonts w:hint="eastAsia" w:ascii="宋体" w:hAnsi="宋体" w:eastAsia="宋体" w:cs="宋体"/>
                <w:sz w:val="24"/>
                <w:szCs w:val="24"/>
              </w:rPr>
              <w:t>6、支持端口镜像功能，支持入流量、出流量和双向流量等类型的镜像。</w:t>
            </w:r>
          </w:p>
          <w:p w14:paraId="12FA754F">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sz w:val="24"/>
                <w:szCs w:val="24"/>
              </w:rPr>
              <w:t>▲7、支持非法外联学习和防护特性，可定义外联白名单地址和端口，支持通过流量自学习能获得服务器合法的外联行为，检测流量中的异常访问流量，可以自动拦截。</w:t>
            </w:r>
            <w:r>
              <w:rPr>
                <w:rFonts w:hint="eastAsia" w:ascii="宋体" w:hAnsi="宋体" w:eastAsia="宋体" w:cs="宋体"/>
                <w:b/>
                <w:sz w:val="24"/>
                <w:szCs w:val="24"/>
              </w:rPr>
              <w:t>（投标人须提供测试报告进行佐证，测试报告中受检（或委托）单位须为相应产品的制造商或投标人）</w:t>
            </w:r>
          </w:p>
          <w:p w14:paraId="52A75BFC">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sz w:val="24"/>
                <w:szCs w:val="24"/>
              </w:rPr>
              <w:t>8、支持防网络共享行为，针对私接路由器和非法无线热点行为进行识别和阻断。</w:t>
            </w:r>
            <w:r>
              <w:rPr>
                <w:rFonts w:hint="eastAsia" w:ascii="宋体" w:hAnsi="宋体" w:eastAsia="宋体" w:cs="宋体"/>
                <w:sz w:val="24"/>
                <w:szCs w:val="24"/>
              </w:rPr>
              <w:br w:type="textWrapping"/>
            </w:r>
            <w:r>
              <w:rPr>
                <w:rFonts w:hint="eastAsia" w:ascii="宋体" w:hAnsi="宋体" w:eastAsia="宋体" w:cs="宋体"/>
                <w:sz w:val="24"/>
                <w:szCs w:val="24"/>
              </w:rPr>
              <w:t>9、具备外置Reset重置插孔，支持一键恢复出厂设置。</w:t>
            </w:r>
            <w:r>
              <w:rPr>
                <w:rFonts w:hint="eastAsia" w:ascii="宋体" w:hAnsi="宋体" w:eastAsia="宋体" w:cs="宋体"/>
                <w:sz w:val="24"/>
                <w:szCs w:val="24"/>
              </w:rPr>
              <w:br w:type="textWrapping"/>
            </w:r>
            <w:r>
              <w:rPr>
                <w:rFonts w:hint="eastAsia" w:ascii="宋体" w:hAnsi="宋体" w:eastAsia="宋体" w:cs="宋体"/>
                <w:sz w:val="24"/>
                <w:szCs w:val="24"/>
              </w:rPr>
              <w:t>10、支持Portal逃生，支持选择不逃生、全部用户逃生和已认证用户逃生等方式；可基于PING、TCP、DNS等方式探测认证服务器。</w:t>
            </w:r>
            <w:r>
              <w:rPr>
                <w:rFonts w:hint="eastAsia" w:ascii="宋体" w:hAnsi="宋体" w:eastAsia="宋体" w:cs="宋体"/>
                <w:sz w:val="24"/>
                <w:szCs w:val="24"/>
              </w:rPr>
              <w:br w:type="textWrapping"/>
            </w:r>
            <w:r>
              <w:rPr>
                <w:rFonts w:hint="eastAsia" w:ascii="宋体" w:hAnsi="宋体" w:eastAsia="宋体" w:cs="宋体"/>
                <w:sz w:val="24"/>
                <w:szCs w:val="24"/>
              </w:rPr>
              <w:t>11、支持弱口令扫描能力，可针对IP、IP端、端口等对象，扫描监控空密码、用户名密码相同、预置弱口令、自定义弱口令等规则。</w:t>
            </w:r>
          </w:p>
          <w:p w14:paraId="13E9B1C0">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sz w:val="24"/>
                <w:szCs w:val="24"/>
              </w:rPr>
              <w:t>12、支持流量限额功能，可基于用户、源IP、目的IP、时间、应用等维度，进行日流量总额、月流量总额、当日使用时长、当月使用时长等限额类型进行流量管理。</w:t>
            </w:r>
          </w:p>
        </w:tc>
        <w:tc>
          <w:tcPr>
            <w:tcW w:w="671" w:type="dxa"/>
            <w:tcBorders>
              <w:top w:val="nil"/>
              <w:left w:val="nil"/>
              <w:bottom w:val="single" w:color="000000" w:sz="4" w:space="0"/>
              <w:right w:val="single" w:color="000000" w:sz="4" w:space="0"/>
            </w:tcBorders>
            <w:tcMar>
              <w:top w:w="0" w:type="dxa"/>
              <w:left w:w="105" w:type="dxa"/>
              <w:bottom w:w="0" w:type="dxa"/>
              <w:right w:w="105" w:type="dxa"/>
            </w:tcMar>
            <w:vAlign w:val="top"/>
          </w:tcPr>
          <w:p w14:paraId="19ED33E7">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2</w:t>
            </w:r>
          </w:p>
        </w:tc>
        <w:tc>
          <w:tcPr>
            <w:tcW w:w="714" w:type="dxa"/>
            <w:tcBorders>
              <w:top w:val="nil"/>
              <w:left w:val="nil"/>
              <w:bottom w:val="single" w:color="000000" w:sz="4" w:space="0"/>
              <w:right w:val="single" w:color="000000" w:sz="4" w:space="0"/>
            </w:tcBorders>
            <w:tcMar>
              <w:top w:w="0" w:type="dxa"/>
              <w:left w:w="105" w:type="dxa"/>
              <w:bottom w:w="0" w:type="dxa"/>
              <w:right w:w="105" w:type="dxa"/>
            </w:tcMar>
            <w:vAlign w:val="top"/>
          </w:tcPr>
          <w:p w14:paraId="714341D2">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套</w:t>
            </w:r>
          </w:p>
        </w:tc>
      </w:tr>
      <w:tr w14:paraId="566403F3">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18"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7EA07423">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7</w:t>
            </w:r>
          </w:p>
        </w:tc>
        <w:tc>
          <w:tcPr>
            <w:tcW w:w="658" w:type="dxa"/>
            <w:tcBorders>
              <w:top w:val="nil"/>
              <w:left w:val="nil"/>
              <w:bottom w:val="single" w:color="000000" w:sz="4" w:space="0"/>
              <w:right w:val="single" w:color="000000" w:sz="4" w:space="0"/>
            </w:tcBorders>
            <w:tcMar>
              <w:top w:w="0" w:type="dxa"/>
              <w:left w:w="105" w:type="dxa"/>
              <w:bottom w:w="0" w:type="dxa"/>
              <w:right w:w="105" w:type="dxa"/>
            </w:tcMar>
            <w:vAlign w:val="top"/>
          </w:tcPr>
          <w:p w14:paraId="683D851A">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sz w:val="24"/>
                <w:szCs w:val="24"/>
              </w:rPr>
              <w:t>外网态势感知(评审项200)</w:t>
            </w:r>
          </w:p>
        </w:tc>
        <w:tc>
          <w:tcPr>
            <w:tcW w:w="5640" w:type="dxa"/>
            <w:tcBorders>
              <w:top w:val="nil"/>
              <w:left w:val="nil"/>
              <w:bottom w:val="single" w:color="000000" w:sz="4" w:space="0"/>
              <w:right w:val="single" w:color="000000" w:sz="4" w:space="0"/>
            </w:tcBorders>
            <w:tcMar>
              <w:top w:w="0" w:type="dxa"/>
              <w:left w:w="105" w:type="dxa"/>
              <w:bottom w:w="0" w:type="dxa"/>
              <w:right w:w="105" w:type="dxa"/>
            </w:tcMar>
            <w:vAlign w:val="top"/>
          </w:tcPr>
          <w:p w14:paraId="6B522337">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sz w:val="24"/>
                <w:szCs w:val="24"/>
              </w:rPr>
              <w:t>1、规格：2U，CPU≥2颗国产化CPU，内存≥128GB，标配≥2*480GB 硬盘，≥3*4T硬盘配置Raid5，配置≥4*GE千兆电口，≥2个扩展槽，冗余电源；事件入库性能≥5000条/秒；业务流量分析能力≥吞吐4-12Gbps；≥3年情报升级；</w:t>
            </w:r>
            <w:r>
              <w:rPr>
                <w:rFonts w:hint="eastAsia" w:ascii="宋体" w:hAnsi="宋体" w:eastAsia="宋体" w:cs="宋体"/>
                <w:sz w:val="24"/>
                <w:szCs w:val="24"/>
              </w:rPr>
              <w:br w:type="textWrapping"/>
            </w:r>
            <w:r>
              <w:rPr>
                <w:rFonts w:hint="eastAsia" w:ascii="宋体" w:hAnsi="宋体" w:eastAsia="宋体" w:cs="宋体"/>
                <w:sz w:val="24"/>
                <w:szCs w:val="24"/>
              </w:rPr>
              <w:t>2、支持安全态势的可视化呈现，以大屏的方式从综合安全感知、安全事件态势、脆弱性态势、外联风险监控、资产监控大屏等大屏展示界面。</w:t>
            </w:r>
            <w:r>
              <w:rPr>
                <w:rFonts w:hint="eastAsia" w:ascii="宋体" w:hAnsi="宋体" w:eastAsia="宋体" w:cs="宋体"/>
                <w:sz w:val="24"/>
                <w:szCs w:val="24"/>
              </w:rPr>
              <w:br w:type="textWrapping"/>
            </w:r>
            <w:r>
              <w:rPr>
                <w:rFonts w:hint="eastAsia" w:ascii="宋体" w:hAnsi="宋体" w:eastAsia="宋体" w:cs="宋体"/>
                <w:sz w:val="24"/>
                <w:szCs w:val="24"/>
              </w:rPr>
              <w:t>3、支持流量实时识别漏洞分析，支持资产类型和脆弱性等级筛选，支持展示漏洞严重等级分布、影响资产组织TOP，支持显示漏洞详情，包括主机信息、漏洞信息、风险描述、数据包举证以及防护建议等，并支持导出脆弱性感知报告。</w:t>
            </w:r>
            <w:r>
              <w:rPr>
                <w:rFonts w:hint="eastAsia" w:ascii="宋体" w:hAnsi="宋体" w:eastAsia="宋体" w:cs="宋体"/>
                <w:sz w:val="24"/>
                <w:szCs w:val="24"/>
              </w:rPr>
              <w:br w:type="textWrapping"/>
            </w:r>
            <w:r>
              <w:rPr>
                <w:rFonts w:hint="eastAsia" w:ascii="宋体" w:hAnsi="宋体" w:eastAsia="宋体" w:cs="宋体"/>
                <w:sz w:val="24"/>
                <w:szCs w:val="24"/>
              </w:rPr>
              <w:t>4、支持内外网资产暴露面分析，平台支持主动扫描探测，探测资产内网端口和互联网端口开放分布情况，便于了解业务系统端口开放情况，及时关闭不必要端口以减少攻击暴露面。</w:t>
            </w:r>
          </w:p>
          <w:p w14:paraId="4696C5E0">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sz w:val="24"/>
                <w:szCs w:val="24"/>
              </w:rPr>
              <w:t>5、支持按照时间维度展示外联事件总数，包括对外攻击、违规访问、C&amp;C通信、可疑行为、隐蔽通信，支持展示外联资产、外联终端数，支持按照国内/国外地图展示Top10资产或者终端外联，支持展示异常外联趋势、异常外联事件列表。</w:t>
            </w:r>
            <w:r>
              <w:rPr>
                <w:rFonts w:hint="eastAsia" w:ascii="宋体" w:hAnsi="宋体" w:eastAsia="宋体" w:cs="宋体"/>
                <w:b/>
                <w:sz w:val="24"/>
                <w:szCs w:val="24"/>
              </w:rPr>
              <w:t>（投标人须提供测试报告进行佐证，测试报告中受检（或委托）单位须为相应产品的制造商或投标人）</w:t>
            </w:r>
          </w:p>
          <w:p w14:paraId="7515A29F">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sz w:val="24"/>
                <w:szCs w:val="24"/>
              </w:rPr>
              <w:t>6、支持基于攻击链条和回溯链条进行前置和后继深层次的全景攻击链溯源，展现风险资产和风险用户的威胁感染和传播路径，实现威胁可视化。</w:t>
            </w:r>
            <w:r>
              <w:rPr>
                <w:rFonts w:hint="eastAsia" w:ascii="宋体" w:hAnsi="宋体" w:eastAsia="宋体" w:cs="宋体"/>
                <w:sz w:val="24"/>
                <w:szCs w:val="24"/>
              </w:rPr>
              <w:br w:type="textWrapping"/>
            </w:r>
            <w:r>
              <w:rPr>
                <w:rFonts w:hint="eastAsia" w:ascii="宋体" w:hAnsi="宋体" w:eastAsia="宋体" w:cs="宋体"/>
                <w:sz w:val="24"/>
                <w:szCs w:val="24"/>
              </w:rPr>
              <w:t>7、支持展示攻击阶段分布情况，支持按照扫描侦察、入侵、命令控制、横向渗透、网络黑产、数据盗取、系统破坏攻击链显示整网安全事件所处的攻击阶段；对单个风险资产/用户统计该资产的安全事件所处的攻击阶段。</w:t>
            </w:r>
            <w:r>
              <w:rPr>
                <w:rFonts w:hint="eastAsia" w:ascii="宋体" w:hAnsi="宋体" w:eastAsia="宋体" w:cs="宋体"/>
                <w:sz w:val="24"/>
                <w:szCs w:val="24"/>
              </w:rPr>
              <w:br w:type="textWrapping"/>
            </w:r>
            <w:r>
              <w:rPr>
                <w:rFonts w:hint="eastAsia" w:ascii="宋体" w:hAnsi="宋体" w:eastAsia="宋体" w:cs="宋体"/>
                <w:sz w:val="24"/>
                <w:szCs w:val="24"/>
              </w:rPr>
              <w:t>8、产品采用基于机器学习的网络安全态势感知技术，能够实现展示事件首次发生时间、最近发生时间、事件名称、事件描述、事件等级、事件关注点、源IP、目的IP、攻击阶段、失陷状态、攻击载荷、攻击ID、响应码等信息。</w:t>
            </w:r>
          </w:p>
          <w:p w14:paraId="05722A31">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9、支持风险资产/终端安全状态分布总体展示，包含已失陷、高危、低危分布情况，展示对应事件标签，支持下钻查看所有风险列表情况及详情,以及支持内外网资产暴露面分析，服务工具支持主动扫描探测，探测资产内网端口和互联网端口开放分布情况。</w:t>
            </w:r>
            <w:r>
              <w:rPr>
                <w:rFonts w:hint="eastAsia" w:ascii="宋体" w:hAnsi="宋体" w:eastAsia="宋体" w:cs="宋体"/>
                <w:b/>
                <w:sz w:val="24"/>
                <w:szCs w:val="24"/>
              </w:rPr>
              <w:t>（投标人须提供测试报告进行佐证，测试报告中受检（或委托）单位须为相应产品的制造商或投标人）</w:t>
            </w:r>
          </w:p>
          <w:p w14:paraId="788A7EB2">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sz w:val="24"/>
                <w:szCs w:val="24"/>
              </w:rPr>
              <w:t>10、支持展示对应安全事件能够导致的风险危害，掌握事件原理，了解危害结果；并支持对风险危害自定义内容修改。</w:t>
            </w:r>
            <w:r>
              <w:rPr>
                <w:rFonts w:hint="eastAsia" w:ascii="宋体" w:hAnsi="宋体" w:eastAsia="宋体" w:cs="宋体"/>
                <w:sz w:val="24"/>
                <w:szCs w:val="24"/>
              </w:rPr>
              <w:br w:type="textWrapping"/>
            </w:r>
            <w:r>
              <w:rPr>
                <w:rFonts w:hint="eastAsia" w:ascii="宋体" w:hAnsi="宋体" w:eastAsia="宋体" w:cs="宋体"/>
                <w:sz w:val="24"/>
                <w:szCs w:val="24"/>
              </w:rPr>
              <w:t>流量探针：</w:t>
            </w:r>
            <w:r>
              <w:rPr>
                <w:rFonts w:hint="eastAsia" w:ascii="宋体" w:hAnsi="宋体" w:eastAsia="宋体" w:cs="宋体"/>
                <w:sz w:val="24"/>
                <w:szCs w:val="24"/>
              </w:rPr>
              <w:br w:type="textWrapping"/>
            </w:r>
            <w:r>
              <w:rPr>
                <w:rFonts w:hint="eastAsia" w:ascii="宋体" w:hAnsi="宋体" w:eastAsia="宋体" w:cs="宋体"/>
                <w:sz w:val="24"/>
                <w:szCs w:val="24"/>
              </w:rPr>
              <w:t>1、标准1U机架式设备，配置国产处理器，内存≥16G，≥2T硬盘，配置≥8*GE千兆电口，≥8个千兆光口，4个万兆光口，≥1个扩展槽，单电源；吞吐量（全威胁应用层吞吐）≥8Gbps，至少包含3年特征升级授权。</w:t>
            </w:r>
            <w:r>
              <w:rPr>
                <w:rFonts w:hint="eastAsia" w:ascii="宋体" w:hAnsi="宋体" w:eastAsia="宋体" w:cs="宋体"/>
                <w:sz w:val="24"/>
                <w:szCs w:val="24"/>
              </w:rPr>
              <w:br w:type="textWrapping"/>
            </w:r>
            <w:r>
              <w:rPr>
                <w:rFonts w:hint="eastAsia" w:ascii="宋体" w:hAnsi="宋体" w:eastAsia="宋体" w:cs="宋体"/>
                <w:sz w:val="24"/>
                <w:szCs w:val="24"/>
              </w:rPr>
              <w:t>2、通用攻击规则库无法完全满足安全防护的需求，可以根据自己网络实际环境情况，自定义去构建特征,指定特征协议字段、匹配模式、匹配内容、检测深度、偏移量等内容。</w:t>
            </w:r>
            <w:r>
              <w:rPr>
                <w:rFonts w:hint="eastAsia" w:ascii="宋体" w:hAnsi="宋体" w:eastAsia="宋体" w:cs="宋体"/>
                <w:sz w:val="24"/>
                <w:szCs w:val="24"/>
              </w:rPr>
              <w:br w:type="textWrapping"/>
            </w:r>
            <w:r>
              <w:rPr>
                <w:rFonts w:hint="eastAsia" w:ascii="宋体" w:hAnsi="宋体" w:eastAsia="宋体" w:cs="宋体"/>
                <w:sz w:val="24"/>
                <w:szCs w:val="24"/>
              </w:rPr>
              <w:t>3、为了防止敏感数据泄露，支持对传输的文件和内容进行识别过滤，,比如对身份证、信用卡、银行卡、社会安全卡号等类型数据进行匹配，同时支持自定义敏感数据。</w:t>
            </w:r>
            <w:r>
              <w:rPr>
                <w:rFonts w:hint="eastAsia" w:ascii="宋体" w:hAnsi="宋体" w:eastAsia="宋体" w:cs="宋体"/>
                <w:sz w:val="24"/>
                <w:szCs w:val="24"/>
              </w:rPr>
              <w:br w:type="textWrapping"/>
            </w:r>
            <w:r>
              <w:rPr>
                <w:rFonts w:hint="eastAsia" w:ascii="宋体" w:hAnsi="宋体" w:eastAsia="宋体" w:cs="宋体"/>
                <w:sz w:val="24"/>
                <w:szCs w:val="24"/>
              </w:rPr>
              <w:t>4、为了保证业务系统的正常运行，流量探针具备独立的C&amp;C检测引擎，能够自定义C&amp;C检测规则，包括自定义请求方法（get、post、head、put、delete、connect）、防护路径、请求速率、请求集中度、原始IP检测等。</w:t>
            </w:r>
            <w:r>
              <w:rPr>
                <w:rFonts w:hint="eastAsia" w:ascii="宋体" w:hAnsi="宋体" w:eastAsia="宋体" w:cs="宋体"/>
                <w:sz w:val="24"/>
                <w:szCs w:val="24"/>
              </w:rPr>
              <w:br w:type="textWrapping"/>
            </w:r>
            <w:r>
              <w:rPr>
                <w:rFonts w:hint="eastAsia" w:ascii="宋体" w:hAnsi="宋体" w:eastAsia="宋体" w:cs="宋体"/>
                <w:sz w:val="24"/>
                <w:szCs w:val="24"/>
              </w:rPr>
              <w:t>5、基于应用协议识别对各类聊天软件进行详细审计，可审计应用类型（如QQ、微信），应用识别账号，应用行为（如登录、发送消息、接收消息）等。</w:t>
            </w:r>
            <w:r>
              <w:rPr>
                <w:rFonts w:hint="eastAsia" w:ascii="宋体" w:hAnsi="宋体" w:eastAsia="宋体" w:cs="宋体"/>
                <w:sz w:val="24"/>
                <w:szCs w:val="24"/>
              </w:rPr>
              <w:br w:type="textWrapping"/>
            </w:r>
            <w:r>
              <w:rPr>
                <w:rFonts w:hint="eastAsia" w:ascii="宋体" w:hAnsi="宋体" w:eastAsia="宋体" w:cs="宋体"/>
                <w:sz w:val="24"/>
                <w:szCs w:val="24"/>
              </w:rPr>
              <w:t>6、为了防止攻击者利用常见网络协议进行攻击，要求流量探针不仅能够识别P2P、IM、流媒体、网络社区、游戏等常见网络协议，协议至少包括迅雷、BT、电驴等多进程下载协议；支持暴风影音、百度视频、风行、芒果TV等P2P应用， 以及MSN、QQ、ICQ、Skype等IM应用，电影天堂、1905电影网、多米音乐、ESPN、华数TV等娱乐平台，而且能够对协议流量里的漏洞、恶意软件利用、传输文件等进行检测，给出风险级别判定结果。</w:t>
            </w:r>
          </w:p>
        </w:tc>
        <w:tc>
          <w:tcPr>
            <w:tcW w:w="671" w:type="dxa"/>
            <w:tcBorders>
              <w:top w:val="nil"/>
              <w:left w:val="nil"/>
              <w:bottom w:val="single" w:color="000000" w:sz="4" w:space="0"/>
              <w:right w:val="single" w:color="000000" w:sz="4" w:space="0"/>
            </w:tcBorders>
            <w:tcMar>
              <w:top w:w="0" w:type="dxa"/>
              <w:left w:w="105" w:type="dxa"/>
              <w:bottom w:w="0" w:type="dxa"/>
              <w:right w:w="105" w:type="dxa"/>
            </w:tcMar>
            <w:vAlign w:val="top"/>
          </w:tcPr>
          <w:p w14:paraId="5F6C9B4D">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1</w:t>
            </w:r>
          </w:p>
        </w:tc>
        <w:tc>
          <w:tcPr>
            <w:tcW w:w="714" w:type="dxa"/>
            <w:tcBorders>
              <w:top w:val="nil"/>
              <w:left w:val="nil"/>
              <w:bottom w:val="single" w:color="000000" w:sz="4" w:space="0"/>
              <w:right w:val="single" w:color="000000" w:sz="4" w:space="0"/>
            </w:tcBorders>
            <w:tcMar>
              <w:top w:w="0" w:type="dxa"/>
              <w:left w:w="105" w:type="dxa"/>
              <w:bottom w:w="0" w:type="dxa"/>
              <w:right w:w="105" w:type="dxa"/>
            </w:tcMar>
            <w:vAlign w:val="top"/>
          </w:tcPr>
          <w:p w14:paraId="43C577C9">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套</w:t>
            </w:r>
          </w:p>
        </w:tc>
      </w:tr>
      <w:tr w14:paraId="1AE7D4B7">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18"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87CFC24">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8</w:t>
            </w:r>
          </w:p>
        </w:tc>
        <w:tc>
          <w:tcPr>
            <w:tcW w:w="658" w:type="dxa"/>
            <w:tcBorders>
              <w:top w:val="nil"/>
              <w:left w:val="nil"/>
              <w:bottom w:val="single" w:color="000000" w:sz="4" w:space="0"/>
              <w:right w:val="single" w:color="000000" w:sz="4" w:space="0"/>
            </w:tcBorders>
            <w:tcMar>
              <w:top w:w="0" w:type="dxa"/>
              <w:left w:w="105" w:type="dxa"/>
              <w:bottom w:w="0" w:type="dxa"/>
              <w:right w:w="105" w:type="dxa"/>
            </w:tcMar>
            <w:vAlign w:val="top"/>
          </w:tcPr>
          <w:p w14:paraId="491A4645">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sz w:val="24"/>
                <w:szCs w:val="24"/>
              </w:rPr>
              <w:t>网闸(评审项201)</w:t>
            </w:r>
          </w:p>
        </w:tc>
        <w:tc>
          <w:tcPr>
            <w:tcW w:w="5640" w:type="dxa"/>
            <w:tcBorders>
              <w:top w:val="nil"/>
              <w:left w:val="nil"/>
              <w:bottom w:val="single" w:color="000000" w:sz="4" w:space="0"/>
              <w:right w:val="single" w:color="000000" w:sz="4" w:space="0"/>
            </w:tcBorders>
            <w:tcMar>
              <w:top w:w="0" w:type="dxa"/>
              <w:left w:w="105" w:type="dxa"/>
              <w:bottom w:w="0" w:type="dxa"/>
              <w:right w:w="105" w:type="dxa"/>
            </w:tcMar>
            <w:vAlign w:val="top"/>
          </w:tcPr>
          <w:p w14:paraId="046EA7EB">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sz w:val="24"/>
                <w:szCs w:val="24"/>
              </w:rPr>
              <w:t>1、性能参数： 网络吞吐量≥600Mbps，时延&lt;1毫秒，单通道最大并发连接数≥22000，整机并发≥85000。</w:t>
            </w:r>
            <w:r>
              <w:rPr>
                <w:rFonts w:hint="eastAsia" w:ascii="宋体" w:hAnsi="宋体" w:eastAsia="宋体" w:cs="宋体"/>
                <w:sz w:val="24"/>
                <w:szCs w:val="24"/>
              </w:rPr>
              <w:br w:type="textWrapping"/>
            </w:r>
            <w:r>
              <w:rPr>
                <w:rFonts w:hint="eastAsia" w:ascii="宋体" w:hAnsi="宋体" w:eastAsia="宋体" w:cs="宋体"/>
                <w:sz w:val="24"/>
                <w:szCs w:val="24"/>
              </w:rPr>
              <w:t>2、2U标准机架，单电源；内网≥6个10/100/1000M BASE-T接口（包含1个管理口），≥2个USB接口，≥1个console接口，≥1个VGA口，≥1个网卡扩展槽位； 外网≥6个10/100/1000M BASE-T接口（包含1个管理口），≥2个USB接口，≥1个console接口，≥1个VGA口，≥1个网卡扩展槽位。</w:t>
            </w:r>
            <w:r>
              <w:rPr>
                <w:rFonts w:hint="eastAsia" w:ascii="宋体" w:hAnsi="宋体" w:eastAsia="宋体" w:cs="宋体"/>
                <w:sz w:val="24"/>
                <w:szCs w:val="24"/>
              </w:rPr>
              <w:br w:type="textWrapping"/>
            </w:r>
            <w:r>
              <w:rPr>
                <w:rFonts w:hint="eastAsia" w:ascii="宋体" w:hAnsi="宋体" w:eastAsia="宋体" w:cs="宋体"/>
                <w:sz w:val="24"/>
                <w:szCs w:val="24"/>
              </w:rPr>
              <w:t>3、支持文件特征码过滤、病毒扫描、支持重名策略配置，病毒文件处理方式支持配置为日志告警、告警并阻断、删除源端病毒文件3种处置方式。</w:t>
            </w:r>
            <w:r>
              <w:rPr>
                <w:rFonts w:hint="eastAsia" w:ascii="宋体" w:hAnsi="宋体" w:eastAsia="宋体" w:cs="宋体"/>
                <w:sz w:val="24"/>
                <w:szCs w:val="24"/>
              </w:rPr>
              <w:br w:type="textWrapping"/>
            </w:r>
            <w:r>
              <w:rPr>
                <w:rFonts w:hint="eastAsia" w:ascii="宋体" w:hAnsi="宋体" w:eastAsia="宋体" w:cs="宋体"/>
                <w:sz w:val="24"/>
                <w:szCs w:val="24"/>
              </w:rPr>
              <w:t>4、支持拍摄系统快照和恢复快照功能，支持至少拍摄8个快照，防止因配置失误造成业务故障和配置丢失。</w:t>
            </w:r>
          </w:p>
          <w:p w14:paraId="62BD5BAE">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sz w:val="24"/>
                <w:szCs w:val="24"/>
              </w:rPr>
              <w:t>5、支持TCP/UDP等通用协议代理，支持FTP、TFTP、WEB代理、SOCKS4代理、WEBSOCKET、MQTT、DNS、SNMP等应用层协议的代理通信，支持以表格方式导入导出代理通信策略，提高配置效率。</w:t>
            </w:r>
            <w:r>
              <w:rPr>
                <w:rFonts w:hint="eastAsia" w:ascii="宋体" w:hAnsi="宋体" w:eastAsia="宋体" w:cs="宋体"/>
                <w:sz w:val="24"/>
                <w:szCs w:val="24"/>
              </w:rPr>
              <w:br w:type="textWrapping"/>
            </w:r>
            <w:r>
              <w:rPr>
                <w:rFonts w:hint="eastAsia" w:ascii="宋体" w:hAnsi="宋体" w:eastAsia="宋体" w:cs="宋体"/>
                <w:sz w:val="24"/>
                <w:szCs w:val="24"/>
              </w:rPr>
              <w:t>6、支持自定义应用层数据偏移量数据标签过滤，自动匹配和过滤数字标签，不需要提供私有协议标准，保证私有协议的安全性。</w:t>
            </w:r>
          </w:p>
          <w:p w14:paraId="74124F2D">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sz w:val="24"/>
                <w:szCs w:val="24"/>
              </w:rPr>
              <w:t>7、过滤条件支持动态下发和删除至处于启用工作状态的协议代理通道，保证业务健康状态连续性。</w:t>
            </w:r>
            <w:r>
              <w:rPr>
                <w:rFonts w:hint="eastAsia" w:ascii="宋体" w:hAnsi="宋体" w:eastAsia="宋体" w:cs="宋体"/>
                <w:sz w:val="24"/>
                <w:szCs w:val="24"/>
              </w:rPr>
              <w:br w:type="textWrapping"/>
            </w:r>
            <w:r>
              <w:rPr>
                <w:rFonts w:hint="eastAsia" w:ascii="宋体" w:hAnsi="宋体" w:eastAsia="宋体" w:cs="宋体"/>
                <w:sz w:val="24"/>
                <w:szCs w:val="24"/>
              </w:rPr>
              <w:t>8、支持SIPGB/T28181、H.323、RTSP等主流视频协议，协议视频流端口动态协商，无需界面配置，支持SIP、RTSP信令过滤，支持视频播放模式过滤。</w:t>
            </w:r>
            <w:r>
              <w:rPr>
                <w:rFonts w:hint="eastAsia" w:ascii="宋体" w:hAnsi="宋体" w:eastAsia="宋体" w:cs="宋体"/>
                <w:sz w:val="24"/>
                <w:szCs w:val="24"/>
              </w:rPr>
              <w:br w:type="textWrapping"/>
            </w:r>
            <w:r>
              <w:rPr>
                <w:rFonts w:hint="eastAsia" w:ascii="宋体" w:hAnsi="宋体" w:eastAsia="宋体" w:cs="宋体"/>
                <w:sz w:val="24"/>
                <w:szCs w:val="24"/>
              </w:rPr>
              <w:t>9、符合网络安全等级保护2.0三级安全要求。</w:t>
            </w:r>
          </w:p>
        </w:tc>
        <w:tc>
          <w:tcPr>
            <w:tcW w:w="671" w:type="dxa"/>
            <w:tcBorders>
              <w:top w:val="nil"/>
              <w:left w:val="nil"/>
              <w:bottom w:val="single" w:color="000000" w:sz="4" w:space="0"/>
              <w:right w:val="single" w:color="000000" w:sz="4" w:space="0"/>
            </w:tcBorders>
            <w:tcMar>
              <w:top w:w="0" w:type="dxa"/>
              <w:left w:w="105" w:type="dxa"/>
              <w:bottom w:w="0" w:type="dxa"/>
              <w:right w:w="105" w:type="dxa"/>
            </w:tcMar>
            <w:vAlign w:val="top"/>
          </w:tcPr>
          <w:p w14:paraId="6CAE49D2">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2</w:t>
            </w:r>
          </w:p>
        </w:tc>
        <w:tc>
          <w:tcPr>
            <w:tcW w:w="714" w:type="dxa"/>
            <w:tcBorders>
              <w:top w:val="nil"/>
              <w:left w:val="nil"/>
              <w:bottom w:val="single" w:color="000000" w:sz="4" w:space="0"/>
              <w:right w:val="single" w:color="000000" w:sz="4" w:space="0"/>
            </w:tcBorders>
            <w:tcMar>
              <w:top w:w="0" w:type="dxa"/>
              <w:left w:w="105" w:type="dxa"/>
              <w:bottom w:w="0" w:type="dxa"/>
              <w:right w:w="105" w:type="dxa"/>
            </w:tcMar>
            <w:vAlign w:val="top"/>
          </w:tcPr>
          <w:p w14:paraId="733323A6">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套</w:t>
            </w:r>
          </w:p>
        </w:tc>
      </w:tr>
    </w:tbl>
    <w:p w14:paraId="261D9A95">
      <w:pPr>
        <w:pStyle w:val="6"/>
        <w:keepNext w:val="0"/>
        <w:keepLines w:val="0"/>
        <w:pageBreakBefore w:val="0"/>
        <w:kinsoku/>
        <w:wordWrap/>
        <w:overflowPunct/>
        <w:topLinePunct w:val="0"/>
        <w:autoSpaceDE/>
        <w:autoSpaceDN/>
        <w:bidi w:val="0"/>
        <w:adjustRightInd/>
        <w:snapToGrid/>
        <w:spacing w:line="500" w:lineRule="exact"/>
        <w:ind w:left="855"/>
        <w:jc w:val="both"/>
        <w:textAlignment w:val="auto"/>
        <w:rPr>
          <w:rFonts w:hint="eastAsia" w:ascii="宋体" w:hAnsi="宋体" w:eastAsia="宋体" w:cs="宋体"/>
          <w:sz w:val="24"/>
          <w:szCs w:val="24"/>
        </w:rPr>
      </w:pPr>
      <w:r>
        <w:rPr>
          <w:rFonts w:hint="eastAsia" w:ascii="宋体" w:hAnsi="宋体" w:eastAsia="宋体" w:cs="宋体"/>
          <w:b/>
          <w:sz w:val="24"/>
          <w:szCs w:val="24"/>
        </w:rPr>
        <w:t>2.4.1.2.福州市第二总医院神经精神病防治院网络安全设备</w:t>
      </w:r>
    </w:p>
    <w:tbl>
      <w:tblPr>
        <w:tblStyle w:val="4"/>
        <w:tblW w:w="0" w:type="auto"/>
        <w:tblInd w:w="0" w:type="dxa"/>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autofit"/>
        <w:tblCellMar>
          <w:top w:w="0" w:type="dxa"/>
          <w:left w:w="108" w:type="dxa"/>
          <w:bottom w:w="0" w:type="dxa"/>
          <w:right w:w="108" w:type="dxa"/>
        </w:tblCellMar>
      </w:tblPr>
      <w:tblGrid>
        <w:gridCol w:w="857"/>
        <w:gridCol w:w="859"/>
        <w:gridCol w:w="5136"/>
        <w:gridCol w:w="734"/>
        <w:gridCol w:w="714"/>
      </w:tblGrid>
      <w:tr w14:paraId="18809257">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857" w:type="dxa"/>
            <w:tcBorders>
              <w:top w:val="single" w:color="000000" w:sz="4" w:space="0"/>
              <w:left w:val="single" w:color="000000" w:sz="4" w:space="0"/>
              <w:bottom w:val="single" w:color="000000" w:sz="4" w:space="0"/>
              <w:right w:val="single" w:color="000000" w:sz="4" w:space="0"/>
            </w:tcBorders>
            <w:shd w:val="clear" w:color="auto" w:fill="D7D7D7"/>
            <w:tcMar>
              <w:top w:w="0" w:type="dxa"/>
              <w:left w:w="105" w:type="dxa"/>
              <w:bottom w:w="0" w:type="dxa"/>
              <w:right w:w="105" w:type="dxa"/>
            </w:tcMar>
            <w:vAlign w:val="top"/>
          </w:tcPr>
          <w:p w14:paraId="12CCCBE8">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b/>
                <w:sz w:val="24"/>
                <w:szCs w:val="24"/>
              </w:rPr>
              <w:t>编号</w:t>
            </w:r>
          </w:p>
        </w:tc>
        <w:tc>
          <w:tcPr>
            <w:tcW w:w="859" w:type="dxa"/>
            <w:tcBorders>
              <w:top w:val="single" w:color="000000" w:sz="4" w:space="0"/>
              <w:left w:val="nil"/>
              <w:bottom w:val="single" w:color="000000" w:sz="4" w:space="0"/>
              <w:right w:val="single" w:color="000000" w:sz="4" w:space="0"/>
            </w:tcBorders>
            <w:shd w:val="clear" w:color="auto" w:fill="D7D7D7"/>
            <w:tcMar>
              <w:top w:w="0" w:type="dxa"/>
              <w:left w:w="105" w:type="dxa"/>
              <w:bottom w:w="0" w:type="dxa"/>
              <w:right w:w="105" w:type="dxa"/>
            </w:tcMar>
            <w:vAlign w:val="top"/>
          </w:tcPr>
          <w:p w14:paraId="502AE212">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b/>
                <w:sz w:val="24"/>
                <w:szCs w:val="24"/>
              </w:rPr>
              <w:t>设备名称</w:t>
            </w:r>
          </w:p>
        </w:tc>
        <w:tc>
          <w:tcPr>
            <w:tcW w:w="5136" w:type="dxa"/>
            <w:tcBorders>
              <w:top w:val="single" w:color="000000" w:sz="4" w:space="0"/>
              <w:left w:val="nil"/>
              <w:bottom w:val="single" w:color="000000" w:sz="4" w:space="0"/>
              <w:right w:val="single" w:color="000000" w:sz="4" w:space="0"/>
            </w:tcBorders>
            <w:shd w:val="clear" w:color="auto" w:fill="D7D7D7"/>
            <w:tcMar>
              <w:top w:w="0" w:type="dxa"/>
              <w:left w:w="105" w:type="dxa"/>
              <w:bottom w:w="0" w:type="dxa"/>
              <w:right w:w="105" w:type="dxa"/>
            </w:tcMar>
            <w:vAlign w:val="top"/>
          </w:tcPr>
          <w:p w14:paraId="049A086D">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b/>
                <w:sz w:val="24"/>
                <w:szCs w:val="24"/>
              </w:rPr>
              <w:t>性能参数要求</w:t>
            </w:r>
          </w:p>
        </w:tc>
        <w:tc>
          <w:tcPr>
            <w:tcW w:w="734" w:type="dxa"/>
            <w:tcBorders>
              <w:top w:val="single" w:color="000000" w:sz="4" w:space="0"/>
              <w:left w:val="nil"/>
              <w:bottom w:val="single" w:color="000000" w:sz="4" w:space="0"/>
              <w:right w:val="single" w:color="000000" w:sz="4" w:space="0"/>
            </w:tcBorders>
            <w:shd w:val="clear" w:color="auto" w:fill="D7D7D7"/>
            <w:tcMar>
              <w:top w:w="0" w:type="dxa"/>
              <w:left w:w="105" w:type="dxa"/>
              <w:bottom w:w="0" w:type="dxa"/>
              <w:right w:w="105" w:type="dxa"/>
            </w:tcMar>
            <w:vAlign w:val="top"/>
          </w:tcPr>
          <w:p w14:paraId="7BE4FBD7">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b/>
                <w:sz w:val="24"/>
                <w:szCs w:val="24"/>
              </w:rPr>
              <w:t>数量</w:t>
            </w:r>
          </w:p>
        </w:tc>
        <w:tc>
          <w:tcPr>
            <w:tcW w:w="714" w:type="dxa"/>
            <w:tcBorders>
              <w:top w:val="single" w:color="000000" w:sz="4" w:space="0"/>
              <w:left w:val="nil"/>
              <w:bottom w:val="single" w:color="000000" w:sz="4" w:space="0"/>
              <w:right w:val="single" w:color="000000" w:sz="4" w:space="0"/>
            </w:tcBorders>
            <w:shd w:val="clear" w:color="auto" w:fill="D7D7D7"/>
            <w:tcMar>
              <w:top w:w="0" w:type="dxa"/>
              <w:left w:w="105" w:type="dxa"/>
              <w:bottom w:w="0" w:type="dxa"/>
              <w:right w:w="105" w:type="dxa"/>
            </w:tcMar>
            <w:vAlign w:val="top"/>
          </w:tcPr>
          <w:p w14:paraId="04D60390">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b/>
                <w:sz w:val="24"/>
                <w:szCs w:val="24"/>
              </w:rPr>
              <w:t>单位</w:t>
            </w:r>
          </w:p>
        </w:tc>
      </w:tr>
      <w:tr w14:paraId="0E2AEFEE">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85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2EC28088">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1</w:t>
            </w:r>
          </w:p>
        </w:tc>
        <w:tc>
          <w:tcPr>
            <w:tcW w:w="859" w:type="dxa"/>
            <w:tcBorders>
              <w:top w:val="nil"/>
              <w:left w:val="nil"/>
              <w:bottom w:val="single" w:color="000000" w:sz="4" w:space="0"/>
              <w:right w:val="single" w:color="000000" w:sz="4" w:space="0"/>
            </w:tcBorders>
            <w:tcMar>
              <w:top w:w="0" w:type="dxa"/>
              <w:left w:w="105" w:type="dxa"/>
              <w:bottom w:w="0" w:type="dxa"/>
              <w:right w:w="105" w:type="dxa"/>
            </w:tcMar>
            <w:vAlign w:val="top"/>
          </w:tcPr>
          <w:p w14:paraId="7CC28B81">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sz w:val="24"/>
                <w:szCs w:val="24"/>
              </w:rPr>
              <w:t>内网出口防火墙(评审项202)</w:t>
            </w:r>
          </w:p>
        </w:tc>
        <w:tc>
          <w:tcPr>
            <w:tcW w:w="5136" w:type="dxa"/>
            <w:tcBorders>
              <w:top w:val="nil"/>
              <w:left w:val="nil"/>
              <w:bottom w:val="single" w:color="000000" w:sz="4" w:space="0"/>
              <w:right w:val="single" w:color="000000" w:sz="4" w:space="0"/>
            </w:tcBorders>
            <w:tcMar>
              <w:top w:w="0" w:type="dxa"/>
              <w:left w:w="105" w:type="dxa"/>
              <w:bottom w:w="0" w:type="dxa"/>
              <w:right w:w="105" w:type="dxa"/>
            </w:tcMar>
            <w:vAlign w:val="top"/>
          </w:tcPr>
          <w:p w14:paraId="35335A70">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1、性能参数：网络层吞吐量≥6G，应用层吞吐量≥4G，防病毒吞吐量≥600M，IPS吞吐量≥600M，并发连接数≥800W，HTTP新建连接数≥4.5W。</w:t>
            </w:r>
            <w:r>
              <w:rPr>
                <w:rFonts w:hint="eastAsia" w:ascii="宋体" w:hAnsi="宋体" w:eastAsia="宋体" w:cs="宋体"/>
                <w:sz w:val="24"/>
                <w:szCs w:val="24"/>
              </w:rPr>
              <w:br w:type="textWrapping"/>
            </w:r>
            <w:r>
              <w:rPr>
                <w:rFonts w:hint="eastAsia" w:ascii="宋体" w:hAnsi="宋体" w:eastAsia="宋体" w:cs="宋体"/>
                <w:sz w:val="24"/>
                <w:szCs w:val="24"/>
              </w:rPr>
              <w:t>2.硬件参数：内存≥8G，硬盘容量≥128GSSD，接口≥10千兆电口，≥2万兆光口，采用国产化CPU，提供访问控制、应用管控、入侵防御、防病毒能力，含软件、规则库升级及硬件质保服务。</w:t>
            </w:r>
            <w:r>
              <w:rPr>
                <w:rFonts w:hint="eastAsia" w:ascii="宋体" w:hAnsi="宋体" w:eastAsia="宋体" w:cs="宋体"/>
                <w:sz w:val="24"/>
                <w:szCs w:val="24"/>
              </w:rPr>
              <w:br w:type="textWrapping"/>
            </w:r>
            <w:r>
              <w:rPr>
                <w:rFonts w:hint="eastAsia" w:ascii="宋体" w:hAnsi="宋体" w:eastAsia="宋体" w:cs="宋体"/>
                <w:sz w:val="24"/>
                <w:szCs w:val="24"/>
              </w:rPr>
              <w:t>3、支持双机主从热备功能，双机切换不丢包，在双机部署场景下支持升级过程网络不中断。</w:t>
            </w:r>
            <w:r>
              <w:rPr>
                <w:rFonts w:hint="eastAsia" w:ascii="宋体" w:hAnsi="宋体" w:eastAsia="宋体" w:cs="宋体"/>
                <w:sz w:val="24"/>
                <w:szCs w:val="24"/>
              </w:rPr>
              <w:br w:type="textWrapping"/>
            </w:r>
            <w:r>
              <w:rPr>
                <w:rFonts w:hint="eastAsia" w:ascii="宋体" w:hAnsi="宋体" w:eastAsia="宋体" w:cs="宋体"/>
                <w:sz w:val="24"/>
                <w:szCs w:val="24"/>
              </w:rPr>
              <w:t>4、支持防暴力破解，可针对端口和域名进行防护，可自定义选择阻断时间；支持ZIP、TAR等压缩打包文件的病毒查杀。</w:t>
            </w:r>
            <w:r>
              <w:rPr>
                <w:rFonts w:hint="eastAsia" w:ascii="宋体" w:hAnsi="宋体" w:eastAsia="宋体" w:cs="宋体"/>
                <w:sz w:val="24"/>
                <w:szCs w:val="24"/>
              </w:rPr>
              <w:br w:type="textWrapping"/>
            </w:r>
            <w:r>
              <w:rPr>
                <w:rFonts w:hint="eastAsia" w:ascii="宋体" w:hAnsi="宋体" w:eastAsia="宋体" w:cs="宋体"/>
                <w:sz w:val="24"/>
                <w:szCs w:val="24"/>
              </w:rPr>
              <w:t>5、支持VPN、DDOS以及WEB应用防护功能。</w:t>
            </w:r>
            <w:r>
              <w:rPr>
                <w:rFonts w:hint="eastAsia" w:ascii="宋体" w:hAnsi="宋体" w:eastAsia="宋体" w:cs="宋体"/>
                <w:sz w:val="24"/>
                <w:szCs w:val="24"/>
              </w:rPr>
              <w:br w:type="textWrapping"/>
            </w:r>
            <w:r>
              <w:rPr>
                <w:rFonts w:hint="eastAsia" w:ascii="宋体" w:hAnsi="宋体" w:eastAsia="宋体" w:cs="宋体"/>
                <w:sz w:val="24"/>
                <w:szCs w:val="24"/>
              </w:rPr>
              <w:t>6、支持数据下钻至单资产风险详情，可自动关联该资产所有安全信息。</w:t>
            </w:r>
            <w:r>
              <w:rPr>
                <w:rFonts w:hint="eastAsia" w:ascii="宋体" w:hAnsi="宋体" w:eastAsia="宋体" w:cs="宋体"/>
                <w:sz w:val="24"/>
                <w:szCs w:val="24"/>
              </w:rPr>
              <w:br w:type="textWrapping"/>
            </w:r>
            <w:r>
              <w:rPr>
                <w:rFonts w:hint="eastAsia" w:ascii="宋体" w:hAnsi="宋体" w:eastAsia="宋体" w:cs="宋体"/>
                <w:sz w:val="24"/>
                <w:szCs w:val="24"/>
              </w:rPr>
              <w:t>7、支持端口镜像功能，支持入流量、出流量和双向流量等类型的镜像。</w:t>
            </w:r>
            <w:r>
              <w:rPr>
                <w:rFonts w:hint="eastAsia" w:ascii="宋体" w:hAnsi="宋体" w:eastAsia="宋体" w:cs="宋体"/>
                <w:sz w:val="24"/>
                <w:szCs w:val="24"/>
              </w:rPr>
              <w:br w:type="textWrapping"/>
            </w:r>
            <w:r>
              <w:rPr>
                <w:rFonts w:hint="eastAsia" w:ascii="宋体" w:hAnsi="宋体" w:eastAsia="宋体" w:cs="宋体"/>
                <w:sz w:val="24"/>
                <w:szCs w:val="24"/>
              </w:rPr>
              <w:t>8、支持非法外联学习和防护特性，可定义外联白名单地址和端口。</w:t>
            </w:r>
          </w:p>
          <w:p w14:paraId="58CFE65E">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9、支持展示攻击源的相关信息，包括:归属地、级别、攻击次数、开始时间、结束时间，支持针对攻击源进行“一键处置”，将攻击源加入至黑名单。支持提供智能策略分析功能，支持策略命中分析、隐藏策略分析、冗余策略分析、冲突策略分析、可合并策略分析、过期策略发现、空策略发现、策略宽松度分析，并在web页面显示分析结果。</w:t>
            </w:r>
            <w:r>
              <w:rPr>
                <w:rFonts w:hint="eastAsia" w:ascii="宋体" w:hAnsi="宋体" w:eastAsia="宋体" w:cs="宋体"/>
                <w:b/>
                <w:sz w:val="24"/>
                <w:szCs w:val="24"/>
              </w:rPr>
              <w:t>（投标人须提供测试报告进行佐证，测试报告中受检（或委托）单位须为相应产品的制造商或投标人）</w:t>
            </w:r>
          </w:p>
          <w:p w14:paraId="3126555A">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10、支持防网络共享行为，针对私接路由器和非法无线热点行为进行识别和阻断。</w:t>
            </w:r>
            <w:r>
              <w:rPr>
                <w:rFonts w:hint="eastAsia" w:ascii="宋体" w:hAnsi="宋体" w:eastAsia="宋体" w:cs="宋体"/>
                <w:sz w:val="24"/>
                <w:szCs w:val="24"/>
              </w:rPr>
              <w:br w:type="textWrapping"/>
            </w:r>
            <w:r>
              <w:rPr>
                <w:rFonts w:hint="eastAsia" w:ascii="宋体" w:hAnsi="宋体" w:eastAsia="宋体" w:cs="宋体"/>
                <w:sz w:val="24"/>
                <w:szCs w:val="24"/>
              </w:rPr>
              <w:t>11、具备外置Reset重置插孔，支持一键恢复出厂设置。</w:t>
            </w:r>
            <w:r>
              <w:rPr>
                <w:rFonts w:hint="eastAsia" w:ascii="宋体" w:hAnsi="宋体" w:eastAsia="宋体" w:cs="宋体"/>
                <w:sz w:val="24"/>
                <w:szCs w:val="24"/>
              </w:rPr>
              <w:br w:type="textWrapping"/>
            </w:r>
            <w:r>
              <w:rPr>
                <w:rFonts w:hint="eastAsia" w:ascii="宋体" w:hAnsi="宋体" w:eastAsia="宋体" w:cs="宋体"/>
                <w:sz w:val="24"/>
                <w:szCs w:val="24"/>
              </w:rPr>
              <w:t>12、支持Portal逃生，支持选择不逃生、全部用户逃生和已认证用户逃生等方式；可基于PING、TCP、DNS等方式探测认证服务器。</w:t>
            </w:r>
            <w:r>
              <w:rPr>
                <w:rFonts w:hint="eastAsia" w:ascii="宋体" w:hAnsi="宋体" w:eastAsia="宋体" w:cs="宋体"/>
                <w:sz w:val="24"/>
                <w:szCs w:val="24"/>
              </w:rPr>
              <w:br w:type="textWrapping"/>
            </w:r>
            <w:r>
              <w:rPr>
                <w:rFonts w:hint="eastAsia" w:ascii="宋体" w:hAnsi="宋体" w:eastAsia="宋体" w:cs="宋体"/>
                <w:sz w:val="24"/>
                <w:szCs w:val="24"/>
              </w:rPr>
              <w:t>13、支持弱口令扫描能力，可针对IP、IP端、端口等对象，扫描监控空密码、用户名密码相同、预置弱口令、自定义弱口令等规则。</w:t>
            </w:r>
            <w:r>
              <w:rPr>
                <w:rFonts w:hint="eastAsia" w:ascii="宋体" w:hAnsi="宋体" w:eastAsia="宋体" w:cs="宋体"/>
                <w:sz w:val="24"/>
                <w:szCs w:val="24"/>
              </w:rPr>
              <w:br w:type="textWrapping"/>
            </w:r>
            <w:r>
              <w:rPr>
                <w:rFonts w:hint="eastAsia" w:ascii="宋体" w:hAnsi="宋体" w:eastAsia="宋体" w:cs="宋体"/>
                <w:sz w:val="24"/>
                <w:szCs w:val="24"/>
              </w:rPr>
              <w:t>14、支持流量限额功能，可基于用户、源IP、目的IP、时间、应用等维度，进行日流量总额、月流量总额、当日使用时长、当月使用时长等限额类型进行流量管理。</w:t>
            </w:r>
          </w:p>
        </w:tc>
        <w:tc>
          <w:tcPr>
            <w:tcW w:w="734" w:type="dxa"/>
            <w:tcBorders>
              <w:top w:val="nil"/>
              <w:left w:val="nil"/>
              <w:bottom w:val="single" w:color="000000" w:sz="4" w:space="0"/>
              <w:right w:val="single" w:color="000000" w:sz="4" w:space="0"/>
            </w:tcBorders>
            <w:tcMar>
              <w:top w:w="0" w:type="dxa"/>
              <w:left w:w="105" w:type="dxa"/>
              <w:bottom w:w="0" w:type="dxa"/>
              <w:right w:w="105" w:type="dxa"/>
            </w:tcMar>
            <w:vAlign w:val="top"/>
          </w:tcPr>
          <w:p w14:paraId="72F4B4F9">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2</w:t>
            </w:r>
          </w:p>
        </w:tc>
        <w:tc>
          <w:tcPr>
            <w:tcW w:w="714" w:type="dxa"/>
            <w:tcBorders>
              <w:top w:val="nil"/>
              <w:left w:val="nil"/>
              <w:bottom w:val="single" w:color="000000" w:sz="4" w:space="0"/>
              <w:right w:val="single" w:color="000000" w:sz="4" w:space="0"/>
            </w:tcBorders>
            <w:tcMar>
              <w:top w:w="0" w:type="dxa"/>
              <w:left w:w="105" w:type="dxa"/>
              <w:bottom w:w="0" w:type="dxa"/>
              <w:right w:w="105" w:type="dxa"/>
            </w:tcMar>
            <w:vAlign w:val="top"/>
          </w:tcPr>
          <w:p w14:paraId="027B5155">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套</w:t>
            </w:r>
          </w:p>
        </w:tc>
      </w:tr>
      <w:tr w14:paraId="558E4D40">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85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2C7339B9">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2</w:t>
            </w:r>
          </w:p>
        </w:tc>
        <w:tc>
          <w:tcPr>
            <w:tcW w:w="859" w:type="dxa"/>
            <w:tcBorders>
              <w:top w:val="nil"/>
              <w:left w:val="nil"/>
              <w:bottom w:val="single" w:color="000000" w:sz="4" w:space="0"/>
              <w:right w:val="single" w:color="000000" w:sz="4" w:space="0"/>
            </w:tcBorders>
            <w:tcMar>
              <w:top w:w="0" w:type="dxa"/>
              <w:left w:w="105" w:type="dxa"/>
              <w:bottom w:w="0" w:type="dxa"/>
              <w:right w:w="105" w:type="dxa"/>
            </w:tcMar>
            <w:vAlign w:val="top"/>
          </w:tcPr>
          <w:p w14:paraId="69A75229">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sz w:val="24"/>
                <w:szCs w:val="24"/>
              </w:rPr>
              <w:t>内网数据中心防火墙(评审项203)</w:t>
            </w:r>
          </w:p>
        </w:tc>
        <w:tc>
          <w:tcPr>
            <w:tcW w:w="5136" w:type="dxa"/>
            <w:tcBorders>
              <w:top w:val="nil"/>
              <w:left w:val="nil"/>
              <w:bottom w:val="single" w:color="000000" w:sz="4" w:space="0"/>
              <w:right w:val="single" w:color="000000" w:sz="4" w:space="0"/>
            </w:tcBorders>
            <w:tcMar>
              <w:top w:w="0" w:type="dxa"/>
              <w:left w:w="105" w:type="dxa"/>
              <w:bottom w:w="0" w:type="dxa"/>
              <w:right w:w="105" w:type="dxa"/>
            </w:tcMar>
            <w:vAlign w:val="top"/>
          </w:tcPr>
          <w:p w14:paraId="54E20C30">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sz w:val="24"/>
                <w:szCs w:val="24"/>
              </w:rPr>
              <w:t>1、性能参数：网络层吞吐量≥65G，应用层吞吐量≥40G，防病毒吞吐量≥10G，IPS吞吐量≥10G，并发连接数≥2000W，HTTP新建连接数≥55W。</w:t>
            </w:r>
            <w:r>
              <w:rPr>
                <w:rFonts w:hint="eastAsia" w:ascii="宋体" w:hAnsi="宋体" w:eastAsia="宋体" w:cs="宋体"/>
                <w:sz w:val="24"/>
                <w:szCs w:val="24"/>
              </w:rPr>
              <w:br w:type="textWrapping"/>
            </w:r>
            <w:r>
              <w:rPr>
                <w:rFonts w:hint="eastAsia" w:ascii="宋体" w:hAnsi="宋体" w:eastAsia="宋体" w:cs="宋体"/>
                <w:sz w:val="24"/>
                <w:szCs w:val="24"/>
              </w:rPr>
              <w:t>2、硬件参数：规格≥2U，内存≥32G，硬盘容量≥2*480GSSD，接口≥16千兆电口，≥16个千兆光口，≥16个万兆光口，采用国产化CPU，提供访问控制、应用管控、入侵防御、Web应用防护能力，含软件、规则库升级及硬件质保服务。</w:t>
            </w:r>
            <w:r>
              <w:rPr>
                <w:rFonts w:hint="eastAsia" w:ascii="宋体" w:hAnsi="宋体" w:eastAsia="宋体" w:cs="宋体"/>
                <w:sz w:val="24"/>
                <w:szCs w:val="24"/>
              </w:rPr>
              <w:br w:type="textWrapping"/>
            </w:r>
            <w:r>
              <w:rPr>
                <w:rFonts w:hint="eastAsia" w:ascii="宋体" w:hAnsi="宋体" w:eastAsia="宋体" w:cs="宋体"/>
                <w:sz w:val="24"/>
                <w:szCs w:val="24"/>
              </w:rPr>
              <w:t>3、支持双机主从热备功能，双机切换不丢包，在双机部署场景下支持升级过程网络不中断。</w:t>
            </w:r>
            <w:r>
              <w:rPr>
                <w:rFonts w:hint="eastAsia" w:ascii="宋体" w:hAnsi="宋体" w:eastAsia="宋体" w:cs="宋体"/>
                <w:sz w:val="24"/>
                <w:szCs w:val="24"/>
              </w:rPr>
              <w:br w:type="textWrapping"/>
            </w:r>
            <w:r>
              <w:rPr>
                <w:rFonts w:hint="eastAsia" w:ascii="宋体" w:hAnsi="宋体" w:eastAsia="宋体" w:cs="宋体"/>
                <w:sz w:val="24"/>
                <w:szCs w:val="24"/>
              </w:rPr>
              <w:t>4、支持防暴力破解，可针对端口和域名进行防护，可自定义选择阻断时间；支持ZIP、TAR等压缩打包文件的病毒查杀。</w:t>
            </w:r>
            <w:r>
              <w:rPr>
                <w:rFonts w:hint="eastAsia" w:ascii="宋体" w:hAnsi="宋体" w:eastAsia="宋体" w:cs="宋体"/>
                <w:sz w:val="24"/>
                <w:szCs w:val="24"/>
              </w:rPr>
              <w:br w:type="textWrapping"/>
            </w:r>
            <w:r>
              <w:rPr>
                <w:rFonts w:hint="eastAsia" w:ascii="宋体" w:hAnsi="宋体" w:eastAsia="宋体" w:cs="宋体"/>
                <w:sz w:val="24"/>
                <w:szCs w:val="24"/>
              </w:rPr>
              <w:t>5、支持VPN、DDOS以及WEB应用防护功能。</w:t>
            </w:r>
            <w:r>
              <w:rPr>
                <w:rFonts w:hint="eastAsia" w:ascii="宋体" w:hAnsi="宋体" w:eastAsia="宋体" w:cs="宋体"/>
                <w:sz w:val="24"/>
                <w:szCs w:val="24"/>
              </w:rPr>
              <w:br w:type="textWrapping"/>
            </w:r>
            <w:r>
              <w:rPr>
                <w:rFonts w:hint="eastAsia" w:ascii="宋体" w:hAnsi="宋体" w:eastAsia="宋体" w:cs="宋体"/>
                <w:sz w:val="24"/>
                <w:szCs w:val="24"/>
              </w:rPr>
              <w:t>6、支持数据下钻至单资产风险详情，可自动关联该资产所有安全信息。</w:t>
            </w:r>
            <w:r>
              <w:rPr>
                <w:rFonts w:hint="eastAsia" w:ascii="宋体" w:hAnsi="宋体" w:eastAsia="宋体" w:cs="宋体"/>
                <w:sz w:val="24"/>
                <w:szCs w:val="24"/>
              </w:rPr>
              <w:br w:type="textWrapping"/>
            </w:r>
            <w:r>
              <w:rPr>
                <w:rFonts w:hint="eastAsia" w:ascii="宋体" w:hAnsi="宋体" w:eastAsia="宋体" w:cs="宋体"/>
                <w:sz w:val="24"/>
                <w:szCs w:val="24"/>
              </w:rPr>
              <w:t>7、支持端口镜像功能，支持入流量、出流量和双向流量等类型的镜像。</w:t>
            </w:r>
            <w:r>
              <w:rPr>
                <w:rFonts w:hint="eastAsia" w:ascii="宋体" w:hAnsi="宋体" w:eastAsia="宋体" w:cs="宋体"/>
                <w:sz w:val="24"/>
                <w:szCs w:val="24"/>
              </w:rPr>
              <w:br w:type="textWrapping"/>
            </w:r>
            <w:r>
              <w:rPr>
                <w:rFonts w:hint="eastAsia" w:ascii="宋体" w:hAnsi="宋体" w:eastAsia="宋体" w:cs="宋体"/>
                <w:sz w:val="24"/>
                <w:szCs w:val="24"/>
              </w:rPr>
              <w:t>8、支持非法外联学习和防护特性，可定义外联白名单地址和端口。</w:t>
            </w:r>
            <w:r>
              <w:rPr>
                <w:rFonts w:hint="eastAsia" w:ascii="宋体" w:hAnsi="宋体" w:eastAsia="宋体" w:cs="宋体"/>
                <w:sz w:val="24"/>
                <w:szCs w:val="24"/>
              </w:rPr>
              <w:br w:type="textWrapping"/>
            </w:r>
            <w:r>
              <w:rPr>
                <w:rFonts w:hint="eastAsia" w:ascii="宋体" w:hAnsi="宋体" w:eastAsia="宋体" w:cs="宋体"/>
                <w:sz w:val="24"/>
                <w:szCs w:val="24"/>
              </w:rPr>
              <w:t>9、支持防网络共享行为，针对私接路由器和非法无线热点行为进行识别和阻断。</w:t>
            </w:r>
            <w:r>
              <w:rPr>
                <w:rFonts w:hint="eastAsia" w:ascii="宋体" w:hAnsi="宋体" w:eastAsia="宋体" w:cs="宋体"/>
                <w:sz w:val="24"/>
                <w:szCs w:val="24"/>
              </w:rPr>
              <w:br w:type="textWrapping"/>
            </w:r>
            <w:r>
              <w:rPr>
                <w:rFonts w:hint="eastAsia" w:ascii="宋体" w:hAnsi="宋体" w:eastAsia="宋体" w:cs="宋体"/>
                <w:sz w:val="24"/>
                <w:szCs w:val="24"/>
              </w:rPr>
              <w:t>10、具备外置Reset重置插孔，支持一键恢复出厂设置。</w:t>
            </w:r>
            <w:r>
              <w:rPr>
                <w:rFonts w:hint="eastAsia" w:ascii="宋体" w:hAnsi="宋体" w:eastAsia="宋体" w:cs="宋体"/>
                <w:sz w:val="24"/>
                <w:szCs w:val="24"/>
              </w:rPr>
              <w:br w:type="textWrapping"/>
            </w:r>
            <w:r>
              <w:rPr>
                <w:rFonts w:hint="eastAsia" w:ascii="宋体" w:hAnsi="宋体" w:eastAsia="宋体" w:cs="宋体"/>
                <w:sz w:val="24"/>
                <w:szCs w:val="24"/>
              </w:rPr>
              <w:t>11、支持Portal逃生，支持选择不逃生、全部用户逃生和已认证用户逃生等方式；可基于PING、TCP、DNS等方式探测认证服务器。</w:t>
            </w:r>
            <w:r>
              <w:rPr>
                <w:rFonts w:hint="eastAsia" w:ascii="宋体" w:hAnsi="宋体" w:eastAsia="宋体" w:cs="宋体"/>
                <w:sz w:val="24"/>
                <w:szCs w:val="24"/>
              </w:rPr>
              <w:br w:type="textWrapping"/>
            </w:r>
            <w:r>
              <w:rPr>
                <w:rFonts w:hint="eastAsia" w:ascii="宋体" w:hAnsi="宋体" w:eastAsia="宋体" w:cs="宋体"/>
                <w:sz w:val="24"/>
                <w:szCs w:val="24"/>
              </w:rPr>
              <w:t>12、支持弱口令扫描能力，可针对IP、IP端、端口等对象，扫描监控空密码、用户名密码相同、预置弱口令、自定义弱口令等规则。</w:t>
            </w:r>
            <w:r>
              <w:rPr>
                <w:rFonts w:hint="eastAsia" w:ascii="宋体" w:hAnsi="宋体" w:eastAsia="宋体" w:cs="宋体"/>
                <w:sz w:val="24"/>
                <w:szCs w:val="24"/>
              </w:rPr>
              <w:br w:type="textWrapping"/>
            </w:r>
            <w:r>
              <w:rPr>
                <w:rFonts w:hint="eastAsia" w:ascii="宋体" w:hAnsi="宋体" w:eastAsia="宋体" w:cs="宋体"/>
                <w:sz w:val="24"/>
                <w:szCs w:val="24"/>
              </w:rPr>
              <w:t>13、支持流量限额功能，可基于用户、源IP、目的IP、时间、应用等维度，进行日流量总额、月流量总额、当日使用时长、当月使用时长等限额类型进行流量管理。</w:t>
            </w:r>
          </w:p>
          <w:p w14:paraId="1316309C">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sz w:val="24"/>
                <w:szCs w:val="24"/>
              </w:rPr>
              <w:t>14、支持安全事件攻击链分析，以资产和攻击者两种角度关联所有安全事件，将攻击过程阶段化，分析和统计每个攻击阶段的攻击内容和攻击次数，支持针对每个攻击阶段进行数据下钻，支持分析攻击时间、攻击源、攻击目的、攻击事件、检测模块、攻击级别信息。</w:t>
            </w:r>
            <w:r>
              <w:rPr>
                <w:rFonts w:hint="eastAsia" w:ascii="宋体" w:hAnsi="宋体" w:eastAsia="宋体" w:cs="宋体"/>
                <w:b/>
                <w:sz w:val="24"/>
                <w:szCs w:val="24"/>
              </w:rPr>
              <w:t>（投标人须提供测试报告进行佐证，测试报告中受检（或委托）单位须为相应产品的制造商或投标人）</w:t>
            </w:r>
          </w:p>
        </w:tc>
        <w:tc>
          <w:tcPr>
            <w:tcW w:w="734" w:type="dxa"/>
            <w:tcBorders>
              <w:top w:val="nil"/>
              <w:left w:val="nil"/>
              <w:bottom w:val="single" w:color="000000" w:sz="4" w:space="0"/>
              <w:right w:val="single" w:color="000000" w:sz="4" w:space="0"/>
            </w:tcBorders>
            <w:tcMar>
              <w:top w:w="0" w:type="dxa"/>
              <w:left w:w="105" w:type="dxa"/>
              <w:bottom w:w="0" w:type="dxa"/>
              <w:right w:w="105" w:type="dxa"/>
            </w:tcMar>
            <w:vAlign w:val="top"/>
          </w:tcPr>
          <w:p w14:paraId="1A83D822">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2</w:t>
            </w:r>
          </w:p>
        </w:tc>
        <w:tc>
          <w:tcPr>
            <w:tcW w:w="714" w:type="dxa"/>
            <w:tcBorders>
              <w:top w:val="nil"/>
              <w:left w:val="nil"/>
              <w:bottom w:val="single" w:color="000000" w:sz="4" w:space="0"/>
              <w:right w:val="single" w:color="000000" w:sz="4" w:space="0"/>
            </w:tcBorders>
            <w:tcMar>
              <w:top w:w="0" w:type="dxa"/>
              <w:left w:w="105" w:type="dxa"/>
              <w:bottom w:w="0" w:type="dxa"/>
              <w:right w:w="105" w:type="dxa"/>
            </w:tcMar>
            <w:vAlign w:val="top"/>
          </w:tcPr>
          <w:p w14:paraId="7D5102D3">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套</w:t>
            </w:r>
          </w:p>
        </w:tc>
      </w:tr>
      <w:tr w14:paraId="5F162F9E">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85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6B8893B1">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3</w:t>
            </w:r>
          </w:p>
        </w:tc>
        <w:tc>
          <w:tcPr>
            <w:tcW w:w="859" w:type="dxa"/>
            <w:tcBorders>
              <w:top w:val="nil"/>
              <w:left w:val="nil"/>
              <w:bottom w:val="single" w:color="000000" w:sz="4" w:space="0"/>
              <w:right w:val="single" w:color="000000" w:sz="4" w:space="0"/>
            </w:tcBorders>
            <w:tcMar>
              <w:top w:w="0" w:type="dxa"/>
              <w:left w:w="105" w:type="dxa"/>
              <w:bottom w:w="0" w:type="dxa"/>
              <w:right w:w="105" w:type="dxa"/>
            </w:tcMar>
            <w:vAlign w:val="top"/>
          </w:tcPr>
          <w:p w14:paraId="1D1EF690">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sz w:val="24"/>
                <w:szCs w:val="24"/>
              </w:rPr>
              <w:t>内网日志审计(评审项204)</w:t>
            </w:r>
          </w:p>
        </w:tc>
        <w:tc>
          <w:tcPr>
            <w:tcW w:w="5136" w:type="dxa"/>
            <w:tcBorders>
              <w:top w:val="nil"/>
              <w:left w:val="nil"/>
              <w:bottom w:val="single" w:color="000000" w:sz="4" w:space="0"/>
              <w:right w:val="single" w:color="000000" w:sz="4" w:space="0"/>
            </w:tcBorders>
            <w:tcMar>
              <w:top w:w="0" w:type="dxa"/>
              <w:left w:w="105" w:type="dxa"/>
              <w:bottom w:w="0" w:type="dxa"/>
              <w:right w:w="105" w:type="dxa"/>
            </w:tcMar>
            <w:vAlign w:val="top"/>
          </w:tcPr>
          <w:p w14:paraId="7A946709">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sz w:val="24"/>
                <w:szCs w:val="24"/>
              </w:rPr>
              <w:t>1、默认包含主机审计许可证书数量≥100，最大可扩展审计主机许可数≥500，平均每秒处理日志数（eps）最大性能≥2500。</w:t>
            </w:r>
            <w:r>
              <w:rPr>
                <w:rFonts w:hint="eastAsia" w:ascii="宋体" w:hAnsi="宋体" w:eastAsia="宋体" w:cs="宋体"/>
                <w:sz w:val="24"/>
                <w:szCs w:val="24"/>
              </w:rPr>
              <w:br w:type="textWrapping"/>
            </w:r>
            <w:r>
              <w:rPr>
                <w:rFonts w:hint="eastAsia" w:ascii="宋体" w:hAnsi="宋体" w:eastAsia="宋体" w:cs="宋体"/>
                <w:sz w:val="24"/>
                <w:szCs w:val="24"/>
              </w:rPr>
              <w:t>2、规格：2U，内存≥16G，硬盘容量≥128GSSD，≥4TSATA，接口≥6千兆电口，≥2万兆光口SFP+，采用国产化CPU，含软件升级及硬件质保服务。</w:t>
            </w:r>
            <w:r>
              <w:rPr>
                <w:rFonts w:hint="eastAsia" w:ascii="宋体" w:hAnsi="宋体" w:eastAsia="宋体" w:cs="宋体"/>
                <w:sz w:val="24"/>
                <w:szCs w:val="24"/>
              </w:rPr>
              <w:br w:type="textWrapping"/>
            </w:r>
            <w:r>
              <w:rPr>
                <w:rFonts w:hint="eastAsia" w:ascii="宋体" w:hAnsi="宋体" w:eastAsia="宋体" w:cs="宋体"/>
                <w:sz w:val="24"/>
                <w:szCs w:val="24"/>
              </w:rPr>
              <w:t>3、支持全文检索、短语检索、字段值精确检索、通配符检索、正则表达式检索高量显示。</w:t>
            </w:r>
            <w:r>
              <w:rPr>
                <w:rFonts w:hint="eastAsia" w:ascii="宋体" w:hAnsi="宋体" w:eastAsia="宋体" w:cs="宋体"/>
                <w:sz w:val="24"/>
                <w:szCs w:val="24"/>
              </w:rPr>
              <w:br w:type="textWrapping"/>
            </w:r>
            <w:r>
              <w:rPr>
                <w:rFonts w:hint="eastAsia" w:ascii="宋体" w:hAnsi="宋体" w:eastAsia="宋体" w:cs="宋体"/>
                <w:sz w:val="24"/>
                <w:szCs w:val="24"/>
              </w:rPr>
              <w:t>4、支持市面主流安全设备、网络设备、中间件、服务器、数据库、操作系统等设备对象的日志数据采集；支持主动、被动相结合的数据采集方式，支持日志转发；支持通过标准协议的方式进行日志事件收集。</w:t>
            </w:r>
            <w:r>
              <w:rPr>
                <w:rFonts w:hint="eastAsia" w:ascii="宋体" w:hAnsi="宋体" w:eastAsia="宋体" w:cs="宋体"/>
                <w:sz w:val="24"/>
                <w:szCs w:val="24"/>
              </w:rPr>
              <w:br w:type="textWrapping"/>
            </w:r>
            <w:r>
              <w:rPr>
                <w:rFonts w:hint="eastAsia" w:ascii="宋体" w:hAnsi="宋体" w:eastAsia="宋体" w:cs="宋体"/>
                <w:sz w:val="24"/>
                <w:szCs w:val="24"/>
              </w:rPr>
              <w:t>5、支持日志数据采集实时展示；支持实时显示日志采集速度，无需人工统计。</w:t>
            </w:r>
            <w:r>
              <w:rPr>
                <w:rFonts w:hint="eastAsia" w:ascii="宋体" w:hAnsi="宋体" w:eastAsia="宋体" w:cs="宋体"/>
                <w:sz w:val="24"/>
                <w:szCs w:val="24"/>
              </w:rPr>
              <w:br w:type="textWrapping"/>
            </w:r>
            <w:r>
              <w:rPr>
                <w:rFonts w:hint="eastAsia" w:ascii="宋体" w:hAnsi="宋体" w:eastAsia="宋体" w:cs="宋体"/>
                <w:sz w:val="24"/>
                <w:szCs w:val="24"/>
              </w:rPr>
              <w:t>6、支持日志归一化处理，采用标准化日志描述语言快速扩展兼容特殊日志；支持在Web端配置日志过滤规则。</w:t>
            </w:r>
            <w:r>
              <w:rPr>
                <w:rFonts w:hint="eastAsia" w:ascii="宋体" w:hAnsi="宋体" w:eastAsia="宋体" w:cs="宋体"/>
                <w:sz w:val="24"/>
                <w:szCs w:val="24"/>
              </w:rPr>
              <w:br w:type="textWrapping"/>
            </w:r>
            <w:r>
              <w:rPr>
                <w:rFonts w:hint="eastAsia" w:ascii="宋体" w:hAnsi="宋体" w:eastAsia="宋体" w:cs="宋体"/>
                <w:sz w:val="24"/>
                <w:szCs w:val="24"/>
              </w:rPr>
              <w:t>7、支持对所管理设备的日志原始数据完整存储，海量数据加密存储，防篡改；支持数据自动、手动备份以及备份数据恢复查看。支持数据本地集中存储、本地离线备份存储、FTP离线存储、网络存储。</w:t>
            </w:r>
            <w:r>
              <w:rPr>
                <w:rFonts w:hint="eastAsia" w:ascii="宋体" w:hAnsi="宋体" w:eastAsia="宋体" w:cs="宋体"/>
                <w:sz w:val="24"/>
                <w:szCs w:val="24"/>
              </w:rPr>
              <w:br w:type="textWrapping"/>
            </w:r>
            <w:r>
              <w:rPr>
                <w:rFonts w:hint="eastAsia" w:ascii="宋体" w:hAnsi="宋体" w:eastAsia="宋体" w:cs="宋体"/>
                <w:sz w:val="24"/>
                <w:szCs w:val="24"/>
              </w:rPr>
              <w:t>8、提供符合等级保护、SOX、ISO27001、PCI相关要求的报表数据，支持自定义报表；支持PDF、Word、HTML等方式导出报表。支持生成周期定时报表，可选统一报表不同生成时间预览和下载。</w:t>
            </w:r>
            <w:r>
              <w:rPr>
                <w:rFonts w:hint="eastAsia" w:ascii="宋体" w:hAnsi="宋体" w:eastAsia="宋体" w:cs="宋体"/>
                <w:sz w:val="24"/>
                <w:szCs w:val="24"/>
              </w:rPr>
              <w:br w:type="textWrapping"/>
            </w:r>
            <w:r>
              <w:rPr>
                <w:rFonts w:hint="eastAsia" w:ascii="宋体" w:hAnsi="宋体" w:eastAsia="宋体" w:cs="宋体"/>
                <w:sz w:val="24"/>
                <w:szCs w:val="24"/>
              </w:rPr>
              <w:t>9、提供合规分析图表，如等级保护、SOX、ISO27001、PCI等；提供按照全网概况、操作系统分析、安全设备分析、网络设备分析、数据库分析、Web应用分析、连接关系、事件关系、网络流量等进行分类的分析图组。</w:t>
            </w:r>
            <w:r>
              <w:rPr>
                <w:rFonts w:hint="eastAsia" w:ascii="宋体" w:hAnsi="宋体" w:eastAsia="宋体" w:cs="宋体"/>
                <w:sz w:val="24"/>
                <w:szCs w:val="24"/>
              </w:rPr>
              <w:br w:type="textWrapping"/>
            </w:r>
            <w:r>
              <w:rPr>
                <w:rFonts w:hint="eastAsia" w:ascii="宋体" w:hAnsi="宋体" w:eastAsia="宋体" w:cs="宋体"/>
                <w:sz w:val="24"/>
                <w:szCs w:val="24"/>
              </w:rPr>
              <w:t>10、支持根据时间范围、级别、规则类型、告警全文关键字等方式快速检索安全事件告警，检索结果支持Excel等格式导出。支持邮件、声音、syslog等多种告警方式，支持在全局显示告警提醒；可以针对不同类型、不同种类以及不同安全级别的安全事件制定不同的告警方式。</w:t>
            </w:r>
          </w:p>
          <w:p w14:paraId="646098F9">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sz w:val="24"/>
                <w:szCs w:val="24"/>
              </w:rPr>
              <w:t>具备多个大屏态势功能，大屏展示模板最少应包含整体事件展示大屏与事件告警分析大屏，用户可同时浏览多个大屏信息，整体事件展示大屏展示内容包括但不限于日志数量、事件类型分布、告警类型分布、告警级别、特别关注信息、单日志源TOP10、实时威胁信息等内容；安全态势大屏支持以世界地图显示地理位置及连接信息，并应能够对访问路径进行分析，可展示访问来源、目标、协议分类TOP10，同时可实时展示最新会话信息。</w:t>
            </w:r>
          </w:p>
        </w:tc>
        <w:tc>
          <w:tcPr>
            <w:tcW w:w="734" w:type="dxa"/>
            <w:tcBorders>
              <w:top w:val="nil"/>
              <w:left w:val="nil"/>
              <w:bottom w:val="single" w:color="000000" w:sz="4" w:space="0"/>
              <w:right w:val="single" w:color="000000" w:sz="4" w:space="0"/>
            </w:tcBorders>
            <w:tcMar>
              <w:top w:w="0" w:type="dxa"/>
              <w:left w:w="105" w:type="dxa"/>
              <w:bottom w:w="0" w:type="dxa"/>
              <w:right w:w="105" w:type="dxa"/>
            </w:tcMar>
            <w:vAlign w:val="top"/>
          </w:tcPr>
          <w:p w14:paraId="40366310">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1</w:t>
            </w:r>
          </w:p>
        </w:tc>
        <w:tc>
          <w:tcPr>
            <w:tcW w:w="714" w:type="dxa"/>
            <w:tcBorders>
              <w:top w:val="nil"/>
              <w:left w:val="nil"/>
              <w:bottom w:val="single" w:color="000000" w:sz="4" w:space="0"/>
              <w:right w:val="single" w:color="000000" w:sz="4" w:space="0"/>
            </w:tcBorders>
            <w:tcMar>
              <w:top w:w="0" w:type="dxa"/>
              <w:left w:w="105" w:type="dxa"/>
              <w:bottom w:w="0" w:type="dxa"/>
              <w:right w:w="105" w:type="dxa"/>
            </w:tcMar>
            <w:vAlign w:val="top"/>
          </w:tcPr>
          <w:p w14:paraId="7EFB25B5">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套</w:t>
            </w:r>
          </w:p>
        </w:tc>
      </w:tr>
      <w:tr w14:paraId="2D3D0806">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85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6C3D8868">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4</w:t>
            </w:r>
          </w:p>
        </w:tc>
        <w:tc>
          <w:tcPr>
            <w:tcW w:w="859" w:type="dxa"/>
            <w:tcBorders>
              <w:top w:val="nil"/>
              <w:left w:val="nil"/>
              <w:bottom w:val="single" w:color="000000" w:sz="4" w:space="0"/>
              <w:right w:val="single" w:color="000000" w:sz="4" w:space="0"/>
            </w:tcBorders>
            <w:tcMar>
              <w:top w:w="0" w:type="dxa"/>
              <w:left w:w="105" w:type="dxa"/>
              <w:bottom w:w="0" w:type="dxa"/>
              <w:right w:w="105" w:type="dxa"/>
            </w:tcMar>
            <w:vAlign w:val="top"/>
          </w:tcPr>
          <w:p w14:paraId="7BE7CBE0">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sz w:val="24"/>
                <w:szCs w:val="24"/>
              </w:rPr>
              <w:t>内网数据库审计(评审项205)</w:t>
            </w:r>
          </w:p>
        </w:tc>
        <w:tc>
          <w:tcPr>
            <w:tcW w:w="5136" w:type="dxa"/>
            <w:tcBorders>
              <w:top w:val="nil"/>
              <w:left w:val="nil"/>
              <w:bottom w:val="single" w:color="000000" w:sz="4" w:space="0"/>
              <w:right w:val="single" w:color="000000" w:sz="4" w:space="0"/>
            </w:tcBorders>
            <w:tcMar>
              <w:top w:w="0" w:type="dxa"/>
              <w:left w:w="105" w:type="dxa"/>
              <w:bottom w:w="0" w:type="dxa"/>
              <w:right w:w="105" w:type="dxa"/>
            </w:tcMar>
            <w:vAlign w:val="top"/>
          </w:tcPr>
          <w:p w14:paraId="702E540D">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1、最大硬件吞吐量≥3Gbps，最大纯数据库流量≥400Mb/s，数据库实例个数无限制，SQL处理性能≥30000条SQL/s，日志检索性能≥600000条/秒。</w:t>
            </w:r>
            <w:r>
              <w:rPr>
                <w:rFonts w:hint="eastAsia" w:ascii="宋体" w:hAnsi="宋体" w:eastAsia="宋体" w:cs="宋体"/>
                <w:sz w:val="24"/>
                <w:szCs w:val="24"/>
              </w:rPr>
              <w:br w:type="textWrapping"/>
            </w:r>
            <w:r>
              <w:rPr>
                <w:rFonts w:hint="eastAsia" w:ascii="宋体" w:hAnsi="宋体" w:eastAsia="宋体" w:cs="宋体"/>
                <w:sz w:val="24"/>
                <w:szCs w:val="24"/>
              </w:rPr>
              <w:t>2、规格：2U，内存≥8G，≥6个1000M电口，≥4个光口和≥2个扩展槽；≥2个USB,≥1个COM口；采用国产化CPU，含软件升级及硬件质保服务。</w:t>
            </w:r>
            <w:r>
              <w:rPr>
                <w:rFonts w:hint="eastAsia" w:ascii="宋体" w:hAnsi="宋体" w:eastAsia="宋体" w:cs="宋体"/>
                <w:sz w:val="24"/>
                <w:szCs w:val="24"/>
              </w:rPr>
              <w:br w:type="textWrapping"/>
            </w:r>
            <w:r>
              <w:rPr>
                <w:rFonts w:hint="eastAsia" w:ascii="宋体" w:hAnsi="宋体" w:eastAsia="宋体" w:cs="宋体"/>
                <w:sz w:val="24"/>
                <w:szCs w:val="24"/>
              </w:rPr>
              <w:t>3.支持Oracle，MySQL，SQLServer，Sybase，Postgre，DB2，informix，GAUSSDB，GBASE8A，GBASE8S，神通（SHENTONG），人大金仓(KINGBASE)，达梦(DAMENG)，HIVE，Redis，HBASE，MongoDB，Cache，ClickHouse，TDsql，GreenPlum等数据库。</w:t>
            </w:r>
            <w:r>
              <w:rPr>
                <w:rFonts w:hint="eastAsia" w:ascii="宋体" w:hAnsi="宋体" w:eastAsia="宋体" w:cs="宋体"/>
                <w:sz w:val="24"/>
                <w:szCs w:val="24"/>
              </w:rPr>
              <w:br w:type="textWrapping"/>
            </w:r>
            <w:r>
              <w:rPr>
                <w:rFonts w:hint="eastAsia" w:ascii="宋体" w:hAnsi="宋体" w:eastAsia="宋体" w:cs="宋体"/>
                <w:sz w:val="24"/>
                <w:szCs w:val="24"/>
              </w:rPr>
              <w:t>4、支持旁路部署、多路部署、流量探针部署，兼顾传统网络环境、虚拟网络环境和混合环境下的数据采集。</w:t>
            </w:r>
            <w:r>
              <w:rPr>
                <w:rFonts w:hint="eastAsia" w:ascii="宋体" w:hAnsi="宋体" w:eastAsia="宋体" w:cs="宋体"/>
                <w:sz w:val="24"/>
                <w:szCs w:val="24"/>
              </w:rPr>
              <w:br w:type="textWrapping"/>
            </w:r>
            <w:r>
              <w:rPr>
                <w:rFonts w:hint="eastAsia" w:ascii="宋体" w:hAnsi="宋体" w:eastAsia="宋体" w:cs="宋体"/>
                <w:sz w:val="24"/>
                <w:szCs w:val="24"/>
              </w:rPr>
              <w:t>5、支持敏感数据发现，针对如手机号、身份证号、银行卡号、邮箱等不同类型的敏感数据进行掩码处理，避免敏感信息的二次泄露。</w:t>
            </w:r>
            <w:r>
              <w:rPr>
                <w:rFonts w:hint="eastAsia" w:ascii="宋体" w:hAnsi="宋体" w:eastAsia="宋体" w:cs="宋体"/>
                <w:sz w:val="24"/>
                <w:szCs w:val="24"/>
              </w:rPr>
              <w:br w:type="textWrapping"/>
            </w:r>
            <w:r>
              <w:rPr>
                <w:rFonts w:hint="eastAsia" w:ascii="宋体" w:hAnsi="宋体" w:eastAsia="宋体" w:cs="宋体"/>
                <w:sz w:val="24"/>
                <w:szCs w:val="24"/>
              </w:rPr>
              <w:t>6、支持最大7天的队列缓存机制应对数据库流量激增的问题，削峰填谷保障7天内的数据完整不丢失。</w:t>
            </w:r>
            <w:r>
              <w:rPr>
                <w:rFonts w:hint="eastAsia" w:ascii="宋体" w:hAnsi="宋体" w:eastAsia="宋体" w:cs="宋体"/>
                <w:sz w:val="24"/>
                <w:szCs w:val="24"/>
              </w:rPr>
              <w:br w:type="textWrapping"/>
            </w:r>
            <w:r>
              <w:rPr>
                <w:rFonts w:hint="eastAsia" w:ascii="宋体" w:hAnsi="宋体" w:eastAsia="宋体" w:cs="宋体"/>
                <w:sz w:val="24"/>
                <w:szCs w:val="24"/>
              </w:rPr>
              <w:t>7、内置SQLServer、Oracle、MySQL、db2这4类数据库的内置规则，实现对数据库暴力破解、truncatetable、删除用户等高危操作数据库风险行为和入侵行为的发现。</w:t>
            </w:r>
            <w:r>
              <w:rPr>
                <w:rFonts w:hint="eastAsia" w:ascii="宋体" w:hAnsi="宋体" w:eastAsia="宋体" w:cs="宋体"/>
                <w:sz w:val="24"/>
                <w:szCs w:val="24"/>
              </w:rPr>
              <w:br w:type="textWrapping"/>
            </w:r>
            <w:r>
              <w:rPr>
                <w:rFonts w:hint="eastAsia" w:ascii="宋体" w:hAnsi="宋体" w:eastAsia="宋体" w:cs="宋体"/>
                <w:sz w:val="24"/>
                <w:szCs w:val="24"/>
              </w:rPr>
              <w:t>8、支持系统自动探测发现数据库因子，实时展示用户数据库中突然出现的因子，是否提供面向全因子的检索能力。因子包括：终端名、应用程序名、实例名、数据库用户名、数据库名、数据表名和数据字段名。</w:t>
            </w:r>
            <w:r>
              <w:rPr>
                <w:rFonts w:hint="eastAsia" w:ascii="宋体" w:hAnsi="宋体" w:eastAsia="宋体" w:cs="宋体"/>
                <w:b/>
                <w:sz w:val="24"/>
                <w:szCs w:val="24"/>
              </w:rPr>
              <w:t>（投标人须提供测试报告进行佐证，测试报告中受检（或委托）单位须为相应产品的制造商或投标人）</w:t>
            </w:r>
          </w:p>
          <w:p w14:paraId="05B4BDBF">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9、支持纯IPV4环境、纯IPV6环境及IPV4与IPV6混杂环境下部署，支持纯IPV4环境、纯IPV6环境及IPV4与IPV6混杂环境下的数据库访问行为审计。</w:t>
            </w:r>
            <w:r>
              <w:rPr>
                <w:rFonts w:hint="eastAsia" w:ascii="宋体" w:hAnsi="宋体" w:eastAsia="宋体" w:cs="宋体"/>
                <w:sz w:val="24"/>
                <w:szCs w:val="24"/>
              </w:rPr>
              <w:br w:type="textWrapping"/>
            </w:r>
            <w:r>
              <w:rPr>
                <w:rFonts w:hint="eastAsia" w:ascii="宋体" w:hAnsi="宋体" w:eastAsia="宋体" w:cs="宋体"/>
                <w:sz w:val="24"/>
                <w:szCs w:val="24"/>
              </w:rPr>
              <w:t>10、支持双向审计，审计内容包括返回字段、执行结果、影响行数、执行时长、错误代码，并能够根据执行结果、影响行数、执行时长、错误代码设置审计策略。</w:t>
            </w:r>
            <w:r>
              <w:rPr>
                <w:rFonts w:hint="eastAsia" w:ascii="宋体" w:hAnsi="宋体" w:eastAsia="宋体" w:cs="宋体"/>
                <w:b/>
                <w:sz w:val="24"/>
                <w:szCs w:val="24"/>
              </w:rPr>
              <w:t>（投标人须提供测试报告进行佐证，测试报告中受检（或委托）单位须为相应产品的制造商或投标人）</w:t>
            </w:r>
          </w:p>
          <w:p w14:paraId="1062E18D">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11、支持对外提供基于API接口的数据支撑服务，为外部设备或平台提供分析数据，分析数据包括数据资产包、事件数据包、历史明细包、终端资产包、sql模板包等。</w:t>
            </w:r>
          </w:p>
          <w:p w14:paraId="0311FE6C">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12、支持发现风险行为或者建立安全行为列表，将符合告警规则但无需告警的数据库行为可疑程度改为安全，规则动作选择丢弃或者记录，不再触发规则，避免后续告警。</w:t>
            </w:r>
            <w:r>
              <w:rPr>
                <w:rFonts w:hint="eastAsia" w:ascii="宋体" w:hAnsi="宋体" w:eastAsia="宋体" w:cs="宋体"/>
                <w:b/>
                <w:sz w:val="24"/>
                <w:szCs w:val="24"/>
              </w:rPr>
              <w:t>（投标人须提供测试报告进行佐证，测试报告中受检（或委托）单位须为相应产品的制造商或投标人）</w:t>
            </w:r>
          </w:p>
        </w:tc>
        <w:tc>
          <w:tcPr>
            <w:tcW w:w="734" w:type="dxa"/>
            <w:tcBorders>
              <w:top w:val="nil"/>
              <w:left w:val="nil"/>
              <w:bottom w:val="single" w:color="000000" w:sz="4" w:space="0"/>
              <w:right w:val="single" w:color="000000" w:sz="4" w:space="0"/>
            </w:tcBorders>
            <w:tcMar>
              <w:top w:w="0" w:type="dxa"/>
              <w:left w:w="105" w:type="dxa"/>
              <w:bottom w:w="0" w:type="dxa"/>
              <w:right w:w="105" w:type="dxa"/>
            </w:tcMar>
            <w:vAlign w:val="top"/>
          </w:tcPr>
          <w:p w14:paraId="739459EE">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1</w:t>
            </w:r>
          </w:p>
        </w:tc>
        <w:tc>
          <w:tcPr>
            <w:tcW w:w="714" w:type="dxa"/>
            <w:tcBorders>
              <w:top w:val="nil"/>
              <w:left w:val="nil"/>
              <w:bottom w:val="single" w:color="000000" w:sz="4" w:space="0"/>
              <w:right w:val="single" w:color="000000" w:sz="4" w:space="0"/>
            </w:tcBorders>
            <w:tcMar>
              <w:top w:w="0" w:type="dxa"/>
              <w:left w:w="105" w:type="dxa"/>
              <w:bottom w:w="0" w:type="dxa"/>
              <w:right w:w="105" w:type="dxa"/>
            </w:tcMar>
            <w:vAlign w:val="top"/>
          </w:tcPr>
          <w:p w14:paraId="7C77D50B">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套</w:t>
            </w:r>
          </w:p>
        </w:tc>
      </w:tr>
      <w:tr w14:paraId="5519D142">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85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68E45D4A">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5</w:t>
            </w:r>
          </w:p>
        </w:tc>
        <w:tc>
          <w:tcPr>
            <w:tcW w:w="859" w:type="dxa"/>
            <w:tcBorders>
              <w:top w:val="nil"/>
              <w:left w:val="nil"/>
              <w:bottom w:val="single" w:color="000000" w:sz="4" w:space="0"/>
              <w:right w:val="single" w:color="000000" w:sz="4" w:space="0"/>
            </w:tcBorders>
            <w:tcMar>
              <w:top w:w="0" w:type="dxa"/>
              <w:left w:w="105" w:type="dxa"/>
              <w:bottom w:w="0" w:type="dxa"/>
              <w:right w:w="105" w:type="dxa"/>
            </w:tcMar>
            <w:vAlign w:val="top"/>
          </w:tcPr>
          <w:p w14:paraId="00BC3CCB">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sz w:val="24"/>
                <w:szCs w:val="24"/>
              </w:rPr>
              <w:t>内网主机杀毒软件(评审项206)</w:t>
            </w:r>
          </w:p>
        </w:tc>
        <w:tc>
          <w:tcPr>
            <w:tcW w:w="5136" w:type="dxa"/>
            <w:tcBorders>
              <w:top w:val="nil"/>
              <w:left w:val="nil"/>
              <w:bottom w:val="single" w:color="000000" w:sz="4" w:space="0"/>
              <w:right w:val="single" w:color="000000" w:sz="4" w:space="0"/>
            </w:tcBorders>
            <w:tcMar>
              <w:top w:w="0" w:type="dxa"/>
              <w:left w:w="105" w:type="dxa"/>
              <w:bottom w:w="0" w:type="dxa"/>
              <w:right w:w="105" w:type="dxa"/>
            </w:tcMar>
            <w:vAlign w:val="top"/>
          </w:tcPr>
          <w:p w14:paraId="5BA6DB00">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sz w:val="24"/>
                <w:szCs w:val="24"/>
              </w:rPr>
              <w:t>1、性能参数：提供服务器客户端授权≥100个，PC客户端授权≥800个，控制中心≥1个,含软件升级及规则库更新服务。</w:t>
            </w:r>
            <w:r>
              <w:rPr>
                <w:rFonts w:hint="eastAsia" w:ascii="宋体" w:hAnsi="宋体" w:eastAsia="宋体" w:cs="宋体"/>
                <w:sz w:val="24"/>
                <w:szCs w:val="24"/>
              </w:rPr>
              <w:br w:type="textWrapping"/>
            </w:r>
            <w:r>
              <w:rPr>
                <w:rFonts w:hint="eastAsia" w:ascii="宋体" w:hAnsi="宋体" w:eastAsia="宋体" w:cs="宋体"/>
                <w:sz w:val="24"/>
                <w:szCs w:val="24"/>
              </w:rPr>
              <w:t>2、支持对攻击事件深度分析，展示每步关键进程相关的文件行为、域名访问行为、进程操作行为、命令行参数等攻击相关的关键行为，帮助用户快速了解攻击者操作，洞悉目的和危害面。</w:t>
            </w:r>
            <w:r>
              <w:rPr>
                <w:rFonts w:hint="eastAsia" w:ascii="宋体" w:hAnsi="宋体" w:eastAsia="宋体" w:cs="宋体"/>
                <w:sz w:val="24"/>
                <w:szCs w:val="24"/>
              </w:rPr>
              <w:br w:type="textWrapping"/>
            </w:r>
            <w:r>
              <w:rPr>
                <w:rFonts w:hint="eastAsia" w:ascii="宋体" w:hAnsi="宋体" w:eastAsia="宋体" w:cs="宋体"/>
                <w:sz w:val="24"/>
                <w:szCs w:val="24"/>
              </w:rPr>
              <w:t>3、提供勒索病毒整体防护体系入口，包括已处置的恶意文件数量、已拦截可疑行为次数、已阻止的未知进程操作次数、已阻止的暴力破解攻击次数。</w:t>
            </w:r>
            <w:r>
              <w:rPr>
                <w:rFonts w:hint="eastAsia" w:ascii="宋体" w:hAnsi="宋体" w:eastAsia="宋体" w:cs="宋体"/>
                <w:sz w:val="24"/>
                <w:szCs w:val="24"/>
              </w:rPr>
              <w:br w:type="textWrapping"/>
            </w:r>
            <w:r>
              <w:rPr>
                <w:rFonts w:hint="eastAsia" w:ascii="宋体" w:hAnsi="宋体" w:eastAsia="宋体" w:cs="宋体"/>
                <w:sz w:val="24"/>
                <w:szCs w:val="24"/>
              </w:rPr>
              <w:t>4、符合网络安全等级保护2.0三级安全要求。</w:t>
            </w:r>
            <w:r>
              <w:rPr>
                <w:rFonts w:hint="eastAsia" w:ascii="宋体" w:hAnsi="宋体" w:eastAsia="宋体" w:cs="宋体"/>
                <w:sz w:val="24"/>
                <w:szCs w:val="24"/>
              </w:rPr>
              <w:br w:type="textWrapping"/>
            </w:r>
            <w:r>
              <w:rPr>
                <w:rFonts w:hint="eastAsia" w:ascii="宋体" w:hAnsi="宋体" w:eastAsia="宋体" w:cs="宋体"/>
                <w:sz w:val="24"/>
                <w:szCs w:val="24"/>
              </w:rPr>
              <w:t>5、≥5年病毒库授权升级及维保</w:t>
            </w:r>
          </w:p>
        </w:tc>
        <w:tc>
          <w:tcPr>
            <w:tcW w:w="734" w:type="dxa"/>
            <w:tcBorders>
              <w:top w:val="nil"/>
              <w:left w:val="nil"/>
              <w:bottom w:val="single" w:color="000000" w:sz="4" w:space="0"/>
              <w:right w:val="single" w:color="000000" w:sz="4" w:space="0"/>
            </w:tcBorders>
            <w:tcMar>
              <w:top w:w="0" w:type="dxa"/>
              <w:left w:w="105" w:type="dxa"/>
              <w:bottom w:w="0" w:type="dxa"/>
              <w:right w:w="105" w:type="dxa"/>
            </w:tcMar>
            <w:vAlign w:val="top"/>
          </w:tcPr>
          <w:p w14:paraId="0D61A448">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1</w:t>
            </w:r>
          </w:p>
        </w:tc>
        <w:tc>
          <w:tcPr>
            <w:tcW w:w="714" w:type="dxa"/>
            <w:tcBorders>
              <w:top w:val="nil"/>
              <w:left w:val="nil"/>
              <w:bottom w:val="single" w:color="000000" w:sz="4" w:space="0"/>
              <w:right w:val="single" w:color="000000" w:sz="4" w:space="0"/>
            </w:tcBorders>
            <w:tcMar>
              <w:top w:w="0" w:type="dxa"/>
              <w:left w:w="105" w:type="dxa"/>
              <w:bottom w:w="0" w:type="dxa"/>
              <w:right w:w="105" w:type="dxa"/>
            </w:tcMar>
            <w:vAlign w:val="top"/>
          </w:tcPr>
          <w:p w14:paraId="7B1F1BD3">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套</w:t>
            </w:r>
          </w:p>
        </w:tc>
      </w:tr>
      <w:tr w14:paraId="3742800F">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85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57E1617D">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6</w:t>
            </w:r>
          </w:p>
        </w:tc>
        <w:tc>
          <w:tcPr>
            <w:tcW w:w="859" w:type="dxa"/>
            <w:tcBorders>
              <w:top w:val="nil"/>
              <w:left w:val="nil"/>
              <w:bottom w:val="single" w:color="000000" w:sz="4" w:space="0"/>
              <w:right w:val="single" w:color="000000" w:sz="4" w:space="0"/>
            </w:tcBorders>
            <w:tcMar>
              <w:top w:w="0" w:type="dxa"/>
              <w:left w:w="105" w:type="dxa"/>
              <w:bottom w:w="0" w:type="dxa"/>
              <w:right w:w="105" w:type="dxa"/>
            </w:tcMar>
            <w:vAlign w:val="top"/>
          </w:tcPr>
          <w:p w14:paraId="1FFC5162">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sz w:val="24"/>
                <w:szCs w:val="24"/>
              </w:rPr>
              <w:t>漏洞扫描系统(评审项207)</w:t>
            </w:r>
          </w:p>
        </w:tc>
        <w:tc>
          <w:tcPr>
            <w:tcW w:w="5136" w:type="dxa"/>
            <w:tcBorders>
              <w:top w:val="nil"/>
              <w:left w:val="nil"/>
              <w:bottom w:val="single" w:color="000000" w:sz="4" w:space="0"/>
              <w:right w:val="single" w:color="000000" w:sz="4" w:space="0"/>
            </w:tcBorders>
            <w:tcMar>
              <w:top w:w="0" w:type="dxa"/>
              <w:left w:w="105" w:type="dxa"/>
              <w:bottom w:w="0" w:type="dxa"/>
              <w:right w:w="105" w:type="dxa"/>
            </w:tcMar>
            <w:vAlign w:val="top"/>
          </w:tcPr>
          <w:p w14:paraId="061902D9">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sz w:val="24"/>
                <w:szCs w:val="24"/>
              </w:rPr>
              <w:t>1、1U标准机架式设备，≥6个千兆电口，≥1个扩展槽，≥2个USB口，≥1个COM口；≥2T硬盘；默认支持系统漏洞扫描、WEB漏洞扫描、弱口令扫描、工控漏洞扫描；可扩展基线配置核查、数据库漏洞扫描、Docker扫描；最大可扫描IP数≥1280，最大可扫描网站数≥100；扫描任务并发≥10；</w:t>
            </w:r>
            <w:r>
              <w:rPr>
                <w:rFonts w:hint="eastAsia" w:ascii="宋体" w:hAnsi="宋体" w:eastAsia="宋体" w:cs="宋体"/>
                <w:sz w:val="24"/>
                <w:szCs w:val="24"/>
              </w:rPr>
              <w:br w:type="textWrapping"/>
            </w:r>
            <w:r>
              <w:rPr>
                <w:rFonts w:hint="eastAsia" w:ascii="宋体" w:hAnsi="宋体" w:eastAsia="宋体" w:cs="宋体"/>
                <w:sz w:val="24"/>
                <w:szCs w:val="24"/>
              </w:rPr>
              <w:t>2、部署方式支持独立部署、分布式部署、超融合部署、SAAS部署，SAAS化方式部署，授权管理，租户管理数据隔离</w:t>
            </w:r>
            <w:r>
              <w:rPr>
                <w:rFonts w:hint="eastAsia" w:ascii="宋体" w:hAnsi="宋体" w:eastAsia="宋体" w:cs="宋体"/>
                <w:sz w:val="24"/>
                <w:szCs w:val="24"/>
              </w:rPr>
              <w:br w:type="textWrapping"/>
            </w:r>
            <w:r>
              <w:rPr>
                <w:rFonts w:hint="eastAsia" w:ascii="宋体" w:hAnsi="宋体" w:eastAsia="宋体" w:cs="宋体"/>
                <w:sz w:val="24"/>
                <w:szCs w:val="24"/>
              </w:rPr>
              <w:t>3、支持部署在IPV4、IPV6环境下，且系统扫描、Web扫描、数据库扫描、弱口令扫描、基线配置核查等各类型任务均支持添加IPv6扫描目标</w:t>
            </w:r>
            <w:r>
              <w:rPr>
                <w:rFonts w:hint="eastAsia" w:ascii="宋体" w:hAnsi="宋体" w:eastAsia="宋体" w:cs="宋体"/>
                <w:sz w:val="24"/>
                <w:szCs w:val="24"/>
              </w:rPr>
              <w:br w:type="textWrapping"/>
            </w:r>
            <w:r>
              <w:rPr>
                <w:rFonts w:hint="eastAsia" w:ascii="宋体" w:hAnsi="宋体" w:eastAsia="宋体" w:cs="宋体"/>
                <w:sz w:val="24"/>
                <w:szCs w:val="24"/>
              </w:rPr>
              <w:t>4、支持市面主流Windows/Linux操作系统、安全设备、网络设备、中间件、数据库、大数据组件等设备对象的脆弱性扫描；支持资产状态检测</w:t>
            </w:r>
            <w:r>
              <w:rPr>
                <w:rFonts w:hint="eastAsia" w:ascii="宋体" w:hAnsi="宋体" w:eastAsia="宋体" w:cs="宋体"/>
                <w:sz w:val="24"/>
                <w:szCs w:val="24"/>
              </w:rPr>
              <w:br w:type="textWrapping"/>
            </w:r>
            <w:r>
              <w:rPr>
                <w:rFonts w:hint="eastAsia" w:ascii="宋体" w:hAnsi="宋体" w:eastAsia="宋体" w:cs="宋体"/>
                <w:sz w:val="24"/>
                <w:szCs w:val="24"/>
              </w:rPr>
              <w:t>5、支持主机漏洞扫描、WEB漏洞扫描、数据库漏洞扫描、工控漏洞扫描、POC扫描、基线检查、弱口令扫描等多个漏洞扫描能力。能够检测出IT资产开放的账号、端口、服务信息</w:t>
            </w:r>
            <w:r>
              <w:rPr>
                <w:rFonts w:hint="eastAsia" w:ascii="宋体" w:hAnsi="宋体" w:eastAsia="宋体" w:cs="宋体"/>
                <w:sz w:val="24"/>
                <w:szCs w:val="24"/>
              </w:rPr>
              <w:br w:type="textWrapping"/>
            </w:r>
            <w:r>
              <w:rPr>
                <w:rFonts w:hint="eastAsia" w:ascii="宋体" w:hAnsi="宋体" w:eastAsia="宋体" w:cs="宋体"/>
                <w:sz w:val="24"/>
                <w:szCs w:val="24"/>
              </w:rPr>
              <w:t>6、支持超过70个漏洞分类，漏洞库积累超过20w，扫描结果中展示漏洞信息名称、分类、风险级别、CVSS评分、CVE编号、漏洞描述、解决方案、引用信息、扫描过程数据等信息</w:t>
            </w:r>
            <w:r>
              <w:rPr>
                <w:rFonts w:hint="eastAsia" w:ascii="宋体" w:hAnsi="宋体" w:eastAsia="宋体" w:cs="宋体"/>
                <w:sz w:val="24"/>
                <w:szCs w:val="24"/>
              </w:rPr>
              <w:br w:type="textWrapping"/>
            </w:r>
            <w:r>
              <w:rPr>
                <w:rFonts w:hint="eastAsia" w:ascii="宋体" w:hAnsi="宋体" w:eastAsia="宋体" w:cs="宋体"/>
                <w:sz w:val="24"/>
                <w:szCs w:val="24"/>
              </w:rPr>
              <w:t>7、支持多种扫描方式包括：单IP扫描、多IP扫描、IP段扫描、子网扫描、域名扫描等多种扫描方式；支持单次扫描和周期性扫描</w:t>
            </w:r>
            <w:r>
              <w:rPr>
                <w:rFonts w:hint="eastAsia" w:ascii="宋体" w:hAnsi="宋体" w:eastAsia="宋体" w:cs="宋体"/>
                <w:sz w:val="24"/>
                <w:szCs w:val="24"/>
              </w:rPr>
              <w:br w:type="textWrapping"/>
            </w:r>
            <w:r>
              <w:rPr>
                <w:rFonts w:hint="eastAsia" w:ascii="宋体" w:hAnsi="宋体" w:eastAsia="宋体" w:cs="宋体"/>
                <w:sz w:val="24"/>
                <w:szCs w:val="24"/>
              </w:rPr>
              <w:t>8、支持多种资产探活方式配置包括：ICMPPing、TCPConnect、TCPSYN、ARPPing；</w:t>
            </w:r>
            <w:r>
              <w:rPr>
                <w:rFonts w:hint="eastAsia" w:ascii="宋体" w:hAnsi="宋体" w:eastAsia="宋体" w:cs="宋体"/>
                <w:sz w:val="24"/>
                <w:szCs w:val="24"/>
              </w:rPr>
              <w:br w:type="textWrapping"/>
            </w:r>
            <w:r>
              <w:rPr>
                <w:rFonts w:hint="eastAsia" w:ascii="宋体" w:hAnsi="宋体" w:eastAsia="宋体" w:cs="宋体"/>
                <w:sz w:val="24"/>
                <w:szCs w:val="24"/>
              </w:rPr>
              <w:t>9、支持扫描参数配置包括：任务优先级、并发主机数、并发插件数、手动开启、停止扫描、任务多次扫描、多任务同时扫描等</w:t>
            </w:r>
            <w:r>
              <w:rPr>
                <w:rFonts w:hint="eastAsia" w:ascii="宋体" w:hAnsi="宋体" w:eastAsia="宋体" w:cs="宋体"/>
                <w:sz w:val="24"/>
                <w:szCs w:val="24"/>
              </w:rPr>
              <w:br w:type="textWrapping"/>
            </w:r>
            <w:r>
              <w:rPr>
                <w:rFonts w:hint="eastAsia" w:ascii="宋体" w:hAnsi="宋体" w:eastAsia="宋体" w:cs="宋体"/>
                <w:sz w:val="24"/>
                <w:szCs w:val="24"/>
              </w:rPr>
              <w:t>10、支持SSH、TELNET、FTP、SMB、SNMP协议的弱口令扫描</w:t>
            </w:r>
          </w:p>
        </w:tc>
        <w:tc>
          <w:tcPr>
            <w:tcW w:w="734" w:type="dxa"/>
            <w:tcBorders>
              <w:top w:val="nil"/>
              <w:left w:val="nil"/>
              <w:bottom w:val="single" w:color="000000" w:sz="4" w:space="0"/>
              <w:right w:val="single" w:color="000000" w:sz="4" w:space="0"/>
            </w:tcBorders>
            <w:tcMar>
              <w:top w:w="0" w:type="dxa"/>
              <w:left w:w="105" w:type="dxa"/>
              <w:bottom w:w="0" w:type="dxa"/>
              <w:right w:w="105" w:type="dxa"/>
            </w:tcMar>
            <w:vAlign w:val="top"/>
          </w:tcPr>
          <w:p w14:paraId="014B50CB">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1</w:t>
            </w:r>
          </w:p>
        </w:tc>
        <w:tc>
          <w:tcPr>
            <w:tcW w:w="714" w:type="dxa"/>
            <w:tcBorders>
              <w:top w:val="nil"/>
              <w:left w:val="nil"/>
              <w:bottom w:val="single" w:color="000000" w:sz="4" w:space="0"/>
              <w:right w:val="single" w:color="000000" w:sz="4" w:space="0"/>
            </w:tcBorders>
            <w:tcMar>
              <w:top w:w="0" w:type="dxa"/>
              <w:left w:w="105" w:type="dxa"/>
              <w:bottom w:w="0" w:type="dxa"/>
              <w:right w:w="105" w:type="dxa"/>
            </w:tcMar>
            <w:vAlign w:val="top"/>
          </w:tcPr>
          <w:p w14:paraId="021D710F">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套</w:t>
            </w:r>
          </w:p>
        </w:tc>
      </w:tr>
      <w:tr w14:paraId="233BF477">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85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604A0236">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7</w:t>
            </w:r>
          </w:p>
        </w:tc>
        <w:tc>
          <w:tcPr>
            <w:tcW w:w="859" w:type="dxa"/>
            <w:tcBorders>
              <w:top w:val="nil"/>
              <w:left w:val="nil"/>
              <w:bottom w:val="single" w:color="000000" w:sz="4" w:space="0"/>
              <w:right w:val="single" w:color="000000" w:sz="4" w:space="0"/>
            </w:tcBorders>
            <w:tcMar>
              <w:top w:w="0" w:type="dxa"/>
              <w:left w:w="105" w:type="dxa"/>
              <w:bottom w:w="0" w:type="dxa"/>
              <w:right w:w="105" w:type="dxa"/>
            </w:tcMar>
            <w:vAlign w:val="top"/>
          </w:tcPr>
          <w:p w14:paraId="27798D39">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sz w:val="24"/>
                <w:szCs w:val="24"/>
              </w:rPr>
              <w:t>内网态势感知系统(评审项208)</w:t>
            </w:r>
          </w:p>
        </w:tc>
        <w:tc>
          <w:tcPr>
            <w:tcW w:w="5136" w:type="dxa"/>
            <w:tcBorders>
              <w:top w:val="nil"/>
              <w:left w:val="nil"/>
              <w:bottom w:val="single" w:color="000000" w:sz="4" w:space="0"/>
              <w:right w:val="single" w:color="000000" w:sz="4" w:space="0"/>
            </w:tcBorders>
            <w:tcMar>
              <w:top w:w="0" w:type="dxa"/>
              <w:left w:w="105" w:type="dxa"/>
              <w:bottom w:w="0" w:type="dxa"/>
              <w:right w:w="105" w:type="dxa"/>
            </w:tcMar>
            <w:vAlign w:val="top"/>
          </w:tcPr>
          <w:p w14:paraId="5F14B09D">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sz w:val="24"/>
                <w:szCs w:val="24"/>
              </w:rPr>
              <w:t>1、规格：2U，CPU≥2颗国产化CPU，内存≥128GB，标配≥2*480GB 硬盘，≥3*4T硬盘配置Raid5，配置≥4*GE千兆电口，≥2个扩展槽，冗余电源；事件入库性能≥5000条/秒；业务流量分析能力≥吞吐4-12Gbps；≥3年情报升级；</w:t>
            </w:r>
            <w:r>
              <w:rPr>
                <w:rFonts w:hint="eastAsia" w:ascii="宋体" w:hAnsi="宋体" w:eastAsia="宋体" w:cs="宋体"/>
                <w:sz w:val="24"/>
                <w:szCs w:val="24"/>
              </w:rPr>
              <w:br w:type="textWrapping"/>
            </w:r>
            <w:r>
              <w:rPr>
                <w:rFonts w:hint="eastAsia" w:ascii="宋体" w:hAnsi="宋体" w:eastAsia="宋体" w:cs="宋体"/>
                <w:sz w:val="24"/>
                <w:szCs w:val="24"/>
              </w:rPr>
              <w:t>2、支持安全态势的可视化呈现，以大屏的方式从综合安全感知、安全事件态势、脆弱性态势、外联风险监控、资产监控大屏大屏等大屏展示界面。</w:t>
            </w:r>
            <w:r>
              <w:rPr>
                <w:rFonts w:hint="eastAsia" w:ascii="宋体" w:hAnsi="宋体" w:eastAsia="宋体" w:cs="宋体"/>
                <w:sz w:val="24"/>
                <w:szCs w:val="24"/>
              </w:rPr>
              <w:br w:type="textWrapping"/>
            </w:r>
            <w:r>
              <w:rPr>
                <w:rFonts w:hint="eastAsia" w:ascii="宋体" w:hAnsi="宋体" w:eastAsia="宋体" w:cs="宋体"/>
                <w:sz w:val="24"/>
                <w:szCs w:val="24"/>
              </w:rPr>
              <w:t>3、支持流量实时识别漏洞分析，支持资产类型和脆弱性等级筛选，支持展示漏洞严重等级分布、影响资产组织TOP，支持显示漏洞详情，包括主机信息、漏洞信息、风险描述、数据包举证以及防护建议等，并支持导出脆弱性感知报告。</w:t>
            </w:r>
            <w:r>
              <w:rPr>
                <w:rFonts w:hint="eastAsia" w:ascii="宋体" w:hAnsi="宋体" w:eastAsia="宋体" w:cs="宋体"/>
                <w:sz w:val="24"/>
                <w:szCs w:val="24"/>
              </w:rPr>
              <w:br w:type="textWrapping"/>
            </w:r>
            <w:r>
              <w:rPr>
                <w:rFonts w:hint="eastAsia" w:ascii="宋体" w:hAnsi="宋体" w:eastAsia="宋体" w:cs="宋体"/>
                <w:sz w:val="24"/>
                <w:szCs w:val="24"/>
              </w:rPr>
              <w:t>4、支持内外网资产暴露面分析，平台支持主动扫描探测，探测资产内网端口和互联网端口开放分布情况，便于了解业务系统端口开放情况，及时关闭不必要端口以减少攻击暴露面。</w:t>
            </w:r>
            <w:r>
              <w:rPr>
                <w:rFonts w:hint="eastAsia" w:ascii="宋体" w:hAnsi="宋体" w:eastAsia="宋体" w:cs="宋体"/>
                <w:sz w:val="24"/>
                <w:szCs w:val="24"/>
              </w:rPr>
              <w:br w:type="textWrapping"/>
            </w:r>
            <w:r>
              <w:rPr>
                <w:rFonts w:hint="eastAsia" w:ascii="宋体" w:hAnsi="宋体" w:eastAsia="宋体" w:cs="宋体"/>
                <w:sz w:val="24"/>
                <w:szCs w:val="24"/>
              </w:rPr>
              <w:t>5、支持按照时间维度展示外联事件总数，包括对外攻击、违规访问、C&amp;C通信、可疑行为、隐蔽通信，支持展示外联资产、外联终端数，支持按照国内/国外地图展示Top10资产或者终端外联，支持展示异常外联趋势、异常外联事件列表。</w:t>
            </w:r>
            <w:r>
              <w:rPr>
                <w:rFonts w:hint="eastAsia" w:ascii="宋体" w:hAnsi="宋体" w:eastAsia="宋体" w:cs="宋体"/>
                <w:sz w:val="24"/>
                <w:szCs w:val="24"/>
              </w:rPr>
              <w:br w:type="textWrapping"/>
            </w:r>
            <w:r>
              <w:rPr>
                <w:rFonts w:hint="eastAsia" w:ascii="宋体" w:hAnsi="宋体" w:eastAsia="宋体" w:cs="宋体"/>
                <w:sz w:val="24"/>
                <w:szCs w:val="24"/>
              </w:rPr>
              <w:t>6、支持基于攻击链条和回溯链条进行前置和后继深层次的全景攻击链溯源，展现风险资产和风险用户的威胁感染和传播路径，实现威胁可视化。</w:t>
            </w:r>
            <w:r>
              <w:rPr>
                <w:rFonts w:hint="eastAsia" w:ascii="宋体" w:hAnsi="宋体" w:eastAsia="宋体" w:cs="宋体"/>
                <w:b/>
                <w:sz w:val="24"/>
                <w:szCs w:val="24"/>
              </w:rPr>
              <w:t>（投标人须提供测试报告进行佐证，测试报告中受检（或委托）单位须为相应产品的制造商或投标人）</w:t>
            </w:r>
          </w:p>
          <w:p w14:paraId="7A61746E">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sz w:val="24"/>
                <w:szCs w:val="24"/>
              </w:rPr>
              <w:t>7、支持展示攻击阶段分布情况，支持按照扫描侦察、入侵、命令控制、横向渗透、网络黑产、数据盗取、系统破坏攻击链显示整网安全事件所处的攻击阶段；对单个风险资产/用户统计该资产的安全事件所处的攻击阶段。</w:t>
            </w:r>
            <w:r>
              <w:rPr>
                <w:rFonts w:hint="eastAsia" w:ascii="宋体" w:hAnsi="宋体" w:eastAsia="宋体" w:cs="宋体"/>
                <w:sz w:val="24"/>
                <w:szCs w:val="24"/>
              </w:rPr>
              <w:br w:type="textWrapping"/>
            </w:r>
            <w:r>
              <w:rPr>
                <w:rFonts w:hint="eastAsia" w:ascii="宋体" w:hAnsi="宋体" w:eastAsia="宋体" w:cs="宋体"/>
                <w:sz w:val="24"/>
                <w:szCs w:val="24"/>
              </w:rPr>
              <w:t>▲8、产品采用基于机器学习的网络安全态势感知技术,支持展示出全部安全事件，包括通过关联分析引擎、机器学习引擎、威胁情报等不同方式产生的事件；支持展示事件首次发生时间、最近发生时间、事件名称、事件描述、事件等级、事件关注点、源IP、目的IP、攻击阶段、失陷状态、攻击载荷、攻击ID、响应码等信息。（须提供基于机器学习的网络安全态势感知技术的相关证明材料，包括相关证书复印件</w:t>
            </w:r>
            <w:r>
              <w:rPr>
                <w:rFonts w:hint="eastAsia" w:ascii="宋体" w:hAnsi="宋体" w:eastAsia="宋体" w:cs="宋体"/>
                <w:b/>
                <w:sz w:val="24"/>
                <w:szCs w:val="24"/>
              </w:rPr>
              <w:t>及检测报告进行佐证，检测报告中受检（或委托）单位须为相应产品的制造商或投标人</w:t>
            </w:r>
            <w:r>
              <w:rPr>
                <w:rFonts w:hint="eastAsia" w:ascii="宋体" w:hAnsi="宋体" w:eastAsia="宋体" w:cs="宋体"/>
                <w:sz w:val="24"/>
                <w:szCs w:val="24"/>
              </w:rPr>
              <w:t>）</w:t>
            </w:r>
          </w:p>
          <w:p w14:paraId="2319DF73">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sz w:val="24"/>
                <w:szCs w:val="24"/>
              </w:rPr>
              <w:t>9、支持展示对应安全事件能够导致的风险危害，掌握事件原理，了解危害结果；并支持对风险危害自定义内容修改。</w:t>
            </w:r>
            <w:r>
              <w:rPr>
                <w:rFonts w:hint="eastAsia" w:ascii="宋体" w:hAnsi="宋体" w:eastAsia="宋体" w:cs="宋体"/>
                <w:sz w:val="24"/>
                <w:szCs w:val="24"/>
              </w:rPr>
              <w:br w:type="textWrapping"/>
            </w:r>
            <w:r>
              <w:rPr>
                <w:rFonts w:hint="eastAsia" w:ascii="宋体" w:hAnsi="宋体" w:eastAsia="宋体" w:cs="宋体"/>
                <w:sz w:val="24"/>
                <w:szCs w:val="24"/>
              </w:rPr>
              <w:t>流量探针：</w:t>
            </w:r>
            <w:r>
              <w:rPr>
                <w:rFonts w:hint="eastAsia" w:ascii="宋体" w:hAnsi="宋体" w:eastAsia="宋体" w:cs="宋体"/>
                <w:sz w:val="24"/>
                <w:szCs w:val="24"/>
              </w:rPr>
              <w:br w:type="textWrapping"/>
            </w:r>
            <w:r>
              <w:rPr>
                <w:rFonts w:hint="eastAsia" w:ascii="宋体" w:hAnsi="宋体" w:eastAsia="宋体" w:cs="宋体"/>
                <w:sz w:val="24"/>
                <w:szCs w:val="24"/>
              </w:rPr>
              <w:t>1、标准1U机架式设备，配置国产处理器，内存≥16G，≥2T硬盘，配置≥8*GE千兆电口，≥8个千兆光口，4个万兆光口，≥1个扩展槽，单电源；吞吐量（全威胁应用层吞吐）≥8Gbps，至少包含3年特征升级授权。</w:t>
            </w:r>
            <w:r>
              <w:rPr>
                <w:rFonts w:hint="eastAsia" w:ascii="宋体" w:hAnsi="宋体" w:eastAsia="宋体" w:cs="宋体"/>
                <w:sz w:val="24"/>
                <w:szCs w:val="24"/>
              </w:rPr>
              <w:br w:type="textWrapping"/>
            </w:r>
            <w:r>
              <w:rPr>
                <w:rFonts w:hint="eastAsia" w:ascii="宋体" w:hAnsi="宋体" w:eastAsia="宋体" w:cs="宋体"/>
                <w:sz w:val="24"/>
                <w:szCs w:val="24"/>
              </w:rPr>
              <w:t>2、通用攻击规则库无法完全满足安全防护的需求，可以根据自己网络实际环境情况，自定义去构建特征,指定特征协议字段、匹配模式、匹配内容、检测深度、偏移量等内容。</w:t>
            </w:r>
            <w:r>
              <w:rPr>
                <w:rFonts w:hint="eastAsia" w:ascii="宋体" w:hAnsi="宋体" w:eastAsia="宋体" w:cs="宋体"/>
                <w:sz w:val="24"/>
                <w:szCs w:val="24"/>
              </w:rPr>
              <w:br w:type="textWrapping"/>
            </w:r>
            <w:r>
              <w:rPr>
                <w:rFonts w:hint="eastAsia" w:ascii="宋体" w:hAnsi="宋体" w:eastAsia="宋体" w:cs="宋体"/>
                <w:sz w:val="24"/>
                <w:szCs w:val="24"/>
              </w:rPr>
              <w:t>3、为了防止敏感数据泄露，支持对传输的文件和内容进行识别过滤，比如对身份证、信用卡、银行卡、社会安全卡号等类型数据进行匹配，同时支持自定义敏感数据。</w:t>
            </w:r>
            <w:r>
              <w:rPr>
                <w:rFonts w:hint="eastAsia" w:ascii="宋体" w:hAnsi="宋体" w:eastAsia="宋体" w:cs="宋体"/>
                <w:sz w:val="24"/>
                <w:szCs w:val="24"/>
              </w:rPr>
              <w:br w:type="textWrapping"/>
            </w:r>
            <w:r>
              <w:rPr>
                <w:rFonts w:hint="eastAsia" w:ascii="宋体" w:hAnsi="宋体" w:eastAsia="宋体" w:cs="宋体"/>
                <w:sz w:val="24"/>
                <w:szCs w:val="24"/>
              </w:rPr>
              <w:t>4、为了保证业务系统的正常运行，流量探针具备独立的C&amp;C检测引擎，能够自定义C&amp;C检测规则，包括自定义请求方法（get、post、head、put、delete、connect）、防护路径、请求速率、请求集中度、原始IP检测等。</w:t>
            </w:r>
            <w:r>
              <w:rPr>
                <w:rFonts w:hint="eastAsia" w:ascii="宋体" w:hAnsi="宋体" w:eastAsia="宋体" w:cs="宋体"/>
                <w:sz w:val="24"/>
                <w:szCs w:val="24"/>
              </w:rPr>
              <w:br w:type="textWrapping"/>
            </w:r>
            <w:r>
              <w:rPr>
                <w:rFonts w:hint="eastAsia" w:ascii="宋体" w:hAnsi="宋体" w:eastAsia="宋体" w:cs="宋体"/>
                <w:sz w:val="24"/>
                <w:szCs w:val="24"/>
              </w:rPr>
              <w:t>5、基于应用协议识别对各类聊天软件进行详细审计，可审计应用类型（如QQ、微信），应用识别账号，应用行为（如登录、发送消息、接收消息）等。</w:t>
            </w:r>
            <w:r>
              <w:rPr>
                <w:rFonts w:hint="eastAsia" w:ascii="宋体" w:hAnsi="宋体" w:eastAsia="宋体" w:cs="宋体"/>
                <w:sz w:val="24"/>
                <w:szCs w:val="24"/>
              </w:rPr>
              <w:br w:type="textWrapping"/>
            </w:r>
            <w:r>
              <w:rPr>
                <w:rFonts w:hint="eastAsia" w:ascii="宋体" w:hAnsi="宋体" w:eastAsia="宋体" w:cs="宋体"/>
                <w:sz w:val="24"/>
                <w:szCs w:val="24"/>
              </w:rPr>
              <w:t>6、为了防止攻击者利用常见网络协议进行攻击，要求流量探针不仅能够识别P2P、IM、流媒体、网络社区、游戏等常见网络协议，协议至少包括迅雷、BT、电驴等多进程下载协议；支持暴风影音、百度视频、风行、芒果TV等P2P应用， 以及MSN、QQ、ICQ、Skype等IM应用，电影天堂、1905电影网、多米音乐、ESPN、华数TV等娱乐平台，而且能够对协议流量里的漏洞、恶意软件利用、传输文件等进行检测，给出风险级别判定结果。</w:t>
            </w:r>
          </w:p>
        </w:tc>
        <w:tc>
          <w:tcPr>
            <w:tcW w:w="734" w:type="dxa"/>
            <w:tcBorders>
              <w:top w:val="nil"/>
              <w:left w:val="nil"/>
              <w:bottom w:val="single" w:color="000000" w:sz="4" w:space="0"/>
              <w:right w:val="single" w:color="000000" w:sz="4" w:space="0"/>
            </w:tcBorders>
            <w:tcMar>
              <w:top w:w="0" w:type="dxa"/>
              <w:left w:w="105" w:type="dxa"/>
              <w:bottom w:w="0" w:type="dxa"/>
              <w:right w:w="105" w:type="dxa"/>
            </w:tcMar>
            <w:vAlign w:val="top"/>
          </w:tcPr>
          <w:p w14:paraId="69D008EF">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1</w:t>
            </w:r>
          </w:p>
        </w:tc>
        <w:tc>
          <w:tcPr>
            <w:tcW w:w="714" w:type="dxa"/>
            <w:tcBorders>
              <w:top w:val="nil"/>
              <w:left w:val="nil"/>
              <w:bottom w:val="single" w:color="000000" w:sz="4" w:space="0"/>
              <w:right w:val="single" w:color="000000" w:sz="4" w:space="0"/>
            </w:tcBorders>
            <w:tcMar>
              <w:top w:w="0" w:type="dxa"/>
              <w:left w:w="105" w:type="dxa"/>
              <w:bottom w:w="0" w:type="dxa"/>
              <w:right w:w="105" w:type="dxa"/>
            </w:tcMar>
            <w:vAlign w:val="top"/>
          </w:tcPr>
          <w:p w14:paraId="46648670">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套</w:t>
            </w:r>
          </w:p>
        </w:tc>
      </w:tr>
      <w:tr w14:paraId="21B67FC5">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85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00302188">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8</w:t>
            </w:r>
          </w:p>
        </w:tc>
        <w:tc>
          <w:tcPr>
            <w:tcW w:w="859" w:type="dxa"/>
            <w:tcBorders>
              <w:top w:val="nil"/>
              <w:left w:val="nil"/>
              <w:bottom w:val="single" w:color="000000" w:sz="4" w:space="0"/>
              <w:right w:val="single" w:color="000000" w:sz="4" w:space="0"/>
            </w:tcBorders>
            <w:tcMar>
              <w:top w:w="0" w:type="dxa"/>
              <w:left w:w="105" w:type="dxa"/>
              <w:bottom w:w="0" w:type="dxa"/>
              <w:right w:w="105" w:type="dxa"/>
            </w:tcMar>
            <w:vAlign w:val="top"/>
          </w:tcPr>
          <w:p w14:paraId="5E546002">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sz w:val="24"/>
                <w:szCs w:val="24"/>
              </w:rPr>
              <w:t>上网行为管理(评审项209)</w:t>
            </w:r>
          </w:p>
        </w:tc>
        <w:tc>
          <w:tcPr>
            <w:tcW w:w="5136" w:type="dxa"/>
            <w:tcBorders>
              <w:top w:val="nil"/>
              <w:left w:val="nil"/>
              <w:bottom w:val="single" w:color="000000" w:sz="4" w:space="0"/>
              <w:right w:val="single" w:color="000000" w:sz="4" w:space="0"/>
            </w:tcBorders>
            <w:tcMar>
              <w:top w:w="0" w:type="dxa"/>
              <w:left w:w="105" w:type="dxa"/>
              <w:bottom w:w="0" w:type="dxa"/>
              <w:right w:w="105" w:type="dxa"/>
            </w:tcMar>
            <w:vAlign w:val="top"/>
          </w:tcPr>
          <w:p w14:paraId="3AAB3FCB">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sz w:val="24"/>
                <w:szCs w:val="24"/>
              </w:rPr>
              <w:t>1、性能参数：带宽≥1200M，适用用户数≥4000人，网络吞吐量≥10G，最大并发连接数≥300万，每秒最大新建连接数≥60000。</w:t>
            </w:r>
            <w:r>
              <w:rPr>
                <w:rFonts w:hint="eastAsia" w:ascii="宋体" w:hAnsi="宋体" w:eastAsia="宋体" w:cs="宋体"/>
                <w:sz w:val="24"/>
                <w:szCs w:val="24"/>
              </w:rPr>
              <w:br w:type="textWrapping"/>
            </w:r>
            <w:r>
              <w:rPr>
                <w:rFonts w:hint="eastAsia" w:ascii="宋体" w:hAnsi="宋体" w:eastAsia="宋体" w:cs="宋体"/>
                <w:sz w:val="24"/>
                <w:szCs w:val="24"/>
              </w:rPr>
              <w:t>2、硬件参数：规格≥1U，国产处理器，国产操作系统，标准配置≥6个千兆电口，≥4个千兆光口，≥2个扩展槽；≥4T硬盘；冗余电源。</w:t>
            </w:r>
            <w:r>
              <w:rPr>
                <w:rFonts w:hint="eastAsia" w:ascii="宋体" w:hAnsi="宋体" w:eastAsia="宋体" w:cs="宋体"/>
                <w:sz w:val="24"/>
                <w:szCs w:val="24"/>
              </w:rPr>
              <w:br w:type="textWrapping"/>
            </w:r>
            <w:r>
              <w:rPr>
                <w:rFonts w:hint="eastAsia" w:ascii="宋体" w:hAnsi="宋体" w:eastAsia="宋体" w:cs="宋体"/>
                <w:sz w:val="24"/>
                <w:szCs w:val="24"/>
              </w:rPr>
              <w:t>3、支持网络故障排查，具有PPS异常、丢包异常、ARP异常、内网DOS攻击等异常情况实时监测。</w:t>
            </w:r>
            <w:r>
              <w:rPr>
                <w:rFonts w:hint="eastAsia" w:ascii="宋体" w:hAnsi="宋体" w:eastAsia="宋体" w:cs="宋体"/>
                <w:sz w:val="24"/>
                <w:szCs w:val="24"/>
              </w:rPr>
              <w:br w:type="textWrapping"/>
            </w:r>
            <w:r>
              <w:rPr>
                <w:rFonts w:hint="eastAsia" w:ascii="宋体" w:hAnsi="宋体" w:eastAsia="宋体" w:cs="宋体"/>
                <w:sz w:val="24"/>
                <w:szCs w:val="24"/>
              </w:rPr>
              <w:t>4、内置应用识别规则库，具有超过9000种以上应用规则数、具有超过6000种以上的应用。</w:t>
            </w:r>
            <w:r>
              <w:rPr>
                <w:rFonts w:hint="eastAsia" w:ascii="宋体" w:hAnsi="宋体" w:eastAsia="宋体" w:cs="宋体"/>
                <w:sz w:val="24"/>
                <w:szCs w:val="24"/>
              </w:rPr>
              <w:br w:type="textWrapping"/>
            </w:r>
            <w:r>
              <w:rPr>
                <w:rFonts w:hint="eastAsia" w:ascii="宋体" w:hAnsi="宋体" w:eastAsia="宋体" w:cs="宋体"/>
                <w:sz w:val="24"/>
                <w:szCs w:val="24"/>
              </w:rPr>
              <w:t>5、对网络共享行为进行检测，并把共享IP加入黑名单；支持详细的告警功能，包含管理员操作日志、设备状态、违规搜索、违规网站、违规帖子、违规文件上传、违规邮件发送以及潜在危害的行为告警。</w:t>
            </w:r>
          </w:p>
          <w:p w14:paraId="7B16B365">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sz w:val="24"/>
                <w:szCs w:val="24"/>
              </w:rPr>
              <w:t>6、可通过策略对IP或用户进行白名单的控制，符合白名单规则的IP或用户不做行为控制和审计。</w:t>
            </w:r>
            <w:r>
              <w:rPr>
                <w:rFonts w:hint="eastAsia" w:ascii="宋体" w:hAnsi="宋体" w:eastAsia="宋体" w:cs="宋体"/>
                <w:sz w:val="24"/>
                <w:szCs w:val="24"/>
              </w:rPr>
              <w:br w:type="textWrapping"/>
            </w:r>
            <w:r>
              <w:rPr>
                <w:rFonts w:hint="eastAsia" w:ascii="宋体" w:hAnsi="宋体" w:eastAsia="宋体" w:cs="宋体"/>
                <w:sz w:val="24"/>
                <w:szCs w:val="24"/>
              </w:rPr>
              <w:t>7、可自定义基于协议和端口的对象，可根据协议、端口、报文长度、报文特征、目的IP等信息自定义特征识别规则。</w:t>
            </w:r>
            <w:r>
              <w:rPr>
                <w:rFonts w:hint="eastAsia" w:ascii="宋体" w:hAnsi="宋体" w:eastAsia="宋体" w:cs="宋体"/>
                <w:sz w:val="24"/>
                <w:szCs w:val="24"/>
              </w:rPr>
              <w:br w:type="textWrapping"/>
            </w:r>
            <w:r>
              <w:rPr>
                <w:rFonts w:hint="eastAsia" w:ascii="宋体" w:hAnsi="宋体" w:eastAsia="宋体" w:cs="宋体"/>
                <w:sz w:val="24"/>
                <w:szCs w:val="24"/>
              </w:rPr>
              <w:t>8、支持将特殊协议（如L2TP、GRE、LWAPP、CAPWAP等）的协议头剥离掉，对特殊协议封装内的原始数据进行认证、审计和控制。</w:t>
            </w:r>
            <w:r>
              <w:rPr>
                <w:rFonts w:hint="eastAsia" w:ascii="宋体" w:hAnsi="宋体" w:eastAsia="宋体" w:cs="宋体"/>
                <w:sz w:val="24"/>
                <w:szCs w:val="24"/>
              </w:rPr>
              <w:br w:type="textWrapping"/>
            </w:r>
            <w:r>
              <w:rPr>
                <w:rFonts w:hint="eastAsia" w:ascii="宋体" w:hAnsi="宋体" w:eastAsia="宋体" w:cs="宋体"/>
                <w:sz w:val="24"/>
                <w:szCs w:val="24"/>
              </w:rPr>
              <w:t>9、支持基于组织结构的个人行为监控，包括：网页标题记录、发贴记录、网页评论记录、在搜索引擎上的搜索记录、网页文件上传记录、URL访问记录、即时通讯的登录信息/聊天内容/文件传输记录、邮件记录（详细内容、附件）、FTP登录信息/上传记录/下载记录。</w:t>
            </w:r>
            <w:r>
              <w:rPr>
                <w:rFonts w:hint="eastAsia" w:ascii="宋体" w:hAnsi="宋体" w:eastAsia="宋体" w:cs="宋体"/>
                <w:sz w:val="24"/>
                <w:szCs w:val="24"/>
              </w:rPr>
              <w:br w:type="textWrapping"/>
            </w:r>
            <w:r>
              <w:rPr>
                <w:rFonts w:hint="eastAsia" w:ascii="宋体" w:hAnsi="宋体" w:eastAsia="宋体" w:cs="宋体"/>
                <w:sz w:val="24"/>
                <w:szCs w:val="24"/>
              </w:rPr>
              <w:t>10、支持中文/英文操作界面，支持HTTP/HTTPS/SSH等方式进行远程管理操作，支持SNMP管理。</w:t>
            </w:r>
          </w:p>
        </w:tc>
        <w:tc>
          <w:tcPr>
            <w:tcW w:w="734" w:type="dxa"/>
            <w:tcBorders>
              <w:top w:val="nil"/>
              <w:left w:val="nil"/>
              <w:bottom w:val="single" w:color="000000" w:sz="4" w:space="0"/>
              <w:right w:val="single" w:color="000000" w:sz="4" w:space="0"/>
            </w:tcBorders>
            <w:tcMar>
              <w:top w:w="0" w:type="dxa"/>
              <w:left w:w="105" w:type="dxa"/>
              <w:bottom w:w="0" w:type="dxa"/>
              <w:right w:w="105" w:type="dxa"/>
            </w:tcMar>
            <w:vAlign w:val="top"/>
          </w:tcPr>
          <w:p w14:paraId="2427B063">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1</w:t>
            </w:r>
          </w:p>
        </w:tc>
        <w:tc>
          <w:tcPr>
            <w:tcW w:w="714" w:type="dxa"/>
            <w:tcBorders>
              <w:top w:val="nil"/>
              <w:left w:val="nil"/>
              <w:bottom w:val="single" w:color="000000" w:sz="4" w:space="0"/>
              <w:right w:val="single" w:color="000000" w:sz="4" w:space="0"/>
            </w:tcBorders>
            <w:tcMar>
              <w:top w:w="0" w:type="dxa"/>
              <w:left w:w="105" w:type="dxa"/>
              <w:bottom w:w="0" w:type="dxa"/>
              <w:right w:w="105" w:type="dxa"/>
            </w:tcMar>
            <w:vAlign w:val="top"/>
          </w:tcPr>
          <w:p w14:paraId="0A901BFD">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套</w:t>
            </w:r>
          </w:p>
        </w:tc>
      </w:tr>
    </w:tbl>
    <w:p w14:paraId="604F1AFD">
      <w:pPr>
        <w:pStyle w:val="6"/>
        <w:keepNext w:val="0"/>
        <w:keepLines w:val="0"/>
        <w:pageBreakBefore w:val="0"/>
        <w:kinsoku/>
        <w:wordWrap/>
        <w:overflowPunct/>
        <w:topLinePunct w:val="0"/>
        <w:autoSpaceDE/>
        <w:autoSpaceDN/>
        <w:bidi w:val="0"/>
        <w:adjustRightInd/>
        <w:snapToGrid/>
        <w:spacing w:line="500" w:lineRule="exact"/>
        <w:ind w:firstLine="480"/>
        <w:jc w:val="left"/>
        <w:textAlignment w:val="auto"/>
        <w:rPr>
          <w:rFonts w:hint="eastAsia" w:ascii="宋体" w:hAnsi="宋体" w:eastAsia="宋体" w:cs="宋体"/>
          <w:sz w:val="24"/>
          <w:szCs w:val="24"/>
        </w:rPr>
      </w:pPr>
      <w:r>
        <w:rPr>
          <w:rFonts w:hint="eastAsia" w:ascii="宋体" w:hAnsi="宋体" w:eastAsia="宋体" w:cs="宋体"/>
          <w:b/>
          <w:sz w:val="24"/>
          <w:szCs w:val="24"/>
        </w:rPr>
        <w:t>2.4.2.密码安全</w:t>
      </w:r>
    </w:p>
    <w:tbl>
      <w:tblPr>
        <w:tblStyle w:val="4"/>
        <w:tblW w:w="0" w:type="auto"/>
        <w:tblInd w:w="0" w:type="dxa"/>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autofit"/>
        <w:tblCellMar>
          <w:top w:w="0" w:type="dxa"/>
          <w:left w:w="108" w:type="dxa"/>
          <w:bottom w:w="0" w:type="dxa"/>
          <w:right w:w="108" w:type="dxa"/>
        </w:tblCellMar>
      </w:tblPr>
      <w:tblGrid>
        <w:gridCol w:w="451"/>
        <w:gridCol w:w="1170"/>
        <w:gridCol w:w="5376"/>
        <w:gridCol w:w="690"/>
        <w:gridCol w:w="635"/>
      </w:tblGrid>
      <w:tr w14:paraId="347C9209">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400" w:type="dxa"/>
            <w:tcBorders>
              <w:top w:val="double" w:color="000000" w:sz="4" w:space="0"/>
              <w:left w:val="double" w:color="000000" w:sz="4" w:space="0"/>
              <w:bottom w:val="single" w:color="000000" w:sz="4" w:space="0"/>
              <w:right w:val="single" w:color="000000" w:sz="4" w:space="0"/>
            </w:tcBorders>
            <w:shd w:val="clear" w:color="auto" w:fill="BEBEBE"/>
            <w:tcMar>
              <w:top w:w="0" w:type="dxa"/>
              <w:left w:w="105" w:type="dxa"/>
              <w:bottom w:w="0" w:type="dxa"/>
              <w:right w:w="105" w:type="dxa"/>
            </w:tcMar>
            <w:vAlign w:val="top"/>
          </w:tcPr>
          <w:p w14:paraId="4871724E">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b/>
                <w:sz w:val="24"/>
                <w:szCs w:val="24"/>
              </w:rPr>
              <w:t>编号</w:t>
            </w:r>
          </w:p>
        </w:tc>
        <w:tc>
          <w:tcPr>
            <w:tcW w:w="1005" w:type="dxa"/>
            <w:tcBorders>
              <w:top w:val="double" w:color="000000" w:sz="4" w:space="0"/>
              <w:left w:val="single" w:color="000000" w:sz="4" w:space="0"/>
              <w:bottom w:val="single" w:color="000000" w:sz="4" w:space="0"/>
              <w:right w:val="single" w:color="000000" w:sz="4" w:space="0"/>
            </w:tcBorders>
            <w:shd w:val="clear" w:color="auto" w:fill="BEBEBE"/>
            <w:tcMar>
              <w:top w:w="0" w:type="dxa"/>
              <w:left w:w="105" w:type="dxa"/>
              <w:bottom w:w="0" w:type="dxa"/>
              <w:right w:w="105" w:type="dxa"/>
            </w:tcMar>
            <w:vAlign w:val="top"/>
          </w:tcPr>
          <w:p w14:paraId="33EB6FC4">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b/>
                <w:sz w:val="24"/>
                <w:szCs w:val="24"/>
              </w:rPr>
              <w:t>设备名称</w:t>
            </w:r>
          </w:p>
        </w:tc>
        <w:tc>
          <w:tcPr>
            <w:tcW w:w="5376" w:type="dxa"/>
            <w:tcBorders>
              <w:top w:val="double" w:color="000000" w:sz="4" w:space="0"/>
              <w:left w:val="single" w:color="000000" w:sz="4" w:space="0"/>
              <w:bottom w:val="single" w:color="000000" w:sz="4" w:space="0"/>
              <w:right w:val="single" w:color="000000" w:sz="4" w:space="0"/>
            </w:tcBorders>
            <w:shd w:val="clear" w:color="auto" w:fill="BEBEBE"/>
            <w:tcMar>
              <w:top w:w="0" w:type="dxa"/>
              <w:left w:w="105" w:type="dxa"/>
              <w:bottom w:w="0" w:type="dxa"/>
              <w:right w:w="105" w:type="dxa"/>
            </w:tcMar>
            <w:vAlign w:val="top"/>
          </w:tcPr>
          <w:p w14:paraId="476E88FB">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b/>
                <w:sz w:val="24"/>
                <w:szCs w:val="24"/>
              </w:rPr>
              <w:t>性能参数要求</w:t>
            </w:r>
          </w:p>
        </w:tc>
        <w:tc>
          <w:tcPr>
            <w:tcW w:w="605" w:type="dxa"/>
            <w:tcBorders>
              <w:top w:val="double" w:color="000000" w:sz="4" w:space="0"/>
              <w:left w:val="single" w:color="000000" w:sz="4" w:space="0"/>
              <w:bottom w:val="single" w:color="000000" w:sz="4" w:space="0"/>
              <w:right w:val="single" w:color="000000" w:sz="4" w:space="0"/>
            </w:tcBorders>
            <w:shd w:val="clear" w:color="auto" w:fill="BEBEBE"/>
            <w:tcMar>
              <w:top w:w="0" w:type="dxa"/>
              <w:left w:w="105" w:type="dxa"/>
              <w:bottom w:w="0" w:type="dxa"/>
              <w:right w:w="105" w:type="dxa"/>
            </w:tcMar>
            <w:vAlign w:val="top"/>
          </w:tcPr>
          <w:p w14:paraId="67E96BBE">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b/>
                <w:sz w:val="24"/>
                <w:szCs w:val="24"/>
              </w:rPr>
              <w:t>数量</w:t>
            </w:r>
          </w:p>
        </w:tc>
        <w:tc>
          <w:tcPr>
            <w:tcW w:w="635" w:type="dxa"/>
            <w:tcBorders>
              <w:top w:val="double" w:color="000000" w:sz="4" w:space="0"/>
              <w:left w:val="single" w:color="000000" w:sz="4" w:space="0"/>
              <w:bottom w:val="single" w:color="000000" w:sz="4" w:space="0"/>
              <w:right w:val="double" w:color="000000" w:sz="4" w:space="0"/>
            </w:tcBorders>
            <w:shd w:val="clear" w:color="auto" w:fill="BEBEBE"/>
            <w:tcMar>
              <w:top w:w="0" w:type="dxa"/>
              <w:left w:w="105" w:type="dxa"/>
              <w:bottom w:w="0" w:type="dxa"/>
              <w:right w:w="105" w:type="dxa"/>
            </w:tcMar>
            <w:vAlign w:val="top"/>
          </w:tcPr>
          <w:p w14:paraId="5D466001">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b/>
                <w:sz w:val="24"/>
                <w:szCs w:val="24"/>
              </w:rPr>
              <w:t>单位</w:t>
            </w:r>
          </w:p>
        </w:tc>
      </w:tr>
      <w:tr w14:paraId="6167A1A2">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400" w:type="dxa"/>
            <w:tcBorders>
              <w:top w:val="single" w:color="000000" w:sz="4" w:space="0"/>
              <w:left w:val="double" w:color="000000" w:sz="4" w:space="0"/>
              <w:bottom w:val="single" w:color="000000" w:sz="4" w:space="0"/>
              <w:right w:val="single" w:color="000000" w:sz="4" w:space="0"/>
            </w:tcBorders>
            <w:tcMar>
              <w:top w:w="0" w:type="dxa"/>
              <w:left w:w="105" w:type="dxa"/>
              <w:bottom w:w="0" w:type="dxa"/>
              <w:right w:w="105" w:type="dxa"/>
            </w:tcMar>
            <w:vAlign w:val="top"/>
          </w:tcPr>
          <w:p w14:paraId="017F379D">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1</w:t>
            </w:r>
          </w:p>
        </w:tc>
        <w:tc>
          <w:tcPr>
            <w:tcW w:w="1005"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5BD11B4C">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sz w:val="24"/>
                <w:szCs w:val="24"/>
              </w:rPr>
              <w:t>综合安全网关(评审项210)</w:t>
            </w:r>
          </w:p>
        </w:tc>
        <w:tc>
          <w:tcPr>
            <w:tcW w:w="5376"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523E1355">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sz w:val="24"/>
                <w:szCs w:val="24"/>
              </w:rPr>
              <w:t>1、标准1U机箱、冗余电源、板载≥7个千兆网口+≥4千兆光口,其中≥1个电口为专用管理口；CPU：国产CPU，≥4核，国产操作系统；</w:t>
            </w:r>
            <w:r>
              <w:rPr>
                <w:rFonts w:hint="eastAsia" w:ascii="宋体" w:hAnsi="宋体" w:eastAsia="宋体" w:cs="宋体"/>
                <w:sz w:val="24"/>
                <w:szCs w:val="24"/>
              </w:rPr>
              <w:br w:type="textWrapping"/>
            </w:r>
            <w:r>
              <w:rPr>
                <w:rFonts w:hint="eastAsia" w:ascii="宋体" w:hAnsi="宋体" w:eastAsia="宋体" w:cs="宋体"/>
                <w:sz w:val="24"/>
                <w:szCs w:val="24"/>
              </w:rPr>
              <w:t>2、整机吞吐率≥8Gbps；SSL 隧道：每秒新建连接数≥6000；最大并发连接数≥10000；最大并发用户数≥1000；密文吞吐率≥200Mbps；IPSec ESP 隧道：每秒新建连接数≥1；每秒新建隧道数≥200；最大并发隧道数≥300；密文吞吐率≥200Mbps。含三年硬件维保服务。</w:t>
            </w:r>
            <w:r>
              <w:rPr>
                <w:rFonts w:hint="eastAsia" w:ascii="宋体" w:hAnsi="宋体" w:eastAsia="宋体" w:cs="宋体"/>
                <w:sz w:val="24"/>
                <w:szCs w:val="24"/>
              </w:rPr>
              <w:br w:type="textWrapping"/>
            </w:r>
            <w:r>
              <w:rPr>
                <w:rFonts w:hint="eastAsia" w:ascii="宋体" w:hAnsi="宋体" w:eastAsia="宋体" w:cs="宋体"/>
                <w:sz w:val="24"/>
                <w:szCs w:val="24"/>
              </w:rPr>
              <w:t>3、产品须支持系统配置、网络配置、IPSecVPN设置、证书管理等功能。</w:t>
            </w:r>
            <w:r>
              <w:rPr>
                <w:rFonts w:hint="eastAsia" w:ascii="宋体" w:hAnsi="宋体" w:eastAsia="宋体" w:cs="宋体"/>
                <w:b/>
                <w:sz w:val="24"/>
                <w:szCs w:val="24"/>
              </w:rPr>
              <w:t>（投标人须提供测试报告进行佐证，测试报告中受检（或委托）单位须为相应产品的制造商或投标人）</w:t>
            </w:r>
            <w:r>
              <w:rPr>
                <w:rFonts w:hint="eastAsia" w:ascii="宋体" w:hAnsi="宋体" w:eastAsia="宋体" w:cs="宋体"/>
                <w:sz w:val="24"/>
                <w:szCs w:val="24"/>
              </w:rPr>
              <w:br w:type="textWrapping"/>
            </w:r>
            <w:r>
              <w:rPr>
                <w:rFonts w:hint="eastAsia" w:ascii="宋体" w:hAnsi="宋体" w:eastAsia="宋体" w:cs="宋体"/>
                <w:sz w:val="24"/>
                <w:szCs w:val="24"/>
              </w:rPr>
              <w:t>4、密码算法：至少支持SM1、SM2、SM3、SM4密码算法;至少支持ECC(SM2)-SM4-SM3、 ECC(SM2) -SM1-SM3算法套件;支持SM2_SM1_SM3_ESP、SM2_SM4_SM3_ESP隧道模式。</w:t>
            </w:r>
            <w:r>
              <w:rPr>
                <w:rFonts w:hint="eastAsia" w:ascii="宋体" w:hAnsi="宋体" w:eastAsia="宋体" w:cs="宋体"/>
                <w:sz w:val="24"/>
                <w:szCs w:val="24"/>
              </w:rPr>
              <w:br w:type="textWrapping"/>
            </w:r>
            <w:r>
              <w:rPr>
                <w:rFonts w:hint="eastAsia" w:ascii="宋体" w:hAnsi="宋体" w:eastAsia="宋体" w:cs="宋体"/>
                <w:sz w:val="24"/>
                <w:szCs w:val="24"/>
              </w:rPr>
              <w:t>5、产品具备《商用密码产品认证证书》。</w:t>
            </w:r>
          </w:p>
          <w:p w14:paraId="63189734">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sz w:val="24"/>
                <w:szCs w:val="24"/>
              </w:rPr>
              <w:t>6、综合安全网关的软件系统具备量子随机数源功能。</w:t>
            </w:r>
          </w:p>
          <w:p w14:paraId="7C1D6781">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sz w:val="24"/>
                <w:szCs w:val="24"/>
              </w:rPr>
              <w:t>7、▲为了更好的满足综合安全网关和安全浏览器产品对接使用的兼容性，缩短两者产品的适配时间，投标人所投综合安全网关产品和安全浏览器须为同一厂家生产。</w:t>
            </w:r>
            <w:r>
              <w:rPr>
                <w:rFonts w:hint="eastAsia" w:ascii="宋体" w:hAnsi="宋体" w:eastAsia="宋体" w:cs="宋体"/>
                <w:b/>
                <w:sz w:val="24"/>
                <w:szCs w:val="24"/>
              </w:rPr>
              <w:t>投标人须提供承诺函并附上两种产品的《商用密码产品认证证书》作为证明材料，承诺函格式自拟，加盖投标人公章。</w:t>
            </w:r>
          </w:p>
          <w:p w14:paraId="1CFFCEA2">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sz w:val="24"/>
                <w:szCs w:val="24"/>
              </w:rPr>
              <w:t>8★所投综合安全网关需支持网关间IPSec隧道互联，可与医院现有已部署的IPSec VPN网关设备实现跨机房点对点隧道对接，新旧设备通过标准 IKE 协商 + ESP/AH 隧道封装，完成跨机房加密互通，完全符合国密规范。投标人须承诺所投设备完全满足上述国密标准及全部技术要求。本项目涉及对接费用均全额包含在投标总报价中，采购人不另行支付。</w:t>
            </w:r>
            <w:r>
              <w:rPr>
                <w:rFonts w:hint="eastAsia" w:ascii="宋体" w:hAnsi="宋体" w:eastAsia="宋体" w:cs="宋体"/>
                <w:b/>
                <w:sz w:val="24"/>
                <w:szCs w:val="24"/>
              </w:rPr>
              <w:t>投标人须提供加盖公章的承诺函，格式自拟</w:t>
            </w:r>
            <w:r>
              <w:rPr>
                <w:rFonts w:hint="eastAsia" w:ascii="宋体" w:hAnsi="宋体" w:eastAsia="宋体" w:cs="宋体"/>
                <w:sz w:val="24"/>
                <w:szCs w:val="24"/>
              </w:rPr>
              <w:t>。</w:t>
            </w:r>
          </w:p>
        </w:tc>
        <w:tc>
          <w:tcPr>
            <w:tcW w:w="605"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5A152A0D">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1</w:t>
            </w:r>
          </w:p>
        </w:tc>
        <w:tc>
          <w:tcPr>
            <w:tcW w:w="635" w:type="dxa"/>
            <w:tcBorders>
              <w:top w:val="single" w:color="000000" w:sz="4" w:space="0"/>
              <w:left w:val="single" w:color="000000" w:sz="4" w:space="0"/>
              <w:bottom w:val="single" w:color="000000" w:sz="4" w:space="0"/>
              <w:right w:val="double" w:color="000000" w:sz="4" w:space="0"/>
            </w:tcBorders>
            <w:tcMar>
              <w:top w:w="0" w:type="dxa"/>
              <w:left w:w="105" w:type="dxa"/>
              <w:bottom w:w="0" w:type="dxa"/>
              <w:right w:w="105" w:type="dxa"/>
            </w:tcMar>
            <w:vAlign w:val="top"/>
          </w:tcPr>
          <w:p w14:paraId="48A3684C">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台</w:t>
            </w:r>
          </w:p>
        </w:tc>
      </w:tr>
      <w:tr w14:paraId="5CD08E90">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400" w:type="dxa"/>
            <w:tcBorders>
              <w:top w:val="single" w:color="000000" w:sz="4" w:space="0"/>
              <w:left w:val="double" w:color="000000" w:sz="4" w:space="0"/>
              <w:bottom w:val="single" w:color="000000" w:sz="4" w:space="0"/>
              <w:right w:val="single" w:color="000000" w:sz="4" w:space="0"/>
            </w:tcBorders>
            <w:tcMar>
              <w:top w:w="0" w:type="dxa"/>
              <w:left w:w="105" w:type="dxa"/>
              <w:bottom w:w="0" w:type="dxa"/>
              <w:right w:w="105" w:type="dxa"/>
            </w:tcMar>
            <w:vAlign w:val="top"/>
          </w:tcPr>
          <w:p w14:paraId="4C970019">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2</w:t>
            </w:r>
          </w:p>
        </w:tc>
        <w:tc>
          <w:tcPr>
            <w:tcW w:w="1005"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3A57532E">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sz w:val="24"/>
                <w:szCs w:val="24"/>
              </w:rPr>
              <w:t>商密VPN(评审项211)</w:t>
            </w:r>
          </w:p>
        </w:tc>
        <w:tc>
          <w:tcPr>
            <w:tcW w:w="5376"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4A682A8F">
            <w:pPr>
              <w:pStyle w:val="6"/>
              <w:keepNext w:val="0"/>
              <w:keepLines w:val="0"/>
              <w:pageBreakBefore w:val="0"/>
              <w:kinsoku/>
              <w:wordWrap/>
              <w:overflowPunct/>
              <w:topLinePunct w:val="0"/>
              <w:autoSpaceDE/>
              <w:autoSpaceDN/>
              <w:bidi w:val="0"/>
              <w:adjustRightInd/>
              <w:snapToGrid/>
              <w:spacing w:line="500" w:lineRule="exact"/>
              <w:ind w:left="420"/>
              <w:jc w:val="left"/>
              <w:textAlignment w:val="auto"/>
              <w:rPr>
                <w:rFonts w:hint="eastAsia" w:ascii="宋体" w:hAnsi="宋体" w:eastAsia="宋体" w:cs="宋体"/>
                <w:sz w:val="24"/>
                <w:szCs w:val="24"/>
              </w:rPr>
            </w:pPr>
            <w:r>
              <w:rPr>
                <w:rFonts w:hint="eastAsia" w:ascii="宋体" w:hAnsi="宋体" w:eastAsia="宋体" w:cs="宋体"/>
                <w:sz w:val="24"/>
                <w:szCs w:val="24"/>
              </w:rPr>
              <w:t>1.IPSEC性能参数：加密最大流量（Mbps）≥100，理论并发隧道数（Tunnel）≥1000；SSL性能参数：最大理论加密流量（Mbps）≥300Mbps，最大理论建议并发用户数≥600。</w:t>
            </w:r>
          </w:p>
          <w:p w14:paraId="6BF5FE03">
            <w:pPr>
              <w:pStyle w:val="6"/>
              <w:keepNext w:val="0"/>
              <w:keepLines w:val="0"/>
              <w:pageBreakBefore w:val="0"/>
              <w:kinsoku/>
              <w:wordWrap/>
              <w:overflowPunct/>
              <w:topLinePunct w:val="0"/>
              <w:autoSpaceDE/>
              <w:autoSpaceDN/>
              <w:bidi w:val="0"/>
              <w:adjustRightInd/>
              <w:snapToGrid/>
              <w:spacing w:line="500" w:lineRule="exact"/>
              <w:ind w:left="420"/>
              <w:jc w:val="left"/>
              <w:textAlignment w:val="auto"/>
              <w:rPr>
                <w:rFonts w:hint="eastAsia" w:ascii="宋体" w:hAnsi="宋体" w:eastAsia="宋体" w:cs="宋体"/>
                <w:sz w:val="24"/>
                <w:szCs w:val="24"/>
              </w:rPr>
            </w:pPr>
            <w:r>
              <w:rPr>
                <w:rFonts w:hint="eastAsia" w:ascii="宋体" w:hAnsi="宋体" w:eastAsia="宋体" w:cs="宋体"/>
                <w:sz w:val="24"/>
                <w:szCs w:val="24"/>
              </w:rPr>
              <w:t>2.规格：1U，内存≥16G，硬盘容量≥128GSSD，接口≥6千兆电口+4千兆光口SFP，采用国产化CPU，含≥100套零信任并发接入授权。</w:t>
            </w:r>
          </w:p>
          <w:p w14:paraId="7A4DC1D1">
            <w:pPr>
              <w:pStyle w:val="6"/>
              <w:keepNext w:val="0"/>
              <w:keepLines w:val="0"/>
              <w:pageBreakBefore w:val="0"/>
              <w:kinsoku/>
              <w:wordWrap/>
              <w:overflowPunct/>
              <w:topLinePunct w:val="0"/>
              <w:autoSpaceDE/>
              <w:autoSpaceDN/>
              <w:bidi w:val="0"/>
              <w:adjustRightInd/>
              <w:snapToGrid/>
              <w:spacing w:line="500" w:lineRule="exact"/>
              <w:ind w:left="420"/>
              <w:jc w:val="left"/>
              <w:textAlignment w:val="auto"/>
              <w:rPr>
                <w:rFonts w:hint="eastAsia" w:ascii="宋体" w:hAnsi="宋体" w:eastAsia="宋体" w:cs="宋体"/>
                <w:sz w:val="24"/>
                <w:szCs w:val="24"/>
              </w:rPr>
            </w:pPr>
            <w:r>
              <w:rPr>
                <w:rFonts w:hint="eastAsia" w:ascii="宋体" w:hAnsi="宋体" w:eastAsia="宋体" w:cs="宋体"/>
                <w:sz w:val="24"/>
                <w:szCs w:val="24"/>
              </w:rPr>
              <w:t>3.支持针对发布的WEB应用开启WEB水印，水印内容至少包括：用户名+当前年月日。</w:t>
            </w:r>
          </w:p>
          <w:p w14:paraId="5266BD3B">
            <w:pPr>
              <w:pStyle w:val="6"/>
              <w:keepNext w:val="0"/>
              <w:keepLines w:val="0"/>
              <w:pageBreakBefore w:val="0"/>
              <w:kinsoku/>
              <w:wordWrap/>
              <w:overflowPunct/>
              <w:topLinePunct w:val="0"/>
              <w:autoSpaceDE/>
              <w:autoSpaceDN/>
              <w:bidi w:val="0"/>
              <w:adjustRightInd/>
              <w:snapToGrid/>
              <w:spacing w:line="500" w:lineRule="exact"/>
              <w:ind w:left="420"/>
              <w:jc w:val="left"/>
              <w:textAlignment w:val="auto"/>
              <w:rPr>
                <w:rFonts w:hint="eastAsia" w:ascii="宋体" w:hAnsi="宋体" w:eastAsia="宋体" w:cs="宋体"/>
                <w:sz w:val="24"/>
                <w:szCs w:val="24"/>
              </w:rPr>
            </w:pPr>
            <w:r>
              <w:rPr>
                <w:rFonts w:hint="eastAsia" w:ascii="宋体" w:hAnsi="宋体" w:eastAsia="宋体" w:cs="宋体"/>
                <w:sz w:val="24"/>
                <w:szCs w:val="24"/>
              </w:rPr>
              <w:t>4.客户端兼容主流操作系统和芯片，操作系统至少包括麒麟、UOS、中科方德、HarmonyOSnext，芯片至少包括兆芯、海光、飞腾、鲲鹏、海思麒麟、龙芯</w:t>
            </w:r>
          </w:p>
          <w:p w14:paraId="727BEE0D">
            <w:pPr>
              <w:pStyle w:val="6"/>
              <w:keepNext w:val="0"/>
              <w:keepLines w:val="0"/>
              <w:pageBreakBefore w:val="0"/>
              <w:kinsoku/>
              <w:wordWrap/>
              <w:overflowPunct/>
              <w:topLinePunct w:val="0"/>
              <w:autoSpaceDE/>
              <w:autoSpaceDN/>
              <w:bidi w:val="0"/>
              <w:adjustRightInd/>
              <w:snapToGrid/>
              <w:spacing w:line="500" w:lineRule="exact"/>
              <w:ind w:left="420"/>
              <w:jc w:val="left"/>
              <w:textAlignment w:val="auto"/>
              <w:rPr>
                <w:rFonts w:hint="eastAsia" w:ascii="宋体" w:hAnsi="宋体" w:eastAsia="宋体" w:cs="宋体"/>
                <w:sz w:val="24"/>
                <w:szCs w:val="24"/>
              </w:rPr>
            </w:pPr>
            <w:r>
              <w:rPr>
                <w:rFonts w:hint="eastAsia" w:ascii="宋体" w:hAnsi="宋体" w:eastAsia="宋体" w:cs="宋体"/>
                <w:sz w:val="24"/>
                <w:szCs w:val="24"/>
              </w:rPr>
              <w:t>5.支持将具有异常登录行为的用户日志自动打标签为用户安全日志，以便于管理员快速审计定位。用户安全日志包括但不限于：账号安全、中间人攻击、SPA安全、cookie劫持等</w:t>
            </w:r>
          </w:p>
          <w:p w14:paraId="44502131">
            <w:pPr>
              <w:pStyle w:val="6"/>
              <w:keepNext w:val="0"/>
              <w:keepLines w:val="0"/>
              <w:pageBreakBefore w:val="0"/>
              <w:kinsoku/>
              <w:wordWrap/>
              <w:overflowPunct/>
              <w:topLinePunct w:val="0"/>
              <w:autoSpaceDE/>
              <w:autoSpaceDN/>
              <w:bidi w:val="0"/>
              <w:adjustRightInd/>
              <w:snapToGrid/>
              <w:spacing w:line="500" w:lineRule="exact"/>
              <w:ind w:left="420"/>
              <w:jc w:val="left"/>
              <w:textAlignment w:val="auto"/>
              <w:rPr>
                <w:rFonts w:hint="eastAsia" w:ascii="宋体" w:hAnsi="宋体" w:eastAsia="宋体" w:cs="宋体"/>
                <w:sz w:val="24"/>
                <w:szCs w:val="24"/>
              </w:rPr>
            </w:pPr>
            <w:r>
              <w:rPr>
                <w:rFonts w:hint="eastAsia" w:ascii="宋体" w:hAnsi="宋体" w:eastAsia="宋体" w:cs="宋体"/>
                <w:sz w:val="24"/>
                <w:szCs w:val="24"/>
              </w:rPr>
              <w:t>6.具备硬件加密卡，支持国家商密算法如SM1、SM2、SM3、SM4，同时满足GM/T0023和GM/T0025标准。</w:t>
            </w:r>
          </w:p>
        </w:tc>
        <w:tc>
          <w:tcPr>
            <w:tcW w:w="605"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18E92606">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1</w:t>
            </w:r>
          </w:p>
        </w:tc>
        <w:tc>
          <w:tcPr>
            <w:tcW w:w="635" w:type="dxa"/>
            <w:tcBorders>
              <w:top w:val="single" w:color="000000" w:sz="4" w:space="0"/>
              <w:left w:val="single" w:color="000000" w:sz="4" w:space="0"/>
              <w:bottom w:val="single" w:color="000000" w:sz="4" w:space="0"/>
              <w:right w:val="double" w:color="000000" w:sz="4" w:space="0"/>
            </w:tcBorders>
            <w:tcMar>
              <w:top w:w="0" w:type="dxa"/>
              <w:left w:w="105" w:type="dxa"/>
              <w:bottom w:w="0" w:type="dxa"/>
              <w:right w:w="105" w:type="dxa"/>
            </w:tcMar>
            <w:vAlign w:val="top"/>
          </w:tcPr>
          <w:p w14:paraId="0B521057">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台</w:t>
            </w:r>
          </w:p>
        </w:tc>
      </w:tr>
      <w:tr w14:paraId="64E58CB1">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400" w:type="dxa"/>
            <w:tcBorders>
              <w:top w:val="single" w:color="000000" w:sz="4" w:space="0"/>
              <w:left w:val="double" w:color="000000" w:sz="4" w:space="0"/>
              <w:bottom w:val="single" w:color="000000" w:sz="4" w:space="0"/>
              <w:right w:val="single" w:color="000000" w:sz="4" w:space="0"/>
            </w:tcBorders>
            <w:tcMar>
              <w:top w:w="0" w:type="dxa"/>
              <w:left w:w="105" w:type="dxa"/>
              <w:bottom w:w="0" w:type="dxa"/>
              <w:right w:w="105" w:type="dxa"/>
            </w:tcMar>
            <w:vAlign w:val="top"/>
          </w:tcPr>
          <w:p w14:paraId="383E8E2E">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3</w:t>
            </w:r>
          </w:p>
        </w:tc>
        <w:tc>
          <w:tcPr>
            <w:tcW w:w="1005"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0C37933C">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sz w:val="24"/>
                <w:szCs w:val="24"/>
              </w:rPr>
              <w:t>签名验签及时间戳设备(评审项212)</w:t>
            </w:r>
          </w:p>
        </w:tc>
        <w:tc>
          <w:tcPr>
            <w:tcW w:w="5376"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771D751A">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sz w:val="24"/>
                <w:szCs w:val="24"/>
              </w:rPr>
              <w:t>1、硬件规格：2U信工控机,国产化设备；CPU≥8核16线程；内存≥16G内存；硬盘≥1T硬盘；Console口≥1个；网络接口：千兆电口≥6个；</w:t>
            </w:r>
            <w:r>
              <w:rPr>
                <w:rFonts w:hint="eastAsia" w:ascii="宋体" w:hAnsi="宋体" w:eastAsia="宋体" w:cs="宋体"/>
                <w:sz w:val="24"/>
                <w:szCs w:val="24"/>
              </w:rPr>
              <w:br w:type="textWrapping"/>
            </w:r>
            <w:r>
              <w:rPr>
                <w:rFonts w:hint="eastAsia" w:ascii="宋体" w:hAnsi="宋体" w:eastAsia="宋体" w:cs="宋体"/>
                <w:sz w:val="24"/>
                <w:szCs w:val="24"/>
              </w:rPr>
              <w:t>2、 软件性能：SM2 P1 签名≥10000TPS；SM2 P1 验签≥20000TPS；SM2 P7 Attach 签名≥10000TPS；SM2 P7 Attach 验签≥20000TPS；</w:t>
            </w:r>
            <w:r>
              <w:rPr>
                <w:rFonts w:hint="eastAsia" w:ascii="宋体" w:hAnsi="宋体" w:eastAsia="宋体" w:cs="宋体"/>
                <w:sz w:val="24"/>
                <w:szCs w:val="24"/>
              </w:rPr>
              <w:br w:type="textWrapping"/>
            </w:r>
            <w:r>
              <w:rPr>
                <w:rFonts w:hint="eastAsia" w:ascii="宋体" w:hAnsi="宋体" w:eastAsia="宋体" w:cs="宋体"/>
                <w:sz w:val="24"/>
                <w:szCs w:val="24"/>
              </w:rPr>
              <w:t>3、 支持多种数字签名格式，如PKCS#1、PKCS#7 Attach、PKCS#7 Detach、PKCS#10、XML等格式的数据签名、签名验证功能；支持基于SM2算法的数字信封制作及解析。</w:t>
            </w:r>
            <w:r>
              <w:rPr>
                <w:rFonts w:hint="eastAsia" w:ascii="宋体" w:hAnsi="宋体" w:eastAsia="宋体" w:cs="宋体"/>
                <w:sz w:val="24"/>
                <w:szCs w:val="24"/>
              </w:rPr>
              <w:br w:type="textWrapping"/>
            </w:r>
            <w:r>
              <w:rPr>
                <w:rFonts w:hint="eastAsia" w:ascii="宋体" w:hAnsi="宋体" w:eastAsia="宋体" w:cs="宋体"/>
                <w:sz w:val="24"/>
                <w:szCs w:val="24"/>
              </w:rPr>
              <w:t>4、产品具备《商用密码产品认证证书》，</w:t>
            </w:r>
            <w:r>
              <w:rPr>
                <w:rFonts w:hint="eastAsia" w:ascii="宋体" w:hAnsi="宋体" w:eastAsia="宋体" w:cs="宋体"/>
                <w:b/>
                <w:sz w:val="24"/>
                <w:szCs w:val="24"/>
              </w:rPr>
              <w:t>要求提供有效证书复印件作为证明材料并加盖公章。</w:t>
            </w:r>
          </w:p>
          <w:p w14:paraId="1AB246E1">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5、产品须支持CRL配置、应用管理功能、证书管理和验证功能、日志管理等功能。</w:t>
            </w:r>
            <w:r>
              <w:rPr>
                <w:rFonts w:hint="eastAsia" w:ascii="宋体" w:hAnsi="宋体" w:eastAsia="宋体" w:cs="宋体"/>
                <w:b/>
                <w:sz w:val="24"/>
                <w:szCs w:val="24"/>
              </w:rPr>
              <w:t>（投标人须提供测试报告进行佐证，测试报告中受检（或委托）单位须为相应产品的制造商或投标人）</w:t>
            </w:r>
          </w:p>
          <w:p w14:paraId="2B4347D5">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6、签名验签服务器的软件系统具备量子随机数源功能。</w:t>
            </w:r>
            <w:r>
              <w:rPr>
                <w:rFonts w:hint="eastAsia" w:ascii="宋体" w:hAnsi="宋体" w:eastAsia="宋体" w:cs="宋体"/>
                <w:b/>
                <w:sz w:val="24"/>
                <w:szCs w:val="24"/>
              </w:rPr>
              <w:t>（投标人须提供测试报告进行佐证，测试报告中受检（或委托）单位须为相应产品的制造商或投标人）</w:t>
            </w:r>
          </w:p>
          <w:p w14:paraId="7586C6AC">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7、★所投签名验签服务器须能被福州市第二总医院已部署的密码服务平台纳管，实现密码资源统一调度。签名验签服务器须通过 RESTful API 及 SDK 接口方式，向密码服务平台提供设备注册接入、设备管理、密钥服务、密码服务、证书管理、应用管理、日志外送、告警联动等纳管能力。本项目涉及的全部对接费用均包含在投标总报价中，采购人不另行支付。</w:t>
            </w:r>
            <w:r>
              <w:rPr>
                <w:rFonts w:hint="eastAsia" w:ascii="宋体" w:hAnsi="宋体" w:eastAsia="宋体" w:cs="宋体"/>
                <w:b/>
                <w:sz w:val="24"/>
                <w:szCs w:val="24"/>
              </w:rPr>
              <w:t>投标人须提供加盖公章的承诺函，格式自拟。</w:t>
            </w:r>
          </w:p>
        </w:tc>
        <w:tc>
          <w:tcPr>
            <w:tcW w:w="605"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7CC66D9C">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2</w:t>
            </w:r>
          </w:p>
        </w:tc>
        <w:tc>
          <w:tcPr>
            <w:tcW w:w="635" w:type="dxa"/>
            <w:tcBorders>
              <w:top w:val="single" w:color="000000" w:sz="4" w:space="0"/>
              <w:left w:val="single" w:color="000000" w:sz="4" w:space="0"/>
              <w:bottom w:val="single" w:color="000000" w:sz="4" w:space="0"/>
              <w:right w:val="double" w:color="000000" w:sz="4" w:space="0"/>
            </w:tcBorders>
            <w:tcMar>
              <w:top w:w="0" w:type="dxa"/>
              <w:left w:w="105" w:type="dxa"/>
              <w:bottom w:w="0" w:type="dxa"/>
              <w:right w:w="105" w:type="dxa"/>
            </w:tcMar>
            <w:vAlign w:val="top"/>
          </w:tcPr>
          <w:p w14:paraId="3D72214D">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台</w:t>
            </w:r>
          </w:p>
        </w:tc>
      </w:tr>
      <w:tr w14:paraId="7B942A94">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400" w:type="dxa"/>
            <w:tcBorders>
              <w:top w:val="single" w:color="000000" w:sz="4" w:space="0"/>
              <w:left w:val="double" w:color="000000" w:sz="4" w:space="0"/>
              <w:bottom w:val="single" w:color="000000" w:sz="4" w:space="0"/>
              <w:right w:val="single" w:color="000000" w:sz="4" w:space="0"/>
            </w:tcBorders>
            <w:tcMar>
              <w:top w:w="0" w:type="dxa"/>
              <w:left w:w="105" w:type="dxa"/>
              <w:bottom w:w="0" w:type="dxa"/>
              <w:right w:w="105" w:type="dxa"/>
            </w:tcMar>
            <w:vAlign w:val="top"/>
          </w:tcPr>
          <w:p w14:paraId="2570CA44">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4</w:t>
            </w:r>
          </w:p>
        </w:tc>
        <w:tc>
          <w:tcPr>
            <w:tcW w:w="1005"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37D3DDE3">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sz w:val="24"/>
                <w:szCs w:val="24"/>
              </w:rPr>
              <w:t>安全浏览器(评审项213)</w:t>
            </w:r>
          </w:p>
        </w:tc>
        <w:tc>
          <w:tcPr>
            <w:tcW w:w="5376"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2A7E1A15">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sz w:val="24"/>
                <w:szCs w:val="24"/>
              </w:rPr>
              <w:t>1、国产化安全浏览器客户端是运行在用户终端的一个浏览器程序，为用户访问应用系统提供支撑，包括：基础功能、安全管控功能等部分。实现对使用人员各WEB 应用系统的承载访问的便捷性和安全性。</w:t>
            </w:r>
            <w:r>
              <w:rPr>
                <w:rFonts w:hint="eastAsia" w:ascii="宋体" w:hAnsi="宋体" w:eastAsia="宋体" w:cs="宋体"/>
                <w:sz w:val="24"/>
                <w:szCs w:val="24"/>
              </w:rPr>
              <w:br w:type="textWrapping"/>
            </w:r>
            <w:r>
              <w:rPr>
                <w:rFonts w:hint="eastAsia" w:ascii="宋体" w:hAnsi="宋体" w:eastAsia="宋体" w:cs="宋体"/>
                <w:sz w:val="24"/>
                <w:szCs w:val="24"/>
              </w:rPr>
              <w:t>2、产品须支持安装、启动、支持适配安全代理服务器、访问非 SSL 网站、访问 SSL 网站等功能。</w:t>
            </w:r>
            <w:r>
              <w:rPr>
                <w:rFonts w:hint="eastAsia" w:ascii="宋体" w:hAnsi="宋体" w:eastAsia="宋体" w:cs="宋体"/>
                <w:b/>
                <w:sz w:val="24"/>
                <w:szCs w:val="24"/>
              </w:rPr>
              <w:t>（投标人须提供测试报告进行佐证，测试报告中受检（或委托）单位须为相应产品的制造商或投标人）</w:t>
            </w:r>
          </w:p>
          <w:p w14:paraId="5CC9DCD4">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sz w:val="24"/>
                <w:szCs w:val="24"/>
              </w:rPr>
              <w:t>3、产品具备《商用密码产品认证证书》。</w:t>
            </w:r>
          </w:p>
        </w:tc>
        <w:tc>
          <w:tcPr>
            <w:tcW w:w="605"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6B0F40AA">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350</w:t>
            </w:r>
          </w:p>
        </w:tc>
        <w:tc>
          <w:tcPr>
            <w:tcW w:w="635" w:type="dxa"/>
            <w:tcBorders>
              <w:top w:val="single" w:color="000000" w:sz="4" w:space="0"/>
              <w:left w:val="single" w:color="000000" w:sz="4" w:space="0"/>
              <w:bottom w:val="single" w:color="000000" w:sz="4" w:space="0"/>
              <w:right w:val="double" w:color="000000" w:sz="4" w:space="0"/>
            </w:tcBorders>
            <w:tcMar>
              <w:top w:w="0" w:type="dxa"/>
              <w:left w:w="105" w:type="dxa"/>
              <w:bottom w:w="0" w:type="dxa"/>
              <w:right w:w="105" w:type="dxa"/>
            </w:tcMar>
            <w:vAlign w:val="top"/>
          </w:tcPr>
          <w:p w14:paraId="0E49C7AC">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套</w:t>
            </w:r>
          </w:p>
        </w:tc>
      </w:tr>
      <w:tr w14:paraId="0C400CBD">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400" w:type="dxa"/>
            <w:tcBorders>
              <w:top w:val="single" w:color="000000" w:sz="4" w:space="0"/>
              <w:left w:val="double" w:color="000000" w:sz="4" w:space="0"/>
              <w:bottom w:val="single" w:color="000000" w:sz="4" w:space="0"/>
              <w:right w:val="single" w:color="000000" w:sz="4" w:space="0"/>
            </w:tcBorders>
            <w:tcMar>
              <w:top w:w="0" w:type="dxa"/>
              <w:left w:w="105" w:type="dxa"/>
              <w:bottom w:w="0" w:type="dxa"/>
              <w:right w:w="105" w:type="dxa"/>
            </w:tcMar>
            <w:vAlign w:val="top"/>
          </w:tcPr>
          <w:p w14:paraId="53B4944D">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5</w:t>
            </w:r>
          </w:p>
        </w:tc>
        <w:tc>
          <w:tcPr>
            <w:tcW w:w="1005"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779E2263">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个人证书（含USBKEY）(评审项214)</w:t>
            </w:r>
          </w:p>
        </w:tc>
        <w:tc>
          <w:tcPr>
            <w:tcW w:w="5376"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2E8D2A9F">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sz w:val="24"/>
                <w:szCs w:val="24"/>
              </w:rPr>
              <w:t>1、用于签名验证的SM2公私钥对载体，用于密钥协商、非对称加解密的SM2公私钥对载体。</w:t>
            </w:r>
            <w:r>
              <w:rPr>
                <w:rFonts w:hint="eastAsia" w:ascii="宋体" w:hAnsi="宋体" w:eastAsia="宋体" w:cs="宋体"/>
                <w:sz w:val="24"/>
                <w:szCs w:val="24"/>
              </w:rPr>
              <w:br w:type="textWrapping"/>
            </w:r>
            <w:r>
              <w:rPr>
                <w:rFonts w:hint="eastAsia" w:ascii="宋体" w:hAnsi="宋体" w:eastAsia="宋体" w:cs="宋体"/>
                <w:sz w:val="24"/>
                <w:szCs w:val="24"/>
              </w:rPr>
              <w:t>2、支持数据加解密、数据完整性校验、数字签名、身份鉴别等密码运算服务。</w:t>
            </w:r>
            <w:r>
              <w:rPr>
                <w:rFonts w:hint="eastAsia" w:ascii="宋体" w:hAnsi="宋体" w:eastAsia="宋体" w:cs="宋体"/>
                <w:sz w:val="24"/>
                <w:szCs w:val="24"/>
              </w:rPr>
              <w:br w:type="textWrapping"/>
            </w:r>
            <w:r>
              <w:rPr>
                <w:rFonts w:hint="eastAsia" w:ascii="宋体" w:hAnsi="宋体" w:eastAsia="宋体" w:cs="宋体"/>
                <w:sz w:val="24"/>
                <w:szCs w:val="24"/>
              </w:rPr>
              <w:t>3、支持数字证书的读写、枚举、删除，可作为数字证书的安全载体。</w:t>
            </w:r>
            <w:r>
              <w:rPr>
                <w:rFonts w:hint="eastAsia" w:ascii="宋体" w:hAnsi="宋体" w:eastAsia="宋体" w:cs="宋体"/>
                <w:sz w:val="24"/>
                <w:szCs w:val="24"/>
              </w:rPr>
              <w:br w:type="textWrapping"/>
            </w:r>
            <w:r>
              <w:rPr>
                <w:rFonts w:hint="eastAsia" w:ascii="宋体" w:hAnsi="宋体" w:eastAsia="宋体" w:cs="宋体"/>
                <w:sz w:val="24"/>
                <w:szCs w:val="24"/>
              </w:rPr>
              <w:t>4、支持密钥产生、密钥存储、密钥导入、密钥导出、密钥使用、密钥销毁等。</w:t>
            </w:r>
          </w:p>
          <w:p w14:paraId="2761E4F4">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sz w:val="24"/>
                <w:szCs w:val="24"/>
              </w:rPr>
              <w:t>5、▲所投数字证书的服务机构须具备自研的互认助手，产品支持全国多家CA证书（至少体现10家CA机构）；支持抗量子证书的解析验签证。</w:t>
            </w:r>
            <w:r>
              <w:rPr>
                <w:rFonts w:hint="eastAsia" w:ascii="宋体" w:hAnsi="宋体" w:eastAsia="宋体" w:cs="宋体"/>
                <w:b/>
                <w:sz w:val="24"/>
                <w:szCs w:val="24"/>
              </w:rPr>
              <w:t>（投标人须提供测试报告进行佐证，测试报告中受检（或委托）单位须为相应产品的制造商或投标人）</w:t>
            </w:r>
          </w:p>
          <w:p w14:paraId="1D71C481">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6、所投数字证书的服务机构须具备自研的证书认证密钥管理系统，支持管理员管理、系统审计体系、核心密钥管理、系统配置与维护、安全保障机制功能；具备抗量子算法证书签发能力，满足不同安全等级与技术演进需求。</w:t>
            </w:r>
          </w:p>
        </w:tc>
        <w:tc>
          <w:tcPr>
            <w:tcW w:w="605"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65EDF120">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3000</w:t>
            </w:r>
          </w:p>
        </w:tc>
        <w:tc>
          <w:tcPr>
            <w:tcW w:w="635" w:type="dxa"/>
            <w:tcBorders>
              <w:top w:val="single" w:color="000000" w:sz="4" w:space="0"/>
              <w:left w:val="single" w:color="000000" w:sz="4" w:space="0"/>
              <w:bottom w:val="single" w:color="000000" w:sz="4" w:space="0"/>
              <w:right w:val="double" w:color="000000" w:sz="4" w:space="0"/>
            </w:tcBorders>
            <w:tcMar>
              <w:top w:w="0" w:type="dxa"/>
              <w:left w:w="105" w:type="dxa"/>
              <w:bottom w:w="0" w:type="dxa"/>
              <w:right w:w="105" w:type="dxa"/>
            </w:tcMar>
            <w:vAlign w:val="top"/>
          </w:tcPr>
          <w:p w14:paraId="6E230ED1">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套</w:t>
            </w:r>
          </w:p>
        </w:tc>
      </w:tr>
      <w:tr w14:paraId="3750E5F0">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400" w:type="dxa"/>
            <w:tcBorders>
              <w:top w:val="single" w:color="000000" w:sz="4" w:space="0"/>
              <w:left w:val="double" w:color="000000" w:sz="4" w:space="0"/>
              <w:bottom w:val="single" w:color="000000" w:sz="4" w:space="0"/>
              <w:right w:val="single" w:color="000000" w:sz="4" w:space="0"/>
            </w:tcBorders>
            <w:tcMar>
              <w:top w:w="0" w:type="dxa"/>
              <w:left w:w="105" w:type="dxa"/>
              <w:bottom w:w="0" w:type="dxa"/>
              <w:right w:w="105" w:type="dxa"/>
            </w:tcMar>
            <w:vAlign w:val="top"/>
          </w:tcPr>
          <w:p w14:paraId="391A1B3D">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6</w:t>
            </w:r>
          </w:p>
        </w:tc>
        <w:tc>
          <w:tcPr>
            <w:tcW w:w="1005"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0936E8FB">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sz w:val="24"/>
                <w:szCs w:val="24"/>
              </w:rPr>
              <w:t>国密SSL证书(评审项215)</w:t>
            </w:r>
          </w:p>
        </w:tc>
        <w:tc>
          <w:tcPr>
            <w:tcW w:w="5376"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167E3276">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sz w:val="24"/>
                <w:szCs w:val="24"/>
              </w:rPr>
              <w:t>参考国际标准中的DV级别域名验证标准，并遵循国家标准GM/T 0024-2014《SSL VPN技术规范》，支持SM2/SM3/SM4国产密码算法和国密安全协议，使用国密算法实现高强度SSL加密连接，通过自主可控的密码技术，保护客户端到服务器之间的数据传输安全, 满足网站国密算法HTTPS加密需求。</w:t>
            </w:r>
          </w:p>
        </w:tc>
        <w:tc>
          <w:tcPr>
            <w:tcW w:w="605"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3E0B2F1A">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30</w:t>
            </w:r>
          </w:p>
        </w:tc>
        <w:tc>
          <w:tcPr>
            <w:tcW w:w="635" w:type="dxa"/>
            <w:tcBorders>
              <w:top w:val="single" w:color="000000" w:sz="4" w:space="0"/>
              <w:left w:val="single" w:color="000000" w:sz="4" w:space="0"/>
              <w:bottom w:val="single" w:color="000000" w:sz="4" w:space="0"/>
              <w:right w:val="double" w:color="000000" w:sz="4" w:space="0"/>
            </w:tcBorders>
            <w:tcMar>
              <w:top w:w="0" w:type="dxa"/>
              <w:left w:w="105" w:type="dxa"/>
              <w:bottom w:w="0" w:type="dxa"/>
              <w:right w:w="105" w:type="dxa"/>
            </w:tcMar>
            <w:vAlign w:val="top"/>
          </w:tcPr>
          <w:p w14:paraId="1E92C679">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个</w:t>
            </w:r>
          </w:p>
        </w:tc>
      </w:tr>
      <w:tr w14:paraId="0DDD2D8E">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400" w:type="dxa"/>
            <w:tcBorders>
              <w:top w:val="single" w:color="000000" w:sz="4" w:space="0"/>
              <w:left w:val="double" w:color="000000" w:sz="4" w:space="0"/>
              <w:bottom w:val="single" w:color="000000" w:sz="4" w:space="0"/>
              <w:right w:val="single" w:color="000000" w:sz="4" w:space="0"/>
            </w:tcBorders>
            <w:tcMar>
              <w:top w:w="0" w:type="dxa"/>
              <w:left w:w="105" w:type="dxa"/>
              <w:bottom w:w="0" w:type="dxa"/>
              <w:right w:w="105" w:type="dxa"/>
            </w:tcMar>
            <w:vAlign w:val="top"/>
          </w:tcPr>
          <w:p w14:paraId="0B2BA299">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7</w:t>
            </w:r>
          </w:p>
        </w:tc>
        <w:tc>
          <w:tcPr>
            <w:tcW w:w="1005"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3AFA3088">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安全视频监控管理一体化平台(评审项216)</w:t>
            </w:r>
          </w:p>
        </w:tc>
        <w:tc>
          <w:tcPr>
            <w:tcW w:w="5376"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24E8149B">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1、支持视频监控接入≥50路、门禁接入≥16路；</w:t>
            </w:r>
            <w:r>
              <w:rPr>
                <w:rFonts w:hint="eastAsia" w:ascii="宋体" w:hAnsi="宋体" w:eastAsia="宋体" w:cs="宋体"/>
                <w:sz w:val="24"/>
                <w:szCs w:val="24"/>
              </w:rPr>
              <w:br w:type="textWrapping"/>
            </w:r>
            <w:r>
              <w:rPr>
                <w:rFonts w:hint="eastAsia" w:ascii="宋体" w:hAnsi="宋体" w:eastAsia="宋体" w:cs="宋体"/>
                <w:sz w:val="24"/>
                <w:szCs w:val="24"/>
              </w:rPr>
              <w:t>2、支持通过双向认证接入管理安全门禁系统和视频设备；</w:t>
            </w:r>
            <w:r>
              <w:rPr>
                <w:rFonts w:hint="eastAsia" w:ascii="宋体" w:hAnsi="宋体" w:eastAsia="宋体" w:cs="宋体"/>
                <w:sz w:val="24"/>
                <w:szCs w:val="24"/>
              </w:rPr>
              <w:br w:type="textWrapping"/>
            </w:r>
            <w:r>
              <w:rPr>
                <w:rFonts w:hint="eastAsia" w:ascii="宋体" w:hAnsi="宋体" w:eastAsia="宋体" w:cs="宋体"/>
                <w:sz w:val="24"/>
                <w:szCs w:val="24"/>
              </w:rPr>
              <w:t>3、支持客户端从平台端拉取设备的音视频流加密传输；</w:t>
            </w:r>
            <w:r>
              <w:rPr>
                <w:rFonts w:hint="eastAsia" w:ascii="宋体" w:hAnsi="宋体" w:eastAsia="宋体" w:cs="宋体"/>
                <w:sz w:val="24"/>
                <w:szCs w:val="24"/>
              </w:rPr>
              <w:br w:type="textWrapping"/>
            </w:r>
            <w:r>
              <w:rPr>
                <w:rFonts w:hint="eastAsia" w:ascii="宋体" w:hAnsi="宋体" w:eastAsia="宋体" w:cs="宋体"/>
                <w:sz w:val="24"/>
                <w:szCs w:val="24"/>
              </w:rPr>
              <w:t>4、支持智能密码钥匙被拔出后，支持在Web端/客户端弹窗提醒，并强制将用户退出；</w:t>
            </w:r>
            <w:r>
              <w:rPr>
                <w:rFonts w:hint="eastAsia" w:ascii="宋体" w:hAnsi="宋体" w:eastAsia="宋体" w:cs="宋体"/>
                <w:sz w:val="24"/>
                <w:szCs w:val="24"/>
              </w:rPr>
              <w:br w:type="textWrapping"/>
            </w:r>
            <w:r>
              <w:rPr>
                <w:rFonts w:hint="eastAsia" w:ascii="宋体" w:hAnsi="宋体" w:eastAsia="宋体" w:cs="宋体"/>
                <w:sz w:val="24"/>
                <w:szCs w:val="24"/>
              </w:rPr>
              <w:t>5、存储时间不少于180天。</w:t>
            </w:r>
            <w:r>
              <w:rPr>
                <w:rFonts w:hint="eastAsia" w:ascii="宋体" w:hAnsi="宋体" w:eastAsia="宋体" w:cs="宋体"/>
                <w:sz w:val="24"/>
                <w:szCs w:val="24"/>
              </w:rPr>
              <w:br w:type="textWrapping"/>
            </w:r>
            <w:r>
              <w:rPr>
                <w:rFonts w:hint="eastAsia" w:ascii="宋体" w:hAnsi="宋体" w:eastAsia="宋体" w:cs="宋体"/>
                <w:sz w:val="24"/>
                <w:szCs w:val="24"/>
              </w:rPr>
              <w:t>6、支持视频外发功能，可设置外发视频的用户口令、播放次数、使用期限；外发的视频文件需在预设的使用期限内和播放次数范围内使用专用的播放器才可正常播放。</w:t>
            </w:r>
            <w:r>
              <w:rPr>
                <w:rFonts w:hint="eastAsia" w:ascii="宋体" w:hAnsi="宋体" w:eastAsia="宋体" w:cs="宋体"/>
                <w:sz w:val="24"/>
                <w:szCs w:val="24"/>
              </w:rPr>
              <w:br w:type="textWrapping"/>
            </w:r>
            <w:r>
              <w:rPr>
                <w:rFonts w:hint="eastAsia" w:ascii="宋体" w:hAnsi="宋体" w:eastAsia="宋体" w:cs="宋体"/>
                <w:sz w:val="24"/>
                <w:szCs w:val="24"/>
              </w:rPr>
              <w:t>7、支持对实时预览画面、视频回放、下载的视频和抓拍的图片添加水印，水印内容包括：当前登录用户名、终端IP地址、终端MAC地址、系统时间和自定义信息。水印字号、粗细、旋转角度、字体颜色、下划线、斜体等属性可灵活配置。</w:t>
            </w:r>
          </w:p>
          <w:p w14:paraId="1DD1E0B4">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8、支持对用户登录、视频预览/回放/下载/导出、门禁事件等关键行为进行详细日志记录，并通过数字签名技术进行记录完整性保护。日志记录的内容至少应包括事件的日期、时间、发起者信息、类型、描述和结果等；提供对审计记录数据的统计、查询功能。</w:t>
            </w:r>
          </w:p>
        </w:tc>
        <w:tc>
          <w:tcPr>
            <w:tcW w:w="605"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148E2427">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1</w:t>
            </w:r>
          </w:p>
        </w:tc>
        <w:tc>
          <w:tcPr>
            <w:tcW w:w="635" w:type="dxa"/>
            <w:tcBorders>
              <w:top w:val="single" w:color="000000" w:sz="4" w:space="0"/>
              <w:left w:val="single" w:color="000000" w:sz="4" w:space="0"/>
              <w:bottom w:val="single" w:color="000000" w:sz="4" w:space="0"/>
              <w:right w:val="double" w:color="000000" w:sz="4" w:space="0"/>
            </w:tcBorders>
            <w:tcMar>
              <w:top w:w="0" w:type="dxa"/>
              <w:left w:w="105" w:type="dxa"/>
              <w:bottom w:w="0" w:type="dxa"/>
              <w:right w:w="105" w:type="dxa"/>
            </w:tcMar>
            <w:vAlign w:val="top"/>
          </w:tcPr>
          <w:p w14:paraId="028EEC27">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套</w:t>
            </w:r>
          </w:p>
        </w:tc>
      </w:tr>
      <w:tr w14:paraId="0835D46E">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400" w:type="dxa"/>
            <w:tcBorders>
              <w:top w:val="single" w:color="000000" w:sz="4" w:space="0"/>
              <w:left w:val="double" w:color="000000" w:sz="4" w:space="0"/>
              <w:bottom w:val="single" w:color="000000" w:sz="4" w:space="0"/>
              <w:right w:val="single" w:color="000000" w:sz="4" w:space="0"/>
            </w:tcBorders>
            <w:tcMar>
              <w:top w:w="0" w:type="dxa"/>
              <w:left w:w="105" w:type="dxa"/>
              <w:bottom w:w="0" w:type="dxa"/>
              <w:right w:w="105" w:type="dxa"/>
            </w:tcMar>
            <w:vAlign w:val="top"/>
          </w:tcPr>
          <w:p w14:paraId="7A85A907">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8</w:t>
            </w:r>
          </w:p>
        </w:tc>
        <w:tc>
          <w:tcPr>
            <w:tcW w:w="1005"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08FBCD84">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国密门禁(评审项217)</w:t>
            </w:r>
          </w:p>
        </w:tc>
        <w:tc>
          <w:tcPr>
            <w:tcW w:w="5376"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2FEA74B7">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1、设备关键器件均为国产品牌，包括主控芯片、内存、eMMC。</w:t>
            </w:r>
            <w:r>
              <w:rPr>
                <w:rFonts w:hint="eastAsia" w:ascii="宋体" w:hAnsi="宋体" w:eastAsia="宋体" w:cs="宋体"/>
                <w:sz w:val="24"/>
                <w:szCs w:val="24"/>
              </w:rPr>
              <w:br w:type="textWrapping"/>
            </w:r>
            <w:r>
              <w:rPr>
                <w:rFonts w:hint="eastAsia" w:ascii="宋体" w:hAnsi="宋体" w:eastAsia="宋体" w:cs="宋体"/>
                <w:sz w:val="24"/>
                <w:szCs w:val="24"/>
              </w:rPr>
              <w:t>2、显示屏≥7英寸；</w:t>
            </w:r>
            <w:r>
              <w:rPr>
                <w:rFonts w:hint="eastAsia" w:ascii="宋体" w:hAnsi="宋体" w:eastAsia="宋体" w:cs="宋体"/>
                <w:sz w:val="24"/>
                <w:szCs w:val="24"/>
              </w:rPr>
              <w:br w:type="textWrapping"/>
            </w:r>
            <w:r>
              <w:rPr>
                <w:rFonts w:hint="eastAsia" w:ascii="宋体" w:hAnsi="宋体" w:eastAsia="宋体" w:cs="宋体"/>
                <w:sz w:val="24"/>
                <w:szCs w:val="24"/>
              </w:rPr>
              <w:t>3、屏幕类型：电容触摸屏;</w:t>
            </w:r>
            <w:r>
              <w:rPr>
                <w:rFonts w:hint="eastAsia" w:ascii="宋体" w:hAnsi="宋体" w:eastAsia="宋体" w:cs="宋体"/>
                <w:sz w:val="24"/>
                <w:szCs w:val="24"/>
              </w:rPr>
              <w:br w:type="textWrapping"/>
            </w:r>
            <w:r>
              <w:rPr>
                <w:rFonts w:hint="eastAsia" w:ascii="宋体" w:hAnsi="宋体" w:eastAsia="宋体" w:cs="宋体"/>
                <w:sz w:val="24"/>
                <w:szCs w:val="24"/>
              </w:rPr>
              <w:t>4、显示屏分辨率≥600(H)×1024(V)；</w:t>
            </w:r>
            <w:r>
              <w:rPr>
                <w:rFonts w:hint="eastAsia" w:ascii="宋体" w:hAnsi="宋体" w:eastAsia="宋体" w:cs="宋体"/>
                <w:sz w:val="24"/>
                <w:szCs w:val="24"/>
              </w:rPr>
              <w:br w:type="textWrapping"/>
            </w:r>
            <w:r>
              <w:rPr>
                <w:rFonts w:hint="eastAsia" w:ascii="宋体" w:hAnsi="宋体" w:eastAsia="宋体" w:cs="宋体"/>
                <w:sz w:val="24"/>
                <w:szCs w:val="24"/>
              </w:rPr>
              <w:t>5、摄像头：≥2MP CMOS高清双摄像头；</w:t>
            </w:r>
            <w:r>
              <w:rPr>
                <w:rFonts w:hint="eastAsia" w:ascii="宋体" w:hAnsi="宋体" w:eastAsia="宋体" w:cs="宋体"/>
                <w:sz w:val="24"/>
                <w:szCs w:val="24"/>
              </w:rPr>
              <w:br w:type="textWrapping"/>
            </w:r>
            <w:r>
              <w:rPr>
                <w:rFonts w:hint="eastAsia" w:ascii="宋体" w:hAnsi="宋体" w:eastAsia="宋体" w:cs="宋体"/>
                <w:sz w:val="24"/>
                <w:szCs w:val="24"/>
              </w:rPr>
              <w:t>6、内置通过国家密码管理局检测认证的安全芯片密码模块；</w:t>
            </w:r>
            <w:r>
              <w:rPr>
                <w:rFonts w:hint="eastAsia" w:ascii="宋体" w:hAnsi="宋体" w:eastAsia="宋体" w:cs="宋体"/>
                <w:sz w:val="24"/>
                <w:szCs w:val="24"/>
              </w:rPr>
              <w:br w:type="textWrapping"/>
            </w:r>
            <w:r>
              <w:rPr>
                <w:rFonts w:hint="eastAsia" w:ascii="宋体" w:hAnsi="宋体" w:eastAsia="宋体" w:cs="宋体"/>
                <w:sz w:val="24"/>
                <w:szCs w:val="24"/>
              </w:rPr>
              <w:t>7、支持基于数字证书的设备接入认证能力；</w:t>
            </w:r>
            <w:r>
              <w:rPr>
                <w:rFonts w:hint="eastAsia" w:ascii="宋体" w:hAnsi="宋体" w:eastAsia="宋体" w:cs="宋体"/>
                <w:sz w:val="24"/>
                <w:szCs w:val="24"/>
              </w:rPr>
              <w:br w:type="textWrapping"/>
            </w:r>
            <w:r>
              <w:rPr>
                <w:rFonts w:hint="eastAsia" w:ascii="宋体" w:hAnsi="宋体" w:eastAsia="宋体" w:cs="宋体"/>
                <w:sz w:val="24"/>
                <w:szCs w:val="24"/>
              </w:rPr>
              <w:t>8、支持基于国家商用密码算法的信令认证能力；</w:t>
            </w:r>
            <w:r>
              <w:rPr>
                <w:rFonts w:hint="eastAsia" w:ascii="宋体" w:hAnsi="宋体" w:eastAsia="宋体" w:cs="宋体"/>
                <w:sz w:val="24"/>
                <w:szCs w:val="24"/>
              </w:rPr>
              <w:br w:type="textWrapping"/>
            </w:r>
            <w:r>
              <w:rPr>
                <w:rFonts w:hint="eastAsia" w:ascii="宋体" w:hAnsi="宋体" w:eastAsia="宋体" w:cs="宋体"/>
                <w:sz w:val="24"/>
                <w:szCs w:val="24"/>
              </w:rPr>
              <w:t>9、支持符合国家商用密码算法标准的证书请求文件导出；</w:t>
            </w:r>
            <w:r>
              <w:rPr>
                <w:rFonts w:hint="eastAsia" w:ascii="宋体" w:hAnsi="宋体" w:eastAsia="宋体" w:cs="宋体"/>
                <w:sz w:val="24"/>
                <w:szCs w:val="24"/>
              </w:rPr>
              <w:br w:type="textWrapping"/>
            </w:r>
            <w:r>
              <w:rPr>
                <w:rFonts w:hint="eastAsia" w:ascii="宋体" w:hAnsi="宋体" w:eastAsia="宋体" w:cs="宋体"/>
                <w:sz w:val="24"/>
                <w:szCs w:val="24"/>
              </w:rPr>
              <w:t>10、支持符合国家商用密码算法标准的数字证书导入管理，用于平台/设备接入认证；</w:t>
            </w:r>
            <w:r>
              <w:rPr>
                <w:rFonts w:hint="eastAsia" w:ascii="宋体" w:hAnsi="宋体" w:eastAsia="宋体" w:cs="宋体"/>
                <w:sz w:val="24"/>
                <w:szCs w:val="24"/>
              </w:rPr>
              <w:br w:type="textWrapping"/>
            </w:r>
            <w:r>
              <w:rPr>
                <w:rFonts w:hint="eastAsia" w:ascii="宋体" w:hAnsi="宋体" w:eastAsia="宋体" w:cs="宋体"/>
                <w:sz w:val="24"/>
                <w:szCs w:val="24"/>
              </w:rPr>
              <w:t>11、存储：人脸容量≥10000张；用户容量≥10000个；卡片容量≥50000张；密码容量≥10000个；存储记录数量≥150000个</w:t>
            </w:r>
            <w:r>
              <w:rPr>
                <w:rFonts w:hint="eastAsia" w:ascii="宋体" w:hAnsi="宋体" w:eastAsia="宋体" w:cs="宋体"/>
                <w:sz w:val="24"/>
                <w:szCs w:val="24"/>
              </w:rPr>
              <w:br w:type="textWrapping"/>
            </w:r>
            <w:r>
              <w:rPr>
                <w:rFonts w:hint="eastAsia" w:ascii="宋体" w:hAnsi="宋体" w:eastAsia="宋体" w:cs="宋体"/>
                <w:sz w:val="24"/>
                <w:szCs w:val="24"/>
              </w:rPr>
              <w:t>12.应支持根据比对结果，输出开关量信号联动门禁等设备；支持通过 RS-485 接口或 Wiegand 接口外接读卡器，实现刷卡功能；支持通过 RS-485 接口或 Wiegand 接口外接门禁一体机；支持通过网络或 RS-485 与电梯做联动控制；支持联动电梯实现呼梯和楼层权限控制。</w:t>
            </w:r>
            <w:r>
              <w:rPr>
                <w:rFonts w:hint="eastAsia" w:ascii="宋体" w:hAnsi="宋体" w:eastAsia="宋体" w:cs="宋体"/>
                <w:sz w:val="24"/>
                <w:szCs w:val="24"/>
              </w:rPr>
              <w:br w:type="textWrapping"/>
            </w:r>
            <w:r>
              <w:rPr>
                <w:rFonts w:hint="eastAsia" w:ascii="宋体" w:hAnsi="宋体" w:eastAsia="宋体" w:cs="宋体"/>
                <w:sz w:val="24"/>
                <w:szCs w:val="24"/>
              </w:rPr>
              <w:t>13. ▲应支持在管理中心远程视频预览功能；应支持与管理平台或客户端中心、室内机、管理机、手机 APP 可视对讲功能；应支持配置一键呼叫管理机或室内机的可视对讲功能；应支持与广播主机呼叫对讲功能，实现与广播系统对讲功能；应支持中心广播主机向设备广播喊话；支持本地非明文存储比对结果、身份信息及抓拍人脸照片；支持实时非明文上传比对结果、身份信息及抓拍人脸照片等至管理中心；支持断网续传离线记录非明文数据功能；支持对 USB 导出数据（事件记录及人脸等）应采用非明文方案；支持抓拍图片本地存储功能开启/关闭；支持抓拍图片上传管理平台软件功能开启/关闭；支持设备本地比对结果用户信息脱敏显示功能开启/关闭，即隐藏姓名和工号信息；用户数据及比对记录采用非明文方式导出。</w:t>
            </w:r>
            <w:r>
              <w:rPr>
                <w:rFonts w:hint="eastAsia" w:ascii="宋体" w:hAnsi="宋体" w:eastAsia="宋体" w:cs="宋体"/>
                <w:b/>
                <w:sz w:val="24"/>
                <w:szCs w:val="24"/>
              </w:rPr>
              <w:t>（投标人须提供测试报告进行佐证，测试报告中受检（或委托）单位须为相应产品的制造商或投标人）</w:t>
            </w:r>
          </w:p>
          <w:p w14:paraId="0100F00B">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14、配套一台录入仪</w:t>
            </w:r>
          </w:p>
        </w:tc>
        <w:tc>
          <w:tcPr>
            <w:tcW w:w="605"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682D16E4">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2</w:t>
            </w:r>
          </w:p>
        </w:tc>
        <w:tc>
          <w:tcPr>
            <w:tcW w:w="635" w:type="dxa"/>
            <w:tcBorders>
              <w:top w:val="single" w:color="000000" w:sz="4" w:space="0"/>
              <w:left w:val="single" w:color="000000" w:sz="4" w:space="0"/>
              <w:bottom w:val="single" w:color="000000" w:sz="4" w:space="0"/>
              <w:right w:val="double" w:color="000000" w:sz="4" w:space="0"/>
            </w:tcBorders>
            <w:tcMar>
              <w:top w:w="0" w:type="dxa"/>
              <w:left w:w="105" w:type="dxa"/>
              <w:bottom w:w="0" w:type="dxa"/>
              <w:right w:w="105" w:type="dxa"/>
            </w:tcMar>
            <w:vAlign w:val="top"/>
          </w:tcPr>
          <w:p w14:paraId="7D7F131C">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台</w:t>
            </w:r>
          </w:p>
        </w:tc>
      </w:tr>
      <w:tr w14:paraId="360F3592">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400" w:type="dxa"/>
            <w:tcBorders>
              <w:top w:val="single" w:color="000000" w:sz="4" w:space="0"/>
              <w:left w:val="double" w:color="000000" w:sz="4" w:space="0"/>
              <w:bottom w:val="single" w:color="000000" w:sz="4" w:space="0"/>
              <w:right w:val="single" w:color="000000" w:sz="4" w:space="0"/>
            </w:tcBorders>
            <w:tcMar>
              <w:top w:w="0" w:type="dxa"/>
              <w:left w:w="105" w:type="dxa"/>
              <w:bottom w:w="0" w:type="dxa"/>
              <w:right w:w="105" w:type="dxa"/>
            </w:tcMar>
            <w:vAlign w:val="top"/>
          </w:tcPr>
          <w:p w14:paraId="00DD2559">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9</w:t>
            </w:r>
          </w:p>
        </w:tc>
        <w:tc>
          <w:tcPr>
            <w:tcW w:w="1005"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194166B4">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国密安防接入网关(评审项218)</w:t>
            </w:r>
          </w:p>
        </w:tc>
        <w:tc>
          <w:tcPr>
            <w:tcW w:w="5376"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5B72B9CB">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1、主处理器：高性能嵌入式处理器；</w:t>
            </w:r>
            <w:r>
              <w:rPr>
                <w:rFonts w:hint="eastAsia" w:ascii="宋体" w:hAnsi="宋体" w:eastAsia="宋体" w:cs="宋体"/>
                <w:sz w:val="24"/>
                <w:szCs w:val="24"/>
              </w:rPr>
              <w:br w:type="textWrapping"/>
            </w:r>
            <w:r>
              <w:rPr>
                <w:rFonts w:hint="eastAsia" w:ascii="宋体" w:hAnsi="宋体" w:eastAsia="宋体" w:cs="宋体"/>
                <w:sz w:val="24"/>
                <w:szCs w:val="24"/>
              </w:rPr>
              <w:t>2、网络协议：IPv4；UDP；P2P；TCP；</w:t>
            </w:r>
            <w:r>
              <w:rPr>
                <w:rFonts w:hint="eastAsia" w:ascii="宋体" w:hAnsi="宋体" w:eastAsia="宋体" w:cs="宋体"/>
                <w:sz w:val="24"/>
                <w:szCs w:val="24"/>
              </w:rPr>
              <w:br w:type="textWrapping"/>
            </w:r>
            <w:r>
              <w:rPr>
                <w:rFonts w:hint="eastAsia" w:ascii="宋体" w:hAnsi="宋体" w:eastAsia="宋体" w:cs="宋体"/>
                <w:sz w:val="24"/>
                <w:szCs w:val="24"/>
              </w:rPr>
              <w:t>3、支持OSDP协议、接入CGI标准；</w:t>
            </w:r>
            <w:r>
              <w:rPr>
                <w:rFonts w:hint="eastAsia" w:ascii="宋体" w:hAnsi="宋体" w:eastAsia="宋体" w:cs="宋体"/>
                <w:sz w:val="24"/>
                <w:szCs w:val="24"/>
              </w:rPr>
              <w:br w:type="textWrapping"/>
            </w:r>
            <w:r>
              <w:rPr>
                <w:rFonts w:hint="eastAsia" w:ascii="宋体" w:hAnsi="宋体" w:eastAsia="宋体" w:cs="宋体"/>
                <w:sz w:val="24"/>
                <w:szCs w:val="24"/>
              </w:rPr>
              <w:t>4、内置通过国家密码管理局检测认证的安全芯片密码模块；</w:t>
            </w:r>
            <w:r>
              <w:rPr>
                <w:rFonts w:hint="eastAsia" w:ascii="宋体" w:hAnsi="宋体" w:eastAsia="宋体" w:cs="宋体"/>
                <w:sz w:val="24"/>
                <w:szCs w:val="24"/>
              </w:rPr>
              <w:br w:type="textWrapping"/>
            </w:r>
            <w:r>
              <w:rPr>
                <w:rFonts w:hint="eastAsia" w:ascii="宋体" w:hAnsi="宋体" w:eastAsia="宋体" w:cs="宋体"/>
                <w:sz w:val="24"/>
                <w:szCs w:val="24"/>
              </w:rPr>
              <w:t>5、用户容量≥100000；指纹容量≥10000；卡片容量≥100000；存储记录数量≥500000；</w:t>
            </w:r>
            <w:r>
              <w:rPr>
                <w:rFonts w:hint="eastAsia" w:ascii="宋体" w:hAnsi="宋体" w:eastAsia="宋体" w:cs="宋体"/>
                <w:sz w:val="24"/>
                <w:szCs w:val="24"/>
              </w:rPr>
              <w:br w:type="textWrapping"/>
            </w:r>
            <w:r>
              <w:rPr>
                <w:rFonts w:hint="eastAsia" w:ascii="宋体" w:hAnsi="宋体" w:eastAsia="宋体" w:cs="宋体"/>
                <w:sz w:val="24"/>
                <w:szCs w:val="24"/>
              </w:rPr>
              <w:t>6、RS-485接口≥7个；韦根接口≥2路输入；网络接口≥1个RJ-45，；</w:t>
            </w:r>
            <w:r>
              <w:rPr>
                <w:rFonts w:hint="eastAsia" w:ascii="宋体" w:hAnsi="宋体" w:eastAsia="宋体" w:cs="宋体"/>
                <w:sz w:val="24"/>
                <w:szCs w:val="24"/>
              </w:rPr>
              <w:br w:type="textWrapping"/>
            </w:r>
            <w:r>
              <w:rPr>
                <w:rFonts w:hint="eastAsia" w:ascii="宋体" w:hAnsi="宋体" w:eastAsia="宋体" w:cs="宋体"/>
                <w:sz w:val="24"/>
                <w:szCs w:val="24"/>
              </w:rPr>
              <w:t>7、报警输入≥5路（其中1路为消防接口，另外4路均支持多态报警，含正常/报警/短路/断路四态；</w:t>
            </w:r>
            <w:r>
              <w:rPr>
                <w:rFonts w:hint="eastAsia" w:ascii="宋体" w:hAnsi="宋体" w:eastAsia="宋体" w:cs="宋体"/>
                <w:sz w:val="24"/>
                <w:szCs w:val="24"/>
              </w:rPr>
              <w:br w:type="textWrapping"/>
            </w:r>
            <w:r>
              <w:rPr>
                <w:rFonts w:hint="eastAsia" w:ascii="宋体" w:hAnsi="宋体" w:eastAsia="宋体" w:cs="宋体"/>
                <w:sz w:val="24"/>
                <w:szCs w:val="24"/>
              </w:rPr>
              <w:t>8、本设备包含≥ 1个网口</w:t>
            </w:r>
            <w:r>
              <w:rPr>
                <w:rFonts w:hint="eastAsia" w:ascii="宋体" w:hAnsi="宋体" w:eastAsia="宋体" w:cs="宋体"/>
                <w:sz w:val="24"/>
                <w:szCs w:val="24"/>
              </w:rPr>
              <w:br w:type="textWrapping"/>
            </w:r>
            <w:r>
              <w:rPr>
                <w:rFonts w:hint="eastAsia" w:ascii="宋体" w:hAnsi="宋体" w:eastAsia="宋体" w:cs="宋体"/>
                <w:sz w:val="24"/>
                <w:szCs w:val="24"/>
              </w:rPr>
              <w:t>9.设备应支持有线网络10M/100M/1000M网络自适应，支持和云平台通信，支持通过IPV4或IPV6登录，支持被≥4个客户端软件同时实时监听。</w:t>
            </w:r>
            <w:r>
              <w:rPr>
                <w:rFonts w:hint="eastAsia" w:ascii="宋体" w:hAnsi="宋体" w:eastAsia="宋体" w:cs="宋体"/>
                <w:b/>
                <w:sz w:val="24"/>
                <w:szCs w:val="24"/>
              </w:rPr>
              <w:t>（投标人须提供测试报告进行佐证，测试报告中受检（或委托）单位须为相应产品的制造商或投标人）</w:t>
            </w:r>
            <w:r>
              <w:rPr>
                <w:rFonts w:hint="eastAsia" w:ascii="宋体" w:hAnsi="宋体" w:eastAsia="宋体" w:cs="宋体"/>
                <w:sz w:val="24"/>
                <w:szCs w:val="24"/>
              </w:rPr>
              <w:br w:type="textWrapping"/>
            </w:r>
            <w:r>
              <w:rPr>
                <w:rFonts w:hint="eastAsia" w:ascii="宋体" w:hAnsi="宋体" w:eastAsia="宋体" w:cs="宋体"/>
                <w:sz w:val="24"/>
                <w:szCs w:val="24"/>
              </w:rPr>
              <w:t>10.设备应采用嵌入式Linux系统，运行内存≥256M，存储容量≥4G。</w:t>
            </w:r>
          </w:p>
        </w:tc>
        <w:tc>
          <w:tcPr>
            <w:tcW w:w="605"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7AFB9681">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1</w:t>
            </w:r>
          </w:p>
        </w:tc>
        <w:tc>
          <w:tcPr>
            <w:tcW w:w="635" w:type="dxa"/>
            <w:tcBorders>
              <w:top w:val="single" w:color="000000" w:sz="4" w:space="0"/>
              <w:left w:val="single" w:color="000000" w:sz="4" w:space="0"/>
              <w:bottom w:val="single" w:color="000000" w:sz="4" w:space="0"/>
              <w:right w:val="double" w:color="000000" w:sz="4" w:space="0"/>
            </w:tcBorders>
            <w:tcMar>
              <w:top w:w="0" w:type="dxa"/>
              <w:left w:w="105" w:type="dxa"/>
              <w:bottom w:w="0" w:type="dxa"/>
              <w:right w:w="105" w:type="dxa"/>
            </w:tcMar>
            <w:vAlign w:val="top"/>
          </w:tcPr>
          <w:p w14:paraId="7630529A">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台</w:t>
            </w:r>
          </w:p>
        </w:tc>
      </w:tr>
      <w:tr w14:paraId="0B293875">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400" w:type="dxa"/>
            <w:tcBorders>
              <w:top w:val="single" w:color="000000" w:sz="4" w:space="0"/>
              <w:left w:val="double" w:color="000000" w:sz="4" w:space="0"/>
              <w:bottom w:val="single" w:color="000000" w:sz="4" w:space="0"/>
              <w:right w:val="single" w:color="000000" w:sz="4" w:space="0"/>
            </w:tcBorders>
            <w:tcMar>
              <w:top w:w="0" w:type="dxa"/>
              <w:left w:w="105" w:type="dxa"/>
              <w:bottom w:w="0" w:type="dxa"/>
              <w:right w:w="105" w:type="dxa"/>
            </w:tcMar>
            <w:vAlign w:val="top"/>
          </w:tcPr>
          <w:p w14:paraId="5304880E">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10</w:t>
            </w:r>
          </w:p>
        </w:tc>
        <w:tc>
          <w:tcPr>
            <w:tcW w:w="1005"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422D6171">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国密PSAM卡(评审项219)</w:t>
            </w:r>
          </w:p>
        </w:tc>
        <w:tc>
          <w:tcPr>
            <w:tcW w:w="5376"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49237D0A">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1、内嵌智能卡操作系统；</w:t>
            </w:r>
            <w:r>
              <w:rPr>
                <w:rFonts w:hint="eastAsia" w:ascii="宋体" w:hAnsi="宋体" w:eastAsia="宋体" w:cs="宋体"/>
                <w:sz w:val="24"/>
                <w:szCs w:val="24"/>
              </w:rPr>
              <w:br w:type="textWrapping"/>
            </w:r>
            <w:r>
              <w:rPr>
                <w:rFonts w:hint="eastAsia" w:ascii="宋体" w:hAnsi="宋体" w:eastAsia="宋体" w:cs="宋体"/>
                <w:sz w:val="24"/>
                <w:szCs w:val="24"/>
              </w:rPr>
              <w:t>2、应用密钥和传输均支持采用RSA算法，同时也支持联合模式（加密加MAC）的密钥写入与更新；</w:t>
            </w:r>
            <w:r>
              <w:rPr>
                <w:rFonts w:hint="eastAsia" w:ascii="宋体" w:hAnsi="宋体" w:eastAsia="宋体" w:cs="宋体"/>
                <w:sz w:val="24"/>
                <w:szCs w:val="24"/>
              </w:rPr>
              <w:br w:type="textWrapping"/>
            </w:r>
            <w:r>
              <w:rPr>
                <w:rFonts w:hint="eastAsia" w:ascii="宋体" w:hAnsi="宋体" w:eastAsia="宋体" w:cs="宋体"/>
                <w:sz w:val="24"/>
                <w:szCs w:val="24"/>
              </w:rPr>
              <w:t>3、支持典型的操作系统命令，还支持用于消费交易管理和密钥管理命令；</w:t>
            </w:r>
            <w:r>
              <w:rPr>
                <w:rFonts w:hint="eastAsia" w:ascii="宋体" w:hAnsi="宋体" w:eastAsia="宋体" w:cs="宋体"/>
                <w:sz w:val="24"/>
                <w:szCs w:val="24"/>
              </w:rPr>
              <w:br w:type="textWrapping"/>
            </w:r>
            <w:r>
              <w:rPr>
                <w:rFonts w:hint="eastAsia" w:ascii="宋体" w:hAnsi="宋体" w:eastAsia="宋体" w:cs="宋体"/>
                <w:sz w:val="24"/>
                <w:szCs w:val="24"/>
              </w:rPr>
              <w:t>4、支持T=0传输协议，允许通过PPS来改变后续字节的传输速率，最高可达38400bps。</w:t>
            </w:r>
            <w:r>
              <w:rPr>
                <w:rFonts w:hint="eastAsia" w:ascii="宋体" w:hAnsi="宋体" w:eastAsia="宋体" w:cs="宋体"/>
                <w:sz w:val="24"/>
                <w:szCs w:val="24"/>
              </w:rPr>
              <w:br w:type="textWrapping"/>
            </w:r>
            <w:r>
              <w:rPr>
                <w:rFonts w:hint="eastAsia" w:ascii="宋体" w:hAnsi="宋体" w:eastAsia="宋体" w:cs="宋体"/>
                <w:sz w:val="24"/>
                <w:szCs w:val="24"/>
              </w:rPr>
              <w:t>5、在通讯过程中支持多种安全保护机制（信息的机密和完整性保护）。</w:t>
            </w:r>
          </w:p>
        </w:tc>
        <w:tc>
          <w:tcPr>
            <w:tcW w:w="605"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06EC9BD7">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1</w:t>
            </w:r>
          </w:p>
        </w:tc>
        <w:tc>
          <w:tcPr>
            <w:tcW w:w="635" w:type="dxa"/>
            <w:tcBorders>
              <w:top w:val="single" w:color="000000" w:sz="4" w:space="0"/>
              <w:left w:val="single" w:color="000000" w:sz="4" w:space="0"/>
              <w:bottom w:val="single" w:color="000000" w:sz="4" w:space="0"/>
              <w:right w:val="double" w:color="000000" w:sz="4" w:space="0"/>
            </w:tcBorders>
            <w:tcMar>
              <w:top w:w="0" w:type="dxa"/>
              <w:left w:w="105" w:type="dxa"/>
              <w:bottom w:w="0" w:type="dxa"/>
              <w:right w:w="105" w:type="dxa"/>
            </w:tcMar>
            <w:vAlign w:val="top"/>
          </w:tcPr>
          <w:p w14:paraId="672E5ECB">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个</w:t>
            </w:r>
          </w:p>
        </w:tc>
      </w:tr>
      <w:tr w14:paraId="7C07A6E1">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400" w:type="dxa"/>
            <w:tcBorders>
              <w:top w:val="single" w:color="000000" w:sz="4" w:space="0"/>
              <w:left w:val="double" w:color="000000" w:sz="4" w:space="0"/>
              <w:bottom w:val="double" w:color="000000" w:sz="4" w:space="0"/>
              <w:right w:val="single" w:color="000000" w:sz="4" w:space="0"/>
            </w:tcBorders>
            <w:tcMar>
              <w:top w:w="0" w:type="dxa"/>
              <w:left w:w="105" w:type="dxa"/>
              <w:bottom w:w="0" w:type="dxa"/>
              <w:right w:w="105" w:type="dxa"/>
            </w:tcMar>
            <w:vAlign w:val="top"/>
          </w:tcPr>
          <w:p w14:paraId="77102EE8">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11</w:t>
            </w:r>
          </w:p>
        </w:tc>
        <w:tc>
          <w:tcPr>
            <w:tcW w:w="1005" w:type="dxa"/>
            <w:tcBorders>
              <w:top w:val="single" w:color="000000" w:sz="4" w:space="0"/>
              <w:left w:val="single" w:color="000000" w:sz="4" w:space="0"/>
              <w:bottom w:val="double" w:color="000000" w:sz="4" w:space="0"/>
              <w:right w:val="single" w:color="000000" w:sz="4" w:space="0"/>
            </w:tcBorders>
            <w:tcMar>
              <w:top w:w="0" w:type="dxa"/>
              <w:left w:w="105" w:type="dxa"/>
              <w:bottom w:w="0" w:type="dxa"/>
              <w:right w:w="105" w:type="dxa"/>
            </w:tcMar>
            <w:vAlign w:val="top"/>
          </w:tcPr>
          <w:p w14:paraId="6BFA447F">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国密监控(评审项220)</w:t>
            </w:r>
          </w:p>
        </w:tc>
        <w:tc>
          <w:tcPr>
            <w:tcW w:w="5376" w:type="dxa"/>
            <w:tcBorders>
              <w:top w:val="single" w:color="000000" w:sz="4" w:space="0"/>
              <w:left w:val="single" w:color="000000" w:sz="4" w:space="0"/>
              <w:bottom w:val="double" w:color="000000" w:sz="4" w:space="0"/>
              <w:right w:val="single" w:color="000000" w:sz="4" w:space="0"/>
            </w:tcBorders>
            <w:tcMar>
              <w:top w:w="0" w:type="dxa"/>
              <w:left w:w="105" w:type="dxa"/>
              <w:bottom w:w="0" w:type="dxa"/>
              <w:right w:w="105" w:type="dxa"/>
            </w:tcMar>
            <w:vAlign w:val="top"/>
          </w:tcPr>
          <w:p w14:paraId="5055A94E">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1、传感器类型：≥1/2.7英寸CMOS，含适配器。</w:t>
            </w:r>
            <w:r>
              <w:rPr>
                <w:rFonts w:hint="eastAsia" w:ascii="宋体" w:hAnsi="宋体" w:eastAsia="宋体" w:cs="宋体"/>
                <w:sz w:val="24"/>
                <w:szCs w:val="24"/>
              </w:rPr>
              <w:br w:type="textWrapping"/>
            </w:r>
            <w:r>
              <w:rPr>
                <w:rFonts w:hint="eastAsia" w:ascii="宋体" w:hAnsi="宋体" w:eastAsia="宋体" w:cs="宋体"/>
                <w:sz w:val="24"/>
                <w:szCs w:val="24"/>
              </w:rPr>
              <w:t>2、像素：≥400万；分辨率：≥2688×1520；</w:t>
            </w:r>
            <w:r>
              <w:rPr>
                <w:rFonts w:hint="eastAsia" w:ascii="宋体" w:hAnsi="宋体" w:eastAsia="宋体" w:cs="宋体"/>
                <w:sz w:val="24"/>
                <w:szCs w:val="24"/>
              </w:rPr>
              <w:br w:type="textWrapping"/>
            </w:r>
            <w:r>
              <w:rPr>
                <w:rFonts w:hint="eastAsia" w:ascii="宋体" w:hAnsi="宋体" w:eastAsia="宋体" w:cs="宋体"/>
                <w:sz w:val="24"/>
                <w:szCs w:val="24"/>
              </w:rPr>
              <w:t>3、补光灯：≥2颗（红外灯）;≥1颗（暖光灯）；</w:t>
            </w:r>
            <w:r>
              <w:rPr>
                <w:rFonts w:hint="eastAsia" w:ascii="宋体" w:hAnsi="宋体" w:eastAsia="宋体" w:cs="宋体"/>
                <w:sz w:val="24"/>
                <w:szCs w:val="24"/>
              </w:rPr>
              <w:br w:type="textWrapping"/>
            </w:r>
            <w:r>
              <w:rPr>
                <w:rFonts w:hint="eastAsia" w:ascii="宋体" w:hAnsi="宋体" w:eastAsia="宋体" w:cs="宋体"/>
                <w:sz w:val="24"/>
                <w:szCs w:val="24"/>
              </w:rPr>
              <w:t>4、红外监控距离≥50米，暖光监控距离≥20米；</w:t>
            </w:r>
            <w:r>
              <w:rPr>
                <w:rFonts w:hint="eastAsia" w:ascii="宋体" w:hAnsi="宋体" w:eastAsia="宋体" w:cs="宋体"/>
                <w:sz w:val="24"/>
                <w:szCs w:val="24"/>
              </w:rPr>
              <w:br w:type="textWrapping"/>
            </w:r>
            <w:r>
              <w:rPr>
                <w:rFonts w:hint="eastAsia" w:ascii="宋体" w:hAnsi="宋体" w:eastAsia="宋体" w:cs="宋体"/>
                <w:sz w:val="24"/>
                <w:szCs w:val="24"/>
              </w:rPr>
              <w:t>5、定焦3.6mm；</w:t>
            </w:r>
            <w:r>
              <w:rPr>
                <w:rFonts w:hint="eastAsia" w:ascii="宋体" w:hAnsi="宋体" w:eastAsia="宋体" w:cs="宋体"/>
                <w:sz w:val="24"/>
                <w:szCs w:val="24"/>
              </w:rPr>
              <w:br w:type="textWrapping"/>
            </w:r>
            <w:r>
              <w:rPr>
                <w:rFonts w:hint="eastAsia" w:ascii="宋体" w:hAnsi="宋体" w:eastAsia="宋体" w:cs="宋体"/>
                <w:sz w:val="24"/>
                <w:szCs w:val="24"/>
              </w:rPr>
              <w:t>6、提供网络摄像机相关商用密码认证证书</w:t>
            </w:r>
            <w:r>
              <w:rPr>
                <w:rFonts w:hint="eastAsia" w:ascii="宋体" w:hAnsi="宋体" w:eastAsia="宋体" w:cs="宋体"/>
                <w:sz w:val="24"/>
                <w:szCs w:val="24"/>
              </w:rPr>
              <w:br w:type="textWrapping"/>
            </w:r>
            <w:r>
              <w:rPr>
                <w:rFonts w:hint="eastAsia" w:ascii="宋体" w:hAnsi="宋体" w:eastAsia="宋体" w:cs="宋体"/>
                <w:sz w:val="24"/>
                <w:szCs w:val="24"/>
              </w:rPr>
              <w:t>7、内置加密芯片，支持国密算法SM1、SM2、SM3、SM4，满足GB/T 39786密评要求。</w:t>
            </w:r>
            <w:r>
              <w:rPr>
                <w:rFonts w:hint="eastAsia" w:ascii="宋体" w:hAnsi="宋体" w:eastAsia="宋体" w:cs="宋体"/>
                <w:sz w:val="24"/>
                <w:szCs w:val="24"/>
              </w:rPr>
              <w:br w:type="textWrapping"/>
            </w:r>
            <w:r>
              <w:rPr>
                <w:rFonts w:hint="eastAsia" w:ascii="宋体" w:hAnsi="宋体" w:eastAsia="宋体" w:cs="宋体"/>
                <w:sz w:val="24"/>
                <w:szCs w:val="24"/>
              </w:rPr>
              <w:t>8.当补光灯打开时，补光亮度应均匀，无明显波纹状、圆环状、麻点状、条纹状及不规则亮斑。</w:t>
            </w:r>
            <w:r>
              <w:rPr>
                <w:rFonts w:hint="eastAsia" w:ascii="宋体" w:hAnsi="宋体" w:eastAsia="宋体" w:cs="宋体"/>
                <w:sz w:val="24"/>
                <w:szCs w:val="24"/>
              </w:rPr>
              <w:br w:type="textWrapping"/>
            </w:r>
            <w:r>
              <w:rPr>
                <w:rFonts w:hint="eastAsia" w:ascii="宋体" w:hAnsi="宋体" w:eastAsia="宋体" w:cs="宋体"/>
                <w:sz w:val="24"/>
                <w:szCs w:val="24"/>
              </w:rPr>
              <w:t>具有≥1个RS485接口、≥1个报警输入接口、≥1个报警输出接口、≥1个音频输入接口、≥1个音频输出接口。</w:t>
            </w:r>
            <w:r>
              <w:rPr>
                <w:rFonts w:hint="eastAsia" w:ascii="宋体" w:hAnsi="宋体" w:eastAsia="宋体" w:cs="宋体"/>
                <w:sz w:val="24"/>
                <w:szCs w:val="24"/>
              </w:rPr>
              <w:br w:type="textWrapping"/>
            </w:r>
            <w:r>
              <w:rPr>
                <w:rFonts w:hint="eastAsia" w:ascii="宋体" w:hAnsi="宋体" w:eastAsia="宋体" w:cs="宋体"/>
                <w:sz w:val="24"/>
                <w:szCs w:val="24"/>
              </w:rPr>
              <w:t>9.最低照度彩色不大于0.0002lx，黑白不大于0.0001lx。</w:t>
            </w:r>
            <w:r>
              <w:rPr>
                <w:rFonts w:hint="eastAsia" w:ascii="宋体" w:hAnsi="宋体" w:eastAsia="宋体" w:cs="宋体"/>
                <w:sz w:val="24"/>
                <w:szCs w:val="24"/>
              </w:rPr>
              <w:br w:type="textWrapping"/>
            </w:r>
            <w:r>
              <w:rPr>
                <w:rFonts w:hint="eastAsia" w:ascii="宋体" w:hAnsi="宋体" w:eastAsia="宋体" w:cs="宋体"/>
                <w:sz w:val="24"/>
                <w:szCs w:val="24"/>
              </w:rPr>
              <w:t>11.宽动态能力不小于120dB。</w:t>
            </w:r>
            <w:r>
              <w:rPr>
                <w:rFonts w:hint="eastAsia" w:ascii="宋体" w:hAnsi="宋体" w:eastAsia="宋体" w:cs="宋体"/>
                <w:sz w:val="24"/>
                <w:szCs w:val="24"/>
              </w:rPr>
              <w:br w:type="textWrapping"/>
            </w:r>
            <w:r>
              <w:rPr>
                <w:rFonts w:hint="eastAsia" w:ascii="宋体" w:hAnsi="宋体" w:eastAsia="宋体" w:cs="宋体"/>
                <w:sz w:val="24"/>
                <w:szCs w:val="24"/>
              </w:rPr>
              <w:t>12.在IE浏览器下，具有设备重启和布防动态报警数据感知与记录功能，布防动态报警数据包括异常掉线、历史布防、实时布防3种类型；可记录报警的开始时间、结束时间、布防类型、报警链路地址、端口、链路续传。</w:t>
            </w:r>
            <w:r>
              <w:rPr>
                <w:rFonts w:hint="eastAsia" w:ascii="宋体" w:hAnsi="宋体" w:eastAsia="宋体" w:cs="宋体"/>
                <w:sz w:val="24"/>
                <w:szCs w:val="24"/>
              </w:rPr>
              <w:br w:type="textWrapping"/>
            </w:r>
            <w:r>
              <w:rPr>
                <w:rFonts w:hint="eastAsia" w:ascii="宋体" w:hAnsi="宋体" w:eastAsia="宋体" w:cs="宋体"/>
                <w:sz w:val="24"/>
                <w:szCs w:val="24"/>
              </w:rPr>
              <w:t>13.支持通过IE浏览器设置登录超时时间，当登录后无操作时长达到设置阈值后，设备自动退出并重新进入登录界面</w:t>
            </w:r>
            <w:r>
              <w:rPr>
                <w:rFonts w:hint="eastAsia" w:ascii="宋体" w:hAnsi="宋体" w:eastAsia="宋体" w:cs="宋体"/>
                <w:sz w:val="24"/>
                <w:szCs w:val="24"/>
              </w:rPr>
              <w:br w:type="textWrapping"/>
            </w:r>
            <w:r>
              <w:rPr>
                <w:rFonts w:hint="eastAsia" w:ascii="宋体" w:hAnsi="宋体" w:eastAsia="宋体" w:cs="宋体"/>
                <w:sz w:val="24"/>
                <w:szCs w:val="24"/>
              </w:rPr>
              <w:t>14.设备具有耀光抑制功能，耀光区域≤1%。</w:t>
            </w:r>
            <w:r>
              <w:rPr>
                <w:rFonts w:hint="eastAsia" w:ascii="宋体" w:hAnsi="宋体" w:eastAsia="宋体" w:cs="宋体"/>
                <w:sz w:val="24"/>
                <w:szCs w:val="24"/>
              </w:rPr>
              <w:br w:type="textWrapping"/>
            </w:r>
            <w:r>
              <w:rPr>
                <w:rFonts w:hint="eastAsia" w:ascii="宋体" w:hAnsi="宋体" w:eastAsia="宋体" w:cs="宋体"/>
                <w:sz w:val="24"/>
                <w:szCs w:val="24"/>
              </w:rPr>
              <w:t>15.支持H.264、H.265、MJPEG视频编码格式，且具有HighProfile编码能力。</w:t>
            </w:r>
            <w:r>
              <w:rPr>
                <w:rFonts w:hint="eastAsia" w:ascii="宋体" w:hAnsi="宋体" w:eastAsia="宋体" w:cs="宋体"/>
                <w:sz w:val="24"/>
                <w:szCs w:val="24"/>
              </w:rPr>
              <w:br w:type="textWrapping"/>
            </w:r>
            <w:r>
              <w:rPr>
                <w:rFonts w:hint="eastAsia" w:ascii="宋体" w:hAnsi="宋体" w:eastAsia="宋体" w:cs="宋体"/>
                <w:sz w:val="24"/>
                <w:szCs w:val="24"/>
              </w:rPr>
              <w:t>16.需配套一台国密录像机和4块6T硬盘</w:t>
            </w:r>
          </w:p>
        </w:tc>
        <w:tc>
          <w:tcPr>
            <w:tcW w:w="605" w:type="dxa"/>
            <w:tcBorders>
              <w:top w:val="single" w:color="000000" w:sz="4" w:space="0"/>
              <w:left w:val="single" w:color="000000" w:sz="4" w:space="0"/>
              <w:bottom w:val="double" w:color="000000" w:sz="4" w:space="0"/>
              <w:right w:val="single" w:color="000000" w:sz="4" w:space="0"/>
            </w:tcBorders>
            <w:tcMar>
              <w:top w:w="0" w:type="dxa"/>
              <w:left w:w="105" w:type="dxa"/>
              <w:bottom w:w="0" w:type="dxa"/>
              <w:right w:w="105" w:type="dxa"/>
            </w:tcMar>
            <w:vAlign w:val="top"/>
          </w:tcPr>
          <w:p w14:paraId="7DE7F7B6">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5</w:t>
            </w:r>
          </w:p>
        </w:tc>
        <w:tc>
          <w:tcPr>
            <w:tcW w:w="635" w:type="dxa"/>
            <w:tcBorders>
              <w:top w:val="single" w:color="000000" w:sz="4" w:space="0"/>
              <w:left w:val="single" w:color="000000" w:sz="4" w:space="0"/>
              <w:bottom w:val="double" w:color="000000" w:sz="4" w:space="0"/>
              <w:right w:val="double" w:color="000000" w:sz="4" w:space="0"/>
            </w:tcBorders>
            <w:tcMar>
              <w:top w:w="0" w:type="dxa"/>
              <w:left w:w="105" w:type="dxa"/>
              <w:bottom w:w="0" w:type="dxa"/>
              <w:right w:w="105" w:type="dxa"/>
            </w:tcMar>
            <w:vAlign w:val="top"/>
          </w:tcPr>
          <w:p w14:paraId="163E6893">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台</w:t>
            </w:r>
          </w:p>
        </w:tc>
      </w:tr>
    </w:tbl>
    <w:p w14:paraId="0D584DAC">
      <w:pPr>
        <w:pStyle w:val="6"/>
        <w:keepNext w:val="0"/>
        <w:keepLines w:val="0"/>
        <w:pageBreakBefore w:val="0"/>
        <w:kinsoku/>
        <w:wordWrap/>
        <w:overflowPunct/>
        <w:topLinePunct w:val="0"/>
        <w:autoSpaceDE/>
        <w:autoSpaceDN/>
        <w:bidi w:val="0"/>
        <w:adjustRightInd/>
        <w:snapToGrid/>
        <w:spacing w:line="500" w:lineRule="exact"/>
        <w:jc w:val="both"/>
        <w:textAlignment w:val="auto"/>
        <w:outlineLvl w:val="2"/>
        <w:rPr>
          <w:rFonts w:hint="eastAsia" w:ascii="宋体" w:hAnsi="宋体" w:eastAsia="宋体" w:cs="宋体"/>
          <w:sz w:val="24"/>
          <w:szCs w:val="24"/>
        </w:rPr>
      </w:pPr>
      <w:r>
        <w:rPr>
          <w:rFonts w:hint="eastAsia" w:ascii="宋体" w:hAnsi="宋体" w:eastAsia="宋体" w:cs="宋体"/>
          <w:b/>
          <w:sz w:val="24"/>
          <w:szCs w:val="24"/>
        </w:rPr>
        <w:t>三、商务要求（以“★”标示的内容为不允许负偏离的实质性要求）</w:t>
      </w:r>
    </w:p>
    <w:p w14:paraId="68BFF875">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采购包1：</w:t>
      </w:r>
    </w:p>
    <w:tbl>
      <w:tblPr>
        <w:tblStyle w:val="4"/>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670"/>
        <w:gridCol w:w="855"/>
        <w:gridCol w:w="1320"/>
        <w:gridCol w:w="5459"/>
      </w:tblGrid>
      <w:tr w14:paraId="3B713EE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70" w:type="dxa"/>
            <w:vAlign w:val="center"/>
          </w:tcPr>
          <w:p w14:paraId="1C75426B">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序号</w:t>
            </w:r>
          </w:p>
        </w:tc>
        <w:tc>
          <w:tcPr>
            <w:tcW w:w="855" w:type="dxa"/>
            <w:vAlign w:val="center"/>
          </w:tcPr>
          <w:p w14:paraId="2BE5EEEE">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参数性质</w:t>
            </w:r>
          </w:p>
        </w:tc>
        <w:tc>
          <w:tcPr>
            <w:tcW w:w="1320" w:type="dxa"/>
            <w:vAlign w:val="center"/>
          </w:tcPr>
          <w:p w14:paraId="5B960E90">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类型</w:t>
            </w:r>
          </w:p>
        </w:tc>
        <w:tc>
          <w:tcPr>
            <w:tcW w:w="5459" w:type="dxa"/>
            <w:vAlign w:val="center"/>
          </w:tcPr>
          <w:p w14:paraId="2EE40570">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要求</w:t>
            </w:r>
          </w:p>
        </w:tc>
      </w:tr>
      <w:tr w14:paraId="75191B8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70" w:type="dxa"/>
            <w:vAlign w:val="center"/>
          </w:tcPr>
          <w:p w14:paraId="40A76ECD">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1</w:t>
            </w:r>
          </w:p>
        </w:tc>
        <w:tc>
          <w:tcPr>
            <w:tcW w:w="855" w:type="dxa"/>
            <w:vAlign w:val="center"/>
          </w:tcPr>
          <w:p w14:paraId="7FF92BA6">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w:t>
            </w:r>
          </w:p>
        </w:tc>
        <w:tc>
          <w:tcPr>
            <w:tcW w:w="1320" w:type="dxa"/>
            <w:vAlign w:val="center"/>
          </w:tcPr>
          <w:p w14:paraId="2D43E7F4">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交货时间</w:t>
            </w:r>
          </w:p>
        </w:tc>
        <w:tc>
          <w:tcPr>
            <w:tcW w:w="5459" w:type="dxa"/>
            <w:vAlign w:val="center"/>
          </w:tcPr>
          <w:p w14:paraId="7BDB52D6">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sz w:val="24"/>
                <w:szCs w:val="24"/>
              </w:rPr>
              <w:t>合同签订之日起18个月内完成最终验收。</w:t>
            </w:r>
          </w:p>
        </w:tc>
      </w:tr>
      <w:tr w14:paraId="0FFFC3B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70" w:type="dxa"/>
            <w:vAlign w:val="center"/>
          </w:tcPr>
          <w:p w14:paraId="41708F81">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2</w:t>
            </w:r>
          </w:p>
        </w:tc>
        <w:tc>
          <w:tcPr>
            <w:tcW w:w="855" w:type="dxa"/>
            <w:vAlign w:val="center"/>
          </w:tcPr>
          <w:p w14:paraId="682A3418">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w:t>
            </w:r>
          </w:p>
        </w:tc>
        <w:tc>
          <w:tcPr>
            <w:tcW w:w="1320" w:type="dxa"/>
            <w:vAlign w:val="center"/>
          </w:tcPr>
          <w:p w14:paraId="1FD3C6B8">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交货地点</w:t>
            </w:r>
          </w:p>
        </w:tc>
        <w:tc>
          <w:tcPr>
            <w:tcW w:w="5459" w:type="dxa"/>
            <w:vAlign w:val="center"/>
          </w:tcPr>
          <w:p w14:paraId="506320A6">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sz w:val="24"/>
                <w:szCs w:val="24"/>
              </w:rPr>
              <w:t>采购人指定地点</w:t>
            </w:r>
          </w:p>
        </w:tc>
      </w:tr>
      <w:tr w14:paraId="6AB123C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70" w:type="dxa"/>
            <w:vAlign w:val="center"/>
          </w:tcPr>
          <w:p w14:paraId="65DE2800">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3</w:t>
            </w:r>
          </w:p>
        </w:tc>
        <w:tc>
          <w:tcPr>
            <w:tcW w:w="855" w:type="dxa"/>
            <w:vAlign w:val="center"/>
          </w:tcPr>
          <w:p w14:paraId="59ED91D4">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w:t>
            </w:r>
          </w:p>
        </w:tc>
        <w:tc>
          <w:tcPr>
            <w:tcW w:w="1320" w:type="dxa"/>
            <w:vAlign w:val="center"/>
          </w:tcPr>
          <w:p w14:paraId="59F4D34A">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交货条件</w:t>
            </w:r>
          </w:p>
        </w:tc>
        <w:tc>
          <w:tcPr>
            <w:tcW w:w="5459" w:type="dxa"/>
            <w:vAlign w:val="center"/>
          </w:tcPr>
          <w:p w14:paraId="56200FCA">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sz w:val="24"/>
                <w:szCs w:val="24"/>
              </w:rPr>
              <w:t>按招标文件要求交付使用</w:t>
            </w:r>
          </w:p>
        </w:tc>
      </w:tr>
      <w:tr w14:paraId="3CE7D18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70" w:type="dxa"/>
            <w:vAlign w:val="center"/>
          </w:tcPr>
          <w:p w14:paraId="7966D431">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4</w:t>
            </w:r>
          </w:p>
        </w:tc>
        <w:tc>
          <w:tcPr>
            <w:tcW w:w="855" w:type="dxa"/>
            <w:vAlign w:val="center"/>
          </w:tcPr>
          <w:p w14:paraId="39C22BA3">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w:t>
            </w:r>
          </w:p>
        </w:tc>
        <w:tc>
          <w:tcPr>
            <w:tcW w:w="1320" w:type="dxa"/>
            <w:vAlign w:val="center"/>
          </w:tcPr>
          <w:p w14:paraId="5EDA00C1">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是否邀请投标人验收</w:t>
            </w:r>
          </w:p>
        </w:tc>
        <w:tc>
          <w:tcPr>
            <w:tcW w:w="5459" w:type="dxa"/>
            <w:vAlign w:val="center"/>
          </w:tcPr>
          <w:p w14:paraId="43AF64C8">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sz w:val="24"/>
                <w:szCs w:val="24"/>
              </w:rPr>
              <w:t>不邀请投标人验收</w:t>
            </w:r>
          </w:p>
        </w:tc>
      </w:tr>
      <w:tr w14:paraId="1099428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70" w:type="dxa"/>
            <w:vAlign w:val="center"/>
          </w:tcPr>
          <w:p w14:paraId="05AF7286">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5</w:t>
            </w:r>
          </w:p>
        </w:tc>
        <w:tc>
          <w:tcPr>
            <w:tcW w:w="855" w:type="dxa"/>
            <w:vAlign w:val="center"/>
          </w:tcPr>
          <w:p w14:paraId="7B376340">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w:t>
            </w:r>
          </w:p>
        </w:tc>
        <w:tc>
          <w:tcPr>
            <w:tcW w:w="1320" w:type="dxa"/>
            <w:vAlign w:val="center"/>
          </w:tcPr>
          <w:p w14:paraId="28DC0CE2">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履约验收方式</w:t>
            </w:r>
          </w:p>
        </w:tc>
        <w:tc>
          <w:tcPr>
            <w:tcW w:w="5459" w:type="dxa"/>
            <w:vAlign w:val="center"/>
          </w:tcPr>
          <w:p w14:paraId="5294A326">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sz w:val="24"/>
                <w:szCs w:val="24"/>
              </w:rPr>
              <w:t>1、期次1，说明：按国家省市、相关行业标准、招标文件、投标文件、合同要求验收</w:t>
            </w:r>
          </w:p>
        </w:tc>
      </w:tr>
      <w:tr w14:paraId="258DE9D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70" w:type="dxa"/>
            <w:vAlign w:val="center"/>
          </w:tcPr>
          <w:p w14:paraId="50E87171">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6</w:t>
            </w:r>
          </w:p>
        </w:tc>
        <w:tc>
          <w:tcPr>
            <w:tcW w:w="855" w:type="dxa"/>
            <w:vAlign w:val="center"/>
          </w:tcPr>
          <w:p w14:paraId="66F709E8">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w:t>
            </w:r>
          </w:p>
        </w:tc>
        <w:tc>
          <w:tcPr>
            <w:tcW w:w="1320" w:type="dxa"/>
            <w:vAlign w:val="center"/>
          </w:tcPr>
          <w:p w14:paraId="58FA6C67">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合同支付方式</w:t>
            </w:r>
          </w:p>
        </w:tc>
        <w:tc>
          <w:tcPr>
            <w:tcW w:w="5459" w:type="dxa"/>
            <w:vAlign w:val="center"/>
          </w:tcPr>
          <w:p w14:paraId="696BA113">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sz w:val="24"/>
                <w:szCs w:val="24"/>
              </w:rPr>
              <w:t>1、进度款，签订合同后，达到付款条件起达到付款条件起30日内，支付合同总金额的100.00%</w:t>
            </w:r>
          </w:p>
        </w:tc>
      </w:tr>
      <w:tr w14:paraId="7ECD793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70" w:type="dxa"/>
            <w:vAlign w:val="center"/>
          </w:tcPr>
          <w:p w14:paraId="112AF77C">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7</w:t>
            </w:r>
          </w:p>
        </w:tc>
        <w:tc>
          <w:tcPr>
            <w:tcW w:w="855" w:type="dxa"/>
            <w:vAlign w:val="center"/>
          </w:tcPr>
          <w:p w14:paraId="441A0018">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w:t>
            </w:r>
          </w:p>
        </w:tc>
        <w:tc>
          <w:tcPr>
            <w:tcW w:w="1320" w:type="dxa"/>
            <w:vAlign w:val="center"/>
          </w:tcPr>
          <w:p w14:paraId="3C5D676E">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履约保证金</w:t>
            </w:r>
          </w:p>
        </w:tc>
        <w:tc>
          <w:tcPr>
            <w:tcW w:w="5459" w:type="dxa"/>
            <w:vAlign w:val="center"/>
          </w:tcPr>
          <w:p w14:paraId="5E5A3D71">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sz w:val="24"/>
                <w:szCs w:val="24"/>
              </w:rPr>
              <w:t>缴纳, 本采购包履约保证金为合同金额的10%</w:t>
            </w:r>
          </w:p>
          <w:p w14:paraId="7E79C5AF">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sz w:val="24"/>
                <w:szCs w:val="24"/>
              </w:rPr>
              <w:t>缴纳方式：银行转账，支票/汇票/本票，保函/保险</w:t>
            </w:r>
          </w:p>
          <w:p w14:paraId="50122B97">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sz w:val="24"/>
                <w:szCs w:val="24"/>
              </w:rPr>
              <w:t>说明：中标人在签订合同时须以支票或汇票或本票或转账或电汇或者金融机构、担保机构出具的保函等非现金形式之一向采购人缴纳合同总价的10%作为履约保证金，否则视为自动放弃中标资格。待合同约定全部事项履行完毕，且经采购人确认双方无未了事项后，由中标人提出书面申请，经采购人办理内部审核后无息退还。本项目为非专门面向中小企业的采购项目，若中标人符合中小企业认定标准且按招标文件规定提供有效文件的，履约保证金收取比例为合同总金额的5%。</w:t>
            </w:r>
          </w:p>
        </w:tc>
      </w:tr>
      <w:tr w14:paraId="6F60A81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70" w:type="dxa"/>
            <w:vAlign w:val="center"/>
          </w:tcPr>
          <w:p w14:paraId="528C7608">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8</w:t>
            </w:r>
          </w:p>
        </w:tc>
        <w:tc>
          <w:tcPr>
            <w:tcW w:w="855" w:type="dxa"/>
            <w:vAlign w:val="center"/>
          </w:tcPr>
          <w:p w14:paraId="42058E6A">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w:t>
            </w:r>
          </w:p>
        </w:tc>
        <w:tc>
          <w:tcPr>
            <w:tcW w:w="1320" w:type="dxa"/>
            <w:vAlign w:val="center"/>
          </w:tcPr>
          <w:p w14:paraId="5DF8BA84">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其他</w:t>
            </w:r>
          </w:p>
        </w:tc>
        <w:tc>
          <w:tcPr>
            <w:tcW w:w="5459" w:type="dxa"/>
            <w:vAlign w:val="center"/>
          </w:tcPr>
          <w:p w14:paraId="25A2B312">
            <w:pPr>
              <w:pStyle w:val="6"/>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rPr>
            </w:pPr>
            <w:r>
              <w:rPr>
                <w:rFonts w:hint="eastAsia" w:ascii="宋体" w:hAnsi="宋体" w:eastAsia="宋体" w:cs="宋体"/>
                <w:sz w:val="24"/>
                <w:szCs w:val="24"/>
              </w:rPr>
              <w:t>“6★合同支付方式”为系统固定格式，本项目合同支付方式以此为准： 1、进度款，合同签订后，采购人收到中标人提供30%合同款（不含系统集成与人员培训费）的正规发票，待财政资金到位后，达到付款条件起30个日历日内，支付合同总金额的30.00%（即硬件部分30%款项与软件部分30%款项，不含系统集成与人员培训费），同时中标人应提供银行出具的30%合同总金额保函，保函的有效期不少于18个月。 2、进度款，合同签订后20个日历日内硬件设备全部到货后，采购人收到中标人提供的硬件部分60%款项正规发票，待财政资金到位后，达到付款条件起30个日历日内，支付合同硬件部分款项的60%，同时中标人应提供银行出具的硬件部分60%款项等额保函，保函的有效期不少于18个月。 3、进度款，项目通过初验后，采购人收到中标人提供的软件部分10%款项（含系统集成与人员培训费）正规发票，待财政资金到位后，达到付款条件起30个日历日内，支付合同软件部分款项的10%（含系统集成与人员培训费）。 4、进度款，项目通过终验后，采购人收到中标人提供的软件部分10%款项、系统集成与人员培训费（含软件部分40%、硬件部分50%）正规发票，待财政资金到位后，达到付款条件起30个日历日内，支付合同软件部分款项的10%、系统集成与人员培训费（软件部分40%、硬件部分50%） 5、进度款，项目运维期第一个年度周期结束后，采购人收到中标人提供的软件部分25%款项、系统集成与人员培训费（含软件部分25%、硬件部分20%）正规发票，待财政资金到位后，达到付款条件起30个日历日内，支付合同软件部分款项的25%、系统集成与人员培训费（软件部分25%、硬件部分20%） 6、进度款，2029年12月前采购人收到中标人提供的软件部分25%款项、硬件部分10%款项、系统集成与人员培训费（含软件部分25%、硬件部分30%）正规发票，待财政资金到位后，达到付款条件起30个日历日内，支付合同软件部分款项的25%与硬件部分的10%、系统集成与人员培训费（软件部分25%、硬件部分30%）</w:t>
            </w:r>
          </w:p>
        </w:tc>
      </w:tr>
    </w:tbl>
    <w:p w14:paraId="0911088C">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其他商务要求</w:t>
      </w:r>
    </w:p>
    <w:p w14:paraId="0657031B">
      <w:pPr>
        <w:pStyle w:val="6"/>
        <w:keepNext w:val="0"/>
        <w:keepLines w:val="0"/>
        <w:pageBreakBefore w:val="0"/>
        <w:kinsoku/>
        <w:wordWrap/>
        <w:overflowPunct/>
        <w:topLinePunct w:val="0"/>
        <w:autoSpaceDE/>
        <w:autoSpaceDN/>
        <w:bidi w:val="0"/>
        <w:adjustRightInd/>
        <w:snapToGrid/>
        <w:spacing w:line="500" w:lineRule="exact"/>
        <w:ind w:firstLine="480"/>
        <w:jc w:val="left"/>
        <w:textAlignment w:val="auto"/>
        <w:rPr>
          <w:rFonts w:hint="eastAsia" w:ascii="宋体" w:hAnsi="宋体" w:eastAsia="宋体" w:cs="宋体"/>
          <w:sz w:val="24"/>
          <w:szCs w:val="24"/>
        </w:rPr>
      </w:pPr>
      <w:r>
        <w:rPr>
          <w:rFonts w:hint="eastAsia" w:ascii="宋体" w:hAnsi="宋体" w:eastAsia="宋体" w:cs="宋体"/>
          <w:b/>
          <w:sz w:val="24"/>
          <w:szCs w:val="24"/>
        </w:rPr>
        <w:t>1、支付最后一笔款项前，中标人须开具有效期不少于三个月的保函，金额为软件部分的40%+硬件部分的4%（简称：保函1）；保函1到期前10个工作日内，中标人须重新开具一年期的保函，金额为软件部分的20%+硬件部分的3%（简称：保函2）；保函2到期前10个工作日内，中标人须重新开具一年期的保函，金额为硬件部分的2%（简称：保函3）；保函3到期前20个工作日内，中标人须重新开具一年期的保函，金额为硬件部分的1%（简称：保函4）。若中标人未按上述约定按时开具或续开任一保函，采购人有权暂停支付后续所有未付款项，直至中标人提供合格保函为止。因此造成的一切损失由中标人承担。（投标人须提供专项承诺函，格式自拟，未提供视为投标无效）</w:t>
      </w:r>
    </w:p>
    <w:p w14:paraId="3BB37334">
      <w:pPr>
        <w:pStyle w:val="6"/>
        <w:keepNext w:val="0"/>
        <w:keepLines w:val="0"/>
        <w:pageBreakBefore w:val="0"/>
        <w:kinsoku/>
        <w:wordWrap/>
        <w:overflowPunct/>
        <w:topLinePunct w:val="0"/>
        <w:autoSpaceDE/>
        <w:autoSpaceDN/>
        <w:bidi w:val="0"/>
        <w:adjustRightInd/>
        <w:snapToGrid/>
        <w:spacing w:line="500" w:lineRule="exact"/>
        <w:ind w:firstLine="479"/>
        <w:jc w:val="both"/>
        <w:textAlignment w:val="auto"/>
        <w:rPr>
          <w:rFonts w:hint="eastAsia" w:ascii="宋体" w:hAnsi="宋体" w:eastAsia="宋体" w:cs="宋体"/>
          <w:sz w:val="24"/>
          <w:szCs w:val="24"/>
        </w:rPr>
      </w:pPr>
      <w:r>
        <w:rPr>
          <w:rFonts w:hint="eastAsia" w:ascii="宋体" w:hAnsi="宋体" w:eastAsia="宋体" w:cs="宋体"/>
          <w:b/>
          <w:sz w:val="24"/>
          <w:szCs w:val="24"/>
        </w:rPr>
        <w:t>2、为保障本平台与外部相关系统/平台之间的数据互通与业务协同，若项目建设期内外部系统不具备对接条件，平台将预留标准化接口、支持与第三方系统对接。待外部系统对接条件成熟时，承建单位须免费配合完成对接工作，包括但不限于：国家心理援助热线信息平台、福建省严重精神障碍管理信息系统、福建省/福州市政务数据汇聚共享平台和福建省三医数据专区等。具体对接启动时间由建设单位根据外部系统对接情况适时通知。（投标人须提供专项承诺函，格式自拟，未提供视为投标无效）</w:t>
      </w:r>
    </w:p>
    <w:p w14:paraId="311ABE0D">
      <w:pPr>
        <w:pStyle w:val="6"/>
        <w:keepNext w:val="0"/>
        <w:keepLines w:val="0"/>
        <w:pageBreakBefore w:val="0"/>
        <w:kinsoku/>
        <w:wordWrap/>
        <w:overflowPunct/>
        <w:topLinePunct w:val="0"/>
        <w:autoSpaceDE/>
        <w:autoSpaceDN/>
        <w:bidi w:val="0"/>
        <w:adjustRightInd/>
        <w:snapToGrid/>
        <w:spacing w:line="500" w:lineRule="exact"/>
        <w:ind w:firstLine="482"/>
        <w:jc w:val="both"/>
        <w:textAlignment w:val="auto"/>
        <w:rPr>
          <w:rFonts w:hint="eastAsia" w:ascii="宋体" w:hAnsi="宋体" w:eastAsia="宋体" w:cs="宋体"/>
          <w:sz w:val="24"/>
          <w:szCs w:val="24"/>
        </w:rPr>
      </w:pPr>
      <w:r>
        <w:rPr>
          <w:rFonts w:hint="eastAsia" w:ascii="宋体" w:hAnsi="宋体" w:eastAsia="宋体" w:cs="宋体"/>
          <w:b/>
          <w:color w:val="000000"/>
          <w:sz w:val="24"/>
          <w:szCs w:val="24"/>
        </w:rPr>
        <w:t>3、项目实施进度</w:t>
      </w:r>
    </w:p>
    <w:p w14:paraId="12726E37">
      <w:pPr>
        <w:pStyle w:val="6"/>
        <w:keepNext w:val="0"/>
        <w:keepLines w:val="0"/>
        <w:pageBreakBefore w:val="0"/>
        <w:kinsoku/>
        <w:wordWrap/>
        <w:overflowPunct/>
        <w:topLinePunct w:val="0"/>
        <w:autoSpaceDE/>
        <w:autoSpaceDN/>
        <w:bidi w:val="0"/>
        <w:adjustRightInd/>
        <w:snapToGrid/>
        <w:spacing w:line="500" w:lineRule="exact"/>
        <w:ind w:firstLine="480"/>
        <w:jc w:val="left"/>
        <w:textAlignment w:val="auto"/>
        <w:rPr>
          <w:rFonts w:hint="eastAsia" w:ascii="宋体" w:hAnsi="宋体" w:eastAsia="宋体" w:cs="宋体"/>
          <w:sz w:val="24"/>
          <w:szCs w:val="24"/>
        </w:rPr>
      </w:pPr>
      <w:r>
        <w:rPr>
          <w:rFonts w:hint="eastAsia" w:ascii="宋体" w:hAnsi="宋体" w:eastAsia="宋体" w:cs="宋体"/>
          <w:color w:val="000000"/>
          <w:sz w:val="24"/>
          <w:szCs w:val="24"/>
        </w:rPr>
        <w:t>福建省精神专科服务能力建设项目信息化专项业务繁多、复杂性较高、涉及面广，根据业务重要性及系统关联性，要有步骤、有计划地展开实施。按照项目总体规划，项目建设期为合同签订后18个月内完成最终验收。</w:t>
      </w:r>
    </w:p>
    <w:p w14:paraId="454881EB">
      <w:pPr>
        <w:pStyle w:val="6"/>
        <w:keepNext w:val="0"/>
        <w:keepLines w:val="0"/>
        <w:pageBreakBefore w:val="0"/>
        <w:kinsoku/>
        <w:wordWrap/>
        <w:overflowPunct/>
        <w:topLinePunct w:val="0"/>
        <w:autoSpaceDE/>
        <w:autoSpaceDN/>
        <w:bidi w:val="0"/>
        <w:adjustRightInd/>
        <w:snapToGrid/>
        <w:spacing w:line="500" w:lineRule="exact"/>
        <w:ind w:firstLine="480"/>
        <w:jc w:val="left"/>
        <w:textAlignment w:val="auto"/>
        <w:rPr>
          <w:rFonts w:hint="eastAsia" w:ascii="宋体" w:hAnsi="宋体" w:eastAsia="宋体" w:cs="宋体"/>
          <w:sz w:val="24"/>
          <w:szCs w:val="24"/>
        </w:rPr>
      </w:pPr>
      <w:r>
        <w:rPr>
          <w:rFonts w:hint="eastAsia" w:ascii="宋体" w:hAnsi="宋体" w:eastAsia="宋体" w:cs="宋体"/>
          <w:color w:val="000000"/>
          <w:sz w:val="24"/>
          <w:szCs w:val="24"/>
        </w:rPr>
        <w:t>项目实施进度计划如下：</w:t>
      </w:r>
    </w:p>
    <w:p w14:paraId="46F1A141">
      <w:pPr>
        <w:pStyle w:val="6"/>
        <w:keepNext w:val="0"/>
        <w:keepLines w:val="0"/>
        <w:pageBreakBefore w:val="0"/>
        <w:kinsoku/>
        <w:wordWrap/>
        <w:overflowPunct/>
        <w:topLinePunct w:val="0"/>
        <w:autoSpaceDE/>
        <w:autoSpaceDN/>
        <w:bidi w:val="0"/>
        <w:adjustRightInd/>
        <w:snapToGrid/>
        <w:spacing w:line="500" w:lineRule="exact"/>
        <w:ind w:firstLine="482"/>
        <w:jc w:val="left"/>
        <w:textAlignment w:val="auto"/>
        <w:rPr>
          <w:rFonts w:hint="eastAsia" w:ascii="宋体" w:hAnsi="宋体" w:eastAsia="宋体" w:cs="宋体"/>
          <w:sz w:val="24"/>
          <w:szCs w:val="24"/>
        </w:rPr>
      </w:pPr>
      <w:r>
        <w:rPr>
          <w:rFonts w:hint="eastAsia" w:ascii="宋体" w:hAnsi="宋体" w:eastAsia="宋体" w:cs="宋体"/>
          <w:b/>
          <w:color w:val="000000"/>
          <w:sz w:val="24"/>
          <w:szCs w:val="24"/>
        </w:rPr>
        <w:t>3.1软硬件系统建设（10个月）</w:t>
      </w:r>
    </w:p>
    <w:p w14:paraId="772A1613">
      <w:pPr>
        <w:pStyle w:val="6"/>
        <w:keepNext w:val="0"/>
        <w:keepLines w:val="0"/>
        <w:pageBreakBefore w:val="0"/>
        <w:kinsoku/>
        <w:wordWrap/>
        <w:overflowPunct/>
        <w:topLinePunct w:val="0"/>
        <w:autoSpaceDE/>
        <w:autoSpaceDN/>
        <w:bidi w:val="0"/>
        <w:adjustRightInd/>
        <w:snapToGrid/>
        <w:spacing w:line="500" w:lineRule="exact"/>
        <w:ind w:firstLine="482"/>
        <w:jc w:val="left"/>
        <w:textAlignment w:val="auto"/>
        <w:rPr>
          <w:rFonts w:hint="eastAsia" w:ascii="宋体" w:hAnsi="宋体" w:eastAsia="宋体" w:cs="宋体"/>
          <w:sz w:val="24"/>
          <w:szCs w:val="24"/>
        </w:rPr>
      </w:pPr>
      <w:r>
        <w:rPr>
          <w:rFonts w:hint="eastAsia" w:ascii="宋体" w:hAnsi="宋体" w:eastAsia="宋体" w:cs="宋体"/>
          <w:b/>
          <w:color w:val="000000"/>
          <w:sz w:val="24"/>
          <w:szCs w:val="24"/>
        </w:rPr>
        <w:t>（1）第一阶段（1个月）</w:t>
      </w:r>
    </w:p>
    <w:p w14:paraId="25215275">
      <w:pPr>
        <w:pStyle w:val="6"/>
        <w:keepNext w:val="0"/>
        <w:keepLines w:val="0"/>
        <w:pageBreakBefore w:val="0"/>
        <w:kinsoku/>
        <w:wordWrap/>
        <w:overflowPunct/>
        <w:topLinePunct w:val="0"/>
        <w:autoSpaceDE/>
        <w:autoSpaceDN/>
        <w:bidi w:val="0"/>
        <w:adjustRightInd/>
        <w:snapToGrid/>
        <w:spacing w:line="500" w:lineRule="exact"/>
        <w:ind w:firstLine="480"/>
        <w:jc w:val="left"/>
        <w:textAlignment w:val="auto"/>
        <w:rPr>
          <w:rFonts w:hint="eastAsia" w:ascii="宋体" w:hAnsi="宋体" w:eastAsia="宋体" w:cs="宋体"/>
          <w:sz w:val="24"/>
          <w:szCs w:val="24"/>
        </w:rPr>
      </w:pPr>
      <w:r>
        <w:rPr>
          <w:rFonts w:hint="eastAsia" w:ascii="宋体" w:hAnsi="宋体" w:eastAsia="宋体" w:cs="宋体"/>
          <w:color w:val="000000"/>
          <w:sz w:val="24"/>
          <w:szCs w:val="24"/>
        </w:rPr>
        <w:t>合同签订后，协调相关业务科室开展信息系统需求调研与需求分析，梳理现有系统短板及业务痛点，同步推进业务系统功能设计；同步完成项目心理援助热线系统(会话边界控制器)、网络设备、服务器及存储设备、备份设备、基础软硬件、安全设备、密码设备、AI智能监控系统、视频监控系统（闽清院区）的采购、到货验收、安装与调试工作。</w:t>
      </w:r>
    </w:p>
    <w:p w14:paraId="10368AF7">
      <w:pPr>
        <w:pStyle w:val="6"/>
        <w:keepNext w:val="0"/>
        <w:keepLines w:val="0"/>
        <w:pageBreakBefore w:val="0"/>
        <w:kinsoku/>
        <w:wordWrap/>
        <w:overflowPunct/>
        <w:topLinePunct w:val="0"/>
        <w:autoSpaceDE/>
        <w:autoSpaceDN/>
        <w:bidi w:val="0"/>
        <w:adjustRightInd/>
        <w:snapToGrid/>
        <w:spacing w:line="500" w:lineRule="exact"/>
        <w:ind w:firstLine="482"/>
        <w:jc w:val="left"/>
        <w:textAlignment w:val="auto"/>
        <w:rPr>
          <w:rFonts w:hint="eastAsia" w:ascii="宋体" w:hAnsi="宋体" w:eastAsia="宋体" w:cs="宋体"/>
          <w:sz w:val="24"/>
          <w:szCs w:val="24"/>
        </w:rPr>
      </w:pPr>
      <w:r>
        <w:rPr>
          <w:rFonts w:hint="eastAsia" w:ascii="宋体" w:hAnsi="宋体" w:eastAsia="宋体" w:cs="宋体"/>
          <w:b/>
          <w:color w:val="000000"/>
          <w:sz w:val="24"/>
          <w:szCs w:val="24"/>
        </w:rPr>
        <w:t>（2）第二阶段（3个月）</w:t>
      </w:r>
    </w:p>
    <w:p w14:paraId="17EEAD54">
      <w:pPr>
        <w:pStyle w:val="6"/>
        <w:keepNext w:val="0"/>
        <w:keepLines w:val="0"/>
        <w:pageBreakBefore w:val="0"/>
        <w:kinsoku/>
        <w:wordWrap/>
        <w:overflowPunct/>
        <w:topLinePunct w:val="0"/>
        <w:autoSpaceDE/>
        <w:autoSpaceDN/>
        <w:bidi w:val="0"/>
        <w:adjustRightInd/>
        <w:snapToGrid/>
        <w:spacing w:line="500" w:lineRule="exact"/>
        <w:ind w:firstLine="480"/>
        <w:jc w:val="left"/>
        <w:textAlignment w:val="auto"/>
        <w:rPr>
          <w:rFonts w:hint="eastAsia" w:ascii="宋体" w:hAnsi="宋体" w:eastAsia="宋体" w:cs="宋体"/>
          <w:sz w:val="24"/>
          <w:szCs w:val="24"/>
        </w:rPr>
      </w:pPr>
      <w:r>
        <w:rPr>
          <w:rFonts w:hint="eastAsia" w:ascii="宋体" w:hAnsi="宋体" w:eastAsia="宋体" w:cs="宋体"/>
          <w:color w:val="000000"/>
          <w:sz w:val="24"/>
          <w:szCs w:val="24"/>
        </w:rPr>
        <w:t>在第一阶段调研成果基础上，深入相关科室补充开展需求调研与细化确认，进一步完善系统功能设计；完成省级精神卫生综合服务平台（严重精神障碍管理系统、心理援助热线系统（系统功能、热线服务））应用支撑平台（统一门户及权限认证管理、问卷引擎、内容管理）、院内业务系统扩展（AI病历生成于质控系统（AI应用分析、AI预问诊、AI算力节点））的开发、测试、安装、部署，系统上线。</w:t>
      </w:r>
    </w:p>
    <w:p w14:paraId="7EE8E631">
      <w:pPr>
        <w:pStyle w:val="6"/>
        <w:keepNext w:val="0"/>
        <w:keepLines w:val="0"/>
        <w:pageBreakBefore w:val="0"/>
        <w:kinsoku/>
        <w:wordWrap/>
        <w:overflowPunct/>
        <w:topLinePunct w:val="0"/>
        <w:autoSpaceDE/>
        <w:autoSpaceDN/>
        <w:bidi w:val="0"/>
        <w:adjustRightInd/>
        <w:snapToGrid/>
        <w:spacing w:line="500" w:lineRule="exact"/>
        <w:ind w:firstLine="482"/>
        <w:jc w:val="left"/>
        <w:textAlignment w:val="auto"/>
        <w:rPr>
          <w:rFonts w:hint="eastAsia" w:ascii="宋体" w:hAnsi="宋体" w:eastAsia="宋体" w:cs="宋体"/>
          <w:sz w:val="24"/>
          <w:szCs w:val="24"/>
        </w:rPr>
      </w:pPr>
      <w:r>
        <w:rPr>
          <w:rFonts w:hint="eastAsia" w:ascii="宋体" w:hAnsi="宋体" w:eastAsia="宋体" w:cs="宋体"/>
          <w:b/>
          <w:color w:val="000000"/>
          <w:sz w:val="24"/>
          <w:szCs w:val="24"/>
        </w:rPr>
        <w:t>（3）第三阶段（3个月）</w:t>
      </w:r>
    </w:p>
    <w:p w14:paraId="52A097D6">
      <w:pPr>
        <w:pStyle w:val="6"/>
        <w:keepNext w:val="0"/>
        <w:keepLines w:val="0"/>
        <w:pageBreakBefore w:val="0"/>
        <w:kinsoku/>
        <w:wordWrap/>
        <w:overflowPunct/>
        <w:topLinePunct w:val="0"/>
        <w:autoSpaceDE/>
        <w:autoSpaceDN/>
        <w:bidi w:val="0"/>
        <w:adjustRightInd/>
        <w:snapToGrid/>
        <w:spacing w:line="500" w:lineRule="exact"/>
        <w:ind w:firstLine="480"/>
        <w:jc w:val="left"/>
        <w:textAlignment w:val="auto"/>
        <w:rPr>
          <w:rFonts w:hint="eastAsia" w:ascii="宋体" w:hAnsi="宋体" w:eastAsia="宋体" w:cs="宋体"/>
          <w:sz w:val="24"/>
          <w:szCs w:val="24"/>
        </w:rPr>
      </w:pPr>
      <w:r>
        <w:rPr>
          <w:rFonts w:hint="eastAsia" w:ascii="宋体" w:hAnsi="宋体" w:eastAsia="宋体" w:cs="宋体"/>
          <w:color w:val="000000"/>
          <w:sz w:val="24"/>
          <w:szCs w:val="24"/>
        </w:rPr>
        <w:t>完成数据中台、省级精神卫生综合服务平台（社会心理服务系统、常见精神障碍筛查系统）的开发、测试、安装、部署，系统上线。</w:t>
      </w:r>
    </w:p>
    <w:p w14:paraId="7BEF304B">
      <w:pPr>
        <w:pStyle w:val="6"/>
        <w:keepNext w:val="0"/>
        <w:keepLines w:val="0"/>
        <w:pageBreakBefore w:val="0"/>
        <w:kinsoku/>
        <w:wordWrap/>
        <w:overflowPunct/>
        <w:topLinePunct w:val="0"/>
        <w:autoSpaceDE/>
        <w:autoSpaceDN/>
        <w:bidi w:val="0"/>
        <w:adjustRightInd/>
        <w:snapToGrid/>
        <w:spacing w:line="500" w:lineRule="exact"/>
        <w:ind w:firstLine="482"/>
        <w:jc w:val="left"/>
        <w:textAlignment w:val="auto"/>
        <w:rPr>
          <w:rFonts w:hint="eastAsia" w:ascii="宋体" w:hAnsi="宋体" w:eastAsia="宋体" w:cs="宋体"/>
          <w:sz w:val="24"/>
          <w:szCs w:val="24"/>
        </w:rPr>
      </w:pPr>
      <w:r>
        <w:rPr>
          <w:rFonts w:hint="eastAsia" w:ascii="宋体" w:hAnsi="宋体" w:eastAsia="宋体" w:cs="宋体"/>
          <w:b/>
          <w:color w:val="000000"/>
          <w:sz w:val="24"/>
          <w:szCs w:val="24"/>
        </w:rPr>
        <w:t>（4）第四阶段（3个月）</w:t>
      </w:r>
    </w:p>
    <w:p w14:paraId="5D29AC8F">
      <w:pPr>
        <w:pStyle w:val="6"/>
        <w:keepNext w:val="0"/>
        <w:keepLines w:val="0"/>
        <w:pageBreakBefore w:val="0"/>
        <w:kinsoku/>
        <w:wordWrap/>
        <w:overflowPunct/>
        <w:topLinePunct w:val="0"/>
        <w:autoSpaceDE/>
        <w:autoSpaceDN/>
        <w:bidi w:val="0"/>
        <w:adjustRightInd/>
        <w:snapToGrid/>
        <w:spacing w:line="500" w:lineRule="exact"/>
        <w:ind w:firstLine="480"/>
        <w:jc w:val="left"/>
        <w:textAlignment w:val="auto"/>
        <w:rPr>
          <w:rFonts w:hint="eastAsia" w:ascii="宋体" w:hAnsi="宋体" w:eastAsia="宋体" w:cs="宋体"/>
          <w:sz w:val="24"/>
          <w:szCs w:val="24"/>
        </w:rPr>
      </w:pPr>
      <w:r>
        <w:rPr>
          <w:rFonts w:hint="eastAsia" w:ascii="宋体" w:hAnsi="宋体" w:eastAsia="宋体" w:cs="宋体"/>
          <w:color w:val="000000"/>
          <w:sz w:val="24"/>
          <w:szCs w:val="24"/>
        </w:rPr>
        <w:t>完成省级精神卫生综合服务平台（转岗培训系统、心理健康体检系统、高危人群干预系统、患者全病程管理系统、心理应急管理系统、精神卫生资源管理系统、综合数据分析系统）、应用支撑平台（API网关）、院内业务系统扩展（AI病历生成与质控系统（通用智能助手、智能病历辅助生成、智能医疗文书质控辅助、院内系统对接）、教学管理系统、科研协作管理系统）、应用系统接口、院内导航系统、患者定位管理系统的开发、测试、安装、部署，系统上线。以及完成系统上线运行期间的数据迁移工作、问题收集与复盘、系统优化与调整、数据验证等调试工作。</w:t>
      </w:r>
    </w:p>
    <w:p w14:paraId="34DDE5BB">
      <w:pPr>
        <w:pStyle w:val="6"/>
        <w:keepNext w:val="0"/>
        <w:keepLines w:val="0"/>
        <w:pageBreakBefore w:val="0"/>
        <w:kinsoku/>
        <w:wordWrap/>
        <w:overflowPunct/>
        <w:topLinePunct w:val="0"/>
        <w:autoSpaceDE/>
        <w:autoSpaceDN/>
        <w:bidi w:val="0"/>
        <w:adjustRightInd/>
        <w:snapToGrid/>
        <w:spacing w:line="500" w:lineRule="exact"/>
        <w:ind w:firstLine="482"/>
        <w:jc w:val="left"/>
        <w:textAlignment w:val="auto"/>
        <w:rPr>
          <w:rFonts w:hint="eastAsia" w:ascii="宋体" w:hAnsi="宋体" w:eastAsia="宋体" w:cs="宋体"/>
          <w:sz w:val="24"/>
          <w:szCs w:val="24"/>
        </w:rPr>
      </w:pPr>
      <w:r>
        <w:rPr>
          <w:rFonts w:hint="eastAsia" w:ascii="宋体" w:hAnsi="宋体" w:eastAsia="宋体" w:cs="宋体"/>
          <w:b/>
          <w:color w:val="000000"/>
          <w:sz w:val="24"/>
          <w:szCs w:val="24"/>
        </w:rPr>
        <w:t>3.2制定培训计划并达到培训目标（1个月）</w:t>
      </w:r>
    </w:p>
    <w:p w14:paraId="15A7D877">
      <w:pPr>
        <w:pStyle w:val="6"/>
        <w:keepNext w:val="0"/>
        <w:keepLines w:val="0"/>
        <w:pageBreakBefore w:val="0"/>
        <w:kinsoku/>
        <w:wordWrap/>
        <w:overflowPunct/>
        <w:topLinePunct w:val="0"/>
        <w:autoSpaceDE/>
        <w:autoSpaceDN/>
        <w:bidi w:val="0"/>
        <w:adjustRightInd/>
        <w:snapToGrid/>
        <w:spacing w:line="500" w:lineRule="exact"/>
        <w:ind w:firstLine="480"/>
        <w:jc w:val="left"/>
        <w:textAlignment w:val="auto"/>
        <w:rPr>
          <w:rFonts w:hint="eastAsia" w:ascii="宋体" w:hAnsi="宋体" w:eastAsia="宋体" w:cs="宋体"/>
          <w:sz w:val="24"/>
          <w:szCs w:val="24"/>
        </w:rPr>
      </w:pPr>
      <w:r>
        <w:rPr>
          <w:rFonts w:hint="eastAsia" w:ascii="宋体" w:hAnsi="宋体" w:eastAsia="宋体" w:cs="宋体"/>
          <w:color w:val="000000"/>
          <w:sz w:val="24"/>
          <w:szCs w:val="24"/>
        </w:rPr>
        <w:t>制定培训计划，对系统各类用户进行业务知识培训、操作培训、运维培训，并达到培训目标，以及完成项目初验。</w:t>
      </w:r>
    </w:p>
    <w:p w14:paraId="333A54BF">
      <w:pPr>
        <w:pStyle w:val="6"/>
        <w:keepNext w:val="0"/>
        <w:keepLines w:val="0"/>
        <w:pageBreakBefore w:val="0"/>
        <w:kinsoku/>
        <w:wordWrap/>
        <w:overflowPunct/>
        <w:topLinePunct w:val="0"/>
        <w:autoSpaceDE/>
        <w:autoSpaceDN/>
        <w:bidi w:val="0"/>
        <w:adjustRightInd/>
        <w:snapToGrid/>
        <w:spacing w:line="500" w:lineRule="exact"/>
        <w:ind w:firstLine="482"/>
        <w:jc w:val="left"/>
        <w:textAlignment w:val="auto"/>
        <w:rPr>
          <w:rFonts w:hint="eastAsia" w:ascii="宋体" w:hAnsi="宋体" w:eastAsia="宋体" w:cs="宋体"/>
          <w:sz w:val="24"/>
          <w:szCs w:val="24"/>
        </w:rPr>
      </w:pPr>
      <w:r>
        <w:rPr>
          <w:rFonts w:hint="eastAsia" w:ascii="宋体" w:hAnsi="宋体" w:eastAsia="宋体" w:cs="宋体"/>
          <w:b/>
          <w:color w:val="000000"/>
          <w:sz w:val="24"/>
          <w:szCs w:val="24"/>
        </w:rPr>
        <w:t>3.3项目上线试运行及第三方测试（3个月）</w:t>
      </w:r>
    </w:p>
    <w:p w14:paraId="7494DC16">
      <w:pPr>
        <w:pStyle w:val="6"/>
        <w:keepNext w:val="0"/>
        <w:keepLines w:val="0"/>
        <w:pageBreakBefore w:val="0"/>
        <w:kinsoku/>
        <w:wordWrap/>
        <w:overflowPunct/>
        <w:topLinePunct w:val="0"/>
        <w:autoSpaceDE/>
        <w:autoSpaceDN/>
        <w:bidi w:val="0"/>
        <w:adjustRightInd/>
        <w:snapToGrid/>
        <w:spacing w:line="500" w:lineRule="exact"/>
        <w:ind w:firstLine="480"/>
        <w:jc w:val="left"/>
        <w:textAlignment w:val="auto"/>
        <w:rPr>
          <w:rFonts w:hint="eastAsia" w:ascii="宋体" w:hAnsi="宋体" w:eastAsia="宋体" w:cs="宋体"/>
          <w:sz w:val="24"/>
          <w:szCs w:val="24"/>
        </w:rPr>
      </w:pPr>
      <w:r>
        <w:rPr>
          <w:rFonts w:hint="eastAsia" w:ascii="宋体" w:hAnsi="宋体" w:eastAsia="宋体" w:cs="宋体"/>
          <w:color w:val="000000"/>
          <w:sz w:val="24"/>
          <w:szCs w:val="24"/>
        </w:rPr>
        <w:t>系统上线试运行，通过软硬件第三方测试、安全等保测评、密码测评和信创符合性测试。</w:t>
      </w:r>
    </w:p>
    <w:p w14:paraId="4E5A102F">
      <w:pPr>
        <w:pStyle w:val="6"/>
        <w:keepNext w:val="0"/>
        <w:keepLines w:val="0"/>
        <w:pageBreakBefore w:val="0"/>
        <w:kinsoku/>
        <w:wordWrap/>
        <w:overflowPunct/>
        <w:topLinePunct w:val="0"/>
        <w:autoSpaceDE/>
        <w:autoSpaceDN/>
        <w:bidi w:val="0"/>
        <w:adjustRightInd/>
        <w:snapToGrid/>
        <w:spacing w:line="500" w:lineRule="exact"/>
        <w:ind w:firstLine="482"/>
        <w:jc w:val="left"/>
        <w:textAlignment w:val="auto"/>
        <w:rPr>
          <w:rFonts w:hint="eastAsia" w:ascii="宋体" w:hAnsi="宋体" w:eastAsia="宋体" w:cs="宋体"/>
          <w:sz w:val="24"/>
          <w:szCs w:val="24"/>
        </w:rPr>
      </w:pPr>
      <w:r>
        <w:rPr>
          <w:rFonts w:hint="eastAsia" w:ascii="宋体" w:hAnsi="宋体" w:eastAsia="宋体" w:cs="宋体"/>
          <w:b/>
          <w:color w:val="000000"/>
          <w:sz w:val="24"/>
          <w:szCs w:val="24"/>
        </w:rPr>
        <w:t>3.4项目终验（4个月）</w:t>
      </w:r>
    </w:p>
    <w:p w14:paraId="7B9B52A1">
      <w:pPr>
        <w:pStyle w:val="6"/>
        <w:keepNext w:val="0"/>
        <w:keepLines w:val="0"/>
        <w:pageBreakBefore w:val="0"/>
        <w:kinsoku/>
        <w:wordWrap/>
        <w:overflowPunct/>
        <w:topLinePunct w:val="0"/>
        <w:autoSpaceDE/>
        <w:autoSpaceDN/>
        <w:bidi w:val="0"/>
        <w:adjustRightInd/>
        <w:snapToGrid/>
        <w:spacing w:line="500" w:lineRule="exact"/>
        <w:ind w:firstLine="480"/>
        <w:jc w:val="left"/>
        <w:textAlignment w:val="auto"/>
        <w:rPr>
          <w:rFonts w:hint="eastAsia" w:ascii="宋体" w:hAnsi="宋体" w:eastAsia="宋体" w:cs="宋体"/>
          <w:sz w:val="24"/>
          <w:szCs w:val="24"/>
        </w:rPr>
      </w:pPr>
      <w:r>
        <w:rPr>
          <w:rFonts w:hint="eastAsia" w:ascii="宋体" w:hAnsi="宋体" w:eastAsia="宋体" w:cs="宋体"/>
          <w:color w:val="000000"/>
          <w:sz w:val="24"/>
          <w:szCs w:val="24"/>
        </w:rPr>
        <w:t>通过项目最终验收，平台正式上线运行。</w:t>
      </w:r>
    </w:p>
    <w:p w14:paraId="581621D5">
      <w:pPr>
        <w:pStyle w:val="6"/>
        <w:keepNext w:val="0"/>
        <w:keepLines w:val="0"/>
        <w:pageBreakBefore w:val="0"/>
        <w:kinsoku/>
        <w:wordWrap/>
        <w:overflowPunct/>
        <w:topLinePunct w:val="0"/>
        <w:autoSpaceDE/>
        <w:autoSpaceDN/>
        <w:bidi w:val="0"/>
        <w:adjustRightInd/>
        <w:snapToGrid/>
        <w:spacing w:line="500" w:lineRule="exact"/>
        <w:ind w:firstLine="480"/>
        <w:jc w:val="left"/>
        <w:textAlignment w:val="auto"/>
        <w:rPr>
          <w:rFonts w:hint="eastAsia" w:ascii="宋体" w:hAnsi="宋体" w:eastAsia="宋体" w:cs="宋体"/>
          <w:sz w:val="24"/>
          <w:szCs w:val="24"/>
        </w:rPr>
      </w:pPr>
      <w:r>
        <w:rPr>
          <w:rFonts w:hint="eastAsia" w:ascii="宋体" w:hAnsi="宋体" w:eastAsia="宋体" w:cs="宋体"/>
          <w:color w:val="000000"/>
          <w:sz w:val="24"/>
          <w:szCs w:val="24"/>
        </w:rPr>
        <w:t>软硬件分阶段建设计划表如下：</w:t>
      </w:r>
    </w:p>
    <w:tbl>
      <w:tblPr>
        <w:tblStyle w:val="4"/>
        <w:tblW w:w="0" w:type="auto"/>
        <w:tblInd w:w="0" w:type="dxa"/>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autofit"/>
        <w:tblCellMar>
          <w:top w:w="0" w:type="dxa"/>
          <w:left w:w="108" w:type="dxa"/>
          <w:bottom w:w="0" w:type="dxa"/>
          <w:right w:w="108" w:type="dxa"/>
        </w:tblCellMar>
      </w:tblPr>
      <w:tblGrid>
        <w:gridCol w:w="719"/>
        <w:gridCol w:w="3572"/>
        <w:gridCol w:w="1031"/>
        <w:gridCol w:w="1031"/>
        <w:gridCol w:w="971"/>
        <w:gridCol w:w="983"/>
      </w:tblGrid>
      <w:tr w14:paraId="4E59A21E">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19" w:type="dxa"/>
            <w:vMerge w:val="restart"/>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top"/>
          </w:tcPr>
          <w:p w14:paraId="55CB5293">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color w:val="000000"/>
                <w:sz w:val="24"/>
                <w:szCs w:val="24"/>
              </w:rPr>
              <w:t>序号</w:t>
            </w:r>
          </w:p>
        </w:tc>
        <w:tc>
          <w:tcPr>
            <w:tcW w:w="3572" w:type="dxa"/>
            <w:vMerge w:val="restart"/>
            <w:tcBorders>
              <w:top w:val="single" w:color="000000" w:sz="4" w:space="0"/>
              <w:left w:val="nil"/>
              <w:bottom w:val="single" w:color="000000" w:sz="4" w:space="0"/>
              <w:right w:val="single" w:color="000000" w:sz="4" w:space="0"/>
            </w:tcBorders>
            <w:shd w:val="clear" w:color="auto" w:fill="FFFFFF"/>
            <w:tcMar>
              <w:top w:w="0" w:type="dxa"/>
              <w:left w:w="0" w:type="dxa"/>
              <w:bottom w:w="0" w:type="dxa"/>
              <w:right w:w="0" w:type="dxa"/>
            </w:tcMar>
            <w:vAlign w:val="top"/>
          </w:tcPr>
          <w:p w14:paraId="45581EC4">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color w:val="000000"/>
                <w:sz w:val="24"/>
                <w:szCs w:val="24"/>
              </w:rPr>
              <w:t>建设内容</w:t>
            </w:r>
          </w:p>
        </w:tc>
        <w:tc>
          <w:tcPr>
            <w:tcW w:w="4016" w:type="dxa"/>
            <w:gridSpan w:val="4"/>
            <w:tcBorders>
              <w:top w:val="single" w:color="000000" w:sz="4" w:space="0"/>
              <w:left w:val="nil"/>
              <w:bottom w:val="single" w:color="000000" w:sz="4" w:space="0"/>
              <w:right w:val="single" w:color="000000" w:sz="4" w:space="0"/>
            </w:tcBorders>
            <w:shd w:val="clear" w:color="auto" w:fill="FFFFFF"/>
            <w:tcMar>
              <w:top w:w="0" w:type="dxa"/>
              <w:left w:w="0" w:type="dxa"/>
              <w:bottom w:w="0" w:type="dxa"/>
              <w:right w:w="0" w:type="dxa"/>
            </w:tcMar>
            <w:vAlign w:val="top"/>
          </w:tcPr>
          <w:p w14:paraId="539D7D83">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color w:val="000000"/>
                <w:sz w:val="24"/>
                <w:szCs w:val="24"/>
              </w:rPr>
              <w:t>软硬件系统分阶段建设计划</w:t>
            </w:r>
          </w:p>
        </w:tc>
      </w:tr>
      <w:tr w14:paraId="247D0200">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19" w:type="dxa"/>
            <w:vMerge w:val="continue"/>
            <w:tcBorders>
              <w:top w:val="single" w:color="000000" w:sz="4" w:space="0"/>
              <w:left w:val="single" w:color="000000" w:sz="4" w:space="0"/>
              <w:bottom w:val="single" w:color="000000" w:sz="4" w:space="0"/>
              <w:right w:val="single" w:color="000000" w:sz="4" w:space="0"/>
            </w:tcBorders>
          </w:tcPr>
          <w:p w14:paraId="634D3D42">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hAnsi="宋体" w:eastAsia="宋体" w:cs="宋体"/>
                <w:sz w:val="24"/>
                <w:szCs w:val="24"/>
              </w:rPr>
            </w:pPr>
          </w:p>
        </w:tc>
        <w:tc>
          <w:tcPr>
            <w:tcW w:w="3572" w:type="dxa"/>
            <w:vMerge w:val="continue"/>
            <w:tcBorders>
              <w:top w:val="single" w:color="000000" w:sz="4" w:space="0"/>
              <w:left w:val="nil"/>
              <w:bottom w:val="single" w:color="000000" w:sz="4" w:space="0"/>
              <w:right w:val="single" w:color="000000" w:sz="4" w:space="0"/>
            </w:tcBorders>
          </w:tcPr>
          <w:p w14:paraId="1985213E">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hAnsi="宋体" w:eastAsia="宋体" w:cs="宋体"/>
                <w:sz w:val="24"/>
                <w:szCs w:val="24"/>
              </w:rPr>
            </w:pPr>
          </w:p>
        </w:tc>
        <w:tc>
          <w:tcPr>
            <w:tcW w:w="1031" w:type="dxa"/>
            <w:tcBorders>
              <w:top w:val="nil"/>
              <w:left w:val="nil"/>
              <w:bottom w:val="single" w:color="000000" w:sz="4" w:space="0"/>
              <w:right w:val="single" w:color="000000" w:sz="4" w:space="0"/>
            </w:tcBorders>
            <w:shd w:val="clear" w:color="auto" w:fill="FFFFFF"/>
            <w:tcMar>
              <w:top w:w="0" w:type="dxa"/>
              <w:left w:w="0" w:type="dxa"/>
              <w:bottom w:w="0" w:type="dxa"/>
              <w:right w:w="0" w:type="dxa"/>
            </w:tcMar>
            <w:vAlign w:val="top"/>
          </w:tcPr>
          <w:p w14:paraId="21CC2A2D">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color w:val="000000"/>
                <w:sz w:val="24"/>
                <w:szCs w:val="24"/>
              </w:rPr>
              <w:t>第一阶段(1个月)</w:t>
            </w:r>
          </w:p>
        </w:tc>
        <w:tc>
          <w:tcPr>
            <w:tcW w:w="1031" w:type="dxa"/>
            <w:tcBorders>
              <w:top w:val="single" w:color="000000" w:sz="4" w:space="0"/>
              <w:left w:val="nil"/>
              <w:bottom w:val="single" w:color="000000" w:sz="4" w:space="0"/>
              <w:right w:val="single" w:color="000000" w:sz="4" w:space="0"/>
            </w:tcBorders>
            <w:shd w:val="clear" w:color="auto" w:fill="FFFFFF"/>
            <w:tcMar>
              <w:top w:w="0" w:type="dxa"/>
              <w:left w:w="0" w:type="dxa"/>
              <w:bottom w:w="0" w:type="dxa"/>
              <w:right w:w="0" w:type="dxa"/>
            </w:tcMar>
            <w:vAlign w:val="top"/>
          </w:tcPr>
          <w:p w14:paraId="13C7B218">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color w:val="000000"/>
                <w:sz w:val="24"/>
                <w:szCs w:val="24"/>
              </w:rPr>
              <w:t>第二阶段(3个月)</w:t>
            </w:r>
          </w:p>
        </w:tc>
        <w:tc>
          <w:tcPr>
            <w:tcW w:w="971" w:type="dxa"/>
            <w:tcBorders>
              <w:top w:val="single" w:color="000000" w:sz="4" w:space="0"/>
              <w:left w:val="nil"/>
              <w:bottom w:val="single" w:color="000000" w:sz="4" w:space="0"/>
              <w:right w:val="single" w:color="000000" w:sz="4" w:space="0"/>
            </w:tcBorders>
            <w:shd w:val="clear" w:color="auto" w:fill="FFFFFF"/>
            <w:tcMar>
              <w:top w:w="0" w:type="dxa"/>
              <w:left w:w="0" w:type="dxa"/>
              <w:bottom w:w="0" w:type="dxa"/>
              <w:right w:w="0" w:type="dxa"/>
            </w:tcMar>
            <w:vAlign w:val="top"/>
          </w:tcPr>
          <w:p w14:paraId="43C9BD93">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color w:val="000000"/>
                <w:sz w:val="24"/>
                <w:szCs w:val="24"/>
              </w:rPr>
              <w:t>第三阶段(3个月)</w:t>
            </w:r>
          </w:p>
        </w:tc>
        <w:tc>
          <w:tcPr>
            <w:tcW w:w="983" w:type="dxa"/>
            <w:tcBorders>
              <w:top w:val="single" w:color="000000" w:sz="4" w:space="0"/>
              <w:left w:val="nil"/>
              <w:bottom w:val="single" w:color="000000" w:sz="4" w:space="0"/>
              <w:right w:val="single" w:color="000000" w:sz="4" w:space="0"/>
            </w:tcBorders>
            <w:shd w:val="clear" w:color="auto" w:fill="FFFFFF"/>
            <w:tcMar>
              <w:top w:w="0" w:type="dxa"/>
              <w:left w:w="0" w:type="dxa"/>
              <w:bottom w:w="0" w:type="dxa"/>
              <w:right w:w="0" w:type="dxa"/>
            </w:tcMar>
            <w:vAlign w:val="top"/>
          </w:tcPr>
          <w:p w14:paraId="21C1AF1C">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color w:val="000000"/>
                <w:sz w:val="24"/>
                <w:szCs w:val="24"/>
              </w:rPr>
              <w:t>第四阶段(3个月)</w:t>
            </w:r>
          </w:p>
        </w:tc>
      </w:tr>
      <w:tr w14:paraId="40F67FD1">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19" w:type="dxa"/>
            <w:tcBorders>
              <w:top w:val="nil"/>
              <w:left w:val="double" w:color="000000" w:sz="4" w:space="0"/>
              <w:bottom w:val="single" w:color="000000" w:sz="4" w:space="0"/>
              <w:right w:val="single" w:color="000000" w:sz="4" w:space="0"/>
            </w:tcBorders>
            <w:tcMar>
              <w:top w:w="0" w:type="dxa"/>
              <w:left w:w="0" w:type="dxa"/>
              <w:bottom w:w="0" w:type="dxa"/>
              <w:right w:w="0" w:type="dxa"/>
            </w:tcMar>
            <w:vAlign w:val="top"/>
          </w:tcPr>
          <w:p w14:paraId="1EE98E51">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b/>
                <w:sz w:val="24"/>
                <w:szCs w:val="24"/>
              </w:rPr>
              <w:t>1</w:t>
            </w:r>
          </w:p>
        </w:tc>
        <w:tc>
          <w:tcPr>
            <w:tcW w:w="3572" w:type="dxa"/>
            <w:tcBorders>
              <w:top w:val="nil"/>
              <w:left w:val="single" w:color="000000" w:sz="4" w:space="0"/>
              <w:bottom w:val="single" w:color="000000" w:sz="4" w:space="0"/>
              <w:right w:val="single" w:color="000000" w:sz="4" w:space="0"/>
            </w:tcBorders>
            <w:tcMar>
              <w:top w:w="0" w:type="dxa"/>
              <w:left w:w="0" w:type="dxa"/>
              <w:bottom w:w="0" w:type="dxa"/>
              <w:right w:w="0" w:type="dxa"/>
            </w:tcMar>
            <w:vAlign w:val="top"/>
          </w:tcPr>
          <w:p w14:paraId="0561291B">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b/>
                <w:sz w:val="24"/>
                <w:szCs w:val="24"/>
              </w:rPr>
              <w:t>数据中台建设</w:t>
            </w:r>
          </w:p>
        </w:tc>
        <w:tc>
          <w:tcPr>
            <w:tcW w:w="1031" w:type="dxa"/>
            <w:tcBorders>
              <w:top w:val="nil"/>
              <w:left w:val="single" w:color="000000" w:sz="4" w:space="0"/>
              <w:bottom w:val="single" w:color="000000" w:sz="4" w:space="0"/>
              <w:right w:val="single" w:color="000000" w:sz="4" w:space="0"/>
            </w:tcBorders>
            <w:tcMar>
              <w:top w:w="0" w:type="dxa"/>
              <w:left w:w="0" w:type="dxa"/>
              <w:bottom w:w="0" w:type="dxa"/>
              <w:right w:w="0" w:type="dxa"/>
            </w:tcMar>
            <w:vAlign w:val="top"/>
          </w:tcPr>
          <w:p w14:paraId="7C0ED3DE">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p>
        </w:tc>
        <w:tc>
          <w:tcPr>
            <w:tcW w:w="1031" w:type="dxa"/>
            <w:tcBorders>
              <w:top w:val="nil"/>
              <w:left w:val="single" w:color="000000" w:sz="4" w:space="0"/>
              <w:bottom w:val="single" w:color="000000" w:sz="4" w:space="0"/>
              <w:right w:val="single" w:color="000000" w:sz="4" w:space="0"/>
            </w:tcBorders>
            <w:tcMar>
              <w:top w:w="0" w:type="dxa"/>
              <w:left w:w="0" w:type="dxa"/>
              <w:bottom w:w="0" w:type="dxa"/>
              <w:right w:w="0" w:type="dxa"/>
            </w:tcMar>
            <w:vAlign w:val="top"/>
          </w:tcPr>
          <w:p w14:paraId="3F0AB52A">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hAnsi="宋体" w:eastAsia="宋体" w:cs="宋体"/>
                <w:sz w:val="24"/>
                <w:szCs w:val="24"/>
              </w:rPr>
            </w:pPr>
          </w:p>
        </w:tc>
        <w:tc>
          <w:tcPr>
            <w:tcW w:w="971" w:type="dxa"/>
            <w:tcBorders>
              <w:top w:val="nil"/>
              <w:left w:val="single" w:color="000000" w:sz="4" w:space="0"/>
              <w:bottom w:val="single" w:color="000000" w:sz="4" w:space="0"/>
              <w:right w:val="single" w:color="000000" w:sz="4" w:space="0"/>
            </w:tcBorders>
            <w:tcMar>
              <w:top w:w="0" w:type="dxa"/>
              <w:left w:w="0" w:type="dxa"/>
              <w:bottom w:w="0" w:type="dxa"/>
              <w:right w:w="0" w:type="dxa"/>
            </w:tcMar>
            <w:vAlign w:val="top"/>
          </w:tcPr>
          <w:p w14:paraId="5CDEE1A1">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w:t>
            </w:r>
          </w:p>
        </w:tc>
        <w:tc>
          <w:tcPr>
            <w:tcW w:w="983" w:type="dxa"/>
            <w:tcBorders>
              <w:top w:val="nil"/>
              <w:left w:val="single" w:color="000000" w:sz="4" w:space="0"/>
              <w:bottom w:val="single" w:color="000000" w:sz="4" w:space="0"/>
              <w:right w:val="double" w:color="000000" w:sz="4" w:space="0"/>
            </w:tcBorders>
            <w:tcMar>
              <w:top w:w="0" w:type="dxa"/>
              <w:left w:w="0" w:type="dxa"/>
              <w:bottom w:w="0" w:type="dxa"/>
              <w:right w:w="0" w:type="dxa"/>
            </w:tcMar>
            <w:vAlign w:val="top"/>
          </w:tcPr>
          <w:p w14:paraId="3020129E">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p>
        </w:tc>
      </w:tr>
      <w:tr w14:paraId="447F8FD3">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19" w:type="dxa"/>
            <w:tcBorders>
              <w:top w:val="single" w:color="000000" w:sz="4" w:space="0"/>
              <w:left w:val="double" w:color="000000" w:sz="4" w:space="0"/>
              <w:bottom w:val="single" w:color="000000" w:sz="4" w:space="0"/>
              <w:right w:val="single" w:color="000000" w:sz="4" w:space="0"/>
            </w:tcBorders>
            <w:tcMar>
              <w:top w:w="0" w:type="dxa"/>
              <w:left w:w="0" w:type="dxa"/>
              <w:bottom w:w="0" w:type="dxa"/>
              <w:right w:w="0" w:type="dxa"/>
            </w:tcMar>
            <w:vAlign w:val="top"/>
          </w:tcPr>
          <w:p w14:paraId="51A900A3">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b/>
                <w:sz w:val="24"/>
                <w:szCs w:val="24"/>
              </w:rPr>
              <w:t>2</w:t>
            </w:r>
          </w:p>
        </w:tc>
        <w:tc>
          <w:tcPr>
            <w:tcW w:w="3572" w:type="dxa"/>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top"/>
          </w:tcPr>
          <w:p w14:paraId="4371D04E">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b/>
                <w:sz w:val="24"/>
                <w:szCs w:val="24"/>
              </w:rPr>
              <w:t>数据迁移</w:t>
            </w:r>
          </w:p>
        </w:tc>
        <w:tc>
          <w:tcPr>
            <w:tcW w:w="1031" w:type="dxa"/>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top"/>
          </w:tcPr>
          <w:p w14:paraId="5279E790">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p>
        </w:tc>
        <w:tc>
          <w:tcPr>
            <w:tcW w:w="1031" w:type="dxa"/>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top"/>
          </w:tcPr>
          <w:p w14:paraId="07483EA1">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hAnsi="宋体" w:eastAsia="宋体" w:cs="宋体"/>
                <w:sz w:val="24"/>
                <w:szCs w:val="24"/>
              </w:rPr>
            </w:pPr>
          </w:p>
        </w:tc>
        <w:tc>
          <w:tcPr>
            <w:tcW w:w="971" w:type="dxa"/>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top"/>
          </w:tcPr>
          <w:p w14:paraId="4495629A">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hAnsi="宋体" w:eastAsia="宋体" w:cs="宋体"/>
                <w:sz w:val="24"/>
                <w:szCs w:val="24"/>
              </w:rPr>
            </w:pPr>
          </w:p>
        </w:tc>
        <w:tc>
          <w:tcPr>
            <w:tcW w:w="983" w:type="dxa"/>
            <w:tcBorders>
              <w:top w:val="single" w:color="000000" w:sz="4" w:space="0"/>
              <w:left w:val="single" w:color="000000" w:sz="4" w:space="0"/>
              <w:bottom w:val="single" w:color="000000" w:sz="4" w:space="0"/>
              <w:right w:val="double" w:color="000000" w:sz="4" w:space="0"/>
            </w:tcBorders>
            <w:tcMar>
              <w:top w:w="0" w:type="dxa"/>
              <w:left w:w="0" w:type="dxa"/>
              <w:bottom w:w="0" w:type="dxa"/>
              <w:right w:w="0" w:type="dxa"/>
            </w:tcMar>
            <w:vAlign w:val="top"/>
          </w:tcPr>
          <w:p w14:paraId="59D68A32">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w:t>
            </w:r>
          </w:p>
        </w:tc>
      </w:tr>
      <w:tr w14:paraId="09989781">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19" w:type="dxa"/>
            <w:tcBorders>
              <w:top w:val="single" w:color="000000" w:sz="4" w:space="0"/>
              <w:left w:val="double" w:color="000000" w:sz="4" w:space="0"/>
              <w:bottom w:val="single" w:color="000000" w:sz="4" w:space="0"/>
              <w:right w:val="single" w:color="000000" w:sz="4" w:space="0"/>
            </w:tcBorders>
            <w:tcMar>
              <w:top w:w="0" w:type="dxa"/>
              <w:left w:w="0" w:type="dxa"/>
              <w:bottom w:w="0" w:type="dxa"/>
              <w:right w:w="0" w:type="dxa"/>
            </w:tcMar>
            <w:vAlign w:val="top"/>
          </w:tcPr>
          <w:p w14:paraId="26738085">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b/>
                <w:sz w:val="24"/>
                <w:szCs w:val="24"/>
              </w:rPr>
              <w:t>3</w:t>
            </w:r>
          </w:p>
        </w:tc>
        <w:tc>
          <w:tcPr>
            <w:tcW w:w="3572" w:type="dxa"/>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top"/>
          </w:tcPr>
          <w:p w14:paraId="0C79D847">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b/>
                <w:sz w:val="24"/>
                <w:szCs w:val="24"/>
              </w:rPr>
              <w:t>省级精神卫生综合服务平台</w:t>
            </w:r>
          </w:p>
        </w:tc>
        <w:tc>
          <w:tcPr>
            <w:tcW w:w="1031" w:type="dxa"/>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top"/>
          </w:tcPr>
          <w:p w14:paraId="3803C534">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p>
        </w:tc>
        <w:tc>
          <w:tcPr>
            <w:tcW w:w="1031" w:type="dxa"/>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top"/>
          </w:tcPr>
          <w:p w14:paraId="43F4848F">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hAnsi="宋体" w:eastAsia="宋体" w:cs="宋体"/>
                <w:sz w:val="24"/>
                <w:szCs w:val="24"/>
              </w:rPr>
            </w:pPr>
          </w:p>
        </w:tc>
        <w:tc>
          <w:tcPr>
            <w:tcW w:w="971" w:type="dxa"/>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top"/>
          </w:tcPr>
          <w:p w14:paraId="4EC6FF02">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hAnsi="宋体" w:eastAsia="宋体" w:cs="宋体"/>
                <w:sz w:val="24"/>
                <w:szCs w:val="24"/>
              </w:rPr>
            </w:pPr>
          </w:p>
        </w:tc>
        <w:tc>
          <w:tcPr>
            <w:tcW w:w="983" w:type="dxa"/>
            <w:tcBorders>
              <w:top w:val="single" w:color="000000" w:sz="4" w:space="0"/>
              <w:left w:val="single" w:color="000000" w:sz="4" w:space="0"/>
              <w:bottom w:val="single" w:color="000000" w:sz="4" w:space="0"/>
              <w:right w:val="double" w:color="000000" w:sz="4" w:space="0"/>
            </w:tcBorders>
            <w:tcMar>
              <w:top w:w="0" w:type="dxa"/>
              <w:left w:w="0" w:type="dxa"/>
              <w:bottom w:w="0" w:type="dxa"/>
              <w:right w:w="0" w:type="dxa"/>
            </w:tcMar>
            <w:vAlign w:val="top"/>
          </w:tcPr>
          <w:p w14:paraId="5835B874">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hAnsi="宋体" w:eastAsia="宋体" w:cs="宋体"/>
                <w:sz w:val="24"/>
                <w:szCs w:val="24"/>
              </w:rPr>
            </w:pPr>
          </w:p>
        </w:tc>
      </w:tr>
      <w:tr w14:paraId="24651BCB">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19" w:type="dxa"/>
            <w:tcBorders>
              <w:top w:val="single" w:color="000000" w:sz="4" w:space="0"/>
              <w:left w:val="double" w:color="000000" w:sz="4" w:space="0"/>
              <w:bottom w:val="single" w:color="000000" w:sz="4" w:space="0"/>
              <w:right w:val="single" w:color="000000" w:sz="4" w:space="0"/>
            </w:tcBorders>
            <w:tcMar>
              <w:top w:w="0" w:type="dxa"/>
              <w:left w:w="0" w:type="dxa"/>
              <w:bottom w:w="0" w:type="dxa"/>
              <w:right w:w="0" w:type="dxa"/>
            </w:tcMar>
            <w:vAlign w:val="top"/>
          </w:tcPr>
          <w:p w14:paraId="07437F7A">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3.1</w:t>
            </w:r>
          </w:p>
        </w:tc>
        <w:tc>
          <w:tcPr>
            <w:tcW w:w="3572" w:type="dxa"/>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top"/>
          </w:tcPr>
          <w:p w14:paraId="6D8C21FB">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严重精神障碍管理系统</w:t>
            </w:r>
          </w:p>
        </w:tc>
        <w:tc>
          <w:tcPr>
            <w:tcW w:w="1031" w:type="dxa"/>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top"/>
          </w:tcPr>
          <w:p w14:paraId="2044DF84">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p>
        </w:tc>
        <w:tc>
          <w:tcPr>
            <w:tcW w:w="1031" w:type="dxa"/>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top"/>
          </w:tcPr>
          <w:p w14:paraId="216052B6">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w:t>
            </w:r>
          </w:p>
        </w:tc>
        <w:tc>
          <w:tcPr>
            <w:tcW w:w="971" w:type="dxa"/>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top"/>
          </w:tcPr>
          <w:p w14:paraId="61F3996E">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p>
        </w:tc>
        <w:tc>
          <w:tcPr>
            <w:tcW w:w="983" w:type="dxa"/>
            <w:tcBorders>
              <w:top w:val="single" w:color="000000" w:sz="4" w:space="0"/>
              <w:left w:val="single" w:color="000000" w:sz="4" w:space="0"/>
              <w:bottom w:val="single" w:color="000000" w:sz="4" w:space="0"/>
              <w:right w:val="double" w:color="000000" w:sz="4" w:space="0"/>
            </w:tcBorders>
            <w:tcMar>
              <w:top w:w="0" w:type="dxa"/>
              <w:left w:w="0" w:type="dxa"/>
              <w:bottom w:w="0" w:type="dxa"/>
              <w:right w:w="0" w:type="dxa"/>
            </w:tcMar>
            <w:vAlign w:val="top"/>
          </w:tcPr>
          <w:p w14:paraId="6798CB95">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hAnsi="宋体" w:eastAsia="宋体" w:cs="宋体"/>
                <w:sz w:val="24"/>
                <w:szCs w:val="24"/>
              </w:rPr>
            </w:pPr>
          </w:p>
        </w:tc>
      </w:tr>
      <w:tr w14:paraId="2B0D1EB5">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19" w:type="dxa"/>
            <w:tcBorders>
              <w:top w:val="single" w:color="000000" w:sz="4" w:space="0"/>
              <w:left w:val="double" w:color="000000" w:sz="4" w:space="0"/>
              <w:bottom w:val="single" w:color="000000" w:sz="4" w:space="0"/>
              <w:right w:val="single" w:color="000000" w:sz="4" w:space="0"/>
            </w:tcBorders>
            <w:tcMar>
              <w:top w:w="0" w:type="dxa"/>
              <w:left w:w="0" w:type="dxa"/>
              <w:bottom w:w="0" w:type="dxa"/>
              <w:right w:w="0" w:type="dxa"/>
            </w:tcMar>
            <w:vAlign w:val="top"/>
          </w:tcPr>
          <w:p w14:paraId="67A7D015">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3.2</w:t>
            </w:r>
          </w:p>
        </w:tc>
        <w:tc>
          <w:tcPr>
            <w:tcW w:w="3572" w:type="dxa"/>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top"/>
          </w:tcPr>
          <w:p w14:paraId="29F88901">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转岗培训管理系统</w:t>
            </w:r>
          </w:p>
        </w:tc>
        <w:tc>
          <w:tcPr>
            <w:tcW w:w="1031" w:type="dxa"/>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top"/>
          </w:tcPr>
          <w:p w14:paraId="372811BA">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p>
        </w:tc>
        <w:tc>
          <w:tcPr>
            <w:tcW w:w="1031" w:type="dxa"/>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top"/>
          </w:tcPr>
          <w:p w14:paraId="70C48127">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hAnsi="宋体" w:eastAsia="宋体" w:cs="宋体"/>
                <w:sz w:val="24"/>
                <w:szCs w:val="24"/>
              </w:rPr>
            </w:pPr>
          </w:p>
        </w:tc>
        <w:tc>
          <w:tcPr>
            <w:tcW w:w="971" w:type="dxa"/>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top"/>
          </w:tcPr>
          <w:p w14:paraId="7E4CD749">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hAnsi="宋体" w:eastAsia="宋体" w:cs="宋体"/>
                <w:sz w:val="24"/>
                <w:szCs w:val="24"/>
              </w:rPr>
            </w:pPr>
          </w:p>
        </w:tc>
        <w:tc>
          <w:tcPr>
            <w:tcW w:w="983" w:type="dxa"/>
            <w:tcBorders>
              <w:top w:val="single" w:color="000000" w:sz="4" w:space="0"/>
              <w:left w:val="single" w:color="000000" w:sz="4" w:space="0"/>
              <w:bottom w:val="single" w:color="000000" w:sz="4" w:space="0"/>
              <w:right w:val="double" w:color="000000" w:sz="4" w:space="0"/>
            </w:tcBorders>
            <w:tcMar>
              <w:top w:w="0" w:type="dxa"/>
              <w:left w:w="0" w:type="dxa"/>
              <w:bottom w:w="0" w:type="dxa"/>
              <w:right w:w="0" w:type="dxa"/>
            </w:tcMar>
            <w:vAlign w:val="top"/>
          </w:tcPr>
          <w:p w14:paraId="08B2484A">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w:t>
            </w:r>
          </w:p>
        </w:tc>
      </w:tr>
      <w:tr w14:paraId="2E28BEB4">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19" w:type="dxa"/>
            <w:tcBorders>
              <w:top w:val="single" w:color="000000" w:sz="4" w:space="0"/>
              <w:left w:val="double" w:color="000000" w:sz="4" w:space="0"/>
              <w:bottom w:val="single" w:color="000000" w:sz="4" w:space="0"/>
              <w:right w:val="single" w:color="000000" w:sz="4" w:space="0"/>
            </w:tcBorders>
            <w:tcMar>
              <w:top w:w="0" w:type="dxa"/>
              <w:left w:w="0" w:type="dxa"/>
              <w:bottom w:w="0" w:type="dxa"/>
              <w:right w:w="0" w:type="dxa"/>
            </w:tcMar>
            <w:vAlign w:val="top"/>
          </w:tcPr>
          <w:p w14:paraId="42291B32">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3.3</w:t>
            </w:r>
          </w:p>
        </w:tc>
        <w:tc>
          <w:tcPr>
            <w:tcW w:w="3572" w:type="dxa"/>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top"/>
          </w:tcPr>
          <w:p w14:paraId="1B94C4ED">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心理援助热线系统</w:t>
            </w:r>
          </w:p>
        </w:tc>
        <w:tc>
          <w:tcPr>
            <w:tcW w:w="1031" w:type="dxa"/>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top"/>
          </w:tcPr>
          <w:p w14:paraId="307C3354">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p>
        </w:tc>
        <w:tc>
          <w:tcPr>
            <w:tcW w:w="1031" w:type="dxa"/>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top"/>
          </w:tcPr>
          <w:p w14:paraId="44AF8EB3">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hAnsi="宋体" w:eastAsia="宋体" w:cs="宋体"/>
                <w:sz w:val="24"/>
                <w:szCs w:val="24"/>
              </w:rPr>
            </w:pPr>
          </w:p>
        </w:tc>
        <w:tc>
          <w:tcPr>
            <w:tcW w:w="971" w:type="dxa"/>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top"/>
          </w:tcPr>
          <w:p w14:paraId="6B44E3E3">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hAnsi="宋体" w:eastAsia="宋体" w:cs="宋体"/>
                <w:sz w:val="24"/>
                <w:szCs w:val="24"/>
              </w:rPr>
            </w:pPr>
          </w:p>
        </w:tc>
        <w:tc>
          <w:tcPr>
            <w:tcW w:w="983" w:type="dxa"/>
            <w:tcBorders>
              <w:top w:val="single" w:color="000000" w:sz="4" w:space="0"/>
              <w:left w:val="single" w:color="000000" w:sz="4" w:space="0"/>
              <w:bottom w:val="single" w:color="000000" w:sz="4" w:space="0"/>
              <w:right w:val="double" w:color="000000" w:sz="4" w:space="0"/>
            </w:tcBorders>
            <w:tcMar>
              <w:top w:w="0" w:type="dxa"/>
              <w:left w:w="0" w:type="dxa"/>
              <w:bottom w:w="0" w:type="dxa"/>
              <w:right w:w="0" w:type="dxa"/>
            </w:tcMar>
            <w:vAlign w:val="top"/>
          </w:tcPr>
          <w:p w14:paraId="5083BBE4">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hAnsi="宋体" w:eastAsia="宋体" w:cs="宋体"/>
                <w:sz w:val="24"/>
                <w:szCs w:val="24"/>
              </w:rPr>
            </w:pPr>
          </w:p>
        </w:tc>
      </w:tr>
      <w:tr w14:paraId="71D184AD">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19" w:type="dxa"/>
            <w:tcBorders>
              <w:top w:val="single" w:color="000000" w:sz="4" w:space="0"/>
              <w:left w:val="double" w:color="000000" w:sz="4" w:space="0"/>
              <w:bottom w:val="single" w:color="000000" w:sz="4" w:space="0"/>
              <w:right w:val="single" w:color="000000" w:sz="4" w:space="0"/>
            </w:tcBorders>
            <w:tcMar>
              <w:top w:w="0" w:type="dxa"/>
              <w:left w:w="0" w:type="dxa"/>
              <w:bottom w:w="0" w:type="dxa"/>
              <w:right w:w="0" w:type="dxa"/>
            </w:tcMar>
            <w:vAlign w:val="top"/>
          </w:tcPr>
          <w:p w14:paraId="7BBD897A">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3.3.1</w:t>
            </w:r>
          </w:p>
        </w:tc>
        <w:tc>
          <w:tcPr>
            <w:tcW w:w="3572" w:type="dxa"/>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top"/>
          </w:tcPr>
          <w:p w14:paraId="34C70BD1">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系统功能</w:t>
            </w:r>
          </w:p>
        </w:tc>
        <w:tc>
          <w:tcPr>
            <w:tcW w:w="1031" w:type="dxa"/>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top"/>
          </w:tcPr>
          <w:p w14:paraId="57D155B2">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p>
        </w:tc>
        <w:tc>
          <w:tcPr>
            <w:tcW w:w="1031" w:type="dxa"/>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top"/>
          </w:tcPr>
          <w:p w14:paraId="34776C32">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w:t>
            </w:r>
          </w:p>
        </w:tc>
        <w:tc>
          <w:tcPr>
            <w:tcW w:w="971" w:type="dxa"/>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top"/>
          </w:tcPr>
          <w:p w14:paraId="511E6B75">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p>
        </w:tc>
        <w:tc>
          <w:tcPr>
            <w:tcW w:w="983" w:type="dxa"/>
            <w:tcBorders>
              <w:top w:val="single" w:color="000000" w:sz="4" w:space="0"/>
              <w:left w:val="single" w:color="000000" w:sz="4" w:space="0"/>
              <w:bottom w:val="single" w:color="000000" w:sz="4" w:space="0"/>
              <w:right w:val="double" w:color="000000" w:sz="4" w:space="0"/>
            </w:tcBorders>
            <w:tcMar>
              <w:top w:w="0" w:type="dxa"/>
              <w:left w:w="0" w:type="dxa"/>
              <w:bottom w:w="0" w:type="dxa"/>
              <w:right w:w="0" w:type="dxa"/>
            </w:tcMar>
            <w:vAlign w:val="top"/>
          </w:tcPr>
          <w:p w14:paraId="7BCBB8C3">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hAnsi="宋体" w:eastAsia="宋体" w:cs="宋体"/>
                <w:sz w:val="24"/>
                <w:szCs w:val="24"/>
              </w:rPr>
            </w:pPr>
          </w:p>
        </w:tc>
      </w:tr>
      <w:tr w14:paraId="453D2674">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19" w:type="dxa"/>
            <w:tcBorders>
              <w:top w:val="single" w:color="000000" w:sz="4" w:space="0"/>
              <w:left w:val="double" w:color="000000" w:sz="4" w:space="0"/>
              <w:bottom w:val="single" w:color="000000" w:sz="4" w:space="0"/>
              <w:right w:val="single" w:color="000000" w:sz="4" w:space="0"/>
            </w:tcBorders>
            <w:tcMar>
              <w:top w:w="0" w:type="dxa"/>
              <w:left w:w="0" w:type="dxa"/>
              <w:bottom w:w="0" w:type="dxa"/>
              <w:right w:w="0" w:type="dxa"/>
            </w:tcMar>
            <w:vAlign w:val="top"/>
          </w:tcPr>
          <w:p w14:paraId="79D205C7">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3.3.2</w:t>
            </w:r>
          </w:p>
        </w:tc>
        <w:tc>
          <w:tcPr>
            <w:tcW w:w="3572" w:type="dxa"/>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top"/>
          </w:tcPr>
          <w:p w14:paraId="0B3A9C08">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热线服务</w:t>
            </w:r>
          </w:p>
        </w:tc>
        <w:tc>
          <w:tcPr>
            <w:tcW w:w="1031" w:type="dxa"/>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top"/>
          </w:tcPr>
          <w:p w14:paraId="0DD32689">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p>
        </w:tc>
        <w:tc>
          <w:tcPr>
            <w:tcW w:w="1031" w:type="dxa"/>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top"/>
          </w:tcPr>
          <w:p w14:paraId="1E1081DA">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w:t>
            </w:r>
          </w:p>
        </w:tc>
        <w:tc>
          <w:tcPr>
            <w:tcW w:w="971" w:type="dxa"/>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top"/>
          </w:tcPr>
          <w:p w14:paraId="2CC1B795">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p>
        </w:tc>
        <w:tc>
          <w:tcPr>
            <w:tcW w:w="983" w:type="dxa"/>
            <w:tcBorders>
              <w:top w:val="single" w:color="000000" w:sz="4" w:space="0"/>
              <w:left w:val="single" w:color="000000" w:sz="4" w:space="0"/>
              <w:bottom w:val="single" w:color="000000" w:sz="4" w:space="0"/>
              <w:right w:val="double" w:color="000000" w:sz="4" w:space="0"/>
            </w:tcBorders>
            <w:tcMar>
              <w:top w:w="0" w:type="dxa"/>
              <w:left w:w="0" w:type="dxa"/>
              <w:bottom w:w="0" w:type="dxa"/>
              <w:right w:w="0" w:type="dxa"/>
            </w:tcMar>
            <w:vAlign w:val="top"/>
          </w:tcPr>
          <w:p w14:paraId="54B3D7C7">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hAnsi="宋体" w:eastAsia="宋体" w:cs="宋体"/>
                <w:sz w:val="24"/>
                <w:szCs w:val="24"/>
              </w:rPr>
            </w:pPr>
          </w:p>
        </w:tc>
      </w:tr>
      <w:tr w14:paraId="15FDC4CC">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19" w:type="dxa"/>
            <w:tcBorders>
              <w:top w:val="single" w:color="000000" w:sz="4" w:space="0"/>
              <w:left w:val="double" w:color="000000" w:sz="4" w:space="0"/>
              <w:bottom w:val="single" w:color="000000" w:sz="4" w:space="0"/>
              <w:right w:val="single" w:color="000000" w:sz="4" w:space="0"/>
            </w:tcBorders>
            <w:tcMar>
              <w:top w:w="0" w:type="dxa"/>
              <w:left w:w="0" w:type="dxa"/>
              <w:bottom w:w="0" w:type="dxa"/>
              <w:right w:w="0" w:type="dxa"/>
            </w:tcMar>
            <w:vAlign w:val="top"/>
          </w:tcPr>
          <w:p w14:paraId="13165FE6">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3.3.3</w:t>
            </w:r>
          </w:p>
        </w:tc>
        <w:tc>
          <w:tcPr>
            <w:tcW w:w="3572" w:type="dxa"/>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top"/>
          </w:tcPr>
          <w:p w14:paraId="4648E9E2">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会话边界控制器</w:t>
            </w:r>
          </w:p>
        </w:tc>
        <w:tc>
          <w:tcPr>
            <w:tcW w:w="1031" w:type="dxa"/>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top"/>
          </w:tcPr>
          <w:p w14:paraId="49753BE2">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w:t>
            </w:r>
          </w:p>
        </w:tc>
        <w:tc>
          <w:tcPr>
            <w:tcW w:w="1031" w:type="dxa"/>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top"/>
          </w:tcPr>
          <w:p w14:paraId="2FF280D1">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p>
        </w:tc>
        <w:tc>
          <w:tcPr>
            <w:tcW w:w="971" w:type="dxa"/>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top"/>
          </w:tcPr>
          <w:p w14:paraId="640CC574">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hAnsi="宋体" w:eastAsia="宋体" w:cs="宋体"/>
                <w:sz w:val="24"/>
                <w:szCs w:val="24"/>
              </w:rPr>
            </w:pPr>
          </w:p>
        </w:tc>
        <w:tc>
          <w:tcPr>
            <w:tcW w:w="983" w:type="dxa"/>
            <w:tcBorders>
              <w:top w:val="single" w:color="000000" w:sz="4" w:space="0"/>
              <w:left w:val="single" w:color="000000" w:sz="4" w:space="0"/>
              <w:bottom w:val="single" w:color="000000" w:sz="4" w:space="0"/>
              <w:right w:val="double" w:color="000000" w:sz="4" w:space="0"/>
            </w:tcBorders>
            <w:tcMar>
              <w:top w:w="0" w:type="dxa"/>
              <w:left w:w="0" w:type="dxa"/>
              <w:bottom w:w="0" w:type="dxa"/>
              <w:right w:w="0" w:type="dxa"/>
            </w:tcMar>
            <w:vAlign w:val="top"/>
          </w:tcPr>
          <w:p w14:paraId="60564C39">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hAnsi="宋体" w:eastAsia="宋体" w:cs="宋体"/>
                <w:sz w:val="24"/>
                <w:szCs w:val="24"/>
              </w:rPr>
            </w:pPr>
          </w:p>
        </w:tc>
      </w:tr>
      <w:tr w14:paraId="384DB84E">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19" w:type="dxa"/>
            <w:tcBorders>
              <w:top w:val="single" w:color="000000" w:sz="4" w:space="0"/>
              <w:left w:val="double" w:color="000000" w:sz="4" w:space="0"/>
              <w:bottom w:val="single" w:color="000000" w:sz="4" w:space="0"/>
              <w:right w:val="single" w:color="000000" w:sz="4" w:space="0"/>
            </w:tcBorders>
            <w:tcMar>
              <w:top w:w="0" w:type="dxa"/>
              <w:left w:w="0" w:type="dxa"/>
              <w:bottom w:w="0" w:type="dxa"/>
              <w:right w:w="0" w:type="dxa"/>
            </w:tcMar>
            <w:vAlign w:val="top"/>
          </w:tcPr>
          <w:p w14:paraId="070EF876">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3.4</w:t>
            </w:r>
          </w:p>
        </w:tc>
        <w:tc>
          <w:tcPr>
            <w:tcW w:w="3572" w:type="dxa"/>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top"/>
          </w:tcPr>
          <w:p w14:paraId="7E5F9FD8">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常见精神障碍筛查系统</w:t>
            </w:r>
          </w:p>
        </w:tc>
        <w:tc>
          <w:tcPr>
            <w:tcW w:w="1031" w:type="dxa"/>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top"/>
          </w:tcPr>
          <w:p w14:paraId="7F5197A8">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p>
        </w:tc>
        <w:tc>
          <w:tcPr>
            <w:tcW w:w="1031" w:type="dxa"/>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top"/>
          </w:tcPr>
          <w:p w14:paraId="07182F35">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hAnsi="宋体" w:eastAsia="宋体" w:cs="宋体"/>
                <w:sz w:val="24"/>
                <w:szCs w:val="24"/>
              </w:rPr>
            </w:pPr>
          </w:p>
        </w:tc>
        <w:tc>
          <w:tcPr>
            <w:tcW w:w="971" w:type="dxa"/>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top"/>
          </w:tcPr>
          <w:p w14:paraId="7291D4FE">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w:t>
            </w:r>
          </w:p>
        </w:tc>
        <w:tc>
          <w:tcPr>
            <w:tcW w:w="983" w:type="dxa"/>
            <w:tcBorders>
              <w:top w:val="single" w:color="000000" w:sz="4" w:space="0"/>
              <w:left w:val="single" w:color="000000" w:sz="4" w:space="0"/>
              <w:bottom w:val="single" w:color="000000" w:sz="4" w:space="0"/>
              <w:right w:val="double" w:color="000000" w:sz="4" w:space="0"/>
            </w:tcBorders>
            <w:tcMar>
              <w:top w:w="0" w:type="dxa"/>
              <w:left w:w="0" w:type="dxa"/>
              <w:bottom w:w="0" w:type="dxa"/>
              <w:right w:w="0" w:type="dxa"/>
            </w:tcMar>
            <w:vAlign w:val="top"/>
          </w:tcPr>
          <w:p w14:paraId="23C8910C">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p>
        </w:tc>
      </w:tr>
      <w:tr w14:paraId="5BCFD370">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19" w:type="dxa"/>
            <w:tcBorders>
              <w:top w:val="single" w:color="000000" w:sz="4" w:space="0"/>
              <w:left w:val="double" w:color="000000" w:sz="4" w:space="0"/>
              <w:bottom w:val="single" w:color="000000" w:sz="4" w:space="0"/>
              <w:right w:val="single" w:color="000000" w:sz="4" w:space="0"/>
            </w:tcBorders>
            <w:tcMar>
              <w:top w:w="0" w:type="dxa"/>
              <w:left w:w="0" w:type="dxa"/>
              <w:bottom w:w="0" w:type="dxa"/>
              <w:right w:w="0" w:type="dxa"/>
            </w:tcMar>
            <w:vAlign w:val="top"/>
          </w:tcPr>
          <w:p w14:paraId="6A9B6227">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3.5</w:t>
            </w:r>
          </w:p>
        </w:tc>
        <w:tc>
          <w:tcPr>
            <w:tcW w:w="3572" w:type="dxa"/>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top"/>
          </w:tcPr>
          <w:p w14:paraId="3EAFE05E">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心理健康体检系统</w:t>
            </w:r>
          </w:p>
        </w:tc>
        <w:tc>
          <w:tcPr>
            <w:tcW w:w="1031" w:type="dxa"/>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top"/>
          </w:tcPr>
          <w:p w14:paraId="27FC60D3">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p>
        </w:tc>
        <w:tc>
          <w:tcPr>
            <w:tcW w:w="1031" w:type="dxa"/>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top"/>
          </w:tcPr>
          <w:p w14:paraId="33522DB4">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hAnsi="宋体" w:eastAsia="宋体" w:cs="宋体"/>
                <w:sz w:val="24"/>
                <w:szCs w:val="24"/>
              </w:rPr>
            </w:pPr>
          </w:p>
        </w:tc>
        <w:tc>
          <w:tcPr>
            <w:tcW w:w="971" w:type="dxa"/>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top"/>
          </w:tcPr>
          <w:p w14:paraId="29B81953">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hAnsi="宋体" w:eastAsia="宋体" w:cs="宋体"/>
                <w:sz w:val="24"/>
                <w:szCs w:val="24"/>
              </w:rPr>
            </w:pPr>
          </w:p>
        </w:tc>
        <w:tc>
          <w:tcPr>
            <w:tcW w:w="983" w:type="dxa"/>
            <w:tcBorders>
              <w:top w:val="single" w:color="000000" w:sz="4" w:space="0"/>
              <w:left w:val="single" w:color="000000" w:sz="4" w:space="0"/>
              <w:bottom w:val="single" w:color="000000" w:sz="4" w:space="0"/>
              <w:right w:val="double" w:color="000000" w:sz="4" w:space="0"/>
            </w:tcBorders>
            <w:tcMar>
              <w:top w:w="0" w:type="dxa"/>
              <w:left w:w="0" w:type="dxa"/>
              <w:bottom w:w="0" w:type="dxa"/>
              <w:right w:w="0" w:type="dxa"/>
            </w:tcMar>
            <w:vAlign w:val="top"/>
          </w:tcPr>
          <w:p w14:paraId="438A725C">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w:t>
            </w:r>
          </w:p>
        </w:tc>
      </w:tr>
      <w:tr w14:paraId="13DA71AE">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19" w:type="dxa"/>
            <w:tcBorders>
              <w:top w:val="single" w:color="000000" w:sz="4" w:space="0"/>
              <w:left w:val="double" w:color="000000" w:sz="4" w:space="0"/>
              <w:bottom w:val="single" w:color="000000" w:sz="4" w:space="0"/>
              <w:right w:val="single" w:color="000000" w:sz="4" w:space="0"/>
            </w:tcBorders>
            <w:tcMar>
              <w:top w:w="0" w:type="dxa"/>
              <w:left w:w="0" w:type="dxa"/>
              <w:bottom w:w="0" w:type="dxa"/>
              <w:right w:w="0" w:type="dxa"/>
            </w:tcMar>
            <w:vAlign w:val="top"/>
          </w:tcPr>
          <w:p w14:paraId="0CE02611">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3.6</w:t>
            </w:r>
          </w:p>
        </w:tc>
        <w:tc>
          <w:tcPr>
            <w:tcW w:w="3572" w:type="dxa"/>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top"/>
          </w:tcPr>
          <w:p w14:paraId="32FE121C">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高危人群干预系统</w:t>
            </w:r>
          </w:p>
        </w:tc>
        <w:tc>
          <w:tcPr>
            <w:tcW w:w="1031" w:type="dxa"/>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top"/>
          </w:tcPr>
          <w:p w14:paraId="34FD069D">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p>
        </w:tc>
        <w:tc>
          <w:tcPr>
            <w:tcW w:w="1031" w:type="dxa"/>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top"/>
          </w:tcPr>
          <w:p w14:paraId="75DCA363">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hAnsi="宋体" w:eastAsia="宋体" w:cs="宋体"/>
                <w:sz w:val="24"/>
                <w:szCs w:val="24"/>
              </w:rPr>
            </w:pPr>
          </w:p>
        </w:tc>
        <w:tc>
          <w:tcPr>
            <w:tcW w:w="971" w:type="dxa"/>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top"/>
          </w:tcPr>
          <w:p w14:paraId="3EBCC8B0">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hAnsi="宋体" w:eastAsia="宋体" w:cs="宋体"/>
                <w:sz w:val="24"/>
                <w:szCs w:val="24"/>
              </w:rPr>
            </w:pPr>
          </w:p>
        </w:tc>
        <w:tc>
          <w:tcPr>
            <w:tcW w:w="983" w:type="dxa"/>
            <w:tcBorders>
              <w:top w:val="single" w:color="000000" w:sz="4" w:space="0"/>
              <w:left w:val="single" w:color="000000" w:sz="4" w:space="0"/>
              <w:bottom w:val="single" w:color="000000" w:sz="4" w:space="0"/>
              <w:right w:val="double" w:color="000000" w:sz="4" w:space="0"/>
            </w:tcBorders>
            <w:tcMar>
              <w:top w:w="0" w:type="dxa"/>
              <w:left w:w="0" w:type="dxa"/>
              <w:bottom w:w="0" w:type="dxa"/>
              <w:right w:w="0" w:type="dxa"/>
            </w:tcMar>
            <w:vAlign w:val="top"/>
          </w:tcPr>
          <w:p w14:paraId="0B9DA7D1">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w:t>
            </w:r>
          </w:p>
        </w:tc>
      </w:tr>
      <w:tr w14:paraId="3539FF16">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19" w:type="dxa"/>
            <w:tcBorders>
              <w:top w:val="single" w:color="000000" w:sz="4" w:space="0"/>
              <w:left w:val="double" w:color="000000" w:sz="4" w:space="0"/>
              <w:bottom w:val="single" w:color="000000" w:sz="4" w:space="0"/>
              <w:right w:val="single" w:color="000000" w:sz="4" w:space="0"/>
            </w:tcBorders>
            <w:tcMar>
              <w:top w:w="0" w:type="dxa"/>
              <w:left w:w="0" w:type="dxa"/>
              <w:bottom w:w="0" w:type="dxa"/>
              <w:right w:w="0" w:type="dxa"/>
            </w:tcMar>
            <w:vAlign w:val="top"/>
          </w:tcPr>
          <w:p w14:paraId="29500E17">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3.7</w:t>
            </w:r>
          </w:p>
        </w:tc>
        <w:tc>
          <w:tcPr>
            <w:tcW w:w="3572" w:type="dxa"/>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top"/>
          </w:tcPr>
          <w:p w14:paraId="58C86F88">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患者全病程管理系统</w:t>
            </w:r>
          </w:p>
        </w:tc>
        <w:tc>
          <w:tcPr>
            <w:tcW w:w="1031" w:type="dxa"/>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top"/>
          </w:tcPr>
          <w:p w14:paraId="2A20F122">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p>
        </w:tc>
        <w:tc>
          <w:tcPr>
            <w:tcW w:w="1031" w:type="dxa"/>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top"/>
          </w:tcPr>
          <w:p w14:paraId="70B764B4">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hAnsi="宋体" w:eastAsia="宋体" w:cs="宋体"/>
                <w:sz w:val="24"/>
                <w:szCs w:val="24"/>
              </w:rPr>
            </w:pPr>
          </w:p>
        </w:tc>
        <w:tc>
          <w:tcPr>
            <w:tcW w:w="971" w:type="dxa"/>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top"/>
          </w:tcPr>
          <w:p w14:paraId="74108A56">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hAnsi="宋体" w:eastAsia="宋体" w:cs="宋体"/>
                <w:sz w:val="24"/>
                <w:szCs w:val="24"/>
              </w:rPr>
            </w:pPr>
          </w:p>
        </w:tc>
        <w:tc>
          <w:tcPr>
            <w:tcW w:w="983" w:type="dxa"/>
            <w:tcBorders>
              <w:top w:val="single" w:color="000000" w:sz="4" w:space="0"/>
              <w:left w:val="single" w:color="000000" w:sz="4" w:space="0"/>
              <w:bottom w:val="single" w:color="000000" w:sz="4" w:space="0"/>
              <w:right w:val="double" w:color="000000" w:sz="4" w:space="0"/>
            </w:tcBorders>
            <w:tcMar>
              <w:top w:w="0" w:type="dxa"/>
              <w:left w:w="0" w:type="dxa"/>
              <w:bottom w:w="0" w:type="dxa"/>
              <w:right w:w="0" w:type="dxa"/>
            </w:tcMar>
            <w:vAlign w:val="top"/>
          </w:tcPr>
          <w:p w14:paraId="771F96D7">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w:t>
            </w:r>
          </w:p>
        </w:tc>
      </w:tr>
      <w:tr w14:paraId="49466720">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19" w:type="dxa"/>
            <w:tcBorders>
              <w:top w:val="single" w:color="000000" w:sz="4" w:space="0"/>
              <w:left w:val="double" w:color="000000" w:sz="4" w:space="0"/>
              <w:bottom w:val="single" w:color="000000" w:sz="4" w:space="0"/>
              <w:right w:val="single" w:color="000000" w:sz="4" w:space="0"/>
            </w:tcBorders>
            <w:tcMar>
              <w:top w:w="0" w:type="dxa"/>
              <w:left w:w="0" w:type="dxa"/>
              <w:bottom w:w="0" w:type="dxa"/>
              <w:right w:w="0" w:type="dxa"/>
            </w:tcMar>
            <w:vAlign w:val="top"/>
          </w:tcPr>
          <w:p w14:paraId="3F2D4B8E">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3.8</w:t>
            </w:r>
          </w:p>
        </w:tc>
        <w:tc>
          <w:tcPr>
            <w:tcW w:w="3572" w:type="dxa"/>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top"/>
          </w:tcPr>
          <w:p w14:paraId="59854B09">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心理应急管理系统</w:t>
            </w:r>
          </w:p>
        </w:tc>
        <w:tc>
          <w:tcPr>
            <w:tcW w:w="1031" w:type="dxa"/>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top"/>
          </w:tcPr>
          <w:p w14:paraId="360752BC">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p>
        </w:tc>
        <w:tc>
          <w:tcPr>
            <w:tcW w:w="1031" w:type="dxa"/>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top"/>
          </w:tcPr>
          <w:p w14:paraId="44C3B4CD">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hAnsi="宋体" w:eastAsia="宋体" w:cs="宋体"/>
                <w:sz w:val="24"/>
                <w:szCs w:val="24"/>
              </w:rPr>
            </w:pPr>
          </w:p>
        </w:tc>
        <w:tc>
          <w:tcPr>
            <w:tcW w:w="971" w:type="dxa"/>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top"/>
          </w:tcPr>
          <w:p w14:paraId="461F4564">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hAnsi="宋体" w:eastAsia="宋体" w:cs="宋体"/>
                <w:sz w:val="24"/>
                <w:szCs w:val="24"/>
              </w:rPr>
            </w:pPr>
          </w:p>
        </w:tc>
        <w:tc>
          <w:tcPr>
            <w:tcW w:w="983" w:type="dxa"/>
            <w:tcBorders>
              <w:top w:val="single" w:color="000000" w:sz="4" w:space="0"/>
              <w:left w:val="single" w:color="000000" w:sz="4" w:space="0"/>
              <w:bottom w:val="single" w:color="000000" w:sz="4" w:space="0"/>
              <w:right w:val="double" w:color="000000" w:sz="4" w:space="0"/>
            </w:tcBorders>
            <w:tcMar>
              <w:top w:w="0" w:type="dxa"/>
              <w:left w:w="0" w:type="dxa"/>
              <w:bottom w:w="0" w:type="dxa"/>
              <w:right w:w="0" w:type="dxa"/>
            </w:tcMar>
            <w:vAlign w:val="top"/>
          </w:tcPr>
          <w:p w14:paraId="7AF3FDA3">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w:t>
            </w:r>
          </w:p>
        </w:tc>
      </w:tr>
      <w:tr w14:paraId="7FC13716">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19" w:type="dxa"/>
            <w:tcBorders>
              <w:top w:val="single" w:color="000000" w:sz="4" w:space="0"/>
              <w:left w:val="double" w:color="000000" w:sz="4" w:space="0"/>
              <w:bottom w:val="single" w:color="000000" w:sz="4" w:space="0"/>
              <w:right w:val="single" w:color="000000" w:sz="4" w:space="0"/>
            </w:tcBorders>
            <w:tcMar>
              <w:top w:w="0" w:type="dxa"/>
              <w:left w:w="0" w:type="dxa"/>
              <w:bottom w:w="0" w:type="dxa"/>
              <w:right w:w="0" w:type="dxa"/>
            </w:tcMar>
            <w:vAlign w:val="top"/>
          </w:tcPr>
          <w:p w14:paraId="65BD5506">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3.9</w:t>
            </w:r>
          </w:p>
        </w:tc>
        <w:tc>
          <w:tcPr>
            <w:tcW w:w="3572" w:type="dxa"/>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top"/>
          </w:tcPr>
          <w:p w14:paraId="4FAEE2D1">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精神卫生资源管理系统</w:t>
            </w:r>
          </w:p>
        </w:tc>
        <w:tc>
          <w:tcPr>
            <w:tcW w:w="1031" w:type="dxa"/>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top"/>
          </w:tcPr>
          <w:p w14:paraId="529B4126">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p>
        </w:tc>
        <w:tc>
          <w:tcPr>
            <w:tcW w:w="1031" w:type="dxa"/>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top"/>
          </w:tcPr>
          <w:p w14:paraId="3C69189B">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hAnsi="宋体" w:eastAsia="宋体" w:cs="宋体"/>
                <w:sz w:val="24"/>
                <w:szCs w:val="24"/>
              </w:rPr>
            </w:pPr>
          </w:p>
        </w:tc>
        <w:tc>
          <w:tcPr>
            <w:tcW w:w="971" w:type="dxa"/>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top"/>
          </w:tcPr>
          <w:p w14:paraId="60172BCD">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hAnsi="宋体" w:eastAsia="宋体" w:cs="宋体"/>
                <w:sz w:val="24"/>
                <w:szCs w:val="24"/>
              </w:rPr>
            </w:pPr>
          </w:p>
        </w:tc>
        <w:tc>
          <w:tcPr>
            <w:tcW w:w="983" w:type="dxa"/>
            <w:tcBorders>
              <w:top w:val="single" w:color="000000" w:sz="4" w:space="0"/>
              <w:left w:val="single" w:color="000000" w:sz="4" w:space="0"/>
              <w:bottom w:val="single" w:color="000000" w:sz="4" w:space="0"/>
              <w:right w:val="double" w:color="000000" w:sz="4" w:space="0"/>
            </w:tcBorders>
            <w:tcMar>
              <w:top w:w="0" w:type="dxa"/>
              <w:left w:w="0" w:type="dxa"/>
              <w:bottom w:w="0" w:type="dxa"/>
              <w:right w:w="0" w:type="dxa"/>
            </w:tcMar>
            <w:vAlign w:val="top"/>
          </w:tcPr>
          <w:p w14:paraId="6AC14731">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w:t>
            </w:r>
          </w:p>
        </w:tc>
      </w:tr>
      <w:tr w14:paraId="35E99228">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19" w:type="dxa"/>
            <w:tcBorders>
              <w:top w:val="single" w:color="000000" w:sz="4" w:space="0"/>
              <w:left w:val="double" w:color="000000" w:sz="4" w:space="0"/>
              <w:bottom w:val="single" w:color="000000" w:sz="4" w:space="0"/>
              <w:right w:val="single" w:color="000000" w:sz="4" w:space="0"/>
            </w:tcBorders>
            <w:tcMar>
              <w:top w:w="0" w:type="dxa"/>
              <w:left w:w="0" w:type="dxa"/>
              <w:bottom w:w="0" w:type="dxa"/>
              <w:right w:w="0" w:type="dxa"/>
            </w:tcMar>
            <w:vAlign w:val="top"/>
          </w:tcPr>
          <w:p w14:paraId="6778EFB5">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3.10</w:t>
            </w:r>
          </w:p>
        </w:tc>
        <w:tc>
          <w:tcPr>
            <w:tcW w:w="3572" w:type="dxa"/>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top"/>
          </w:tcPr>
          <w:p w14:paraId="0033268A">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综合数据分析系统</w:t>
            </w:r>
          </w:p>
        </w:tc>
        <w:tc>
          <w:tcPr>
            <w:tcW w:w="1031" w:type="dxa"/>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top"/>
          </w:tcPr>
          <w:p w14:paraId="05207ADA">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p>
        </w:tc>
        <w:tc>
          <w:tcPr>
            <w:tcW w:w="1031" w:type="dxa"/>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top"/>
          </w:tcPr>
          <w:p w14:paraId="6B3DA401">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hAnsi="宋体" w:eastAsia="宋体" w:cs="宋体"/>
                <w:sz w:val="24"/>
                <w:szCs w:val="24"/>
              </w:rPr>
            </w:pPr>
          </w:p>
        </w:tc>
        <w:tc>
          <w:tcPr>
            <w:tcW w:w="971" w:type="dxa"/>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top"/>
          </w:tcPr>
          <w:p w14:paraId="44CE30E7">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hAnsi="宋体" w:eastAsia="宋体" w:cs="宋体"/>
                <w:sz w:val="24"/>
                <w:szCs w:val="24"/>
              </w:rPr>
            </w:pPr>
          </w:p>
        </w:tc>
        <w:tc>
          <w:tcPr>
            <w:tcW w:w="983" w:type="dxa"/>
            <w:tcBorders>
              <w:top w:val="single" w:color="000000" w:sz="4" w:space="0"/>
              <w:left w:val="single" w:color="000000" w:sz="4" w:space="0"/>
              <w:bottom w:val="single" w:color="000000" w:sz="4" w:space="0"/>
              <w:right w:val="double" w:color="000000" w:sz="4" w:space="0"/>
            </w:tcBorders>
            <w:tcMar>
              <w:top w:w="0" w:type="dxa"/>
              <w:left w:w="0" w:type="dxa"/>
              <w:bottom w:w="0" w:type="dxa"/>
              <w:right w:w="0" w:type="dxa"/>
            </w:tcMar>
            <w:vAlign w:val="top"/>
          </w:tcPr>
          <w:p w14:paraId="45C596B2">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w:t>
            </w:r>
          </w:p>
        </w:tc>
      </w:tr>
      <w:tr w14:paraId="24FA1EB2">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19" w:type="dxa"/>
            <w:tcBorders>
              <w:top w:val="single" w:color="000000" w:sz="4" w:space="0"/>
              <w:left w:val="double" w:color="000000" w:sz="4" w:space="0"/>
              <w:bottom w:val="single" w:color="000000" w:sz="4" w:space="0"/>
              <w:right w:val="single" w:color="000000" w:sz="4" w:space="0"/>
            </w:tcBorders>
            <w:tcMar>
              <w:top w:w="0" w:type="dxa"/>
              <w:left w:w="0" w:type="dxa"/>
              <w:bottom w:w="0" w:type="dxa"/>
              <w:right w:w="0" w:type="dxa"/>
            </w:tcMar>
            <w:vAlign w:val="top"/>
          </w:tcPr>
          <w:p w14:paraId="7070A6D4">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3.11</w:t>
            </w:r>
          </w:p>
        </w:tc>
        <w:tc>
          <w:tcPr>
            <w:tcW w:w="3572" w:type="dxa"/>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top"/>
          </w:tcPr>
          <w:p w14:paraId="0231B5A4">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社会心理服务系统</w:t>
            </w:r>
          </w:p>
        </w:tc>
        <w:tc>
          <w:tcPr>
            <w:tcW w:w="1031" w:type="dxa"/>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top"/>
          </w:tcPr>
          <w:p w14:paraId="02969523">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p>
        </w:tc>
        <w:tc>
          <w:tcPr>
            <w:tcW w:w="1031" w:type="dxa"/>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top"/>
          </w:tcPr>
          <w:p w14:paraId="4638762E">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hAnsi="宋体" w:eastAsia="宋体" w:cs="宋体"/>
                <w:sz w:val="24"/>
                <w:szCs w:val="24"/>
              </w:rPr>
            </w:pPr>
          </w:p>
        </w:tc>
        <w:tc>
          <w:tcPr>
            <w:tcW w:w="971" w:type="dxa"/>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top"/>
          </w:tcPr>
          <w:p w14:paraId="34FAE4D8">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w:t>
            </w:r>
          </w:p>
        </w:tc>
        <w:tc>
          <w:tcPr>
            <w:tcW w:w="983" w:type="dxa"/>
            <w:tcBorders>
              <w:top w:val="single" w:color="000000" w:sz="4" w:space="0"/>
              <w:left w:val="single" w:color="000000" w:sz="4" w:space="0"/>
              <w:bottom w:val="single" w:color="000000" w:sz="4" w:space="0"/>
              <w:right w:val="double" w:color="000000" w:sz="4" w:space="0"/>
            </w:tcBorders>
            <w:tcMar>
              <w:top w:w="0" w:type="dxa"/>
              <w:left w:w="0" w:type="dxa"/>
              <w:bottom w:w="0" w:type="dxa"/>
              <w:right w:w="0" w:type="dxa"/>
            </w:tcMar>
            <w:vAlign w:val="top"/>
          </w:tcPr>
          <w:p w14:paraId="0BB9BADE">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p>
        </w:tc>
      </w:tr>
      <w:tr w14:paraId="11EB08D2">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19" w:type="dxa"/>
            <w:tcBorders>
              <w:top w:val="single" w:color="000000" w:sz="4" w:space="0"/>
              <w:left w:val="double" w:color="000000" w:sz="4" w:space="0"/>
              <w:bottom w:val="single" w:color="000000" w:sz="4" w:space="0"/>
              <w:right w:val="single" w:color="000000" w:sz="4" w:space="0"/>
            </w:tcBorders>
            <w:tcMar>
              <w:top w:w="0" w:type="dxa"/>
              <w:left w:w="0" w:type="dxa"/>
              <w:bottom w:w="0" w:type="dxa"/>
              <w:right w:w="0" w:type="dxa"/>
            </w:tcMar>
            <w:vAlign w:val="top"/>
          </w:tcPr>
          <w:p w14:paraId="5005243C">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b/>
                <w:sz w:val="24"/>
                <w:szCs w:val="24"/>
              </w:rPr>
              <w:t>4</w:t>
            </w:r>
          </w:p>
        </w:tc>
        <w:tc>
          <w:tcPr>
            <w:tcW w:w="3572" w:type="dxa"/>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top"/>
          </w:tcPr>
          <w:p w14:paraId="710C0C1A">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b/>
                <w:sz w:val="24"/>
                <w:szCs w:val="24"/>
              </w:rPr>
              <w:t>应用支撑平台</w:t>
            </w:r>
          </w:p>
        </w:tc>
        <w:tc>
          <w:tcPr>
            <w:tcW w:w="1031" w:type="dxa"/>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top"/>
          </w:tcPr>
          <w:p w14:paraId="5E490283">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p>
        </w:tc>
        <w:tc>
          <w:tcPr>
            <w:tcW w:w="1031" w:type="dxa"/>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top"/>
          </w:tcPr>
          <w:p w14:paraId="4AA9D743">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hAnsi="宋体" w:eastAsia="宋体" w:cs="宋体"/>
                <w:sz w:val="24"/>
                <w:szCs w:val="24"/>
              </w:rPr>
            </w:pPr>
          </w:p>
        </w:tc>
        <w:tc>
          <w:tcPr>
            <w:tcW w:w="971" w:type="dxa"/>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top"/>
          </w:tcPr>
          <w:p w14:paraId="5A57BB86">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hAnsi="宋体" w:eastAsia="宋体" w:cs="宋体"/>
                <w:sz w:val="24"/>
                <w:szCs w:val="24"/>
              </w:rPr>
            </w:pPr>
          </w:p>
        </w:tc>
        <w:tc>
          <w:tcPr>
            <w:tcW w:w="983" w:type="dxa"/>
            <w:tcBorders>
              <w:top w:val="single" w:color="000000" w:sz="4" w:space="0"/>
              <w:left w:val="single" w:color="000000" w:sz="4" w:space="0"/>
              <w:bottom w:val="single" w:color="000000" w:sz="4" w:space="0"/>
              <w:right w:val="double" w:color="000000" w:sz="4" w:space="0"/>
            </w:tcBorders>
            <w:tcMar>
              <w:top w:w="0" w:type="dxa"/>
              <w:left w:w="0" w:type="dxa"/>
              <w:bottom w:w="0" w:type="dxa"/>
              <w:right w:w="0" w:type="dxa"/>
            </w:tcMar>
            <w:vAlign w:val="top"/>
          </w:tcPr>
          <w:p w14:paraId="260F870D">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hAnsi="宋体" w:eastAsia="宋体" w:cs="宋体"/>
                <w:sz w:val="24"/>
                <w:szCs w:val="24"/>
              </w:rPr>
            </w:pPr>
          </w:p>
        </w:tc>
      </w:tr>
      <w:tr w14:paraId="748EE86F">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19" w:type="dxa"/>
            <w:tcBorders>
              <w:top w:val="single" w:color="000000" w:sz="4" w:space="0"/>
              <w:left w:val="double" w:color="000000" w:sz="4" w:space="0"/>
              <w:bottom w:val="single" w:color="000000" w:sz="4" w:space="0"/>
              <w:right w:val="single" w:color="000000" w:sz="4" w:space="0"/>
            </w:tcBorders>
            <w:tcMar>
              <w:top w:w="0" w:type="dxa"/>
              <w:left w:w="0" w:type="dxa"/>
              <w:bottom w:w="0" w:type="dxa"/>
              <w:right w:w="0" w:type="dxa"/>
            </w:tcMar>
            <w:vAlign w:val="top"/>
          </w:tcPr>
          <w:p w14:paraId="7224E2A2">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4.1</w:t>
            </w:r>
          </w:p>
        </w:tc>
        <w:tc>
          <w:tcPr>
            <w:tcW w:w="3572" w:type="dxa"/>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top"/>
          </w:tcPr>
          <w:p w14:paraId="3E5824C3">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统一门户及权限认证管理</w:t>
            </w:r>
          </w:p>
        </w:tc>
        <w:tc>
          <w:tcPr>
            <w:tcW w:w="1031" w:type="dxa"/>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top"/>
          </w:tcPr>
          <w:p w14:paraId="01F26641">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p>
        </w:tc>
        <w:tc>
          <w:tcPr>
            <w:tcW w:w="1031" w:type="dxa"/>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top"/>
          </w:tcPr>
          <w:p w14:paraId="62F53530">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w:t>
            </w:r>
          </w:p>
        </w:tc>
        <w:tc>
          <w:tcPr>
            <w:tcW w:w="971" w:type="dxa"/>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top"/>
          </w:tcPr>
          <w:p w14:paraId="581B545A">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p>
        </w:tc>
        <w:tc>
          <w:tcPr>
            <w:tcW w:w="983" w:type="dxa"/>
            <w:tcBorders>
              <w:top w:val="single" w:color="000000" w:sz="4" w:space="0"/>
              <w:left w:val="single" w:color="000000" w:sz="4" w:space="0"/>
              <w:bottom w:val="single" w:color="000000" w:sz="4" w:space="0"/>
              <w:right w:val="double" w:color="000000" w:sz="4" w:space="0"/>
            </w:tcBorders>
            <w:tcMar>
              <w:top w:w="0" w:type="dxa"/>
              <w:left w:w="0" w:type="dxa"/>
              <w:bottom w:w="0" w:type="dxa"/>
              <w:right w:w="0" w:type="dxa"/>
            </w:tcMar>
            <w:vAlign w:val="top"/>
          </w:tcPr>
          <w:p w14:paraId="1FC71741">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hAnsi="宋体" w:eastAsia="宋体" w:cs="宋体"/>
                <w:sz w:val="24"/>
                <w:szCs w:val="24"/>
              </w:rPr>
            </w:pPr>
          </w:p>
        </w:tc>
      </w:tr>
      <w:tr w14:paraId="63F18150">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19" w:type="dxa"/>
            <w:tcBorders>
              <w:top w:val="single" w:color="000000" w:sz="4" w:space="0"/>
              <w:left w:val="double" w:color="000000" w:sz="4" w:space="0"/>
              <w:bottom w:val="single" w:color="000000" w:sz="4" w:space="0"/>
              <w:right w:val="single" w:color="000000" w:sz="4" w:space="0"/>
            </w:tcBorders>
            <w:tcMar>
              <w:top w:w="0" w:type="dxa"/>
              <w:left w:w="0" w:type="dxa"/>
              <w:bottom w:w="0" w:type="dxa"/>
              <w:right w:w="0" w:type="dxa"/>
            </w:tcMar>
            <w:vAlign w:val="top"/>
          </w:tcPr>
          <w:p w14:paraId="204B0562">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4.2</w:t>
            </w:r>
          </w:p>
        </w:tc>
        <w:tc>
          <w:tcPr>
            <w:tcW w:w="3572" w:type="dxa"/>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top"/>
          </w:tcPr>
          <w:p w14:paraId="6D9EC9C0">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问卷引擎</w:t>
            </w:r>
          </w:p>
        </w:tc>
        <w:tc>
          <w:tcPr>
            <w:tcW w:w="1031" w:type="dxa"/>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top"/>
          </w:tcPr>
          <w:p w14:paraId="064E74D8">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p>
        </w:tc>
        <w:tc>
          <w:tcPr>
            <w:tcW w:w="1031" w:type="dxa"/>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top"/>
          </w:tcPr>
          <w:p w14:paraId="7DB9BFF2">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w:t>
            </w:r>
          </w:p>
        </w:tc>
        <w:tc>
          <w:tcPr>
            <w:tcW w:w="971" w:type="dxa"/>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top"/>
          </w:tcPr>
          <w:p w14:paraId="28E9D5C0">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p>
        </w:tc>
        <w:tc>
          <w:tcPr>
            <w:tcW w:w="983" w:type="dxa"/>
            <w:tcBorders>
              <w:top w:val="single" w:color="000000" w:sz="4" w:space="0"/>
              <w:left w:val="single" w:color="000000" w:sz="4" w:space="0"/>
              <w:bottom w:val="single" w:color="000000" w:sz="4" w:space="0"/>
              <w:right w:val="double" w:color="000000" w:sz="4" w:space="0"/>
            </w:tcBorders>
            <w:tcMar>
              <w:top w:w="0" w:type="dxa"/>
              <w:left w:w="0" w:type="dxa"/>
              <w:bottom w:w="0" w:type="dxa"/>
              <w:right w:w="0" w:type="dxa"/>
            </w:tcMar>
            <w:vAlign w:val="top"/>
          </w:tcPr>
          <w:p w14:paraId="19D8FFA2">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hAnsi="宋体" w:eastAsia="宋体" w:cs="宋体"/>
                <w:sz w:val="24"/>
                <w:szCs w:val="24"/>
              </w:rPr>
            </w:pPr>
          </w:p>
        </w:tc>
      </w:tr>
      <w:tr w14:paraId="1361AC1D">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19" w:type="dxa"/>
            <w:tcBorders>
              <w:top w:val="single" w:color="000000" w:sz="4" w:space="0"/>
              <w:left w:val="double" w:color="000000" w:sz="4" w:space="0"/>
              <w:bottom w:val="single" w:color="000000" w:sz="4" w:space="0"/>
              <w:right w:val="single" w:color="000000" w:sz="4" w:space="0"/>
            </w:tcBorders>
            <w:tcMar>
              <w:top w:w="0" w:type="dxa"/>
              <w:left w:w="0" w:type="dxa"/>
              <w:bottom w:w="0" w:type="dxa"/>
              <w:right w:w="0" w:type="dxa"/>
            </w:tcMar>
            <w:vAlign w:val="top"/>
          </w:tcPr>
          <w:p w14:paraId="1FDD4B2E">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4.3</w:t>
            </w:r>
          </w:p>
        </w:tc>
        <w:tc>
          <w:tcPr>
            <w:tcW w:w="3572" w:type="dxa"/>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top"/>
          </w:tcPr>
          <w:p w14:paraId="2674FE7F">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内容管理</w:t>
            </w:r>
          </w:p>
        </w:tc>
        <w:tc>
          <w:tcPr>
            <w:tcW w:w="1031" w:type="dxa"/>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top"/>
          </w:tcPr>
          <w:p w14:paraId="4257B730">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p>
        </w:tc>
        <w:tc>
          <w:tcPr>
            <w:tcW w:w="1031" w:type="dxa"/>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top"/>
          </w:tcPr>
          <w:p w14:paraId="5E3E73B4">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w:t>
            </w:r>
          </w:p>
        </w:tc>
        <w:tc>
          <w:tcPr>
            <w:tcW w:w="971" w:type="dxa"/>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top"/>
          </w:tcPr>
          <w:p w14:paraId="70AC8927">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p>
        </w:tc>
        <w:tc>
          <w:tcPr>
            <w:tcW w:w="983" w:type="dxa"/>
            <w:tcBorders>
              <w:top w:val="single" w:color="000000" w:sz="4" w:space="0"/>
              <w:left w:val="single" w:color="000000" w:sz="4" w:space="0"/>
              <w:bottom w:val="single" w:color="000000" w:sz="4" w:space="0"/>
              <w:right w:val="double" w:color="000000" w:sz="4" w:space="0"/>
            </w:tcBorders>
            <w:tcMar>
              <w:top w:w="0" w:type="dxa"/>
              <w:left w:w="0" w:type="dxa"/>
              <w:bottom w:w="0" w:type="dxa"/>
              <w:right w:w="0" w:type="dxa"/>
            </w:tcMar>
            <w:vAlign w:val="top"/>
          </w:tcPr>
          <w:p w14:paraId="6A0D813A">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hAnsi="宋体" w:eastAsia="宋体" w:cs="宋体"/>
                <w:sz w:val="24"/>
                <w:szCs w:val="24"/>
              </w:rPr>
            </w:pPr>
          </w:p>
        </w:tc>
      </w:tr>
      <w:tr w14:paraId="30A82A85">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19" w:type="dxa"/>
            <w:tcBorders>
              <w:top w:val="single" w:color="000000" w:sz="4" w:space="0"/>
              <w:left w:val="double" w:color="000000" w:sz="4" w:space="0"/>
              <w:bottom w:val="single" w:color="000000" w:sz="4" w:space="0"/>
              <w:right w:val="single" w:color="000000" w:sz="4" w:space="0"/>
            </w:tcBorders>
            <w:tcMar>
              <w:top w:w="0" w:type="dxa"/>
              <w:left w:w="0" w:type="dxa"/>
              <w:bottom w:w="0" w:type="dxa"/>
              <w:right w:w="0" w:type="dxa"/>
            </w:tcMar>
            <w:vAlign w:val="top"/>
          </w:tcPr>
          <w:p w14:paraId="029FED9E">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4.4</w:t>
            </w:r>
          </w:p>
        </w:tc>
        <w:tc>
          <w:tcPr>
            <w:tcW w:w="3572" w:type="dxa"/>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top"/>
          </w:tcPr>
          <w:p w14:paraId="571A4788">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API网关</w:t>
            </w:r>
          </w:p>
        </w:tc>
        <w:tc>
          <w:tcPr>
            <w:tcW w:w="1031" w:type="dxa"/>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top"/>
          </w:tcPr>
          <w:p w14:paraId="6427E0C5">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p>
        </w:tc>
        <w:tc>
          <w:tcPr>
            <w:tcW w:w="1031" w:type="dxa"/>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top"/>
          </w:tcPr>
          <w:p w14:paraId="566EBF44">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hAnsi="宋体" w:eastAsia="宋体" w:cs="宋体"/>
                <w:sz w:val="24"/>
                <w:szCs w:val="24"/>
              </w:rPr>
            </w:pPr>
          </w:p>
        </w:tc>
        <w:tc>
          <w:tcPr>
            <w:tcW w:w="971" w:type="dxa"/>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top"/>
          </w:tcPr>
          <w:p w14:paraId="0FE36C88">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hAnsi="宋体" w:eastAsia="宋体" w:cs="宋体"/>
                <w:sz w:val="24"/>
                <w:szCs w:val="24"/>
              </w:rPr>
            </w:pPr>
          </w:p>
        </w:tc>
        <w:tc>
          <w:tcPr>
            <w:tcW w:w="983" w:type="dxa"/>
            <w:tcBorders>
              <w:top w:val="single" w:color="000000" w:sz="4" w:space="0"/>
              <w:left w:val="single" w:color="000000" w:sz="4" w:space="0"/>
              <w:bottom w:val="single" w:color="000000" w:sz="4" w:space="0"/>
              <w:right w:val="double" w:color="000000" w:sz="4" w:space="0"/>
            </w:tcBorders>
            <w:tcMar>
              <w:top w:w="0" w:type="dxa"/>
              <w:left w:w="0" w:type="dxa"/>
              <w:bottom w:w="0" w:type="dxa"/>
              <w:right w:w="0" w:type="dxa"/>
            </w:tcMar>
            <w:vAlign w:val="top"/>
          </w:tcPr>
          <w:p w14:paraId="79CDCBE6">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w:t>
            </w:r>
          </w:p>
        </w:tc>
      </w:tr>
      <w:tr w14:paraId="77D49786">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19" w:type="dxa"/>
            <w:tcBorders>
              <w:top w:val="single" w:color="000000" w:sz="4" w:space="0"/>
              <w:left w:val="double" w:color="000000" w:sz="4" w:space="0"/>
              <w:bottom w:val="single" w:color="000000" w:sz="4" w:space="0"/>
              <w:right w:val="single" w:color="000000" w:sz="4" w:space="0"/>
            </w:tcBorders>
            <w:tcMar>
              <w:top w:w="0" w:type="dxa"/>
              <w:left w:w="0" w:type="dxa"/>
              <w:bottom w:w="0" w:type="dxa"/>
              <w:right w:w="0" w:type="dxa"/>
            </w:tcMar>
            <w:vAlign w:val="top"/>
          </w:tcPr>
          <w:p w14:paraId="7B29E3DB">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b/>
                <w:sz w:val="24"/>
                <w:szCs w:val="24"/>
              </w:rPr>
              <w:t>5</w:t>
            </w:r>
          </w:p>
        </w:tc>
        <w:tc>
          <w:tcPr>
            <w:tcW w:w="3572" w:type="dxa"/>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top"/>
          </w:tcPr>
          <w:p w14:paraId="42F2C7C3">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b/>
                <w:sz w:val="24"/>
                <w:szCs w:val="24"/>
              </w:rPr>
              <w:t>院内业务系统扩展</w:t>
            </w:r>
          </w:p>
        </w:tc>
        <w:tc>
          <w:tcPr>
            <w:tcW w:w="1031" w:type="dxa"/>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top"/>
          </w:tcPr>
          <w:p w14:paraId="0727BE18">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p>
        </w:tc>
        <w:tc>
          <w:tcPr>
            <w:tcW w:w="1031" w:type="dxa"/>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top"/>
          </w:tcPr>
          <w:p w14:paraId="014FE333">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hAnsi="宋体" w:eastAsia="宋体" w:cs="宋体"/>
                <w:sz w:val="24"/>
                <w:szCs w:val="24"/>
              </w:rPr>
            </w:pPr>
          </w:p>
        </w:tc>
        <w:tc>
          <w:tcPr>
            <w:tcW w:w="971" w:type="dxa"/>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top"/>
          </w:tcPr>
          <w:p w14:paraId="6A83ADA6">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hAnsi="宋体" w:eastAsia="宋体" w:cs="宋体"/>
                <w:sz w:val="24"/>
                <w:szCs w:val="24"/>
              </w:rPr>
            </w:pPr>
          </w:p>
        </w:tc>
        <w:tc>
          <w:tcPr>
            <w:tcW w:w="983" w:type="dxa"/>
            <w:tcBorders>
              <w:top w:val="single" w:color="000000" w:sz="4" w:space="0"/>
              <w:left w:val="single" w:color="000000" w:sz="4" w:space="0"/>
              <w:bottom w:val="single" w:color="000000" w:sz="4" w:space="0"/>
              <w:right w:val="double" w:color="000000" w:sz="4" w:space="0"/>
            </w:tcBorders>
            <w:tcMar>
              <w:top w:w="0" w:type="dxa"/>
              <w:left w:w="0" w:type="dxa"/>
              <w:bottom w:w="0" w:type="dxa"/>
              <w:right w:w="0" w:type="dxa"/>
            </w:tcMar>
            <w:vAlign w:val="top"/>
          </w:tcPr>
          <w:p w14:paraId="70C4CA4D">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hAnsi="宋体" w:eastAsia="宋体" w:cs="宋体"/>
                <w:sz w:val="24"/>
                <w:szCs w:val="24"/>
              </w:rPr>
            </w:pPr>
          </w:p>
        </w:tc>
      </w:tr>
      <w:tr w14:paraId="13C15381">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19" w:type="dxa"/>
            <w:tcBorders>
              <w:top w:val="single" w:color="000000" w:sz="4" w:space="0"/>
              <w:left w:val="double" w:color="000000" w:sz="4" w:space="0"/>
              <w:bottom w:val="single" w:color="000000" w:sz="4" w:space="0"/>
              <w:right w:val="single" w:color="000000" w:sz="4" w:space="0"/>
            </w:tcBorders>
            <w:tcMar>
              <w:top w:w="0" w:type="dxa"/>
              <w:left w:w="0" w:type="dxa"/>
              <w:bottom w:w="0" w:type="dxa"/>
              <w:right w:w="0" w:type="dxa"/>
            </w:tcMar>
            <w:vAlign w:val="top"/>
          </w:tcPr>
          <w:p w14:paraId="01ACE9F1">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5.1</w:t>
            </w:r>
          </w:p>
        </w:tc>
        <w:tc>
          <w:tcPr>
            <w:tcW w:w="3572" w:type="dxa"/>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top"/>
          </w:tcPr>
          <w:p w14:paraId="2BB7E659">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AI病历生成与质控系统</w:t>
            </w:r>
          </w:p>
        </w:tc>
        <w:tc>
          <w:tcPr>
            <w:tcW w:w="1031" w:type="dxa"/>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top"/>
          </w:tcPr>
          <w:p w14:paraId="4D0D9F17">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p>
        </w:tc>
        <w:tc>
          <w:tcPr>
            <w:tcW w:w="1031" w:type="dxa"/>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top"/>
          </w:tcPr>
          <w:p w14:paraId="4A07916C">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hAnsi="宋体" w:eastAsia="宋体" w:cs="宋体"/>
                <w:sz w:val="24"/>
                <w:szCs w:val="24"/>
              </w:rPr>
            </w:pPr>
          </w:p>
        </w:tc>
        <w:tc>
          <w:tcPr>
            <w:tcW w:w="971" w:type="dxa"/>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top"/>
          </w:tcPr>
          <w:p w14:paraId="59267388">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hAnsi="宋体" w:eastAsia="宋体" w:cs="宋体"/>
                <w:sz w:val="24"/>
                <w:szCs w:val="24"/>
              </w:rPr>
            </w:pPr>
          </w:p>
        </w:tc>
        <w:tc>
          <w:tcPr>
            <w:tcW w:w="983" w:type="dxa"/>
            <w:tcBorders>
              <w:top w:val="single" w:color="000000" w:sz="4" w:space="0"/>
              <w:left w:val="single" w:color="000000" w:sz="4" w:space="0"/>
              <w:bottom w:val="single" w:color="000000" w:sz="4" w:space="0"/>
              <w:right w:val="double" w:color="000000" w:sz="4" w:space="0"/>
            </w:tcBorders>
            <w:tcMar>
              <w:top w:w="0" w:type="dxa"/>
              <w:left w:w="0" w:type="dxa"/>
              <w:bottom w:w="0" w:type="dxa"/>
              <w:right w:w="0" w:type="dxa"/>
            </w:tcMar>
            <w:vAlign w:val="top"/>
          </w:tcPr>
          <w:p w14:paraId="3A38ACD0">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hAnsi="宋体" w:eastAsia="宋体" w:cs="宋体"/>
                <w:sz w:val="24"/>
                <w:szCs w:val="24"/>
              </w:rPr>
            </w:pPr>
          </w:p>
        </w:tc>
      </w:tr>
      <w:tr w14:paraId="55D132C9">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19" w:type="dxa"/>
            <w:tcBorders>
              <w:top w:val="single" w:color="000000" w:sz="4" w:space="0"/>
              <w:left w:val="double" w:color="000000" w:sz="4" w:space="0"/>
              <w:bottom w:val="single" w:color="000000" w:sz="4" w:space="0"/>
              <w:right w:val="single" w:color="000000" w:sz="4" w:space="0"/>
            </w:tcBorders>
            <w:tcMar>
              <w:top w:w="0" w:type="dxa"/>
              <w:left w:w="0" w:type="dxa"/>
              <w:bottom w:w="0" w:type="dxa"/>
              <w:right w:w="0" w:type="dxa"/>
            </w:tcMar>
            <w:vAlign w:val="top"/>
          </w:tcPr>
          <w:p w14:paraId="5FA13D34">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5.1.1</w:t>
            </w:r>
          </w:p>
        </w:tc>
        <w:tc>
          <w:tcPr>
            <w:tcW w:w="3572" w:type="dxa"/>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top"/>
          </w:tcPr>
          <w:p w14:paraId="5C634D06">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AI应用分析</w:t>
            </w:r>
          </w:p>
        </w:tc>
        <w:tc>
          <w:tcPr>
            <w:tcW w:w="1031" w:type="dxa"/>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top"/>
          </w:tcPr>
          <w:p w14:paraId="7B24D111">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p>
        </w:tc>
        <w:tc>
          <w:tcPr>
            <w:tcW w:w="1031" w:type="dxa"/>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top"/>
          </w:tcPr>
          <w:p w14:paraId="2EA9242D">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w:t>
            </w:r>
          </w:p>
        </w:tc>
        <w:tc>
          <w:tcPr>
            <w:tcW w:w="971" w:type="dxa"/>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top"/>
          </w:tcPr>
          <w:p w14:paraId="35A707DA">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p>
        </w:tc>
        <w:tc>
          <w:tcPr>
            <w:tcW w:w="983" w:type="dxa"/>
            <w:tcBorders>
              <w:top w:val="single" w:color="000000" w:sz="4" w:space="0"/>
              <w:left w:val="single" w:color="000000" w:sz="4" w:space="0"/>
              <w:bottom w:val="single" w:color="000000" w:sz="4" w:space="0"/>
              <w:right w:val="double" w:color="000000" w:sz="4" w:space="0"/>
            </w:tcBorders>
            <w:tcMar>
              <w:top w:w="0" w:type="dxa"/>
              <w:left w:w="0" w:type="dxa"/>
              <w:bottom w:w="0" w:type="dxa"/>
              <w:right w:w="0" w:type="dxa"/>
            </w:tcMar>
            <w:vAlign w:val="top"/>
          </w:tcPr>
          <w:p w14:paraId="547C95CB">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hAnsi="宋体" w:eastAsia="宋体" w:cs="宋体"/>
                <w:sz w:val="24"/>
                <w:szCs w:val="24"/>
              </w:rPr>
            </w:pPr>
          </w:p>
        </w:tc>
      </w:tr>
      <w:tr w14:paraId="3A173F4E">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19" w:type="dxa"/>
            <w:tcBorders>
              <w:top w:val="single" w:color="000000" w:sz="4" w:space="0"/>
              <w:left w:val="double" w:color="000000" w:sz="4" w:space="0"/>
              <w:bottom w:val="single" w:color="000000" w:sz="4" w:space="0"/>
              <w:right w:val="single" w:color="000000" w:sz="4" w:space="0"/>
            </w:tcBorders>
            <w:tcMar>
              <w:top w:w="0" w:type="dxa"/>
              <w:left w:w="0" w:type="dxa"/>
              <w:bottom w:w="0" w:type="dxa"/>
              <w:right w:w="0" w:type="dxa"/>
            </w:tcMar>
            <w:vAlign w:val="top"/>
          </w:tcPr>
          <w:p w14:paraId="24229F45">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5.1.2</w:t>
            </w:r>
          </w:p>
        </w:tc>
        <w:tc>
          <w:tcPr>
            <w:tcW w:w="3572" w:type="dxa"/>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top"/>
          </w:tcPr>
          <w:p w14:paraId="333799AD">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通用智能助手</w:t>
            </w:r>
          </w:p>
        </w:tc>
        <w:tc>
          <w:tcPr>
            <w:tcW w:w="1031" w:type="dxa"/>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top"/>
          </w:tcPr>
          <w:p w14:paraId="19C179F9">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p>
        </w:tc>
        <w:tc>
          <w:tcPr>
            <w:tcW w:w="1031" w:type="dxa"/>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top"/>
          </w:tcPr>
          <w:p w14:paraId="535A1D18">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hAnsi="宋体" w:eastAsia="宋体" w:cs="宋体"/>
                <w:sz w:val="24"/>
                <w:szCs w:val="24"/>
              </w:rPr>
            </w:pPr>
          </w:p>
        </w:tc>
        <w:tc>
          <w:tcPr>
            <w:tcW w:w="971" w:type="dxa"/>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top"/>
          </w:tcPr>
          <w:p w14:paraId="7191DDA5">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hAnsi="宋体" w:eastAsia="宋体" w:cs="宋体"/>
                <w:sz w:val="24"/>
                <w:szCs w:val="24"/>
              </w:rPr>
            </w:pPr>
          </w:p>
        </w:tc>
        <w:tc>
          <w:tcPr>
            <w:tcW w:w="983" w:type="dxa"/>
            <w:tcBorders>
              <w:top w:val="single" w:color="000000" w:sz="4" w:space="0"/>
              <w:left w:val="single" w:color="000000" w:sz="4" w:space="0"/>
              <w:bottom w:val="single" w:color="000000" w:sz="4" w:space="0"/>
              <w:right w:val="double" w:color="000000" w:sz="4" w:space="0"/>
            </w:tcBorders>
            <w:tcMar>
              <w:top w:w="0" w:type="dxa"/>
              <w:left w:w="0" w:type="dxa"/>
              <w:bottom w:w="0" w:type="dxa"/>
              <w:right w:w="0" w:type="dxa"/>
            </w:tcMar>
            <w:vAlign w:val="top"/>
          </w:tcPr>
          <w:p w14:paraId="3E9E7A50">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w:t>
            </w:r>
          </w:p>
        </w:tc>
      </w:tr>
      <w:tr w14:paraId="2AEFB1F8">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19" w:type="dxa"/>
            <w:tcBorders>
              <w:top w:val="single" w:color="000000" w:sz="4" w:space="0"/>
              <w:left w:val="double" w:color="000000" w:sz="4" w:space="0"/>
              <w:bottom w:val="single" w:color="000000" w:sz="4" w:space="0"/>
              <w:right w:val="single" w:color="000000" w:sz="4" w:space="0"/>
            </w:tcBorders>
            <w:tcMar>
              <w:top w:w="0" w:type="dxa"/>
              <w:left w:w="0" w:type="dxa"/>
              <w:bottom w:w="0" w:type="dxa"/>
              <w:right w:w="0" w:type="dxa"/>
            </w:tcMar>
            <w:vAlign w:val="top"/>
          </w:tcPr>
          <w:p w14:paraId="11ECF643">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5.1.3</w:t>
            </w:r>
          </w:p>
        </w:tc>
        <w:tc>
          <w:tcPr>
            <w:tcW w:w="3572" w:type="dxa"/>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top"/>
          </w:tcPr>
          <w:p w14:paraId="7DD4C46E">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AI智能预问诊</w:t>
            </w:r>
          </w:p>
        </w:tc>
        <w:tc>
          <w:tcPr>
            <w:tcW w:w="1031" w:type="dxa"/>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top"/>
          </w:tcPr>
          <w:p w14:paraId="726A5730">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p>
        </w:tc>
        <w:tc>
          <w:tcPr>
            <w:tcW w:w="1031" w:type="dxa"/>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top"/>
          </w:tcPr>
          <w:p w14:paraId="4E043449">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w:t>
            </w:r>
          </w:p>
        </w:tc>
        <w:tc>
          <w:tcPr>
            <w:tcW w:w="971" w:type="dxa"/>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top"/>
          </w:tcPr>
          <w:p w14:paraId="1DD5CFB1">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p>
        </w:tc>
        <w:tc>
          <w:tcPr>
            <w:tcW w:w="983" w:type="dxa"/>
            <w:tcBorders>
              <w:top w:val="single" w:color="000000" w:sz="4" w:space="0"/>
              <w:left w:val="single" w:color="000000" w:sz="4" w:space="0"/>
              <w:bottom w:val="single" w:color="000000" w:sz="4" w:space="0"/>
              <w:right w:val="double" w:color="000000" w:sz="4" w:space="0"/>
            </w:tcBorders>
            <w:tcMar>
              <w:top w:w="0" w:type="dxa"/>
              <w:left w:w="0" w:type="dxa"/>
              <w:bottom w:w="0" w:type="dxa"/>
              <w:right w:w="0" w:type="dxa"/>
            </w:tcMar>
            <w:vAlign w:val="top"/>
          </w:tcPr>
          <w:p w14:paraId="2CCC14D0">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hAnsi="宋体" w:eastAsia="宋体" w:cs="宋体"/>
                <w:sz w:val="24"/>
                <w:szCs w:val="24"/>
              </w:rPr>
            </w:pPr>
          </w:p>
        </w:tc>
      </w:tr>
      <w:tr w14:paraId="36E2ACB1">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19" w:type="dxa"/>
            <w:tcBorders>
              <w:top w:val="single" w:color="000000" w:sz="4" w:space="0"/>
              <w:left w:val="double" w:color="000000" w:sz="4" w:space="0"/>
              <w:bottom w:val="single" w:color="000000" w:sz="4" w:space="0"/>
              <w:right w:val="single" w:color="000000" w:sz="4" w:space="0"/>
            </w:tcBorders>
            <w:tcMar>
              <w:top w:w="0" w:type="dxa"/>
              <w:left w:w="0" w:type="dxa"/>
              <w:bottom w:w="0" w:type="dxa"/>
              <w:right w:w="0" w:type="dxa"/>
            </w:tcMar>
            <w:vAlign w:val="top"/>
          </w:tcPr>
          <w:p w14:paraId="28904AE0">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5.1.4</w:t>
            </w:r>
          </w:p>
        </w:tc>
        <w:tc>
          <w:tcPr>
            <w:tcW w:w="3572" w:type="dxa"/>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top"/>
          </w:tcPr>
          <w:p w14:paraId="3A0305DD">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智能病历辅助生成</w:t>
            </w:r>
          </w:p>
        </w:tc>
        <w:tc>
          <w:tcPr>
            <w:tcW w:w="1031" w:type="dxa"/>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top"/>
          </w:tcPr>
          <w:p w14:paraId="21AE20D3">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p>
        </w:tc>
        <w:tc>
          <w:tcPr>
            <w:tcW w:w="1031" w:type="dxa"/>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top"/>
          </w:tcPr>
          <w:p w14:paraId="322E5646">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hAnsi="宋体" w:eastAsia="宋体" w:cs="宋体"/>
                <w:sz w:val="24"/>
                <w:szCs w:val="24"/>
              </w:rPr>
            </w:pPr>
          </w:p>
        </w:tc>
        <w:tc>
          <w:tcPr>
            <w:tcW w:w="971" w:type="dxa"/>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top"/>
          </w:tcPr>
          <w:p w14:paraId="0540FB66">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hAnsi="宋体" w:eastAsia="宋体" w:cs="宋体"/>
                <w:sz w:val="24"/>
                <w:szCs w:val="24"/>
              </w:rPr>
            </w:pPr>
          </w:p>
        </w:tc>
        <w:tc>
          <w:tcPr>
            <w:tcW w:w="983" w:type="dxa"/>
            <w:tcBorders>
              <w:top w:val="single" w:color="000000" w:sz="4" w:space="0"/>
              <w:left w:val="single" w:color="000000" w:sz="4" w:space="0"/>
              <w:bottom w:val="single" w:color="000000" w:sz="4" w:space="0"/>
              <w:right w:val="double" w:color="000000" w:sz="4" w:space="0"/>
            </w:tcBorders>
            <w:tcMar>
              <w:top w:w="0" w:type="dxa"/>
              <w:left w:w="0" w:type="dxa"/>
              <w:bottom w:w="0" w:type="dxa"/>
              <w:right w:w="0" w:type="dxa"/>
            </w:tcMar>
            <w:vAlign w:val="top"/>
          </w:tcPr>
          <w:p w14:paraId="65726687">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w:t>
            </w:r>
          </w:p>
        </w:tc>
      </w:tr>
      <w:tr w14:paraId="0458B890">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19" w:type="dxa"/>
            <w:tcBorders>
              <w:top w:val="single" w:color="000000" w:sz="4" w:space="0"/>
              <w:left w:val="double" w:color="000000" w:sz="4" w:space="0"/>
              <w:bottom w:val="single" w:color="000000" w:sz="4" w:space="0"/>
              <w:right w:val="single" w:color="000000" w:sz="4" w:space="0"/>
            </w:tcBorders>
            <w:tcMar>
              <w:top w:w="0" w:type="dxa"/>
              <w:left w:w="0" w:type="dxa"/>
              <w:bottom w:w="0" w:type="dxa"/>
              <w:right w:w="0" w:type="dxa"/>
            </w:tcMar>
            <w:vAlign w:val="top"/>
          </w:tcPr>
          <w:p w14:paraId="155DF520">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5.1.5</w:t>
            </w:r>
          </w:p>
        </w:tc>
        <w:tc>
          <w:tcPr>
            <w:tcW w:w="3572" w:type="dxa"/>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top"/>
          </w:tcPr>
          <w:p w14:paraId="01C6A8CC">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智能医疗文书质控辅助</w:t>
            </w:r>
          </w:p>
        </w:tc>
        <w:tc>
          <w:tcPr>
            <w:tcW w:w="1031" w:type="dxa"/>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top"/>
          </w:tcPr>
          <w:p w14:paraId="5D10E43B">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p>
        </w:tc>
        <w:tc>
          <w:tcPr>
            <w:tcW w:w="1031" w:type="dxa"/>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top"/>
          </w:tcPr>
          <w:p w14:paraId="0F402517">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hAnsi="宋体" w:eastAsia="宋体" w:cs="宋体"/>
                <w:sz w:val="24"/>
                <w:szCs w:val="24"/>
              </w:rPr>
            </w:pPr>
          </w:p>
        </w:tc>
        <w:tc>
          <w:tcPr>
            <w:tcW w:w="971" w:type="dxa"/>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top"/>
          </w:tcPr>
          <w:p w14:paraId="6BD9668C">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hAnsi="宋体" w:eastAsia="宋体" w:cs="宋体"/>
                <w:sz w:val="24"/>
                <w:szCs w:val="24"/>
              </w:rPr>
            </w:pPr>
          </w:p>
        </w:tc>
        <w:tc>
          <w:tcPr>
            <w:tcW w:w="983" w:type="dxa"/>
            <w:tcBorders>
              <w:top w:val="single" w:color="000000" w:sz="4" w:space="0"/>
              <w:left w:val="single" w:color="000000" w:sz="4" w:space="0"/>
              <w:bottom w:val="single" w:color="000000" w:sz="4" w:space="0"/>
              <w:right w:val="double" w:color="000000" w:sz="4" w:space="0"/>
            </w:tcBorders>
            <w:tcMar>
              <w:top w:w="0" w:type="dxa"/>
              <w:left w:w="0" w:type="dxa"/>
              <w:bottom w:w="0" w:type="dxa"/>
              <w:right w:w="0" w:type="dxa"/>
            </w:tcMar>
            <w:vAlign w:val="top"/>
          </w:tcPr>
          <w:p w14:paraId="10C8E19F">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w:t>
            </w:r>
          </w:p>
        </w:tc>
      </w:tr>
      <w:tr w14:paraId="1407F96B">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19" w:type="dxa"/>
            <w:tcBorders>
              <w:top w:val="single" w:color="000000" w:sz="4" w:space="0"/>
              <w:left w:val="double" w:color="000000" w:sz="4" w:space="0"/>
              <w:bottom w:val="single" w:color="000000" w:sz="4" w:space="0"/>
              <w:right w:val="single" w:color="000000" w:sz="4" w:space="0"/>
            </w:tcBorders>
            <w:tcMar>
              <w:top w:w="0" w:type="dxa"/>
              <w:left w:w="0" w:type="dxa"/>
              <w:bottom w:w="0" w:type="dxa"/>
              <w:right w:w="0" w:type="dxa"/>
            </w:tcMar>
            <w:vAlign w:val="top"/>
          </w:tcPr>
          <w:p w14:paraId="0BAFE9C0">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5.1.6</w:t>
            </w:r>
          </w:p>
        </w:tc>
        <w:tc>
          <w:tcPr>
            <w:tcW w:w="3572" w:type="dxa"/>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top"/>
          </w:tcPr>
          <w:p w14:paraId="4DB31237">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院内系统对接</w:t>
            </w:r>
          </w:p>
        </w:tc>
        <w:tc>
          <w:tcPr>
            <w:tcW w:w="1031" w:type="dxa"/>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top"/>
          </w:tcPr>
          <w:p w14:paraId="2A4A3D91">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p>
        </w:tc>
        <w:tc>
          <w:tcPr>
            <w:tcW w:w="1031" w:type="dxa"/>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top"/>
          </w:tcPr>
          <w:p w14:paraId="0D8FBD1E">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hAnsi="宋体" w:eastAsia="宋体" w:cs="宋体"/>
                <w:sz w:val="24"/>
                <w:szCs w:val="24"/>
              </w:rPr>
            </w:pPr>
          </w:p>
        </w:tc>
        <w:tc>
          <w:tcPr>
            <w:tcW w:w="971" w:type="dxa"/>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top"/>
          </w:tcPr>
          <w:p w14:paraId="3C4A7F0A">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hAnsi="宋体" w:eastAsia="宋体" w:cs="宋体"/>
                <w:sz w:val="24"/>
                <w:szCs w:val="24"/>
              </w:rPr>
            </w:pPr>
          </w:p>
        </w:tc>
        <w:tc>
          <w:tcPr>
            <w:tcW w:w="983" w:type="dxa"/>
            <w:tcBorders>
              <w:top w:val="single" w:color="000000" w:sz="4" w:space="0"/>
              <w:left w:val="single" w:color="000000" w:sz="4" w:space="0"/>
              <w:bottom w:val="single" w:color="000000" w:sz="4" w:space="0"/>
              <w:right w:val="double" w:color="000000" w:sz="4" w:space="0"/>
            </w:tcBorders>
            <w:tcMar>
              <w:top w:w="0" w:type="dxa"/>
              <w:left w:w="0" w:type="dxa"/>
              <w:bottom w:w="0" w:type="dxa"/>
              <w:right w:w="0" w:type="dxa"/>
            </w:tcMar>
            <w:vAlign w:val="top"/>
          </w:tcPr>
          <w:p w14:paraId="19813107">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w:t>
            </w:r>
          </w:p>
        </w:tc>
      </w:tr>
      <w:tr w14:paraId="194854FC">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19" w:type="dxa"/>
            <w:tcBorders>
              <w:top w:val="single" w:color="000000" w:sz="4" w:space="0"/>
              <w:left w:val="double" w:color="000000" w:sz="4" w:space="0"/>
              <w:bottom w:val="single" w:color="000000" w:sz="4" w:space="0"/>
              <w:right w:val="single" w:color="000000" w:sz="4" w:space="0"/>
            </w:tcBorders>
            <w:tcMar>
              <w:top w:w="0" w:type="dxa"/>
              <w:left w:w="0" w:type="dxa"/>
              <w:bottom w:w="0" w:type="dxa"/>
              <w:right w:w="0" w:type="dxa"/>
            </w:tcMar>
            <w:vAlign w:val="top"/>
          </w:tcPr>
          <w:p w14:paraId="325623B0">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5.1.7</w:t>
            </w:r>
          </w:p>
        </w:tc>
        <w:tc>
          <w:tcPr>
            <w:tcW w:w="3572" w:type="dxa"/>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top"/>
          </w:tcPr>
          <w:p w14:paraId="2A107D3C">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AI算力节点</w:t>
            </w:r>
          </w:p>
        </w:tc>
        <w:tc>
          <w:tcPr>
            <w:tcW w:w="1031" w:type="dxa"/>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top"/>
          </w:tcPr>
          <w:p w14:paraId="563B7123">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p>
        </w:tc>
        <w:tc>
          <w:tcPr>
            <w:tcW w:w="1031" w:type="dxa"/>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top"/>
          </w:tcPr>
          <w:p w14:paraId="47587685">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w:t>
            </w:r>
          </w:p>
        </w:tc>
        <w:tc>
          <w:tcPr>
            <w:tcW w:w="971" w:type="dxa"/>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top"/>
          </w:tcPr>
          <w:p w14:paraId="5447A6B5">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p>
        </w:tc>
        <w:tc>
          <w:tcPr>
            <w:tcW w:w="983" w:type="dxa"/>
            <w:tcBorders>
              <w:top w:val="single" w:color="000000" w:sz="4" w:space="0"/>
              <w:left w:val="single" w:color="000000" w:sz="4" w:space="0"/>
              <w:bottom w:val="single" w:color="000000" w:sz="4" w:space="0"/>
              <w:right w:val="double" w:color="000000" w:sz="4" w:space="0"/>
            </w:tcBorders>
            <w:tcMar>
              <w:top w:w="0" w:type="dxa"/>
              <w:left w:w="0" w:type="dxa"/>
              <w:bottom w:w="0" w:type="dxa"/>
              <w:right w:w="0" w:type="dxa"/>
            </w:tcMar>
            <w:vAlign w:val="top"/>
          </w:tcPr>
          <w:p w14:paraId="33B405E3">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hAnsi="宋体" w:eastAsia="宋体" w:cs="宋体"/>
                <w:sz w:val="24"/>
                <w:szCs w:val="24"/>
              </w:rPr>
            </w:pPr>
          </w:p>
        </w:tc>
      </w:tr>
      <w:tr w14:paraId="0DCCB78F">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19" w:type="dxa"/>
            <w:tcBorders>
              <w:top w:val="single" w:color="000000" w:sz="4" w:space="0"/>
              <w:left w:val="double" w:color="000000" w:sz="4" w:space="0"/>
              <w:bottom w:val="single" w:color="000000" w:sz="4" w:space="0"/>
              <w:right w:val="single" w:color="000000" w:sz="4" w:space="0"/>
            </w:tcBorders>
            <w:tcMar>
              <w:top w:w="0" w:type="dxa"/>
              <w:left w:w="0" w:type="dxa"/>
              <w:bottom w:w="0" w:type="dxa"/>
              <w:right w:w="0" w:type="dxa"/>
            </w:tcMar>
            <w:vAlign w:val="top"/>
          </w:tcPr>
          <w:p w14:paraId="51510F7A">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5.2</w:t>
            </w:r>
          </w:p>
        </w:tc>
        <w:tc>
          <w:tcPr>
            <w:tcW w:w="3572" w:type="dxa"/>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top"/>
          </w:tcPr>
          <w:p w14:paraId="13FD3AA7">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教学管理系统</w:t>
            </w:r>
          </w:p>
        </w:tc>
        <w:tc>
          <w:tcPr>
            <w:tcW w:w="1031" w:type="dxa"/>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top"/>
          </w:tcPr>
          <w:p w14:paraId="5BC36A56">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p>
        </w:tc>
        <w:tc>
          <w:tcPr>
            <w:tcW w:w="1031" w:type="dxa"/>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top"/>
          </w:tcPr>
          <w:p w14:paraId="720093FB">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hAnsi="宋体" w:eastAsia="宋体" w:cs="宋体"/>
                <w:sz w:val="24"/>
                <w:szCs w:val="24"/>
              </w:rPr>
            </w:pPr>
          </w:p>
        </w:tc>
        <w:tc>
          <w:tcPr>
            <w:tcW w:w="971" w:type="dxa"/>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top"/>
          </w:tcPr>
          <w:p w14:paraId="1A9C094F">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hAnsi="宋体" w:eastAsia="宋体" w:cs="宋体"/>
                <w:sz w:val="24"/>
                <w:szCs w:val="24"/>
              </w:rPr>
            </w:pPr>
          </w:p>
        </w:tc>
        <w:tc>
          <w:tcPr>
            <w:tcW w:w="983" w:type="dxa"/>
            <w:tcBorders>
              <w:top w:val="single" w:color="000000" w:sz="4" w:space="0"/>
              <w:left w:val="single" w:color="000000" w:sz="4" w:space="0"/>
              <w:bottom w:val="single" w:color="000000" w:sz="4" w:space="0"/>
              <w:right w:val="double" w:color="000000" w:sz="4" w:space="0"/>
            </w:tcBorders>
            <w:tcMar>
              <w:top w:w="0" w:type="dxa"/>
              <w:left w:w="0" w:type="dxa"/>
              <w:bottom w:w="0" w:type="dxa"/>
              <w:right w:w="0" w:type="dxa"/>
            </w:tcMar>
            <w:vAlign w:val="top"/>
          </w:tcPr>
          <w:p w14:paraId="51FD9B82">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w:t>
            </w:r>
          </w:p>
        </w:tc>
      </w:tr>
      <w:tr w14:paraId="39D2ED1D">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19" w:type="dxa"/>
            <w:tcBorders>
              <w:top w:val="single" w:color="000000" w:sz="4" w:space="0"/>
              <w:left w:val="double" w:color="000000" w:sz="4" w:space="0"/>
              <w:bottom w:val="single" w:color="000000" w:sz="4" w:space="0"/>
              <w:right w:val="single" w:color="000000" w:sz="4" w:space="0"/>
            </w:tcBorders>
            <w:tcMar>
              <w:top w:w="0" w:type="dxa"/>
              <w:left w:w="0" w:type="dxa"/>
              <w:bottom w:w="0" w:type="dxa"/>
              <w:right w:w="0" w:type="dxa"/>
            </w:tcMar>
            <w:vAlign w:val="top"/>
          </w:tcPr>
          <w:p w14:paraId="6CE3273A">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5.3</w:t>
            </w:r>
          </w:p>
        </w:tc>
        <w:tc>
          <w:tcPr>
            <w:tcW w:w="3572" w:type="dxa"/>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top"/>
          </w:tcPr>
          <w:p w14:paraId="01FC8983">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科研协作管理系统</w:t>
            </w:r>
          </w:p>
        </w:tc>
        <w:tc>
          <w:tcPr>
            <w:tcW w:w="1031" w:type="dxa"/>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top"/>
          </w:tcPr>
          <w:p w14:paraId="67A4EFB5">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p>
        </w:tc>
        <w:tc>
          <w:tcPr>
            <w:tcW w:w="1031" w:type="dxa"/>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top"/>
          </w:tcPr>
          <w:p w14:paraId="62C94E99">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hAnsi="宋体" w:eastAsia="宋体" w:cs="宋体"/>
                <w:sz w:val="24"/>
                <w:szCs w:val="24"/>
              </w:rPr>
            </w:pPr>
          </w:p>
        </w:tc>
        <w:tc>
          <w:tcPr>
            <w:tcW w:w="971" w:type="dxa"/>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top"/>
          </w:tcPr>
          <w:p w14:paraId="0C9B35E4">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hAnsi="宋体" w:eastAsia="宋体" w:cs="宋体"/>
                <w:sz w:val="24"/>
                <w:szCs w:val="24"/>
              </w:rPr>
            </w:pPr>
          </w:p>
        </w:tc>
        <w:tc>
          <w:tcPr>
            <w:tcW w:w="983" w:type="dxa"/>
            <w:tcBorders>
              <w:top w:val="single" w:color="000000" w:sz="4" w:space="0"/>
              <w:left w:val="single" w:color="000000" w:sz="4" w:space="0"/>
              <w:bottom w:val="single" w:color="000000" w:sz="4" w:space="0"/>
              <w:right w:val="double" w:color="000000" w:sz="4" w:space="0"/>
            </w:tcBorders>
            <w:tcMar>
              <w:top w:w="0" w:type="dxa"/>
              <w:left w:w="0" w:type="dxa"/>
              <w:bottom w:w="0" w:type="dxa"/>
              <w:right w:w="0" w:type="dxa"/>
            </w:tcMar>
            <w:vAlign w:val="top"/>
          </w:tcPr>
          <w:p w14:paraId="0B946EAE">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w:t>
            </w:r>
          </w:p>
        </w:tc>
      </w:tr>
      <w:tr w14:paraId="77CB4234">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19" w:type="dxa"/>
            <w:tcBorders>
              <w:top w:val="single" w:color="000000" w:sz="4" w:space="0"/>
              <w:left w:val="double" w:color="000000" w:sz="4" w:space="0"/>
              <w:bottom w:val="single" w:color="000000" w:sz="4" w:space="0"/>
              <w:right w:val="single" w:color="000000" w:sz="4" w:space="0"/>
            </w:tcBorders>
            <w:tcMar>
              <w:top w:w="0" w:type="dxa"/>
              <w:left w:w="0" w:type="dxa"/>
              <w:bottom w:w="0" w:type="dxa"/>
              <w:right w:w="0" w:type="dxa"/>
            </w:tcMar>
            <w:vAlign w:val="top"/>
          </w:tcPr>
          <w:p w14:paraId="3A3268E2">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b/>
                <w:sz w:val="24"/>
                <w:szCs w:val="24"/>
              </w:rPr>
              <w:t>6</w:t>
            </w:r>
          </w:p>
        </w:tc>
        <w:tc>
          <w:tcPr>
            <w:tcW w:w="3572" w:type="dxa"/>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top"/>
          </w:tcPr>
          <w:p w14:paraId="71D26F75">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b/>
                <w:sz w:val="24"/>
                <w:szCs w:val="24"/>
              </w:rPr>
              <w:t>应用系统接口建设</w:t>
            </w:r>
          </w:p>
        </w:tc>
        <w:tc>
          <w:tcPr>
            <w:tcW w:w="1031" w:type="dxa"/>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top"/>
          </w:tcPr>
          <w:p w14:paraId="6D5A4297">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p>
        </w:tc>
        <w:tc>
          <w:tcPr>
            <w:tcW w:w="1031" w:type="dxa"/>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top"/>
          </w:tcPr>
          <w:p w14:paraId="2302B19C">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hAnsi="宋体" w:eastAsia="宋体" w:cs="宋体"/>
                <w:sz w:val="24"/>
                <w:szCs w:val="24"/>
              </w:rPr>
            </w:pPr>
          </w:p>
        </w:tc>
        <w:tc>
          <w:tcPr>
            <w:tcW w:w="971" w:type="dxa"/>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top"/>
          </w:tcPr>
          <w:p w14:paraId="7D3A5252">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hAnsi="宋体" w:eastAsia="宋体" w:cs="宋体"/>
                <w:sz w:val="24"/>
                <w:szCs w:val="24"/>
              </w:rPr>
            </w:pPr>
          </w:p>
        </w:tc>
        <w:tc>
          <w:tcPr>
            <w:tcW w:w="983" w:type="dxa"/>
            <w:tcBorders>
              <w:top w:val="single" w:color="000000" w:sz="4" w:space="0"/>
              <w:left w:val="single" w:color="000000" w:sz="4" w:space="0"/>
              <w:bottom w:val="single" w:color="000000" w:sz="4" w:space="0"/>
              <w:right w:val="double" w:color="000000" w:sz="4" w:space="0"/>
            </w:tcBorders>
            <w:tcMar>
              <w:top w:w="0" w:type="dxa"/>
              <w:left w:w="0" w:type="dxa"/>
              <w:bottom w:w="0" w:type="dxa"/>
              <w:right w:w="0" w:type="dxa"/>
            </w:tcMar>
            <w:vAlign w:val="top"/>
          </w:tcPr>
          <w:p w14:paraId="6DD4CB2D">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w:t>
            </w:r>
          </w:p>
        </w:tc>
      </w:tr>
      <w:tr w14:paraId="11D3D9BA">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19" w:type="dxa"/>
            <w:tcBorders>
              <w:top w:val="single" w:color="000000" w:sz="4" w:space="0"/>
              <w:left w:val="double" w:color="000000" w:sz="4" w:space="0"/>
              <w:bottom w:val="single" w:color="000000" w:sz="4" w:space="0"/>
              <w:right w:val="single" w:color="000000" w:sz="4" w:space="0"/>
            </w:tcBorders>
            <w:tcMar>
              <w:top w:w="0" w:type="dxa"/>
              <w:left w:w="0" w:type="dxa"/>
              <w:bottom w:w="0" w:type="dxa"/>
              <w:right w:w="0" w:type="dxa"/>
            </w:tcMar>
            <w:vAlign w:val="top"/>
          </w:tcPr>
          <w:p w14:paraId="44E39F67">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b/>
                <w:sz w:val="24"/>
                <w:szCs w:val="24"/>
              </w:rPr>
              <w:t>7</w:t>
            </w:r>
          </w:p>
        </w:tc>
        <w:tc>
          <w:tcPr>
            <w:tcW w:w="3572" w:type="dxa"/>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top"/>
          </w:tcPr>
          <w:p w14:paraId="24C9DD9B">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b/>
                <w:sz w:val="24"/>
                <w:szCs w:val="24"/>
              </w:rPr>
              <w:t>基础设施</w:t>
            </w:r>
          </w:p>
        </w:tc>
        <w:tc>
          <w:tcPr>
            <w:tcW w:w="1031" w:type="dxa"/>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top"/>
          </w:tcPr>
          <w:p w14:paraId="3CA2A039">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p>
        </w:tc>
        <w:tc>
          <w:tcPr>
            <w:tcW w:w="1031" w:type="dxa"/>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top"/>
          </w:tcPr>
          <w:p w14:paraId="78565C89">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hAnsi="宋体" w:eastAsia="宋体" w:cs="宋体"/>
                <w:sz w:val="24"/>
                <w:szCs w:val="24"/>
              </w:rPr>
            </w:pPr>
          </w:p>
        </w:tc>
        <w:tc>
          <w:tcPr>
            <w:tcW w:w="971" w:type="dxa"/>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top"/>
          </w:tcPr>
          <w:p w14:paraId="715F0C1C">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hAnsi="宋体" w:eastAsia="宋体" w:cs="宋体"/>
                <w:sz w:val="24"/>
                <w:szCs w:val="24"/>
              </w:rPr>
            </w:pPr>
          </w:p>
        </w:tc>
        <w:tc>
          <w:tcPr>
            <w:tcW w:w="983" w:type="dxa"/>
            <w:tcBorders>
              <w:top w:val="single" w:color="000000" w:sz="4" w:space="0"/>
              <w:left w:val="single" w:color="000000" w:sz="4" w:space="0"/>
              <w:bottom w:val="single" w:color="000000" w:sz="4" w:space="0"/>
              <w:right w:val="double" w:color="000000" w:sz="4" w:space="0"/>
            </w:tcBorders>
            <w:tcMar>
              <w:top w:w="0" w:type="dxa"/>
              <w:left w:w="0" w:type="dxa"/>
              <w:bottom w:w="0" w:type="dxa"/>
              <w:right w:w="0" w:type="dxa"/>
            </w:tcMar>
            <w:vAlign w:val="top"/>
          </w:tcPr>
          <w:p w14:paraId="7767E821">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hAnsi="宋体" w:eastAsia="宋体" w:cs="宋体"/>
                <w:sz w:val="24"/>
                <w:szCs w:val="24"/>
              </w:rPr>
            </w:pPr>
          </w:p>
        </w:tc>
      </w:tr>
      <w:tr w14:paraId="52969185">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19" w:type="dxa"/>
            <w:tcBorders>
              <w:top w:val="single" w:color="000000" w:sz="4" w:space="0"/>
              <w:left w:val="double" w:color="000000" w:sz="4" w:space="0"/>
              <w:bottom w:val="single" w:color="000000" w:sz="4" w:space="0"/>
              <w:right w:val="single" w:color="000000" w:sz="4" w:space="0"/>
            </w:tcBorders>
            <w:tcMar>
              <w:top w:w="0" w:type="dxa"/>
              <w:left w:w="0" w:type="dxa"/>
              <w:bottom w:w="0" w:type="dxa"/>
              <w:right w:w="0" w:type="dxa"/>
            </w:tcMar>
            <w:vAlign w:val="top"/>
          </w:tcPr>
          <w:p w14:paraId="35FFC303">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7.1</w:t>
            </w:r>
          </w:p>
        </w:tc>
        <w:tc>
          <w:tcPr>
            <w:tcW w:w="3572" w:type="dxa"/>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top"/>
          </w:tcPr>
          <w:p w14:paraId="43C8652F">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网络系统</w:t>
            </w:r>
          </w:p>
        </w:tc>
        <w:tc>
          <w:tcPr>
            <w:tcW w:w="1031" w:type="dxa"/>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top"/>
          </w:tcPr>
          <w:p w14:paraId="39D4DD1C">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w:t>
            </w:r>
          </w:p>
        </w:tc>
        <w:tc>
          <w:tcPr>
            <w:tcW w:w="1031" w:type="dxa"/>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top"/>
          </w:tcPr>
          <w:p w14:paraId="4875B926">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p>
        </w:tc>
        <w:tc>
          <w:tcPr>
            <w:tcW w:w="971" w:type="dxa"/>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top"/>
          </w:tcPr>
          <w:p w14:paraId="3B8B05D7">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hAnsi="宋体" w:eastAsia="宋体" w:cs="宋体"/>
                <w:sz w:val="24"/>
                <w:szCs w:val="24"/>
              </w:rPr>
            </w:pPr>
          </w:p>
        </w:tc>
        <w:tc>
          <w:tcPr>
            <w:tcW w:w="983" w:type="dxa"/>
            <w:tcBorders>
              <w:top w:val="single" w:color="000000" w:sz="4" w:space="0"/>
              <w:left w:val="single" w:color="000000" w:sz="4" w:space="0"/>
              <w:bottom w:val="single" w:color="000000" w:sz="4" w:space="0"/>
              <w:right w:val="double" w:color="000000" w:sz="4" w:space="0"/>
            </w:tcBorders>
            <w:tcMar>
              <w:top w:w="0" w:type="dxa"/>
              <w:left w:w="0" w:type="dxa"/>
              <w:bottom w:w="0" w:type="dxa"/>
              <w:right w:w="0" w:type="dxa"/>
            </w:tcMar>
            <w:vAlign w:val="top"/>
          </w:tcPr>
          <w:p w14:paraId="03101590">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hAnsi="宋体" w:eastAsia="宋体" w:cs="宋体"/>
                <w:sz w:val="24"/>
                <w:szCs w:val="24"/>
              </w:rPr>
            </w:pPr>
          </w:p>
        </w:tc>
      </w:tr>
      <w:tr w14:paraId="34455A59">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19" w:type="dxa"/>
            <w:tcBorders>
              <w:top w:val="single" w:color="000000" w:sz="4" w:space="0"/>
              <w:left w:val="double" w:color="000000" w:sz="4" w:space="0"/>
              <w:bottom w:val="single" w:color="000000" w:sz="4" w:space="0"/>
              <w:right w:val="single" w:color="000000" w:sz="4" w:space="0"/>
            </w:tcBorders>
            <w:tcMar>
              <w:top w:w="0" w:type="dxa"/>
              <w:left w:w="0" w:type="dxa"/>
              <w:bottom w:w="0" w:type="dxa"/>
              <w:right w:w="0" w:type="dxa"/>
            </w:tcMar>
            <w:vAlign w:val="top"/>
          </w:tcPr>
          <w:p w14:paraId="5983394B">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7.2</w:t>
            </w:r>
          </w:p>
        </w:tc>
        <w:tc>
          <w:tcPr>
            <w:tcW w:w="3572" w:type="dxa"/>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top"/>
          </w:tcPr>
          <w:p w14:paraId="45D2870C">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服务器及存储系统</w:t>
            </w:r>
          </w:p>
        </w:tc>
        <w:tc>
          <w:tcPr>
            <w:tcW w:w="1031" w:type="dxa"/>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top"/>
          </w:tcPr>
          <w:p w14:paraId="59073F86">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w:t>
            </w:r>
          </w:p>
        </w:tc>
        <w:tc>
          <w:tcPr>
            <w:tcW w:w="1031" w:type="dxa"/>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top"/>
          </w:tcPr>
          <w:p w14:paraId="1F8F545D">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p>
        </w:tc>
        <w:tc>
          <w:tcPr>
            <w:tcW w:w="971" w:type="dxa"/>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top"/>
          </w:tcPr>
          <w:p w14:paraId="2CD7DB10">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hAnsi="宋体" w:eastAsia="宋体" w:cs="宋体"/>
                <w:sz w:val="24"/>
                <w:szCs w:val="24"/>
              </w:rPr>
            </w:pPr>
          </w:p>
        </w:tc>
        <w:tc>
          <w:tcPr>
            <w:tcW w:w="983" w:type="dxa"/>
            <w:tcBorders>
              <w:top w:val="single" w:color="000000" w:sz="4" w:space="0"/>
              <w:left w:val="single" w:color="000000" w:sz="4" w:space="0"/>
              <w:bottom w:val="single" w:color="000000" w:sz="4" w:space="0"/>
              <w:right w:val="double" w:color="000000" w:sz="4" w:space="0"/>
            </w:tcBorders>
            <w:tcMar>
              <w:top w:w="0" w:type="dxa"/>
              <w:left w:w="0" w:type="dxa"/>
              <w:bottom w:w="0" w:type="dxa"/>
              <w:right w:w="0" w:type="dxa"/>
            </w:tcMar>
            <w:vAlign w:val="top"/>
          </w:tcPr>
          <w:p w14:paraId="7BCAC208">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hAnsi="宋体" w:eastAsia="宋体" w:cs="宋体"/>
                <w:sz w:val="24"/>
                <w:szCs w:val="24"/>
              </w:rPr>
            </w:pPr>
          </w:p>
        </w:tc>
      </w:tr>
      <w:tr w14:paraId="08D4DA2E">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19" w:type="dxa"/>
            <w:tcBorders>
              <w:top w:val="single" w:color="000000" w:sz="4" w:space="0"/>
              <w:left w:val="double" w:color="000000" w:sz="4" w:space="0"/>
              <w:bottom w:val="single" w:color="000000" w:sz="4" w:space="0"/>
              <w:right w:val="single" w:color="000000" w:sz="4" w:space="0"/>
            </w:tcBorders>
            <w:tcMar>
              <w:top w:w="0" w:type="dxa"/>
              <w:left w:w="0" w:type="dxa"/>
              <w:bottom w:w="0" w:type="dxa"/>
              <w:right w:w="0" w:type="dxa"/>
            </w:tcMar>
            <w:vAlign w:val="top"/>
          </w:tcPr>
          <w:p w14:paraId="0274CC9D">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7.3</w:t>
            </w:r>
          </w:p>
        </w:tc>
        <w:tc>
          <w:tcPr>
            <w:tcW w:w="3572" w:type="dxa"/>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top"/>
          </w:tcPr>
          <w:p w14:paraId="4964A0AF">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备份系统</w:t>
            </w:r>
          </w:p>
        </w:tc>
        <w:tc>
          <w:tcPr>
            <w:tcW w:w="1031" w:type="dxa"/>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top"/>
          </w:tcPr>
          <w:p w14:paraId="07198135">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w:t>
            </w:r>
          </w:p>
        </w:tc>
        <w:tc>
          <w:tcPr>
            <w:tcW w:w="1031" w:type="dxa"/>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top"/>
          </w:tcPr>
          <w:p w14:paraId="5821A207">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p>
        </w:tc>
        <w:tc>
          <w:tcPr>
            <w:tcW w:w="971" w:type="dxa"/>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top"/>
          </w:tcPr>
          <w:p w14:paraId="75590472">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hAnsi="宋体" w:eastAsia="宋体" w:cs="宋体"/>
                <w:sz w:val="24"/>
                <w:szCs w:val="24"/>
              </w:rPr>
            </w:pPr>
          </w:p>
        </w:tc>
        <w:tc>
          <w:tcPr>
            <w:tcW w:w="983" w:type="dxa"/>
            <w:tcBorders>
              <w:top w:val="single" w:color="000000" w:sz="4" w:space="0"/>
              <w:left w:val="single" w:color="000000" w:sz="4" w:space="0"/>
              <w:bottom w:val="single" w:color="000000" w:sz="4" w:space="0"/>
              <w:right w:val="double" w:color="000000" w:sz="4" w:space="0"/>
            </w:tcBorders>
            <w:tcMar>
              <w:top w:w="0" w:type="dxa"/>
              <w:left w:w="0" w:type="dxa"/>
              <w:bottom w:w="0" w:type="dxa"/>
              <w:right w:w="0" w:type="dxa"/>
            </w:tcMar>
            <w:vAlign w:val="top"/>
          </w:tcPr>
          <w:p w14:paraId="38AFFDD8">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hAnsi="宋体" w:eastAsia="宋体" w:cs="宋体"/>
                <w:sz w:val="24"/>
                <w:szCs w:val="24"/>
              </w:rPr>
            </w:pPr>
          </w:p>
        </w:tc>
      </w:tr>
      <w:tr w14:paraId="41D6BE85">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19" w:type="dxa"/>
            <w:tcBorders>
              <w:top w:val="single" w:color="000000" w:sz="4" w:space="0"/>
              <w:left w:val="double" w:color="000000" w:sz="4" w:space="0"/>
              <w:bottom w:val="single" w:color="000000" w:sz="4" w:space="0"/>
              <w:right w:val="single" w:color="000000" w:sz="4" w:space="0"/>
            </w:tcBorders>
            <w:tcMar>
              <w:top w:w="0" w:type="dxa"/>
              <w:left w:w="0" w:type="dxa"/>
              <w:bottom w:w="0" w:type="dxa"/>
              <w:right w:w="0" w:type="dxa"/>
            </w:tcMar>
            <w:vAlign w:val="top"/>
          </w:tcPr>
          <w:p w14:paraId="42055E98">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7.4</w:t>
            </w:r>
          </w:p>
        </w:tc>
        <w:tc>
          <w:tcPr>
            <w:tcW w:w="3572" w:type="dxa"/>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top"/>
          </w:tcPr>
          <w:p w14:paraId="774EE969">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基础软硬件</w:t>
            </w:r>
          </w:p>
        </w:tc>
        <w:tc>
          <w:tcPr>
            <w:tcW w:w="1031" w:type="dxa"/>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top"/>
          </w:tcPr>
          <w:p w14:paraId="3318E933">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w:t>
            </w:r>
          </w:p>
        </w:tc>
        <w:tc>
          <w:tcPr>
            <w:tcW w:w="1031" w:type="dxa"/>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top"/>
          </w:tcPr>
          <w:p w14:paraId="6DA196C6">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p>
        </w:tc>
        <w:tc>
          <w:tcPr>
            <w:tcW w:w="971" w:type="dxa"/>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top"/>
          </w:tcPr>
          <w:p w14:paraId="30920A2E">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hAnsi="宋体" w:eastAsia="宋体" w:cs="宋体"/>
                <w:sz w:val="24"/>
                <w:szCs w:val="24"/>
              </w:rPr>
            </w:pPr>
          </w:p>
        </w:tc>
        <w:tc>
          <w:tcPr>
            <w:tcW w:w="983" w:type="dxa"/>
            <w:tcBorders>
              <w:top w:val="single" w:color="000000" w:sz="4" w:space="0"/>
              <w:left w:val="single" w:color="000000" w:sz="4" w:space="0"/>
              <w:bottom w:val="single" w:color="000000" w:sz="4" w:space="0"/>
              <w:right w:val="double" w:color="000000" w:sz="4" w:space="0"/>
            </w:tcBorders>
            <w:tcMar>
              <w:top w:w="0" w:type="dxa"/>
              <w:left w:w="0" w:type="dxa"/>
              <w:bottom w:w="0" w:type="dxa"/>
              <w:right w:w="0" w:type="dxa"/>
            </w:tcMar>
            <w:vAlign w:val="top"/>
          </w:tcPr>
          <w:p w14:paraId="351E5DED">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hAnsi="宋体" w:eastAsia="宋体" w:cs="宋体"/>
                <w:sz w:val="24"/>
                <w:szCs w:val="24"/>
              </w:rPr>
            </w:pPr>
          </w:p>
        </w:tc>
      </w:tr>
      <w:tr w14:paraId="750E04E4">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19" w:type="dxa"/>
            <w:tcBorders>
              <w:top w:val="single" w:color="000000" w:sz="4" w:space="0"/>
              <w:left w:val="double" w:color="000000" w:sz="4" w:space="0"/>
              <w:bottom w:val="single" w:color="000000" w:sz="4" w:space="0"/>
              <w:right w:val="single" w:color="000000" w:sz="4" w:space="0"/>
            </w:tcBorders>
            <w:tcMar>
              <w:top w:w="0" w:type="dxa"/>
              <w:left w:w="0" w:type="dxa"/>
              <w:bottom w:w="0" w:type="dxa"/>
              <w:right w:w="0" w:type="dxa"/>
            </w:tcMar>
            <w:vAlign w:val="top"/>
          </w:tcPr>
          <w:p w14:paraId="72F56A44">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7.5</w:t>
            </w:r>
          </w:p>
        </w:tc>
        <w:tc>
          <w:tcPr>
            <w:tcW w:w="3572" w:type="dxa"/>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top"/>
          </w:tcPr>
          <w:p w14:paraId="610F4D73">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其他系统</w:t>
            </w:r>
          </w:p>
        </w:tc>
        <w:tc>
          <w:tcPr>
            <w:tcW w:w="1031" w:type="dxa"/>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top"/>
          </w:tcPr>
          <w:p w14:paraId="4BB3DC84">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p>
        </w:tc>
        <w:tc>
          <w:tcPr>
            <w:tcW w:w="1031" w:type="dxa"/>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top"/>
          </w:tcPr>
          <w:p w14:paraId="656331AE">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hAnsi="宋体" w:eastAsia="宋体" w:cs="宋体"/>
                <w:sz w:val="24"/>
                <w:szCs w:val="24"/>
              </w:rPr>
            </w:pPr>
          </w:p>
        </w:tc>
        <w:tc>
          <w:tcPr>
            <w:tcW w:w="971" w:type="dxa"/>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top"/>
          </w:tcPr>
          <w:p w14:paraId="0E3CDAFB">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hAnsi="宋体" w:eastAsia="宋体" w:cs="宋体"/>
                <w:sz w:val="24"/>
                <w:szCs w:val="24"/>
              </w:rPr>
            </w:pPr>
          </w:p>
        </w:tc>
        <w:tc>
          <w:tcPr>
            <w:tcW w:w="983" w:type="dxa"/>
            <w:tcBorders>
              <w:top w:val="single" w:color="000000" w:sz="4" w:space="0"/>
              <w:left w:val="single" w:color="000000" w:sz="4" w:space="0"/>
              <w:bottom w:val="single" w:color="000000" w:sz="4" w:space="0"/>
              <w:right w:val="double" w:color="000000" w:sz="4" w:space="0"/>
            </w:tcBorders>
            <w:tcMar>
              <w:top w:w="0" w:type="dxa"/>
              <w:left w:w="0" w:type="dxa"/>
              <w:bottom w:w="0" w:type="dxa"/>
              <w:right w:w="0" w:type="dxa"/>
            </w:tcMar>
            <w:vAlign w:val="top"/>
          </w:tcPr>
          <w:p w14:paraId="7AA79DB2">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hAnsi="宋体" w:eastAsia="宋体" w:cs="宋体"/>
                <w:sz w:val="24"/>
                <w:szCs w:val="24"/>
              </w:rPr>
            </w:pPr>
          </w:p>
        </w:tc>
      </w:tr>
      <w:tr w14:paraId="240091E2">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19" w:type="dxa"/>
            <w:tcBorders>
              <w:top w:val="single" w:color="000000" w:sz="4" w:space="0"/>
              <w:left w:val="double" w:color="000000" w:sz="4" w:space="0"/>
              <w:bottom w:val="single" w:color="000000" w:sz="4" w:space="0"/>
              <w:right w:val="single" w:color="000000" w:sz="4" w:space="0"/>
            </w:tcBorders>
            <w:tcMar>
              <w:top w:w="0" w:type="dxa"/>
              <w:left w:w="0" w:type="dxa"/>
              <w:bottom w:w="0" w:type="dxa"/>
              <w:right w:w="0" w:type="dxa"/>
            </w:tcMar>
            <w:vAlign w:val="top"/>
          </w:tcPr>
          <w:p w14:paraId="1B4544D8">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7.5.1</w:t>
            </w:r>
          </w:p>
        </w:tc>
        <w:tc>
          <w:tcPr>
            <w:tcW w:w="3572" w:type="dxa"/>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top"/>
          </w:tcPr>
          <w:p w14:paraId="4F629BB4">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AI智能监控系统</w:t>
            </w:r>
          </w:p>
        </w:tc>
        <w:tc>
          <w:tcPr>
            <w:tcW w:w="1031" w:type="dxa"/>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top"/>
          </w:tcPr>
          <w:p w14:paraId="43B51AB8">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w:t>
            </w:r>
          </w:p>
        </w:tc>
        <w:tc>
          <w:tcPr>
            <w:tcW w:w="1031" w:type="dxa"/>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top"/>
          </w:tcPr>
          <w:p w14:paraId="65E52DF3">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p>
        </w:tc>
        <w:tc>
          <w:tcPr>
            <w:tcW w:w="971" w:type="dxa"/>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top"/>
          </w:tcPr>
          <w:p w14:paraId="459D3D09">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hAnsi="宋体" w:eastAsia="宋体" w:cs="宋体"/>
                <w:sz w:val="24"/>
                <w:szCs w:val="24"/>
              </w:rPr>
            </w:pPr>
          </w:p>
        </w:tc>
        <w:tc>
          <w:tcPr>
            <w:tcW w:w="983" w:type="dxa"/>
            <w:tcBorders>
              <w:top w:val="single" w:color="000000" w:sz="4" w:space="0"/>
              <w:left w:val="single" w:color="000000" w:sz="4" w:space="0"/>
              <w:bottom w:val="single" w:color="000000" w:sz="4" w:space="0"/>
              <w:right w:val="double" w:color="000000" w:sz="4" w:space="0"/>
            </w:tcBorders>
            <w:tcMar>
              <w:top w:w="0" w:type="dxa"/>
              <w:left w:w="0" w:type="dxa"/>
              <w:bottom w:w="0" w:type="dxa"/>
              <w:right w:w="0" w:type="dxa"/>
            </w:tcMar>
            <w:vAlign w:val="top"/>
          </w:tcPr>
          <w:p w14:paraId="11BD6368">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hAnsi="宋体" w:eastAsia="宋体" w:cs="宋体"/>
                <w:sz w:val="24"/>
                <w:szCs w:val="24"/>
              </w:rPr>
            </w:pPr>
          </w:p>
        </w:tc>
      </w:tr>
      <w:tr w14:paraId="45E0D758">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19" w:type="dxa"/>
            <w:tcBorders>
              <w:top w:val="single" w:color="000000" w:sz="4" w:space="0"/>
              <w:left w:val="double" w:color="000000" w:sz="4" w:space="0"/>
              <w:bottom w:val="single" w:color="000000" w:sz="4" w:space="0"/>
              <w:right w:val="single" w:color="000000" w:sz="4" w:space="0"/>
            </w:tcBorders>
            <w:tcMar>
              <w:top w:w="0" w:type="dxa"/>
              <w:left w:w="0" w:type="dxa"/>
              <w:bottom w:w="0" w:type="dxa"/>
              <w:right w:w="0" w:type="dxa"/>
            </w:tcMar>
            <w:vAlign w:val="top"/>
          </w:tcPr>
          <w:p w14:paraId="2DF9880A">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7.5.2</w:t>
            </w:r>
          </w:p>
        </w:tc>
        <w:tc>
          <w:tcPr>
            <w:tcW w:w="3572" w:type="dxa"/>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top"/>
          </w:tcPr>
          <w:p w14:paraId="11B19B06">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视频监控系统升级改造（闽清院区）</w:t>
            </w:r>
          </w:p>
        </w:tc>
        <w:tc>
          <w:tcPr>
            <w:tcW w:w="1031" w:type="dxa"/>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top"/>
          </w:tcPr>
          <w:p w14:paraId="0F429D8A">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w:t>
            </w:r>
          </w:p>
        </w:tc>
        <w:tc>
          <w:tcPr>
            <w:tcW w:w="1031" w:type="dxa"/>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top"/>
          </w:tcPr>
          <w:p w14:paraId="4A9F3257">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p>
        </w:tc>
        <w:tc>
          <w:tcPr>
            <w:tcW w:w="971" w:type="dxa"/>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top"/>
          </w:tcPr>
          <w:p w14:paraId="66F07595">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hAnsi="宋体" w:eastAsia="宋体" w:cs="宋体"/>
                <w:sz w:val="24"/>
                <w:szCs w:val="24"/>
              </w:rPr>
            </w:pPr>
          </w:p>
        </w:tc>
        <w:tc>
          <w:tcPr>
            <w:tcW w:w="983" w:type="dxa"/>
            <w:tcBorders>
              <w:top w:val="single" w:color="000000" w:sz="4" w:space="0"/>
              <w:left w:val="single" w:color="000000" w:sz="4" w:space="0"/>
              <w:bottom w:val="single" w:color="000000" w:sz="4" w:space="0"/>
              <w:right w:val="double" w:color="000000" w:sz="4" w:space="0"/>
            </w:tcBorders>
            <w:tcMar>
              <w:top w:w="0" w:type="dxa"/>
              <w:left w:w="0" w:type="dxa"/>
              <w:bottom w:w="0" w:type="dxa"/>
              <w:right w:w="0" w:type="dxa"/>
            </w:tcMar>
            <w:vAlign w:val="top"/>
          </w:tcPr>
          <w:p w14:paraId="11935D77">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hAnsi="宋体" w:eastAsia="宋体" w:cs="宋体"/>
                <w:sz w:val="24"/>
                <w:szCs w:val="24"/>
              </w:rPr>
            </w:pPr>
          </w:p>
        </w:tc>
      </w:tr>
      <w:tr w14:paraId="730D7F32">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19" w:type="dxa"/>
            <w:tcBorders>
              <w:top w:val="single" w:color="000000" w:sz="4" w:space="0"/>
              <w:left w:val="double" w:color="000000" w:sz="4" w:space="0"/>
              <w:bottom w:val="single" w:color="000000" w:sz="4" w:space="0"/>
              <w:right w:val="single" w:color="000000" w:sz="4" w:space="0"/>
            </w:tcBorders>
            <w:tcMar>
              <w:top w:w="0" w:type="dxa"/>
              <w:left w:w="0" w:type="dxa"/>
              <w:bottom w:w="0" w:type="dxa"/>
              <w:right w:w="0" w:type="dxa"/>
            </w:tcMar>
            <w:vAlign w:val="top"/>
          </w:tcPr>
          <w:p w14:paraId="44580192">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7.5.3</w:t>
            </w:r>
          </w:p>
        </w:tc>
        <w:tc>
          <w:tcPr>
            <w:tcW w:w="3572" w:type="dxa"/>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top"/>
          </w:tcPr>
          <w:p w14:paraId="6DE49B46">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院内导航系统</w:t>
            </w:r>
          </w:p>
        </w:tc>
        <w:tc>
          <w:tcPr>
            <w:tcW w:w="1031" w:type="dxa"/>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top"/>
          </w:tcPr>
          <w:p w14:paraId="7135A696">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p>
        </w:tc>
        <w:tc>
          <w:tcPr>
            <w:tcW w:w="1031" w:type="dxa"/>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top"/>
          </w:tcPr>
          <w:p w14:paraId="01762DC5">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hAnsi="宋体" w:eastAsia="宋体" w:cs="宋体"/>
                <w:sz w:val="24"/>
                <w:szCs w:val="24"/>
              </w:rPr>
            </w:pPr>
          </w:p>
        </w:tc>
        <w:tc>
          <w:tcPr>
            <w:tcW w:w="971" w:type="dxa"/>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top"/>
          </w:tcPr>
          <w:p w14:paraId="6B169646">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hAnsi="宋体" w:eastAsia="宋体" w:cs="宋体"/>
                <w:sz w:val="24"/>
                <w:szCs w:val="24"/>
              </w:rPr>
            </w:pPr>
          </w:p>
        </w:tc>
        <w:tc>
          <w:tcPr>
            <w:tcW w:w="983" w:type="dxa"/>
            <w:tcBorders>
              <w:top w:val="single" w:color="000000" w:sz="4" w:space="0"/>
              <w:left w:val="single" w:color="000000" w:sz="4" w:space="0"/>
              <w:bottom w:val="single" w:color="000000" w:sz="4" w:space="0"/>
              <w:right w:val="double" w:color="000000" w:sz="4" w:space="0"/>
            </w:tcBorders>
            <w:tcMar>
              <w:top w:w="0" w:type="dxa"/>
              <w:left w:w="0" w:type="dxa"/>
              <w:bottom w:w="0" w:type="dxa"/>
              <w:right w:w="0" w:type="dxa"/>
            </w:tcMar>
            <w:vAlign w:val="top"/>
          </w:tcPr>
          <w:p w14:paraId="18AFF427">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w:t>
            </w:r>
          </w:p>
        </w:tc>
      </w:tr>
      <w:tr w14:paraId="770049EC">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19" w:type="dxa"/>
            <w:tcBorders>
              <w:top w:val="single" w:color="000000" w:sz="4" w:space="0"/>
              <w:left w:val="double" w:color="000000" w:sz="4" w:space="0"/>
              <w:bottom w:val="single" w:color="000000" w:sz="4" w:space="0"/>
              <w:right w:val="single" w:color="000000" w:sz="4" w:space="0"/>
            </w:tcBorders>
            <w:tcMar>
              <w:top w:w="0" w:type="dxa"/>
              <w:left w:w="0" w:type="dxa"/>
              <w:bottom w:w="0" w:type="dxa"/>
              <w:right w:w="0" w:type="dxa"/>
            </w:tcMar>
            <w:vAlign w:val="top"/>
          </w:tcPr>
          <w:p w14:paraId="45AE0C67">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7.5.4</w:t>
            </w:r>
          </w:p>
        </w:tc>
        <w:tc>
          <w:tcPr>
            <w:tcW w:w="3572" w:type="dxa"/>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top"/>
          </w:tcPr>
          <w:p w14:paraId="3A0C94E3">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患者定位管理系统</w:t>
            </w:r>
          </w:p>
        </w:tc>
        <w:tc>
          <w:tcPr>
            <w:tcW w:w="1031" w:type="dxa"/>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top"/>
          </w:tcPr>
          <w:p w14:paraId="53DF1047">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p>
        </w:tc>
        <w:tc>
          <w:tcPr>
            <w:tcW w:w="1031" w:type="dxa"/>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top"/>
          </w:tcPr>
          <w:p w14:paraId="4B9EB920">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hAnsi="宋体" w:eastAsia="宋体" w:cs="宋体"/>
                <w:sz w:val="24"/>
                <w:szCs w:val="24"/>
              </w:rPr>
            </w:pPr>
          </w:p>
        </w:tc>
        <w:tc>
          <w:tcPr>
            <w:tcW w:w="971" w:type="dxa"/>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top"/>
          </w:tcPr>
          <w:p w14:paraId="0A2C509C">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hAnsi="宋体" w:eastAsia="宋体" w:cs="宋体"/>
                <w:sz w:val="24"/>
                <w:szCs w:val="24"/>
              </w:rPr>
            </w:pPr>
          </w:p>
        </w:tc>
        <w:tc>
          <w:tcPr>
            <w:tcW w:w="983" w:type="dxa"/>
            <w:tcBorders>
              <w:top w:val="single" w:color="000000" w:sz="4" w:space="0"/>
              <w:left w:val="single" w:color="000000" w:sz="4" w:space="0"/>
              <w:bottom w:val="single" w:color="000000" w:sz="4" w:space="0"/>
              <w:right w:val="double" w:color="000000" w:sz="4" w:space="0"/>
            </w:tcBorders>
            <w:tcMar>
              <w:top w:w="0" w:type="dxa"/>
              <w:left w:w="0" w:type="dxa"/>
              <w:bottom w:w="0" w:type="dxa"/>
              <w:right w:w="0" w:type="dxa"/>
            </w:tcMar>
            <w:vAlign w:val="top"/>
          </w:tcPr>
          <w:p w14:paraId="3A6C021E">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w:t>
            </w:r>
          </w:p>
        </w:tc>
      </w:tr>
      <w:tr w14:paraId="26A52B52">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19" w:type="dxa"/>
            <w:tcBorders>
              <w:top w:val="single" w:color="000000" w:sz="4" w:space="0"/>
              <w:left w:val="double" w:color="000000" w:sz="4" w:space="0"/>
              <w:bottom w:val="single" w:color="000000" w:sz="4" w:space="0"/>
              <w:right w:val="single" w:color="000000" w:sz="4" w:space="0"/>
            </w:tcBorders>
            <w:tcMar>
              <w:top w:w="0" w:type="dxa"/>
              <w:left w:w="0" w:type="dxa"/>
              <w:bottom w:w="0" w:type="dxa"/>
              <w:right w:w="0" w:type="dxa"/>
            </w:tcMar>
            <w:vAlign w:val="top"/>
          </w:tcPr>
          <w:p w14:paraId="697705BF">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b/>
                <w:sz w:val="24"/>
                <w:szCs w:val="24"/>
              </w:rPr>
              <w:t>8</w:t>
            </w:r>
          </w:p>
        </w:tc>
        <w:tc>
          <w:tcPr>
            <w:tcW w:w="3572" w:type="dxa"/>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top"/>
          </w:tcPr>
          <w:p w14:paraId="5421FD41">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b/>
                <w:sz w:val="24"/>
                <w:szCs w:val="24"/>
              </w:rPr>
              <w:t>安全系统</w:t>
            </w:r>
          </w:p>
        </w:tc>
        <w:tc>
          <w:tcPr>
            <w:tcW w:w="1031" w:type="dxa"/>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top"/>
          </w:tcPr>
          <w:p w14:paraId="598A899D">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p>
        </w:tc>
        <w:tc>
          <w:tcPr>
            <w:tcW w:w="1031" w:type="dxa"/>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top"/>
          </w:tcPr>
          <w:p w14:paraId="00C2202F">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hAnsi="宋体" w:eastAsia="宋体" w:cs="宋体"/>
                <w:sz w:val="24"/>
                <w:szCs w:val="24"/>
              </w:rPr>
            </w:pPr>
          </w:p>
        </w:tc>
        <w:tc>
          <w:tcPr>
            <w:tcW w:w="971" w:type="dxa"/>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top"/>
          </w:tcPr>
          <w:p w14:paraId="0943937D">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hAnsi="宋体" w:eastAsia="宋体" w:cs="宋体"/>
                <w:sz w:val="24"/>
                <w:szCs w:val="24"/>
              </w:rPr>
            </w:pPr>
          </w:p>
        </w:tc>
        <w:tc>
          <w:tcPr>
            <w:tcW w:w="983" w:type="dxa"/>
            <w:tcBorders>
              <w:top w:val="single" w:color="000000" w:sz="4" w:space="0"/>
              <w:left w:val="single" w:color="000000" w:sz="4" w:space="0"/>
              <w:bottom w:val="single" w:color="000000" w:sz="4" w:space="0"/>
              <w:right w:val="double" w:color="000000" w:sz="4" w:space="0"/>
            </w:tcBorders>
            <w:tcMar>
              <w:top w:w="0" w:type="dxa"/>
              <w:left w:w="0" w:type="dxa"/>
              <w:bottom w:w="0" w:type="dxa"/>
              <w:right w:w="0" w:type="dxa"/>
            </w:tcMar>
            <w:vAlign w:val="top"/>
          </w:tcPr>
          <w:p w14:paraId="1991CA78">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hAnsi="宋体" w:eastAsia="宋体" w:cs="宋体"/>
                <w:sz w:val="24"/>
                <w:szCs w:val="24"/>
              </w:rPr>
            </w:pPr>
          </w:p>
        </w:tc>
      </w:tr>
      <w:tr w14:paraId="09CE9E21">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19" w:type="dxa"/>
            <w:tcBorders>
              <w:top w:val="single" w:color="000000" w:sz="4" w:space="0"/>
              <w:left w:val="double" w:color="000000" w:sz="4" w:space="0"/>
              <w:bottom w:val="single" w:color="000000" w:sz="4" w:space="0"/>
              <w:right w:val="single" w:color="000000" w:sz="4" w:space="0"/>
            </w:tcBorders>
            <w:tcMar>
              <w:top w:w="0" w:type="dxa"/>
              <w:left w:w="0" w:type="dxa"/>
              <w:bottom w:w="0" w:type="dxa"/>
              <w:right w:w="0" w:type="dxa"/>
            </w:tcMar>
            <w:vAlign w:val="top"/>
          </w:tcPr>
          <w:p w14:paraId="30C06058">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8.1</w:t>
            </w:r>
          </w:p>
        </w:tc>
        <w:tc>
          <w:tcPr>
            <w:tcW w:w="3572" w:type="dxa"/>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top"/>
          </w:tcPr>
          <w:p w14:paraId="7496EA5E">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网络安全</w:t>
            </w:r>
          </w:p>
        </w:tc>
        <w:tc>
          <w:tcPr>
            <w:tcW w:w="1031" w:type="dxa"/>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top"/>
          </w:tcPr>
          <w:p w14:paraId="7B1ECCE2">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w:t>
            </w:r>
          </w:p>
        </w:tc>
        <w:tc>
          <w:tcPr>
            <w:tcW w:w="1031" w:type="dxa"/>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top"/>
          </w:tcPr>
          <w:p w14:paraId="57F7A8C8">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p>
        </w:tc>
        <w:tc>
          <w:tcPr>
            <w:tcW w:w="971" w:type="dxa"/>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top"/>
          </w:tcPr>
          <w:p w14:paraId="5F7F5D78">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hAnsi="宋体" w:eastAsia="宋体" w:cs="宋体"/>
                <w:sz w:val="24"/>
                <w:szCs w:val="24"/>
              </w:rPr>
            </w:pPr>
          </w:p>
        </w:tc>
        <w:tc>
          <w:tcPr>
            <w:tcW w:w="983" w:type="dxa"/>
            <w:tcBorders>
              <w:top w:val="single" w:color="000000" w:sz="4" w:space="0"/>
              <w:left w:val="single" w:color="000000" w:sz="4" w:space="0"/>
              <w:bottom w:val="single" w:color="000000" w:sz="4" w:space="0"/>
              <w:right w:val="double" w:color="000000" w:sz="4" w:space="0"/>
            </w:tcBorders>
            <w:tcMar>
              <w:top w:w="0" w:type="dxa"/>
              <w:left w:w="0" w:type="dxa"/>
              <w:bottom w:w="0" w:type="dxa"/>
              <w:right w:w="0" w:type="dxa"/>
            </w:tcMar>
            <w:vAlign w:val="top"/>
          </w:tcPr>
          <w:p w14:paraId="584AF485">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hAnsi="宋体" w:eastAsia="宋体" w:cs="宋体"/>
                <w:sz w:val="24"/>
                <w:szCs w:val="24"/>
              </w:rPr>
            </w:pPr>
          </w:p>
        </w:tc>
      </w:tr>
      <w:tr w14:paraId="0FC7AB5A">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19" w:type="dxa"/>
            <w:tcBorders>
              <w:top w:val="single" w:color="000000" w:sz="4" w:space="0"/>
              <w:left w:val="double" w:color="000000" w:sz="4" w:space="0"/>
              <w:bottom w:val="double" w:color="000000" w:sz="4" w:space="0"/>
              <w:right w:val="single" w:color="000000" w:sz="4" w:space="0"/>
            </w:tcBorders>
            <w:tcMar>
              <w:top w:w="0" w:type="dxa"/>
              <w:left w:w="0" w:type="dxa"/>
              <w:bottom w:w="0" w:type="dxa"/>
              <w:right w:w="0" w:type="dxa"/>
            </w:tcMar>
            <w:vAlign w:val="top"/>
          </w:tcPr>
          <w:p w14:paraId="76A9D45B">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8.2</w:t>
            </w:r>
          </w:p>
        </w:tc>
        <w:tc>
          <w:tcPr>
            <w:tcW w:w="3572" w:type="dxa"/>
            <w:tcBorders>
              <w:top w:val="single" w:color="000000" w:sz="4" w:space="0"/>
              <w:left w:val="single" w:color="000000" w:sz="4" w:space="0"/>
              <w:bottom w:val="double" w:color="000000" w:sz="4" w:space="0"/>
              <w:right w:val="single" w:color="000000" w:sz="4" w:space="0"/>
            </w:tcBorders>
            <w:tcMar>
              <w:top w:w="0" w:type="dxa"/>
              <w:left w:w="0" w:type="dxa"/>
              <w:bottom w:w="0" w:type="dxa"/>
              <w:right w:w="0" w:type="dxa"/>
            </w:tcMar>
            <w:vAlign w:val="top"/>
          </w:tcPr>
          <w:p w14:paraId="025973F9">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密码安全</w:t>
            </w:r>
          </w:p>
        </w:tc>
        <w:tc>
          <w:tcPr>
            <w:tcW w:w="1031" w:type="dxa"/>
            <w:tcBorders>
              <w:top w:val="single" w:color="000000" w:sz="4" w:space="0"/>
              <w:left w:val="single" w:color="000000" w:sz="4" w:space="0"/>
              <w:bottom w:val="double" w:color="000000" w:sz="4" w:space="0"/>
              <w:right w:val="single" w:color="000000" w:sz="4" w:space="0"/>
            </w:tcBorders>
            <w:tcMar>
              <w:top w:w="0" w:type="dxa"/>
              <w:left w:w="0" w:type="dxa"/>
              <w:bottom w:w="0" w:type="dxa"/>
              <w:right w:w="0" w:type="dxa"/>
            </w:tcMar>
            <w:vAlign w:val="top"/>
          </w:tcPr>
          <w:p w14:paraId="76759D50">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w:t>
            </w:r>
          </w:p>
        </w:tc>
        <w:tc>
          <w:tcPr>
            <w:tcW w:w="1031" w:type="dxa"/>
            <w:tcBorders>
              <w:top w:val="single" w:color="000000" w:sz="4" w:space="0"/>
              <w:left w:val="single" w:color="000000" w:sz="4" w:space="0"/>
              <w:bottom w:val="double" w:color="000000" w:sz="4" w:space="0"/>
              <w:right w:val="single" w:color="000000" w:sz="4" w:space="0"/>
            </w:tcBorders>
            <w:tcMar>
              <w:top w:w="0" w:type="dxa"/>
              <w:left w:w="0" w:type="dxa"/>
              <w:bottom w:w="0" w:type="dxa"/>
              <w:right w:w="0" w:type="dxa"/>
            </w:tcMar>
            <w:vAlign w:val="top"/>
          </w:tcPr>
          <w:p w14:paraId="30EAA5B6">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p>
        </w:tc>
        <w:tc>
          <w:tcPr>
            <w:tcW w:w="971" w:type="dxa"/>
            <w:tcBorders>
              <w:top w:val="single" w:color="000000" w:sz="4" w:space="0"/>
              <w:left w:val="single" w:color="000000" w:sz="4" w:space="0"/>
              <w:bottom w:val="double" w:color="000000" w:sz="4" w:space="0"/>
              <w:right w:val="single" w:color="000000" w:sz="4" w:space="0"/>
            </w:tcBorders>
            <w:tcMar>
              <w:top w:w="0" w:type="dxa"/>
              <w:left w:w="0" w:type="dxa"/>
              <w:bottom w:w="0" w:type="dxa"/>
              <w:right w:w="0" w:type="dxa"/>
            </w:tcMar>
            <w:vAlign w:val="top"/>
          </w:tcPr>
          <w:p w14:paraId="4D7C87C9">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hAnsi="宋体" w:eastAsia="宋体" w:cs="宋体"/>
                <w:sz w:val="24"/>
                <w:szCs w:val="24"/>
              </w:rPr>
            </w:pPr>
          </w:p>
        </w:tc>
        <w:tc>
          <w:tcPr>
            <w:tcW w:w="983" w:type="dxa"/>
            <w:tcBorders>
              <w:top w:val="single" w:color="000000" w:sz="4" w:space="0"/>
              <w:left w:val="single" w:color="000000" w:sz="4" w:space="0"/>
              <w:bottom w:val="double" w:color="000000" w:sz="4" w:space="0"/>
              <w:right w:val="double" w:color="000000" w:sz="4" w:space="0"/>
            </w:tcBorders>
            <w:tcMar>
              <w:top w:w="0" w:type="dxa"/>
              <w:left w:w="0" w:type="dxa"/>
              <w:bottom w:w="0" w:type="dxa"/>
              <w:right w:w="0" w:type="dxa"/>
            </w:tcMar>
            <w:vAlign w:val="top"/>
          </w:tcPr>
          <w:p w14:paraId="6AD03E85">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hAnsi="宋体" w:eastAsia="宋体" w:cs="宋体"/>
                <w:sz w:val="24"/>
                <w:szCs w:val="24"/>
              </w:rPr>
            </w:pPr>
          </w:p>
        </w:tc>
      </w:tr>
    </w:tbl>
    <w:p w14:paraId="513C3A9D">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color w:val="000000"/>
          <w:sz w:val="24"/>
          <w:szCs w:val="24"/>
        </w:rPr>
        <w:t>4、质量管理和售后服务</w:t>
      </w:r>
    </w:p>
    <w:p w14:paraId="209ABAE5">
      <w:pPr>
        <w:pStyle w:val="6"/>
        <w:keepNext w:val="0"/>
        <w:keepLines w:val="0"/>
        <w:pageBreakBefore w:val="0"/>
        <w:kinsoku/>
        <w:wordWrap/>
        <w:overflowPunct/>
        <w:topLinePunct w:val="0"/>
        <w:autoSpaceDE/>
        <w:autoSpaceDN/>
        <w:bidi w:val="0"/>
        <w:adjustRightInd/>
        <w:snapToGrid/>
        <w:spacing w:line="500" w:lineRule="exact"/>
        <w:ind w:firstLine="480"/>
        <w:textAlignment w:val="auto"/>
        <w:rPr>
          <w:rFonts w:hint="eastAsia" w:ascii="宋体" w:hAnsi="宋体" w:eastAsia="宋体" w:cs="宋体"/>
          <w:sz w:val="24"/>
          <w:szCs w:val="24"/>
        </w:rPr>
      </w:pPr>
      <w:r>
        <w:rPr>
          <w:rFonts w:hint="eastAsia" w:ascii="宋体" w:hAnsi="宋体" w:eastAsia="宋体" w:cs="宋体"/>
          <w:color w:val="000000"/>
          <w:sz w:val="24"/>
          <w:szCs w:val="24"/>
        </w:rPr>
        <w:t>按照国家规定的质量体系文件要求对本项目如何满足质量要求做出规定，并针对具体产品、项目的质量要求进行质量策划，形成适合操作的文件。</w:t>
      </w:r>
    </w:p>
    <w:p w14:paraId="18E58144">
      <w:pPr>
        <w:pStyle w:val="6"/>
        <w:keepNext w:val="0"/>
        <w:keepLines w:val="0"/>
        <w:pageBreakBefore w:val="0"/>
        <w:kinsoku/>
        <w:wordWrap/>
        <w:overflowPunct/>
        <w:topLinePunct w:val="0"/>
        <w:autoSpaceDE/>
        <w:autoSpaceDN/>
        <w:bidi w:val="0"/>
        <w:adjustRightInd/>
        <w:snapToGrid/>
        <w:spacing w:line="500" w:lineRule="exact"/>
        <w:ind w:firstLine="480"/>
        <w:jc w:val="left"/>
        <w:textAlignment w:val="auto"/>
        <w:rPr>
          <w:rFonts w:hint="eastAsia" w:ascii="宋体" w:hAnsi="宋体" w:eastAsia="宋体" w:cs="宋体"/>
          <w:sz w:val="24"/>
          <w:szCs w:val="24"/>
        </w:rPr>
      </w:pPr>
      <w:r>
        <w:rPr>
          <w:rFonts w:hint="eastAsia" w:ascii="宋体" w:hAnsi="宋体" w:eastAsia="宋体" w:cs="宋体"/>
          <w:color w:val="000000"/>
          <w:sz w:val="24"/>
          <w:szCs w:val="24"/>
        </w:rPr>
        <w:t>4.1质量管理</w:t>
      </w:r>
    </w:p>
    <w:p w14:paraId="60F475A7">
      <w:pPr>
        <w:pStyle w:val="6"/>
        <w:keepNext w:val="0"/>
        <w:keepLines w:val="0"/>
        <w:pageBreakBefore w:val="0"/>
        <w:kinsoku/>
        <w:wordWrap/>
        <w:overflowPunct/>
        <w:topLinePunct w:val="0"/>
        <w:autoSpaceDE/>
        <w:autoSpaceDN/>
        <w:bidi w:val="0"/>
        <w:adjustRightInd/>
        <w:snapToGrid/>
        <w:spacing w:line="500" w:lineRule="exact"/>
        <w:ind w:firstLine="480"/>
        <w:textAlignment w:val="auto"/>
        <w:rPr>
          <w:rFonts w:hint="eastAsia" w:ascii="宋体" w:hAnsi="宋体" w:eastAsia="宋体" w:cs="宋体"/>
          <w:sz w:val="24"/>
          <w:szCs w:val="24"/>
        </w:rPr>
      </w:pPr>
      <w:r>
        <w:rPr>
          <w:rFonts w:hint="eastAsia" w:ascii="宋体" w:hAnsi="宋体" w:eastAsia="宋体" w:cs="宋体"/>
          <w:color w:val="000000"/>
          <w:sz w:val="24"/>
          <w:szCs w:val="24"/>
        </w:rPr>
        <w:t>4.1.1中标人应针对本项目提供质量管理及风险管理计划，明确质量控制点、控制内容、质量要求、检查记录要求，并经采购人审核、批准。</w:t>
      </w:r>
    </w:p>
    <w:p w14:paraId="475FB637">
      <w:pPr>
        <w:pStyle w:val="6"/>
        <w:keepNext w:val="0"/>
        <w:keepLines w:val="0"/>
        <w:pageBreakBefore w:val="0"/>
        <w:kinsoku/>
        <w:wordWrap/>
        <w:overflowPunct/>
        <w:topLinePunct w:val="0"/>
        <w:autoSpaceDE/>
        <w:autoSpaceDN/>
        <w:bidi w:val="0"/>
        <w:adjustRightInd/>
        <w:snapToGrid/>
        <w:spacing w:line="500" w:lineRule="exact"/>
        <w:ind w:firstLine="480"/>
        <w:textAlignment w:val="auto"/>
        <w:rPr>
          <w:rFonts w:hint="eastAsia" w:ascii="宋体" w:hAnsi="宋体" w:eastAsia="宋体" w:cs="宋体"/>
          <w:sz w:val="24"/>
          <w:szCs w:val="24"/>
        </w:rPr>
      </w:pPr>
      <w:r>
        <w:rPr>
          <w:rFonts w:hint="eastAsia" w:ascii="宋体" w:hAnsi="宋体" w:eastAsia="宋体" w:cs="宋体"/>
          <w:color w:val="000000"/>
          <w:sz w:val="24"/>
          <w:szCs w:val="24"/>
        </w:rPr>
        <w:t>4.1.2中标人在项目实施过程中应开展质量保证活动，所提交的进度报告应包括质量报告内容，对质量问题制定改进措施并有效执行。</w:t>
      </w:r>
    </w:p>
    <w:p w14:paraId="26D40352">
      <w:pPr>
        <w:pStyle w:val="6"/>
        <w:keepNext w:val="0"/>
        <w:keepLines w:val="0"/>
        <w:pageBreakBefore w:val="0"/>
        <w:kinsoku/>
        <w:wordWrap/>
        <w:overflowPunct/>
        <w:topLinePunct w:val="0"/>
        <w:autoSpaceDE/>
        <w:autoSpaceDN/>
        <w:bidi w:val="0"/>
        <w:adjustRightInd/>
        <w:snapToGrid/>
        <w:spacing w:line="500" w:lineRule="exact"/>
        <w:ind w:firstLine="480"/>
        <w:textAlignment w:val="auto"/>
        <w:rPr>
          <w:rFonts w:hint="eastAsia" w:ascii="宋体" w:hAnsi="宋体" w:eastAsia="宋体" w:cs="宋体"/>
          <w:sz w:val="24"/>
          <w:szCs w:val="24"/>
        </w:rPr>
      </w:pPr>
      <w:r>
        <w:rPr>
          <w:rFonts w:hint="eastAsia" w:ascii="宋体" w:hAnsi="宋体" w:eastAsia="宋体" w:cs="宋体"/>
          <w:color w:val="000000"/>
          <w:sz w:val="24"/>
          <w:szCs w:val="24"/>
        </w:rPr>
        <w:t>4.1.3中标人必须接受采购人的质量监督检查，提供真实有效的相关质量活动记录、证据，无条件接受采购人提出的质量问题整改要求，承担质量责任及因质量问题导致的进度延迟责任。</w:t>
      </w:r>
    </w:p>
    <w:p w14:paraId="720D2C0B">
      <w:pPr>
        <w:pStyle w:val="6"/>
        <w:keepNext w:val="0"/>
        <w:keepLines w:val="0"/>
        <w:pageBreakBefore w:val="0"/>
        <w:kinsoku/>
        <w:wordWrap/>
        <w:overflowPunct/>
        <w:topLinePunct w:val="0"/>
        <w:autoSpaceDE/>
        <w:autoSpaceDN/>
        <w:bidi w:val="0"/>
        <w:adjustRightInd/>
        <w:snapToGrid/>
        <w:spacing w:line="500" w:lineRule="exact"/>
        <w:ind w:firstLine="480"/>
        <w:jc w:val="left"/>
        <w:textAlignment w:val="auto"/>
        <w:rPr>
          <w:rFonts w:hint="eastAsia" w:ascii="宋体" w:hAnsi="宋体" w:eastAsia="宋体" w:cs="宋体"/>
          <w:sz w:val="24"/>
          <w:szCs w:val="24"/>
        </w:rPr>
      </w:pPr>
      <w:r>
        <w:rPr>
          <w:rFonts w:hint="eastAsia" w:ascii="宋体" w:hAnsi="宋体" w:eastAsia="宋体" w:cs="宋体"/>
          <w:color w:val="000000"/>
          <w:sz w:val="24"/>
          <w:szCs w:val="24"/>
        </w:rPr>
        <w:t>4.2售后服务</w:t>
      </w:r>
    </w:p>
    <w:p w14:paraId="3D336F77">
      <w:pPr>
        <w:pStyle w:val="6"/>
        <w:keepNext w:val="0"/>
        <w:keepLines w:val="0"/>
        <w:pageBreakBefore w:val="0"/>
        <w:kinsoku/>
        <w:wordWrap/>
        <w:overflowPunct/>
        <w:topLinePunct w:val="0"/>
        <w:autoSpaceDE/>
        <w:autoSpaceDN/>
        <w:bidi w:val="0"/>
        <w:adjustRightInd/>
        <w:snapToGrid/>
        <w:spacing w:line="500" w:lineRule="exact"/>
        <w:ind w:firstLine="480"/>
        <w:textAlignment w:val="auto"/>
        <w:rPr>
          <w:rFonts w:hint="eastAsia" w:ascii="宋体" w:hAnsi="宋体" w:eastAsia="宋体" w:cs="宋体"/>
          <w:sz w:val="24"/>
          <w:szCs w:val="24"/>
        </w:rPr>
      </w:pPr>
      <w:r>
        <w:rPr>
          <w:rFonts w:hint="eastAsia" w:ascii="宋体" w:hAnsi="宋体" w:eastAsia="宋体" w:cs="宋体"/>
          <w:color w:val="000000"/>
          <w:sz w:val="24"/>
          <w:szCs w:val="24"/>
        </w:rPr>
        <w:t>4.2.1中标人应指派专人负责与采购人联系售后服务事宜。</w:t>
      </w:r>
    </w:p>
    <w:p w14:paraId="6A6626E8">
      <w:pPr>
        <w:pStyle w:val="6"/>
        <w:keepNext w:val="0"/>
        <w:keepLines w:val="0"/>
        <w:pageBreakBefore w:val="0"/>
        <w:kinsoku/>
        <w:wordWrap/>
        <w:overflowPunct/>
        <w:topLinePunct w:val="0"/>
        <w:autoSpaceDE/>
        <w:autoSpaceDN/>
        <w:bidi w:val="0"/>
        <w:adjustRightInd/>
        <w:snapToGrid/>
        <w:spacing w:line="500" w:lineRule="exact"/>
        <w:ind w:firstLine="480"/>
        <w:jc w:val="left"/>
        <w:textAlignment w:val="auto"/>
        <w:rPr>
          <w:rFonts w:hint="eastAsia" w:ascii="宋体" w:hAnsi="宋体" w:eastAsia="宋体" w:cs="宋体"/>
          <w:sz w:val="24"/>
          <w:szCs w:val="24"/>
        </w:rPr>
      </w:pPr>
      <w:r>
        <w:rPr>
          <w:rFonts w:hint="eastAsia" w:ascii="宋体" w:hAnsi="宋体" w:eastAsia="宋体" w:cs="宋体"/>
          <w:color w:val="000000"/>
          <w:sz w:val="24"/>
          <w:szCs w:val="24"/>
        </w:rPr>
        <w:t>4.2.2运维期</w:t>
      </w:r>
    </w:p>
    <w:p w14:paraId="434511CE">
      <w:pPr>
        <w:pStyle w:val="6"/>
        <w:keepNext w:val="0"/>
        <w:keepLines w:val="0"/>
        <w:pageBreakBefore w:val="0"/>
        <w:kinsoku/>
        <w:wordWrap/>
        <w:overflowPunct/>
        <w:topLinePunct w:val="0"/>
        <w:autoSpaceDE/>
        <w:autoSpaceDN/>
        <w:bidi w:val="0"/>
        <w:adjustRightInd/>
        <w:snapToGrid/>
        <w:spacing w:line="500" w:lineRule="exact"/>
        <w:ind w:firstLine="480"/>
        <w:jc w:val="left"/>
        <w:textAlignment w:val="auto"/>
        <w:rPr>
          <w:rFonts w:hint="eastAsia" w:ascii="宋体" w:hAnsi="宋体" w:eastAsia="宋体" w:cs="宋体"/>
          <w:sz w:val="24"/>
          <w:szCs w:val="24"/>
        </w:rPr>
      </w:pPr>
      <w:r>
        <w:rPr>
          <w:rFonts w:hint="eastAsia" w:ascii="宋体" w:hAnsi="宋体" w:eastAsia="宋体" w:cs="宋体"/>
          <w:color w:val="000000"/>
          <w:sz w:val="24"/>
          <w:szCs w:val="24"/>
        </w:rPr>
        <w:t>4.2.2.1运维期</w:t>
      </w:r>
    </w:p>
    <w:p w14:paraId="4BDAA5EF">
      <w:pPr>
        <w:pStyle w:val="6"/>
        <w:keepNext w:val="0"/>
        <w:keepLines w:val="0"/>
        <w:pageBreakBefore w:val="0"/>
        <w:kinsoku/>
        <w:wordWrap/>
        <w:overflowPunct/>
        <w:topLinePunct w:val="0"/>
        <w:autoSpaceDE/>
        <w:autoSpaceDN/>
        <w:bidi w:val="0"/>
        <w:adjustRightInd/>
        <w:snapToGrid/>
        <w:spacing w:line="500" w:lineRule="exact"/>
        <w:ind w:firstLine="480"/>
        <w:jc w:val="left"/>
        <w:textAlignment w:val="auto"/>
        <w:rPr>
          <w:rFonts w:hint="eastAsia" w:ascii="宋体" w:hAnsi="宋体" w:eastAsia="宋体" w:cs="宋体"/>
          <w:sz w:val="24"/>
          <w:szCs w:val="24"/>
        </w:rPr>
      </w:pPr>
      <w:r>
        <w:rPr>
          <w:rFonts w:hint="eastAsia" w:ascii="宋体" w:hAnsi="宋体" w:eastAsia="宋体" w:cs="宋体"/>
          <w:color w:val="000000"/>
          <w:sz w:val="24"/>
          <w:szCs w:val="24"/>
        </w:rPr>
        <w:t>（1）项目终验后提供</w:t>
      </w:r>
      <w:r>
        <w:rPr>
          <w:rFonts w:hint="eastAsia" w:ascii="宋体" w:hAnsi="宋体" w:eastAsia="宋体" w:cs="宋体"/>
          <w:b/>
          <w:color w:val="000000"/>
          <w:sz w:val="24"/>
          <w:szCs w:val="24"/>
        </w:rPr>
        <w:t>软件部分3年免费运维期和硬件部分5年免费运维期</w:t>
      </w:r>
      <w:r>
        <w:rPr>
          <w:rFonts w:hint="eastAsia" w:ascii="宋体" w:hAnsi="宋体" w:eastAsia="宋体" w:cs="宋体"/>
          <w:color w:val="000000"/>
          <w:sz w:val="24"/>
          <w:szCs w:val="24"/>
        </w:rPr>
        <w:t>（运维期自通过最终验收之日起算）。运维期内，因系统运行所产生的各种故障应由中标人提供技术服务和维修。运维期内须提供驻点运维服务，其中省级精神卫生综合服务平台提供1人、AI病历生成与质控系统提供1人。</w:t>
      </w:r>
      <w:r>
        <w:rPr>
          <w:rFonts w:hint="eastAsia" w:ascii="宋体" w:hAnsi="宋体" w:eastAsia="宋体" w:cs="宋体"/>
          <w:b/>
          <w:color w:val="000000"/>
          <w:sz w:val="24"/>
          <w:szCs w:val="24"/>
        </w:rPr>
        <w:t>（投标人须提供专项承诺函，格式自拟，未提供视为投标无效）</w:t>
      </w:r>
    </w:p>
    <w:p w14:paraId="3C64318A">
      <w:pPr>
        <w:pStyle w:val="6"/>
        <w:keepNext w:val="0"/>
        <w:keepLines w:val="0"/>
        <w:pageBreakBefore w:val="0"/>
        <w:kinsoku/>
        <w:wordWrap/>
        <w:overflowPunct/>
        <w:topLinePunct w:val="0"/>
        <w:autoSpaceDE/>
        <w:autoSpaceDN/>
        <w:bidi w:val="0"/>
        <w:adjustRightInd/>
        <w:snapToGrid/>
        <w:spacing w:line="500" w:lineRule="exact"/>
        <w:ind w:firstLine="480"/>
        <w:textAlignment w:val="auto"/>
        <w:rPr>
          <w:rFonts w:hint="eastAsia" w:ascii="宋体" w:hAnsi="宋体" w:eastAsia="宋体" w:cs="宋体"/>
          <w:sz w:val="24"/>
          <w:szCs w:val="24"/>
        </w:rPr>
      </w:pPr>
      <w:r>
        <w:rPr>
          <w:rFonts w:hint="eastAsia" w:ascii="宋体" w:hAnsi="宋体" w:eastAsia="宋体" w:cs="宋体"/>
          <w:color w:val="000000"/>
          <w:sz w:val="24"/>
          <w:szCs w:val="24"/>
        </w:rPr>
        <w:t>（2）运维期内，中标人应向采购人提供系统软件升级服务，如系统投入使用后采购人原有业务发生改变时，中标人应提供软件升级、修改和维护。此项费用包含在投标总价中。中标人视自身能力在投标文件中可提供更优、更合理的售后服务承诺。</w:t>
      </w:r>
    </w:p>
    <w:p w14:paraId="24EC77E3">
      <w:pPr>
        <w:pStyle w:val="6"/>
        <w:keepNext w:val="0"/>
        <w:keepLines w:val="0"/>
        <w:pageBreakBefore w:val="0"/>
        <w:kinsoku/>
        <w:wordWrap/>
        <w:overflowPunct/>
        <w:topLinePunct w:val="0"/>
        <w:autoSpaceDE/>
        <w:autoSpaceDN/>
        <w:bidi w:val="0"/>
        <w:adjustRightInd/>
        <w:snapToGrid/>
        <w:spacing w:line="500" w:lineRule="exact"/>
        <w:ind w:firstLine="480"/>
        <w:textAlignment w:val="auto"/>
        <w:rPr>
          <w:rFonts w:hint="eastAsia" w:ascii="宋体" w:hAnsi="宋体" w:eastAsia="宋体" w:cs="宋体"/>
          <w:sz w:val="24"/>
          <w:szCs w:val="24"/>
        </w:rPr>
      </w:pPr>
      <w:r>
        <w:rPr>
          <w:rFonts w:hint="eastAsia" w:ascii="宋体" w:hAnsi="宋体" w:eastAsia="宋体" w:cs="宋体"/>
          <w:color w:val="000000"/>
          <w:sz w:val="24"/>
          <w:szCs w:val="24"/>
        </w:rPr>
        <w:t>（3）中标人应当提供技术支持热线，随时接受用户服务请求；根据需要及时派专业工程师到达现场解决问题。运维期结束后，中标人仍应对产品提供终身维修服务并有责任对产品在必要时进行定期维护和修理，收到采购人通知后2小时内响应，24小时内派人到达现场解决。维修相关费用：只能收取配件或耗材的成本费，其他一切费用由中标人承担。</w:t>
      </w:r>
    </w:p>
    <w:p w14:paraId="0783ED6E">
      <w:pPr>
        <w:pStyle w:val="6"/>
        <w:keepNext w:val="0"/>
        <w:keepLines w:val="0"/>
        <w:pageBreakBefore w:val="0"/>
        <w:kinsoku/>
        <w:wordWrap/>
        <w:overflowPunct/>
        <w:topLinePunct w:val="0"/>
        <w:autoSpaceDE/>
        <w:autoSpaceDN/>
        <w:bidi w:val="0"/>
        <w:adjustRightInd/>
        <w:snapToGrid/>
        <w:spacing w:line="500" w:lineRule="exact"/>
        <w:ind w:firstLine="480"/>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（4）在项目建设期和运维期内，如因国家政策、行业规范要求，需与第三方系统进行接口对接，中标人应无条件免费配合完成接口开发、调试、联调、测试、上线等工作，并确保接口稳定运行。</w:t>
      </w:r>
    </w:p>
    <w:p w14:paraId="6EEC8306">
      <w:pPr>
        <w:pStyle w:val="6"/>
        <w:keepNext w:val="0"/>
        <w:keepLines w:val="0"/>
        <w:pageBreakBefore w:val="0"/>
        <w:kinsoku/>
        <w:wordWrap/>
        <w:overflowPunct/>
        <w:topLinePunct w:val="0"/>
        <w:autoSpaceDE/>
        <w:autoSpaceDN/>
        <w:bidi w:val="0"/>
        <w:adjustRightInd/>
        <w:snapToGrid/>
        <w:spacing w:line="500" w:lineRule="exact"/>
        <w:ind w:firstLine="480"/>
        <w:textAlignment w:val="auto"/>
        <w:rPr>
          <w:rFonts w:hint="eastAsia" w:ascii="宋体" w:hAnsi="宋体" w:eastAsia="宋体" w:cs="宋体"/>
          <w:b/>
          <w:bCs/>
          <w:color w:val="000000"/>
          <w:sz w:val="24"/>
          <w:szCs w:val="24"/>
          <w:lang w:eastAsia="zh-CN"/>
        </w:rPr>
      </w:pPr>
      <w:r>
        <w:rPr>
          <w:rFonts w:hint="eastAsia" w:ascii="宋体" w:hAnsi="宋体" w:eastAsia="宋体" w:cs="宋体"/>
          <w:b/>
          <w:bCs/>
          <w:color w:val="000000"/>
          <w:sz w:val="24"/>
          <w:szCs w:val="24"/>
          <w:lang w:eastAsia="zh-CN"/>
        </w:rPr>
        <w:t>(5)免费运维期结束后，若采购人仍需中标人提供售后服务的，报修响应时间1小时，在接用户通知后8小时赶到现场并完成修复工作，每年的运维服务费不得超过中标价的</w:t>
      </w:r>
      <w:r>
        <w:rPr>
          <w:rFonts w:hint="eastAsia" w:ascii="宋体" w:hAnsi="宋体" w:eastAsia="宋体" w:cs="宋体"/>
          <w:b/>
          <w:bCs/>
          <w:color w:val="000000"/>
          <w:sz w:val="24"/>
          <w:szCs w:val="24"/>
          <w:lang w:val="en-US" w:eastAsia="zh-CN"/>
        </w:rPr>
        <w:t>2</w:t>
      </w:r>
      <w:r>
        <w:rPr>
          <w:rFonts w:hint="eastAsia" w:ascii="宋体" w:hAnsi="宋体" w:eastAsia="宋体" w:cs="宋体"/>
          <w:b/>
          <w:bCs/>
          <w:color w:val="000000"/>
          <w:sz w:val="24"/>
          <w:szCs w:val="24"/>
          <w:lang w:eastAsia="zh-CN"/>
        </w:rPr>
        <w:t>%。</w:t>
      </w:r>
      <w:bookmarkStart w:id="0" w:name="_GoBack"/>
      <w:bookmarkEnd w:id="0"/>
    </w:p>
    <w:p w14:paraId="4FB095F1">
      <w:pPr>
        <w:pStyle w:val="6"/>
        <w:keepNext w:val="0"/>
        <w:keepLines w:val="0"/>
        <w:pageBreakBefore w:val="0"/>
        <w:kinsoku/>
        <w:wordWrap/>
        <w:overflowPunct/>
        <w:topLinePunct w:val="0"/>
        <w:autoSpaceDE/>
        <w:autoSpaceDN/>
        <w:bidi w:val="0"/>
        <w:adjustRightInd/>
        <w:snapToGrid/>
        <w:spacing w:line="500" w:lineRule="exact"/>
        <w:ind w:firstLine="480"/>
        <w:jc w:val="left"/>
        <w:textAlignment w:val="auto"/>
        <w:rPr>
          <w:rFonts w:hint="eastAsia" w:ascii="宋体" w:hAnsi="宋体" w:eastAsia="宋体" w:cs="宋体"/>
          <w:sz w:val="24"/>
          <w:szCs w:val="24"/>
        </w:rPr>
      </w:pPr>
      <w:r>
        <w:rPr>
          <w:rFonts w:hint="eastAsia" w:ascii="宋体" w:hAnsi="宋体" w:eastAsia="宋体" w:cs="宋体"/>
          <w:color w:val="000000"/>
          <w:sz w:val="24"/>
          <w:szCs w:val="24"/>
        </w:rPr>
        <w:t>5、应用软件系统开发</w:t>
      </w:r>
    </w:p>
    <w:p w14:paraId="6923B202">
      <w:pPr>
        <w:pStyle w:val="6"/>
        <w:keepNext w:val="0"/>
        <w:keepLines w:val="0"/>
        <w:pageBreakBefore w:val="0"/>
        <w:kinsoku/>
        <w:wordWrap/>
        <w:overflowPunct/>
        <w:topLinePunct w:val="0"/>
        <w:autoSpaceDE/>
        <w:autoSpaceDN/>
        <w:bidi w:val="0"/>
        <w:adjustRightInd/>
        <w:snapToGrid/>
        <w:spacing w:line="500" w:lineRule="exact"/>
        <w:ind w:firstLine="480"/>
        <w:textAlignment w:val="auto"/>
        <w:rPr>
          <w:rFonts w:hint="eastAsia" w:ascii="宋体" w:hAnsi="宋体" w:eastAsia="宋体" w:cs="宋体"/>
          <w:sz w:val="24"/>
          <w:szCs w:val="24"/>
        </w:rPr>
      </w:pPr>
      <w:r>
        <w:rPr>
          <w:rFonts w:hint="eastAsia" w:ascii="宋体" w:hAnsi="宋体" w:eastAsia="宋体" w:cs="宋体"/>
          <w:color w:val="000000"/>
          <w:sz w:val="24"/>
          <w:szCs w:val="24"/>
        </w:rPr>
        <w:t>5.1严格按照GB/T 19001《质量管理体系要求》建立质量管理体系，结合软件开发行业特点，对软件开发、供应和维护过程实施质量管控，确保软件产品质量。</w:t>
      </w:r>
    </w:p>
    <w:p w14:paraId="28A8BACF">
      <w:pPr>
        <w:pStyle w:val="6"/>
        <w:keepNext w:val="0"/>
        <w:keepLines w:val="0"/>
        <w:pageBreakBefore w:val="0"/>
        <w:kinsoku/>
        <w:wordWrap/>
        <w:overflowPunct/>
        <w:topLinePunct w:val="0"/>
        <w:autoSpaceDE/>
        <w:autoSpaceDN/>
        <w:bidi w:val="0"/>
        <w:adjustRightInd/>
        <w:snapToGrid/>
        <w:spacing w:line="500" w:lineRule="exact"/>
        <w:ind w:firstLine="480"/>
        <w:jc w:val="left"/>
        <w:textAlignment w:val="auto"/>
        <w:rPr>
          <w:rFonts w:hint="eastAsia" w:ascii="宋体" w:hAnsi="宋体" w:eastAsia="宋体" w:cs="宋体"/>
          <w:sz w:val="24"/>
          <w:szCs w:val="24"/>
        </w:rPr>
      </w:pPr>
      <w:r>
        <w:rPr>
          <w:rFonts w:hint="eastAsia" w:ascii="宋体" w:hAnsi="宋体" w:eastAsia="宋体" w:cs="宋体"/>
          <w:color w:val="000000"/>
          <w:sz w:val="24"/>
          <w:szCs w:val="24"/>
        </w:rPr>
        <w:t>5.2中标人严格遵从软件工程规范，以及质量管理和质量保证标准中计算机软件质量管理和质量保证标准进行系统分析、设计、代码化和测试，从管理职责、质量体系、设计控制、文件和资料控制、项目实施控制、不合格品的控制、纠正和预防措施、质量记录的控制、内部质量审核、分析改进、实施培训、服务等多个方面对软件质量进行要求和系统管理。</w:t>
      </w:r>
    </w:p>
    <w:p w14:paraId="7DBC6899">
      <w:pPr>
        <w:pStyle w:val="6"/>
        <w:keepNext w:val="0"/>
        <w:keepLines w:val="0"/>
        <w:pageBreakBefore w:val="0"/>
        <w:kinsoku/>
        <w:wordWrap/>
        <w:overflowPunct/>
        <w:topLinePunct w:val="0"/>
        <w:autoSpaceDE/>
        <w:autoSpaceDN/>
        <w:bidi w:val="0"/>
        <w:adjustRightInd/>
        <w:snapToGrid/>
        <w:spacing w:line="500" w:lineRule="exact"/>
        <w:ind w:firstLine="480"/>
        <w:jc w:val="left"/>
        <w:textAlignment w:val="auto"/>
        <w:rPr>
          <w:rFonts w:hint="eastAsia" w:ascii="宋体" w:hAnsi="宋体" w:eastAsia="宋体" w:cs="宋体"/>
          <w:sz w:val="24"/>
          <w:szCs w:val="24"/>
        </w:rPr>
      </w:pPr>
      <w:r>
        <w:rPr>
          <w:rFonts w:hint="eastAsia" w:ascii="宋体" w:hAnsi="宋体" w:eastAsia="宋体" w:cs="宋体"/>
          <w:color w:val="000000"/>
          <w:sz w:val="24"/>
          <w:szCs w:val="24"/>
        </w:rPr>
        <w:t>6、系统集成</w:t>
      </w:r>
    </w:p>
    <w:p w14:paraId="3B34038A">
      <w:pPr>
        <w:pStyle w:val="6"/>
        <w:keepNext w:val="0"/>
        <w:keepLines w:val="0"/>
        <w:pageBreakBefore w:val="0"/>
        <w:kinsoku/>
        <w:wordWrap/>
        <w:overflowPunct/>
        <w:topLinePunct w:val="0"/>
        <w:autoSpaceDE/>
        <w:autoSpaceDN/>
        <w:bidi w:val="0"/>
        <w:adjustRightInd/>
        <w:snapToGrid/>
        <w:spacing w:line="500" w:lineRule="exact"/>
        <w:ind w:firstLine="480"/>
        <w:textAlignment w:val="auto"/>
        <w:rPr>
          <w:rFonts w:hint="eastAsia" w:ascii="宋体" w:hAnsi="宋体" w:eastAsia="宋体" w:cs="宋体"/>
          <w:sz w:val="24"/>
          <w:szCs w:val="24"/>
        </w:rPr>
      </w:pPr>
      <w:r>
        <w:rPr>
          <w:rFonts w:hint="eastAsia" w:ascii="宋体" w:hAnsi="宋体" w:eastAsia="宋体" w:cs="宋体"/>
          <w:color w:val="000000"/>
          <w:sz w:val="24"/>
          <w:szCs w:val="24"/>
        </w:rPr>
        <w:t>6.1中标人作为本项目的系统集成商，根据本项目要求完成系统总装集成及系统整体调试工作，保证项目各部分顺利实施，并确保整个系统的部署和稳定运行。</w:t>
      </w:r>
    </w:p>
    <w:p w14:paraId="4E2F8863">
      <w:pPr>
        <w:pStyle w:val="6"/>
        <w:keepNext w:val="0"/>
        <w:keepLines w:val="0"/>
        <w:pageBreakBefore w:val="0"/>
        <w:kinsoku/>
        <w:wordWrap/>
        <w:overflowPunct/>
        <w:topLinePunct w:val="0"/>
        <w:autoSpaceDE/>
        <w:autoSpaceDN/>
        <w:bidi w:val="0"/>
        <w:adjustRightInd/>
        <w:snapToGrid/>
        <w:spacing w:line="500" w:lineRule="exact"/>
        <w:ind w:firstLine="480"/>
        <w:textAlignment w:val="auto"/>
        <w:rPr>
          <w:rFonts w:hint="eastAsia" w:ascii="宋体" w:hAnsi="宋体" w:eastAsia="宋体" w:cs="宋体"/>
          <w:sz w:val="24"/>
          <w:szCs w:val="24"/>
        </w:rPr>
      </w:pPr>
      <w:r>
        <w:rPr>
          <w:rFonts w:hint="eastAsia" w:ascii="宋体" w:hAnsi="宋体" w:eastAsia="宋体" w:cs="宋体"/>
          <w:color w:val="000000"/>
          <w:sz w:val="24"/>
          <w:szCs w:val="24"/>
        </w:rPr>
        <w:t>6.2系统集成内容应当包括但不限于交货、安装调试、测试、试运行、完工开通等。</w:t>
      </w:r>
    </w:p>
    <w:p w14:paraId="0C49AB7B">
      <w:pPr>
        <w:pStyle w:val="6"/>
        <w:keepNext w:val="0"/>
        <w:keepLines w:val="0"/>
        <w:pageBreakBefore w:val="0"/>
        <w:kinsoku/>
        <w:wordWrap/>
        <w:overflowPunct/>
        <w:topLinePunct w:val="0"/>
        <w:autoSpaceDE/>
        <w:autoSpaceDN/>
        <w:bidi w:val="0"/>
        <w:adjustRightInd/>
        <w:snapToGrid/>
        <w:spacing w:line="500" w:lineRule="exact"/>
        <w:ind w:firstLine="480"/>
        <w:textAlignment w:val="auto"/>
        <w:rPr>
          <w:rFonts w:hint="eastAsia" w:ascii="宋体" w:hAnsi="宋体" w:eastAsia="宋体" w:cs="宋体"/>
          <w:sz w:val="24"/>
          <w:szCs w:val="24"/>
        </w:rPr>
      </w:pPr>
      <w:r>
        <w:rPr>
          <w:rFonts w:hint="eastAsia" w:ascii="宋体" w:hAnsi="宋体" w:eastAsia="宋体" w:cs="宋体"/>
          <w:color w:val="000000"/>
          <w:sz w:val="24"/>
          <w:szCs w:val="24"/>
        </w:rPr>
        <w:t>6.3中标人应负责本项目各平台之间、业务之间、系统之间的协调、总装联调联试的工作。</w:t>
      </w:r>
    </w:p>
    <w:p w14:paraId="67BDD73F">
      <w:pPr>
        <w:pStyle w:val="6"/>
        <w:keepNext w:val="0"/>
        <w:keepLines w:val="0"/>
        <w:pageBreakBefore w:val="0"/>
        <w:kinsoku/>
        <w:wordWrap/>
        <w:overflowPunct/>
        <w:topLinePunct w:val="0"/>
        <w:autoSpaceDE/>
        <w:autoSpaceDN/>
        <w:bidi w:val="0"/>
        <w:adjustRightInd/>
        <w:snapToGrid/>
        <w:spacing w:line="500" w:lineRule="exact"/>
        <w:ind w:firstLine="480"/>
        <w:textAlignment w:val="auto"/>
        <w:rPr>
          <w:rFonts w:hint="eastAsia" w:ascii="宋体" w:hAnsi="宋体" w:eastAsia="宋体" w:cs="宋体"/>
          <w:sz w:val="24"/>
          <w:szCs w:val="24"/>
        </w:rPr>
      </w:pPr>
      <w:r>
        <w:rPr>
          <w:rFonts w:hint="eastAsia" w:ascii="宋体" w:hAnsi="宋体" w:eastAsia="宋体" w:cs="宋体"/>
          <w:color w:val="000000"/>
          <w:sz w:val="24"/>
          <w:szCs w:val="24"/>
        </w:rPr>
        <w:t>6.4中标人应进行专门的数据库调优，整体上大幅度提升系统性能。</w:t>
      </w:r>
    </w:p>
    <w:p w14:paraId="1FFBD3BD">
      <w:pPr>
        <w:pStyle w:val="6"/>
        <w:keepNext w:val="0"/>
        <w:keepLines w:val="0"/>
        <w:pageBreakBefore w:val="0"/>
        <w:kinsoku/>
        <w:wordWrap/>
        <w:overflowPunct/>
        <w:topLinePunct w:val="0"/>
        <w:autoSpaceDE/>
        <w:autoSpaceDN/>
        <w:bidi w:val="0"/>
        <w:adjustRightInd/>
        <w:snapToGrid/>
        <w:spacing w:line="500" w:lineRule="exact"/>
        <w:ind w:firstLine="480"/>
        <w:textAlignment w:val="auto"/>
        <w:rPr>
          <w:rFonts w:hint="eastAsia" w:ascii="宋体" w:hAnsi="宋体" w:eastAsia="宋体" w:cs="宋体"/>
          <w:sz w:val="24"/>
          <w:szCs w:val="24"/>
        </w:rPr>
      </w:pPr>
      <w:r>
        <w:rPr>
          <w:rFonts w:hint="eastAsia" w:ascii="宋体" w:hAnsi="宋体" w:eastAsia="宋体" w:cs="宋体"/>
          <w:color w:val="000000"/>
          <w:sz w:val="24"/>
          <w:szCs w:val="24"/>
        </w:rPr>
        <w:t>6.5所有中标人提供的系统集成服务，包括安装、调测、验收等工作所需费用均包含在投标总价中。</w:t>
      </w:r>
    </w:p>
    <w:p w14:paraId="1943D459">
      <w:pPr>
        <w:pStyle w:val="6"/>
        <w:keepNext w:val="0"/>
        <w:keepLines w:val="0"/>
        <w:pageBreakBefore w:val="0"/>
        <w:kinsoku/>
        <w:wordWrap/>
        <w:overflowPunct/>
        <w:topLinePunct w:val="0"/>
        <w:autoSpaceDE/>
        <w:autoSpaceDN/>
        <w:bidi w:val="0"/>
        <w:adjustRightInd/>
        <w:snapToGrid/>
        <w:spacing w:line="500" w:lineRule="exact"/>
        <w:ind w:firstLine="480"/>
        <w:jc w:val="left"/>
        <w:textAlignment w:val="auto"/>
        <w:rPr>
          <w:rFonts w:hint="eastAsia" w:ascii="宋体" w:hAnsi="宋体" w:eastAsia="宋体" w:cs="宋体"/>
          <w:sz w:val="24"/>
          <w:szCs w:val="24"/>
        </w:rPr>
      </w:pPr>
      <w:r>
        <w:rPr>
          <w:rFonts w:hint="eastAsia" w:ascii="宋体" w:hAnsi="宋体" w:eastAsia="宋体" w:cs="宋体"/>
          <w:color w:val="000000"/>
          <w:sz w:val="24"/>
          <w:szCs w:val="24"/>
        </w:rPr>
        <w:t>7、安装调试与部署</w:t>
      </w:r>
    </w:p>
    <w:p w14:paraId="337F830A">
      <w:pPr>
        <w:pStyle w:val="6"/>
        <w:keepNext w:val="0"/>
        <w:keepLines w:val="0"/>
        <w:pageBreakBefore w:val="0"/>
        <w:kinsoku/>
        <w:wordWrap/>
        <w:overflowPunct/>
        <w:topLinePunct w:val="0"/>
        <w:autoSpaceDE/>
        <w:autoSpaceDN/>
        <w:bidi w:val="0"/>
        <w:adjustRightInd/>
        <w:snapToGrid/>
        <w:spacing w:line="500" w:lineRule="exact"/>
        <w:ind w:firstLine="480"/>
        <w:textAlignment w:val="auto"/>
        <w:rPr>
          <w:rFonts w:hint="eastAsia" w:ascii="宋体" w:hAnsi="宋体" w:eastAsia="宋体" w:cs="宋体"/>
          <w:sz w:val="24"/>
          <w:szCs w:val="24"/>
        </w:rPr>
      </w:pPr>
      <w:r>
        <w:rPr>
          <w:rFonts w:hint="eastAsia" w:ascii="宋体" w:hAnsi="宋体" w:eastAsia="宋体" w:cs="宋体"/>
          <w:color w:val="000000"/>
          <w:sz w:val="24"/>
          <w:szCs w:val="24"/>
        </w:rPr>
        <w:t>7.1本项目安装调测及项目系统开通全部由中标人负责，采购人予以协助配合。</w:t>
      </w:r>
    </w:p>
    <w:p w14:paraId="58E7E76A">
      <w:pPr>
        <w:pStyle w:val="6"/>
        <w:keepNext w:val="0"/>
        <w:keepLines w:val="0"/>
        <w:pageBreakBefore w:val="0"/>
        <w:kinsoku/>
        <w:wordWrap/>
        <w:overflowPunct/>
        <w:topLinePunct w:val="0"/>
        <w:autoSpaceDE/>
        <w:autoSpaceDN/>
        <w:bidi w:val="0"/>
        <w:adjustRightInd/>
        <w:snapToGrid/>
        <w:spacing w:line="500" w:lineRule="exact"/>
        <w:ind w:firstLine="480"/>
        <w:textAlignment w:val="auto"/>
        <w:rPr>
          <w:rFonts w:hint="eastAsia" w:ascii="宋体" w:hAnsi="宋体" w:eastAsia="宋体" w:cs="宋体"/>
          <w:sz w:val="24"/>
          <w:szCs w:val="24"/>
        </w:rPr>
      </w:pPr>
      <w:r>
        <w:rPr>
          <w:rFonts w:hint="eastAsia" w:ascii="宋体" w:hAnsi="宋体" w:eastAsia="宋体" w:cs="宋体"/>
          <w:color w:val="000000"/>
          <w:sz w:val="24"/>
          <w:szCs w:val="24"/>
        </w:rPr>
        <w:t>7.2中标人负责对施工地点进行现场勘察，提供工程施工和相关技术资料，并负责指导采购人人员掌握和使用这些技术资料。</w:t>
      </w:r>
    </w:p>
    <w:p w14:paraId="226D227E">
      <w:pPr>
        <w:pStyle w:val="6"/>
        <w:keepNext w:val="0"/>
        <w:keepLines w:val="0"/>
        <w:pageBreakBefore w:val="0"/>
        <w:kinsoku/>
        <w:wordWrap/>
        <w:overflowPunct/>
        <w:topLinePunct w:val="0"/>
        <w:autoSpaceDE/>
        <w:autoSpaceDN/>
        <w:bidi w:val="0"/>
        <w:adjustRightInd/>
        <w:snapToGrid/>
        <w:spacing w:line="500" w:lineRule="exact"/>
        <w:ind w:firstLine="480"/>
        <w:textAlignment w:val="auto"/>
        <w:rPr>
          <w:rFonts w:hint="eastAsia" w:ascii="宋体" w:hAnsi="宋体" w:eastAsia="宋体" w:cs="宋体"/>
          <w:sz w:val="24"/>
          <w:szCs w:val="24"/>
        </w:rPr>
      </w:pPr>
      <w:r>
        <w:rPr>
          <w:rFonts w:hint="eastAsia" w:ascii="宋体" w:hAnsi="宋体" w:eastAsia="宋体" w:cs="宋体"/>
          <w:color w:val="000000"/>
          <w:sz w:val="24"/>
          <w:szCs w:val="24"/>
        </w:rPr>
        <w:t>7.3安装调测时使用的工具、设备由中标人提供，通用工具由采购人协助解决。施工过程中产生的零星耗材（如网线、跳线材料等）相关费用由中标人自行承担。</w:t>
      </w:r>
    </w:p>
    <w:p w14:paraId="4044EFD1">
      <w:pPr>
        <w:pStyle w:val="6"/>
        <w:keepNext w:val="0"/>
        <w:keepLines w:val="0"/>
        <w:pageBreakBefore w:val="0"/>
        <w:kinsoku/>
        <w:wordWrap/>
        <w:overflowPunct/>
        <w:topLinePunct w:val="0"/>
        <w:autoSpaceDE/>
        <w:autoSpaceDN/>
        <w:bidi w:val="0"/>
        <w:adjustRightInd/>
        <w:snapToGrid/>
        <w:spacing w:line="500" w:lineRule="exact"/>
        <w:ind w:firstLine="480"/>
        <w:textAlignment w:val="auto"/>
        <w:rPr>
          <w:rFonts w:hint="eastAsia" w:ascii="宋体" w:hAnsi="宋体" w:eastAsia="宋体" w:cs="宋体"/>
          <w:sz w:val="24"/>
          <w:szCs w:val="24"/>
        </w:rPr>
      </w:pPr>
      <w:r>
        <w:rPr>
          <w:rFonts w:hint="eastAsia" w:ascii="宋体" w:hAnsi="宋体" w:eastAsia="宋体" w:cs="宋体"/>
          <w:color w:val="000000"/>
          <w:sz w:val="24"/>
          <w:szCs w:val="24"/>
        </w:rPr>
        <w:t>7.4中标人调试前应提出完整的调试计划并经采购人确认，包括调试的内容、项目、指标、方法和进度，并提供相应的仪器和工具。中标人有责任对采购人的技术人员提出的问题作出解答。调试应进行详细记录，系统调试结束后，由中标人技术人员签字后交给采购人验收。</w:t>
      </w:r>
    </w:p>
    <w:p w14:paraId="207033EC">
      <w:pPr>
        <w:pStyle w:val="6"/>
        <w:keepNext w:val="0"/>
        <w:keepLines w:val="0"/>
        <w:pageBreakBefore w:val="0"/>
        <w:kinsoku/>
        <w:wordWrap/>
        <w:overflowPunct/>
        <w:topLinePunct w:val="0"/>
        <w:autoSpaceDE/>
        <w:autoSpaceDN/>
        <w:bidi w:val="0"/>
        <w:adjustRightInd/>
        <w:snapToGrid/>
        <w:spacing w:line="500" w:lineRule="exact"/>
        <w:ind w:firstLine="480"/>
        <w:textAlignment w:val="auto"/>
        <w:rPr>
          <w:rFonts w:hint="eastAsia" w:ascii="宋体" w:hAnsi="宋体" w:eastAsia="宋体" w:cs="宋体"/>
          <w:sz w:val="24"/>
          <w:szCs w:val="24"/>
        </w:rPr>
      </w:pPr>
      <w:r>
        <w:rPr>
          <w:rFonts w:hint="eastAsia" w:ascii="宋体" w:hAnsi="宋体" w:eastAsia="宋体" w:cs="宋体"/>
          <w:color w:val="000000"/>
          <w:sz w:val="24"/>
          <w:szCs w:val="24"/>
        </w:rPr>
        <w:t>7.5在安装工作开始前，中标人应提供相关的安装技术资料、规范。</w:t>
      </w:r>
    </w:p>
    <w:p w14:paraId="52C056CC">
      <w:pPr>
        <w:pStyle w:val="6"/>
        <w:keepNext w:val="0"/>
        <w:keepLines w:val="0"/>
        <w:pageBreakBefore w:val="0"/>
        <w:kinsoku/>
        <w:wordWrap/>
        <w:overflowPunct/>
        <w:topLinePunct w:val="0"/>
        <w:autoSpaceDE/>
        <w:autoSpaceDN/>
        <w:bidi w:val="0"/>
        <w:adjustRightInd/>
        <w:snapToGrid/>
        <w:spacing w:line="500" w:lineRule="exact"/>
        <w:ind w:firstLine="480"/>
        <w:textAlignment w:val="auto"/>
        <w:rPr>
          <w:rFonts w:hint="eastAsia" w:ascii="宋体" w:hAnsi="宋体" w:eastAsia="宋体" w:cs="宋体"/>
          <w:sz w:val="24"/>
          <w:szCs w:val="24"/>
        </w:rPr>
      </w:pPr>
      <w:r>
        <w:rPr>
          <w:rFonts w:hint="eastAsia" w:ascii="宋体" w:hAnsi="宋体" w:eastAsia="宋体" w:cs="宋体"/>
          <w:color w:val="000000"/>
          <w:sz w:val="24"/>
          <w:szCs w:val="24"/>
        </w:rPr>
        <w:t>7.6中标人在产品部署完毕或进行重大维护后，向采购人提交一份完整诊断表，提供使整套产品能够顺利安装调试及投入运行的所有服务。</w:t>
      </w:r>
    </w:p>
    <w:p w14:paraId="3061074F">
      <w:pPr>
        <w:pStyle w:val="6"/>
        <w:keepNext w:val="0"/>
        <w:keepLines w:val="0"/>
        <w:pageBreakBefore w:val="0"/>
        <w:kinsoku/>
        <w:wordWrap/>
        <w:overflowPunct/>
        <w:topLinePunct w:val="0"/>
        <w:autoSpaceDE/>
        <w:autoSpaceDN/>
        <w:bidi w:val="0"/>
        <w:adjustRightInd/>
        <w:snapToGrid/>
        <w:spacing w:line="500" w:lineRule="exact"/>
        <w:ind w:firstLine="480"/>
        <w:textAlignment w:val="auto"/>
        <w:rPr>
          <w:rFonts w:hint="eastAsia" w:ascii="宋体" w:hAnsi="宋体" w:eastAsia="宋体" w:cs="宋体"/>
          <w:sz w:val="24"/>
          <w:szCs w:val="24"/>
        </w:rPr>
      </w:pPr>
      <w:r>
        <w:rPr>
          <w:rFonts w:hint="eastAsia" w:ascii="宋体" w:hAnsi="宋体" w:eastAsia="宋体" w:cs="宋体"/>
          <w:color w:val="000000"/>
          <w:sz w:val="24"/>
          <w:szCs w:val="24"/>
        </w:rPr>
        <w:t>7.7中标人应提供系统软硬件安装调试与部署时所需的所有工程和技术资料，中标人有责任在保证安全和质量的前提下提供技术服务，包括：技术咨询、技术资料、技术说明书、使用说明书、维护说明书等。</w:t>
      </w:r>
    </w:p>
    <w:p w14:paraId="23951DDA">
      <w:pPr>
        <w:pStyle w:val="6"/>
        <w:keepNext w:val="0"/>
        <w:keepLines w:val="0"/>
        <w:pageBreakBefore w:val="0"/>
        <w:kinsoku/>
        <w:wordWrap/>
        <w:overflowPunct/>
        <w:topLinePunct w:val="0"/>
        <w:autoSpaceDE/>
        <w:autoSpaceDN/>
        <w:bidi w:val="0"/>
        <w:adjustRightInd/>
        <w:snapToGrid/>
        <w:spacing w:line="500" w:lineRule="exact"/>
        <w:ind w:firstLine="480"/>
        <w:textAlignment w:val="auto"/>
        <w:rPr>
          <w:rFonts w:hint="eastAsia" w:ascii="宋体" w:hAnsi="宋体" w:eastAsia="宋体" w:cs="宋体"/>
          <w:sz w:val="24"/>
          <w:szCs w:val="24"/>
        </w:rPr>
      </w:pPr>
      <w:r>
        <w:rPr>
          <w:rFonts w:hint="eastAsia" w:ascii="宋体" w:hAnsi="宋体" w:eastAsia="宋体" w:cs="宋体"/>
          <w:color w:val="000000"/>
          <w:sz w:val="24"/>
          <w:szCs w:val="24"/>
        </w:rPr>
        <w:t>7.8在系统调测期间，采购人有权派出技术人员参加，中标人有义务对其进行指导。</w:t>
      </w:r>
    </w:p>
    <w:p w14:paraId="7C5A24D7">
      <w:pPr>
        <w:pStyle w:val="6"/>
        <w:keepNext w:val="0"/>
        <w:keepLines w:val="0"/>
        <w:pageBreakBefore w:val="0"/>
        <w:kinsoku/>
        <w:wordWrap/>
        <w:overflowPunct/>
        <w:topLinePunct w:val="0"/>
        <w:autoSpaceDE/>
        <w:autoSpaceDN/>
        <w:bidi w:val="0"/>
        <w:adjustRightInd/>
        <w:snapToGrid/>
        <w:spacing w:line="500" w:lineRule="exact"/>
        <w:ind w:firstLine="480"/>
        <w:textAlignment w:val="auto"/>
        <w:rPr>
          <w:rFonts w:hint="eastAsia" w:ascii="宋体" w:hAnsi="宋体" w:eastAsia="宋体" w:cs="宋体"/>
          <w:sz w:val="24"/>
          <w:szCs w:val="24"/>
        </w:rPr>
      </w:pPr>
      <w:r>
        <w:rPr>
          <w:rFonts w:hint="eastAsia" w:ascii="宋体" w:hAnsi="宋体" w:eastAsia="宋体" w:cs="宋体"/>
          <w:color w:val="000000"/>
          <w:sz w:val="24"/>
          <w:szCs w:val="24"/>
        </w:rPr>
        <w:t>7.9中标人应提供实用齐全的全套技术资料，包括：维护命令手册、测试手册、说明书、产品资料等。系统开通后，如发生软件升级、扩展等有关情况，中标人应向采购人提供必要的技术资料。</w:t>
      </w:r>
    </w:p>
    <w:p w14:paraId="612CDC5F">
      <w:pPr>
        <w:pStyle w:val="6"/>
        <w:keepNext w:val="0"/>
        <w:keepLines w:val="0"/>
        <w:pageBreakBefore w:val="0"/>
        <w:kinsoku/>
        <w:wordWrap/>
        <w:overflowPunct/>
        <w:topLinePunct w:val="0"/>
        <w:autoSpaceDE/>
        <w:autoSpaceDN/>
        <w:bidi w:val="0"/>
        <w:adjustRightInd/>
        <w:snapToGrid/>
        <w:spacing w:line="500" w:lineRule="exact"/>
        <w:ind w:firstLine="480"/>
        <w:textAlignment w:val="auto"/>
        <w:rPr>
          <w:rFonts w:hint="eastAsia" w:ascii="宋体" w:hAnsi="宋体" w:eastAsia="宋体" w:cs="宋体"/>
          <w:sz w:val="24"/>
          <w:szCs w:val="24"/>
        </w:rPr>
      </w:pPr>
      <w:r>
        <w:rPr>
          <w:rFonts w:hint="eastAsia" w:ascii="宋体" w:hAnsi="宋体" w:eastAsia="宋体" w:cs="宋体"/>
          <w:color w:val="000000"/>
          <w:sz w:val="24"/>
          <w:szCs w:val="24"/>
        </w:rPr>
        <w:t>7.10为确保项目顺利实施，中标人应完全理解并同意，在项目初期采购人指定机房可能尚未具备部署条件，届时，中标人需根据采购人现有环境制定详细的过渡性部署方案，并报采购人审核确认后实施。过渡性部署方案应确保系统稳定运行，并满足医院日常业务需求。在新机房环境准备就绪后，中标人需随时配合采购人完成系统迁移工作，包括但不限于：制定详细的系统迁移方案，完成数据迁移、系统部署、配置调试等工作，系统迁移过程中，中标人应采取一切合理措施确保数据安全和业务连续性，最大限度减少对医院业务的影响。系统迁移过程中产生的所有费用由中标人承担。</w:t>
      </w:r>
    </w:p>
    <w:p w14:paraId="03DB470F">
      <w:pPr>
        <w:pStyle w:val="6"/>
        <w:keepNext w:val="0"/>
        <w:keepLines w:val="0"/>
        <w:pageBreakBefore w:val="0"/>
        <w:kinsoku/>
        <w:wordWrap/>
        <w:overflowPunct/>
        <w:topLinePunct w:val="0"/>
        <w:autoSpaceDE/>
        <w:autoSpaceDN/>
        <w:bidi w:val="0"/>
        <w:adjustRightInd/>
        <w:snapToGrid/>
        <w:spacing w:line="500" w:lineRule="exact"/>
        <w:ind w:firstLine="480"/>
        <w:textAlignment w:val="auto"/>
        <w:rPr>
          <w:rFonts w:hint="eastAsia" w:ascii="宋体" w:hAnsi="宋体" w:eastAsia="宋体" w:cs="宋体"/>
          <w:sz w:val="24"/>
          <w:szCs w:val="24"/>
        </w:rPr>
      </w:pPr>
      <w:r>
        <w:rPr>
          <w:rFonts w:hint="eastAsia" w:ascii="宋体" w:hAnsi="宋体" w:eastAsia="宋体" w:cs="宋体"/>
          <w:color w:val="000000"/>
          <w:sz w:val="24"/>
          <w:szCs w:val="24"/>
        </w:rPr>
        <w:t>7.11项目运维期内，若采购人主机房位置变更，中标人应无偿配合采购人及机房搬迁人完成相关工作，包括但不限于应用数据迁移、系统部署、配置调试等工作，确保过程数据安全和业务连续性，由此产生的费用均由中标人承担，并已包含在项目报价中。</w:t>
      </w:r>
    </w:p>
    <w:p w14:paraId="4B8FC5B9">
      <w:pPr>
        <w:pStyle w:val="6"/>
        <w:keepNext w:val="0"/>
        <w:keepLines w:val="0"/>
        <w:pageBreakBefore w:val="0"/>
        <w:kinsoku/>
        <w:wordWrap/>
        <w:overflowPunct/>
        <w:topLinePunct w:val="0"/>
        <w:autoSpaceDE/>
        <w:autoSpaceDN/>
        <w:bidi w:val="0"/>
        <w:adjustRightInd/>
        <w:snapToGrid/>
        <w:spacing w:line="500" w:lineRule="exact"/>
        <w:ind w:firstLine="480"/>
        <w:jc w:val="left"/>
        <w:textAlignment w:val="auto"/>
        <w:rPr>
          <w:rFonts w:hint="eastAsia" w:ascii="宋体" w:hAnsi="宋体" w:eastAsia="宋体" w:cs="宋体"/>
          <w:sz w:val="24"/>
          <w:szCs w:val="24"/>
        </w:rPr>
      </w:pPr>
      <w:r>
        <w:rPr>
          <w:rFonts w:hint="eastAsia" w:ascii="宋体" w:hAnsi="宋体" w:eastAsia="宋体" w:cs="宋体"/>
          <w:color w:val="000000"/>
          <w:sz w:val="24"/>
          <w:szCs w:val="24"/>
        </w:rPr>
        <w:t>8、测试与验收</w:t>
      </w:r>
    </w:p>
    <w:p w14:paraId="2BB3685F">
      <w:pPr>
        <w:pStyle w:val="6"/>
        <w:keepNext w:val="0"/>
        <w:keepLines w:val="0"/>
        <w:pageBreakBefore w:val="0"/>
        <w:kinsoku/>
        <w:wordWrap/>
        <w:overflowPunct/>
        <w:topLinePunct w:val="0"/>
        <w:autoSpaceDE/>
        <w:autoSpaceDN/>
        <w:bidi w:val="0"/>
        <w:adjustRightInd/>
        <w:snapToGrid/>
        <w:spacing w:line="500" w:lineRule="exact"/>
        <w:ind w:firstLine="480"/>
        <w:textAlignment w:val="auto"/>
        <w:rPr>
          <w:rFonts w:hint="eastAsia" w:ascii="宋体" w:hAnsi="宋体" w:eastAsia="宋体" w:cs="宋体"/>
          <w:sz w:val="24"/>
          <w:szCs w:val="24"/>
        </w:rPr>
      </w:pPr>
      <w:r>
        <w:rPr>
          <w:rFonts w:hint="eastAsia" w:ascii="宋体" w:hAnsi="宋体" w:eastAsia="宋体" w:cs="宋体"/>
          <w:color w:val="000000"/>
          <w:sz w:val="24"/>
          <w:szCs w:val="24"/>
        </w:rPr>
        <w:t>8.1系统达到招标文件规定的指标后，可进行测试与验收。</w:t>
      </w:r>
    </w:p>
    <w:p w14:paraId="1DDA0703">
      <w:pPr>
        <w:pStyle w:val="6"/>
        <w:keepNext w:val="0"/>
        <w:keepLines w:val="0"/>
        <w:pageBreakBefore w:val="0"/>
        <w:kinsoku/>
        <w:wordWrap/>
        <w:overflowPunct/>
        <w:topLinePunct w:val="0"/>
        <w:autoSpaceDE/>
        <w:autoSpaceDN/>
        <w:bidi w:val="0"/>
        <w:adjustRightInd/>
        <w:snapToGrid/>
        <w:spacing w:line="500" w:lineRule="exact"/>
        <w:ind w:firstLine="480"/>
        <w:textAlignment w:val="auto"/>
        <w:rPr>
          <w:rFonts w:hint="eastAsia" w:ascii="宋体" w:hAnsi="宋体" w:eastAsia="宋体" w:cs="宋体"/>
          <w:sz w:val="24"/>
          <w:szCs w:val="24"/>
        </w:rPr>
      </w:pPr>
      <w:r>
        <w:rPr>
          <w:rFonts w:hint="eastAsia" w:ascii="宋体" w:hAnsi="宋体" w:eastAsia="宋体" w:cs="宋体"/>
          <w:color w:val="000000"/>
          <w:sz w:val="24"/>
          <w:szCs w:val="24"/>
        </w:rPr>
        <w:t>8.2中标人应提供系统的性能测试报告和相关的压力测试报告，进行相关测试并经采购人及监理单位认可后方可上线。</w:t>
      </w:r>
    </w:p>
    <w:p w14:paraId="0313D758">
      <w:pPr>
        <w:pStyle w:val="6"/>
        <w:keepNext w:val="0"/>
        <w:keepLines w:val="0"/>
        <w:pageBreakBefore w:val="0"/>
        <w:kinsoku/>
        <w:wordWrap/>
        <w:overflowPunct/>
        <w:topLinePunct w:val="0"/>
        <w:autoSpaceDE/>
        <w:autoSpaceDN/>
        <w:bidi w:val="0"/>
        <w:adjustRightInd/>
        <w:snapToGrid/>
        <w:spacing w:line="500" w:lineRule="exact"/>
        <w:ind w:firstLine="480"/>
        <w:textAlignment w:val="auto"/>
        <w:rPr>
          <w:rFonts w:hint="eastAsia" w:ascii="宋体" w:hAnsi="宋体" w:eastAsia="宋体" w:cs="宋体"/>
          <w:sz w:val="24"/>
          <w:szCs w:val="24"/>
        </w:rPr>
      </w:pPr>
      <w:r>
        <w:rPr>
          <w:rFonts w:hint="eastAsia" w:ascii="宋体" w:hAnsi="宋体" w:eastAsia="宋体" w:cs="宋体"/>
          <w:color w:val="000000"/>
          <w:sz w:val="24"/>
          <w:szCs w:val="24"/>
        </w:rPr>
        <w:t>8.3测试方案(包括项目、指标、方式、步骤、测试仪器和测试工具软件等)应由中标人提前15天提交给采购人，中标人拟定的测试方案应具体到每一个测试步骤，测试内容至少包括单元模块、整体测试、用户接受性测试、性能测试和压力测试等。采购人可根据实际需求对测试方案要求进行修改和补充，也可与监理单位进行讨论确定。经双方确认形成正式的测试方案并签署后，中标人方可按方案进行测试。</w:t>
      </w:r>
    </w:p>
    <w:p w14:paraId="34E89F35">
      <w:pPr>
        <w:pStyle w:val="6"/>
        <w:keepNext w:val="0"/>
        <w:keepLines w:val="0"/>
        <w:pageBreakBefore w:val="0"/>
        <w:kinsoku/>
        <w:wordWrap/>
        <w:overflowPunct/>
        <w:topLinePunct w:val="0"/>
        <w:autoSpaceDE/>
        <w:autoSpaceDN/>
        <w:bidi w:val="0"/>
        <w:adjustRightInd/>
        <w:snapToGrid/>
        <w:spacing w:line="500" w:lineRule="exact"/>
        <w:ind w:firstLine="480"/>
        <w:textAlignment w:val="auto"/>
        <w:rPr>
          <w:rFonts w:hint="eastAsia" w:ascii="宋体" w:hAnsi="宋体" w:eastAsia="宋体" w:cs="宋体"/>
          <w:sz w:val="24"/>
          <w:szCs w:val="24"/>
        </w:rPr>
      </w:pPr>
      <w:r>
        <w:rPr>
          <w:rFonts w:hint="eastAsia" w:ascii="宋体" w:hAnsi="宋体" w:eastAsia="宋体" w:cs="宋体"/>
          <w:color w:val="000000"/>
          <w:sz w:val="24"/>
          <w:szCs w:val="24"/>
        </w:rPr>
        <w:t>8.4在严格的系统测试后，测试结果显示系统的质量和稳定性达到要求时，中标人应向采购人提供汇总的测试记录和全套最新的软件。</w:t>
      </w:r>
    </w:p>
    <w:p w14:paraId="219085A0">
      <w:pPr>
        <w:pStyle w:val="6"/>
        <w:keepNext w:val="0"/>
        <w:keepLines w:val="0"/>
        <w:pageBreakBefore w:val="0"/>
        <w:kinsoku/>
        <w:wordWrap/>
        <w:overflowPunct/>
        <w:topLinePunct w:val="0"/>
        <w:autoSpaceDE/>
        <w:autoSpaceDN/>
        <w:bidi w:val="0"/>
        <w:adjustRightInd/>
        <w:snapToGrid/>
        <w:spacing w:line="500" w:lineRule="exact"/>
        <w:ind w:firstLine="480"/>
        <w:textAlignment w:val="auto"/>
        <w:rPr>
          <w:rFonts w:hint="eastAsia" w:ascii="宋体" w:hAnsi="宋体" w:eastAsia="宋体" w:cs="宋体"/>
          <w:sz w:val="24"/>
          <w:szCs w:val="24"/>
        </w:rPr>
      </w:pPr>
      <w:r>
        <w:rPr>
          <w:rFonts w:hint="eastAsia" w:ascii="宋体" w:hAnsi="宋体" w:eastAsia="宋体" w:cs="宋体"/>
          <w:color w:val="000000"/>
          <w:sz w:val="24"/>
          <w:szCs w:val="24"/>
        </w:rPr>
        <w:t>系统试运行期内，中标人应向采购人提供系统软件升级服务，如系统投入使用后采购人原有业务发生改变时，中标人应提供软件升级、修改和维护。此项费用包含在投标总价中。中标人视自身能力在投标文件中可提供更优、更合理的售后服务承诺。</w:t>
      </w:r>
    </w:p>
    <w:p w14:paraId="736EBE39">
      <w:pPr>
        <w:pStyle w:val="6"/>
        <w:keepNext w:val="0"/>
        <w:keepLines w:val="0"/>
        <w:pageBreakBefore w:val="0"/>
        <w:kinsoku/>
        <w:wordWrap/>
        <w:overflowPunct/>
        <w:topLinePunct w:val="0"/>
        <w:autoSpaceDE/>
        <w:autoSpaceDN/>
        <w:bidi w:val="0"/>
        <w:adjustRightInd/>
        <w:snapToGrid/>
        <w:spacing w:line="500" w:lineRule="exact"/>
        <w:ind w:firstLine="480"/>
        <w:jc w:val="left"/>
        <w:textAlignment w:val="auto"/>
        <w:rPr>
          <w:rFonts w:hint="eastAsia" w:ascii="宋体" w:hAnsi="宋体" w:eastAsia="宋体" w:cs="宋体"/>
          <w:sz w:val="24"/>
          <w:szCs w:val="24"/>
        </w:rPr>
      </w:pPr>
      <w:r>
        <w:rPr>
          <w:rFonts w:hint="eastAsia" w:ascii="宋体" w:hAnsi="宋体" w:eastAsia="宋体" w:cs="宋体"/>
          <w:color w:val="000000"/>
          <w:sz w:val="24"/>
          <w:szCs w:val="24"/>
        </w:rPr>
        <w:t>8.5项目通过初验后进行3个月试运行，连续无故障试运行3个月后，项目在全部达到要求时，采购人认可后，中标人向采购人提出竣工验收申请及全部相关文档；试运行期间，中标人应有专业技术人员进行现场技术支持及技术培训，出现的任何系统问题，应由中标人及时处理解决。在试运行期间，由于应用软件质量、性能等造成某些指标达不到要求，允许中标人更换、修复、修改等，直至连续无故障试运行3个月。在全部达到采购人要求时，签署最终完工验收文件。</w:t>
      </w:r>
    </w:p>
    <w:p w14:paraId="291D937F">
      <w:pPr>
        <w:pStyle w:val="6"/>
        <w:keepNext w:val="0"/>
        <w:keepLines w:val="0"/>
        <w:pageBreakBefore w:val="0"/>
        <w:kinsoku/>
        <w:wordWrap/>
        <w:overflowPunct/>
        <w:topLinePunct w:val="0"/>
        <w:autoSpaceDE/>
        <w:autoSpaceDN/>
        <w:bidi w:val="0"/>
        <w:adjustRightInd/>
        <w:snapToGrid/>
        <w:spacing w:line="500" w:lineRule="exact"/>
        <w:ind w:firstLine="480"/>
        <w:textAlignment w:val="auto"/>
        <w:rPr>
          <w:rFonts w:hint="eastAsia" w:ascii="宋体" w:hAnsi="宋体" w:eastAsia="宋体" w:cs="宋体"/>
          <w:sz w:val="24"/>
          <w:szCs w:val="24"/>
        </w:rPr>
      </w:pPr>
      <w:r>
        <w:rPr>
          <w:rFonts w:hint="eastAsia" w:ascii="宋体" w:hAnsi="宋体" w:eastAsia="宋体" w:cs="宋体"/>
          <w:color w:val="000000"/>
          <w:sz w:val="24"/>
          <w:szCs w:val="24"/>
        </w:rPr>
        <w:t>8.6项目终验前，中标人须按要求提供信创符合性测试报告，确保在基础硬件、基础软件、关键部件、应用软件、信息安全都符合信创的要求。</w:t>
      </w:r>
    </w:p>
    <w:p w14:paraId="0B89AB50">
      <w:pPr>
        <w:pStyle w:val="6"/>
        <w:keepNext w:val="0"/>
        <w:keepLines w:val="0"/>
        <w:pageBreakBefore w:val="0"/>
        <w:kinsoku/>
        <w:wordWrap/>
        <w:overflowPunct/>
        <w:topLinePunct w:val="0"/>
        <w:autoSpaceDE/>
        <w:autoSpaceDN/>
        <w:bidi w:val="0"/>
        <w:adjustRightInd/>
        <w:snapToGrid/>
        <w:spacing w:line="500" w:lineRule="exact"/>
        <w:ind w:firstLine="480"/>
        <w:jc w:val="left"/>
        <w:textAlignment w:val="auto"/>
        <w:rPr>
          <w:rFonts w:hint="eastAsia" w:ascii="宋体" w:hAnsi="宋体" w:eastAsia="宋体" w:cs="宋体"/>
          <w:sz w:val="24"/>
          <w:szCs w:val="24"/>
        </w:rPr>
      </w:pPr>
      <w:r>
        <w:rPr>
          <w:rFonts w:hint="eastAsia" w:ascii="宋体" w:hAnsi="宋体" w:eastAsia="宋体" w:cs="宋体"/>
          <w:color w:val="000000"/>
          <w:sz w:val="24"/>
          <w:szCs w:val="24"/>
        </w:rPr>
        <w:t>8.7项目通过初验后进行3个月试运行，连续无故障试运行3个月后，项目在全部达到要求时，采购人认可后，中标人向采购人提出终验验收申请及全部相关文档；验收过程中，若发现产品质量有问题中标人应无条件免费更换，并无条件重新检测并调试直至验收合格交付使用。在此期间，中标人在采购人现场进行安装、调试、集成、试运行直至验收所发生的一切费用由中标人承担且已含在投标总价中，终验合格后转入运维期。</w:t>
      </w:r>
    </w:p>
    <w:p w14:paraId="306126EF">
      <w:pPr>
        <w:pStyle w:val="6"/>
        <w:keepNext w:val="0"/>
        <w:keepLines w:val="0"/>
        <w:pageBreakBefore w:val="0"/>
        <w:kinsoku/>
        <w:wordWrap/>
        <w:overflowPunct/>
        <w:topLinePunct w:val="0"/>
        <w:autoSpaceDE/>
        <w:autoSpaceDN/>
        <w:bidi w:val="0"/>
        <w:adjustRightInd/>
        <w:snapToGrid/>
        <w:spacing w:line="500" w:lineRule="exact"/>
        <w:ind w:firstLine="480"/>
        <w:jc w:val="left"/>
        <w:textAlignment w:val="auto"/>
        <w:rPr>
          <w:rFonts w:hint="eastAsia" w:ascii="宋体" w:hAnsi="宋体" w:eastAsia="宋体" w:cs="宋体"/>
          <w:sz w:val="24"/>
          <w:szCs w:val="24"/>
        </w:rPr>
      </w:pPr>
      <w:r>
        <w:rPr>
          <w:rFonts w:hint="eastAsia" w:ascii="宋体" w:hAnsi="宋体" w:eastAsia="宋体" w:cs="宋体"/>
          <w:color w:val="000000"/>
          <w:sz w:val="24"/>
          <w:szCs w:val="24"/>
        </w:rPr>
        <w:t>9、运行维护服务</w:t>
      </w:r>
    </w:p>
    <w:p w14:paraId="417C4B1A">
      <w:pPr>
        <w:pStyle w:val="6"/>
        <w:keepNext w:val="0"/>
        <w:keepLines w:val="0"/>
        <w:pageBreakBefore w:val="0"/>
        <w:kinsoku/>
        <w:wordWrap/>
        <w:overflowPunct/>
        <w:topLinePunct w:val="0"/>
        <w:autoSpaceDE/>
        <w:autoSpaceDN/>
        <w:bidi w:val="0"/>
        <w:adjustRightInd/>
        <w:snapToGrid/>
        <w:spacing w:line="500" w:lineRule="exact"/>
        <w:ind w:firstLine="480"/>
        <w:textAlignment w:val="auto"/>
        <w:rPr>
          <w:rFonts w:hint="eastAsia" w:ascii="宋体" w:hAnsi="宋体" w:eastAsia="宋体" w:cs="宋体"/>
          <w:sz w:val="24"/>
          <w:szCs w:val="24"/>
        </w:rPr>
      </w:pPr>
      <w:r>
        <w:rPr>
          <w:rFonts w:hint="eastAsia" w:ascii="宋体" w:hAnsi="宋体" w:eastAsia="宋体" w:cs="宋体"/>
          <w:color w:val="000000"/>
          <w:sz w:val="24"/>
          <w:szCs w:val="24"/>
        </w:rPr>
        <w:t>9.1在运维期内中标人同时应提供免费的系统运行维护服务，运行维护服务至少包括以下内容：</w:t>
      </w:r>
    </w:p>
    <w:p w14:paraId="6D1B01D2">
      <w:pPr>
        <w:pStyle w:val="6"/>
        <w:keepNext w:val="0"/>
        <w:keepLines w:val="0"/>
        <w:pageBreakBefore w:val="0"/>
        <w:kinsoku/>
        <w:wordWrap/>
        <w:overflowPunct/>
        <w:topLinePunct w:val="0"/>
        <w:autoSpaceDE/>
        <w:autoSpaceDN/>
        <w:bidi w:val="0"/>
        <w:adjustRightInd/>
        <w:snapToGrid/>
        <w:spacing w:line="500" w:lineRule="exact"/>
        <w:ind w:firstLine="480"/>
        <w:textAlignment w:val="auto"/>
        <w:rPr>
          <w:rFonts w:hint="eastAsia" w:ascii="宋体" w:hAnsi="宋体" w:eastAsia="宋体" w:cs="宋体"/>
          <w:sz w:val="24"/>
          <w:szCs w:val="24"/>
        </w:rPr>
      </w:pPr>
      <w:r>
        <w:rPr>
          <w:rFonts w:hint="eastAsia" w:ascii="宋体" w:hAnsi="宋体" w:eastAsia="宋体" w:cs="宋体"/>
          <w:color w:val="000000"/>
          <w:sz w:val="24"/>
          <w:szCs w:val="24"/>
        </w:rPr>
        <w:t>（1）与采购人共同完成日常维护和系统管理。</w:t>
      </w:r>
    </w:p>
    <w:p w14:paraId="51AB3092">
      <w:pPr>
        <w:pStyle w:val="6"/>
        <w:keepNext w:val="0"/>
        <w:keepLines w:val="0"/>
        <w:pageBreakBefore w:val="0"/>
        <w:kinsoku/>
        <w:wordWrap/>
        <w:overflowPunct/>
        <w:topLinePunct w:val="0"/>
        <w:autoSpaceDE/>
        <w:autoSpaceDN/>
        <w:bidi w:val="0"/>
        <w:adjustRightInd/>
        <w:snapToGrid/>
        <w:spacing w:line="500" w:lineRule="exact"/>
        <w:ind w:firstLine="480"/>
        <w:textAlignment w:val="auto"/>
        <w:rPr>
          <w:rFonts w:hint="eastAsia" w:ascii="宋体" w:hAnsi="宋体" w:eastAsia="宋体" w:cs="宋体"/>
          <w:sz w:val="24"/>
          <w:szCs w:val="24"/>
        </w:rPr>
      </w:pPr>
      <w:r>
        <w:rPr>
          <w:rFonts w:hint="eastAsia" w:ascii="宋体" w:hAnsi="宋体" w:eastAsia="宋体" w:cs="宋体"/>
          <w:color w:val="000000"/>
          <w:sz w:val="24"/>
          <w:szCs w:val="24"/>
        </w:rPr>
        <w:t>（2）相关的系统检测、跟踪、监控、优化、更新等技术服务。</w:t>
      </w:r>
    </w:p>
    <w:p w14:paraId="65DDB6B0">
      <w:pPr>
        <w:pStyle w:val="6"/>
        <w:keepNext w:val="0"/>
        <w:keepLines w:val="0"/>
        <w:pageBreakBefore w:val="0"/>
        <w:kinsoku/>
        <w:wordWrap/>
        <w:overflowPunct/>
        <w:topLinePunct w:val="0"/>
        <w:autoSpaceDE/>
        <w:autoSpaceDN/>
        <w:bidi w:val="0"/>
        <w:adjustRightInd/>
        <w:snapToGrid/>
        <w:spacing w:line="500" w:lineRule="exact"/>
        <w:ind w:firstLine="480"/>
        <w:textAlignment w:val="auto"/>
        <w:rPr>
          <w:rFonts w:hint="eastAsia" w:ascii="宋体" w:hAnsi="宋体" w:eastAsia="宋体" w:cs="宋体"/>
          <w:sz w:val="24"/>
          <w:szCs w:val="24"/>
        </w:rPr>
      </w:pPr>
      <w:r>
        <w:rPr>
          <w:rFonts w:hint="eastAsia" w:ascii="宋体" w:hAnsi="宋体" w:eastAsia="宋体" w:cs="宋体"/>
          <w:color w:val="000000"/>
          <w:sz w:val="24"/>
          <w:szCs w:val="24"/>
        </w:rPr>
        <w:t>（3）中标人应自行提供维护工具。</w:t>
      </w:r>
    </w:p>
    <w:p w14:paraId="7D29C0C0">
      <w:pPr>
        <w:pStyle w:val="6"/>
        <w:keepNext w:val="0"/>
        <w:keepLines w:val="0"/>
        <w:pageBreakBefore w:val="0"/>
        <w:kinsoku/>
        <w:wordWrap/>
        <w:overflowPunct/>
        <w:topLinePunct w:val="0"/>
        <w:autoSpaceDE/>
        <w:autoSpaceDN/>
        <w:bidi w:val="0"/>
        <w:adjustRightInd/>
        <w:snapToGrid/>
        <w:spacing w:line="500" w:lineRule="exact"/>
        <w:ind w:firstLine="480"/>
        <w:textAlignment w:val="auto"/>
        <w:rPr>
          <w:rFonts w:hint="eastAsia" w:ascii="宋体" w:hAnsi="宋体" w:eastAsia="宋体" w:cs="宋体"/>
          <w:sz w:val="24"/>
          <w:szCs w:val="24"/>
        </w:rPr>
      </w:pPr>
      <w:r>
        <w:rPr>
          <w:rFonts w:hint="eastAsia" w:ascii="宋体" w:hAnsi="宋体" w:eastAsia="宋体" w:cs="宋体"/>
          <w:color w:val="000000"/>
          <w:sz w:val="24"/>
          <w:szCs w:val="24"/>
        </w:rPr>
        <w:t>9.2故障处理程序</w:t>
      </w:r>
    </w:p>
    <w:p w14:paraId="101470B9">
      <w:pPr>
        <w:pStyle w:val="6"/>
        <w:keepNext w:val="0"/>
        <w:keepLines w:val="0"/>
        <w:pageBreakBefore w:val="0"/>
        <w:kinsoku/>
        <w:wordWrap/>
        <w:overflowPunct/>
        <w:topLinePunct w:val="0"/>
        <w:autoSpaceDE/>
        <w:autoSpaceDN/>
        <w:bidi w:val="0"/>
        <w:adjustRightInd/>
        <w:snapToGrid/>
        <w:spacing w:line="500" w:lineRule="exact"/>
        <w:ind w:firstLine="480"/>
        <w:textAlignment w:val="auto"/>
        <w:rPr>
          <w:rFonts w:hint="eastAsia" w:ascii="宋体" w:hAnsi="宋体" w:eastAsia="宋体" w:cs="宋体"/>
          <w:sz w:val="24"/>
          <w:szCs w:val="24"/>
        </w:rPr>
      </w:pPr>
      <w:r>
        <w:rPr>
          <w:rFonts w:hint="eastAsia" w:ascii="宋体" w:hAnsi="宋体" w:eastAsia="宋体" w:cs="宋体"/>
          <w:color w:val="000000"/>
          <w:sz w:val="24"/>
          <w:szCs w:val="24"/>
        </w:rPr>
        <w:t>（1）中标人应在终验前根据项目的实际运行情况提供一套完整的故障处理程序，包括故障管理、故障处理流程、故障申报、故障处理、故障跟踪、修复验证、故障处理反馈、故障记录备案等。</w:t>
      </w:r>
    </w:p>
    <w:p w14:paraId="3AE9C1BB">
      <w:pPr>
        <w:pStyle w:val="6"/>
        <w:keepNext w:val="0"/>
        <w:keepLines w:val="0"/>
        <w:pageBreakBefore w:val="0"/>
        <w:kinsoku/>
        <w:wordWrap/>
        <w:overflowPunct/>
        <w:topLinePunct w:val="0"/>
        <w:autoSpaceDE/>
        <w:autoSpaceDN/>
        <w:bidi w:val="0"/>
        <w:adjustRightInd/>
        <w:snapToGrid/>
        <w:spacing w:line="500" w:lineRule="exact"/>
        <w:ind w:firstLine="480"/>
        <w:textAlignment w:val="auto"/>
        <w:rPr>
          <w:rFonts w:hint="eastAsia" w:ascii="宋体" w:hAnsi="宋体" w:eastAsia="宋体" w:cs="宋体"/>
          <w:sz w:val="24"/>
          <w:szCs w:val="24"/>
        </w:rPr>
      </w:pPr>
      <w:r>
        <w:rPr>
          <w:rFonts w:hint="eastAsia" w:ascii="宋体" w:hAnsi="宋体" w:eastAsia="宋体" w:cs="宋体"/>
          <w:color w:val="000000"/>
          <w:sz w:val="24"/>
          <w:szCs w:val="24"/>
        </w:rPr>
        <w:t>（2）在整个项目实施过程中，中标人不能以任何理由拒绝采购人的故障申告请求，中标人必须对采购人的故障申告请求作出即时的、明确的答复，并应完全承担由于中标人的拒绝而引起的相应后果。</w:t>
      </w:r>
    </w:p>
    <w:p w14:paraId="08AA732E">
      <w:pPr>
        <w:pStyle w:val="6"/>
        <w:keepNext w:val="0"/>
        <w:keepLines w:val="0"/>
        <w:pageBreakBefore w:val="0"/>
        <w:kinsoku/>
        <w:wordWrap/>
        <w:overflowPunct/>
        <w:topLinePunct w:val="0"/>
        <w:autoSpaceDE/>
        <w:autoSpaceDN/>
        <w:bidi w:val="0"/>
        <w:adjustRightInd/>
        <w:snapToGrid/>
        <w:spacing w:line="500" w:lineRule="exact"/>
        <w:ind w:firstLine="480"/>
        <w:textAlignment w:val="auto"/>
        <w:rPr>
          <w:rFonts w:hint="eastAsia" w:ascii="宋体" w:hAnsi="宋体" w:eastAsia="宋体" w:cs="宋体"/>
          <w:sz w:val="24"/>
          <w:szCs w:val="24"/>
        </w:rPr>
      </w:pPr>
      <w:r>
        <w:rPr>
          <w:rFonts w:hint="eastAsia" w:ascii="宋体" w:hAnsi="宋体" w:eastAsia="宋体" w:cs="宋体"/>
          <w:color w:val="000000"/>
          <w:sz w:val="24"/>
          <w:szCs w:val="24"/>
        </w:rPr>
        <w:t>（3）中标人应在服务方案中根据可能影响系统运行的紧急故障、重要故障、一般故障等进行故障的分级定义，故障级别划分必需满足采购人对故障确认时限与恢复时限的处理。</w:t>
      </w:r>
    </w:p>
    <w:p w14:paraId="4A0C30D5">
      <w:pPr>
        <w:pStyle w:val="6"/>
        <w:keepNext w:val="0"/>
        <w:keepLines w:val="0"/>
        <w:pageBreakBefore w:val="0"/>
        <w:kinsoku/>
        <w:wordWrap/>
        <w:overflowPunct/>
        <w:topLinePunct w:val="0"/>
        <w:autoSpaceDE/>
        <w:autoSpaceDN/>
        <w:bidi w:val="0"/>
        <w:adjustRightInd/>
        <w:snapToGrid/>
        <w:spacing w:line="500" w:lineRule="exact"/>
        <w:ind w:firstLine="480"/>
        <w:textAlignment w:val="auto"/>
        <w:rPr>
          <w:rFonts w:hint="eastAsia" w:ascii="宋体" w:hAnsi="宋体" w:eastAsia="宋体" w:cs="宋体"/>
          <w:sz w:val="24"/>
          <w:szCs w:val="24"/>
        </w:rPr>
      </w:pPr>
      <w:r>
        <w:rPr>
          <w:rFonts w:hint="eastAsia" w:ascii="宋体" w:hAnsi="宋体" w:eastAsia="宋体" w:cs="宋体"/>
          <w:color w:val="000000"/>
          <w:sz w:val="24"/>
          <w:szCs w:val="24"/>
        </w:rPr>
        <w:t>（4）对于超时诊断(即在限时内不能对设备故障确诊)，中标人应有明确的故障上报程序直至故障确诊并排除故障为止。</w:t>
      </w:r>
    </w:p>
    <w:p w14:paraId="746F139C">
      <w:pPr>
        <w:pStyle w:val="6"/>
        <w:keepNext w:val="0"/>
        <w:keepLines w:val="0"/>
        <w:pageBreakBefore w:val="0"/>
        <w:kinsoku/>
        <w:wordWrap/>
        <w:overflowPunct/>
        <w:topLinePunct w:val="0"/>
        <w:autoSpaceDE/>
        <w:autoSpaceDN/>
        <w:bidi w:val="0"/>
        <w:adjustRightInd/>
        <w:snapToGrid/>
        <w:spacing w:line="500" w:lineRule="exact"/>
        <w:ind w:firstLine="480"/>
        <w:textAlignment w:val="auto"/>
        <w:rPr>
          <w:rFonts w:hint="eastAsia" w:ascii="宋体" w:hAnsi="宋体" w:eastAsia="宋体" w:cs="宋体"/>
          <w:sz w:val="24"/>
          <w:szCs w:val="24"/>
        </w:rPr>
      </w:pPr>
      <w:r>
        <w:rPr>
          <w:rFonts w:hint="eastAsia" w:ascii="宋体" w:hAnsi="宋体" w:eastAsia="宋体" w:cs="宋体"/>
          <w:color w:val="000000"/>
          <w:sz w:val="24"/>
          <w:szCs w:val="24"/>
        </w:rPr>
        <w:t>（5）中标人分配处理故障的系统工程师应在30分钟内对故障申告实现响应，并与采购人故障申报人取得联系。</w:t>
      </w:r>
    </w:p>
    <w:p w14:paraId="41FBE1FA">
      <w:pPr>
        <w:pStyle w:val="6"/>
        <w:keepNext w:val="0"/>
        <w:keepLines w:val="0"/>
        <w:pageBreakBefore w:val="0"/>
        <w:kinsoku/>
        <w:wordWrap/>
        <w:overflowPunct/>
        <w:topLinePunct w:val="0"/>
        <w:autoSpaceDE/>
        <w:autoSpaceDN/>
        <w:bidi w:val="0"/>
        <w:adjustRightInd/>
        <w:snapToGrid/>
        <w:spacing w:line="500" w:lineRule="exact"/>
        <w:ind w:firstLine="480"/>
        <w:textAlignment w:val="auto"/>
        <w:rPr>
          <w:rFonts w:hint="eastAsia" w:ascii="宋体" w:hAnsi="宋体" w:eastAsia="宋体" w:cs="宋体"/>
          <w:sz w:val="24"/>
          <w:szCs w:val="24"/>
        </w:rPr>
      </w:pPr>
      <w:r>
        <w:rPr>
          <w:rFonts w:hint="eastAsia" w:ascii="宋体" w:hAnsi="宋体" w:eastAsia="宋体" w:cs="宋体"/>
          <w:color w:val="000000"/>
          <w:sz w:val="24"/>
          <w:szCs w:val="24"/>
        </w:rPr>
        <w:t>（6）中标人系统工程师必须将故障的处理步骤、描述和解决方案记录在故障处理系统中，现场服务结束后，工程师填写维护实施报告。</w:t>
      </w:r>
    </w:p>
    <w:p w14:paraId="6F3BF520">
      <w:pPr>
        <w:pStyle w:val="6"/>
        <w:keepNext w:val="0"/>
        <w:keepLines w:val="0"/>
        <w:pageBreakBefore w:val="0"/>
        <w:kinsoku/>
        <w:wordWrap/>
        <w:overflowPunct/>
        <w:topLinePunct w:val="0"/>
        <w:autoSpaceDE/>
        <w:autoSpaceDN/>
        <w:bidi w:val="0"/>
        <w:adjustRightInd/>
        <w:snapToGrid/>
        <w:spacing w:line="500" w:lineRule="exact"/>
        <w:ind w:firstLine="480"/>
        <w:textAlignment w:val="auto"/>
        <w:rPr>
          <w:rFonts w:hint="eastAsia" w:ascii="宋体" w:hAnsi="宋体" w:eastAsia="宋体" w:cs="宋体"/>
          <w:sz w:val="24"/>
          <w:szCs w:val="24"/>
        </w:rPr>
      </w:pPr>
      <w:r>
        <w:rPr>
          <w:rFonts w:hint="eastAsia" w:ascii="宋体" w:hAnsi="宋体" w:eastAsia="宋体" w:cs="宋体"/>
          <w:color w:val="000000"/>
          <w:sz w:val="24"/>
          <w:szCs w:val="24"/>
        </w:rPr>
        <w:t>（7）中标人应在故障修复时限内完成故障处理。对于无法在规定时限内恢复故障的，应提出应急方案，并经采购人认可后实施应急方案，保障系统正常运行。</w:t>
      </w:r>
    </w:p>
    <w:p w14:paraId="47BA25A6">
      <w:pPr>
        <w:pStyle w:val="6"/>
        <w:keepNext w:val="0"/>
        <w:keepLines w:val="0"/>
        <w:pageBreakBefore w:val="0"/>
        <w:kinsoku/>
        <w:wordWrap/>
        <w:overflowPunct/>
        <w:topLinePunct w:val="0"/>
        <w:autoSpaceDE/>
        <w:autoSpaceDN/>
        <w:bidi w:val="0"/>
        <w:adjustRightInd/>
        <w:snapToGrid/>
        <w:spacing w:line="500" w:lineRule="exact"/>
        <w:ind w:firstLine="480"/>
        <w:textAlignment w:val="auto"/>
        <w:rPr>
          <w:rFonts w:hint="eastAsia" w:ascii="宋体" w:hAnsi="宋体" w:eastAsia="宋体" w:cs="宋体"/>
          <w:sz w:val="24"/>
          <w:szCs w:val="24"/>
        </w:rPr>
      </w:pPr>
      <w:r>
        <w:rPr>
          <w:rFonts w:hint="eastAsia" w:ascii="宋体" w:hAnsi="宋体" w:eastAsia="宋体" w:cs="宋体"/>
          <w:color w:val="000000"/>
          <w:sz w:val="24"/>
          <w:szCs w:val="24"/>
        </w:rPr>
        <w:t>（8）故障恢复必需由采购人书面确认后，方可结束故障处理全过程。</w:t>
      </w:r>
    </w:p>
    <w:p w14:paraId="535C0868">
      <w:pPr>
        <w:pStyle w:val="6"/>
        <w:keepNext w:val="0"/>
        <w:keepLines w:val="0"/>
        <w:pageBreakBefore w:val="0"/>
        <w:kinsoku/>
        <w:wordWrap/>
        <w:overflowPunct/>
        <w:topLinePunct w:val="0"/>
        <w:autoSpaceDE/>
        <w:autoSpaceDN/>
        <w:bidi w:val="0"/>
        <w:adjustRightInd/>
        <w:snapToGrid/>
        <w:spacing w:line="500" w:lineRule="exact"/>
        <w:ind w:firstLine="480"/>
        <w:textAlignment w:val="auto"/>
        <w:rPr>
          <w:rFonts w:hint="eastAsia" w:ascii="宋体" w:hAnsi="宋体" w:eastAsia="宋体" w:cs="宋体"/>
          <w:sz w:val="24"/>
          <w:szCs w:val="24"/>
        </w:rPr>
      </w:pPr>
      <w:r>
        <w:rPr>
          <w:rFonts w:hint="eastAsia" w:ascii="宋体" w:hAnsi="宋体" w:eastAsia="宋体" w:cs="宋体"/>
          <w:color w:val="000000"/>
          <w:sz w:val="24"/>
          <w:szCs w:val="24"/>
        </w:rPr>
        <w:t>（9）中标人对所有的故障处理工作都需要提交书面报告，并加盖公章和维护工程师签字确认，采购人对中标人提交的维护纪录进行保管和存档。</w:t>
      </w:r>
    </w:p>
    <w:p w14:paraId="5F42759A">
      <w:pPr>
        <w:pStyle w:val="6"/>
        <w:keepNext w:val="0"/>
        <w:keepLines w:val="0"/>
        <w:pageBreakBefore w:val="0"/>
        <w:kinsoku/>
        <w:wordWrap/>
        <w:overflowPunct/>
        <w:topLinePunct w:val="0"/>
        <w:autoSpaceDE/>
        <w:autoSpaceDN/>
        <w:bidi w:val="0"/>
        <w:adjustRightInd/>
        <w:snapToGrid/>
        <w:spacing w:line="500" w:lineRule="exact"/>
        <w:ind w:firstLine="480"/>
        <w:textAlignment w:val="auto"/>
        <w:rPr>
          <w:rFonts w:hint="eastAsia" w:ascii="宋体" w:hAnsi="宋体" w:eastAsia="宋体" w:cs="宋体"/>
          <w:sz w:val="24"/>
          <w:szCs w:val="24"/>
        </w:rPr>
      </w:pPr>
      <w:r>
        <w:rPr>
          <w:rFonts w:hint="eastAsia" w:ascii="宋体" w:hAnsi="宋体" w:eastAsia="宋体" w:cs="宋体"/>
          <w:color w:val="000000"/>
          <w:sz w:val="24"/>
          <w:szCs w:val="24"/>
        </w:rPr>
        <w:t>9.3中标人未能按规定履行承诺的，采购人有权另找第三方进行提供保修与技术服务，其产生的全部费用由中标人承担。</w:t>
      </w:r>
    </w:p>
    <w:p w14:paraId="42C64E4E">
      <w:pPr>
        <w:pStyle w:val="6"/>
        <w:keepNext w:val="0"/>
        <w:keepLines w:val="0"/>
        <w:pageBreakBefore w:val="0"/>
        <w:kinsoku/>
        <w:wordWrap/>
        <w:overflowPunct/>
        <w:topLinePunct w:val="0"/>
        <w:autoSpaceDE/>
        <w:autoSpaceDN/>
        <w:bidi w:val="0"/>
        <w:adjustRightInd/>
        <w:snapToGrid/>
        <w:spacing w:line="500" w:lineRule="exact"/>
        <w:ind w:firstLine="480"/>
        <w:textAlignment w:val="auto"/>
        <w:rPr>
          <w:rFonts w:hint="eastAsia" w:ascii="宋体" w:hAnsi="宋体" w:eastAsia="宋体" w:cs="宋体"/>
          <w:sz w:val="24"/>
          <w:szCs w:val="24"/>
        </w:rPr>
      </w:pPr>
      <w:r>
        <w:rPr>
          <w:rFonts w:hint="eastAsia" w:ascii="宋体" w:hAnsi="宋体" w:eastAsia="宋体" w:cs="宋体"/>
          <w:color w:val="000000"/>
          <w:sz w:val="24"/>
          <w:szCs w:val="24"/>
        </w:rPr>
        <w:t>9.4中标人应视自身能力在投标文件中可提供更优、更合理的维修服务承诺。</w:t>
      </w:r>
    </w:p>
    <w:p w14:paraId="61D43B2C">
      <w:pPr>
        <w:pStyle w:val="6"/>
        <w:keepNext w:val="0"/>
        <w:keepLines w:val="0"/>
        <w:pageBreakBefore w:val="0"/>
        <w:kinsoku/>
        <w:wordWrap/>
        <w:overflowPunct/>
        <w:topLinePunct w:val="0"/>
        <w:autoSpaceDE/>
        <w:autoSpaceDN/>
        <w:bidi w:val="0"/>
        <w:adjustRightInd/>
        <w:snapToGrid/>
        <w:spacing w:line="500" w:lineRule="exact"/>
        <w:ind w:firstLine="480"/>
        <w:textAlignment w:val="auto"/>
        <w:rPr>
          <w:rFonts w:hint="eastAsia" w:ascii="宋体" w:hAnsi="宋体" w:eastAsia="宋体" w:cs="宋体"/>
          <w:sz w:val="24"/>
          <w:szCs w:val="24"/>
        </w:rPr>
      </w:pPr>
      <w:r>
        <w:rPr>
          <w:rFonts w:hint="eastAsia" w:ascii="宋体" w:hAnsi="宋体" w:eastAsia="宋体" w:cs="宋体"/>
          <w:color w:val="000000"/>
          <w:sz w:val="24"/>
          <w:szCs w:val="24"/>
        </w:rPr>
        <w:t>9.5本项目建设的应用系统应提供标准、开放、安全的接口规范文档，并积极配合第三方系统开发商进行接口对接。本项目建设的相关业务系统应实现与设备免费接入，所需配件、辅材等费用由中标人承担。</w:t>
      </w:r>
    </w:p>
    <w:p w14:paraId="272925B1">
      <w:pPr>
        <w:pStyle w:val="6"/>
        <w:keepNext w:val="0"/>
        <w:keepLines w:val="0"/>
        <w:pageBreakBefore w:val="0"/>
        <w:kinsoku/>
        <w:wordWrap/>
        <w:overflowPunct/>
        <w:topLinePunct w:val="0"/>
        <w:autoSpaceDE/>
        <w:autoSpaceDN/>
        <w:bidi w:val="0"/>
        <w:adjustRightInd/>
        <w:snapToGrid/>
        <w:spacing w:line="500" w:lineRule="exact"/>
        <w:ind w:firstLine="480"/>
        <w:jc w:val="left"/>
        <w:textAlignment w:val="auto"/>
        <w:rPr>
          <w:rFonts w:hint="eastAsia" w:ascii="宋体" w:hAnsi="宋体" w:eastAsia="宋体" w:cs="宋体"/>
          <w:sz w:val="24"/>
          <w:szCs w:val="24"/>
        </w:rPr>
      </w:pPr>
      <w:r>
        <w:rPr>
          <w:rFonts w:hint="eastAsia" w:ascii="宋体" w:hAnsi="宋体" w:eastAsia="宋体" w:cs="宋体"/>
          <w:color w:val="000000"/>
          <w:sz w:val="24"/>
          <w:szCs w:val="24"/>
        </w:rPr>
        <w:t>9.6中标人负责将采购人本项目范围内现有的信息系统数据迁移、整合至相关的新建医疗信息系统环境，包括但不限于关键数据、业务数据、基础数据等，根据数据类型和重要性进行分类，确定迁移优先级。中标人需提供详细的数据迁移方案，包括迁移工具、迁移步骤时间安排等，在迁移过程中，对脏数据、重复数据进行清洗和去重，对于格式不一致的数据，中标人需进行转换和标准化处理，应确保迁移过程中数据的完整性，安全性和可恢复性。</w:t>
      </w:r>
    </w:p>
    <w:p w14:paraId="2696E0AE">
      <w:pPr>
        <w:pStyle w:val="6"/>
        <w:keepNext w:val="0"/>
        <w:keepLines w:val="0"/>
        <w:pageBreakBefore w:val="0"/>
        <w:kinsoku/>
        <w:wordWrap/>
        <w:overflowPunct/>
        <w:topLinePunct w:val="0"/>
        <w:autoSpaceDE/>
        <w:autoSpaceDN/>
        <w:bidi w:val="0"/>
        <w:adjustRightInd/>
        <w:snapToGrid/>
        <w:spacing w:line="500" w:lineRule="exact"/>
        <w:ind w:firstLine="480"/>
        <w:jc w:val="left"/>
        <w:textAlignment w:val="auto"/>
        <w:rPr>
          <w:rFonts w:hint="eastAsia" w:ascii="宋体" w:hAnsi="宋体" w:eastAsia="宋体" w:cs="宋体"/>
          <w:sz w:val="24"/>
          <w:szCs w:val="24"/>
        </w:rPr>
      </w:pPr>
      <w:r>
        <w:rPr>
          <w:rFonts w:hint="eastAsia" w:ascii="宋体" w:hAnsi="宋体" w:eastAsia="宋体" w:cs="宋体"/>
          <w:color w:val="000000"/>
          <w:sz w:val="24"/>
          <w:szCs w:val="24"/>
        </w:rPr>
        <w:t>10、技术培训</w:t>
      </w:r>
    </w:p>
    <w:p w14:paraId="6D97D1D6">
      <w:pPr>
        <w:pStyle w:val="6"/>
        <w:keepNext w:val="0"/>
        <w:keepLines w:val="0"/>
        <w:pageBreakBefore w:val="0"/>
        <w:kinsoku/>
        <w:wordWrap/>
        <w:overflowPunct/>
        <w:topLinePunct w:val="0"/>
        <w:autoSpaceDE/>
        <w:autoSpaceDN/>
        <w:bidi w:val="0"/>
        <w:adjustRightInd/>
        <w:snapToGrid/>
        <w:spacing w:line="500" w:lineRule="exact"/>
        <w:ind w:firstLine="480"/>
        <w:textAlignment w:val="auto"/>
        <w:rPr>
          <w:rFonts w:hint="eastAsia" w:ascii="宋体" w:hAnsi="宋体" w:eastAsia="宋体" w:cs="宋体"/>
          <w:sz w:val="24"/>
          <w:szCs w:val="24"/>
        </w:rPr>
      </w:pPr>
      <w:r>
        <w:rPr>
          <w:rFonts w:hint="eastAsia" w:ascii="宋体" w:hAnsi="宋体" w:eastAsia="宋体" w:cs="宋体"/>
          <w:color w:val="000000"/>
          <w:sz w:val="24"/>
          <w:szCs w:val="24"/>
        </w:rPr>
        <w:t>10.1中标人提供的培训应包括系统技术培训和产品操作使用培训等（具体以采购人要求为准），确保在系统正式上线前完成相应培训工作。</w:t>
      </w:r>
    </w:p>
    <w:p w14:paraId="52A6A090">
      <w:pPr>
        <w:pStyle w:val="6"/>
        <w:keepNext w:val="0"/>
        <w:keepLines w:val="0"/>
        <w:pageBreakBefore w:val="0"/>
        <w:kinsoku/>
        <w:wordWrap/>
        <w:overflowPunct/>
        <w:topLinePunct w:val="0"/>
        <w:autoSpaceDE/>
        <w:autoSpaceDN/>
        <w:bidi w:val="0"/>
        <w:adjustRightInd/>
        <w:snapToGrid/>
        <w:spacing w:line="500" w:lineRule="exact"/>
        <w:ind w:firstLine="480"/>
        <w:textAlignment w:val="auto"/>
        <w:rPr>
          <w:rFonts w:hint="eastAsia" w:ascii="宋体" w:hAnsi="宋体" w:eastAsia="宋体" w:cs="宋体"/>
          <w:sz w:val="24"/>
          <w:szCs w:val="24"/>
        </w:rPr>
      </w:pPr>
      <w:r>
        <w:rPr>
          <w:rFonts w:hint="eastAsia" w:ascii="宋体" w:hAnsi="宋体" w:eastAsia="宋体" w:cs="宋体"/>
          <w:color w:val="000000"/>
          <w:sz w:val="24"/>
          <w:szCs w:val="24"/>
        </w:rPr>
        <w:t>10.2中标人应对采购人系统管理人员进行全面的数据库与系统管理、故障处理、日常维护等培训工作，使采购人技术人员当系统出现一般性问题时能自行诊断和处理。</w:t>
      </w:r>
    </w:p>
    <w:p w14:paraId="314AAD88">
      <w:pPr>
        <w:pStyle w:val="6"/>
        <w:keepNext w:val="0"/>
        <w:keepLines w:val="0"/>
        <w:pageBreakBefore w:val="0"/>
        <w:kinsoku/>
        <w:wordWrap/>
        <w:overflowPunct/>
        <w:topLinePunct w:val="0"/>
        <w:autoSpaceDE/>
        <w:autoSpaceDN/>
        <w:bidi w:val="0"/>
        <w:adjustRightInd/>
        <w:snapToGrid/>
        <w:spacing w:line="500" w:lineRule="exact"/>
        <w:ind w:firstLine="480"/>
        <w:textAlignment w:val="auto"/>
        <w:rPr>
          <w:rFonts w:hint="eastAsia" w:ascii="宋体" w:hAnsi="宋体" w:eastAsia="宋体" w:cs="宋体"/>
          <w:sz w:val="24"/>
          <w:szCs w:val="24"/>
        </w:rPr>
      </w:pPr>
      <w:r>
        <w:rPr>
          <w:rFonts w:hint="eastAsia" w:ascii="宋体" w:hAnsi="宋体" w:eastAsia="宋体" w:cs="宋体"/>
          <w:color w:val="000000"/>
          <w:sz w:val="24"/>
          <w:szCs w:val="24"/>
        </w:rPr>
        <w:t>10.3中标人应对采购人及有关部门的操作人员进行操作使用培训，使操作人员能够正常操作和使用系统提供的各项功能。</w:t>
      </w:r>
    </w:p>
    <w:p w14:paraId="010B4DEB">
      <w:pPr>
        <w:pStyle w:val="6"/>
        <w:keepNext w:val="0"/>
        <w:keepLines w:val="0"/>
        <w:pageBreakBefore w:val="0"/>
        <w:kinsoku/>
        <w:wordWrap/>
        <w:overflowPunct/>
        <w:topLinePunct w:val="0"/>
        <w:autoSpaceDE/>
        <w:autoSpaceDN/>
        <w:bidi w:val="0"/>
        <w:adjustRightInd/>
        <w:snapToGrid/>
        <w:spacing w:line="500" w:lineRule="exact"/>
        <w:ind w:firstLine="480"/>
        <w:textAlignment w:val="auto"/>
        <w:rPr>
          <w:rFonts w:hint="eastAsia" w:ascii="宋体" w:hAnsi="宋体" w:eastAsia="宋体" w:cs="宋体"/>
          <w:sz w:val="24"/>
          <w:szCs w:val="24"/>
        </w:rPr>
      </w:pPr>
      <w:r>
        <w:rPr>
          <w:rFonts w:hint="eastAsia" w:ascii="宋体" w:hAnsi="宋体" w:eastAsia="宋体" w:cs="宋体"/>
          <w:color w:val="000000"/>
          <w:sz w:val="24"/>
          <w:szCs w:val="24"/>
        </w:rPr>
        <w:t>10.4培训教材应主要使用简体中文，辅以英文。为进行有效的技术交流，所有培训教员必须具备熟练的中文会话和书写能力。中标人应提供培训用的系统使用文档、操作手册、演示PPT等培训材料。</w:t>
      </w:r>
    </w:p>
    <w:p w14:paraId="769FCA62">
      <w:pPr>
        <w:pStyle w:val="6"/>
        <w:keepNext w:val="0"/>
        <w:keepLines w:val="0"/>
        <w:pageBreakBefore w:val="0"/>
        <w:kinsoku/>
        <w:wordWrap/>
        <w:overflowPunct/>
        <w:topLinePunct w:val="0"/>
        <w:autoSpaceDE/>
        <w:autoSpaceDN/>
        <w:bidi w:val="0"/>
        <w:adjustRightInd/>
        <w:snapToGrid/>
        <w:spacing w:line="500" w:lineRule="exact"/>
        <w:ind w:firstLine="480"/>
        <w:textAlignment w:val="auto"/>
        <w:rPr>
          <w:rFonts w:hint="eastAsia" w:ascii="宋体" w:hAnsi="宋体" w:eastAsia="宋体" w:cs="宋体"/>
          <w:sz w:val="24"/>
          <w:szCs w:val="24"/>
        </w:rPr>
      </w:pPr>
      <w:r>
        <w:rPr>
          <w:rFonts w:hint="eastAsia" w:ascii="宋体" w:hAnsi="宋体" w:eastAsia="宋体" w:cs="宋体"/>
          <w:color w:val="000000"/>
          <w:sz w:val="24"/>
          <w:szCs w:val="24"/>
        </w:rPr>
        <w:t>10.5中标人应派遣原厂专业技术人员对相关人员进行操作应用等培训，负责编制培训教材、培训材料准备、授课、辅导等工作。</w:t>
      </w:r>
    </w:p>
    <w:p w14:paraId="1B64D318">
      <w:pPr>
        <w:pStyle w:val="6"/>
        <w:keepNext w:val="0"/>
        <w:keepLines w:val="0"/>
        <w:pageBreakBefore w:val="0"/>
        <w:kinsoku/>
        <w:wordWrap/>
        <w:overflowPunct/>
        <w:topLinePunct w:val="0"/>
        <w:autoSpaceDE/>
        <w:autoSpaceDN/>
        <w:bidi w:val="0"/>
        <w:adjustRightInd/>
        <w:snapToGrid/>
        <w:spacing w:line="500" w:lineRule="exact"/>
        <w:ind w:firstLine="480"/>
        <w:textAlignment w:val="auto"/>
        <w:rPr>
          <w:rFonts w:hint="eastAsia" w:ascii="宋体" w:hAnsi="宋体" w:eastAsia="宋体" w:cs="宋体"/>
          <w:sz w:val="24"/>
          <w:szCs w:val="24"/>
        </w:rPr>
      </w:pPr>
      <w:r>
        <w:rPr>
          <w:rFonts w:hint="eastAsia" w:ascii="宋体" w:hAnsi="宋体" w:eastAsia="宋体" w:cs="宋体"/>
          <w:color w:val="000000"/>
          <w:sz w:val="24"/>
          <w:szCs w:val="24"/>
        </w:rPr>
        <w:t>10.6中标人对系统管理人员的培训内容应包括应用系统的设计、部署、管理、维护等内容，至少包括以下培训项目：</w:t>
      </w:r>
    </w:p>
    <w:p w14:paraId="36BC31F9">
      <w:pPr>
        <w:pStyle w:val="6"/>
        <w:keepNext w:val="0"/>
        <w:keepLines w:val="0"/>
        <w:pageBreakBefore w:val="0"/>
        <w:kinsoku/>
        <w:wordWrap/>
        <w:overflowPunct/>
        <w:topLinePunct w:val="0"/>
        <w:autoSpaceDE/>
        <w:autoSpaceDN/>
        <w:bidi w:val="0"/>
        <w:adjustRightInd/>
        <w:snapToGrid/>
        <w:spacing w:line="500" w:lineRule="exact"/>
        <w:ind w:firstLine="480"/>
        <w:jc w:val="left"/>
        <w:textAlignment w:val="auto"/>
        <w:rPr>
          <w:rFonts w:hint="eastAsia" w:ascii="宋体" w:hAnsi="宋体" w:eastAsia="宋体" w:cs="宋体"/>
          <w:sz w:val="24"/>
          <w:szCs w:val="24"/>
        </w:rPr>
      </w:pPr>
      <w:r>
        <w:rPr>
          <w:rFonts w:hint="eastAsia" w:ascii="宋体" w:hAnsi="宋体" w:eastAsia="宋体" w:cs="宋体"/>
          <w:color w:val="000000"/>
          <w:sz w:val="24"/>
          <w:szCs w:val="24"/>
        </w:rPr>
        <w:t>表1培训内容</w:t>
      </w:r>
    </w:p>
    <w:tbl>
      <w:tblPr>
        <w:tblStyle w:val="4"/>
        <w:tblW w:w="0" w:type="auto"/>
        <w:tblInd w:w="0" w:type="dxa"/>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autofit"/>
        <w:tblCellMar>
          <w:top w:w="0" w:type="dxa"/>
          <w:left w:w="108" w:type="dxa"/>
          <w:bottom w:w="0" w:type="dxa"/>
          <w:right w:w="108" w:type="dxa"/>
        </w:tblCellMar>
      </w:tblPr>
      <w:tblGrid>
        <w:gridCol w:w="1023"/>
        <w:gridCol w:w="2865"/>
        <w:gridCol w:w="4418"/>
      </w:tblGrid>
      <w:tr w14:paraId="3376E60D">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1023"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4390C541">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color w:val="000000"/>
                <w:sz w:val="24"/>
                <w:szCs w:val="24"/>
              </w:rPr>
              <w:t>序号</w:t>
            </w:r>
          </w:p>
        </w:tc>
        <w:tc>
          <w:tcPr>
            <w:tcW w:w="2865" w:type="dxa"/>
            <w:tcBorders>
              <w:top w:val="single" w:color="000000" w:sz="4" w:space="0"/>
              <w:left w:val="nil"/>
              <w:bottom w:val="single" w:color="000000" w:sz="4" w:space="0"/>
              <w:right w:val="single" w:color="000000" w:sz="4" w:space="0"/>
            </w:tcBorders>
            <w:tcMar>
              <w:top w:w="0" w:type="dxa"/>
              <w:left w:w="105" w:type="dxa"/>
              <w:bottom w:w="0" w:type="dxa"/>
              <w:right w:w="105" w:type="dxa"/>
            </w:tcMar>
            <w:vAlign w:val="top"/>
          </w:tcPr>
          <w:p w14:paraId="205FB195">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color w:val="000000"/>
                <w:sz w:val="24"/>
                <w:szCs w:val="24"/>
              </w:rPr>
              <w:t>培训项目</w:t>
            </w:r>
          </w:p>
        </w:tc>
        <w:tc>
          <w:tcPr>
            <w:tcW w:w="4418" w:type="dxa"/>
            <w:tcBorders>
              <w:top w:val="single" w:color="000000" w:sz="4" w:space="0"/>
              <w:left w:val="nil"/>
              <w:bottom w:val="single" w:color="000000" w:sz="4" w:space="0"/>
              <w:right w:val="single" w:color="000000" w:sz="4" w:space="0"/>
            </w:tcBorders>
            <w:tcMar>
              <w:top w:w="0" w:type="dxa"/>
              <w:left w:w="105" w:type="dxa"/>
              <w:bottom w:w="0" w:type="dxa"/>
              <w:right w:w="105" w:type="dxa"/>
            </w:tcMar>
            <w:vAlign w:val="top"/>
          </w:tcPr>
          <w:p w14:paraId="518D75EB">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color w:val="000000"/>
                <w:sz w:val="24"/>
                <w:szCs w:val="24"/>
              </w:rPr>
              <w:t>培训内容</w:t>
            </w:r>
          </w:p>
        </w:tc>
      </w:tr>
      <w:tr w14:paraId="03528115">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1023"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CBAE2E3">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color w:val="000000"/>
                <w:sz w:val="24"/>
                <w:szCs w:val="24"/>
              </w:rPr>
              <w:t>1</w:t>
            </w:r>
          </w:p>
        </w:tc>
        <w:tc>
          <w:tcPr>
            <w:tcW w:w="2865" w:type="dxa"/>
            <w:tcBorders>
              <w:top w:val="nil"/>
              <w:left w:val="nil"/>
              <w:bottom w:val="single" w:color="000000" w:sz="4" w:space="0"/>
              <w:right w:val="single" w:color="000000" w:sz="4" w:space="0"/>
            </w:tcBorders>
            <w:tcMar>
              <w:top w:w="0" w:type="dxa"/>
              <w:left w:w="105" w:type="dxa"/>
              <w:bottom w:w="0" w:type="dxa"/>
              <w:right w:w="105" w:type="dxa"/>
            </w:tcMar>
            <w:vAlign w:val="top"/>
          </w:tcPr>
          <w:p w14:paraId="3F1AD25A">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color w:val="000000"/>
                <w:sz w:val="24"/>
                <w:szCs w:val="24"/>
              </w:rPr>
              <w:t>系统设计培训</w:t>
            </w:r>
          </w:p>
        </w:tc>
        <w:tc>
          <w:tcPr>
            <w:tcW w:w="4418" w:type="dxa"/>
            <w:tcBorders>
              <w:top w:val="nil"/>
              <w:left w:val="nil"/>
              <w:bottom w:val="single" w:color="000000" w:sz="4" w:space="0"/>
              <w:right w:val="single" w:color="000000" w:sz="4" w:space="0"/>
            </w:tcBorders>
            <w:tcMar>
              <w:top w:w="0" w:type="dxa"/>
              <w:left w:w="105" w:type="dxa"/>
              <w:bottom w:w="0" w:type="dxa"/>
              <w:right w:w="105" w:type="dxa"/>
            </w:tcMar>
            <w:vAlign w:val="top"/>
          </w:tcPr>
          <w:p w14:paraId="35154A30">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color w:val="000000"/>
                <w:sz w:val="24"/>
                <w:szCs w:val="24"/>
              </w:rPr>
              <w:t>系统的基本组成及原理、系统环境配置</w:t>
            </w:r>
          </w:p>
        </w:tc>
      </w:tr>
      <w:tr w14:paraId="79BCCC3F">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1023"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54AA0C8D">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color w:val="000000"/>
                <w:sz w:val="24"/>
                <w:szCs w:val="24"/>
              </w:rPr>
              <w:t>2</w:t>
            </w:r>
          </w:p>
        </w:tc>
        <w:tc>
          <w:tcPr>
            <w:tcW w:w="2865" w:type="dxa"/>
            <w:tcBorders>
              <w:top w:val="nil"/>
              <w:left w:val="nil"/>
              <w:bottom w:val="single" w:color="000000" w:sz="4" w:space="0"/>
              <w:right w:val="single" w:color="000000" w:sz="4" w:space="0"/>
            </w:tcBorders>
            <w:tcMar>
              <w:top w:w="0" w:type="dxa"/>
              <w:left w:w="105" w:type="dxa"/>
              <w:bottom w:w="0" w:type="dxa"/>
              <w:right w:w="105" w:type="dxa"/>
            </w:tcMar>
            <w:vAlign w:val="top"/>
          </w:tcPr>
          <w:p w14:paraId="6EC420BF">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color w:val="000000"/>
                <w:sz w:val="24"/>
                <w:szCs w:val="24"/>
              </w:rPr>
              <w:t>系统使用培训</w:t>
            </w:r>
          </w:p>
        </w:tc>
        <w:tc>
          <w:tcPr>
            <w:tcW w:w="4418" w:type="dxa"/>
            <w:tcBorders>
              <w:top w:val="nil"/>
              <w:left w:val="nil"/>
              <w:bottom w:val="single" w:color="000000" w:sz="4" w:space="0"/>
              <w:right w:val="single" w:color="000000" w:sz="4" w:space="0"/>
            </w:tcBorders>
            <w:tcMar>
              <w:top w:w="0" w:type="dxa"/>
              <w:left w:w="105" w:type="dxa"/>
              <w:bottom w:w="0" w:type="dxa"/>
              <w:right w:w="105" w:type="dxa"/>
            </w:tcMar>
            <w:vAlign w:val="top"/>
          </w:tcPr>
          <w:p w14:paraId="33E400EB">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color w:val="000000"/>
                <w:sz w:val="24"/>
                <w:szCs w:val="24"/>
              </w:rPr>
              <w:t>系统的使用培训</w:t>
            </w:r>
          </w:p>
        </w:tc>
      </w:tr>
      <w:tr w14:paraId="7F301B41">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1023"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01FE28DF">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color w:val="000000"/>
                <w:sz w:val="24"/>
                <w:szCs w:val="24"/>
              </w:rPr>
              <w:t>3</w:t>
            </w:r>
          </w:p>
        </w:tc>
        <w:tc>
          <w:tcPr>
            <w:tcW w:w="2865" w:type="dxa"/>
            <w:tcBorders>
              <w:top w:val="nil"/>
              <w:left w:val="nil"/>
              <w:bottom w:val="single" w:color="000000" w:sz="4" w:space="0"/>
              <w:right w:val="single" w:color="000000" w:sz="4" w:space="0"/>
            </w:tcBorders>
            <w:tcMar>
              <w:top w:w="0" w:type="dxa"/>
              <w:left w:w="105" w:type="dxa"/>
              <w:bottom w:w="0" w:type="dxa"/>
              <w:right w:w="105" w:type="dxa"/>
            </w:tcMar>
            <w:vAlign w:val="top"/>
          </w:tcPr>
          <w:p w14:paraId="24025882">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color w:val="000000"/>
                <w:sz w:val="24"/>
                <w:szCs w:val="24"/>
              </w:rPr>
              <w:t>系统维护管理培训</w:t>
            </w:r>
          </w:p>
        </w:tc>
        <w:tc>
          <w:tcPr>
            <w:tcW w:w="4418" w:type="dxa"/>
            <w:tcBorders>
              <w:top w:val="nil"/>
              <w:left w:val="nil"/>
              <w:bottom w:val="single" w:color="000000" w:sz="4" w:space="0"/>
              <w:right w:val="single" w:color="000000" w:sz="4" w:space="0"/>
            </w:tcBorders>
            <w:tcMar>
              <w:top w:w="0" w:type="dxa"/>
              <w:left w:w="105" w:type="dxa"/>
              <w:bottom w:w="0" w:type="dxa"/>
              <w:right w:w="105" w:type="dxa"/>
            </w:tcMar>
            <w:vAlign w:val="top"/>
          </w:tcPr>
          <w:p w14:paraId="45F9FA2D">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color w:val="000000"/>
                <w:sz w:val="24"/>
                <w:szCs w:val="24"/>
              </w:rPr>
              <w:t>系统的维护管理培训</w:t>
            </w:r>
          </w:p>
        </w:tc>
      </w:tr>
      <w:tr w14:paraId="1FDC41C8">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1023"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2DB6AE3">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color w:val="000000"/>
                <w:sz w:val="24"/>
                <w:szCs w:val="24"/>
              </w:rPr>
              <w:t>4</w:t>
            </w:r>
          </w:p>
        </w:tc>
        <w:tc>
          <w:tcPr>
            <w:tcW w:w="2865" w:type="dxa"/>
            <w:tcBorders>
              <w:top w:val="nil"/>
              <w:left w:val="nil"/>
              <w:bottom w:val="single" w:color="000000" w:sz="4" w:space="0"/>
              <w:right w:val="single" w:color="000000" w:sz="4" w:space="0"/>
            </w:tcBorders>
            <w:tcMar>
              <w:top w:w="0" w:type="dxa"/>
              <w:left w:w="105" w:type="dxa"/>
              <w:bottom w:w="0" w:type="dxa"/>
              <w:right w:w="105" w:type="dxa"/>
            </w:tcMar>
            <w:vAlign w:val="top"/>
          </w:tcPr>
          <w:p w14:paraId="6B0C6963">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color w:val="000000"/>
                <w:sz w:val="24"/>
                <w:szCs w:val="24"/>
              </w:rPr>
              <w:t>系统的安装培训</w:t>
            </w:r>
          </w:p>
        </w:tc>
        <w:tc>
          <w:tcPr>
            <w:tcW w:w="4418" w:type="dxa"/>
            <w:tcBorders>
              <w:top w:val="nil"/>
              <w:left w:val="nil"/>
              <w:bottom w:val="single" w:color="000000" w:sz="4" w:space="0"/>
              <w:right w:val="single" w:color="000000" w:sz="4" w:space="0"/>
            </w:tcBorders>
            <w:tcMar>
              <w:top w:w="0" w:type="dxa"/>
              <w:left w:w="105" w:type="dxa"/>
              <w:bottom w:w="0" w:type="dxa"/>
              <w:right w:w="105" w:type="dxa"/>
            </w:tcMar>
            <w:vAlign w:val="top"/>
          </w:tcPr>
          <w:p w14:paraId="707DC000">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color w:val="000000"/>
                <w:sz w:val="24"/>
                <w:szCs w:val="24"/>
              </w:rPr>
              <w:t>系统的安装流程培训</w:t>
            </w:r>
          </w:p>
        </w:tc>
      </w:tr>
      <w:tr w14:paraId="7DD152EA">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1023"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5B34A0C2">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color w:val="000000"/>
                <w:sz w:val="24"/>
                <w:szCs w:val="24"/>
              </w:rPr>
              <w:t>5</w:t>
            </w:r>
          </w:p>
        </w:tc>
        <w:tc>
          <w:tcPr>
            <w:tcW w:w="2865" w:type="dxa"/>
            <w:tcBorders>
              <w:top w:val="nil"/>
              <w:left w:val="nil"/>
              <w:bottom w:val="single" w:color="000000" w:sz="4" w:space="0"/>
              <w:right w:val="single" w:color="000000" w:sz="4" w:space="0"/>
            </w:tcBorders>
            <w:tcMar>
              <w:top w:w="0" w:type="dxa"/>
              <w:left w:w="105" w:type="dxa"/>
              <w:bottom w:w="0" w:type="dxa"/>
              <w:right w:w="105" w:type="dxa"/>
            </w:tcMar>
            <w:vAlign w:val="top"/>
          </w:tcPr>
          <w:p w14:paraId="181399C6">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color w:val="000000"/>
                <w:sz w:val="24"/>
                <w:szCs w:val="24"/>
              </w:rPr>
              <w:t>数据备份与恢复培训</w:t>
            </w:r>
          </w:p>
        </w:tc>
        <w:tc>
          <w:tcPr>
            <w:tcW w:w="4418" w:type="dxa"/>
            <w:tcBorders>
              <w:top w:val="nil"/>
              <w:left w:val="nil"/>
              <w:bottom w:val="single" w:color="000000" w:sz="4" w:space="0"/>
              <w:right w:val="single" w:color="000000" w:sz="4" w:space="0"/>
            </w:tcBorders>
            <w:tcMar>
              <w:top w:w="0" w:type="dxa"/>
              <w:left w:w="105" w:type="dxa"/>
              <w:bottom w:w="0" w:type="dxa"/>
              <w:right w:w="105" w:type="dxa"/>
            </w:tcMar>
            <w:vAlign w:val="top"/>
          </w:tcPr>
          <w:p w14:paraId="3B5B1BE8">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color w:val="000000"/>
                <w:sz w:val="24"/>
                <w:szCs w:val="24"/>
              </w:rPr>
              <w:t>数据库的故障处理，数据备份与恢复</w:t>
            </w:r>
          </w:p>
        </w:tc>
      </w:tr>
    </w:tbl>
    <w:p w14:paraId="37482E7A">
      <w:pPr>
        <w:pStyle w:val="6"/>
        <w:keepNext w:val="0"/>
        <w:keepLines w:val="0"/>
        <w:pageBreakBefore w:val="0"/>
        <w:kinsoku/>
        <w:wordWrap/>
        <w:overflowPunct/>
        <w:topLinePunct w:val="0"/>
        <w:autoSpaceDE/>
        <w:autoSpaceDN/>
        <w:bidi w:val="0"/>
        <w:adjustRightInd/>
        <w:snapToGrid/>
        <w:spacing w:line="500" w:lineRule="exact"/>
        <w:ind w:firstLine="480"/>
        <w:jc w:val="left"/>
        <w:textAlignment w:val="auto"/>
        <w:rPr>
          <w:rFonts w:hint="eastAsia" w:ascii="宋体" w:hAnsi="宋体" w:eastAsia="宋体" w:cs="宋体"/>
          <w:sz w:val="24"/>
          <w:szCs w:val="24"/>
        </w:rPr>
      </w:pPr>
      <w:r>
        <w:rPr>
          <w:rFonts w:hint="eastAsia" w:ascii="宋体" w:hAnsi="宋体" w:eastAsia="宋体" w:cs="宋体"/>
          <w:color w:val="000000"/>
          <w:sz w:val="24"/>
          <w:szCs w:val="24"/>
        </w:rPr>
        <w:t>11、技术文件及交付材料</w:t>
      </w:r>
    </w:p>
    <w:p w14:paraId="0E853847">
      <w:pPr>
        <w:pStyle w:val="6"/>
        <w:keepNext w:val="0"/>
        <w:keepLines w:val="0"/>
        <w:pageBreakBefore w:val="0"/>
        <w:kinsoku/>
        <w:wordWrap/>
        <w:overflowPunct/>
        <w:topLinePunct w:val="0"/>
        <w:autoSpaceDE/>
        <w:autoSpaceDN/>
        <w:bidi w:val="0"/>
        <w:adjustRightInd/>
        <w:snapToGrid/>
        <w:spacing w:line="500" w:lineRule="exact"/>
        <w:ind w:firstLine="480"/>
        <w:textAlignment w:val="auto"/>
        <w:rPr>
          <w:rFonts w:hint="eastAsia" w:ascii="宋体" w:hAnsi="宋体" w:eastAsia="宋体" w:cs="宋体"/>
          <w:sz w:val="24"/>
          <w:szCs w:val="24"/>
        </w:rPr>
      </w:pPr>
      <w:r>
        <w:rPr>
          <w:rFonts w:hint="eastAsia" w:ascii="宋体" w:hAnsi="宋体" w:eastAsia="宋体" w:cs="宋体"/>
          <w:color w:val="000000"/>
          <w:sz w:val="24"/>
          <w:szCs w:val="24"/>
        </w:rPr>
        <w:t>11.1中标人提供的书面技术资料应能满足系统正常运行所需的运行、维护及管理有关的全套文件，至少应提供4套纸介质和2套光盘。</w:t>
      </w:r>
    </w:p>
    <w:p w14:paraId="751D1DD4">
      <w:pPr>
        <w:pStyle w:val="6"/>
        <w:keepNext w:val="0"/>
        <w:keepLines w:val="0"/>
        <w:pageBreakBefore w:val="0"/>
        <w:kinsoku/>
        <w:wordWrap/>
        <w:overflowPunct/>
        <w:topLinePunct w:val="0"/>
        <w:autoSpaceDE/>
        <w:autoSpaceDN/>
        <w:bidi w:val="0"/>
        <w:adjustRightInd/>
        <w:snapToGrid/>
        <w:spacing w:line="500" w:lineRule="exact"/>
        <w:ind w:firstLine="480"/>
        <w:textAlignment w:val="auto"/>
        <w:rPr>
          <w:rFonts w:hint="eastAsia" w:ascii="宋体" w:hAnsi="宋体" w:eastAsia="宋体" w:cs="宋体"/>
          <w:sz w:val="24"/>
          <w:szCs w:val="24"/>
        </w:rPr>
      </w:pPr>
      <w:r>
        <w:rPr>
          <w:rFonts w:hint="eastAsia" w:ascii="宋体" w:hAnsi="宋体" w:eastAsia="宋体" w:cs="宋体"/>
          <w:color w:val="000000"/>
          <w:sz w:val="24"/>
          <w:szCs w:val="24"/>
        </w:rPr>
        <w:t>11.2中标人应提供应用软件开发的所有源代码，源代码须有详细的注释，注释不低于代码总量的30%。</w:t>
      </w:r>
    </w:p>
    <w:p w14:paraId="3E351F66">
      <w:pPr>
        <w:pStyle w:val="6"/>
        <w:keepNext w:val="0"/>
        <w:keepLines w:val="0"/>
        <w:pageBreakBefore w:val="0"/>
        <w:kinsoku/>
        <w:wordWrap/>
        <w:overflowPunct/>
        <w:topLinePunct w:val="0"/>
        <w:autoSpaceDE/>
        <w:autoSpaceDN/>
        <w:bidi w:val="0"/>
        <w:adjustRightInd/>
        <w:snapToGrid/>
        <w:spacing w:line="500" w:lineRule="exact"/>
        <w:ind w:firstLine="480"/>
        <w:textAlignment w:val="auto"/>
        <w:rPr>
          <w:rFonts w:hint="eastAsia" w:ascii="宋体" w:hAnsi="宋体" w:eastAsia="宋体" w:cs="宋体"/>
          <w:sz w:val="24"/>
          <w:szCs w:val="24"/>
        </w:rPr>
      </w:pPr>
      <w:r>
        <w:rPr>
          <w:rFonts w:hint="eastAsia" w:ascii="宋体" w:hAnsi="宋体" w:eastAsia="宋体" w:cs="宋体"/>
          <w:color w:val="000000"/>
          <w:sz w:val="24"/>
          <w:szCs w:val="24"/>
        </w:rPr>
        <w:t>11.3中标人应以光盘形式向采购人提供计算机软件，即本项目的全套软件，是系统可执行的程序。</w:t>
      </w:r>
    </w:p>
    <w:p w14:paraId="7BA9A921">
      <w:pPr>
        <w:pStyle w:val="6"/>
        <w:keepNext w:val="0"/>
        <w:keepLines w:val="0"/>
        <w:pageBreakBefore w:val="0"/>
        <w:kinsoku/>
        <w:wordWrap/>
        <w:overflowPunct/>
        <w:topLinePunct w:val="0"/>
        <w:autoSpaceDE/>
        <w:autoSpaceDN/>
        <w:bidi w:val="0"/>
        <w:adjustRightInd/>
        <w:snapToGrid/>
        <w:spacing w:line="500" w:lineRule="exact"/>
        <w:ind w:firstLine="480"/>
        <w:textAlignment w:val="auto"/>
        <w:rPr>
          <w:rFonts w:hint="eastAsia" w:ascii="宋体" w:hAnsi="宋体" w:eastAsia="宋体" w:cs="宋体"/>
          <w:sz w:val="24"/>
          <w:szCs w:val="24"/>
        </w:rPr>
      </w:pPr>
      <w:r>
        <w:rPr>
          <w:rFonts w:hint="eastAsia" w:ascii="宋体" w:hAnsi="宋体" w:eastAsia="宋体" w:cs="宋体"/>
          <w:color w:val="000000"/>
          <w:sz w:val="24"/>
          <w:szCs w:val="24"/>
        </w:rPr>
        <w:t>11.4技术文件应该全面、完整、详细。在双方商定的某一时期内由于软件的修改而导致文件的任何修改，中标人均应提供修改更正或补充的印刷文件。</w:t>
      </w:r>
    </w:p>
    <w:p w14:paraId="1860BFBD">
      <w:pPr>
        <w:pStyle w:val="6"/>
        <w:keepNext w:val="0"/>
        <w:keepLines w:val="0"/>
        <w:pageBreakBefore w:val="0"/>
        <w:kinsoku/>
        <w:wordWrap/>
        <w:overflowPunct/>
        <w:topLinePunct w:val="0"/>
        <w:autoSpaceDE/>
        <w:autoSpaceDN/>
        <w:bidi w:val="0"/>
        <w:adjustRightInd/>
        <w:snapToGrid/>
        <w:spacing w:line="500" w:lineRule="exact"/>
        <w:ind w:firstLine="480"/>
        <w:textAlignment w:val="auto"/>
        <w:rPr>
          <w:rFonts w:hint="eastAsia" w:ascii="宋体" w:hAnsi="宋体" w:eastAsia="宋体" w:cs="宋体"/>
          <w:sz w:val="24"/>
          <w:szCs w:val="24"/>
        </w:rPr>
      </w:pPr>
      <w:r>
        <w:rPr>
          <w:rFonts w:hint="eastAsia" w:ascii="宋体" w:hAnsi="宋体" w:eastAsia="宋体" w:cs="宋体"/>
          <w:color w:val="000000"/>
          <w:sz w:val="24"/>
          <w:szCs w:val="24"/>
        </w:rPr>
        <w:t>11.5中标人提供的各类文档，名词术语应一致，并给出名词术语解释。</w:t>
      </w:r>
    </w:p>
    <w:p w14:paraId="7B44BEC3">
      <w:pPr>
        <w:pStyle w:val="6"/>
        <w:keepNext w:val="0"/>
        <w:keepLines w:val="0"/>
        <w:pageBreakBefore w:val="0"/>
        <w:kinsoku/>
        <w:wordWrap/>
        <w:overflowPunct/>
        <w:topLinePunct w:val="0"/>
        <w:autoSpaceDE/>
        <w:autoSpaceDN/>
        <w:bidi w:val="0"/>
        <w:adjustRightInd/>
        <w:snapToGrid/>
        <w:spacing w:line="500" w:lineRule="exact"/>
        <w:ind w:firstLine="480"/>
        <w:textAlignment w:val="auto"/>
        <w:rPr>
          <w:rFonts w:hint="eastAsia" w:ascii="宋体" w:hAnsi="宋体" w:eastAsia="宋体" w:cs="宋体"/>
          <w:sz w:val="24"/>
          <w:szCs w:val="24"/>
        </w:rPr>
      </w:pPr>
      <w:r>
        <w:rPr>
          <w:rFonts w:hint="eastAsia" w:ascii="宋体" w:hAnsi="宋体" w:eastAsia="宋体" w:cs="宋体"/>
          <w:color w:val="000000"/>
          <w:sz w:val="24"/>
          <w:szCs w:val="24"/>
        </w:rPr>
        <w:t>11.6中标人提供的技术文件应用中文或英文，培训教材和应用软件开发过程的管理和技术文档均应使用中文。</w:t>
      </w:r>
    </w:p>
    <w:p w14:paraId="514273DA">
      <w:pPr>
        <w:pStyle w:val="6"/>
        <w:keepNext w:val="0"/>
        <w:keepLines w:val="0"/>
        <w:pageBreakBefore w:val="0"/>
        <w:kinsoku/>
        <w:wordWrap/>
        <w:overflowPunct/>
        <w:topLinePunct w:val="0"/>
        <w:autoSpaceDE/>
        <w:autoSpaceDN/>
        <w:bidi w:val="0"/>
        <w:adjustRightInd/>
        <w:snapToGrid/>
        <w:spacing w:line="500" w:lineRule="exact"/>
        <w:ind w:firstLine="480"/>
        <w:textAlignment w:val="auto"/>
        <w:rPr>
          <w:rFonts w:hint="eastAsia" w:ascii="宋体" w:hAnsi="宋体" w:eastAsia="宋体" w:cs="宋体"/>
          <w:sz w:val="24"/>
          <w:szCs w:val="24"/>
        </w:rPr>
      </w:pPr>
      <w:r>
        <w:rPr>
          <w:rFonts w:hint="eastAsia" w:ascii="宋体" w:hAnsi="宋体" w:eastAsia="宋体" w:cs="宋体"/>
          <w:color w:val="000000"/>
          <w:sz w:val="24"/>
          <w:szCs w:val="24"/>
        </w:rPr>
        <w:t>12、保密义务</w:t>
      </w:r>
    </w:p>
    <w:p w14:paraId="50811E02">
      <w:pPr>
        <w:pStyle w:val="6"/>
        <w:keepNext w:val="0"/>
        <w:keepLines w:val="0"/>
        <w:pageBreakBefore w:val="0"/>
        <w:kinsoku/>
        <w:wordWrap/>
        <w:overflowPunct/>
        <w:topLinePunct w:val="0"/>
        <w:autoSpaceDE/>
        <w:autoSpaceDN/>
        <w:bidi w:val="0"/>
        <w:adjustRightInd/>
        <w:snapToGrid/>
        <w:spacing w:line="500" w:lineRule="exact"/>
        <w:ind w:firstLine="480"/>
        <w:jc w:val="left"/>
        <w:textAlignment w:val="auto"/>
        <w:rPr>
          <w:rFonts w:hint="eastAsia" w:ascii="宋体" w:hAnsi="宋体" w:eastAsia="宋体" w:cs="宋体"/>
          <w:sz w:val="24"/>
          <w:szCs w:val="24"/>
        </w:rPr>
      </w:pPr>
      <w:r>
        <w:rPr>
          <w:rFonts w:hint="eastAsia" w:ascii="宋体" w:hAnsi="宋体" w:eastAsia="宋体" w:cs="宋体"/>
          <w:color w:val="000000"/>
          <w:sz w:val="24"/>
          <w:szCs w:val="24"/>
        </w:rPr>
        <w:t>12.1投标人提供的软件系统均应该完全解决可能出现的相关安全问题，不允许通过设置“后门”实现服务。对可能出现的安全问题需提出详细的解决方案和具体的措施。</w:t>
      </w:r>
    </w:p>
    <w:p w14:paraId="1EF6126C">
      <w:pPr>
        <w:pStyle w:val="6"/>
        <w:keepNext w:val="0"/>
        <w:keepLines w:val="0"/>
        <w:pageBreakBefore w:val="0"/>
        <w:kinsoku/>
        <w:wordWrap/>
        <w:overflowPunct/>
        <w:topLinePunct w:val="0"/>
        <w:autoSpaceDE/>
        <w:autoSpaceDN/>
        <w:bidi w:val="0"/>
        <w:adjustRightInd/>
        <w:snapToGrid/>
        <w:spacing w:line="500" w:lineRule="exact"/>
        <w:ind w:firstLine="480"/>
        <w:jc w:val="left"/>
        <w:textAlignment w:val="auto"/>
        <w:rPr>
          <w:rFonts w:hint="eastAsia" w:ascii="宋体" w:hAnsi="宋体" w:eastAsia="宋体" w:cs="宋体"/>
          <w:sz w:val="24"/>
          <w:szCs w:val="24"/>
        </w:rPr>
      </w:pPr>
      <w:r>
        <w:rPr>
          <w:rFonts w:hint="eastAsia" w:ascii="宋体" w:hAnsi="宋体" w:eastAsia="宋体" w:cs="宋体"/>
          <w:color w:val="000000"/>
          <w:sz w:val="24"/>
          <w:szCs w:val="24"/>
        </w:rPr>
        <w:t>12.2系统开发过程中至投标人正式向采购人交付系统文档资料时止，投标人必须采取措施对本项目开发过程中的数据、源代码、技术文档等资料保密。中标人及其人员对从履行本项目过程中获得的、且无法从公开渠道知悉的文件信息、技术资料、商业秘密、政府信息等涉密内容的，无论以何种形式或何种载体，无论在披露时是否以口头、图像或以书面方式表明其具有保密性，均负有保密义务。否则，由于投标人过错导致的上述资料泄密的，投标人必须承担一切责任。完成开发后，双方均有责任对本系统的技术保密承担责任。除法律法规另有规定外，未经采购人书面同意，中标人不得将上述保密信息以任何形式披露、公开给任何第三方或用作工作之外的其他用途目的。否则，采购人有权单方解除本合同，并要求其承担由此导致的一切损失。</w:t>
      </w:r>
    </w:p>
    <w:p w14:paraId="42DCFDAD">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color w:val="000000"/>
          <w:sz w:val="24"/>
          <w:szCs w:val="24"/>
        </w:rPr>
        <w:t>12.3获取对方保密信息的一方，应当采取合理有效的保密措施保护该信息。除获得对方书面许可，或该信息已被对方公开声明不再属于商业秘密，或已通过合法途径在社会上公开外，上述保密条款为持续性条款，且无论本合同无效、解除或终止，均不影响该保密条款的有效性。投标人无条件接受采购人的保密约定，包括在合同期结束后承诺终身的保密义务，并承担相应的泄密责任。</w:t>
      </w:r>
    </w:p>
    <w:p w14:paraId="7DDB77B8">
      <w:pPr>
        <w:pStyle w:val="6"/>
        <w:keepNext w:val="0"/>
        <w:keepLines w:val="0"/>
        <w:pageBreakBefore w:val="0"/>
        <w:kinsoku/>
        <w:wordWrap/>
        <w:overflowPunct/>
        <w:topLinePunct w:val="0"/>
        <w:autoSpaceDE/>
        <w:autoSpaceDN/>
        <w:bidi w:val="0"/>
        <w:adjustRightInd/>
        <w:snapToGrid/>
        <w:spacing w:line="500" w:lineRule="exact"/>
        <w:ind w:firstLine="480"/>
        <w:jc w:val="left"/>
        <w:textAlignment w:val="auto"/>
        <w:rPr>
          <w:rFonts w:hint="eastAsia" w:ascii="宋体" w:hAnsi="宋体" w:eastAsia="宋体" w:cs="宋体"/>
          <w:sz w:val="24"/>
          <w:szCs w:val="24"/>
        </w:rPr>
      </w:pPr>
      <w:r>
        <w:rPr>
          <w:rFonts w:hint="eastAsia" w:ascii="宋体" w:hAnsi="宋体" w:eastAsia="宋体" w:cs="宋体"/>
          <w:color w:val="000000"/>
          <w:sz w:val="24"/>
          <w:szCs w:val="24"/>
        </w:rPr>
        <w:t>13、违约责任</w:t>
      </w:r>
    </w:p>
    <w:p w14:paraId="130DFC35">
      <w:pPr>
        <w:pStyle w:val="6"/>
        <w:keepNext w:val="0"/>
        <w:keepLines w:val="0"/>
        <w:pageBreakBefore w:val="0"/>
        <w:kinsoku/>
        <w:wordWrap/>
        <w:overflowPunct/>
        <w:topLinePunct w:val="0"/>
        <w:autoSpaceDE/>
        <w:autoSpaceDN/>
        <w:bidi w:val="0"/>
        <w:adjustRightInd/>
        <w:snapToGrid/>
        <w:spacing w:line="500" w:lineRule="exact"/>
        <w:ind w:firstLine="400"/>
        <w:jc w:val="both"/>
        <w:textAlignment w:val="auto"/>
        <w:rPr>
          <w:rFonts w:hint="eastAsia" w:ascii="宋体" w:hAnsi="宋体" w:eastAsia="宋体" w:cs="宋体"/>
          <w:sz w:val="24"/>
          <w:szCs w:val="24"/>
        </w:rPr>
      </w:pPr>
      <w:r>
        <w:rPr>
          <w:rFonts w:hint="eastAsia" w:ascii="宋体" w:hAnsi="宋体" w:eastAsia="宋体" w:cs="宋体"/>
          <w:sz w:val="24"/>
          <w:szCs w:val="24"/>
        </w:rPr>
        <w:t>13.1若中标人未能按合同约定的时间或双方另行确定的延期时间按时完成的（不可抗力除外），每逾期1天，中标人应按合同金额的千分之一向采购人支付逾期交付违约金。逾期交付违约金的支付采购人有权从未支付的合同款项中予以扣除。若中标人逾期交付达30天以上（含30天），采购人有权单方解除本项目合同，中标人仍应按上述约定支付逾期交付的违约金。若因此给采购人造成损失的，还应赔偿采购人所受的损失。</w:t>
      </w:r>
    </w:p>
    <w:p w14:paraId="0BC8D90E">
      <w:pPr>
        <w:pStyle w:val="6"/>
        <w:keepNext w:val="0"/>
        <w:keepLines w:val="0"/>
        <w:pageBreakBefore w:val="0"/>
        <w:kinsoku/>
        <w:wordWrap/>
        <w:overflowPunct/>
        <w:topLinePunct w:val="0"/>
        <w:autoSpaceDE/>
        <w:autoSpaceDN/>
        <w:bidi w:val="0"/>
        <w:adjustRightInd/>
        <w:snapToGrid/>
        <w:spacing w:line="500" w:lineRule="exact"/>
        <w:ind w:firstLine="400"/>
        <w:jc w:val="both"/>
        <w:textAlignment w:val="auto"/>
        <w:rPr>
          <w:rFonts w:hint="eastAsia" w:ascii="宋体" w:hAnsi="宋体" w:eastAsia="宋体" w:cs="宋体"/>
          <w:sz w:val="24"/>
          <w:szCs w:val="24"/>
        </w:rPr>
      </w:pPr>
      <w:r>
        <w:rPr>
          <w:rFonts w:hint="eastAsia" w:ascii="宋体" w:hAnsi="宋体" w:eastAsia="宋体" w:cs="宋体"/>
          <w:sz w:val="24"/>
          <w:szCs w:val="24"/>
        </w:rPr>
        <w:t>13.2中标人所交付的产品不符合合同规定及招标文件规定标准的，采购人有权拒收，中标人愿意更换产品但逾期交付的，按中标人逾期交付处理。中标人拒绝更换产品的，视为“中标人不按合同约定履约”。中标人不按合同约定履约的，采购人可以解除采购合同。同时，中标人还须向采购人支付合同总价款20%的违约金。</w:t>
      </w:r>
    </w:p>
    <w:p w14:paraId="0D377ECD">
      <w:pPr>
        <w:pStyle w:val="6"/>
        <w:keepNext w:val="0"/>
        <w:keepLines w:val="0"/>
        <w:pageBreakBefore w:val="0"/>
        <w:kinsoku/>
        <w:wordWrap/>
        <w:overflowPunct/>
        <w:topLinePunct w:val="0"/>
        <w:autoSpaceDE/>
        <w:autoSpaceDN/>
        <w:bidi w:val="0"/>
        <w:adjustRightInd/>
        <w:snapToGrid/>
        <w:spacing w:line="500" w:lineRule="exact"/>
        <w:ind w:firstLine="400"/>
        <w:jc w:val="both"/>
        <w:textAlignment w:val="auto"/>
        <w:rPr>
          <w:rFonts w:hint="eastAsia" w:ascii="宋体" w:hAnsi="宋体" w:eastAsia="宋体" w:cs="宋体"/>
          <w:sz w:val="24"/>
          <w:szCs w:val="24"/>
        </w:rPr>
      </w:pPr>
      <w:r>
        <w:rPr>
          <w:rFonts w:hint="eastAsia" w:ascii="宋体" w:hAnsi="宋体" w:eastAsia="宋体" w:cs="宋体"/>
          <w:sz w:val="24"/>
          <w:szCs w:val="24"/>
        </w:rPr>
        <w:t>13.3若中标人交付不合格从而影响采购人正常使用的，中标人应向采购人偿付合同价款的5％的违约金。违约金不足以弥补损失的，采购人有权要求中标人赔偿损失。</w:t>
      </w:r>
    </w:p>
    <w:p w14:paraId="2D4109D3">
      <w:pPr>
        <w:pStyle w:val="6"/>
        <w:keepNext w:val="0"/>
        <w:keepLines w:val="0"/>
        <w:pageBreakBefore w:val="0"/>
        <w:kinsoku/>
        <w:wordWrap/>
        <w:overflowPunct/>
        <w:topLinePunct w:val="0"/>
        <w:autoSpaceDE/>
        <w:autoSpaceDN/>
        <w:bidi w:val="0"/>
        <w:adjustRightInd/>
        <w:snapToGrid/>
        <w:spacing w:line="500" w:lineRule="exact"/>
        <w:ind w:firstLine="400"/>
        <w:jc w:val="both"/>
        <w:textAlignment w:val="auto"/>
        <w:rPr>
          <w:rFonts w:hint="eastAsia" w:ascii="宋体" w:hAnsi="宋体" w:eastAsia="宋体" w:cs="宋体"/>
          <w:sz w:val="24"/>
          <w:szCs w:val="24"/>
        </w:rPr>
      </w:pPr>
      <w:r>
        <w:rPr>
          <w:rFonts w:hint="eastAsia" w:ascii="宋体" w:hAnsi="宋体" w:eastAsia="宋体" w:cs="宋体"/>
          <w:sz w:val="24"/>
          <w:szCs w:val="24"/>
        </w:rPr>
        <w:t>13.4若中标人未能按照合同约定的时间提供售后服务的，采购人有权委托相关企业进行维修，所产生的一切费用由中标人承担；若因此给采购人造成损失的，中标人还应赔偿采购人所受的损失。</w:t>
      </w:r>
    </w:p>
    <w:p w14:paraId="37E36D85">
      <w:pPr>
        <w:pStyle w:val="6"/>
        <w:keepNext w:val="0"/>
        <w:keepLines w:val="0"/>
        <w:pageBreakBefore w:val="0"/>
        <w:kinsoku/>
        <w:wordWrap/>
        <w:overflowPunct/>
        <w:topLinePunct w:val="0"/>
        <w:autoSpaceDE/>
        <w:autoSpaceDN/>
        <w:bidi w:val="0"/>
        <w:adjustRightInd/>
        <w:snapToGrid/>
        <w:spacing w:line="500" w:lineRule="exact"/>
        <w:ind w:firstLine="400"/>
        <w:jc w:val="both"/>
        <w:textAlignment w:val="auto"/>
        <w:rPr>
          <w:rFonts w:hint="eastAsia" w:ascii="宋体" w:hAnsi="宋体" w:eastAsia="宋体" w:cs="宋体"/>
          <w:sz w:val="24"/>
          <w:szCs w:val="24"/>
        </w:rPr>
      </w:pPr>
      <w:r>
        <w:rPr>
          <w:rFonts w:hint="eastAsia" w:ascii="宋体" w:hAnsi="宋体" w:eastAsia="宋体" w:cs="宋体"/>
          <w:sz w:val="24"/>
          <w:szCs w:val="24"/>
        </w:rPr>
        <w:t>13.5因中标人原因造成采购合同无法按时签订的，视为中标人违约，采购人有权没收其投标保证金。如投标保证金不能弥补中标人违约对采购人造成的损失的，中标人还需另行赔偿。</w:t>
      </w:r>
    </w:p>
    <w:p w14:paraId="103118A4">
      <w:pPr>
        <w:pStyle w:val="6"/>
        <w:keepNext w:val="0"/>
        <w:keepLines w:val="0"/>
        <w:pageBreakBefore w:val="0"/>
        <w:kinsoku/>
        <w:wordWrap/>
        <w:overflowPunct/>
        <w:topLinePunct w:val="0"/>
        <w:autoSpaceDE/>
        <w:autoSpaceDN/>
        <w:bidi w:val="0"/>
        <w:adjustRightInd/>
        <w:snapToGrid/>
        <w:spacing w:line="500" w:lineRule="exact"/>
        <w:ind w:firstLine="400"/>
        <w:jc w:val="both"/>
        <w:textAlignment w:val="auto"/>
        <w:rPr>
          <w:rFonts w:hint="eastAsia" w:ascii="宋体" w:hAnsi="宋体" w:eastAsia="宋体" w:cs="宋体"/>
          <w:sz w:val="24"/>
          <w:szCs w:val="24"/>
        </w:rPr>
      </w:pPr>
      <w:r>
        <w:rPr>
          <w:rFonts w:hint="eastAsia" w:ascii="宋体" w:hAnsi="宋体" w:eastAsia="宋体" w:cs="宋体"/>
          <w:sz w:val="24"/>
          <w:szCs w:val="24"/>
        </w:rPr>
        <w:t>13.6在签订采购合同之后，中标人要求解除合同的，视为中标人违约，中标人应按合同总价的20%向采购人支付违约金。因此给采购人造成损失的，中标人还应赔偿采购人所受的损失。</w:t>
      </w:r>
    </w:p>
    <w:p w14:paraId="38915E73">
      <w:pPr>
        <w:pStyle w:val="6"/>
        <w:keepNext w:val="0"/>
        <w:keepLines w:val="0"/>
        <w:pageBreakBefore w:val="0"/>
        <w:kinsoku/>
        <w:wordWrap/>
        <w:overflowPunct/>
        <w:topLinePunct w:val="0"/>
        <w:autoSpaceDE/>
        <w:autoSpaceDN/>
        <w:bidi w:val="0"/>
        <w:adjustRightInd/>
        <w:snapToGrid/>
        <w:spacing w:line="500" w:lineRule="exact"/>
        <w:ind w:firstLine="400"/>
        <w:jc w:val="both"/>
        <w:textAlignment w:val="auto"/>
        <w:rPr>
          <w:rFonts w:hint="eastAsia" w:ascii="宋体" w:hAnsi="宋体" w:eastAsia="宋体" w:cs="宋体"/>
          <w:sz w:val="24"/>
          <w:szCs w:val="24"/>
        </w:rPr>
      </w:pPr>
      <w:r>
        <w:rPr>
          <w:rFonts w:hint="eastAsia" w:ascii="宋体" w:hAnsi="宋体" w:eastAsia="宋体" w:cs="宋体"/>
          <w:sz w:val="24"/>
          <w:szCs w:val="24"/>
        </w:rPr>
        <w:t>13.7因中标人原因发生质量事故、安全事故的，由中标人承担事故全部赔偿责任，同时采购人有权终止合同。给采购人造成损失的，需另行支付相应的赔偿。</w:t>
      </w:r>
    </w:p>
    <w:p w14:paraId="29DDFE71">
      <w:pPr>
        <w:pStyle w:val="6"/>
        <w:keepNext w:val="0"/>
        <w:keepLines w:val="0"/>
        <w:pageBreakBefore w:val="0"/>
        <w:kinsoku/>
        <w:wordWrap/>
        <w:overflowPunct/>
        <w:topLinePunct w:val="0"/>
        <w:autoSpaceDE/>
        <w:autoSpaceDN/>
        <w:bidi w:val="0"/>
        <w:adjustRightInd/>
        <w:snapToGrid/>
        <w:spacing w:line="500" w:lineRule="exact"/>
        <w:ind w:firstLine="400"/>
        <w:jc w:val="both"/>
        <w:textAlignment w:val="auto"/>
        <w:rPr>
          <w:rFonts w:hint="eastAsia" w:ascii="宋体" w:hAnsi="宋体" w:eastAsia="宋体" w:cs="宋体"/>
          <w:sz w:val="24"/>
          <w:szCs w:val="24"/>
        </w:rPr>
      </w:pPr>
      <w:r>
        <w:rPr>
          <w:rFonts w:hint="eastAsia" w:ascii="宋体" w:hAnsi="宋体" w:eastAsia="宋体" w:cs="宋体"/>
          <w:sz w:val="24"/>
          <w:szCs w:val="24"/>
        </w:rPr>
        <w:t>13.8中标人派出人员在执行任务过程中，需做好安全防护措施，若发生安全事故，由中标人负全部责任，与采购人无关。</w:t>
      </w:r>
    </w:p>
    <w:p w14:paraId="61CF6BD8">
      <w:pPr>
        <w:pStyle w:val="6"/>
        <w:keepNext w:val="0"/>
        <w:keepLines w:val="0"/>
        <w:pageBreakBefore w:val="0"/>
        <w:kinsoku/>
        <w:wordWrap/>
        <w:overflowPunct/>
        <w:topLinePunct w:val="0"/>
        <w:autoSpaceDE/>
        <w:autoSpaceDN/>
        <w:bidi w:val="0"/>
        <w:adjustRightInd/>
        <w:snapToGrid/>
        <w:spacing w:line="500" w:lineRule="exact"/>
        <w:ind w:firstLine="400"/>
        <w:jc w:val="both"/>
        <w:textAlignment w:val="auto"/>
        <w:rPr>
          <w:rFonts w:hint="eastAsia" w:ascii="宋体" w:hAnsi="宋体" w:eastAsia="宋体" w:cs="宋体"/>
          <w:sz w:val="24"/>
          <w:szCs w:val="24"/>
        </w:rPr>
      </w:pPr>
      <w:r>
        <w:rPr>
          <w:rFonts w:hint="eastAsia" w:ascii="宋体" w:hAnsi="宋体" w:eastAsia="宋体" w:cs="宋体"/>
          <w:sz w:val="24"/>
          <w:szCs w:val="24"/>
        </w:rPr>
        <w:t>13.9中标人派出人员在执行任务过程中，因操作不当造成采购人财产损失的，由中标人负全部赔偿责任。</w:t>
      </w:r>
    </w:p>
    <w:p w14:paraId="49AE75D1">
      <w:pPr>
        <w:pStyle w:val="6"/>
        <w:keepNext w:val="0"/>
        <w:keepLines w:val="0"/>
        <w:pageBreakBefore w:val="0"/>
        <w:kinsoku/>
        <w:wordWrap/>
        <w:overflowPunct/>
        <w:topLinePunct w:val="0"/>
        <w:autoSpaceDE/>
        <w:autoSpaceDN/>
        <w:bidi w:val="0"/>
        <w:adjustRightInd/>
        <w:snapToGrid/>
        <w:spacing w:line="500" w:lineRule="exact"/>
        <w:ind w:firstLine="400"/>
        <w:jc w:val="both"/>
        <w:textAlignment w:val="auto"/>
        <w:rPr>
          <w:rFonts w:hint="eastAsia" w:ascii="宋体" w:hAnsi="宋体" w:eastAsia="宋体" w:cs="宋体"/>
          <w:sz w:val="24"/>
          <w:szCs w:val="24"/>
        </w:rPr>
      </w:pPr>
      <w:r>
        <w:rPr>
          <w:rFonts w:hint="eastAsia" w:ascii="宋体" w:hAnsi="宋体" w:eastAsia="宋体" w:cs="宋体"/>
          <w:sz w:val="24"/>
          <w:szCs w:val="24"/>
        </w:rPr>
        <w:t>13.10因中标人原因所造成的人员伤亡方面的任何责任应受适用的中国法律规定的管辖和制约。由于中标人违反合同造成采购人货物或财产的灭失或损坏，或因采购人在中国境内使用合同设备遭受第三方侵权指控而产生的相应损失，中标人应承担全部责任，并赔偿给采购人造成的损失。</w:t>
      </w:r>
    </w:p>
    <w:p w14:paraId="18D379FD">
      <w:pPr>
        <w:pStyle w:val="6"/>
        <w:keepNext w:val="0"/>
        <w:keepLines w:val="0"/>
        <w:pageBreakBefore w:val="0"/>
        <w:kinsoku/>
        <w:wordWrap/>
        <w:overflowPunct/>
        <w:topLinePunct w:val="0"/>
        <w:autoSpaceDE/>
        <w:autoSpaceDN/>
        <w:bidi w:val="0"/>
        <w:adjustRightInd/>
        <w:snapToGrid/>
        <w:spacing w:line="500" w:lineRule="exact"/>
        <w:ind w:firstLine="400"/>
        <w:jc w:val="both"/>
        <w:textAlignment w:val="auto"/>
        <w:rPr>
          <w:rFonts w:hint="eastAsia" w:ascii="宋体" w:hAnsi="宋体" w:eastAsia="宋体" w:cs="宋体"/>
          <w:sz w:val="24"/>
          <w:szCs w:val="24"/>
        </w:rPr>
      </w:pPr>
      <w:r>
        <w:rPr>
          <w:rFonts w:hint="eastAsia" w:ascii="宋体" w:hAnsi="宋体" w:eastAsia="宋体" w:cs="宋体"/>
          <w:sz w:val="24"/>
          <w:szCs w:val="24"/>
        </w:rPr>
        <w:t>13.11本项目不允许中标人以任何名义和理由进行转包，如有发现，视为中标人违约，采购人有权单方终止合同；中标人违约对采购人造成损失的，需另行支付相应的赔偿。</w:t>
      </w:r>
    </w:p>
    <w:p w14:paraId="0AAB9B6C">
      <w:pPr>
        <w:pStyle w:val="6"/>
        <w:keepNext w:val="0"/>
        <w:keepLines w:val="0"/>
        <w:pageBreakBefore w:val="0"/>
        <w:kinsoku/>
        <w:wordWrap/>
        <w:overflowPunct/>
        <w:topLinePunct w:val="0"/>
        <w:autoSpaceDE/>
        <w:autoSpaceDN/>
        <w:bidi w:val="0"/>
        <w:adjustRightInd/>
        <w:snapToGrid/>
        <w:spacing w:line="500" w:lineRule="exact"/>
        <w:ind w:firstLine="400"/>
        <w:jc w:val="both"/>
        <w:textAlignment w:val="auto"/>
        <w:rPr>
          <w:rFonts w:hint="eastAsia" w:ascii="宋体" w:hAnsi="宋体" w:eastAsia="宋体" w:cs="宋体"/>
          <w:sz w:val="24"/>
          <w:szCs w:val="24"/>
        </w:rPr>
      </w:pPr>
      <w:r>
        <w:rPr>
          <w:rFonts w:hint="eastAsia" w:ascii="宋体" w:hAnsi="宋体" w:eastAsia="宋体" w:cs="宋体"/>
          <w:sz w:val="24"/>
          <w:szCs w:val="24"/>
        </w:rPr>
        <w:t>13.12在明确违约责任后，中标人应在接到书面通知书起七天内支付违约金、赔偿金等。</w:t>
      </w:r>
    </w:p>
    <w:p w14:paraId="516F5B59">
      <w:pPr>
        <w:pStyle w:val="6"/>
        <w:keepNext w:val="0"/>
        <w:keepLines w:val="0"/>
        <w:pageBreakBefore w:val="0"/>
        <w:kinsoku/>
        <w:wordWrap/>
        <w:overflowPunct/>
        <w:topLinePunct w:val="0"/>
        <w:autoSpaceDE/>
        <w:autoSpaceDN/>
        <w:bidi w:val="0"/>
        <w:adjustRightInd/>
        <w:snapToGrid/>
        <w:spacing w:line="500" w:lineRule="exact"/>
        <w:textAlignment w:val="auto"/>
        <w:rPr>
          <w:rFonts w:hint="eastAsia" w:ascii="宋体" w:hAnsi="宋体" w:eastAsia="宋体" w:cs="宋体"/>
          <w:sz w:val="24"/>
          <w:szCs w:val="24"/>
        </w:rPr>
      </w:pPr>
      <w:r>
        <w:rPr>
          <w:rFonts w:hint="eastAsia" w:ascii="宋体" w:hAnsi="宋体" w:eastAsia="宋体" w:cs="宋体"/>
          <w:sz w:val="24"/>
          <w:szCs w:val="24"/>
        </w:rPr>
        <w:t>13.13任何一方因对方违约，向违约方主张权利所支出的律师费、诉讼费/仲裁费、保全费、差旅费等费用均有权要求违约方承担。</w:t>
      </w:r>
    </w:p>
    <w:p w14:paraId="0DEF1681">
      <w:pPr>
        <w:pStyle w:val="6"/>
        <w:keepNext w:val="0"/>
        <w:keepLines w:val="0"/>
        <w:pageBreakBefore w:val="0"/>
        <w:kinsoku/>
        <w:wordWrap/>
        <w:overflowPunct/>
        <w:topLinePunct w:val="0"/>
        <w:autoSpaceDE/>
        <w:autoSpaceDN/>
        <w:bidi w:val="0"/>
        <w:adjustRightInd/>
        <w:snapToGrid/>
        <w:spacing w:line="500" w:lineRule="exact"/>
        <w:ind w:firstLine="480"/>
        <w:jc w:val="left"/>
        <w:textAlignment w:val="auto"/>
        <w:rPr>
          <w:rFonts w:hint="eastAsia" w:ascii="宋体" w:hAnsi="宋体" w:eastAsia="宋体" w:cs="宋体"/>
          <w:sz w:val="24"/>
          <w:szCs w:val="24"/>
        </w:rPr>
      </w:pPr>
      <w:r>
        <w:rPr>
          <w:rFonts w:hint="eastAsia" w:ascii="宋体" w:hAnsi="宋体" w:eastAsia="宋体" w:cs="宋体"/>
          <w:sz w:val="24"/>
          <w:szCs w:val="24"/>
          <w:shd w:val="clear" w:fill="FFFFFF"/>
        </w:rPr>
        <w:t>14、不可抗力</w:t>
      </w:r>
    </w:p>
    <w:p w14:paraId="7AC9561D">
      <w:pPr>
        <w:pStyle w:val="6"/>
        <w:keepNext w:val="0"/>
        <w:keepLines w:val="0"/>
        <w:pageBreakBefore w:val="0"/>
        <w:kinsoku/>
        <w:wordWrap/>
        <w:overflowPunct/>
        <w:topLinePunct w:val="0"/>
        <w:autoSpaceDE/>
        <w:autoSpaceDN/>
        <w:bidi w:val="0"/>
        <w:adjustRightInd/>
        <w:snapToGrid/>
        <w:spacing w:line="500" w:lineRule="exact"/>
        <w:ind w:firstLine="480"/>
        <w:jc w:val="left"/>
        <w:textAlignment w:val="auto"/>
        <w:rPr>
          <w:rFonts w:hint="eastAsia" w:ascii="宋体" w:hAnsi="宋体" w:eastAsia="宋体" w:cs="宋体"/>
          <w:sz w:val="24"/>
          <w:szCs w:val="24"/>
        </w:rPr>
      </w:pPr>
      <w:r>
        <w:rPr>
          <w:rFonts w:hint="eastAsia" w:ascii="宋体" w:hAnsi="宋体" w:eastAsia="宋体" w:cs="宋体"/>
          <w:sz w:val="24"/>
          <w:szCs w:val="24"/>
          <w:shd w:val="clear" w:fill="FFFFFF"/>
        </w:rPr>
        <w:t>14.1因不可抗力造成违约的，遭受不可抗力一方应及时向对方通报不能履行或不能完全履行的理由，并在随后取得有关主管机关证明后的15日内向另一方提供不可抗力发生以及持续期间的充分证据。基于以上行为，允许遭受不可抗力一方延期履行、部分履行或者不履行合同，并根据情况可部分或全部免于承担违约责任。</w:t>
      </w:r>
    </w:p>
    <w:p w14:paraId="7F02878A">
      <w:pPr>
        <w:pStyle w:val="6"/>
        <w:keepNext w:val="0"/>
        <w:keepLines w:val="0"/>
        <w:pageBreakBefore w:val="0"/>
        <w:kinsoku/>
        <w:wordWrap/>
        <w:overflowPunct/>
        <w:topLinePunct w:val="0"/>
        <w:autoSpaceDE/>
        <w:autoSpaceDN/>
        <w:bidi w:val="0"/>
        <w:adjustRightInd/>
        <w:snapToGrid/>
        <w:spacing w:line="500" w:lineRule="exact"/>
        <w:ind w:firstLine="480"/>
        <w:jc w:val="left"/>
        <w:textAlignment w:val="auto"/>
        <w:rPr>
          <w:rFonts w:hint="eastAsia" w:ascii="宋体" w:hAnsi="宋体" w:eastAsia="宋体" w:cs="宋体"/>
          <w:sz w:val="24"/>
          <w:szCs w:val="24"/>
        </w:rPr>
      </w:pPr>
      <w:r>
        <w:rPr>
          <w:rFonts w:hint="eastAsia" w:ascii="宋体" w:hAnsi="宋体" w:eastAsia="宋体" w:cs="宋体"/>
          <w:sz w:val="24"/>
          <w:szCs w:val="24"/>
          <w:shd w:val="clear" w:fill="FFFFFF"/>
        </w:rPr>
        <w:t>14.2合同中的不可抗力指不能预见、不能避免并不能克服的客观情况。包括但不限于：自然灾害如地震、台风、洪水、火灾；政府行为、法律规定或其适用的变化或者其他任何无法预见、避免或者控制的事件。</w:t>
      </w:r>
    </w:p>
    <w:p w14:paraId="7C6CB05B">
      <w:pPr>
        <w:pStyle w:val="6"/>
        <w:keepNext w:val="0"/>
        <w:keepLines w:val="0"/>
        <w:pageBreakBefore w:val="0"/>
        <w:numPr>
          <w:ilvl w:val="0"/>
          <w:numId w:val="0"/>
        </w:numPr>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shd w:val="clear" w:fill="FFFFFF"/>
          <w:lang w:val="en-US" w:eastAsia="zh-CN"/>
        </w:rPr>
        <w:t>15、</w:t>
      </w:r>
      <w:r>
        <w:rPr>
          <w:rFonts w:hint="eastAsia" w:ascii="宋体" w:hAnsi="宋体" w:eastAsia="宋体" w:cs="宋体"/>
          <w:sz w:val="24"/>
          <w:szCs w:val="24"/>
          <w:shd w:val="clear" w:fill="FFFFFF"/>
        </w:rPr>
        <w:t>专利权及知识产权</w:t>
      </w:r>
    </w:p>
    <w:p w14:paraId="79FEA4A7">
      <w:pPr>
        <w:pStyle w:val="6"/>
        <w:keepNext w:val="0"/>
        <w:keepLines w:val="0"/>
        <w:pageBreakBefore w:val="0"/>
        <w:kinsoku/>
        <w:wordWrap/>
        <w:overflowPunct/>
        <w:topLinePunct w:val="0"/>
        <w:autoSpaceDE/>
        <w:autoSpaceDN/>
        <w:bidi w:val="0"/>
        <w:adjustRightInd/>
        <w:snapToGrid/>
        <w:spacing w:line="500" w:lineRule="exact"/>
        <w:ind w:firstLine="480"/>
        <w:jc w:val="left"/>
        <w:textAlignment w:val="auto"/>
        <w:rPr>
          <w:rFonts w:hint="eastAsia" w:ascii="宋体" w:hAnsi="宋体" w:eastAsia="宋体" w:cs="宋体"/>
          <w:sz w:val="24"/>
          <w:szCs w:val="24"/>
        </w:rPr>
      </w:pPr>
      <w:r>
        <w:rPr>
          <w:rFonts w:hint="eastAsia" w:ascii="宋体" w:hAnsi="宋体" w:eastAsia="宋体" w:cs="宋体"/>
          <w:sz w:val="24"/>
          <w:szCs w:val="24"/>
          <w:shd w:val="clear" w:fill="FFFFFF"/>
        </w:rPr>
        <w:t>中标人为本项目开发形成的全部交付物（包括源代码、文档、设计等）的知识产权，自产生之日起全部、永久归采购人所有。中标人原有的背景知识产权仍归中标人所有。</w:t>
      </w:r>
    </w:p>
    <w:p w14:paraId="2CFBEA53">
      <w:pPr>
        <w:pStyle w:val="6"/>
        <w:keepNext w:val="0"/>
        <w:keepLines w:val="0"/>
        <w:pageBreakBefore w:val="0"/>
        <w:kinsoku/>
        <w:wordWrap/>
        <w:overflowPunct/>
        <w:topLinePunct w:val="0"/>
        <w:autoSpaceDE/>
        <w:autoSpaceDN/>
        <w:bidi w:val="0"/>
        <w:adjustRightInd/>
        <w:snapToGrid/>
        <w:spacing w:line="500" w:lineRule="exact"/>
        <w:ind w:firstLine="480"/>
        <w:jc w:val="left"/>
        <w:textAlignment w:val="auto"/>
        <w:rPr>
          <w:rFonts w:hint="eastAsia" w:ascii="宋体" w:hAnsi="宋体" w:eastAsia="宋体" w:cs="宋体"/>
          <w:sz w:val="24"/>
          <w:szCs w:val="24"/>
        </w:rPr>
      </w:pPr>
      <w:r>
        <w:rPr>
          <w:rFonts w:hint="eastAsia" w:ascii="宋体" w:hAnsi="宋体" w:eastAsia="宋体" w:cs="宋体"/>
          <w:sz w:val="24"/>
          <w:szCs w:val="24"/>
          <w:shd w:val="clear" w:fill="FFFFFF"/>
        </w:rPr>
        <w:t>中标人须保障采购人在使用该服务时不受到第三方关于侵犯专利权、商标权或物业管理设计权等知识产权的指控。如果任何第三方提出侵权指控与采购人无关，</w:t>
      </w:r>
      <w:r>
        <w:rPr>
          <w:rFonts w:hint="eastAsia" w:ascii="宋体" w:hAnsi="宋体" w:eastAsia="宋体" w:cs="宋体"/>
          <w:color w:val="000000"/>
          <w:sz w:val="24"/>
          <w:szCs w:val="24"/>
        </w:rPr>
        <w:t>中标人</w:t>
      </w:r>
      <w:r>
        <w:rPr>
          <w:rFonts w:hint="eastAsia" w:ascii="宋体" w:hAnsi="宋体" w:eastAsia="宋体" w:cs="宋体"/>
          <w:sz w:val="24"/>
          <w:szCs w:val="24"/>
          <w:shd w:val="clear" w:fill="FFFFFF"/>
        </w:rPr>
        <w:t>须与第三方交涉并承担可能发生的责任与一切费用。如采购人因此而遭致损失的，</w:t>
      </w:r>
      <w:r>
        <w:rPr>
          <w:rFonts w:hint="eastAsia" w:ascii="宋体" w:hAnsi="宋体" w:eastAsia="宋体" w:cs="宋体"/>
          <w:color w:val="000000"/>
          <w:sz w:val="24"/>
          <w:szCs w:val="24"/>
        </w:rPr>
        <w:t>中标人</w:t>
      </w:r>
      <w:r>
        <w:rPr>
          <w:rFonts w:hint="eastAsia" w:ascii="宋体" w:hAnsi="宋体" w:eastAsia="宋体" w:cs="宋体"/>
          <w:sz w:val="24"/>
          <w:szCs w:val="24"/>
          <w:shd w:val="clear" w:fill="FFFFFF"/>
        </w:rPr>
        <w:t>应赔偿该损失。</w:t>
      </w:r>
    </w:p>
    <w:p w14:paraId="110BEC8B">
      <w:pPr>
        <w:pStyle w:val="6"/>
        <w:keepNext w:val="0"/>
        <w:keepLines w:val="0"/>
        <w:pageBreakBefore w:val="0"/>
        <w:kinsoku/>
        <w:wordWrap/>
        <w:overflowPunct/>
        <w:topLinePunct w:val="0"/>
        <w:autoSpaceDE/>
        <w:autoSpaceDN/>
        <w:bidi w:val="0"/>
        <w:adjustRightInd/>
        <w:snapToGrid/>
        <w:spacing w:line="500" w:lineRule="exact"/>
        <w:ind w:firstLine="480"/>
        <w:jc w:val="left"/>
        <w:textAlignment w:val="auto"/>
        <w:rPr>
          <w:rFonts w:hint="eastAsia" w:ascii="宋体" w:hAnsi="宋体" w:eastAsia="宋体" w:cs="宋体"/>
          <w:sz w:val="24"/>
          <w:szCs w:val="24"/>
        </w:rPr>
      </w:pPr>
      <w:r>
        <w:rPr>
          <w:rFonts w:hint="eastAsia" w:ascii="宋体" w:hAnsi="宋体" w:eastAsia="宋体" w:cs="宋体"/>
          <w:sz w:val="24"/>
          <w:szCs w:val="24"/>
          <w:shd w:val="clear" w:fill="FFFFFF"/>
        </w:rPr>
        <w:t>16、合同纠纷处理方式</w:t>
      </w:r>
    </w:p>
    <w:p w14:paraId="5C107353">
      <w:pPr>
        <w:pStyle w:val="6"/>
        <w:keepNext w:val="0"/>
        <w:keepLines w:val="0"/>
        <w:pageBreakBefore w:val="0"/>
        <w:kinsoku/>
        <w:wordWrap/>
        <w:overflowPunct/>
        <w:topLinePunct w:val="0"/>
        <w:autoSpaceDE/>
        <w:autoSpaceDN/>
        <w:bidi w:val="0"/>
        <w:adjustRightInd/>
        <w:snapToGrid/>
        <w:spacing w:line="500" w:lineRule="exact"/>
        <w:ind w:firstLine="480"/>
        <w:jc w:val="left"/>
        <w:textAlignment w:val="auto"/>
        <w:rPr>
          <w:rFonts w:hint="eastAsia" w:ascii="宋体" w:hAnsi="宋体" w:eastAsia="宋体" w:cs="宋体"/>
          <w:sz w:val="24"/>
          <w:szCs w:val="24"/>
        </w:rPr>
      </w:pPr>
      <w:r>
        <w:rPr>
          <w:rFonts w:hint="eastAsia" w:ascii="宋体" w:hAnsi="宋体" w:eastAsia="宋体" w:cs="宋体"/>
          <w:sz w:val="24"/>
          <w:szCs w:val="24"/>
          <w:shd w:val="clear" w:fill="FFFFFF"/>
        </w:rPr>
        <w:t>16.1合同争议处理方式</w:t>
      </w:r>
    </w:p>
    <w:p w14:paraId="00246093">
      <w:pPr>
        <w:pStyle w:val="6"/>
        <w:keepNext w:val="0"/>
        <w:keepLines w:val="0"/>
        <w:pageBreakBefore w:val="0"/>
        <w:kinsoku/>
        <w:wordWrap/>
        <w:overflowPunct/>
        <w:topLinePunct w:val="0"/>
        <w:autoSpaceDE/>
        <w:autoSpaceDN/>
        <w:bidi w:val="0"/>
        <w:adjustRightInd/>
        <w:snapToGrid/>
        <w:spacing w:line="500" w:lineRule="exact"/>
        <w:ind w:firstLine="480"/>
        <w:jc w:val="left"/>
        <w:textAlignment w:val="auto"/>
        <w:rPr>
          <w:rFonts w:hint="eastAsia" w:ascii="宋体" w:hAnsi="宋体" w:eastAsia="宋体" w:cs="宋体"/>
          <w:sz w:val="24"/>
          <w:szCs w:val="24"/>
        </w:rPr>
      </w:pPr>
      <w:r>
        <w:rPr>
          <w:rFonts w:hint="eastAsia" w:ascii="宋体" w:hAnsi="宋体" w:eastAsia="宋体" w:cs="宋体"/>
          <w:sz w:val="24"/>
          <w:szCs w:val="24"/>
          <w:shd w:val="clear" w:fill="FFFFFF"/>
        </w:rPr>
        <w:t>采购人及</w:t>
      </w:r>
      <w:r>
        <w:rPr>
          <w:rFonts w:hint="eastAsia" w:ascii="宋体" w:hAnsi="宋体" w:eastAsia="宋体" w:cs="宋体"/>
          <w:color w:val="000000"/>
          <w:sz w:val="24"/>
          <w:szCs w:val="24"/>
        </w:rPr>
        <w:t>中标人</w:t>
      </w:r>
      <w:r>
        <w:rPr>
          <w:rFonts w:hint="eastAsia" w:ascii="宋体" w:hAnsi="宋体" w:eastAsia="宋体" w:cs="宋体"/>
          <w:sz w:val="24"/>
          <w:szCs w:val="24"/>
          <w:shd w:val="clear" w:fill="FFFFFF"/>
        </w:rPr>
        <w:t>双方必须认真履行合同条款。因合同或本合同有关的一切事项发生争议，由双方友好协商解决，协商不成的，任何一方均可向采购人所在地人民法院提起诉讼。</w:t>
      </w:r>
    </w:p>
    <w:p w14:paraId="131E1843">
      <w:pPr>
        <w:pStyle w:val="6"/>
        <w:keepNext w:val="0"/>
        <w:keepLines w:val="0"/>
        <w:pageBreakBefore w:val="0"/>
        <w:kinsoku/>
        <w:wordWrap/>
        <w:overflowPunct/>
        <w:topLinePunct w:val="0"/>
        <w:autoSpaceDE/>
        <w:autoSpaceDN/>
        <w:bidi w:val="0"/>
        <w:adjustRightInd/>
        <w:snapToGrid/>
        <w:spacing w:line="500" w:lineRule="exact"/>
        <w:ind w:firstLine="480"/>
        <w:jc w:val="left"/>
        <w:textAlignment w:val="auto"/>
        <w:rPr>
          <w:rFonts w:hint="eastAsia" w:ascii="宋体" w:hAnsi="宋体" w:eastAsia="宋体" w:cs="宋体"/>
          <w:sz w:val="24"/>
          <w:szCs w:val="24"/>
        </w:rPr>
      </w:pPr>
      <w:r>
        <w:rPr>
          <w:rFonts w:hint="eastAsia" w:ascii="宋体" w:hAnsi="宋体" w:eastAsia="宋体" w:cs="宋体"/>
          <w:sz w:val="24"/>
          <w:szCs w:val="24"/>
          <w:shd w:val="clear" w:fill="FFFFFF"/>
        </w:rPr>
        <w:t>16.2诉讼相关费用承担</w:t>
      </w:r>
    </w:p>
    <w:p w14:paraId="3961E315">
      <w:pPr>
        <w:pStyle w:val="6"/>
        <w:keepNext w:val="0"/>
        <w:keepLines w:val="0"/>
        <w:pageBreakBefore w:val="0"/>
        <w:kinsoku/>
        <w:wordWrap/>
        <w:overflowPunct/>
        <w:topLinePunct w:val="0"/>
        <w:autoSpaceDE/>
        <w:autoSpaceDN/>
        <w:bidi w:val="0"/>
        <w:adjustRightInd/>
        <w:snapToGrid/>
        <w:spacing w:line="500" w:lineRule="exact"/>
        <w:ind w:firstLine="480"/>
        <w:jc w:val="left"/>
        <w:textAlignment w:val="auto"/>
        <w:rPr>
          <w:rFonts w:hint="eastAsia" w:ascii="宋体" w:hAnsi="宋体" w:eastAsia="宋体" w:cs="宋体"/>
          <w:sz w:val="24"/>
          <w:szCs w:val="24"/>
        </w:rPr>
      </w:pPr>
      <w:r>
        <w:rPr>
          <w:rFonts w:hint="eastAsia" w:ascii="宋体" w:hAnsi="宋体" w:eastAsia="宋体" w:cs="宋体"/>
          <w:sz w:val="24"/>
          <w:szCs w:val="24"/>
          <w:shd w:val="clear" w:fill="FFFFFF"/>
        </w:rPr>
        <w:t>若因</w:t>
      </w:r>
      <w:r>
        <w:rPr>
          <w:rFonts w:hint="eastAsia" w:ascii="宋体" w:hAnsi="宋体" w:eastAsia="宋体" w:cs="宋体"/>
          <w:color w:val="000000"/>
          <w:sz w:val="24"/>
          <w:szCs w:val="24"/>
        </w:rPr>
        <w:t>中标人</w:t>
      </w:r>
      <w:r>
        <w:rPr>
          <w:rFonts w:hint="eastAsia" w:ascii="宋体" w:hAnsi="宋体" w:eastAsia="宋体" w:cs="宋体"/>
          <w:sz w:val="24"/>
          <w:szCs w:val="24"/>
          <w:shd w:val="clear" w:fill="FFFFFF"/>
        </w:rPr>
        <w:t>未履行合同项下义务导致采购人所产生的一切损失(包括但不限于人身财产的损失、律师费、诉讼费、保全费、鉴定费等),均由</w:t>
      </w:r>
      <w:r>
        <w:rPr>
          <w:rFonts w:hint="eastAsia" w:ascii="宋体" w:hAnsi="宋体" w:eastAsia="宋体" w:cs="宋体"/>
          <w:color w:val="000000"/>
          <w:sz w:val="24"/>
          <w:szCs w:val="24"/>
        </w:rPr>
        <w:t>中标人</w:t>
      </w:r>
      <w:r>
        <w:rPr>
          <w:rFonts w:hint="eastAsia" w:ascii="宋体" w:hAnsi="宋体" w:eastAsia="宋体" w:cs="宋体"/>
          <w:sz w:val="24"/>
          <w:szCs w:val="24"/>
          <w:shd w:val="clear" w:fill="FFFFFF"/>
        </w:rPr>
        <w:t>承担赔偿责任。</w:t>
      </w:r>
    </w:p>
    <w:p w14:paraId="59C77695">
      <w:pPr>
        <w:pStyle w:val="6"/>
        <w:keepNext w:val="0"/>
        <w:keepLines w:val="0"/>
        <w:pageBreakBefore w:val="0"/>
        <w:kinsoku/>
        <w:wordWrap/>
        <w:overflowPunct/>
        <w:topLinePunct w:val="0"/>
        <w:autoSpaceDE/>
        <w:autoSpaceDN/>
        <w:bidi w:val="0"/>
        <w:adjustRightInd/>
        <w:snapToGrid/>
        <w:spacing w:line="500" w:lineRule="exact"/>
        <w:ind w:firstLine="480"/>
        <w:jc w:val="left"/>
        <w:textAlignment w:val="auto"/>
        <w:rPr>
          <w:rFonts w:hint="eastAsia" w:ascii="宋体" w:hAnsi="宋体" w:eastAsia="宋体" w:cs="宋体"/>
          <w:sz w:val="24"/>
          <w:szCs w:val="24"/>
        </w:rPr>
      </w:pPr>
      <w:r>
        <w:rPr>
          <w:rFonts w:hint="eastAsia" w:ascii="宋体" w:hAnsi="宋体" w:eastAsia="宋体" w:cs="宋体"/>
          <w:sz w:val="24"/>
          <w:szCs w:val="24"/>
          <w:shd w:val="clear" w:fill="FFFFFF"/>
        </w:rPr>
        <w:t>16.3合同补充和修改</w:t>
      </w:r>
    </w:p>
    <w:p w14:paraId="6A3F4E63">
      <w:pPr>
        <w:pStyle w:val="6"/>
        <w:keepNext w:val="0"/>
        <w:keepLines w:val="0"/>
        <w:pageBreakBefore w:val="0"/>
        <w:kinsoku/>
        <w:wordWrap/>
        <w:overflowPunct/>
        <w:topLinePunct w:val="0"/>
        <w:autoSpaceDE/>
        <w:autoSpaceDN/>
        <w:bidi w:val="0"/>
        <w:adjustRightInd/>
        <w:snapToGrid/>
        <w:spacing w:line="500" w:lineRule="exact"/>
        <w:textAlignment w:val="auto"/>
        <w:rPr>
          <w:rFonts w:hint="eastAsia" w:ascii="宋体" w:hAnsi="宋体" w:eastAsia="宋体" w:cs="宋体"/>
          <w:sz w:val="24"/>
          <w:szCs w:val="24"/>
        </w:rPr>
      </w:pPr>
      <w:r>
        <w:rPr>
          <w:rFonts w:hint="eastAsia" w:ascii="宋体" w:hAnsi="宋体" w:eastAsia="宋体" w:cs="宋体"/>
          <w:sz w:val="24"/>
          <w:szCs w:val="24"/>
          <w:shd w:val="clear" w:fill="FFFFFF"/>
        </w:rPr>
        <w:t>合同生效后，双方对合同内容的变更或补充应采取书面形式，并经双方签字并盖章确认。</w:t>
      </w:r>
    </w:p>
    <w:p w14:paraId="4890B536">
      <w:pPr>
        <w:pStyle w:val="6"/>
        <w:keepNext w:val="0"/>
        <w:keepLines w:val="0"/>
        <w:pageBreakBefore w:val="0"/>
        <w:kinsoku/>
        <w:wordWrap/>
        <w:overflowPunct/>
        <w:topLinePunct w:val="0"/>
        <w:autoSpaceDE/>
        <w:autoSpaceDN/>
        <w:bidi w:val="0"/>
        <w:adjustRightInd/>
        <w:snapToGrid/>
        <w:spacing w:line="500" w:lineRule="exact"/>
        <w:textAlignment w:val="auto"/>
        <w:rPr>
          <w:rFonts w:hint="eastAsia" w:ascii="宋体" w:hAnsi="宋体" w:eastAsia="宋体" w:cs="宋体"/>
          <w:sz w:val="24"/>
          <w:szCs w:val="24"/>
        </w:rPr>
      </w:pPr>
      <w:r>
        <w:rPr>
          <w:rFonts w:hint="eastAsia" w:ascii="宋体" w:hAnsi="宋体" w:eastAsia="宋体" w:cs="宋体"/>
          <w:color w:val="000000"/>
          <w:sz w:val="24"/>
          <w:szCs w:val="24"/>
        </w:rPr>
        <w:t>17、其他</w:t>
      </w:r>
    </w:p>
    <w:p w14:paraId="18006B8E">
      <w:pPr>
        <w:pStyle w:val="6"/>
        <w:keepNext w:val="0"/>
        <w:keepLines w:val="0"/>
        <w:pageBreakBefore w:val="0"/>
        <w:kinsoku/>
        <w:wordWrap/>
        <w:overflowPunct/>
        <w:topLinePunct w:val="0"/>
        <w:autoSpaceDE/>
        <w:autoSpaceDN/>
        <w:bidi w:val="0"/>
        <w:adjustRightInd/>
        <w:snapToGrid/>
        <w:spacing w:line="500" w:lineRule="exact"/>
        <w:textAlignment w:val="auto"/>
        <w:rPr>
          <w:rFonts w:hint="eastAsia" w:ascii="宋体" w:hAnsi="宋体" w:eastAsia="宋体" w:cs="宋体"/>
          <w:sz w:val="24"/>
          <w:szCs w:val="24"/>
        </w:rPr>
      </w:pPr>
      <w:r>
        <w:rPr>
          <w:rFonts w:hint="eastAsia" w:ascii="宋体" w:hAnsi="宋体" w:eastAsia="宋体" w:cs="宋体"/>
          <w:color w:val="000000"/>
          <w:sz w:val="24"/>
          <w:szCs w:val="24"/>
        </w:rPr>
        <w:t>17.1中标人应提供技术服务时所需的技术资料，中标人有责任在保证安全和质量的前提下提供技术服务，包括技术咨询等。</w:t>
      </w:r>
    </w:p>
    <w:p w14:paraId="0BF25E85">
      <w:pPr>
        <w:pStyle w:val="6"/>
        <w:keepNext w:val="0"/>
        <w:keepLines w:val="0"/>
        <w:pageBreakBefore w:val="0"/>
        <w:kinsoku/>
        <w:wordWrap/>
        <w:overflowPunct/>
        <w:topLinePunct w:val="0"/>
        <w:autoSpaceDE/>
        <w:autoSpaceDN/>
        <w:bidi w:val="0"/>
        <w:adjustRightInd/>
        <w:snapToGrid/>
        <w:spacing w:line="500" w:lineRule="exact"/>
        <w:ind w:firstLine="480"/>
        <w:textAlignment w:val="auto"/>
        <w:rPr>
          <w:rFonts w:hint="eastAsia" w:ascii="宋体" w:hAnsi="宋体" w:eastAsia="宋体" w:cs="宋体"/>
          <w:sz w:val="24"/>
          <w:szCs w:val="24"/>
        </w:rPr>
      </w:pPr>
      <w:r>
        <w:rPr>
          <w:rFonts w:hint="eastAsia" w:ascii="宋体" w:hAnsi="宋体" w:eastAsia="宋体" w:cs="宋体"/>
          <w:color w:val="000000"/>
          <w:sz w:val="24"/>
          <w:szCs w:val="24"/>
        </w:rPr>
        <w:t>17.2所有开发的应用软件未经采购人书面许可，所有版本中不得使用软件加密、硬件加密措施或软硬复合加密等措施，不得设定软件运行时间限制。</w:t>
      </w:r>
    </w:p>
    <w:p w14:paraId="5A871C53">
      <w:pPr>
        <w:pStyle w:val="6"/>
        <w:keepNext w:val="0"/>
        <w:keepLines w:val="0"/>
        <w:pageBreakBefore w:val="0"/>
        <w:kinsoku/>
        <w:wordWrap/>
        <w:overflowPunct/>
        <w:topLinePunct w:val="0"/>
        <w:autoSpaceDE/>
        <w:autoSpaceDN/>
        <w:bidi w:val="0"/>
        <w:adjustRightInd/>
        <w:snapToGrid/>
        <w:spacing w:line="500" w:lineRule="exact"/>
        <w:textAlignment w:val="auto"/>
        <w:rPr>
          <w:rFonts w:hint="eastAsia" w:ascii="宋体" w:hAnsi="宋体" w:eastAsia="宋体" w:cs="宋体"/>
          <w:sz w:val="24"/>
          <w:szCs w:val="24"/>
        </w:rPr>
      </w:pPr>
      <w:r>
        <w:rPr>
          <w:rFonts w:hint="eastAsia" w:ascii="宋体" w:hAnsi="宋体" w:eastAsia="宋体" w:cs="宋体"/>
          <w:color w:val="000000"/>
          <w:sz w:val="24"/>
          <w:szCs w:val="24"/>
        </w:rPr>
        <w:t>17.3中标人必须在对整个项目过程、项目文档进行科学、有效的项目管理，以确保项目质量和进度，避免扰乱院方正常工作秩序和流程，并节省用户各类资源，充分发挥系统效益。</w:t>
      </w:r>
    </w:p>
    <w:p w14:paraId="31A897B9">
      <w:pPr>
        <w:pStyle w:val="6"/>
        <w:keepNext w:val="0"/>
        <w:keepLines w:val="0"/>
        <w:pageBreakBefore w:val="0"/>
        <w:kinsoku/>
        <w:wordWrap/>
        <w:overflowPunct/>
        <w:topLinePunct w:val="0"/>
        <w:autoSpaceDE/>
        <w:autoSpaceDN/>
        <w:bidi w:val="0"/>
        <w:adjustRightInd/>
        <w:snapToGrid/>
        <w:spacing w:line="500" w:lineRule="exact"/>
        <w:ind w:firstLine="482"/>
        <w:jc w:val="both"/>
        <w:textAlignment w:val="auto"/>
        <w:rPr>
          <w:rFonts w:hint="eastAsia" w:ascii="宋体" w:hAnsi="宋体" w:eastAsia="宋体" w:cs="宋体"/>
          <w:sz w:val="24"/>
          <w:szCs w:val="24"/>
        </w:rPr>
      </w:pPr>
      <w:r>
        <w:rPr>
          <w:rFonts w:hint="eastAsia" w:ascii="宋体" w:hAnsi="宋体" w:eastAsia="宋体" w:cs="宋体"/>
          <w:b/>
          <w:sz w:val="24"/>
          <w:szCs w:val="24"/>
        </w:rPr>
        <w:t>★注：以上“三、商务条件</w:t>
      </w:r>
      <w:r>
        <w:rPr>
          <w:rFonts w:hint="eastAsia" w:ascii="宋体" w:hAnsi="宋体" w:eastAsia="宋体" w:cs="宋体"/>
          <w:sz w:val="24"/>
          <w:szCs w:val="24"/>
        </w:rPr>
        <w:t xml:space="preserve"> </w:t>
      </w:r>
      <w:r>
        <w:rPr>
          <w:rFonts w:hint="eastAsia" w:ascii="宋体" w:hAnsi="宋体" w:eastAsia="宋体" w:cs="宋体"/>
          <w:b/>
          <w:sz w:val="24"/>
          <w:szCs w:val="24"/>
        </w:rPr>
        <w:t>”均为不允许负偏离的实质性要求，若有负偏离或未响应招标文件的，按无效投标处理。</w:t>
      </w:r>
    </w:p>
    <w:p w14:paraId="3974D756">
      <w:pPr>
        <w:pStyle w:val="6"/>
        <w:keepNext w:val="0"/>
        <w:keepLines w:val="0"/>
        <w:pageBreakBefore w:val="0"/>
        <w:kinsoku/>
        <w:wordWrap/>
        <w:overflowPunct/>
        <w:topLinePunct w:val="0"/>
        <w:autoSpaceDE/>
        <w:autoSpaceDN/>
        <w:bidi w:val="0"/>
        <w:adjustRightInd/>
        <w:snapToGrid/>
        <w:spacing w:line="500" w:lineRule="exact"/>
        <w:jc w:val="both"/>
        <w:textAlignment w:val="auto"/>
        <w:outlineLvl w:val="2"/>
        <w:rPr>
          <w:rFonts w:hint="eastAsia" w:ascii="宋体" w:hAnsi="宋体" w:eastAsia="宋体" w:cs="宋体"/>
          <w:sz w:val="24"/>
          <w:szCs w:val="24"/>
        </w:rPr>
      </w:pPr>
      <w:r>
        <w:rPr>
          <w:rFonts w:hint="eastAsia" w:ascii="宋体" w:hAnsi="宋体" w:eastAsia="宋体" w:cs="宋体"/>
          <w:b/>
          <w:sz w:val="24"/>
          <w:szCs w:val="24"/>
        </w:rPr>
        <w:t>四、其他事项</w:t>
      </w:r>
    </w:p>
    <w:p w14:paraId="0055246C">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1、除招标文件另有规定外，若出现有关法律、法规和规章有强制性规定但招标文件未列明的情形，则投标人应按照有关法律、法规和规章强制性规定执行。</w:t>
      </w:r>
    </w:p>
    <w:p w14:paraId="1E9ADC5C">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2、其他：</w:t>
      </w:r>
    </w:p>
    <w:p w14:paraId="1A57ECD7">
      <w:pPr>
        <w:pStyle w:val="6"/>
        <w:keepNext w:val="0"/>
        <w:keepLines w:val="0"/>
        <w:pageBreakBefore w:val="0"/>
        <w:kinsoku/>
        <w:wordWrap/>
        <w:overflowPunct/>
        <w:topLinePunct w:val="0"/>
        <w:autoSpaceDE/>
        <w:autoSpaceDN/>
        <w:bidi w:val="0"/>
        <w:adjustRightInd/>
        <w:snapToGrid/>
        <w:spacing w:line="5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2、因本项实行远程异地评标，故技术评分项演示部分投标人需知晓以下内容并遵照执行：（1）投标人可根据招标文件评分要求，自行选择是否进行演示，演示所需设备由投标人自行准备。演示不接受使用PPT、图片等非真实系统录播的演示方式，否则视为未提供演示，相应评分项不予计分；（2）演示时长：每家投标人的所有演示总时长不超过30分钟。投标人应自行提前查看福建省政府采购网的供应商操作手册，清楚远程演示相关操作。（3）未按招标文件要求提供演示，或提供的演示不满足招标文件要求的，相应评分项不予计分。（4）本项目开标结束后，投标人须在福建省政府采购网系统评审等候大厅实时等待演示，并在规定时间内接受演示，演示采用屏幕分享的方式进行演示（因专家评审时的不确定性，不能预估演示开始时间，投标人须时刻关注福建省政府采购网后台动向，若因自身原因未响应会议邀请由投标人自行负责）。（5）投标人提供的演示作为本次评标委员会评审依据，若本次招标需复议，评标委员会对演示部分不作再次评审，演示评审结果不作更改。 3、其他： 3.1、投标人按采购包投标，对同一个采购包内所有品目号内容投标时必须完整。不得仅对一个采购包中的部分服务进行投标，否则其投标将被拒绝。评标与授标以采购包为单位； 3.2、投标报价统一以人民币元为单位，投标报价包括但不限于合同实施过程中的一切可预见和不可预见费用，合同期内均不予调整。 3.3、本项目不允许中标人以任何名义和理由在中标后将中标项目的主体、非主体、关键性工作、非关键性工作进行转包、分包。在履行合同过程中如有发现，采购人有权单方终止合同。视为中标人违约，中标人违约对采购人造成的损失的，需另行支付相应的赔偿，并追究相关法律责任。 3.4本招标文件未明确的其它约定事项或条款，待采购人与中标人签订合同时，由双方协商订立。</w:t>
      </w:r>
    </w:p>
    <w:p w14:paraId="17126111">
      <w:pPr>
        <w:pStyle w:val="6"/>
        <w:keepNext w:val="0"/>
        <w:keepLines w:val="0"/>
        <w:pageBreakBefore w:val="0"/>
        <w:kinsoku/>
        <w:wordWrap/>
        <w:overflowPunct/>
        <w:topLinePunct w:val="0"/>
        <w:autoSpaceDE/>
        <w:autoSpaceDN/>
        <w:bidi w:val="0"/>
        <w:adjustRightInd/>
        <w:snapToGrid/>
        <w:spacing w:line="500" w:lineRule="exact"/>
        <w:textAlignment w:val="auto"/>
        <w:rPr>
          <w:rFonts w:hint="eastAsia" w:ascii="宋体" w:hAnsi="宋体" w:eastAsia="宋体" w:cs="宋体"/>
          <w:sz w:val="24"/>
          <w:szCs w:val="24"/>
        </w:rPr>
      </w:pPr>
      <w:r>
        <w:rPr>
          <w:rFonts w:hint="eastAsia" w:ascii="宋体" w:hAnsi="宋体" w:eastAsia="宋体" w:cs="宋体"/>
          <w:sz w:val="24"/>
          <w:szCs w:val="24"/>
        </w:rPr>
        <w:t xml:space="preserve"> </w:t>
      </w:r>
      <w:r>
        <w:rPr>
          <w:rFonts w:hint="eastAsia" w:ascii="宋体" w:hAnsi="宋体" w:eastAsia="宋体" w:cs="宋体"/>
          <w:sz w:val="24"/>
          <w:szCs w:val="24"/>
        </w:rPr>
        <w:br w:type="textWrapping"/>
      </w:r>
      <w:r>
        <w:rPr>
          <w:rFonts w:hint="eastAsia" w:ascii="宋体" w:hAnsi="宋体" w:eastAsia="宋体" w:cs="宋体"/>
          <w:sz w:val="24"/>
          <w:szCs w:val="24"/>
        </w:rPr>
        <w:br w:type="page"/>
      </w:r>
    </w:p>
    <w:p w14:paraId="7C8EA60A">
      <w:pPr>
        <w:pStyle w:val="6"/>
        <w:keepNext w:val="0"/>
        <w:keepLines w:val="0"/>
        <w:pageBreakBefore w:val="0"/>
        <w:kinsoku/>
        <w:wordWrap/>
        <w:overflowPunct/>
        <w:topLinePunct w:val="0"/>
        <w:autoSpaceDE/>
        <w:autoSpaceDN/>
        <w:bidi w:val="0"/>
        <w:adjustRightInd/>
        <w:snapToGrid/>
        <w:spacing w:line="500" w:lineRule="exact"/>
        <w:jc w:val="center"/>
        <w:textAlignment w:val="auto"/>
        <w:outlineLvl w:val="1"/>
        <w:rPr>
          <w:rFonts w:hint="eastAsia" w:ascii="宋体" w:hAnsi="宋体" w:eastAsia="宋体" w:cs="宋体"/>
          <w:sz w:val="24"/>
          <w:szCs w:val="24"/>
        </w:rPr>
      </w:pPr>
      <w:r>
        <w:rPr>
          <w:rFonts w:hint="eastAsia" w:ascii="宋体" w:hAnsi="宋体" w:eastAsia="宋体" w:cs="宋体"/>
          <w:b/>
          <w:sz w:val="24"/>
          <w:szCs w:val="24"/>
        </w:rPr>
        <w:t>第六章 政府采购合同</w:t>
      </w:r>
    </w:p>
    <w:p w14:paraId="430D8201">
      <w:pPr>
        <w:pStyle w:val="6"/>
        <w:keepNext w:val="0"/>
        <w:keepLines w:val="0"/>
        <w:pageBreakBefore w:val="0"/>
        <w:kinsoku/>
        <w:wordWrap/>
        <w:overflowPunct/>
        <w:topLinePunct w:val="0"/>
        <w:autoSpaceDE/>
        <w:autoSpaceDN/>
        <w:bidi w:val="0"/>
        <w:adjustRightInd/>
        <w:snapToGrid/>
        <w:spacing w:line="500" w:lineRule="exact"/>
        <w:jc w:val="center"/>
        <w:textAlignment w:val="auto"/>
        <w:outlineLvl w:val="2"/>
        <w:rPr>
          <w:rFonts w:hint="eastAsia" w:ascii="宋体" w:hAnsi="宋体" w:eastAsia="宋体" w:cs="宋体"/>
          <w:sz w:val="24"/>
          <w:szCs w:val="24"/>
        </w:rPr>
      </w:pPr>
      <w:r>
        <w:rPr>
          <w:rFonts w:hint="eastAsia" w:ascii="宋体" w:hAnsi="宋体" w:eastAsia="宋体" w:cs="宋体"/>
          <w:b/>
          <w:sz w:val="24"/>
          <w:szCs w:val="24"/>
        </w:rPr>
        <w:t>参考文本</w:t>
      </w:r>
    </w:p>
    <w:p w14:paraId="686F0479">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合同编号：</w:t>
      </w:r>
    </w:p>
    <w:p w14:paraId="31EAEAA4">
      <w:pPr>
        <w:pStyle w:val="6"/>
        <w:keepNext w:val="0"/>
        <w:keepLines w:val="0"/>
        <w:pageBreakBefore w:val="0"/>
        <w:kinsoku/>
        <w:wordWrap/>
        <w:overflowPunct/>
        <w:topLinePunct w:val="0"/>
        <w:autoSpaceDE/>
        <w:autoSpaceDN/>
        <w:bidi w:val="0"/>
        <w:adjustRightInd/>
        <w:snapToGrid/>
        <w:spacing w:line="500" w:lineRule="exact"/>
        <w:jc w:val="center"/>
        <w:textAlignment w:val="auto"/>
        <w:outlineLvl w:val="1"/>
        <w:rPr>
          <w:rFonts w:hint="eastAsia" w:ascii="宋体" w:hAnsi="宋体" w:eastAsia="宋体" w:cs="宋体"/>
          <w:sz w:val="24"/>
          <w:szCs w:val="24"/>
        </w:rPr>
      </w:pPr>
      <w:r>
        <w:rPr>
          <w:rFonts w:hint="eastAsia" w:ascii="宋体" w:hAnsi="宋体" w:eastAsia="宋体" w:cs="宋体"/>
          <w:b/>
          <w:sz w:val="24"/>
          <w:szCs w:val="24"/>
        </w:rPr>
        <w:t xml:space="preserve"> 福建省政府采购合同（服务类）</w:t>
      </w:r>
    </w:p>
    <w:p w14:paraId="6197B449">
      <w:pPr>
        <w:pStyle w:val="6"/>
        <w:keepNext w:val="0"/>
        <w:keepLines w:val="0"/>
        <w:pageBreakBefore w:val="0"/>
        <w:kinsoku/>
        <w:wordWrap/>
        <w:overflowPunct/>
        <w:topLinePunct w:val="0"/>
        <w:autoSpaceDE/>
        <w:autoSpaceDN/>
        <w:bidi w:val="0"/>
        <w:adjustRightInd/>
        <w:snapToGrid/>
        <w:spacing w:line="500" w:lineRule="exact"/>
        <w:jc w:val="center"/>
        <w:textAlignment w:val="auto"/>
        <w:outlineLvl w:val="3"/>
        <w:rPr>
          <w:rFonts w:hint="eastAsia" w:ascii="宋体" w:hAnsi="宋体" w:eastAsia="宋体" w:cs="宋体"/>
          <w:sz w:val="24"/>
          <w:szCs w:val="24"/>
        </w:rPr>
      </w:pPr>
      <w:r>
        <w:rPr>
          <w:rFonts w:hint="eastAsia" w:ascii="宋体" w:hAnsi="宋体" w:eastAsia="宋体" w:cs="宋体"/>
          <w:b/>
          <w:sz w:val="24"/>
          <w:szCs w:val="24"/>
        </w:rPr>
        <w:t>编制说明</w:t>
      </w:r>
      <w:r>
        <w:rPr>
          <w:rFonts w:hint="eastAsia" w:ascii="宋体" w:hAnsi="宋体" w:eastAsia="宋体" w:cs="宋体"/>
          <w:sz w:val="24"/>
          <w:szCs w:val="24"/>
        </w:rPr>
        <w:br w:type="textWrapping"/>
      </w:r>
    </w:p>
    <w:p w14:paraId="536299C4">
      <w:pPr>
        <w:pStyle w:val="6"/>
        <w:keepNext w:val="0"/>
        <w:keepLines w:val="0"/>
        <w:pageBreakBefore w:val="0"/>
        <w:kinsoku/>
        <w:wordWrap/>
        <w:overflowPunct/>
        <w:topLinePunct w:val="0"/>
        <w:autoSpaceDE/>
        <w:autoSpaceDN/>
        <w:bidi w:val="0"/>
        <w:adjustRightInd/>
        <w:snapToGrid/>
        <w:spacing w:line="500" w:lineRule="exact"/>
        <w:jc w:val="left"/>
        <w:textAlignment w:val="auto"/>
        <w:outlineLvl w:val="3"/>
        <w:rPr>
          <w:rFonts w:hint="eastAsia" w:ascii="宋体" w:hAnsi="宋体" w:eastAsia="宋体" w:cs="宋体"/>
          <w:sz w:val="24"/>
          <w:szCs w:val="24"/>
        </w:rPr>
      </w:pPr>
      <w:r>
        <w:rPr>
          <w:rFonts w:hint="eastAsia" w:ascii="宋体" w:hAnsi="宋体" w:eastAsia="宋体" w:cs="宋体"/>
          <w:b/>
          <w:sz w:val="24"/>
          <w:szCs w:val="24"/>
        </w:rPr>
        <w:t xml:space="preserve"> 1.签订合同应遵守《中华人民共和国政府采购法》及其实施条例、《中华人民共和国民法典》等法律法规及其他有关规定。</w:t>
      </w:r>
    </w:p>
    <w:p w14:paraId="0BB86CE8">
      <w:pPr>
        <w:pStyle w:val="6"/>
        <w:keepNext w:val="0"/>
        <w:keepLines w:val="0"/>
        <w:pageBreakBefore w:val="0"/>
        <w:kinsoku/>
        <w:wordWrap/>
        <w:overflowPunct/>
        <w:topLinePunct w:val="0"/>
        <w:autoSpaceDE/>
        <w:autoSpaceDN/>
        <w:bidi w:val="0"/>
        <w:adjustRightInd/>
        <w:snapToGrid/>
        <w:spacing w:line="500" w:lineRule="exact"/>
        <w:jc w:val="left"/>
        <w:textAlignment w:val="auto"/>
        <w:outlineLvl w:val="3"/>
        <w:rPr>
          <w:rFonts w:hint="eastAsia" w:ascii="宋体" w:hAnsi="宋体" w:eastAsia="宋体" w:cs="宋体"/>
          <w:sz w:val="24"/>
          <w:szCs w:val="24"/>
        </w:rPr>
      </w:pPr>
      <w:r>
        <w:rPr>
          <w:rFonts w:hint="eastAsia" w:ascii="宋体" w:hAnsi="宋体" w:eastAsia="宋体" w:cs="宋体"/>
          <w:b/>
          <w:sz w:val="24"/>
          <w:szCs w:val="24"/>
        </w:rPr>
        <w:t xml:space="preserve"> 2.签订合同时，采购人与中标(成交)人应结合采购文件规定填列相应内容。采购文件已有约定的，双方均不得对约定进行变更或调整；采购文件未作规定的，双方可通过友好协商进行约定。</w:t>
      </w:r>
    </w:p>
    <w:p w14:paraId="651994DB">
      <w:pPr>
        <w:pStyle w:val="6"/>
        <w:keepNext w:val="0"/>
        <w:keepLines w:val="0"/>
        <w:pageBreakBefore w:val="0"/>
        <w:kinsoku/>
        <w:wordWrap/>
        <w:overflowPunct/>
        <w:topLinePunct w:val="0"/>
        <w:autoSpaceDE/>
        <w:autoSpaceDN/>
        <w:bidi w:val="0"/>
        <w:adjustRightInd/>
        <w:snapToGrid/>
        <w:spacing w:line="500" w:lineRule="exact"/>
        <w:jc w:val="left"/>
        <w:textAlignment w:val="auto"/>
        <w:outlineLvl w:val="3"/>
        <w:rPr>
          <w:rFonts w:hint="eastAsia" w:ascii="宋体" w:hAnsi="宋体" w:eastAsia="宋体" w:cs="宋体"/>
          <w:sz w:val="24"/>
          <w:szCs w:val="24"/>
        </w:rPr>
      </w:pPr>
      <w:r>
        <w:rPr>
          <w:rFonts w:hint="eastAsia" w:ascii="宋体" w:hAnsi="宋体" w:eastAsia="宋体" w:cs="宋体"/>
          <w:b/>
          <w:sz w:val="24"/>
          <w:szCs w:val="24"/>
        </w:rPr>
        <w:t xml:space="preserve"> 3.政府有关主管部门对若干合同有规范文本的，可使用相应合同文本。</w:t>
      </w:r>
    </w:p>
    <w:p w14:paraId="337F0D05">
      <w:pPr>
        <w:pStyle w:val="6"/>
        <w:keepNext w:val="0"/>
        <w:keepLines w:val="0"/>
        <w:pageBreakBefore w:val="0"/>
        <w:kinsoku/>
        <w:wordWrap/>
        <w:overflowPunct/>
        <w:topLinePunct w:val="0"/>
        <w:autoSpaceDE/>
        <w:autoSpaceDN/>
        <w:bidi w:val="0"/>
        <w:adjustRightInd/>
        <w:snapToGrid/>
        <w:spacing w:line="500" w:lineRule="exact"/>
        <w:jc w:val="left"/>
        <w:textAlignment w:val="auto"/>
        <w:outlineLvl w:val="3"/>
        <w:rPr>
          <w:rFonts w:hint="eastAsia" w:ascii="宋体" w:hAnsi="宋体" w:eastAsia="宋体" w:cs="宋体"/>
          <w:sz w:val="24"/>
          <w:szCs w:val="24"/>
        </w:rPr>
      </w:pPr>
      <w:r>
        <w:rPr>
          <w:rFonts w:hint="eastAsia" w:ascii="宋体" w:hAnsi="宋体" w:eastAsia="宋体" w:cs="宋体"/>
          <w:b/>
          <w:sz w:val="24"/>
          <w:szCs w:val="24"/>
        </w:rPr>
        <w:t xml:space="preserve"> 4.本合同范本仅供参考，采购人应当根据采购项目的实际需求对合同条款进行修改、补充。</w:t>
      </w:r>
    </w:p>
    <w:p w14:paraId="4E14D9F1">
      <w:pPr>
        <w:pStyle w:val="6"/>
        <w:keepNext w:val="0"/>
        <w:keepLines w:val="0"/>
        <w:pageBreakBefore w:val="0"/>
        <w:kinsoku/>
        <w:wordWrap/>
        <w:overflowPunct/>
        <w:topLinePunct w:val="0"/>
        <w:autoSpaceDE/>
        <w:autoSpaceDN/>
        <w:bidi w:val="0"/>
        <w:adjustRightInd/>
        <w:snapToGrid/>
        <w:spacing w:line="500" w:lineRule="exact"/>
        <w:ind w:left="0"/>
        <w:jc w:val="left"/>
        <w:textAlignment w:val="auto"/>
        <w:rPr>
          <w:rFonts w:hint="eastAsia" w:ascii="宋体" w:hAnsi="宋体" w:eastAsia="宋体" w:cs="宋体"/>
          <w:sz w:val="24"/>
          <w:szCs w:val="24"/>
        </w:rPr>
      </w:pPr>
      <w:r>
        <w:rPr>
          <w:rFonts w:hint="eastAsia" w:ascii="宋体" w:hAnsi="宋体" w:eastAsia="宋体" w:cs="宋体"/>
          <w:sz w:val="24"/>
          <w:szCs w:val="24"/>
        </w:rPr>
        <w:t>甲方：</w:t>
      </w:r>
    </w:p>
    <w:p w14:paraId="1963897E">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住所地：________________</w:t>
      </w:r>
    </w:p>
    <w:p w14:paraId="1CBB1D83">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联系人：________________</w:t>
      </w:r>
    </w:p>
    <w:p w14:paraId="033E1628">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联系电话：______________</w:t>
      </w:r>
    </w:p>
    <w:p w14:paraId="4CF98C22">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传真：________________</w:t>
      </w:r>
    </w:p>
    <w:p w14:paraId="2AE2E67D">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电子邮箱：________________</w:t>
      </w:r>
      <w:r>
        <w:rPr>
          <w:rFonts w:hint="eastAsia" w:ascii="宋体" w:hAnsi="宋体" w:eastAsia="宋体" w:cs="宋体"/>
          <w:sz w:val="24"/>
          <w:szCs w:val="24"/>
        </w:rPr>
        <w:br w:type="textWrapping"/>
      </w:r>
    </w:p>
    <w:p w14:paraId="599755E0">
      <w:pPr>
        <w:pStyle w:val="6"/>
        <w:keepNext w:val="0"/>
        <w:keepLines w:val="0"/>
        <w:pageBreakBefore w:val="0"/>
        <w:kinsoku/>
        <w:wordWrap/>
        <w:overflowPunct/>
        <w:topLinePunct w:val="0"/>
        <w:autoSpaceDE/>
        <w:autoSpaceDN/>
        <w:bidi w:val="0"/>
        <w:adjustRightInd/>
        <w:snapToGrid/>
        <w:spacing w:line="500" w:lineRule="exact"/>
        <w:ind w:left="0"/>
        <w:jc w:val="left"/>
        <w:textAlignment w:val="auto"/>
        <w:rPr>
          <w:rFonts w:hint="eastAsia" w:ascii="宋体" w:hAnsi="宋体" w:eastAsia="宋体" w:cs="宋体"/>
          <w:sz w:val="24"/>
          <w:szCs w:val="24"/>
        </w:rPr>
      </w:pPr>
      <w:r>
        <w:rPr>
          <w:rFonts w:hint="eastAsia" w:ascii="宋体" w:hAnsi="宋体" w:eastAsia="宋体" w:cs="宋体"/>
          <w:sz w:val="24"/>
          <w:szCs w:val="24"/>
        </w:rPr>
        <w:t xml:space="preserve"> 乙方： ________________</w:t>
      </w:r>
    </w:p>
    <w:p w14:paraId="7C0FC5F1">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 xml:space="preserve"> 住所地： ________________</w:t>
      </w:r>
    </w:p>
    <w:p w14:paraId="64E1CCA8">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 xml:space="preserve"> 联系人：______________</w:t>
      </w:r>
    </w:p>
    <w:p w14:paraId="601972A2">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 xml:space="preserve"> 联系电话：______________</w:t>
      </w:r>
    </w:p>
    <w:p w14:paraId="13EB9231">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 xml:space="preserve"> 传真：________________</w:t>
      </w:r>
    </w:p>
    <w:p w14:paraId="40026F16">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 xml:space="preserve"> 电子邮箱：________________</w:t>
      </w:r>
    </w:p>
    <w:p w14:paraId="1CE77B10">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根据项目编号为___________ 的 __________项目（以下简称：“本项目”）的采购结果，遵循平等、自愿、公平和诚实信用的原则，双方签署本合同，具体内容如下：</w:t>
      </w:r>
    </w:p>
    <w:p w14:paraId="6FD29BAD">
      <w:pPr>
        <w:pStyle w:val="6"/>
        <w:keepNext w:val="0"/>
        <w:keepLines w:val="0"/>
        <w:pageBreakBefore w:val="0"/>
        <w:kinsoku/>
        <w:wordWrap/>
        <w:overflowPunct/>
        <w:topLinePunct w:val="0"/>
        <w:autoSpaceDE/>
        <w:autoSpaceDN/>
        <w:bidi w:val="0"/>
        <w:adjustRightInd/>
        <w:snapToGrid/>
        <w:spacing w:line="500" w:lineRule="exact"/>
        <w:jc w:val="left"/>
        <w:textAlignment w:val="auto"/>
        <w:outlineLvl w:val="3"/>
        <w:rPr>
          <w:rFonts w:hint="eastAsia" w:ascii="宋体" w:hAnsi="宋体" w:eastAsia="宋体" w:cs="宋体"/>
          <w:sz w:val="24"/>
          <w:szCs w:val="24"/>
        </w:rPr>
      </w:pPr>
      <w:r>
        <w:rPr>
          <w:rFonts w:hint="eastAsia" w:ascii="宋体" w:hAnsi="宋体" w:eastAsia="宋体" w:cs="宋体"/>
          <w:b/>
          <w:sz w:val="24"/>
          <w:szCs w:val="24"/>
        </w:rPr>
        <w:t xml:space="preserve"> 一、合同组成部分</w:t>
      </w:r>
    </w:p>
    <w:p w14:paraId="56420502">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1.1本合同条款及附件；</w:t>
      </w:r>
    </w:p>
    <w:p w14:paraId="46B5DC69">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1.2采购文件及其附件、补充文件；</w:t>
      </w:r>
    </w:p>
    <w:p w14:paraId="2432F510">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1.3乙方的响应文件及其附件、补充文件；</w:t>
      </w:r>
    </w:p>
    <w:p w14:paraId="3DEE8635">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1.4其他文件或材料：</w:t>
      </w:r>
    </w:p>
    <w:p w14:paraId="41AE250F">
      <w:pPr>
        <w:pStyle w:val="6"/>
        <w:keepNext w:val="0"/>
        <w:keepLines w:val="0"/>
        <w:pageBreakBefore w:val="0"/>
        <w:kinsoku/>
        <w:wordWrap/>
        <w:overflowPunct/>
        <w:topLinePunct w:val="0"/>
        <w:autoSpaceDE/>
        <w:autoSpaceDN/>
        <w:bidi w:val="0"/>
        <w:adjustRightInd/>
        <w:snapToGrid/>
        <w:spacing w:line="500" w:lineRule="exact"/>
        <w:jc w:val="left"/>
        <w:textAlignment w:val="auto"/>
        <w:outlineLvl w:val="3"/>
        <w:rPr>
          <w:rFonts w:hint="eastAsia" w:ascii="宋体" w:hAnsi="宋体" w:eastAsia="宋体" w:cs="宋体"/>
          <w:sz w:val="24"/>
          <w:szCs w:val="24"/>
        </w:rPr>
      </w:pPr>
      <w:r>
        <w:rPr>
          <w:rFonts w:hint="eastAsia" w:ascii="宋体" w:hAnsi="宋体" w:eastAsia="宋体" w:cs="宋体"/>
          <w:b/>
          <w:sz w:val="24"/>
          <w:szCs w:val="24"/>
        </w:rPr>
        <w:t xml:space="preserve"> 二、合同标的</w:t>
      </w:r>
      <w:r>
        <w:rPr>
          <w:rFonts w:hint="eastAsia" w:ascii="宋体" w:hAnsi="宋体" w:eastAsia="宋体" w:cs="宋体"/>
          <w:sz w:val="24"/>
          <w:szCs w:val="24"/>
        </w:rPr>
        <w:br w:type="textWrapping"/>
      </w:r>
    </w:p>
    <w:p w14:paraId="7439F821">
      <w:pPr>
        <w:pStyle w:val="6"/>
        <w:keepNext w:val="0"/>
        <w:keepLines w:val="0"/>
        <w:pageBreakBefore w:val="0"/>
        <w:kinsoku/>
        <w:wordWrap/>
        <w:overflowPunct/>
        <w:topLinePunct w:val="0"/>
        <w:autoSpaceDE/>
        <w:autoSpaceDN/>
        <w:bidi w:val="0"/>
        <w:adjustRightInd/>
        <w:snapToGrid/>
        <w:spacing w:line="500" w:lineRule="exact"/>
        <w:jc w:val="left"/>
        <w:textAlignment w:val="auto"/>
        <w:outlineLvl w:val="3"/>
        <w:rPr>
          <w:rFonts w:hint="eastAsia" w:ascii="宋体" w:hAnsi="宋体" w:eastAsia="宋体" w:cs="宋体"/>
          <w:sz w:val="24"/>
          <w:szCs w:val="24"/>
        </w:rPr>
      </w:pPr>
      <w:r>
        <w:rPr>
          <w:rFonts w:hint="eastAsia" w:ascii="宋体" w:hAnsi="宋体" w:eastAsia="宋体" w:cs="宋体"/>
          <w:b/>
          <w:sz w:val="24"/>
          <w:szCs w:val="24"/>
        </w:rPr>
        <w:t xml:space="preserve"> 三、价格形式及合同价款</w:t>
      </w:r>
    </w:p>
    <w:p w14:paraId="3C8169D8">
      <w:pPr>
        <w:pStyle w:val="6"/>
        <w:keepNext w:val="0"/>
        <w:keepLines w:val="0"/>
        <w:pageBreakBefore w:val="0"/>
        <w:kinsoku/>
        <w:wordWrap/>
        <w:overflowPunct/>
        <w:topLinePunct w:val="0"/>
        <w:autoSpaceDE/>
        <w:autoSpaceDN/>
        <w:bidi w:val="0"/>
        <w:adjustRightInd/>
        <w:snapToGrid/>
        <w:spacing w:line="500" w:lineRule="exact"/>
        <w:jc w:val="left"/>
        <w:textAlignment w:val="auto"/>
        <w:outlineLvl w:val="4"/>
        <w:rPr>
          <w:rFonts w:hint="eastAsia" w:ascii="宋体" w:hAnsi="宋体" w:eastAsia="宋体" w:cs="宋体"/>
          <w:sz w:val="24"/>
          <w:szCs w:val="24"/>
        </w:rPr>
      </w:pPr>
      <w:r>
        <w:rPr>
          <w:rFonts w:hint="eastAsia" w:ascii="宋体" w:hAnsi="宋体" w:eastAsia="宋体" w:cs="宋体"/>
          <w:b/>
          <w:sz w:val="24"/>
          <w:szCs w:val="24"/>
        </w:rPr>
        <w:t xml:space="preserve"> 3.1价格形式</w:t>
      </w:r>
    </w:p>
    <w:p w14:paraId="19A818C7">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 xml:space="preserve"> 固定单价合同。完成约定服务事项的含税合同单价为：人民币（大写）元（￥ _____________元）。</w:t>
      </w:r>
    </w:p>
    <w:p w14:paraId="4B466530">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 xml:space="preserve"> 固定总价合同。完成约定服务事项的含税服务费用为：人民币（大写）元（￥_____________ 元）。</w:t>
      </w:r>
    </w:p>
    <w:p w14:paraId="288E965B">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 xml:space="preserve"> 其他方式。</w:t>
      </w:r>
    </w:p>
    <w:p w14:paraId="4D6C78DA">
      <w:pPr>
        <w:pStyle w:val="6"/>
        <w:keepNext w:val="0"/>
        <w:keepLines w:val="0"/>
        <w:pageBreakBefore w:val="0"/>
        <w:kinsoku/>
        <w:wordWrap/>
        <w:overflowPunct/>
        <w:topLinePunct w:val="0"/>
        <w:autoSpaceDE/>
        <w:autoSpaceDN/>
        <w:bidi w:val="0"/>
        <w:adjustRightInd/>
        <w:snapToGrid/>
        <w:spacing w:line="500" w:lineRule="exact"/>
        <w:jc w:val="left"/>
        <w:textAlignment w:val="auto"/>
        <w:outlineLvl w:val="4"/>
        <w:rPr>
          <w:rFonts w:hint="eastAsia" w:ascii="宋体" w:hAnsi="宋体" w:eastAsia="宋体" w:cs="宋体"/>
          <w:sz w:val="24"/>
          <w:szCs w:val="24"/>
        </w:rPr>
      </w:pPr>
      <w:r>
        <w:rPr>
          <w:rFonts w:hint="eastAsia" w:ascii="宋体" w:hAnsi="宋体" w:eastAsia="宋体" w:cs="宋体"/>
          <w:b/>
          <w:sz w:val="24"/>
          <w:szCs w:val="24"/>
        </w:rPr>
        <w:t xml:space="preserve"> 3.2合同价款包含范围</w:t>
      </w:r>
    </w:p>
    <w:p w14:paraId="256399DE">
      <w:pPr>
        <w:pStyle w:val="6"/>
        <w:keepNext w:val="0"/>
        <w:keepLines w:val="0"/>
        <w:pageBreakBefore w:val="0"/>
        <w:kinsoku/>
        <w:wordWrap/>
        <w:overflowPunct/>
        <w:topLinePunct w:val="0"/>
        <w:autoSpaceDE/>
        <w:autoSpaceDN/>
        <w:bidi w:val="0"/>
        <w:adjustRightInd/>
        <w:snapToGrid/>
        <w:spacing w:line="500" w:lineRule="exact"/>
        <w:jc w:val="left"/>
        <w:textAlignment w:val="auto"/>
        <w:outlineLvl w:val="4"/>
        <w:rPr>
          <w:rFonts w:hint="eastAsia" w:ascii="宋体" w:hAnsi="宋体" w:eastAsia="宋体" w:cs="宋体"/>
          <w:sz w:val="24"/>
          <w:szCs w:val="24"/>
        </w:rPr>
      </w:pPr>
      <w:r>
        <w:rPr>
          <w:rFonts w:hint="eastAsia" w:ascii="宋体" w:hAnsi="宋体" w:eastAsia="宋体" w:cs="宋体"/>
          <w:b/>
          <w:sz w:val="24"/>
          <w:szCs w:val="24"/>
        </w:rPr>
        <w:t xml:space="preserve"> 3.3其他需说明的事项：</w:t>
      </w:r>
    </w:p>
    <w:p w14:paraId="24C03205">
      <w:pPr>
        <w:pStyle w:val="6"/>
        <w:keepNext w:val="0"/>
        <w:keepLines w:val="0"/>
        <w:pageBreakBefore w:val="0"/>
        <w:kinsoku/>
        <w:wordWrap/>
        <w:overflowPunct/>
        <w:topLinePunct w:val="0"/>
        <w:autoSpaceDE/>
        <w:autoSpaceDN/>
        <w:bidi w:val="0"/>
        <w:adjustRightInd/>
        <w:snapToGrid/>
        <w:spacing w:line="500" w:lineRule="exact"/>
        <w:jc w:val="left"/>
        <w:textAlignment w:val="auto"/>
        <w:outlineLvl w:val="3"/>
        <w:rPr>
          <w:rFonts w:hint="eastAsia" w:ascii="宋体" w:hAnsi="宋体" w:eastAsia="宋体" w:cs="宋体"/>
          <w:sz w:val="24"/>
          <w:szCs w:val="24"/>
        </w:rPr>
      </w:pPr>
      <w:r>
        <w:rPr>
          <w:rFonts w:hint="eastAsia" w:ascii="宋体" w:hAnsi="宋体" w:eastAsia="宋体" w:cs="宋体"/>
          <w:b/>
          <w:sz w:val="24"/>
          <w:szCs w:val="24"/>
        </w:rPr>
        <w:t xml:space="preserve"> 四、合同标的及服务范围、地点和时间</w:t>
      </w:r>
    </w:p>
    <w:p w14:paraId="126FA619">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 xml:space="preserve"> 4.1项目名称： _____________</w:t>
      </w:r>
    </w:p>
    <w:p w14:paraId="295A3934">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 xml:space="preserve"> 4.2服务范围：_____________</w:t>
      </w:r>
    </w:p>
    <w:p w14:paraId="68FF3FD1">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 xml:space="preserve"> 4.3服务地点：_____________</w:t>
      </w:r>
    </w:p>
    <w:p w14:paraId="46DC7D72">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 xml:space="preserve"> 4.4服务完成时间：_____________</w:t>
      </w:r>
    </w:p>
    <w:p w14:paraId="66A348C3">
      <w:pPr>
        <w:pStyle w:val="6"/>
        <w:keepNext w:val="0"/>
        <w:keepLines w:val="0"/>
        <w:pageBreakBefore w:val="0"/>
        <w:kinsoku/>
        <w:wordWrap/>
        <w:overflowPunct/>
        <w:topLinePunct w:val="0"/>
        <w:autoSpaceDE/>
        <w:autoSpaceDN/>
        <w:bidi w:val="0"/>
        <w:adjustRightInd/>
        <w:snapToGrid/>
        <w:spacing w:line="500" w:lineRule="exact"/>
        <w:jc w:val="left"/>
        <w:textAlignment w:val="auto"/>
        <w:outlineLvl w:val="3"/>
        <w:rPr>
          <w:rFonts w:hint="eastAsia" w:ascii="宋体" w:hAnsi="宋体" w:eastAsia="宋体" w:cs="宋体"/>
          <w:sz w:val="24"/>
          <w:szCs w:val="24"/>
        </w:rPr>
      </w:pPr>
      <w:r>
        <w:rPr>
          <w:rFonts w:hint="eastAsia" w:ascii="宋体" w:hAnsi="宋体" w:eastAsia="宋体" w:cs="宋体"/>
          <w:b/>
          <w:sz w:val="24"/>
          <w:szCs w:val="24"/>
        </w:rPr>
        <w:t xml:space="preserve"> 五、服务内容、质量标准和要求</w:t>
      </w:r>
    </w:p>
    <w:p w14:paraId="286458FE">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 xml:space="preserve"> 5.1服务工作量的计量方式：_____________</w:t>
      </w:r>
    </w:p>
    <w:p w14:paraId="50C19B3F">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 xml:space="preserve"> 5.2服务内容：_____________</w:t>
      </w:r>
    </w:p>
    <w:p w14:paraId="7A296A66">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 xml:space="preserve"> 5.3技术保障、服务人员组成、所涉及的货物的质量标准：</w:t>
      </w:r>
    </w:p>
    <w:p w14:paraId="465FC9DE">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 xml:space="preserve"> （1）服务技术保障：_____________</w:t>
      </w:r>
    </w:p>
    <w:p w14:paraId="7A22D502">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 xml:space="preserve"> （2）服务人员组成：_____________</w:t>
      </w:r>
    </w:p>
    <w:p w14:paraId="764E6A02">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 xml:space="preserve"> （3）服务设备及物资投入及质量标准：_____________</w:t>
      </w:r>
    </w:p>
    <w:p w14:paraId="6B7F2597">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 xml:space="preserve"> 5.4服务质量标准及要求：</w:t>
      </w:r>
    </w:p>
    <w:p w14:paraId="6C0C354D">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 xml:space="preserve"> 5.4.1乙方提供的服务或使用的产品、软件等应符合国家知识产权法律、法规的规定；乙方还应保证甲方不受到第三方关于侵犯知识产权及专利权、商标权或工业设计权等知识产权方面的指控，任何第三方如果提出此方面指控均与甲方无关，乙方应与第三方交涉，并承担可能发生的一切法律责任、费用和后果；若甲方因此而遭致损失，则乙方应赔偿该损失。</w:t>
      </w:r>
    </w:p>
    <w:p w14:paraId="2AA7C8DE">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 xml:space="preserve"> 5.4.2若乙方提供的服务或使用的产品、软件等不符合国家知识产权法律、法规的规定或被有关主管机关认定为侵权或假冒伪劣品，则乙方中标或成交资格将被取消；甲方还将按照有关法律、法规和规章的规定进行处理，具体如下：</w:t>
      </w:r>
    </w:p>
    <w:p w14:paraId="562334E8">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 xml:space="preserve"> 5.4.3其他要求：</w:t>
      </w:r>
    </w:p>
    <w:p w14:paraId="41057E46">
      <w:pPr>
        <w:pStyle w:val="6"/>
        <w:keepNext w:val="0"/>
        <w:keepLines w:val="0"/>
        <w:pageBreakBefore w:val="0"/>
        <w:kinsoku/>
        <w:wordWrap/>
        <w:overflowPunct/>
        <w:topLinePunct w:val="0"/>
        <w:autoSpaceDE/>
        <w:autoSpaceDN/>
        <w:bidi w:val="0"/>
        <w:adjustRightInd/>
        <w:snapToGrid/>
        <w:spacing w:line="500" w:lineRule="exact"/>
        <w:jc w:val="left"/>
        <w:textAlignment w:val="auto"/>
        <w:outlineLvl w:val="3"/>
        <w:rPr>
          <w:rFonts w:hint="eastAsia" w:ascii="宋体" w:hAnsi="宋体" w:eastAsia="宋体" w:cs="宋体"/>
          <w:sz w:val="24"/>
          <w:szCs w:val="24"/>
        </w:rPr>
      </w:pPr>
      <w:r>
        <w:rPr>
          <w:rFonts w:hint="eastAsia" w:ascii="宋体" w:hAnsi="宋体" w:eastAsia="宋体" w:cs="宋体"/>
          <w:b/>
          <w:sz w:val="24"/>
          <w:szCs w:val="24"/>
        </w:rPr>
        <w:t xml:space="preserve"> 六、服务履约验收或考核</w:t>
      </w:r>
    </w:p>
    <w:p w14:paraId="42FE79CD">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 xml:space="preserve"> 甲方按照采购文件、乙方的投标或响应文件和本协议约定的服务内容及质量要求按次组织对乙方所提供服务进行验收，或定期进行服务考核，并根据验收或考核结果支付服务费用。具体如下：</w:t>
      </w:r>
    </w:p>
    <w:p w14:paraId="7AF03349">
      <w:pPr>
        <w:pStyle w:val="6"/>
        <w:keepNext w:val="0"/>
        <w:keepLines w:val="0"/>
        <w:pageBreakBefore w:val="0"/>
        <w:kinsoku/>
        <w:wordWrap/>
        <w:overflowPunct/>
        <w:topLinePunct w:val="0"/>
        <w:autoSpaceDE/>
        <w:autoSpaceDN/>
        <w:bidi w:val="0"/>
        <w:adjustRightInd/>
        <w:snapToGrid/>
        <w:spacing w:line="500" w:lineRule="exact"/>
        <w:jc w:val="left"/>
        <w:textAlignment w:val="auto"/>
        <w:outlineLvl w:val="3"/>
        <w:rPr>
          <w:rFonts w:hint="eastAsia" w:ascii="宋体" w:hAnsi="宋体" w:eastAsia="宋体" w:cs="宋体"/>
          <w:sz w:val="24"/>
          <w:szCs w:val="24"/>
        </w:rPr>
      </w:pPr>
      <w:r>
        <w:rPr>
          <w:rFonts w:hint="eastAsia" w:ascii="宋体" w:hAnsi="宋体" w:eastAsia="宋体" w:cs="宋体"/>
          <w:b/>
          <w:sz w:val="24"/>
          <w:szCs w:val="24"/>
        </w:rPr>
        <w:t xml:space="preserve"> 七、甲方的权利与义务</w:t>
      </w:r>
    </w:p>
    <w:p w14:paraId="2D16F62F">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 xml:space="preserve"> 7.1甲方委派___________为联系人，联系方式 ___________，负责与乙方联系。如甲方联系人发生变更，甲方应书面告知乙方。</w:t>
      </w:r>
    </w:p>
    <w:p w14:paraId="590BEB39">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 xml:space="preserve"> 7.2甲方应为乙方开展服务工作提供必要的工作条件，以及对内对外沟通和配合协助。</w:t>
      </w:r>
    </w:p>
    <w:p w14:paraId="2624A74D">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 xml:space="preserve"> 7.3甲方应于___________之前提供服务所需的全部资料，并对所提供材料真实性、完整性、合法性负责。</w:t>
      </w:r>
    </w:p>
    <w:p w14:paraId="7660D804">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 xml:space="preserve"> 7.4甲方应对委托服务事项提出明确、合理的要求，并对乙方开展服务过程中需采购人确认事项及时予以确认。甲方根据乙方服务成果提出的建议、方案所做出的决定而导致的损失，非乙方及其委派人员的过错造成由甲方自行承担。</w:t>
      </w:r>
    </w:p>
    <w:p w14:paraId="78A585DE">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 xml:space="preserve"> 7.5甲方应按本合同约定及时足额支付服务费用及相关费用。</w:t>
      </w:r>
    </w:p>
    <w:p w14:paraId="07BA9646">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 xml:space="preserve"> 7.6其他</w:t>
      </w:r>
    </w:p>
    <w:p w14:paraId="692F54D0">
      <w:pPr>
        <w:pStyle w:val="6"/>
        <w:keepNext w:val="0"/>
        <w:keepLines w:val="0"/>
        <w:pageBreakBefore w:val="0"/>
        <w:kinsoku/>
        <w:wordWrap/>
        <w:overflowPunct/>
        <w:topLinePunct w:val="0"/>
        <w:autoSpaceDE/>
        <w:autoSpaceDN/>
        <w:bidi w:val="0"/>
        <w:adjustRightInd/>
        <w:snapToGrid/>
        <w:spacing w:line="500" w:lineRule="exact"/>
        <w:jc w:val="left"/>
        <w:textAlignment w:val="auto"/>
        <w:outlineLvl w:val="3"/>
        <w:rPr>
          <w:rFonts w:hint="eastAsia" w:ascii="宋体" w:hAnsi="宋体" w:eastAsia="宋体" w:cs="宋体"/>
          <w:sz w:val="24"/>
          <w:szCs w:val="24"/>
        </w:rPr>
      </w:pPr>
      <w:r>
        <w:rPr>
          <w:rFonts w:hint="eastAsia" w:ascii="宋体" w:hAnsi="宋体" w:eastAsia="宋体" w:cs="宋体"/>
          <w:b/>
          <w:sz w:val="24"/>
          <w:szCs w:val="24"/>
        </w:rPr>
        <w:t xml:space="preserve"> 八、乙方的权利与义务</w:t>
      </w:r>
    </w:p>
    <w:p w14:paraId="55284C4E">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8.1乙方委派___________为联系人，联系方式 ___________，负责与甲方联系。如乙方联系人发生变更，乙方应书面告知甲方</w:t>
      </w:r>
    </w:p>
    <w:p w14:paraId="0F55E10F">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8.2乙方应国家法律法规和{{乙方的权利与义务-响应要求-福建}}等要求开展{{乙方的权利与义务-开展服务-福建}}服务；</w:t>
      </w:r>
    </w:p>
    <w:p w14:paraId="2D7BC707">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8.3乙方及其所委派服务人员应按标准或协议约定方式出具服务成果，并对其真实性和合法性负法律责任；</w:t>
      </w:r>
    </w:p>
    <w:p w14:paraId="1AA3831D">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8.4乙方对执行业务过程中知悉的国家秘密或甲方的商业秘密保密。除非国家法律法规及行业规范另有规定,或经甲方同意,乙方不得将其知悉的商业秘密和甲方提供的资料对外泄露。</w:t>
      </w:r>
    </w:p>
    <w:p w14:paraId="438B5206">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8.5乙方对服务业务应当单独建档，保存完整的工作记录，并对服务过程使用和暂存甲方的文件、材料和财物应当妥善保管。</w:t>
      </w:r>
    </w:p>
    <w:p w14:paraId="3D644318">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8.6服务工作结束后,乙方将根据情况对甲方服务相关的管理制度及其他事项等提出改进意见。</w:t>
      </w:r>
    </w:p>
    <w:p w14:paraId="5DF61EAF">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8.7乙方完全遵守《中华人民共和国劳动合同法》有关规定和《中华人民共和国妇女权益保障法》中关于“劳动和社会保障权益”的有关要求。</w:t>
      </w:r>
    </w:p>
    <w:p w14:paraId="78FB941E">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8.8其他</w:t>
      </w:r>
    </w:p>
    <w:p w14:paraId="5D8AF2BD">
      <w:pPr>
        <w:pStyle w:val="6"/>
        <w:keepNext w:val="0"/>
        <w:keepLines w:val="0"/>
        <w:pageBreakBefore w:val="0"/>
        <w:kinsoku/>
        <w:wordWrap/>
        <w:overflowPunct/>
        <w:topLinePunct w:val="0"/>
        <w:autoSpaceDE/>
        <w:autoSpaceDN/>
        <w:bidi w:val="0"/>
        <w:adjustRightInd/>
        <w:snapToGrid/>
        <w:spacing w:line="500" w:lineRule="exact"/>
        <w:jc w:val="left"/>
        <w:textAlignment w:val="auto"/>
        <w:outlineLvl w:val="3"/>
        <w:rPr>
          <w:rFonts w:hint="eastAsia" w:ascii="宋体" w:hAnsi="宋体" w:eastAsia="宋体" w:cs="宋体"/>
          <w:sz w:val="24"/>
          <w:szCs w:val="24"/>
        </w:rPr>
      </w:pPr>
      <w:r>
        <w:rPr>
          <w:rFonts w:hint="eastAsia" w:ascii="宋体" w:hAnsi="宋体" w:eastAsia="宋体" w:cs="宋体"/>
          <w:b/>
          <w:sz w:val="24"/>
          <w:szCs w:val="24"/>
        </w:rPr>
        <w:t xml:space="preserve"> 九、资金支付方式、时间和条件</w:t>
      </w:r>
      <w:r>
        <w:rPr>
          <w:rFonts w:hint="eastAsia" w:ascii="宋体" w:hAnsi="宋体" w:eastAsia="宋体" w:cs="宋体"/>
          <w:sz w:val="24"/>
          <w:szCs w:val="24"/>
        </w:rPr>
        <w:br w:type="textWrapping"/>
      </w:r>
    </w:p>
    <w:p w14:paraId="028EB19D">
      <w:pPr>
        <w:pStyle w:val="6"/>
        <w:keepNext w:val="0"/>
        <w:keepLines w:val="0"/>
        <w:pageBreakBefore w:val="0"/>
        <w:kinsoku/>
        <w:wordWrap/>
        <w:overflowPunct/>
        <w:topLinePunct w:val="0"/>
        <w:autoSpaceDE/>
        <w:autoSpaceDN/>
        <w:bidi w:val="0"/>
        <w:adjustRightInd/>
        <w:snapToGrid/>
        <w:spacing w:line="500" w:lineRule="exact"/>
        <w:jc w:val="left"/>
        <w:textAlignment w:val="auto"/>
        <w:outlineLvl w:val="3"/>
        <w:rPr>
          <w:rFonts w:hint="eastAsia" w:ascii="宋体" w:hAnsi="宋体" w:eastAsia="宋体" w:cs="宋体"/>
          <w:sz w:val="24"/>
          <w:szCs w:val="24"/>
        </w:rPr>
      </w:pPr>
      <w:r>
        <w:rPr>
          <w:rFonts w:hint="eastAsia" w:ascii="宋体" w:hAnsi="宋体" w:eastAsia="宋体" w:cs="宋体"/>
          <w:b/>
          <w:sz w:val="24"/>
          <w:szCs w:val="24"/>
        </w:rPr>
        <w:t xml:space="preserve"> 十、履约保证金</w:t>
      </w:r>
    </w:p>
    <w:p w14:paraId="74056B74">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 xml:space="preserve"> □有，□无。具体如下：（按照采购文件规定填写）。</w:t>
      </w:r>
    </w:p>
    <w:p w14:paraId="4F878D30">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10.1乙方向甲方缴纳人民币 / 元作为本合同的履约保证金。</w:t>
      </w:r>
    </w:p>
    <w:p w14:paraId="0A83BE05">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10.2履约保证金缴纳形式：支票/汇票/电汇/保函等非现金形式。</w:t>
      </w:r>
    </w:p>
    <w:p w14:paraId="49392304">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10.3履约保证金合同履行完毕前有效，合同履行完毕后一次性结清退还。</w:t>
      </w:r>
    </w:p>
    <w:p w14:paraId="378D1FA7">
      <w:pPr>
        <w:pStyle w:val="6"/>
        <w:keepNext w:val="0"/>
        <w:keepLines w:val="0"/>
        <w:pageBreakBefore w:val="0"/>
        <w:kinsoku/>
        <w:wordWrap/>
        <w:overflowPunct/>
        <w:topLinePunct w:val="0"/>
        <w:autoSpaceDE/>
        <w:autoSpaceDN/>
        <w:bidi w:val="0"/>
        <w:adjustRightInd/>
        <w:snapToGrid/>
        <w:spacing w:line="500" w:lineRule="exact"/>
        <w:jc w:val="left"/>
        <w:textAlignment w:val="auto"/>
        <w:outlineLvl w:val="3"/>
        <w:rPr>
          <w:rFonts w:hint="eastAsia" w:ascii="宋体" w:hAnsi="宋体" w:eastAsia="宋体" w:cs="宋体"/>
          <w:sz w:val="24"/>
          <w:szCs w:val="24"/>
        </w:rPr>
      </w:pPr>
      <w:r>
        <w:rPr>
          <w:rFonts w:hint="eastAsia" w:ascii="宋体" w:hAnsi="宋体" w:eastAsia="宋体" w:cs="宋体"/>
          <w:b/>
          <w:sz w:val="24"/>
          <w:szCs w:val="24"/>
        </w:rPr>
        <w:t xml:space="preserve"> 十一、合同期限</w:t>
      </w:r>
      <w:r>
        <w:rPr>
          <w:rFonts w:hint="eastAsia" w:ascii="宋体" w:hAnsi="宋体" w:eastAsia="宋体" w:cs="宋体"/>
          <w:sz w:val="24"/>
          <w:szCs w:val="24"/>
        </w:rPr>
        <w:br w:type="textWrapping"/>
      </w:r>
    </w:p>
    <w:p w14:paraId="4FE458A6">
      <w:pPr>
        <w:pStyle w:val="6"/>
        <w:keepNext w:val="0"/>
        <w:keepLines w:val="0"/>
        <w:pageBreakBefore w:val="0"/>
        <w:kinsoku/>
        <w:wordWrap/>
        <w:overflowPunct/>
        <w:topLinePunct w:val="0"/>
        <w:autoSpaceDE/>
        <w:autoSpaceDN/>
        <w:bidi w:val="0"/>
        <w:adjustRightInd/>
        <w:snapToGrid/>
        <w:spacing w:line="500" w:lineRule="exact"/>
        <w:jc w:val="left"/>
        <w:textAlignment w:val="auto"/>
        <w:outlineLvl w:val="3"/>
        <w:rPr>
          <w:rFonts w:hint="eastAsia" w:ascii="宋体" w:hAnsi="宋体" w:eastAsia="宋体" w:cs="宋体"/>
          <w:sz w:val="24"/>
          <w:szCs w:val="24"/>
        </w:rPr>
      </w:pPr>
      <w:r>
        <w:rPr>
          <w:rFonts w:hint="eastAsia" w:ascii="宋体" w:hAnsi="宋体" w:eastAsia="宋体" w:cs="宋体"/>
          <w:b/>
          <w:sz w:val="24"/>
          <w:szCs w:val="24"/>
        </w:rPr>
        <w:t xml:space="preserve"> 十二、保密条款</w:t>
      </w:r>
    </w:p>
    <w:p w14:paraId="59842995">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12.1对于在采购和合同履行过程中所获悉的属于保密的内容，甲、乙双方均负有保密义务。</w:t>
      </w:r>
    </w:p>
    <w:p w14:paraId="1056CD2D">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12.2其他</w:t>
      </w:r>
    </w:p>
    <w:p w14:paraId="76D9A849">
      <w:pPr>
        <w:pStyle w:val="6"/>
        <w:keepNext w:val="0"/>
        <w:keepLines w:val="0"/>
        <w:pageBreakBefore w:val="0"/>
        <w:kinsoku/>
        <w:wordWrap/>
        <w:overflowPunct/>
        <w:topLinePunct w:val="0"/>
        <w:autoSpaceDE/>
        <w:autoSpaceDN/>
        <w:bidi w:val="0"/>
        <w:adjustRightInd/>
        <w:snapToGrid/>
        <w:spacing w:line="500" w:lineRule="exact"/>
        <w:jc w:val="left"/>
        <w:textAlignment w:val="auto"/>
        <w:outlineLvl w:val="3"/>
        <w:rPr>
          <w:rFonts w:hint="eastAsia" w:ascii="宋体" w:hAnsi="宋体" w:eastAsia="宋体" w:cs="宋体"/>
          <w:sz w:val="24"/>
          <w:szCs w:val="24"/>
        </w:rPr>
      </w:pPr>
      <w:r>
        <w:rPr>
          <w:rFonts w:hint="eastAsia" w:ascii="宋体" w:hAnsi="宋体" w:eastAsia="宋体" w:cs="宋体"/>
          <w:b/>
          <w:sz w:val="24"/>
          <w:szCs w:val="24"/>
        </w:rPr>
        <w:t xml:space="preserve"> 十三、违约责任</w:t>
      </w:r>
    </w:p>
    <w:p w14:paraId="5E1D3850">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13.1甲方违约责任</w:t>
      </w:r>
    </w:p>
    <w:p w14:paraId="0C3FE95F">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（1）甲方无正当理由拒绝乙方提供合格服务的，甲方应向乙方偿付所拒收合同总价________的违约金</w:t>
      </w:r>
    </w:p>
    <w:p w14:paraId="50416B52">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（2）甲方无故逾期验收和办理合同款项支付手续的,甲方应按逾期付款总额每日________向乙方支付违约金。</w:t>
      </w:r>
    </w:p>
    <w:p w14:paraId="76E236C5">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（3）其他违约情形</w:t>
      </w:r>
    </w:p>
    <w:p w14:paraId="28C94144">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13.2乙方违约责任</w:t>
      </w:r>
    </w:p>
    <w:p w14:paraId="5619042B">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（1）乙方逾期履行服务的，乙方应按逾期交付总额每日________向甲方支付违约金，由甲方从待付货款中扣除。乙方无正当理由逾期超过约定日期________仍不能交付的，视为“乙方不按合同约定履约”；</w:t>
      </w:r>
    </w:p>
    <w:p w14:paraId="0AC9EF37">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（2）乙方所履行的服务不符合合同规定及《采购文件》规定标准的，甲方有权拒绝，乙方愿意整改但逾期履行的，按乙方逾期履行处理。乙方拒绝整改的，视为“乙方不按合同约定履约”</w:t>
      </w:r>
    </w:p>
    <w:p w14:paraId="058A0007">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（3）乙方不按合同约定履约的，甲方可以解除采购合同，并对乙方已缴纳的履约保证金作“不予退还”处理。同时，乙方须按以下约定向甲方支付违约金：</w:t>
      </w:r>
    </w:p>
    <w:p w14:paraId="75232A62">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（4）其他违约情形</w:t>
      </w:r>
    </w:p>
    <w:p w14:paraId="70CB4F9A">
      <w:pPr>
        <w:pStyle w:val="6"/>
        <w:keepNext w:val="0"/>
        <w:keepLines w:val="0"/>
        <w:pageBreakBefore w:val="0"/>
        <w:kinsoku/>
        <w:wordWrap/>
        <w:overflowPunct/>
        <w:topLinePunct w:val="0"/>
        <w:autoSpaceDE/>
        <w:autoSpaceDN/>
        <w:bidi w:val="0"/>
        <w:adjustRightInd/>
        <w:snapToGrid/>
        <w:spacing w:line="500" w:lineRule="exact"/>
        <w:jc w:val="left"/>
        <w:textAlignment w:val="auto"/>
        <w:outlineLvl w:val="3"/>
        <w:rPr>
          <w:rFonts w:hint="eastAsia" w:ascii="宋体" w:hAnsi="宋体" w:eastAsia="宋体" w:cs="宋体"/>
          <w:sz w:val="24"/>
          <w:szCs w:val="24"/>
        </w:rPr>
      </w:pPr>
      <w:r>
        <w:rPr>
          <w:rFonts w:hint="eastAsia" w:ascii="宋体" w:hAnsi="宋体" w:eastAsia="宋体" w:cs="宋体"/>
          <w:b/>
          <w:sz w:val="24"/>
          <w:szCs w:val="24"/>
        </w:rPr>
        <w:t xml:space="preserve"> 十四、不可抗力事件处理</w:t>
      </w:r>
    </w:p>
    <w:p w14:paraId="04A3F683">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本条款中的不可抗力指不能预见、不能避免、不能克服的客观情况，包括但不限于：自然灾害如地震、台风、洪水、火灾及政府行为、法律规定或其适用的变化或其他任何无法预见、避免或控制的事件。因不可抗力造成违约的，遭受不可抗力一方应及时向对方通报不能履行或不能完全履行的理由，并提供相关证明材料。基于上述情况，遭受不可抗力一方延期履行、部分履行或不履行合同的，根据实际情况可部分或全部免于承担违约责任。</w:t>
      </w:r>
    </w:p>
    <w:p w14:paraId="7BCEE7A8">
      <w:pPr>
        <w:pStyle w:val="6"/>
        <w:keepNext w:val="0"/>
        <w:keepLines w:val="0"/>
        <w:pageBreakBefore w:val="0"/>
        <w:kinsoku/>
        <w:wordWrap/>
        <w:overflowPunct/>
        <w:topLinePunct w:val="0"/>
        <w:autoSpaceDE/>
        <w:autoSpaceDN/>
        <w:bidi w:val="0"/>
        <w:adjustRightInd/>
        <w:snapToGrid/>
        <w:spacing w:line="500" w:lineRule="exact"/>
        <w:jc w:val="left"/>
        <w:textAlignment w:val="auto"/>
        <w:outlineLvl w:val="3"/>
        <w:rPr>
          <w:rFonts w:hint="eastAsia" w:ascii="宋体" w:hAnsi="宋体" w:eastAsia="宋体" w:cs="宋体"/>
          <w:sz w:val="24"/>
          <w:szCs w:val="24"/>
        </w:rPr>
      </w:pPr>
      <w:r>
        <w:rPr>
          <w:rFonts w:hint="eastAsia" w:ascii="宋体" w:hAnsi="宋体" w:eastAsia="宋体" w:cs="宋体"/>
          <w:b/>
          <w:sz w:val="24"/>
          <w:szCs w:val="24"/>
        </w:rPr>
        <w:t xml:space="preserve"> 十五、解决争议的方法</w:t>
      </w:r>
    </w:p>
    <w:p w14:paraId="053960C9">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15.1甲、乙双方协商解决。</w:t>
      </w:r>
    </w:p>
    <w:p w14:paraId="18F9A6EE">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15.2若协商解决不成，双方明确按以下第_种方式解决：</w:t>
      </w:r>
    </w:p>
    <w:p w14:paraId="69724EDE">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 xml:space="preserve"> 1、提交仲裁委员会仲裁，具体如下：</w:t>
      </w:r>
    </w:p>
    <w:p w14:paraId="23D1A4F3">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 xml:space="preserve"> 2、向______人民法院提起诉讼。</w:t>
      </w:r>
    </w:p>
    <w:p w14:paraId="5F09047D">
      <w:pPr>
        <w:pStyle w:val="6"/>
        <w:keepNext w:val="0"/>
        <w:keepLines w:val="0"/>
        <w:pageBreakBefore w:val="0"/>
        <w:kinsoku/>
        <w:wordWrap/>
        <w:overflowPunct/>
        <w:topLinePunct w:val="0"/>
        <w:autoSpaceDE/>
        <w:autoSpaceDN/>
        <w:bidi w:val="0"/>
        <w:adjustRightInd/>
        <w:snapToGrid/>
        <w:spacing w:line="500" w:lineRule="exact"/>
        <w:jc w:val="left"/>
        <w:textAlignment w:val="auto"/>
        <w:outlineLvl w:val="3"/>
        <w:rPr>
          <w:rFonts w:hint="eastAsia" w:ascii="宋体" w:hAnsi="宋体" w:eastAsia="宋体" w:cs="宋体"/>
          <w:sz w:val="24"/>
          <w:szCs w:val="24"/>
        </w:rPr>
      </w:pPr>
      <w:r>
        <w:rPr>
          <w:rFonts w:hint="eastAsia" w:ascii="宋体" w:hAnsi="宋体" w:eastAsia="宋体" w:cs="宋体"/>
          <w:b/>
          <w:sz w:val="24"/>
          <w:szCs w:val="24"/>
        </w:rPr>
        <w:t xml:space="preserve"> 十六、合同其他条款</w:t>
      </w:r>
      <w:r>
        <w:rPr>
          <w:rFonts w:hint="eastAsia" w:ascii="宋体" w:hAnsi="宋体" w:eastAsia="宋体" w:cs="宋体"/>
          <w:sz w:val="24"/>
          <w:szCs w:val="24"/>
        </w:rPr>
        <w:br w:type="textWrapping"/>
      </w:r>
    </w:p>
    <w:p w14:paraId="3C7F95BD">
      <w:pPr>
        <w:pStyle w:val="6"/>
        <w:keepNext w:val="0"/>
        <w:keepLines w:val="0"/>
        <w:pageBreakBefore w:val="0"/>
        <w:kinsoku/>
        <w:wordWrap/>
        <w:overflowPunct/>
        <w:topLinePunct w:val="0"/>
        <w:autoSpaceDE/>
        <w:autoSpaceDN/>
        <w:bidi w:val="0"/>
        <w:adjustRightInd/>
        <w:snapToGrid/>
        <w:spacing w:line="500" w:lineRule="exact"/>
        <w:jc w:val="left"/>
        <w:textAlignment w:val="auto"/>
        <w:outlineLvl w:val="3"/>
        <w:rPr>
          <w:rFonts w:hint="eastAsia" w:ascii="宋体" w:hAnsi="宋体" w:eastAsia="宋体" w:cs="宋体"/>
          <w:sz w:val="24"/>
          <w:szCs w:val="24"/>
        </w:rPr>
      </w:pPr>
      <w:r>
        <w:rPr>
          <w:rFonts w:hint="eastAsia" w:ascii="宋体" w:hAnsi="宋体" w:eastAsia="宋体" w:cs="宋体"/>
          <w:b/>
          <w:sz w:val="24"/>
          <w:szCs w:val="24"/>
        </w:rPr>
        <w:t xml:space="preserve"> 十七、其他约定</w:t>
      </w:r>
    </w:p>
    <w:p w14:paraId="7A581F0C">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17.1合同文件与本合同具有同等法律效力。</w:t>
      </w:r>
    </w:p>
    <w:p w14:paraId="181C7D32">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17.2合同生效：合同经双方法定代表人或委托代理人签字并加盖单位公章后生效；通过福建省政府采购网上公开信息系统采用电子形式签订合同的，签订之日以系统记载的双方使用各自CA证书在合同上加盖单位公章或合同章的日期中的最晚时间为准。</w:t>
      </w:r>
    </w:p>
    <w:p w14:paraId="3AC1E364">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17.3本合同未尽事宜，遵照《中华人民共和国民法典》有关条文执行。</w:t>
      </w:r>
    </w:p>
    <w:p w14:paraId="504F15C7">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17.4本合同正本一式_______份，具有同等法律效力，甲方、乙方各执_______份；副本_______份，_______</w:t>
      </w:r>
    </w:p>
    <w:p w14:paraId="63729B87">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17.5其他</w:t>
      </w:r>
    </w:p>
    <w:p w14:paraId="1AD96708">
      <w:pPr>
        <w:pStyle w:val="6"/>
        <w:keepNext w:val="0"/>
        <w:keepLines w:val="0"/>
        <w:pageBreakBefore w:val="0"/>
        <w:kinsoku/>
        <w:wordWrap/>
        <w:overflowPunct/>
        <w:topLinePunct w:val="0"/>
        <w:autoSpaceDE/>
        <w:autoSpaceDN/>
        <w:bidi w:val="0"/>
        <w:adjustRightInd/>
        <w:snapToGrid/>
        <w:spacing w:line="500" w:lineRule="exact"/>
        <w:jc w:val="left"/>
        <w:textAlignment w:val="auto"/>
        <w:outlineLvl w:val="3"/>
        <w:rPr>
          <w:rFonts w:hint="eastAsia" w:ascii="宋体" w:hAnsi="宋体" w:eastAsia="宋体" w:cs="宋体"/>
          <w:sz w:val="24"/>
          <w:szCs w:val="24"/>
        </w:rPr>
      </w:pPr>
      <w:r>
        <w:rPr>
          <w:rFonts w:hint="eastAsia" w:ascii="宋体" w:hAnsi="宋体" w:eastAsia="宋体" w:cs="宋体"/>
          <w:b/>
          <w:sz w:val="24"/>
          <w:szCs w:val="24"/>
        </w:rPr>
        <w:t xml:space="preserve"> 十八、合同附件</w:t>
      </w:r>
    </w:p>
    <w:p w14:paraId="30D1E2CF">
      <w:pPr>
        <w:pStyle w:val="6"/>
        <w:keepNext w:val="0"/>
        <w:keepLines w:val="0"/>
        <w:pageBreakBefore w:val="0"/>
        <w:kinsoku/>
        <w:wordWrap/>
        <w:overflowPunct/>
        <w:topLinePunct w:val="0"/>
        <w:autoSpaceDE/>
        <w:autoSpaceDN/>
        <w:bidi w:val="0"/>
        <w:adjustRightInd/>
        <w:snapToGrid/>
        <w:spacing w:line="500" w:lineRule="exact"/>
        <w:jc w:val="left"/>
        <w:textAlignment w:val="auto"/>
        <w:outlineLvl w:val="3"/>
        <w:rPr>
          <w:rFonts w:hint="eastAsia" w:ascii="宋体" w:hAnsi="宋体" w:eastAsia="宋体" w:cs="宋体"/>
          <w:sz w:val="24"/>
          <w:szCs w:val="24"/>
        </w:rPr>
      </w:pPr>
      <w:r>
        <w:rPr>
          <w:rFonts w:hint="eastAsia" w:ascii="宋体" w:hAnsi="宋体" w:eastAsia="宋体" w:cs="宋体"/>
          <w:b/>
          <w:sz w:val="24"/>
          <w:szCs w:val="24"/>
        </w:rPr>
        <w:t xml:space="preserve"> 十九、合同融资支付约定</w:t>
      </w:r>
    </w:p>
    <w:p w14:paraId="3860A432">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b/>
          <w:sz w:val="24"/>
          <w:szCs w:val="24"/>
        </w:rPr>
        <w:t>19.1本合同已用于政府采购合同融资，为本项目提供合同融资的金融机构为：_______，本合同项下所有款项，甲方须支付至本合同约定的乙方账号，未经_______书面同意，不得变更账号。</w:t>
      </w:r>
    </w:p>
    <w:p w14:paraId="553B98E0">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中标（成交）供应商应于采购合同签订之日起_______内，向发放政采贷的金融机构提交政府采购中标（成交）通知书和政府采购合同，贷款金额以政府采购合同金额为限。</w:t>
      </w:r>
      <w:r>
        <w:rPr>
          <w:rFonts w:hint="eastAsia" w:ascii="宋体" w:hAnsi="宋体" w:eastAsia="宋体" w:cs="宋体"/>
          <w:sz w:val="24"/>
          <w:szCs w:val="24"/>
        </w:rPr>
        <w:br w:type="textWrapping"/>
      </w:r>
      <w:r>
        <w:rPr>
          <w:rFonts w:hint="eastAsia" w:ascii="宋体" w:hAnsi="宋体" w:eastAsia="宋体" w:cs="宋体"/>
          <w:sz w:val="24"/>
          <w:szCs w:val="24"/>
        </w:rPr>
        <w:br w:type="textWrapping"/>
      </w:r>
    </w:p>
    <w:p w14:paraId="6E2155B2">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 xml:space="preserve"> 甲方（采购人）：</w:t>
      </w:r>
    </w:p>
    <w:p w14:paraId="53470647">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 xml:space="preserve"> 法定（授权）代表人：</w:t>
      </w:r>
    </w:p>
    <w:p w14:paraId="61D32417">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 xml:space="preserve"> 纳税人识别号：</w:t>
      </w:r>
    </w:p>
    <w:p w14:paraId="066894CD">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 xml:space="preserve"> 开户银行：</w:t>
      </w:r>
    </w:p>
    <w:p w14:paraId="1E455779">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 xml:space="preserve"> 账号：</w:t>
      </w:r>
    </w:p>
    <w:p w14:paraId="1DDBB9EF">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 xml:space="preserve"> 乙方（中标或成交人）：</w:t>
      </w:r>
    </w:p>
    <w:p w14:paraId="250BE57B">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 xml:space="preserve"> 法定（授权）代表人：</w:t>
      </w:r>
    </w:p>
    <w:p w14:paraId="6C1639CF">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 xml:space="preserve"> 纳税人识别号：</w:t>
      </w:r>
    </w:p>
    <w:p w14:paraId="291D16DA">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 xml:space="preserve"> 开户银行：</w:t>
      </w:r>
    </w:p>
    <w:p w14:paraId="13E7489D">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 xml:space="preserve"> 账号：</w:t>
      </w:r>
    </w:p>
    <w:p w14:paraId="150A2051">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签订地点：_____________</w:t>
      </w:r>
    </w:p>
    <w:p w14:paraId="76ED6BC4">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签订日期：____年___月___日</w:t>
      </w:r>
    </w:p>
    <w:p w14:paraId="0922DB08">
      <w:pPr>
        <w:pStyle w:val="6"/>
        <w:keepNext w:val="0"/>
        <w:keepLines w:val="0"/>
        <w:pageBreakBefore w:val="0"/>
        <w:kinsoku/>
        <w:wordWrap/>
        <w:overflowPunct/>
        <w:topLinePunct w:val="0"/>
        <w:autoSpaceDE/>
        <w:autoSpaceDN/>
        <w:bidi w:val="0"/>
        <w:adjustRightInd/>
        <w:snapToGrid/>
        <w:spacing w:line="500" w:lineRule="exact"/>
        <w:textAlignment w:val="auto"/>
        <w:rPr>
          <w:rFonts w:hint="eastAsia" w:ascii="宋体" w:hAnsi="宋体" w:eastAsia="宋体" w:cs="宋体"/>
          <w:sz w:val="24"/>
          <w:szCs w:val="24"/>
        </w:rPr>
      </w:pPr>
      <w:r>
        <w:rPr>
          <w:rFonts w:hint="eastAsia" w:ascii="宋体" w:hAnsi="宋体" w:eastAsia="宋体" w:cs="宋体"/>
          <w:sz w:val="24"/>
          <w:szCs w:val="24"/>
        </w:rPr>
        <w:t xml:space="preserve"> </w:t>
      </w:r>
      <w:r>
        <w:rPr>
          <w:rFonts w:hint="eastAsia" w:ascii="宋体" w:hAnsi="宋体" w:eastAsia="宋体" w:cs="宋体"/>
          <w:sz w:val="24"/>
          <w:szCs w:val="24"/>
        </w:rPr>
        <w:br w:type="textWrapping"/>
      </w:r>
      <w:r>
        <w:rPr>
          <w:rFonts w:hint="eastAsia" w:ascii="宋体" w:hAnsi="宋体" w:eastAsia="宋体" w:cs="宋体"/>
          <w:sz w:val="24"/>
          <w:szCs w:val="24"/>
        </w:rPr>
        <w:br w:type="page"/>
      </w:r>
    </w:p>
    <w:p w14:paraId="6CFFDB22">
      <w:pPr>
        <w:pStyle w:val="6"/>
        <w:keepNext w:val="0"/>
        <w:keepLines w:val="0"/>
        <w:pageBreakBefore w:val="0"/>
        <w:kinsoku/>
        <w:wordWrap/>
        <w:overflowPunct/>
        <w:topLinePunct w:val="0"/>
        <w:autoSpaceDE/>
        <w:autoSpaceDN/>
        <w:bidi w:val="0"/>
        <w:adjustRightInd/>
        <w:snapToGrid/>
        <w:spacing w:line="500" w:lineRule="exact"/>
        <w:jc w:val="center"/>
        <w:textAlignment w:val="auto"/>
        <w:outlineLvl w:val="1"/>
        <w:rPr>
          <w:rFonts w:hint="eastAsia" w:ascii="宋体" w:hAnsi="宋体" w:eastAsia="宋体" w:cs="宋体"/>
          <w:sz w:val="24"/>
          <w:szCs w:val="24"/>
        </w:rPr>
      </w:pPr>
      <w:r>
        <w:rPr>
          <w:rFonts w:hint="eastAsia" w:ascii="宋体" w:hAnsi="宋体" w:eastAsia="宋体" w:cs="宋体"/>
          <w:b/>
          <w:sz w:val="24"/>
          <w:szCs w:val="24"/>
        </w:rPr>
        <w:t>第七章 电子投标文件格式</w:t>
      </w:r>
    </w:p>
    <w:p w14:paraId="0A26CA8E">
      <w:pPr>
        <w:pStyle w:val="6"/>
        <w:keepNext w:val="0"/>
        <w:keepLines w:val="0"/>
        <w:pageBreakBefore w:val="0"/>
        <w:kinsoku/>
        <w:wordWrap/>
        <w:overflowPunct/>
        <w:topLinePunct w:val="0"/>
        <w:autoSpaceDE/>
        <w:autoSpaceDN/>
        <w:bidi w:val="0"/>
        <w:adjustRightInd/>
        <w:snapToGrid/>
        <w:spacing w:line="500" w:lineRule="exact"/>
        <w:jc w:val="center"/>
        <w:textAlignment w:val="auto"/>
        <w:outlineLvl w:val="2"/>
        <w:rPr>
          <w:rFonts w:hint="eastAsia" w:ascii="宋体" w:hAnsi="宋体" w:eastAsia="宋体" w:cs="宋体"/>
          <w:sz w:val="24"/>
          <w:szCs w:val="24"/>
        </w:rPr>
      </w:pPr>
      <w:r>
        <w:rPr>
          <w:rFonts w:hint="eastAsia" w:ascii="宋体" w:hAnsi="宋体" w:eastAsia="宋体" w:cs="宋体"/>
          <w:b/>
          <w:sz w:val="24"/>
          <w:szCs w:val="24"/>
        </w:rPr>
        <w:t>编制说明</w:t>
      </w:r>
    </w:p>
    <w:p w14:paraId="1797C377">
      <w:pPr>
        <w:pStyle w:val="6"/>
        <w:keepNext w:val="0"/>
        <w:keepLines w:val="0"/>
        <w:pageBreakBefore w:val="0"/>
        <w:kinsoku/>
        <w:wordWrap/>
        <w:overflowPunct/>
        <w:topLinePunct w:val="0"/>
        <w:autoSpaceDE/>
        <w:autoSpaceDN/>
        <w:bidi w:val="0"/>
        <w:adjustRightInd/>
        <w:snapToGrid/>
        <w:spacing w:line="500" w:lineRule="exact"/>
        <w:ind w:firstLine="480"/>
        <w:jc w:val="left"/>
        <w:textAlignment w:val="auto"/>
        <w:rPr>
          <w:rFonts w:hint="eastAsia" w:ascii="宋体" w:hAnsi="宋体" w:eastAsia="宋体" w:cs="宋体"/>
          <w:sz w:val="24"/>
          <w:szCs w:val="24"/>
        </w:rPr>
      </w:pPr>
      <w:r>
        <w:rPr>
          <w:rFonts w:hint="eastAsia" w:ascii="宋体" w:hAnsi="宋体" w:eastAsia="宋体" w:cs="宋体"/>
          <w:sz w:val="24"/>
          <w:szCs w:val="24"/>
        </w:rPr>
        <w:t>1、除招标文件另有规定外，本章中：</w:t>
      </w:r>
    </w:p>
    <w:p w14:paraId="06971EB4">
      <w:pPr>
        <w:pStyle w:val="6"/>
        <w:keepNext w:val="0"/>
        <w:keepLines w:val="0"/>
        <w:pageBreakBefore w:val="0"/>
        <w:kinsoku/>
        <w:wordWrap/>
        <w:overflowPunct/>
        <w:topLinePunct w:val="0"/>
        <w:autoSpaceDE/>
        <w:autoSpaceDN/>
        <w:bidi w:val="0"/>
        <w:adjustRightInd/>
        <w:snapToGrid/>
        <w:spacing w:line="500" w:lineRule="exact"/>
        <w:ind w:firstLine="480"/>
        <w:jc w:val="left"/>
        <w:textAlignment w:val="auto"/>
        <w:rPr>
          <w:rFonts w:hint="eastAsia" w:ascii="宋体" w:hAnsi="宋体" w:eastAsia="宋体" w:cs="宋体"/>
          <w:sz w:val="24"/>
          <w:szCs w:val="24"/>
        </w:rPr>
      </w:pPr>
      <w:r>
        <w:rPr>
          <w:rFonts w:hint="eastAsia" w:ascii="宋体" w:hAnsi="宋体" w:eastAsia="宋体" w:cs="宋体"/>
          <w:sz w:val="24"/>
          <w:szCs w:val="24"/>
        </w:rPr>
        <w:t>1.1涉及投标人的“全称”：</w:t>
      </w:r>
    </w:p>
    <w:p w14:paraId="57815D32">
      <w:pPr>
        <w:pStyle w:val="6"/>
        <w:keepNext w:val="0"/>
        <w:keepLines w:val="0"/>
        <w:pageBreakBefore w:val="0"/>
        <w:kinsoku/>
        <w:wordWrap/>
        <w:overflowPunct/>
        <w:topLinePunct w:val="0"/>
        <w:autoSpaceDE/>
        <w:autoSpaceDN/>
        <w:bidi w:val="0"/>
        <w:adjustRightInd/>
        <w:snapToGrid/>
        <w:spacing w:line="500" w:lineRule="exact"/>
        <w:ind w:firstLine="480"/>
        <w:jc w:val="left"/>
        <w:textAlignment w:val="auto"/>
        <w:rPr>
          <w:rFonts w:hint="eastAsia" w:ascii="宋体" w:hAnsi="宋体" w:eastAsia="宋体" w:cs="宋体"/>
          <w:sz w:val="24"/>
          <w:szCs w:val="24"/>
        </w:rPr>
      </w:pPr>
      <w:r>
        <w:rPr>
          <w:rFonts w:hint="eastAsia" w:ascii="宋体" w:hAnsi="宋体" w:eastAsia="宋体" w:cs="宋体"/>
          <w:sz w:val="24"/>
          <w:szCs w:val="24"/>
        </w:rPr>
        <w:t>（1）不接受联合体投标的，指投标人的全称。</w:t>
      </w:r>
    </w:p>
    <w:p w14:paraId="2178817D">
      <w:pPr>
        <w:pStyle w:val="6"/>
        <w:keepNext w:val="0"/>
        <w:keepLines w:val="0"/>
        <w:pageBreakBefore w:val="0"/>
        <w:kinsoku/>
        <w:wordWrap/>
        <w:overflowPunct/>
        <w:topLinePunct w:val="0"/>
        <w:autoSpaceDE/>
        <w:autoSpaceDN/>
        <w:bidi w:val="0"/>
        <w:adjustRightInd/>
        <w:snapToGrid/>
        <w:spacing w:line="500" w:lineRule="exact"/>
        <w:ind w:firstLine="480"/>
        <w:jc w:val="left"/>
        <w:textAlignment w:val="auto"/>
        <w:rPr>
          <w:rFonts w:hint="eastAsia" w:ascii="宋体" w:hAnsi="宋体" w:eastAsia="宋体" w:cs="宋体"/>
          <w:sz w:val="24"/>
          <w:szCs w:val="24"/>
        </w:rPr>
      </w:pPr>
      <w:r>
        <w:rPr>
          <w:rFonts w:hint="eastAsia" w:ascii="宋体" w:hAnsi="宋体" w:eastAsia="宋体" w:cs="宋体"/>
          <w:sz w:val="24"/>
          <w:szCs w:val="24"/>
        </w:rPr>
        <w:t>（2）接受联合体投标且投标人为联合体的，指牵头方的全称并加注（联合体牵头方），即应表述为：“牵头方的全称（联合体牵头方）”。</w:t>
      </w:r>
    </w:p>
    <w:p w14:paraId="3C47C973">
      <w:pPr>
        <w:pStyle w:val="6"/>
        <w:keepNext w:val="0"/>
        <w:keepLines w:val="0"/>
        <w:pageBreakBefore w:val="0"/>
        <w:kinsoku/>
        <w:wordWrap/>
        <w:overflowPunct/>
        <w:topLinePunct w:val="0"/>
        <w:autoSpaceDE/>
        <w:autoSpaceDN/>
        <w:bidi w:val="0"/>
        <w:adjustRightInd/>
        <w:snapToGrid/>
        <w:spacing w:line="500" w:lineRule="exact"/>
        <w:ind w:firstLine="480"/>
        <w:jc w:val="left"/>
        <w:textAlignment w:val="auto"/>
        <w:rPr>
          <w:rFonts w:hint="eastAsia" w:ascii="宋体" w:hAnsi="宋体" w:eastAsia="宋体" w:cs="宋体"/>
          <w:sz w:val="24"/>
          <w:szCs w:val="24"/>
        </w:rPr>
      </w:pPr>
      <w:r>
        <w:rPr>
          <w:rFonts w:hint="eastAsia" w:ascii="宋体" w:hAnsi="宋体" w:eastAsia="宋体" w:cs="宋体"/>
          <w:sz w:val="24"/>
          <w:szCs w:val="24"/>
        </w:rPr>
        <w:t>1.2涉及投标人“加盖单位公章”：</w:t>
      </w:r>
    </w:p>
    <w:p w14:paraId="3171675C">
      <w:pPr>
        <w:pStyle w:val="6"/>
        <w:keepNext w:val="0"/>
        <w:keepLines w:val="0"/>
        <w:pageBreakBefore w:val="0"/>
        <w:kinsoku/>
        <w:wordWrap/>
        <w:overflowPunct/>
        <w:topLinePunct w:val="0"/>
        <w:autoSpaceDE/>
        <w:autoSpaceDN/>
        <w:bidi w:val="0"/>
        <w:adjustRightInd/>
        <w:snapToGrid/>
        <w:spacing w:line="500" w:lineRule="exact"/>
        <w:ind w:firstLine="480"/>
        <w:jc w:val="left"/>
        <w:textAlignment w:val="auto"/>
        <w:rPr>
          <w:rFonts w:hint="eastAsia" w:ascii="宋体" w:hAnsi="宋体" w:eastAsia="宋体" w:cs="宋体"/>
          <w:sz w:val="24"/>
          <w:szCs w:val="24"/>
        </w:rPr>
      </w:pPr>
      <w:r>
        <w:rPr>
          <w:rFonts w:hint="eastAsia" w:ascii="宋体" w:hAnsi="宋体" w:eastAsia="宋体" w:cs="宋体"/>
          <w:sz w:val="24"/>
          <w:szCs w:val="24"/>
        </w:rPr>
        <w:t>（1）不接受联合体投标的，指加盖投标人的单位公章。</w:t>
      </w:r>
    </w:p>
    <w:p w14:paraId="67AAFF5F">
      <w:pPr>
        <w:pStyle w:val="6"/>
        <w:keepNext w:val="0"/>
        <w:keepLines w:val="0"/>
        <w:pageBreakBefore w:val="0"/>
        <w:kinsoku/>
        <w:wordWrap/>
        <w:overflowPunct/>
        <w:topLinePunct w:val="0"/>
        <w:autoSpaceDE/>
        <w:autoSpaceDN/>
        <w:bidi w:val="0"/>
        <w:adjustRightInd/>
        <w:snapToGrid/>
        <w:spacing w:line="500" w:lineRule="exact"/>
        <w:ind w:firstLine="480"/>
        <w:jc w:val="left"/>
        <w:textAlignment w:val="auto"/>
        <w:rPr>
          <w:rFonts w:hint="eastAsia" w:ascii="宋体" w:hAnsi="宋体" w:eastAsia="宋体" w:cs="宋体"/>
          <w:sz w:val="24"/>
          <w:szCs w:val="24"/>
        </w:rPr>
      </w:pPr>
      <w:r>
        <w:rPr>
          <w:rFonts w:hint="eastAsia" w:ascii="宋体" w:hAnsi="宋体" w:eastAsia="宋体" w:cs="宋体"/>
          <w:sz w:val="24"/>
          <w:szCs w:val="24"/>
        </w:rPr>
        <w:t>（2）接受联合体投标且投标人为联合体的，指加盖联合体牵头方的单位公章。</w:t>
      </w:r>
    </w:p>
    <w:p w14:paraId="68FEACC5">
      <w:pPr>
        <w:pStyle w:val="6"/>
        <w:keepNext w:val="0"/>
        <w:keepLines w:val="0"/>
        <w:pageBreakBefore w:val="0"/>
        <w:kinsoku/>
        <w:wordWrap/>
        <w:overflowPunct/>
        <w:topLinePunct w:val="0"/>
        <w:autoSpaceDE/>
        <w:autoSpaceDN/>
        <w:bidi w:val="0"/>
        <w:adjustRightInd/>
        <w:snapToGrid/>
        <w:spacing w:line="500" w:lineRule="exact"/>
        <w:ind w:firstLine="480"/>
        <w:jc w:val="left"/>
        <w:textAlignment w:val="auto"/>
        <w:rPr>
          <w:rFonts w:hint="eastAsia" w:ascii="宋体" w:hAnsi="宋体" w:eastAsia="宋体" w:cs="宋体"/>
          <w:sz w:val="24"/>
          <w:szCs w:val="24"/>
        </w:rPr>
      </w:pPr>
      <w:r>
        <w:rPr>
          <w:rFonts w:hint="eastAsia" w:ascii="宋体" w:hAnsi="宋体" w:eastAsia="宋体" w:cs="宋体"/>
          <w:sz w:val="24"/>
          <w:szCs w:val="24"/>
        </w:rPr>
        <w:t>1.3涉及“投标人代表签字”：</w:t>
      </w:r>
    </w:p>
    <w:p w14:paraId="1D99B12C">
      <w:pPr>
        <w:pStyle w:val="6"/>
        <w:keepNext w:val="0"/>
        <w:keepLines w:val="0"/>
        <w:pageBreakBefore w:val="0"/>
        <w:kinsoku/>
        <w:wordWrap/>
        <w:overflowPunct/>
        <w:topLinePunct w:val="0"/>
        <w:autoSpaceDE/>
        <w:autoSpaceDN/>
        <w:bidi w:val="0"/>
        <w:adjustRightInd/>
        <w:snapToGrid/>
        <w:spacing w:line="500" w:lineRule="exact"/>
        <w:ind w:firstLine="480"/>
        <w:jc w:val="left"/>
        <w:textAlignment w:val="auto"/>
        <w:rPr>
          <w:rFonts w:hint="eastAsia" w:ascii="宋体" w:hAnsi="宋体" w:eastAsia="宋体" w:cs="宋体"/>
          <w:sz w:val="24"/>
          <w:szCs w:val="24"/>
        </w:rPr>
      </w:pPr>
      <w:r>
        <w:rPr>
          <w:rFonts w:hint="eastAsia" w:ascii="宋体" w:hAnsi="宋体" w:eastAsia="宋体" w:cs="宋体"/>
          <w:sz w:val="24"/>
          <w:szCs w:val="24"/>
        </w:rPr>
        <w:t>（1）不接受联合体投标的，指由投标人的单位负责人或其授权的委托代理人签字，由委托代理人签字的，应提供“单位授权书”。</w:t>
      </w:r>
    </w:p>
    <w:p w14:paraId="5FD5CE16">
      <w:pPr>
        <w:pStyle w:val="6"/>
        <w:keepNext w:val="0"/>
        <w:keepLines w:val="0"/>
        <w:pageBreakBefore w:val="0"/>
        <w:kinsoku/>
        <w:wordWrap/>
        <w:overflowPunct/>
        <w:topLinePunct w:val="0"/>
        <w:autoSpaceDE/>
        <w:autoSpaceDN/>
        <w:bidi w:val="0"/>
        <w:adjustRightInd/>
        <w:snapToGrid/>
        <w:spacing w:line="500" w:lineRule="exact"/>
        <w:ind w:firstLine="480"/>
        <w:jc w:val="left"/>
        <w:textAlignment w:val="auto"/>
        <w:rPr>
          <w:rFonts w:hint="eastAsia" w:ascii="宋体" w:hAnsi="宋体" w:eastAsia="宋体" w:cs="宋体"/>
          <w:sz w:val="24"/>
          <w:szCs w:val="24"/>
        </w:rPr>
      </w:pPr>
      <w:r>
        <w:rPr>
          <w:rFonts w:hint="eastAsia" w:ascii="宋体" w:hAnsi="宋体" w:eastAsia="宋体" w:cs="宋体"/>
          <w:sz w:val="24"/>
          <w:szCs w:val="24"/>
        </w:rPr>
        <w:t>（2）接受联合体投标且投标人为联合体的，指由联合体牵头方的单位负责人或其授权的委托代理人签字，由委托代理人签字的，应提供“单位授权书”。</w:t>
      </w:r>
    </w:p>
    <w:p w14:paraId="6EF86A80">
      <w:pPr>
        <w:pStyle w:val="6"/>
        <w:keepNext w:val="0"/>
        <w:keepLines w:val="0"/>
        <w:pageBreakBefore w:val="0"/>
        <w:kinsoku/>
        <w:wordWrap/>
        <w:overflowPunct/>
        <w:topLinePunct w:val="0"/>
        <w:autoSpaceDE/>
        <w:autoSpaceDN/>
        <w:bidi w:val="0"/>
        <w:adjustRightInd/>
        <w:snapToGrid/>
        <w:spacing w:line="500" w:lineRule="exact"/>
        <w:ind w:firstLine="480"/>
        <w:jc w:val="left"/>
        <w:textAlignment w:val="auto"/>
        <w:rPr>
          <w:rFonts w:hint="eastAsia" w:ascii="宋体" w:hAnsi="宋体" w:eastAsia="宋体" w:cs="宋体"/>
          <w:sz w:val="24"/>
          <w:szCs w:val="24"/>
        </w:rPr>
      </w:pPr>
      <w:r>
        <w:rPr>
          <w:rFonts w:hint="eastAsia" w:ascii="宋体" w:hAnsi="宋体" w:eastAsia="宋体" w:cs="宋体"/>
          <w:sz w:val="24"/>
          <w:szCs w:val="24"/>
        </w:rPr>
        <w:t>1.4“其他组织”指合伙企业、非企业专业服务机构、个体工商户、农村承包经营户等。</w:t>
      </w:r>
    </w:p>
    <w:p w14:paraId="094040C6">
      <w:pPr>
        <w:pStyle w:val="6"/>
        <w:keepNext w:val="0"/>
        <w:keepLines w:val="0"/>
        <w:pageBreakBefore w:val="0"/>
        <w:kinsoku/>
        <w:wordWrap/>
        <w:overflowPunct/>
        <w:topLinePunct w:val="0"/>
        <w:autoSpaceDE/>
        <w:autoSpaceDN/>
        <w:bidi w:val="0"/>
        <w:adjustRightInd/>
        <w:snapToGrid/>
        <w:spacing w:line="500" w:lineRule="exact"/>
        <w:ind w:firstLine="480"/>
        <w:jc w:val="left"/>
        <w:textAlignment w:val="auto"/>
        <w:rPr>
          <w:rFonts w:hint="eastAsia" w:ascii="宋体" w:hAnsi="宋体" w:eastAsia="宋体" w:cs="宋体"/>
          <w:sz w:val="24"/>
          <w:szCs w:val="24"/>
        </w:rPr>
      </w:pPr>
      <w:r>
        <w:rPr>
          <w:rFonts w:hint="eastAsia" w:ascii="宋体" w:hAnsi="宋体" w:eastAsia="宋体" w:cs="宋体"/>
          <w:sz w:val="24"/>
          <w:szCs w:val="24"/>
        </w:rPr>
        <w:t>1.5“自然人”指具有完全民事行为能力、能够承担民事责任和义务的中国公民。</w:t>
      </w:r>
    </w:p>
    <w:p w14:paraId="2DD07EE8">
      <w:pPr>
        <w:pStyle w:val="6"/>
        <w:keepNext w:val="0"/>
        <w:keepLines w:val="0"/>
        <w:pageBreakBefore w:val="0"/>
        <w:kinsoku/>
        <w:wordWrap/>
        <w:overflowPunct/>
        <w:topLinePunct w:val="0"/>
        <w:autoSpaceDE/>
        <w:autoSpaceDN/>
        <w:bidi w:val="0"/>
        <w:adjustRightInd/>
        <w:snapToGrid/>
        <w:spacing w:line="500" w:lineRule="exact"/>
        <w:ind w:firstLine="480"/>
        <w:jc w:val="left"/>
        <w:textAlignment w:val="auto"/>
        <w:rPr>
          <w:rFonts w:hint="eastAsia" w:ascii="宋体" w:hAnsi="宋体" w:eastAsia="宋体" w:cs="宋体"/>
          <w:sz w:val="24"/>
          <w:szCs w:val="24"/>
        </w:rPr>
      </w:pPr>
      <w:r>
        <w:rPr>
          <w:rFonts w:hint="eastAsia" w:ascii="宋体" w:hAnsi="宋体" w:eastAsia="宋体" w:cs="宋体"/>
          <w:sz w:val="24"/>
          <w:szCs w:val="24"/>
        </w:rPr>
        <w:t>2、除招标文件另有规定外，本章中“投标人的资格及资信证明文件”：</w:t>
      </w:r>
    </w:p>
    <w:p w14:paraId="3F19A8D0">
      <w:pPr>
        <w:pStyle w:val="6"/>
        <w:keepNext w:val="0"/>
        <w:keepLines w:val="0"/>
        <w:pageBreakBefore w:val="0"/>
        <w:kinsoku/>
        <w:wordWrap/>
        <w:overflowPunct/>
        <w:topLinePunct w:val="0"/>
        <w:autoSpaceDE/>
        <w:autoSpaceDN/>
        <w:bidi w:val="0"/>
        <w:adjustRightInd/>
        <w:snapToGrid/>
        <w:spacing w:line="500" w:lineRule="exact"/>
        <w:ind w:firstLine="480"/>
        <w:jc w:val="left"/>
        <w:textAlignment w:val="auto"/>
        <w:rPr>
          <w:rFonts w:hint="eastAsia" w:ascii="宋体" w:hAnsi="宋体" w:eastAsia="宋体" w:cs="宋体"/>
          <w:sz w:val="24"/>
          <w:szCs w:val="24"/>
        </w:rPr>
      </w:pPr>
      <w:r>
        <w:rPr>
          <w:rFonts w:hint="eastAsia" w:ascii="宋体" w:hAnsi="宋体" w:eastAsia="宋体" w:cs="宋体"/>
          <w:sz w:val="24"/>
          <w:szCs w:val="24"/>
        </w:rPr>
        <w:t>2.1投标人应按照招标文件第四章第1.3条第（2）款规定及本章规定进行编制，如有必要，可增加附页，附页作为资格及资信文件的组成部分。</w:t>
      </w:r>
    </w:p>
    <w:p w14:paraId="28FEFBFB">
      <w:pPr>
        <w:pStyle w:val="6"/>
        <w:keepNext w:val="0"/>
        <w:keepLines w:val="0"/>
        <w:pageBreakBefore w:val="0"/>
        <w:kinsoku/>
        <w:wordWrap/>
        <w:overflowPunct/>
        <w:topLinePunct w:val="0"/>
        <w:autoSpaceDE/>
        <w:autoSpaceDN/>
        <w:bidi w:val="0"/>
        <w:adjustRightInd/>
        <w:snapToGrid/>
        <w:spacing w:line="500" w:lineRule="exact"/>
        <w:ind w:firstLine="480"/>
        <w:jc w:val="left"/>
        <w:textAlignment w:val="auto"/>
        <w:rPr>
          <w:rFonts w:hint="eastAsia" w:ascii="宋体" w:hAnsi="宋体" w:eastAsia="宋体" w:cs="宋体"/>
          <w:sz w:val="24"/>
          <w:szCs w:val="24"/>
        </w:rPr>
      </w:pPr>
      <w:r>
        <w:rPr>
          <w:rFonts w:hint="eastAsia" w:ascii="宋体" w:hAnsi="宋体" w:eastAsia="宋体" w:cs="宋体"/>
          <w:sz w:val="24"/>
          <w:szCs w:val="24"/>
        </w:rPr>
        <w:t>2.2接受联合体投标且投标人为联合体的，联合体中的各方均应按照本章第2.1条规定提交相应的全部资料。</w:t>
      </w:r>
    </w:p>
    <w:p w14:paraId="1A7D01C3">
      <w:pPr>
        <w:pStyle w:val="6"/>
        <w:keepNext w:val="0"/>
        <w:keepLines w:val="0"/>
        <w:pageBreakBefore w:val="0"/>
        <w:kinsoku/>
        <w:wordWrap/>
        <w:overflowPunct/>
        <w:topLinePunct w:val="0"/>
        <w:autoSpaceDE/>
        <w:autoSpaceDN/>
        <w:bidi w:val="0"/>
        <w:adjustRightInd/>
        <w:snapToGrid/>
        <w:spacing w:line="500" w:lineRule="exact"/>
        <w:ind w:firstLine="480"/>
        <w:jc w:val="left"/>
        <w:textAlignment w:val="auto"/>
        <w:rPr>
          <w:rFonts w:hint="eastAsia" w:ascii="宋体" w:hAnsi="宋体" w:eastAsia="宋体" w:cs="宋体"/>
          <w:sz w:val="24"/>
          <w:szCs w:val="24"/>
        </w:rPr>
      </w:pPr>
      <w:r>
        <w:rPr>
          <w:rFonts w:hint="eastAsia" w:ascii="宋体" w:hAnsi="宋体" w:eastAsia="宋体" w:cs="宋体"/>
          <w:sz w:val="24"/>
          <w:szCs w:val="24"/>
        </w:rPr>
        <w:t>3、投标人对电子投标文件的索引应编制页码。</w:t>
      </w:r>
    </w:p>
    <w:p w14:paraId="30764368">
      <w:pPr>
        <w:pStyle w:val="6"/>
        <w:keepNext w:val="0"/>
        <w:keepLines w:val="0"/>
        <w:pageBreakBefore w:val="0"/>
        <w:kinsoku/>
        <w:wordWrap/>
        <w:overflowPunct/>
        <w:topLinePunct w:val="0"/>
        <w:autoSpaceDE/>
        <w:autoSpaceDN/>
        <w:bidi w:val="0"/>
        <w:adjustRightInd/>
        <w:snapToGrid/>
        <w:spacing w:line="500" w:lineRule="exact"/>
        <w:ind w:firstLine="480"/>
        <w:jc w:val="left"/>
        <w:textAlignment w:val="auto"/>
        <w:rPr>
          <w:rFonts w:hint="eastAsia" w:ascii="宋体" w:hAnsi="宋体" w:eastAsia="宋体" w:cs="宋体"/>
          <w:sz w:val="24"/>
          <w:szCs w:val="24"/>
        </w:rPr>
      </w:pPr>
      <w:r>
        <w:rPr>
          <w:rFonts w:hint="eastAsia" w:ascii="宋体" w:hAnsi="宋体" w:eastAsia="宋体" w:cs="宋体"/>
          <w:sz w:val="24"/>
          <w:szCs w:val="24"/>
        </w:rPr>
        <w:t>4、本章提供格式仅供参考，投标人应根据自身实际情况制作电子投标文件。</w:t>
      </w:r>
    </w:p>
    <w:p w14:paraId="1080BB28">
      <w:pPr>
        <w:pStyle w:val="6"/>
        <w:keepNext w:val="0"/>
        <w:keepLines w:val="0"/>
        <w:pageBreakBefore w:val="0"/>
        <w:kinsoku/>
        <w:wordWrap/>
        <w:overflowPunct/>
        <w:topLinePunct w:val="0"/>
        <w:autoSpaceDE/>
        <w:autoSpaceDN/>
        <w:bidi w:val="0"/>
        <w:adjustRightInd/>
        <w:snapToGrid/>
        <w:spacing w:line="500" w:lineRule="exact"/>
        <w:textAlignment w:val="auto"/>
        <w:rPr>
          <w:rFonts w:hint="eastAsia" w:ascii="宋体" w:hAnsi="宋体" w:eastAsia="宋体" w:cs="宋体"/>
          <w:sz w:val="24"/>
          <w:szCs w:val="24"/>
        </w:rPr>
      </w:pPr>
      <w:r>
        <w:rPr>
          <w:rFonts w:hint="eastAsia" w:ascii="宋体" w:hAnsi="宋体" w:eastAsia="宋体" w:cs="宋体"/>
          <w:sz w:val="24"/>
          <w:szCs w:val="24"/>
        </w:rPr>
        <w:t xml:space="preserve"> </w:t>
      </w:r>
      <w:r>
        <w:rPr>
          <w:rFonts w:hint="eastAsia" w:ascii="宋体" w:hAnsi="宋体" w:eastAsia="宋体" w:cs="宋体"/>
          <w:sz w:val="24"/>
          <w:szCs w:val="24"/>
        </w:rPr>
        <w:br w:type="textWrapping"/>
      </w:r>
      <w:r>
        <w:rPr>
          <w:rFonts w:hint="eastAsia" w:ascii="宋体" w:hAnsi="宋体" w:eastAsia="宋体" w:cs="宋体"/>
          <w:sz w:val="24"/>
          <w:szCs w:val="24"/>
        </w:rPr>
        <w:br w:type="page"/>
      </w:r>
    </w:p>
    <w:p w14:paraId="5C810213">
      <w:pPr>
        <w:pStyle w:val="6"/>
        <w:keepNext w:val="0"/>
        <w:keepLines w:val="0"/>
        <w:pageBreakBefore w:val="0"/>
        <w:kinsoku/>
        <w:wordWrap/>
        <w:overflowPunct/>
        <w:topLinePunct w:val="0"/>
        <w:autoSpaceDE/>
        <w:autoSpaceDN/>
        <w:bidi w:val="0"/>
        <w:adjustRightInd/>
        <w:snapToGrid/>
        <w:spacing w:line="500" w:lineRule="exact"/>
        <w:jc w:val="center"/>
        <w:textAlignment w:val="auto"/>
        <w:outlineLvl w:val="2"/>
        <w:rPr>
          <w:rFonts w:hint="eastAsia" w:ascii="宋体" w:hAnsi="宋体" w:eastAsia="宋体" w:cs="宋体"/>
          <w:sz w:val="24"/>
          <w:szCs w:val="24"/>
        </w:rPr>
      </w:pPr>
      <w:r>
        <w:rPr>
          <w:rFonts w:hint="eastAsia" w:ascii="宋体" w:hAnsi="宋体" w:eastAsia="宋体" w:cs="宋体"/>
          <w:b/>
          <w:sz w:val="24"/>
          <w:szCs w:val="24"/>
        </w:rPr>
        <w:t>封面格式(资格及资信证明部分)</w:t>
      </w:r>
    </w:p>
    <w:p w14:paraId="4E701E86">
      <w:pPr>
        <w:pStyle w:val="6"/>
        <w:keepNext w:val="0"/>
        <w:keepLines w:val="0"/>
        <w:pageBreakBefore w:val="0"/>
        <w:kinsoku/>
        <w:wordWrap/>
        <w:overflowPunct/>
        <w:topLinePunct w:val="0"/>
        <w:autoSpaceDE/>
        <w:autoSpaceDN/>
        <w:bidi w:val="0"/>
        <w:adjustRightInd/>
        <w:snapToGrid/>
        <w:spacing w:line="500" w:lineRule="exact"/>
        <w:jc w:val="center"/>
        <w:textAlignment w:val="auto"/>
        <w:outlineLvl w:val="0"/>
        <w:rPr>
          <w:rFonts w:hint="eastAsia" w:ascii="宋体" w:hAnsi="宋体" w:eastAsia="宋体" w:cs="宋体"/>
          <w:sz w:val="24"/>
          <w:szCs w:val="24"/>
        </w:rPr>
      </w:pPr>
      <w:r>
        <w:rPr>
          <w:rFonts w:hint="eastAsia" w:ascii="宋体" w:hAnsi="宋体" w:eastAsia="宋体" w:cs="宋体"/>
          <w:b/>
          <w:sz w:val="24"/>
          <w:szCs w:val="24"/>
        </w:rPr>
        <w:t>福建省政府采购投标文件</w:t>
      </w:r>
    </w:p>
    <w:p w14:paraId="4A3E5005">
      <w:pPr>
        <w:pStyle w:val="6"/>
        <w:keepNext w:val="0"/>
        <w:keepLines w:val="0"/>
        <w:pageBreakBefore w:val="0"/>
        <w:kinsoku/>
        <w:wordWrap/>
        <w:overflowPunct/>
        <w:topLinePunct w:val="0"/>
        <w:autoSpaceDE/>
        <w:autoSpaceDN/>
        <w:bidi w:val="0"/>
        <w:adjustRightInd/>
        <w:snapToGrid/>
        <w:spacing w:line="500" w:lineRule="exact"/>
        <w:jc w:val="center"/>
        <w:textAlignment w:val="auto"/>
        <w:outlineLvl w:val="0"/>
        <w:rPr>
          <w:rFonts w:hint="eastAsia" w:ascii="宋体" w:hAnsi="宋体" w:eastAsia="宋体" w:cs="宋体"/>
          <w:sz w:val="24"/>
          <w:szCs w:val="24"/>
        </w:rPr>
      </w:pPr>
      <w:r>
        <w:rPr>
          <w:rFonts w:hint="eastAsia" w:ascii="宋体" w:hAnsi="宋体" w:eastAsia="宋体" w:cs="宋体"/>
          <w:b/>
          <w:sz w:val="24"/>
          <w:szCs w:val="24"/>
        </w:rPr>
        <w:t>（资格及资信证明部分）</w:t>
      </w:r>
      <w:r>
        <w:rPr>
          <w:rFonts w:hint="eastAsia" w:ascii="宋体" w:hAnsi="宋体" w:eastAsia="宋体" w:cs="宋体"/>
          <w:sz w:val="24"/>
          <w:szCs w:val="24"/>
        </w:rPr>
        <w:br w:type="textWrapping"/>
      </w:r>
      <w:r>
        <w:rPr>
          <w:rFonts w:hint="eastAsia" w:ascii="宋体" w:hAnsi="宋体" w:eastAsia="宋体" w:cs="宋体"/>
          <w:sz w:val="24"/>
          <w:szCs w:val="24"/>
        </w:rPr>
        <w:br w:type="textWrapping"/>
      </w:r>
    </w:p>
    <w:p w14:paraId="0C2D22B5">
      <w:pPr>
        <w:pStyle w:val="6"/>
        <w:keepNext w:val="0"/>
        <w:keepLines w:val="0"/>
        <w:pageBreakBefore w:val="0"/>
        <w:kinsoku/>
        <w:wordWrap/>
        <w:overflowPunct/>
        <w:topLinePunct w:val="0"/>
        <w:autoSpaceDE/>
        <w:autoSpaceDN/>
        <w:bidi w:val="0"/>
        <w:adjustRightInd/>
        <w:snapToGrid/>
        <w:spacing w:line="500" w:lineRule="exact"/>
        <w:jc w:val="center"/>
        <w:textAlignment w:val="auto"/>
        <w:outlineLvl w:val="1"/>
        <w:rPr>
          <w:rFonts w:hint="eastAsia" w:ascii="宋体" w:hAnsi="宋体" w:eastAsia="宋体" w:cs="宋体"/>
          <w:sz w:val="24"/>
          <w:szCs w:val="24"/>
        </w:rPr>
      </w:pPr>
      <w:r>
        <w:rPr>
          <w:rFonts w:hint="eastAsia" w:ascii="宋体" w:hAnsi="宋体" w:eastAsia="宋体" w:cs="宋体"/>
          <w:b/>
          <w:sz w:val="24"/>
          <w:szCs w:val="24"/>
        </w:rPr>
        <w:t>（填写正本或副本）</w:t>
      </w:r>
      <w:r>
        <w:rPr>
          <w:rFonts w:hint="eastAsia" w:ascii="宋体" w:hAnsi="宋体" w:eastAsia="宋体" w:cs="宋体"/>
          <w:sz w:val="24"/>
          <w:szCs w:val="24"/>
        </w:rPr>
        <w:br w:type="textWrapping"/>
      </w:r>
      <w:r>
        <w:rPr>
          <w:rFonts w:hint="eastAsia" w:ascii="宋体" w:hAnsi="宋体" w:eastAsia="宋体" w:cs="宋体"/>
          <w:sz w:val="24"/>
          <w:szCs w:val="24"/>
        </w:rPr>
        <w:br w:type="textWrapping"/>
      </w:r>
      <w:r>
        <w:rPr>
          <w:rFonts w:hint="eastAsia" w:ascii="宋体" w:hAnsi="宋体" w:eastAsia="宋体" w:cs="宋体"/>
          <w:sz w:val="24"/>
          <w:szCs w:val="24"/>
        </w:rPr>
        <w:br w:type="textWrapping"/>
      </w:r>
      <w:r>
        <w:rPr>
          <w:rFonts w:hint="eastAsia" w:ascii="宋体" w:hAnsi="宋体" w:eastAsia="宋体" w:cs="宋体"/>
          <w:sz w:val="24"/>
          <w:szCs w:val="24"/>
        </w:rPr>
        <w:br w:type="textWrapping"/>
      </w:r>
    </w:p>
    <w:p w14:paraId="4766FB80">
      <w:pPr>
        <w:pStyle w:val="6"/>
        <w:keepNext w:val="0"/>
        <w:keepLines w:val="0"/>
        <w:pageBreakBefore w:val="0"/>
        <w:kinsoku/>
        <w:wordWrap/>
        <w:overflowPunct/>
        <w:topLinePunct w:val="0"/>
        <w:autoSpaceDE/>
        <w:autoSpaceDN/>
        <w:bidi w:val="0"/>
        <w:adjustRightInd/>
        <w:snapToGrid/>
        <w:spacing w:line="500" w:lineRule="exact"/>
        <w:jc w:val="center"/>
        <w:textAlignment w:val="auto"/>
        <w:outlineLvl w:val="2"/>
        <w:rPr>
          <w:rFonts w:hint="eastAsia" w:ascii="宋体" w:hAnsi="宋体" w:eastAsia="宋体" w:cs="宋体"/>
          <w:sz w:val="24"/>
          <w:szCs w:val="24"/>
        </w:rPr>
      </w:pPr>
      <w:r>
        <w:rPr>
          <w:rFonts w:hint="eastAsia" w:ascii="宋体" w:hAnsi="宋体" w:eastAsia="宋体" w:cs="宋体"/>
          <w:b/>
          <w:sz w:val="24"/>
          <w:szCs w:val="24"/>
        </w:rPr>
        <w:t>项目名称：（由投标人填写）</w:t>
      </w:r>
    </w:p>
    <w:p w14:paraId="750F4B6B">
      <w:pPr>
        <w:pStyle w:val="6"/>
        <w:keepNext w:val="0"/>
        <w:keepLines w:val="0"/>
        <w:pageBreakBefore w:val="0"/>
        <w:kinsoku/>
        <w:wordWrap/>
        <w:overflowPunct/>
        <w:topLinePunct w:val="0"/>
        <w:autoSpaceDE/>
        <w:autoSpaceDN/>
        <w:bidi w:val="0"/>
        <w:adjustRightInd/>
        <w:snapToGrid/>
        <w:spacing w:line="500" w:lineRule="exact"/>
        <w:jc w:val="center"/>
        <w:textAlignment w:val="auto"/>
        <w:outlineLvl w:val="2"/>
        <w:rPr>
          <w:rFonts w:hint="eastAsia" w:ascii="宋体" w:hAnsi="宋体" w:eastAsia="宋体" w:cs="宋体"/>
          <w:sz w:val="24"/>
          <w:szCs w:val="24"/>
        </w:rPr>
      </w:pPr>
      <w:r>
        <w:rPr>
          <w:rFonts w:hint="eastAsia" w:ascii="宋体" w:hAnsi="宋体" w:eastAsia="宋体" w:cs="宋体"/>
          <w:b/>
          <w:sz w:val="24"/>
          <w:szCs w:val="24"/>
        </w:rPr>
        <w:t>备案编号：（由投标人填写）</w:t>
      </w:r>
    </w:p>
    <w:p w14:paraId="30628C0C">
      <w:pPr>
        <w:pStyle w:val="6"/>
        <w:keepNext w:val="0"/>
        <w:keepLines w:val="0"/>
        <w:pageBreakBefore w:val="0"/>
        <w:kinsoku/>
        <w:wordWrap/>
        <w:overflowPunct/>
        <w:topLinePunct w:val="0"/>
        <w:autoSpaceDE/>
        <w:autoSpaceDN/>
        <w:bidi w:val="0"/>
        <w:adjustRightInd/>
        <w:snapToGrid/>
        <w:spacing w:line="500" w:lineRule="exact"/>
        <w:jc w:val="center"/>
        <w:textAlignment w:val="auto"/>
        <w:outlineLvl w:val="2"/>
        <w:rPr>
          <w:rFonts w:hint="eastAsia" w:ascii="宋体" w:hAnsi="宋体" w:eastAsia="宋体" w:cs="宋体"/>
          <w:sz w:val="24"/>
          <w:szCs w:val="24"/>
        </w:rPr>
      </w:pPr>
      <w:r>
        <w:rPr>
          <w:rFonts w:hint="eastAsia" w:ascii="宋体" w:hAnsi="宋体" w:eastAsia="宋体" w:cs="宋体"/>
          <w:b/>
          <w:sz w:val="24"/>
          <w:szCs w:val="24"/>
        </w:rPr>
        <w:t>项目编号：（由投标人填写）</w:t>
      </w:r>
    </w:p>
    <w:p w14:paraId="527C0D0A">
      <w:pPr>
        <w:pStyle w:val="6"/>
        <w:keepNext w:val="0"/>
        <w:keepLines w:val="0"/>
        <w:pageBreakBefore w:val="0"/>
        <w:kinsoku/>
        <w:wordWrap/>
        <w:overflowPunct/>
        <w:topLinePunct w:val="0"/>
        <w:autoSpaceDE/>
        <w:autoSpaceDN/>
        <w:bidi w:val="0"/>
        <w:adjustRightInd/>
        <w:snapToGrid/>
        <w:spacing w:line="500" w:lineRule="exact"/>
        <w:jc w:val="center"/>
        <w:textAlignment w:val="auto"/>
        <w:outlineLvl w:val="2"/>
        <w:rPr>
          <w:rFonts w:hint="eastAsia" w:ascii="宋体" w:hAnsi="宋体" w:eastAsia="宋体" w:cs="宋体"/>
          <w:sz w:val="24"/>
          <w:szCs w:val="24"/>
        </w:rPr>
      </w:pPr>
      <w:r>
        <w:rPr>
          <w:rFonts w:hint="eastAsia" w:ascii="宋体" w:hAnsi="宋体" w:eastAsia="宋体" w:cs="宋体"/>
          <w:b/>
          <w:sz w:val="24"/>
          <w:szCs w:val="24"/>
        </w:rPr>
        <w:t>所投采购包：（由投标人填写）</w:t>
      </w:r>
    </w:p>
    <w:p w14:paraId="22002BB6">
      <w:pPr>
        <w:pStyle w:val="6"/>
        <w:keepNext w:val="0"/>
        <w:keepLines w:val="0"/>
        <w:pageBreakBefore w:val="0"/>
        <w:kinsoku/>
        <w:wordWrap/>
        <w:overflowPunct/>
        <w:topLinePunct w:val="0"/>
        <w:autoSpaceDE/>
        <w:autoSpaceDN/>
        <w:bidi w:val="0"/>
        <w:adjustRightInd/>
        <w:snapToGrid/>
        <w:spacing w:line="500" w:lineRule="exact"/>
        <w:jc w:val="center"/>
        <w:textAlignment w:val="auto"/>
        <w:outlineLvl w:val="2"/>
        <w:rPr>
          <w:rFonts w:hint="eastAsia" w:ascii="宋体" w:hAnsi="宋体" w:eastAsia="宋体" w:cs="宋体"/>
          <w:sz w:val="24"/>
          <w:szCs w:val="24"/>
        </w:rPr>
      </w:pPr>
      <w:r>
        <w:rPr>
          <w:rFonts w:hint="eastAsia" w:ascii="宋体" w:hAnsi="宋体" w:eastAsia="宋体" w:cs="宋体"/>
          <w:b/>
          <w:sz w:val="24"/>
          <w:szCs w:val="24"/>
        </w:rPr>
        <w:t>投标人：（填写“全称”）</w:t>
      </w:r>
    </w:p>
    <w:p w14:paraId="07F6372A">
      <w:pPr>
        <w:pStyle w:val="6"/>
        <w:keepNext w:val="0"/>
        <w:keepLines w:val="0"/>
        <w:pageBreakBefore w:val="0"/>
        <w:kinsoku/>
        <w:wordWrap/>
        <w:overflowPunct/>
        <w:topLinePunct w:val="0"/>
        <w:autoSpaceDE/>
        <w:autoSpaceDN/>
        <w:bidi w:val="0"/>
        <w:adjustRightInd/>
        <w:snapToGrid/>
        <w:spacing w:line="500" w:lineRule="exact"/>
        <w:jc w:val="center"/>
        <w:textAlignment w:val="auto"/>
        <w:outlineLvl w:val="2"/>
        <w:rPr>
          <w:rFonts w:hint="eastAsia" w:ascii="宋体" w:hAnsi="宋体" w:eastAsia="宋体" w:cs="宋体"/>
          <w:sz w:val="24"/>
          <w:szCs w:val="24"/>
        </w:rPr>
      </w:pPr>
      <w:r>
        <w:rPr>
          <w:rFonts w:hint="eastAsia" w:ascii="宋体" w:hAnsi="宋体" w:eastAsia="宋体" w:cs="宋体"/>
          <w:b/>
          <w:sz w:val="24"/>
          <w:szCs w:val="24"/>
        </w:rPr>
        <w:t>（由投标人填写）年（由投标人填写）月</w:t>
      </w:r>
    </w:p>
    <w:p w14:paraId="03799A02">
      <w:pPr>
        <w:pStyle w:val="6"/>
        <w:keepNext w:val="0"/>
        <w:keepLines w:val="0"/>
        <w:pageBreakBefore w:val="0"/>
        <w:kinsoku/>
        <w:wordWrap/>
        <w:overflowPunct/>
        <w:topLinePunct w:val="0"/>
        <w:autoSpaceDE/>
        <w:autoSpaceDN/>
        <w:bidi w:val="0"/>
        <w:adjustRightInd/>
        <w:snapToGrid/>
        <w:spacing w:line="500" w:lineRule="exact"/>
        <w:textAlignment w:val="auto"/>
        <w:rPr>
          <w:rFonts w:hint="eastAsia" w:ascii="宋体" w:hAnsi="宋体" w:eastAsia="宋体" w:cs="宋体"/>
          <w:sz w:val="24"/>
          <w:szCs w:val="24"/>
        </w:rPr>
      </w:pPr>
      <w:r>
        <w:rPr>
          <w:rFonts w:hint="eastAsia" w:ascii="宋体" w:hAnsi="宋体" w:eastAsia="宋体" w:cs="宋体"/>
          <w:sz w:val="24"/>
          <w:szCs w:val="24"/>
        </w:rPr>
        <w:t xml:space="preserve"> </w:t>
      </w:r>
      <w:r>
        <w:rPr>
          <w:rFonts w:hint="eastAsia" w:ascii="宋体" w:hAnsi="宋体" w:eastAsia="宋体" w:cs="宋体"/>
          <w:sz w:val="24"/>
          <w:szCs w:val="24"/>
        </w:rPr>
        <w:br w:type="textWrapping"/>
      </w:r>
      <w:r>
        <w:rPr>
          <w:rFonts w:hint="eastAsia" w:ascii="宋体" w:hAnsi="宋体" w:eastAsia="宋体" w:cs="宋体"/>
          <w:sz w:val="24"/>
          <w:szCs w:val="24"/>
        </w:rPr>
        <w:br w:type="page"/>
      </w:r>
    </w:p>
    <w:p w14:paraId="47C65280">
      <w:pPr>
        <w:pStyle w:val="6"/>
        <w:keepNext w:val="0"/>
        <w:keepLines w:val="0"/>
        <w:pageBreakBefore w:val="0"/>
        <w:kinsoku/>
        <w:wordWrap/>
        <w:overflowPunct/>
        <w:topLinePunct w:val="0"/>
        <w:autoSpaceDE/>
        <w:autoSpaceDN/>
        <w:bidi w:val="0"/>
        <w:adjustRightInd/>
        <w:snapToGrid/>
        <w:spacing w:line="500" w:lineRule="exact"/>
        <w:jc w:val="center"/>
        <w:textAlignment w:val="auto"/>
        <w:outlineLvl w:val="2"/>
        <w:rPr>
          <w:rFonts w:hint="eastAsia" w:ascii="宋体" w:hAnsi="宋体" w:eastAsia="宋体" w:cs="宋体"/>
          <w:sz w:val="24"/>
          <w:szCs w:val="24"/>
        </w:rPr>
      </w:pPr>
      <w:r>
        <w:rPr>
          <w:rFonts w:hint="eastAsia" w:ascii="宋体" w:hAnsi="宋体" w:eastAsia="宋体" w:cs="宋体"/>
          <w:b/>
          <w:sz w:val="24"/>
          <w:szCs w:val="24"/>
        </w:rPr>
        <w:t>索引</w:t>
      </w:r>
    </w:p>
    <w:p w14:paraId="1BF0E862">
      <w:pPr>
        <w:pStyle w:val="6"/>
        <w:keepNext w:val="0"/>
        <w:keepLines w:val="0"/>
        <w:pageBreakBefore w:val="0"/>
        <w:kinsoku/>
        <w:wordWrap/>
        <w:overflowPunct/>
        <w:topLinePunct w:val="0"/>
        <w:autoSpaceDE/>
        <w:autoSpaceDN/>
        <w:bidi w:val="0"/>
        <w:adjustRightInd/>
        <w:snapToGrid/>
        <w:spacing w:line="500" w:lineRule="exact"/>
        <w:ind w:firstLine="480"/>
        <w:jc w:val="left"/>
        <w:textAlignment w:val="auto"/>
        <w:rPr>
          <w:rFonts w:hint="eastAsia" w:ascii="宋体" w:hAnsi="宋体" w:eastAsia="宋体" w:cs="宋体"/>
          <w:sz w:val="24"/>
          <w:szCs w:val="24"/>
        </w:rPr>
      </w:pPr>
      <w:r>
        <w:rPr>
          <w:rFonts w:hint="eastAsia" w:ascii="宋体" w:hAnsi="宋体" w:eastAsia="宋体" w:cs="宋体"/>
          <w:sz w:val="24"/>
          <w:szCs w:val="24"/>
        </w:rPr>
        <w:t>一、投标函</w:t>
      </w:r>
    </w:p>
    <w:p w14:paraId="0154BBA0">
      <w:pPr>
        <w:pStyle w:val="6"/>
        <w:keepNext w:val="0"/>
        <w:keepLines w:val="0"/>
        <w:pageBreakBefore w:val="0"/>
        <w:kinsoku/>
        <w:wordWrap/>
        <w:overflowPunct/>
        <w:topLinePunct w:val="0"/>
        <w:autoSpaceDE/>
        <w:autoSpaceDN/>
        <w:bidi w:val="0"/>
        <w:adjustRightInd/>
        <w:snapToGrid/>
        <w:spacing w:line="500" w:lineRule="exact"/>
        <w:ind w:firstLine="480"/>
        <w:jc w:val="left"/>
        <w:textAlignment w:val="auto"/>
        <w:rPr>
          <w:rFonts w:hint="eastAsia" w:ascii="宋体" w:hAnsi="宋体" w:eastAsia="宋体" w:cs="宋体"/>
          <w:sz w:val="24"/>
          <w:szCs w:val="24"/>
        </w:rPr>
      </w:pPr>
      <w:r>
        <w:rPr>
          <w:rFonts w:hint="eastAsia" w:ascii="宋体" w:hAnsi="宋体" w:eastAsia="宋体" w:cs="宋体"/>
          <w:sz w:val="24"/>
          <w:szCs w:val="24"/>
        </w:rPr>
        <w:t>二、投标人的资格及资信证明文件</w:t>
      </w:r>
    </w:p>
    <w:p w14:paraId="1590E79A">
      <w:pPr>
        <w:pStyle w:val="6"/>
        <w:keepNext w:val="0"/>
        <w:keepLines w:val="0"/>
        <w:pageBreakBefore w:val="0"/>
        <w:kinsoku/>
        <w:wordWrap/>
        <w:overflowPunct/>
        <w:topLinePunct w:val="0"/>
        <w:autoSpaceDE/>
        <w:autoSpaceDN/>
        <w:bidi w:val="0"/>
        <w:adjustRightInd/>
        <w:snapToGrid/>
        <w:spacing w:line="500" w:lineRule="exact"/>
        <w:ind w:firstLine="480"/>
        <w:jc w:val="left"/>
        <w:textAlignment w:val="auto"/>
        <w:rPr>
          <w:rFonts w:hint="eastAsia" w:ascii="宋体" w:hAnsi="宋体" w:eastAsia="宋体" w:cs="宋体"/>
          <w:sz w:val="24"/>
          <w:szCs w:val="24"/>
        </w:rPr>
      </w:pPr>
      <w:r>
        <w:rPr>
          <w:rFonts w:hint="eastAsia" w:ascii="宋体" w:hAnsi="宋体" w:eastAsia="宋体" w:cs="宋体"/>
          <w:sz w:val="24"/>
          <w:szCs w:val="24"/>
        </w:rPr>
        <w:t>三、投标保证金</w:t>
      </w:r>
    </w:p>
    <w:p w14:paraId="3717518B">
      <w:pPr>
        <w:pStyle w:val="6"/>
        <w:keepNext w:val="0"/>
        <w:keepLines w:val="0"/>
        <w:pageBreakBefore w:val="0"/>
        <w:kinsoku/>
        <w:wordWrap/>
        <w:overflowPunct/>
        <w:topLinePunct w:val="0"/>
        <w:autoSpaceDE/>
        <w:autoSpaceDN/>
        <w:bidi w:val="0"/>
        <w:adjustRightInd/>
        <w:snapToGrid/>
        <w:spacing w:line="500" w:lineRule="exact"/>
        <w:ind w:firstLine="480"/>
        <w:jc w:val="left"/>
        <w:textAlignment w:val="auto"/>
        <w:rPr>
          <w:rFonts w:hint="eastAsia" w:ascii="宋体" w:hAnsi="宋体" w:eastAsia="宋体" w:cs="宋体"/>
          <w:sz w:val="24"/>
          <w:szCs w:val="24"/>
        </w:rPr>
      </w:pPr>
      <w:r>
        <w:rPr>
          <w:rFonts w:hint="eastAsia" w:ascii="宋体" w:hAnsi="宋体" w:eastAsia="宋体" w:cs="宋体"/>
          <w:sz w:val="24"/>
          <w:szCs w:val="24"/>
        </w:rPr>
        <w:t>※注意</w:t>
      </w:r>
    </w:p>
    <w:p w14:paraId="4D7895A7">
      <w:pPr>
        <w:pStyle w:val="6"/>
        <w:keepNext w:val="0"/>
        <w:keepLines w:val="0"/>
        <w:pageBreakBefore w:val="0"/>
        <w:kinsoku/>
        <w:wordWrap/>
        <w:overflowPunct/>
        <w:topLinePunct w:val="0"/>
        <w:autoSpaceDE/>
        <w:autoSpaceDN/>
        <w:bidi w:val="0"/>
        <w:adjustRightInd/>
        <w:snapToGrid/>
        <w:spacing w:line="500" w:lineRule="exact"/>
        <w:ind w:firstLine="480"/>
        <w:jc w:val="left"/>
        <w:textAlignment w:val="auto"/>
        <w:rPr>
          <w:rFonts w:hint="eastAsia" w:ascii="宋体" w:hAnsi="宋体" w:eastAsia="宋体" w:cs="宋体"/>
          <w:sz w:val="24"/>
          <w:szCs w:val="24"/>
        </w:rPr>
      </w:pPr>
      <w:r>
        <w:rPr>
          <w:rFonts w:hint="eastAsia" w:ascii="宋体" w:hAnsi="宋体" w:eastAsia="宋体" w:cs="宋体"/>
          <w:sz w:val="24"/>
          <w:szCs w:val="24"/>
        </w:rPr>
        <w:t>资格及资信证明部分中不得出现报价部分的全部或部分的投标报价信息（或组成资料），否则资格审查不合格。（联合体协议及分包意向协议中的比例规定，不适用本条款）</w:t>
      </w:r>
    </w:p>
    <w:p w14:paraId="4DDA3780">
      <w:pPr>
        <w:pStyle w:val="6"/>
        <w:keepNext w:val="0"/>
        <w:keepLines w:val="0"/>
        <w:pageBreakBefore w:val="0"/>
        <w:kinsoku/>
        <w:wordWrap/>
        <w:overflowPunct/>
        <w:topLinePunct w:val="0"/>
        <w:autoSpaceDE/>
        <w:autoSpaceDN/>
        <w:bidi w:val="0"/>
        <w:adjustRightInd/>
        <w:snapToGrid/>
        <w:spacing w:line="500" w:lineRule="exact"/>
        <w:textAlignment w:val="auto"/>
        <w:rPr>
          <w:rFonts w:hint="eastAsia" w:ascii="宋体" w:hAnsi="宋体" w:eastAsia="宋体" w:cs="宋体"/>
          <w:sz w:val="24"/>
          <w:szCs w:val="24"/>
        </w:rPr>
      </w:pPr>
      <w:r>
        <w:rPr>
          <w:rFonts w:hint="eastAsia" w:ascii="宋体" w:hAnsi="宋体" w:eastAsia="宋体" w:cs="宋体"/>
          <w:sz w:val="24"/>
          <w:szCs w:val="24"/>
        </w:rPr>
        <w:t xml:space="preserve"> </w:t>
      </w:r>
      <w:r>
        <w:rPr>
          <w:rFonts w:hint="eastAsia" w:ascii="宋体" w:hAnsi="宋体" w:eastAsia="宋体" w:cs="宋体"/>
          <w:sz w:val="24"/>
          <w:szCs w:val="24"/>
        </w:rPr>
        <w:br w:type="textWrapping"/>
      </w:r>
      <w:r>
        <w:rPr>
          <w:rFonts w:hint="eastAsia" w:ascii="宋体" w:hAnsi="宋体" w:eastAsia="宋体" w:cs="宋体"/>
          <w:sz w:val="24"/>
          <w:szCs w:val="24"/>
        </w:rPr>
        <w:br w:type="page"/>
      </w:r>
    </w:p>
    <w:p w14:paraId="69E8B80D">
      <w:pPr>
        <w:pStyle w:val="6"/>
        <w:keepNext w:val="0"/>
        <w:keepLines w:val="0"/>
        <w:pageBreakBefore w:val="0"/>
        <w:kinsoku/>
        <w:wordWrap/>
        <w:overflowPunct/>
        <w:topLinePunct w:val="0"/>
        <w:autoSpaceDE/>
        <w:autoSpaceDN/>
        <w:bidi w:val="0"/>
        <w:adjustRightInd/>
        <w:snapToGrid/>
        <w:spacing w:line="500" w:lineRule="exact"/>
        <w:jc w:val="center"/>
        <w:textAlignment w:val="auto"/>
        <w:outlineLvl w:val="2"/>
        <w:rPr>
          <w:rFonts w:hint="eastAsia" w:ascii="宋体" w:hAnsi="宋体" w:eastAsia="宋体" w:cs="宋体"/>
          <w:sz w:val="24"/>
          <w:szCs w:val="24"/>
        </w:rPr>
      </w:pPr>
      <w:r>
        <w:rPr>
          <w:rFonts w:hint="eastAsia" w:ascii="宋体" w:hAnsi="宋体" w:eastAsia="宋体" w:cs="宋体"/>
          <w:b/>
          <w:sz w:val="24"/>
          <w:szCs w:val="24"/>
        </w:rPr>
        <w:t>一、投标函</w:t>
      </w:r>
    </w:p>
    <w:p w14:paraId="1D5F4B46">
      <w:pPr>
        <w:pStyle w:val="6"/>
        <w:keepNext w:val="0"/>
        <w:keepLines w:val="0"/>
        <w:pageBreakBefore w:val="0"/>
        <w:kinsoku/>
        <w:wordWrap/>
        <w:overflowPunct/>
        <w:topLinePunct w:val="0"/>
        <w:autoSpaceDE/>
        <w:autoSpaceDN/>
        <w:bidi w:val="0"/>
        <w:adjustRightInd/>
        <w:snapToGrid/>
        <w:spacing w:line="500" w:lineRule="exact"/>
        <w:ind w:firstLine="480"/>
        <w:jc w:val="left"/>
        <w:textAlignment w:val="auto"/>
        <w:rPr>
          <w:rFonts w:hint="eastAsia" w:ascii="宋体" w:hAnsi="宋体" w:eastAsia="宋体" w:cs="宋体"/>
          <w:sz w:val="24"/>
          <w:szCs w:val="24"/>
        </w:rPr>
      </w:pPr>
      <w:r>
        <w:rPr>
          <w:rFonts w:hint="eastAsia" w:ascii="宋体" w:hAnsi="宋体" w:eastAsia="宋体" w:cs="宋体"/>
          <w:sz w:val="24"/>
          <w:szCs w:val="24"/>
        </w:rPr>
        <w:t>致：</w:t>
      </w:r>
      <w:r>
        <w:rPr>
          <w:rFonts w:hint="eastAsia" w:ascii="宋体" w:hAnsi="宋体" w:eastAsia="宋体" w:cs="宋体"/>
          <w:sz w:val="24"/>
          <w:szCs w:val="24"/>
          <w:u w:val="single"/>
        </w:rPr>
        <w:t>（采购人或采购代理机构）</w:t>
      </w:r>
    </w:p>
    <w:p w14:paraId="4BAE04D8">
      <w:pPr>
        <w:pStyle w:val="6"/>
        <w:keepNext w:val="0"/>
        <w:keepLines w:val="0"/>
        <w:pageBreakBefore w:val="0"/>
        <w:kinsoku/>
        <w:wordWrap/>
        <w:overflowPunct/>
        <w:topLinePunct w:val="0"/>
        <w:autoSpaceDE/>
        <w:autoSpaceDN/>
        <w:bidi w:val="0"/>
        <w:adjustRightInd/>
        <w:snapToGrid/>
        <w:spacing w:line="500" w:lineRule="exact"/>
        <w:ind w:firstLine="480"/>
        <w:jc w:val="left"/>
        <w:textAlignment w:val="auto"/>
        <w:rPr>
          <w:rFonts w:hint="eastAsia" w:ascii="宋体" w:hAnsi="宋体" w:eastAsia="宋体" w:cs="宋体"/>
          <w:sz w:val="24"/>
          <w:szCs w:val="24"/>
        </w:rPr>
      </w:pPr>
      <w:r>
        <w:rPr>
          <w:rFonts w:hint="eastAsia" w:ascii="宋体" w:hAnsi="宋体" w:eastAsia="宋体" w:cs="宋体"/>
          <w:sz w:val="24"/>
          <w:szCs w:val="24"/>
        </w:rPr>
        <w:t>兹收到贵单位关于</w:t>
      </w:r>
      <w:r>
        <w:rPr>
          <w:rFonts w:hint="eastAsia" w:ascii="宋体" w:hAnsi="宋体" w:eastAsia="宋体" w:cs="宋体"/>
          <w:sz w:val="24"/>
          <w:szCs w:val="24"/>
          <w:u w:val="single"/>
        </w:rPr>
        <w:t xml:space="preserve">（填写“项目名称”） </w:t>
      </w:r>
      <w:r>
        <w:rPr>
          <w:rFonts w:hint="eastAsia" w:ascii="宋体" w:hAnsi="宋体" w:eastAsia="宋体" w:cs="宋体"/>
          <w:sz w:val="24"/>
          <w:szCs w:val="24"/>
        </w:rPr>
        <w:t>项目</w:t>
      </w:r>
      <w:r>
        <w:rPr>
          <w:rFonts w:hint="eastAsia" w:ascii="宋体" w:hAnsi="宋体" w:eastAsia="宋体" w:cs="宋体"/>
          <w:sz w:val="24"/>
          <w:szCs w:val="24"/>
          <w:u w:val="single"/>
        </w:rPr>
        <w:t xml:space="preserve">（项目编号：　　　　　） </w:t>
      </w:r>
      <w:r>
        <w:rPr>
          <w:rFonts w:hint="eastAsia" w:ascii="宋体" w:hAnsi="宋体" w:eastAsia="宋体" w:cs="宋体"/>
          <w:sz w:val="24"/>
          <w:szCs w:val="24"/>
        </w:rPr>
        <w:t>的投标邀请，本投标人代表</w:t>
      </w:r>
      <w:r>
        <w:rPr>
          <w:rFonts w:hint="eastAsia" w:ascii="宋体" w:hAnsi="宋体" w:eastAsia="宋体" w:cs="宋体"/>
          <w:sz w:val="24"/>
          <w:szCs w:val="24"/>
          <w:u w:val="single"/>
        </w:rPr>
        <w:t xml:space="preserve">（填写“全名”） </w:t>
      </w:r>
      <w:r>
        <w:rPr>
          <w:rFonts w:hint="eastAsia" w:ascii="宋体" w:hAnsi="宋体" w:eastAsia="宋体" w:cs="宋体"/>
          <w:sz w:val="24"/>
          <w:szCs w:val="24"/>
        </w:rPr>
        <w:t>已获得我方正式授权并代表投标人（填写“全称”）参加投标，并提交电子投标文件。我方提交的全部电子投标文件由下述部分组成：</w:t>
      </w:r>
    </w:p>
    <w:p w14:paraId="3C0A040B">
      <w:pPr>
        <w:pStyle w:val="6"/>
        <w:keepNext w:val="0"/>
        <w:keepLines w:val="0"/>
        <w:pageBreakBefore w:val="0"/>
        <w:kinsoku/>
        <w:wordWrap/>
        <w:overflowPunct/>
        <w:topLinePunct w:val="0"/>
        <w:autoSpaceDE/>
        <w:autoSpaceDN/>
        <w:bidi w:val="0"/>
        <w:adjustRightInd/>
        <w:snapToGrid/>
        <w:spacing w:line="500" w:lineRule="exact"/>
        <w:ind w:firstLine="480"/>
        <w:jc w:val="left"/>
        <w:textAlignment w:val="auto"/>
        <w:rPr>
          <w:rFonts w:hint="eastAsia" w:ascii="宋体" w:hAnsi="宋体" w:eastAsia="宋体" w:cs="宋体"/>
          <w:sz w:val="24"/>
          <w:szCs w:val="24"/>
        </w:rPr>
      </w:pPr>
      <w:r>
        <w:rPr>
          <w:rFonts w:hint="eastAsia" w:ascii="宋体" w:hAnsi="宋体" w:eastAsia="宋体" w:cs="宋体"/>
          <w:sz w:val="24"/>
          <w:szCs w:val="24"/>
        </w:rPr>
        <w:t>（1）资格及资信证明部分</w:t>
      </w:r>
    </w:p>
    <w:p w14:paraId="4B6D1486">
      <w:pPr>
        <w:pStyle w:val="6"/>
        <w:keepNext w:val="0"/>
        <w:keepLines w:val="0"/>
        <w:pageBreakBefore w:val="0"/>
        <w:kinsoku/>
        <w:wordWrap/>
        <w:overflowPunct/>
        <w:topLinePunct w:val="0"/>
        <w:autoSpaceDE/>
        <w:autoSpaceDN/>
        <w:bidi w:val="0"/>
        <w:adjustRightInd/>
        <w:snapToGrid/>
        <w:spacing w:line="500" w:lineRule="exact"/>
        <w:ind w:firstLine="480"/>
        <w:jc w:val="left"/>
        <w:textAlignment w:val="auto"/>
        <w:rPr>
          <w:rFonts w:hint="eastAsia" w:ascii="宋体" w:hAnsi="宋体" w:eastAsia="宋体" w:cs="宋体"/>
          <w:sz w:val="24"/>
          <w:szCs w:val="24"/>
        </w:rPr>
      </w:pPr>
      <w:r>
        <w:rPr>
          <w:rFonts w:hint="eastAsia" w:ascii="宋体" w:hAnsi="宋体" w:eastAsia="宋体" w:cs="宋体"/>
          <w:sz w:val="24"/>
          <w:szCs w:val="24"/>
        </w:rPr>
        <w:t>①投标函</w:t>
      </w:r>
    </w:p>
    <w:p w14:paraId="4FB7AFEA">
      <w:pPr>
        <w:pStyle w:val="6"/>
        <w:keepNext w:val="0"/>
        <w:keepLines w:val="0"/>
        <w:pageBreakBefore w:val="0"/>
        <w:kinsoku/>
        <w:wordWrap/>
        <w:overflowPunct/>
        <w:topLinePunct w:val="0"/>
        <w:autoSpaceDE/>
        <w:autoSpaceDN/>
        <w:bidi w:val="0"/>
        <w:adjustRightInd/>
        <w:snapToGrid/>
        <w:spacing w:line="500" w:lineRule="exact"/>
        <w:ind w:firstLine="480"/>
        <w:jc w:val="left"/>
        <w:textAlignment w:val="auto"/>
        <w:rPr>
          <w:rFonts w:hint="eastAsia" w:ascii="宋体" w:hAnsi="宋体" w:eastAsia="宋体" w:cs="宋体"/>
          <w:sz w:val="24"/>
          <w:szCs w:val="24"/>
        </w:rPr>
      </w:pPr>
      <w:r>
        <w:rPr>
          <w:rFonts w:hint="eastAsia" w:ascii="宋体" w:hAnsi="宋体" w:eastAsia="宋体" w:cs="宋体"/>
          <w:sz w:val="24"/>
          <w:szCs w:val="24"/>
        </w:rPr>
        <w:t>②投标人的资格及资信证明文件</w:t>
      </w:r>
    </w:p>
    <w:p w14:paraId="4A9D7FDC">
      <w:pPr>
        <w:pStyle w:val="6"/>
        <w:keepNext w:val="0"/>
        <w:keepLines w:val="0"/>
        <w:pageBreakBefore w:val="0"/>
        <w:kinsoku/>
        <w:wordWrap/>
        <w:overflowPunct/>
        <w:topLinePunct w:val="0"/>
        <w:autoSpaceDE/>
        <w:autoSpaceDN/>
        <w:bidi w:val="0"/>
        <w:adjustRightInd/>
        <w:snapToGrid/>
        <w:spacing w:line="500" w:lineRule="exact"/>
        <w:ind w:firstLine="480"/>
        <w:jc w:val="left"/>
        <w:textAlignment w:val="auto"/>
        <w:rPr>
          <w:rFonts w:hint="eastAsia" w:ascii="宋体" w:hAnsi="宋体" w:eastAsia="宋体" w:cs="宋体"/>
          <w:sz w:val="24"/>
          <w:szCs w:val="24"/>
        </w:rPr>
      </w:pPr>
      <w:r>
        <w:rPr>
          <w:rFonts w:hint="eastAsia" w:ascii="宋体" w:hAnsi="宋体" w:eastAsia="宋体" w:cs="宋体"/>
          <w:sz w:val="24"/>
          <w:szCs w:val="24"/>
        </w:rPr>
        <w:t>③投标保证金</w:t>
      </w:r>
    </w:p>
    <w:p w14:paraId="7034E965">
      <w:pPr>
        <w:pStyle w:val="6"/>
        <w:keepNext w:val="0"/>
        <w:keepLines w:val="0"/>
        <w:pageBreakBefore w:val="0"/>
        <w:kinsoku/>
        <w:wordWrap/>
        <w:overflowPunct/>
        <w:topLinePunct w:val="0"/>
        <w:autoSpaceDE/>
        <w:autoSpaceDN/>
        <w:bidi w:val="0"/>
        <w:adjustRightInd/>
        <w:snapToGrid/>
        <w:spacing w:line="500" w:lineRule="exact"/>
        <w:ind w:firstLine="480"/>
        <w:jc w:val="left"/>
        <w:textAlignment w:val="auto"/>
        <w:rPr>
          <w:rFonts w:hint="eastAsia" w:ascii="宋体" w:hAnsi="宋体" w:eastAsia="宋体" w:cs="宋体"/>
          <w:sz w:val="24"/>
          <w:szCs w:val="24"/>
        </w:rPr>
      </w:pPr>
      <w:r>
        <w:rPr>
          <w:rFonts w:hint="eastAsia" w:ascii="宋体" w:hAnsi="宋体" w:eastAsia="宋体" w:cs="宋体"/>
          <w:sz w:val="24"/>
          <w:szCs w:val="24"/>
        </w:rPr>
        <w:t>（2）报价部分</w:t>
      </w:r>
    </w:p>
    <w:p w14:paraId="60EC04C7">
      <w:pPr>
        <w:pStyle w:val="6"/>
        <w:keepNext w:val="0"/>
        <w:keepLines w:val="0"/>
        <w:pageBreakBefore w:val="0"/>
        <w:kinsoku/>
        <w:wordWrap/>
        <w:overflowPunct/>
        <w:topLinePunct w:val="0"/>
        <w:autoSpaceDE/>
        <w:autoSpaceDN/>
        <w:bidi w:val="0"/>
        <w:adjustRightInd/>
        <w:snapToGrid/>
        <w:spacing w:line="500" w:lineRule="exact"/>
        <w:ind w:firstLine="480"/>
        <w:jc w:val="left"/>
        <w:textAlignment w:val="auto"/>
        <w:rPr>
          <w:rFonts w:hint="eastAsia" w:ascii="宋体" w:hAnsi="宋体" w:eastAsia="宋体" w:cs="宋体"/>
          <w:sz w:val="24"/>
          <w:szCs w:val="24"/>
        </w:rPr>
      </w:pPr>
      <w:r>
        <w:rPr>
          <w:rFonts w:hint="eastAsia" w:ascii="宋体" w:hAnsi="宋体" w:eastAsia="宋体" w:cs="宋体"/>
          <w:sz w:val="24"/>
          <w:szCs w:val="24"/>
        </w:rPr>
        <w:t>①开标一览表</w:t>
      </w:r>
    </w:p>
    <w:p w14:paraId="60F9A53F">
      <w:pPr>
        <w:pStyle w:val="6"/>
        <w:keepNext w:val="0"/>
        <w:keepLines w:val="0"/>
        <w:pageBreakBefore w:val="0"/>
        <w:kinsoku/>
        <w:wordWrap/>
        <w:overflowPunct/>
        <w:topLinePunct w:val="0"/>
        <w:autoSpaceDE/>
        <w:autoSpaceDN/>
        <w:bidi w:val="0"/>
        <w:adjustRightInd/>
        <w:snapToGrid/>
        <w:spacing w:line="500" w:lineRule="exact"/>
        <w:ind w:firstLine="480"/>
        <w:jc w:val="left"/>
        <w:textAlignment w:val="auto"/>
        <w:rPr>
          <w:rFonts w:hint="eastAsia" w:ascii="宋体" w:hAnsi="宋体" w:eastAsia="宋体" w:cs="宋体"/>
          <w:sz w:val="24"/>
          <w:szCs w:val="24"/>
        </w:rPr>
      </w:pPr>
      <w:r>
        <w:rPr>
          <w:rFonts w:hint="eastAsia" w:ascii="宋体" w:hAnsi="宋体" w:eastAsia="宋体" w:cs="宋体"/>
          <w:sz w:val="24"/>
          <w:szCs w:val="24"/>
        </w:rPr>
        <w:t>②投标分项报价表</w:t>
      </w:r>
    </w:p>
    <w:p w14:paraId="7E02A8A5">
      <w:pPr>
        <w:pStyle w:val="6"/>
        <w:keepNext w:val="0"/>
        <w:keepLines w:val="0"/>
        <w:pageBreakBefore w:val="0"/>
        <w:kinsoku/>
        <w:wordWrap/>
        <w:overflowPunct/>
        <w:topLinePunct w:val="0"/>
        <w:autoSpaceDE/>
        <w:autoSpaceDN/>
        <w:bidi w:val="0"/>
        <w:adjustRightInd/>
        <w:snapToGrid/>
        <w:spacing w:line="500" w:lineRule="exact"/>
        <w:ind w:firstLine="480"/>
        <w:jc w:val="left"/>
        <w:textAlignment w:val="auto"/>
        <w:rPr>
          <w:rFonts w:hint="eastAsia" w:ascii="宋体" w:hAnsi="宋体" w:eastAsia="宋体" w:cs="宋体"/>
          <w:sz w:val="24"/>
          <w:szCs w:val="24"/>
        </w:rPr>
      </w:pPr>
      <w:r>
        <w:rPr>
          <w:rFonts w:hint="eastAsia" w:ascii="宋体" w:hAnsi="宋体" w:eastAsia="宋体" w:cs="宋体"/>
          <w:sz w:val="24"/>
          <w:szCs w:val="24"/>
        </w:rPr>
        <w:t>③招标文件规定的价格扣除证明材料（若有）</w:t>
      </w:r>
    </w:p>
    <w:p w14:paraId="3380A09C">
      <w:pPr>
        <w:pStyle w:val="6"/>
        <w:keepNext w:val="0"/>
        <w:keepLines w:val="0"/>
        <w:pageBreakBefore w:val="0"/>
        <w:kinsoku/>
        <w:wordWrap/>
        <w:overflowPunct/>
        <w:topLinePunct w:val="0"/>
        <w:autoSpaceDE/>
        <w:autoSpaceDN/>
        <w:bidi w:val="0"/>
        <w:adjustRightInd/>
        <w:snapToGrid/>
        <w:spacing w:line="500" w:lineRule="exact"/>
        <w:ind w:firstLine="480"/>
        <w:jc w:val="left"/>
        <w:textAlignment w:val="auto"/>
        <w:rPr>
          <w:rFonts w:hint="eastAsia" w:ascii="宋体" w:hAnsi="宋体" w:eastAsia="宋体" w:cs="宋体"/>
          <w:sz w:val="24"/>
          <w:szCs w:val="24"/>
        </w:rPr>
      </w:pPr>
      <w:r>
        <w:rPr>
          <w:rFonts w:hint="eastAsia" w:ascii="宋体" w:hAnsi="宋体" w:eastAsia="宋体" w:cs="宋体"/>
          <w:sz w:val="24"/>
          <w:szCs w:val="24"/>
        </w:rPr>
        <w:t>④招标文件规定的加分证明材料（若有）</w:t>
      </w:r>
    </w:p>
    <w:p w14:paraId="38B48E80">
      <w:pPr>
        <w:pStyle w:val="6"/>
        <w:keepNext w:val="0"/>
        <w:keepLines w:val="0"/>
        <w:pageBreakBefore w:val="0"/>
        <w:kinsoku/>
        <w:wordWrap/>
        <w:overflowPunct/>
        <w:topLinePunct w:val="0"/>
        <w:autoSpaceDE/>
        <w:autoSpaceDN/>
        <w:bidi w:val="0"/>
        <w:adjustRightInd/>
        <w:snapToGrid/>
        <w:spacing w:line="500" w:lineRule="exact"/>
        <w:ind w:firstLine="480"/>
        <w:jc w:val="left"/>
        <w:textAlignment w:val="auto"/>
        <w:rPr>
          <w:rFonts w:hint="eastAsia" w:ascii="宋体" w:hAnsi="宋体" w:eastAsia="宋体" w:cs="宋体"/>
          <w:sz w:val="24"/>
          <w:szCs w:val="24"/>
        </w:rPr>
      </w:pPr>
      <w:r>
        <w:rPr>
          <w:rFonts w:hint="eastAsia" w:ascii="宋体" w:hAnsi="宋体" w:eastAsia="宋体" w:cs="宋体"/>
          <w:sz w:val="24"/>
          <w:szCs w:val="24"/>
        </w:rPr>
        <w:t>（3）技术商务部分</w:t>
      </w:r>
    </w:p>
    <w:p w14:paraId="74F83821">
      <w:pPr>
        <w:pStyle w:val="6"/>
        <w:keepNext w:val="0"/>
        <w:keepLines w:val="0"/>
        <w:pageBreakBefore w:val="0"/>
        <w:kinsoku/>
        <w:wordWrap/>
        <w:overflowPunct/>
        <w:topLinePunct w:val="0"/>
        <w:autoSpaceDE/>
        <w:autoSpaceDN/>
        <w:bidi w:val="0"/>
        <w:adjustRightInd/>
        <w:snapToGrid/>
        <w:spacing w:line="500" w:lineRule="exact"/>
        <w:ind w:firstLine="480"/>
        <w:jc w:val="left"/>
        <w:textAlignment w:val="auto"/>
        <w:rPr>
          <w:rFonts w:hint="eastAsia" w:ascii="宋体" w:hAnsi="宋体" w:eastAsia="宋体" w:cs="宋体"/>
          <w:sz w:val="24"/>
          <w:szCs w:val="24"/>
        </w:rPr>
      </w:pPr>
      <w:r>
        <w:rPr>
          <w:rFonts w:hint="eastAsia" w:ascii="宋体" w:hAnsi="宋体" w:eastAsia="宋体" w:cs="宋体"/>
          <w:sz w:val="24"/>
          <w:szCs w:val="24"/>
        </w:rPr>
        <w:t>①标的说明一览表</w:t>
      </w:r>
    </w:p>
    <w:p w14:paraId="2A4F95F2">
      <w:pPr>
        <w:pStyle w:val="6"/>
        <w:keepNext w:val="0"/>
        <w:keepLines w:val="0"/>
        <w:pageBreakBefore w:val="0"/>
        <w:kinsoku/>
        <w:wordWrap/>
        <w:overflowPunct/>
        <w:topLinePunct w:val="0"/>
        <w:autoSpaceDE/>
        <w:autoSpaceDN/>
        <w:bidi w:val="0"/>
        <w:adjustRightInd/>
        <w:snapToGrid/>
        <w:spacing w:line="500" w:lineRule="exact"/>
        <w:ind w:firstLine="480"/>
        <w:jc w:val="left"/>
        <w:textAlignment w:val="auto"/>
        <w:rPr>
          <w:rFonts w:hint="eastAsia" w:ascii="宋体" w:hAnsi="宋体" w:eastAsia="宋体" w:cs="宋体"/>
          <w:sz w:val="24"/>
          <w:szCs w:val="24"/>
        </w:rPr>
      </w:pPr>
      <w:r>
        <w:rPr>
          <w:rFonts w:hint="eastAsia" w:ascii="宋体" w:hAnsi="宋体" w:eastAsia="宋体" w:cs="宋体"/>
          <w:sz w:val="24"/>
          <w:szCs w:val="24"/>
        </w:rPr>
        <w:t>②技术和服务要求响应表</w:t>
      </w:r>
    </w:p>
    <w:p w14:paraId="4EAD0249">
      <w:pPr>
        <w:pStyle w:val="6"/>
        <w:keepNext w:val="0"/>
        <w:keepLines w:val="0"/>
        <w:pageBreakBefore w:val="0"/>
        <w:kinsoku/>
        <w:wordWrap/>
        <w:overflowPunct/>
        <w:topLinePunct w:val="0"/>
        <w:autoSpaceDE/>
        <w:autoSpaceDN/>
        <w:bidi w:val="0"/>
        <w:adjustRightInd/>
        <w:snapToGrid/>
        <w:spacing w:line="500" w:lineRule="exact"/>
        <w:ind w:firstLine="480"/>
        <w:jc w:val="left"/>
        <w:textAlignment w:val="auto"/>
        <w:rPr>
          <w:rFonts w:hint="eastAsia" w:ascii="宋体" w:hAnsi="宋体" w:eastAsia="宋体" w:cs="宋体"/>
          <w:sz w:val="24"/>
          <w:szCs w:val="24"/>
        </w:rPr>
      </w:pPr>
      <w:r>
        <w:rPr>
          <w:rFonts w:hint="eastAsia" w:ascii="宋体" w:hAnsi="宋体" w:eastAsia="宋体" w:cs="宋体"/>
          <w:sz w:val="24"/>
          <w:szCs w:val="24"/>
        </w:rPr>
        <w:t>③商务条件响应表</w:t>
      </w:r>
    </w:p>
    <w:p w14:paraId="7DC4CD95">
      <w:pPr>
        <w:pStyle w:val="6"/>
        <w:keepNext w:val="0"/>
        <w:keepLines w:val="0"/>
        <w:pageBreakBefore w:val="0"/>
        <w:kinsoku/>
        <w:wordWrap/>
        <w:overflowPunct/>
        <w:topLinePunct w:val="0"/>
        <w:autoSpaceDE/>
        <w:autoSpaceDN/>
        <w:bidi w:val="0"/>
        <w:adjustRightInd/>
        <w:snapToGrid/>
        <w:spacing w:line="500" w:lineRule="exact"/>
        <w:ind w:firstLine="480"/>
        <w:jc w:val="left"/>
        <w:textAlignment w:val="auto"/>
        <w:rPr>
          <w:rFonts w:hint="eastAsia" w:ascii="宋体" w:hAnsi="宋体" w:eastAsia="宋体" w:cs="宋体"/>
          <w:sz w:val="24"/>
          <w:szCs w:val="24"/>
        </w:rPr>
      </w:pPr>
      <w:r>
        <w:rPr>
          <w:rFonts w:hint="eastAsia" w:ascii="宋体" w:hAnsi="宋体" w:eastAsia="宋体" w:cs="宋体"/>
          <w:sz w:val="24"/>
          <w:szCs w:val="24"/>
        </w:rPr>
        <w:t>④投标人提交的其他资料（若有）</w:t>
      </w:r>
    </w:p>
    <w:p w14:paraId="71D76660">
      <w:pPr>
        <w:pStyle w:val="6"/>
        <w:keepNext w:val="0"/>
        <w:keepLines w:val="0"/>
        <w:pageBreakBefore w:val="0"/>
        <w:kinsoku/>
        <w:wordWrap/>
        <w:overflowPunct/>
        <w:topLinePunct w:val="0"/>
        <w:autoSpaceDE/>
        <w:autoSpaceDN/>
        <w:bidi w:val="0"/>
        <w:adjustRightInd/>
        <w:snapToGrid/>
        <w:spacing w:line="500" w:lineRule="exact"/>
        <w:ind w:firstLine="480"/>
        <w:jc w:val="left"/>
        <w:textAlignment w:val="auto"/>
        <w:rPr>
          <w:rFonts w:hint="eastAsia" w:ascii="宋体" w:hAnsi="宋体" w:eastAsia="宋体" w:cs="宋体"/>
          <w:sz w:val="24"/>
          <w:szCs w:val="24"/>
        </w:rPr>
      </w:pPr>
      <w:r>
        <w:rPr>
          <w:rFonts w:hint="eastAsia" w:ascii="宋体" w:hAnsi="宋体" w:eastAsia="宋体" w:cs="宋体"/>
          <w:sz w:val="24"/>
          <w:szCs w:val="24"/>
        </w:rPr>
        <w:t>根据本函，本投标人代表宣布我方保证遵守招标文件的全部规定，同时：</w:t>
      </w:r>
    </w:p>
    <w:p w14:paraId="2CBDC08D">
      <w:pPr>
        <w:pStyle w:val="6"/>
        <w:keepNext w:val="0"/>
        <w:keepLines w:val="0"/>
        <w:pageBreakBefore w:val="0"/>
        <w:kinsoku/>
        <w:wordWrap/>
        <w:overflowPunct/>
        <w:topLinePunct w:val="0"/>
        <w:autoSpaceDE/>
        <w:autoSpaceDN/>
        <w:bidi w:val="0"/>
        <w:adjustRightInd/>
        <w:snapToGrid/>
        <w:spacing w:line="500" w:lineRule="exact"/>
        <w:ind w:firstLine="480"/>
        <w:jc w:val="left"/>
        <w:textAlignment w:val="auto"/>
        <w:rPr>
          <w:rFonts w:hint="eastAsia" w:ascii="宋体" w:hAnsi="宋体" w:eastAsia="宋体" w:cs="宋体"/>
          <w:sz w:val="24"/>
          <w:szCs w:val="24"/>
        </w:rPr>
      </w:pPr>
      <w:r>
        <w:rPr>
          <w:rFonts w:hint="eastAsia" w:ascii="宋体" w:hAnsi="宋体" w:eastAsia="宋体" w:cs="宋体"/>
          <w:sz w:val="24"/>
          <w:szCs w:val="24"/>
        </w:rPr>
        <w:t>1、确认：</w:t>
      </w:r>
    </w:p>
    <w:p w14:paraId="44DB64B8">
      <w:pPr>
        <w:pStyle w:val="6"/>
        <w:keepNext w:val="0"/>
        <w:keepLines w:val="0"/>
        <w:pageBreakBefore w:val="0"/>
        <w:kinsoku/>
        <w:wordWrap/>
        <w:overflowPunct/>
        <w:topLinePunct w:val="0"/>
        <w:autoSpaceDE/>
        <w:autoSpaceDN/>
        <w:bidi w:val="0"/>
        <w:adjustRightInd/>
        <w:snapToGrid/>
        <w:spacing w:line="500" w:lineRule="exact"/>
        <w:ind w:firstLine="480"/>
        <w:jc w:val="left"/>
        <w:textAlignment w:val="auto"/>
        <w:rPr>
          <w:rFonts w:hint="eastAsia" w:ascii="宋体" w:hAnsi="宋体" w:eastAsia="宋体" w:cs="宋体"/>
          <w:sz w:val="24"/>
          <w:szCs w:val="24"/>
        </w:rPr>
      </w:pPr>
      <w:r>
        <w:rPr>
          <w:rFonts w:hint="eastAsia" w:ascii="宋体" w:hAnsi="宋体" w:eastAsia="宋体" w:cs="宋体"/>
          <w:sz w:val="24"/>
          <w:szCs w:val="24"/>
        </w:rPr>
        <w:t>1.1所投采购包的投标报价详见“开标一览表”及“投标分项报价表”。</w:t>
      </w:r>
    </w:p>
    <w:p w14:paraId="17E43747">
      <w:pPr>
        <w:pStyle w:val="6"/>
        <w:keepNext w:val="0"/>
        <w:keepLines w:val="0"/>
        <w:pageBreakBefore w:val="0"/>
        <w:kinsoku/>
        <w:wordWrap/>
        <w:overflowPunct/>
        <w:topLinePunct w:val="0"/>
        <w:autoSpaceDE/>
        <w:autoSpaceDN/>
        <w:bidi w:val="0"/>
        <w:adjustRightInd/>
        <w:snapToGrid/>
        <w:spacing w:line="500" w:lineRule="exact"/>
        <w:ind w:firstLine="480"/>
        <w:jc w:val="left"/>
        <w:textAlignment w:val="auto"/>
        <w:rPr>
          <w:rFonts w:hint="eastAsia" w:ascii="宋体" w:hAnsi="宋体" w:eastAsia="宋体" w:cs="宋体"/>
          <w:sz w:val="24"/>
          <w:szCs w:val="24"/>
        </w:rPr>
      </w:pPr>
      <w:r>
        <w:rPr>
          <w:rFonts w:hint="eastAsia" w:ascii="宋体" w:hAnsi="宋体" w:eastAsia="宋体" w:cs="宋体"/>
          <w:sz w:val="24"/>
          <w:szCs w:val="24"/>
        </w:rPr>
        <w:t>1.2我方已详细审查全部招标文件[包括但不限于：有关附件（若有）、澄清或修改（若有）等]，并自行承担因对全部招标文件理解不正确或误解而产生的相应后果和责任。</w:t>
      </w:r>
    </w:p>
    <w:p w14:paraId="338315D4">
      <w:pPr>
        <w:pStyle w:val="6"/>
        <w:keepNext w:val="0"/>
        <w:keepLines w:val="0"/>
        <w:pageBreakBefore w:val="0"/>
        <w:kinsoku/>
        <w:wordWrap/>
        <w:overflowPunct/>
        <w:topLinePunct w:val="0"/>
        <w:autoSpaceDE/>
        <w:autoSpaceDN/>
        <w:bidi w:val="0"/>
        <w:adjustRightInd/>
        <w:snapToGrid/>
        <w:spacing w:line="500" w:lineRule="exact"/>
        <w:ind w:firstLine="480"/>
        <w:jc w:val="left"/>
        <w:textAlignment w:val="auto"/>
        <w:rPr>
          <w:rFonts w:hint="eastAsia" w:ascii="宋体" w:hAnsi="宋体" w:eastAsia="宋体" w:cs="宋体"/>
          <w:sz w:val="24"/>
          <w:szCs w:val="24"/>
        </w:rPr>
      </w:pPr>
      <w:r>
        <w:rPr>
          <w:rFonts w:hint="eastAsia" w:ascii="宋体" w:hAnsi="宋体" w:eastAsia="宋体" w:cs="宋体"/>
          <w:sz w:val="24"/>
          <w:szCs w:val="24"/>
        </w:rPr>
        <w:t>2、承诺及声明：</w:t>
      </w:r>
    </w:p>
    <w:p w14:paraId="7DAA8361">
      <w:pPr>
        <w:pStyle w:val="6"/>
        <w:keepNext w:val="0"/>
        <w:keepLines w:val="0"/>
        <w:pageBreakBefore w:val="0"/>
        <w:kinsoku/>
        <w:wordWrap/>
        <w:overflowPunct/>
        <w:topLinePunct w:val="0"/>
        <w:autoSpaceDE/>
        <w:autoSpaceDN/>
        <w:bidi w:val="0"/>
        <w:adjustRightInd/>
        <w:snapToGrid/>
        <w:spacing w:line="500" w:lineRule="exact"/>
        <w:ind w:firstLine="480"/>
        <w:jc w:val="left"/>
        <w:textAlignment w:val="auto"/>
        <w:rPr>
          <w:rFonts w:hint="eastAsia" w:ascii="宋体" w:hAnsi="宋体" w:eastAsia="宋体" w:cs="宋体"/>
          <w:sz w:val="24"/>
          <w:szCs w:val="24"/>
        </w:rPr>
      </w:pPr>
      <w:r>
        <w:rPr>
          <w:rFonts w:hint="eastAsia" w:ascii="宋体" w:hAnsi="宋体" w:eastAsia="宋体" w:cs="宋体"/>
          <w:sz w:val="24"/>
          <w:szCs w:val="24"/>
        </w:rPr>
        <w:t>2.1我方具备招标文件第一章载明的“投标人的资格要求”且符合招标文件第三章载明的“二、投标人”之规定，否则投标无效。</w:t>
      </w:r>
    </w:p>
    <w:p w14:paraId="60677145">
      <w:pPr>
        <w:pStyle w:val="6"/>
        <w:keepNext w:val="0"/>
        <w:keepLines w:val="0"/>
        <w:pageBreakBefore w:val="0"/>
        <w:kinsoku/>
        <w:wordWrap/>
        <w:overflowPunct/>
        <w:topLinePunct w:val="0"/>
        <w:autoSpaceDE/>
        <w:autoSpaceDN/>
        <w:bidi w:val="0"/>
        <w:adjustRightInd/>
        <w:snapToGrid/>
        <w:spacing w:line="500" w:lineRule="exact"/>
        <w:ind w:firstLine="480"/>
        <w:jc w:val="left"/>
        <w:textAlignment w:val="auto"/>
        <w:rPr>
          <w:rFonts w:hint="eastAsia" w:ascii="宋体" w:hAnsi="宋体" w:eastAsia="宋体" w:cs="宋体"/>
          <w:sz w:val="24"/>
          <w:szCs w:val="24"/>
        </w:rPr>
      </w:pPr>
      <w:r>
        <w:rPr>
          <w:rFonts w:hint="eastAsia" w:ascii="宋体" w:hAnsi="宋体" w:eastAsia="宋体" w:cs="宋体"/>
          <w:sz w:val="24"/>
          <w:szCs w:val="24"/>
        </w:rPr>
        <w:t>2.2我方提交的电子投标文件各组成部分的全部内容及资料是不可割离且真实、有效、准确、完整和不具有任何误导性的，否则产生不利后果由我方承担责任。</w:t>
      </w:r>
    </w:p>
    <w:p w14:paraId="740FC87E">
      <w:pPr>
        <w:pStyle w:val="6"/>
        <w:keepNext w:val="0"/>
        <w:keepLines w:val="0"/>
        <w:pageBreakBefore w:val="0"/>
        <w:kinsoku/>
        <w:wordWrap/>
        <w:overflowPunct/>
        <w:topLinePunct w:val="0"/>
        <w:autoSpaceDE/>
        <w:autoSpaceDN/>
        <w:bidi w:val="0"/>
        <w:adjustRightInd/>
        <w:snapToGrid/>
        <w:spacing w:line="500" w:lineRule="exact"/>
        <w:ind w:firstLine="480"/>
        <w:jc w:val="left"/>
        <w:textAlignment w:val="auto"/>
        <w:rPr>
          <w:rFonts w:hint="eastAsia" w:ascii="宋体" w:hAnsi="宋体" w:eastAsia="宋体" w:cs="宋体"/>
          <w:sz w:val="24"/>
          <w:szCs w:val="24"/>
        </w:rPr>
      </w:pPr>
      <w:r>
        <w:rPr>
          <w:rFonts w:hint="eastAsia" w:ascii="宋体" w:hAnsi="宋体" w:eastAsia="宋体" w:cs="宋体"/>
          <w:sz w:val="24"/>
          <w:szCs w:val="24"/>
        </w:rPr>
        <w:t>2.3我方提供的标的价格不高于同期市场价格，否则产生不利后果由我方承担责任。</w:t>
      </w:r>
    </w:p>
    <w:p w14:paraId="270DC0EE">
      <w:pPr>
        <w:pStyle w:val="6"/>
        <w:keepNext w:val="0"/>
        <w:keepLines w:val="0"/>
        <w:pageBreakBefore w:val="0"/>
        <w:kinsoku/>
        <w:wordWrap/>
        <w:overflowPunct/>
        <w:topLinePunct w:val="0"/>
        <w:autoSpaceDE/>
        <w:autoSpaceDN/>
        <w:bidi w:val="0"/>
        <w:adjustRightInd/>
        <w:snapToGrid/>
        <w:spacing w:line="500" w:lineRule="exact"/>
        <w:ind w:firstLine="480"/>
        <w:jc w:val="left"/>
        <w:textAlignment w:val="auto"/>
        <w:rPr>
          <w:rFonts w:hint="eastAsia" w:ascii="宋体" w:hAnsi="宋体" w:eastAsia="宋体" w:cs="宋体"/>
          <w:sz w:val="24"/>
          <w:szCs w:val="24"/>
        </w:rPr>
      </w:pPr>
      <w:r>
        <w:rPr>
          <w:rFonts w:hint="eastAsia" w:ascii="宋体" w:hAnsi="宋体" w:eastAsia="宋体" w:cs="宋体"/>
          <w:sz w:val="24"/>
          <w:szCs w:val="24"/>
        </w:rPr>
        <w:t>2.4投标保证金：若出现招标文件第三章规定的不予退还情形，同意贵单位不予退还。</w:t>
      </w:r>
    </w:p>
    <w:p w14:paraId="4EBF4745">
      <w:pPr>
        <w:pStyle w:val="6"/>
        <w:keepNext w:val="0"/>
        <w:keepLines w:val="0"/>
        <w:pageBreakBefore w:val="0"/>
        <w:kinsoku/>
        <w:wordWrap/>
        <w:overflowPunct/>
        <w:topLinePunct w:val="0"/>
        <w:autoSpaceDE/>
        <w:autoSpaceDN/>
        <w:bidi w:val="0"/>
        <w:adjustRightInd/>
        <w:snapToGrid/>
        <w:spacing w:line="500" w:lineRule="exact"/>
        <w:ind w:firstLine="480"/>
        <w:jc w:val="left"/>
        <w:textAlignment w:val="auto"/>
        <w:rPr>
          <w:rFonts w:hint="eastAsia" w:ascii="宋体" w:hAnsi="宋体" w:eastAsia="宋体" w:cs="宋体"/>
          <w:sz w:val="24"/>
          <w:szCs w:val="24"/>
        </w:rPr>
      </w:pPr>
      <w:r>
        <w:rPr>
          <w:rFonts w:hint="eastAsia" w:ascii="宋体" w:hAnsi="宋体" w:eastAsia="宋体" w:cs="宋体"/>
          <w:sz w:val="24"/>
          <w:szCs w:val="24"/>
        </w:rPr>
        <w:t>2.5投标有效期：按照招标文件第三章规定执行，并在招标文件第二章载明的期限内保持有效。</w:t>
      </w:r>
    </w:p>
    <w:p w14:paraId="651C3D55">
      <w:pPr>
        <w:pStyle w:val="6"/>
        <w:keepNext w:val="0"/>
        <w:keepLines w:val="0"/>
        <w:pageBreakBefore w:val="0"/>
        <w:kinsoku/>
        <w:wordWrap/>
        <w:overflowPunct/>
        <w:topLinePunct w:val="0"/>
        <w:autoSpaceDE/>
        <w:autoSpaceDN/>
        <w:bidi w:val="0"/>
        <w:adjustRightInd/>
        <w:snapToGrid/>
        <w:spacing w:line="500" w:lineRule="exact"/>
        <w:ind w:firstLine="480"/>
        <w:jc w:val="left"/>
        <w:textAlignment w:val="auto"/>
        <w:rPr>
          <w:rFonts w:hint="eastAsia" w:ascii="宋体" w:hAnsi="宋体" w:eastAsia="宋体" w:cs="宋体"/>
          <w:sz w:val="24"/>
          <w:szCs w:val="24"/>
        </w:rPr>
      </w:pPr>
      <w:r>
        <w:rPr>
          <w:rFonts w:hint="eastAsia" w:ascii="宋体" w:hAnsi="宋体" w:eastAsia="宋体" w:cs="宋体"/>
          <w:sz w:val="24"/>
          <w:szCs w:val="24"/>
        </w:rPr>
        <w:t>2.6若中标，将按照招标文件、我方电子投标文件及政府采购合同履行责任和义务。</w:t>
      </w:r>
    </w:p>
    <w:p w14:paraId="1FF76BAB">
      <w:pPr>
        <w:pStyle w:val="6"/>
        <w:keepNext w:val="0"/>
        <w:keepLines w:val="0"/>
        <w:pageBreakBefore w:val="0"/>
        <w:kinsoku/>
        <w:wordWrap/>
        <w:overflowPunct/>
        <w:topLinePunct w:val="0"/>
        <w:autoSpaceDE/>
        <w:autoSpaceDN/>
        <w:bidi w:val="0"/>
        <w:adjustRightInd/>
        <w:snapToGrid/>
        <w:spacing w:line="500" w:lineRule="exact"/>
        <w:ind w:firstLine="480"/>
        <w:jc w:val="left"/>
        <w:textAlignment w:val="auto"/>
        <w:rPr>
          <w:rFonts w:hint="eastAsia" w:ascii="宋体" w:hAnsi="宋体" w:eastAsia="宋体" w:cs="宋体"/>
          <w:sz w:val="24"/>
          <w:szCs w:val="24"/>
        </w:rPr>
      </w:pPr>
      <w:r>
        <w:rPr>
          <w:rFonts w:hint="eastAsia" w:ascii="宋体" w:hAnsi="宋体" w:eastAsia="宋体" w:cs="宋体"/>
          <w:sz w:val="24"/>
          <w:szCs w:val="24"/>
        </w:rPr>
        <w:t>2.7若贵单位要求，我方同意提供与本项目投标有关的一切资料、数据或文件，并完全理解贵单位不一定要接受最低的投标报价或收到的任何投标。</w:t>
      </w:r>
    </w:p>
    <w:p w14:paraId="793531E7">
      <w:pPr>
        <w:pStyle w:val="6"/>
        <w:keepNext w:val="0"/>
        <w:keepLines w:val="0"/>
        <w:pageBreakBefore w:val="0"/>
        <w:kinsoku/>
        <w:wordWrap/>
        <w:overflowPunct/>
        <w:topLinePunct w:val="0"/>
        <w:autoSpaceDE/>
        <w:autoSpaceDN/>
        <w:bidi w:val="0"/>
        <w:adjustRightInd/>
        <w:snapToGrid/>
        <w:spacing w:line="500" w:lineRule="exact"/>
        <w:ind w:firstLine="480"/>
        <w:jc w:val="left"/>
        <w:textAlignment w:val="auto"/>
        <w:rPr>
          <w:rFonts w:hint="eastAsia" w:ascii="宋体" w:hAnsi="宋体" w:eastAsia="宋体" w:cs="宋体"/>
          <w:sz w:val="24"/>
          <w:szCs w:val="24"/>
        </w:rPr>
      </w:pPr>
      <w:r>
        <w:rPr>
          <w:rFonts w:hint="eastAsia" w:ascii="宋体" w:hAnsi="宋体" w:eastAsia="宋体" w:cs="宋体"/>
          <w:sz w:val="24"/>
          <w:szCs w:val="24"/>
        </w:rPr>
        <w:t>2.8 我方承诺遵守《中华人民共和国劳动合同法》有关规定和《中华人民共和国妇女权益保障法 》中关于“劳动和社会保障权益”的有关要求。</w:t>
      </w:r>
    </w:p>
    <w:p w14:paraId="3B6EA8D9">
      <w:pPr>
        <w:pStyle w:val="6"/>
        <w:keepNext w:val="0"/>
        <w:keepLines w:val="0"/>
        <w:pageBreakBefore w:val="0"/>
        <w:kinsoku/>
        <w:wordWrap/>
        <w:overflowPunct/>
        <w:topLinePunct w:val="0"/>
        <w:autoSpaceDE/>
        <w:autoSpaceDN/>
        <w:bidi w:val="0"/>
        <w:adjustRightInd/>
        <w:snapToGrid/>
        <w:spacing w:line="500" w:lineRule="exact"/>
        <w:ind w:firstLine="480"/>
        <w:jc w:val="left"/>
        <w:textAlignment w:val="auto"/>
        <w:rPr>
          <w:rFonts w:hint="eastAsia" w:ascii="宋体" w:hAnsi="宋体" w:eastAsia="宋体" w:cs="宋体"/>
          <w:sz w:val="24"/>
          <w:szCs w:val="24"/>
        </w:rPr>
      </w:pPr>
      <w:r>
        <w:rPr>
          <w:rFonts w:hint="eastAsia" w:ascii="宋体" w:hAnsi="宋体" w:eastAsia="宋体" w:cs="宋体"/>
          <w:sz w:val="24"/>
          <w:szCs w:val="24"/>
        </w:rPr>
        <w:t>2.9我方承诺电子投标文件所提供的全部资料真实可靠，并接受评标委员会、采购人、采购代理机构、监管部门进一步审查其中任何资料真实性的要求。</w:t>
      </w:r>
    </w:p>
    <w:p w14:paraId="1542CB02">
      <w:pPr>
        <w:pStyle w:val="6"/>
        <w:keepNext w:val="0"/>
        <w:keepLines w:val="0"/>
        <w:pageBreakBefore w:val="0"/>
        <w:kinsoku/>
        <w:wordWrap/>
        <w:overflowPunct/>
        <w:topLinePunct w:val="0"/>
        <w:autoSpaceDE/>
        <w:autoSpaceDN/>
        <w:bidi w:val="0"/>
        <w:adjustRightInd/>
        <w:snapToGrid/>
        <w:spacing w:line="500" w:lineRule="exact"/>
        <w:ind w:firstLine="480"/>
        <w:jc w:val="left"/>
        <w:textAlignment w:val="auto"/>
        <w:rPr>
          <w:rFonts w:hint="eastAsia" w:ascii="宋体" w:hAnsi="宋体" w:eastAsia="宋体" w:cs="宋体"/>
          <w:sz w:val="24"/>
          <w:szCs w:val="24"/>
        </w:rPr>
      </w:pPr>
      <w:r>
        <w:rPr>
          <w:rFonts w:hint="eastAsia" w:ascii="宋体" w:hAnsi="宋体" w:eastAsia="宋体" w:cs="宋体"/>
          <w:sz w:val="24"/>
          <w:szCs w:val="24"/>
        </w:rPr>
        <w:t>2.10除招标文件另有规定外，对于贵单位按照下述联络方式发出的任何信息或通知，均视为我方已收悉前述信息或通知的全部内容：</w:t>
      </w:r>
    </w:p>
    <w:p w14:paraId="1B5652CA">
      <w:pPr>
        <w:pStyle w:val="6"/>
        <w:keepNext w:val="0"/>
        <w:keepLines w:val="0"/>
        <w:pageBreakBefore w:val="0"/>
        <w:kinsoku/>
        <w:wordWrap/>
        <w:overflowPunct/>
        <w:topLinePunct w:val="0"/>
        <w:autoSpaceDE/>
        <w:autoSpaceDN/>
        <w:bidi w:val="0"/>
        <w:adjustRightInd/>
        <w:snapToGrid/>
        <w:spacing w:line="500" w:lineRule="exact"/>
        <w:ind w:firstLine="480"/>
        <w:jc w:val="left"/>
        <w:textAlignment w:val="auto"/>
        <w:rPr>
          <w:rFonts w:hint="eastAsia" w:ascii="宋体" w:hAnsi="宋体" w:eastAsia="宋体" w:cs="宋体"/>
          <w:sz w:val="24"/>
          <w:szCs w:val="24"/>
        </w:rPr>
      </w:pPr>
      <w:r>
        <w:rPr>
          <w:rFonts w:hint="eastAsia" w:ascii="宋体" w:hAnsi="宋体" w:eastAsia="宋体" w:cs="宋体"/>
          <w:sz w:val="24"/>
          <w:szCs w:val="24"/>
        </w:rPr>
        <w:t xml:space="preserve">通信地址：                                        </w:t>
      </w:r>
    </w:p>
    <w:p w14:paraId="3C6D1E46">
      <w:pPr>
        <w:pStyle w:val="6"/>
        <w:keepNext w:val="0"/>
        <w:keepLines w:val="0"/>
        <w:pageBreakBefore w:val="0"/>
        <w:kinsoku/>
        <w:wordWrap/>
        <w:overflowPunct/>
        <w:topLinePunct w:val="0"/>
        <w:autoSpaceDE/>
        <w:autoSpaceDN/>
        <w:bidi w:val="0"/>
        <w:adjustRightInd/>
        <w:snapToGrid/>
        <w:spacing w:line="500" w:lineRule="exact"/>
        <w:ind w:firstLine="480"/>
        <w:jc w:val="left"/>
        <w:textAlignment w:val="auto"/>
        <w:rPr>
          <w:rFonts w:hint="eastAsia" w:ascii="宋体" w:hAnsi="宋体" w:eastAsia="宋体" w:cs="宋体"/>
          <w:sz w:val="24"/>
          <w:szCs w:val="24"/>
        </w:rPr>
      </w:pPr>
      <w:r>
        <w:rPr>
          <w:rFonts w:hint="eastAsia" w:ascii="宋体" w:hAnsi="宋体" w:eastAsia="宋体" w:cs="宋体"/>
          <w:sz w:val="24"/>
          <w:szCs w:val="24"/>
        </w:rPr>
        <w:t xml:space="preserve">邮编：                                           </w:t>
      </w:r>
    </w:p>
    <w:p w14:paraId="462F11A1">
      <w:pPr>
        <w:pStyle w:val="6"/>
        <w:keepNext w:val="0"/>
        <w:keepLines w:val="0"/>
        <w:pageBreakBefore w:val="0"/>
        <w:kinsoku/>
        <w:wordWrap/>
        <w:overflowPunct/>
        <w:topLinePunct w:val="0"/>
        <w:autoSpaceDE/>
        <w:autoSpaceDN/>
        <w:bidi w:val="0"/>
        <w:adjustRightInd/>
        <w:snapToGrid/>
        <w:spacing w:line="500" w:lineRule="exact"/>
        <w:ind w:firstLine="480"/>
        <w:jc w:val="left"/>
        <w:textAlignment w:val="auto"/>
        <w:rPr>
          <w:rFonts w:hint="eastAsia" w:ascii="宋体" w:hAnsi="宋体" w:eastAsia="宋体" w:cs="宋体"/>
          <w:sz w:val="24"/>
          <w:szCs w:val="24"/>
        </w:rPr>
      </w:pPr>
      <w:r>
        <w:rPr>
          <w:rFonts w:hint="eastAsia" w:ascii="宋体" w:hAnsi="宋体" w:eastAsia="宋体" w:cs="宋体"/>
          <w:sz w:val="24"/>
          <w:szCs w:val="24"/>
        </w:rPr>
        <w:t>联系方法：（包括但不限于：联系人、联系电话、手机、传真、电子邮箱等）</w:t>
      </w:r>
    </w:p>
    <w:p w14:paraId="0EDA8878">
      <w:pPr>
        <w:pStyle w:val="6"/>
        <w:keepNext w:val="0"/>
        <w:keepLines w:val="0"/>
        <w:pageBreakBefore w:val="0"/>
        <w:kinsoku/>
        <w:wordWrap/>
        <w:overflowPunct/>
        <w:topLinePunct w:val="0"/>
        <w:autoSpaceDE/>
        <w:autoSpaceDN/>
        <w:bidi w:val="0"/>
        <w:adjustRightInd/>
        <w:snapToGrid/>
        <w:spacing w:line="500" w:lineRule="exact"/>
        <w:ind w:firstLine="480"/>
        <w:jc w:val="left"/>
        <w:textAlignment w:val="auto"/>
        <w:rPr>
          <w:rFonts w:hint="eastAsia" w:ascii="宋体" w:hAnsi="宋体" w:eastAsia="宋体" w:cs="宋体"/>
          <w:sz w:val="24"/>
          <w:szCs w:val="24"/>
        </w:rPr>
      </w:pPr>
      <w:r>
        <w:rPr>
          <w:rFonts w:hint="eastAsia" w:ascii="宋体" w:hAnsi="宋体" w:eastAsia="宋体" w:cs="宋体"/>
          <w:sz w:val="24"/>
          <w:szCs w:val="24"/>
        </w:rPr>
        <w:t>投标人：（全称并加盖单位公章）</w:t>
      </w:r>
    </w:p>
    <w:p w14:paraId="04710736">
      <w:pPr>
        <w:pStyle w:val="6"/>
        <w:keepNext w:val="0"/>
        <w:keepLines w:val="0"/>
        <w:pageBreakBefore w:val="0"/>
        <w:kinsoku/>
        <w:wordWrap/>
        <w:overflowPunct/>
        <w:topLinePunct w:val="0"/>
        <w:autoSpaceDE/>
        <w:autoSpaceDN/>
        <w:bidi w:val="0"/>
        <w:adjustRightInd/>
        <w:snapToGrid/>
        <w:spacing w:line="500" w:lineRule="exact"/>
        <w:ind w:firstLine="480"/>
        <w:jc w:val="left"/>
        <w:textAlignment w:val="auto"/>
        <w:rPr>
          <w:rFonts w:hint="eastAsia" w:ascii="宋体" w:hAnsi="宋体" w:eastAsia="宋体" w:cs="宋体"/>
          <w:sz w:val="24"/>
          <w:szCs w:val="24"/>
        </w:rPr>
      </w:pPr>
      <w:r>
        <w:rPr>
          <w:rFonts w:hint="eastAsia" w:ascii="宋体" w:hAnsi="宋体" w:eastAsia="宋体" w:cs="宋体"/>
          <w:sz w:val="24"/>
          <w:szCs w:val="24"/>
        </w:rPr>
        <w:t>日期：    年   月   日</w:t>
      </w:r>
    </w:p>
    <w:p w14:paraId="66B6BD64">
      <w:pPr>
        <w:pStyle w:val="6"/>
        <w:keepNext w:val="0"/>
        <w:keepLines w:val="0"/>
        <w:pageBreakBefore w:val="0"/>
        <w:kinsoku/>
        <w:wordWrap/>
        <w:overflowPunct/>
        <w:topLinePunct w:val="0"/>
        <w:autoSpaceDE/>
        <w:autoSpaceDN/>
        <w:bidi w:val="0"/>
        <w:adjustRightInd/>
        <w:snapToGrid/>
        <w:spacing w:line="500" w:lineRule="exact"/>
        <w:textAlignment w:val="auto"/>
        <w:rPr>
          <w:rFonts w:hint="eastAsia" w:ascii="宋体" w:hAnsi="宋体" w:eastAsia="宋体" w:cs="宋体"/>
          <w:sz w:val="24"/>
          <w:szCs w:val="24"/>
        </w:rPr>
      </w:pPr>
      <w:r>
        <w:rPr>
          <w:rFonts w:hint="eastAsia" w:ascii="宋体" w:hAnsi="宋体" w:eastAsia="宋体" w:cs="宋体"/>
          <w:sz w:val="24"/>
          <w:szCs w:val="24"/>
        </w:rPr>
        <w:t xml:space="preserve"> </w:t>
      </w:r>
      <w:r>
        <w:rPr>
          <w:rFonts w:hint="eastAsia" w:ascii="宋体" w:hAnsi="宋体" w:eastAsia="宋体" w:cs="宋体"/>
          <w:sz w:val="24"/>
          <w:szCs w:val="24"/>
        </w:rPr>
        <w:br w:type="textWrapping"/>
      </w:r>
      <w:r>
        <w:rPr>
          <w:rFonts w:hint="eastAsia" w:ascii="宋体" w:hAnsi="宋体" w:eastAsia="宋体" w:cs="宋体"/>
          <w:sz w:val="24"/>
          <w:szCs w:val="24"/>
        </w:rPr>
        <w:br w:type="page"/>
      </w:r>
    </w:p>
    <w:p w14:paraId="5AC45F3E">
      <w:pPr>
        <w:pStyle w:val="6"/>
        <w:keepNext w:val="0"/>
        <w:keepLines w:val="0"/>
        <w:pageBreakBefore w:val="0"/>
        <w:kinsoku/>
        <w:wordWrap/>
        <w:overflowPunct/>
        <w:topLinePunct w:val="0"/>
        <w:autoSpaceDE/>
        <w:autoSpaceDN/>
        <w:bidi w:val="0"/>
        <w:adjustRightInd/>
        <w:snapToGrid/>
        <w:spacing w:line="500" w:lineRule="exact"/>
        <w:jc w:val="center"/>
        <w:textAlignment w:val="auto"/>
        <w:outlineLvl w:val="2"/>
        <w:rPr>
          <w:rFonts w:hint="eastAsia" w:ascii="宋体" w:hAnsi="宋体" w:eastAsia="宋体" w:cs="宋体"/>
          <w:sz w:val="24"/>
          <w:szCs w:val="24"/>
        </w:rPr>
      </w:pPr>
      <w:r>
        <w:rPr>
          <w:rFonts w:hint="eastAsia" w:ascii="宋体" w:hAnsi="宋体" w:eastAsia="宋体" w:cs="宋体"/>
          <w:b/>
          <w:sz w:val="24"/>
          <w:szCs w:val="24"/>
        </w:rPr>
        <w:t>二、投标人的资格及资信证明文件</w:t>
      </w:r>
    </w:p>
    <w:p w14:paraId="44A29967">
      <w:pPr>
        <w:pStyle w:val="6"/>
        <w:keepNext w:val="0"/>
        <w:keepLines w:val="0"/>
        <w:pageBreakBefore w:val="0"/>
        <w:kinsoku/>
        <w:wordWrap/>
        <w:overflowPunct/>
        <w:topLinePunct w:val="0"/>
        <w:autoSpaceDE/>
        <w:autoSpaceDN/>
        <w:bidi w:val="0"/>
        <w:adjustRightInd/>
        <w:snapToGrid/>
        <w:spacing w:line="500" w:lineRule="exact"/>
        <w:ind w:firstLine="960"/>
        <w:jc w:val="center"/>
        <w:textAlignment w:val="auto"/>
        <w:outlineLvl w:val="3"/>
        <w:rPr>
          <w:rFonts w:hint="eastAsia" w:ascii="宋体" w:hAnsi="宋体" w:eastAsia="宋体" w:cs="宋体"/>
          <w:sz w:val="24"/>
          <w:szCs w:val="24"/>
        </w:rPr>
      </w:pPr>
      <w:r>
        <w:rPr>
          <w:rFonts w:hint="eastAsia" w:ascii="宋体" w:hAnsi="宋体" w:eastAsia="宋体" w:cs="宋体"/>
          <w:b/>
          <w:sz w:val="24"/>
          <w:szCs w:val="24"/>
        </w:rPr>
        <w:t>二-1单位授权书（若有）</w:t>
      </w:r>
    </w:p>
    <w:p w14:paraId="60EE006E">
      <w:pPr>
        <w:pStyle w:val="6"/>
        <w:keepNext w:val="0"/>
        <w:keepLines w:val="0"/>
        <w:pageBreakBefore w:val="0"/>
        <w:kinsoku/>
        <w:wordWrap/>
        <w:overflowPunct/>
        <w:topLinePunct w:val="0"/>
        <w:autoSpaceDE/>
        <w:autoSpaceDN/>
        <w:bidi w:val="0"/>
        <w:adjustRightInd/>
        <w:snapToGrid/>
        <w:spacing w:line="500" w:lineRule="exact"/>
        <w:ind w:firstLine="480"/>
        <w:jc w:val="left"/>
        <w:textAlignment w:val="auto"/>
        <w:rPr>
          <w:rFonts w:hint="eastAsia" w:ascii="宋体" w:hAnsi="宋体" w:eastAsia="宋体" w:cs="宋体"/>
          <w:sz w:val="24"/>
          <w:szCs w:val="24"/>
        </w:rPr>
      </w:pPr>
      <w:r>
        <w:rPr>
          <w:rFonts w:hint="eastAsia" w:ascii="宋体" w:hAnsi="宋体" w:eastAsia="宋体" w:cs="宋体"/>
          <w:sz w:val="24"/>
          <w:szCs w:val="24"/>
        </w:rPr>
        <w:t>致：</w:t>
      </w:r>
      <w:r>
        <w:rPr>
          <w:rFonts w:hint="eastAsia" w:ascii="宋体" w:hAnsi="宋体" w:eastAsia="宋体" w:cs="宋体"/>
          <w:sz w:val="24"/>
          <w:szCs w:val="24"/>
          <w:u w:val="single"/>
        </w:rPr>
        <w:t>（采购人或采购代理机构）</w:t>
      </w:r>
    </w:p>
    <w:p w14:paraId="3B1F4E0E">
      <w:pPr>
        <w:pStyle w:val="6"/>
        <w:keepNext w:val="0"/>
        <w:keepLines w:val="0"/>
        <w:pageBreakBefore w:val="0"/>
        <w:kinsoku/>
        <w:wordWrap/>
        <w:overflowPunct/>
        <w:topLinePunct w:val="0"/>
        <w:autoSpaceDE/>
        <w:autoSpaceDN/>
        <w:bidi w:val="0"/>
        <w:adjustRightInd/>
        <w:snapToGrid/>
        <w:spacing w:line="500" w:lineRule="exact"/>
        <w:ind w:firstLine="480"/>
        <w:jc w:val="left"/>
        <w:textAlignment w:val="auto"/>
        <w:rPr>
          <w:rFonts w:hint="eastAsia" w:ascii="宋体" w:hAnsi="宋体" w:eastAsia="宋体" w:cs="宋体"/>
          <w:sz w:val="24"/>
          <w:szCs w:val="24"/>
        </w:rPr>
      </w:pPr>
      <w:r>
        <w:rPr>
          <w:rFonts w:hint="eastAsia" w:ascii="宋体" w:hAnsi="宋体" w:eastAsia="宋体" w:cs="宋体"/>
          <w:sz w:val="24"/>
          <w:szCs w:val="24"/>
        </w:rPr>
        <w:t>我方的单位负责人</w:t>
      </w:r>
      <w:r>
        <w:rPr>
          <w:rFonts w:hint="eastAsia" w:ascii="宋体" w:hAnsi="宋体" w:eastAsia="宋体" w:cs="宋体"/>
          <w:sz w:val="24"/>
          <w:szCs w:val="24"/>
          <w:u w:val="single"/>
        </w:rPr>
        <w:t>（填写“单位负责人全名”）</w:t>
      </w:r>
      <w:r>
        <w:rPr>
          <w:rFonts w:hint="eastAsia" w:ascii="宋体" w:hAnsi="宋体" w:eastAsia="宋体" w:cs="宋体"/>
          <w:sz w:val="24"/>
          <w:szCs w:val="24"/>
        </w:rPr>
        <w:t>授权</w:t>
      </w:r>
      <w:r>
        <w:rPr>
          <w:rFonts w:hint="eastAsia" w:ascii="宋体" w:hAnsi="宋体" w:eastAsia="宋体" w:cs="宋体"/>
          <w:sz w:val="24"/>
          <w:szCs w:val="24"/>
          <w:u w:val="single"/>
        </w:rPr>
        <w:t>（填写“投标人代表全名”）</w:t>
      </w:r>
      <w:r>
        <w:rPr>
          <w:rFonts w:hint="eastAsia" w:ascii="宋体" w:hAnsi="宋体" w:eastAsia="宋体" w:cs="宋体"/>
          <w:sz w:val="24"/>
          <w:szCs w:val="24"/>
        </w:rPr>
        <w:t>为投标人代表，代表我方参加</w:t>
      </w:r>
      <w:r>
        <w:rPr>
          <w:rFonts w:hint="eastAsia" w:ascii="宋体" w:hAnsi="宋体" w:eastAsia="宋体" w:cs="宋体"/>
          <w:sz w:val="24"/>
          <w:szCs w:val="24"/>
          <w:u w:val="single"/>
        </w:rPr>
        <w:t>（填写“项目名称”）</w:t>
      </w:r>
      <w:r>
        <w:rPr>
          <w:rFonts w:hint="eastAsia" w:ascii="宋体" w:hAnsi="宋体" w:eastAsia="宋体" w:cs="宋体"/>
          <w:sz w:val="24"/>
          <w:szCs w:val="24"/>
        </w:rPr>
        <w:t>项目（项目编号：</w:t>
      </w:r>
      <w:r>
        <w:rPr>
          <w:rFonts w:hint="eastAsia" w:ascii="宋体" w:hAnsi="宋体" w:eastAsia="宋体" w:cs="宋体"/>
          <w:sz w:val="24"/>
          <w:szCs w:val="24"/>
          <w:u w:val="single"/>
        </w:rPr>
        <w:t>　　　　　</w:t>
      </w:r>
      <w:r>
        <w:rPr>
          <w:rFonts w:hint="eastAsia" w:ascii="宋体" w:hAnsi="宋体" w:eastAsia="宋体" w:cs="宋体"/>
          <w:sz w:val="24"/>
          <w:szCs w:val="24"/>
        </w:rPr>
        <w:t>）的投标，全权代表我方处理投标过程的一切事宜，包括但不限于：投标、参加开标、谈判、澄清、签约等。投标人代表在投标过程中所签署的一切文件和处理与之有关的一切事务，我方均予以认可并对此承担责任。</w:t>
      </w:r>
    </w:p>
    <w:p w14:paraId="76F1750A">
      <w:pPr>
        <w:pStyle w:val="6"/>
        <w:keepNext w:val="0"/>
        <w:keepLines w:val="0"/>
        <w:pageBreakBefore w:val="0"/>
        <w:kinsoku/>
        <w:wordWrap/>
        <w:overflowPunct/>
        <w:topLinePunct w:val="0"/>
        <w:autoSpaceDE/>
        <w:autoSpaceDN/>
        <w:bidi w:val="0"/>
        <w:adjustRightInd/>
        <w:snapToGrid/>
        <w:spacing w:line="500" w:lineRule="exact"/>
        <w:ind w:firstLine="480"/>
        <w:jc w:val="left"/>
        <w:textAlignment w:val="auto"/>
        <w:rPr>
          <w:rFonts w:hint="eastAsia" w:ascii="宋体" w:hAnsi="宋体" w:eastAsia="宋体" w:cs="宋体"/>
          <w:sz w:val="24"/>
          <w:szCs w:val="24"/>
        </w:rPr>
      </w:pPr>
      <w:r>
        <w:rPr>
          <w:rFonts w:hint="eastAsia" w:ascii="宋体" w:hAnsi="宋体" w:eastAsia="宋体" w:cs="宋体"/>
          <w:sz w:val="24"/>
          <w:szCs w:val="24"/>
        </w:rPr>
        <w:t>投标人代表无转委权。特此授权。</w:t>
      </w:r>
    </w:p>
    <w:p w14:paraId="082495E2">
      <w:pPr>
        <w:pStyle w:val="6"/>
        <w:keepNext w:val="0"/>
        <w:keepLines w:val="0"/>
        <w:pageBreakBefore w:val="0"/>
        <w:kinsoku/>
        <w:wordWrap/>
        <w:overflowPunct/>
        <w:topLinePunct w:val="0"/>
        <w:autoSpaceDE/>
        <w:autoSpaceDN/>
        <w:bidi w:val="0"/>
        <w:adjustRightInd/>
        <w:snapToGrid/>
        <w:spacing w:line="500" w:lineRule="exact"/>
        <w:ind w:firstLine="480"/>
        <w:jc w:val="left"/>
        <w:textAlignment w:val="auto"/>
        <w:rPr>
          <w:rFonts w:hint="eastAsia" w:ascii="宋体" w:hAnsi="宋体" w:eastAsia="宋体" w:cs="宋体"/>
          <w:sz w:val="24"/>
          <w:szCs w:val="24"/>
        </w:rPr>
      </w:pPr>
      <w:r>
        <w:rPr>
          <w:rFonts w:hint="eastAsia" w:ascii="宋体" w:hAnsi="宋体" w:eastAsia="宋体" w:cs="宋体"/>
          <w:sz w:val="24"/>
          <w:szCs w:val="24"/>
        </w:rPr>
        <w:t>（以下无正文）</w:t>
      </w:r>
    </w:p>
    <w:p w14:paraId="0EBC1F48">
      <w:pPr>
        <w:pStyle w:val="6"/>
        <w:keepNext w:val="0"/>
        <w:keepLines w:val="0"/>
        <w:pageBreakBefore w:val="0"/>
        <w:kinsoku/>
        <w:wordWrap/>
        <w:overflowPunct/>
        <w:topLinePunct w:val="0"/>
        <w:autoSpaceDE/>
        <w:autoSpaceDN/>
        <w:bidi w:val="0"/>
        <w:adjustRightInd/>
        <w:snapToGrid/>
        <w:spacing w:line="500" w:lineRule="exact"/>
        <w:ind w:firstLine="480"/>
        <w:jc w:val="left"/>
        <w:textAlignment w:val="auto"/>
        <w:rPr>
          <w:rFonts w:hint="eastAsia" w:ascii="宋体" w:hAnsi="宋体" w:eastAsia="宋体" w:cs="宋体"/>
          <w:sz w:val="24"/>
          <w:szCs w:val="24"/>
        </w:rPr>
      </w:pPr>
      <w:r>
        <w:rPr>
          <w:rFonts w:hint="eastAsia" w:ascii="宋体" w:hAnsi="宋体" w:eastAsia="宋体" w:cs="宋体"/>
          <w:sz w:val="24"/>
          <w:szCs w:val="24"/>
        </w:rPr>
        <w:t>单位负责人：</w:t>
      </w:r>
      <w:r>
        <w:rPr>
          <w:rFonts w:hint="eastAsia" w:ascii="宋体" w:hAnsi="宋体" w:eastAsia="宋体" w:cs="宋体"/>
          <w:sz w:val="24"/>
          <w:szCs w:val="24"/>
          <w:u w:val="single"/>
        </w:rPr>
        <w:t>　　　　　</w:t>
      </w:r>
      <w:r>
        <w:rPr>
          <w:rFonts w:hint="eastAsia" w:ascii="宋体" w:hAnsi="宋体" w:eastAsia="宋体" w:cs="宋体"/>
          <w:sz w:val="24"/>
          <w:szCs w:val="24"/>
        </w:rPr>
        <w:t>身份证号：</w:t>
      </w:r>
      <w:r>
        <w:rPr>
          <w:rFonts w:hint="eastAsia" w:ascii="宋体" w:hAnsi="宋体" w:eastAsia="宋体" w:cs="宋体"/>
          <w:sz w:val="24"/>
          <w:szCs w:val="24"/>
          <w:u w:val="single"/>
        </w:rPr>
        <w:t>　　　　　</w:t>
      </w:r>
      <w:r>
        <w:rPr>
          <w:rFonts w:hint="eastAsia" w:ascii="宋体" w:hAnsi="宋体" w:eastAsia="宋体" w:cs="宋体"/>
          <w:sz w:val="24"/>
          <w:szCs w:val="24"/>
        </w:rPr>
        <w:t>手机：</w:t>
      </w:r>
      <w:r>
        <w:rPr>
          <w:rFonts w:hint="eastAsia" w:ascii="宋体" w:hAnsi="宋体" w:eastAsia="宋体" w:cs="宋体"/>
          <w:sz w:val="24"/>
          <w:szCs w:val="24"/>
          <w:u w:val="single"/>
        </w:rPr>
        <w:t>　　　　　</w:t>
      </w:r>
    </w:p>
    <w:p w14:paraId="3FA6C307">
      <w:pPr>
        <w:pStyle w:val="6"/>
        <w:keepNext w:val="0"/>
        <w:keepLines w:val="0"/>
        <w:pageBreakBefore w:val="0"/>
        <w:kinsoku/>
        <w:wordWrap/>
        <w:overflowPunct/>
        <w:topLinePunct w:val="0"/>
        <w:autoSpaceDE/>
        <w:autoSpaceDN/>
        <w:bidi w:val="0"/>
        <w:adjustRightInd/>
        <w:snapToGrid/>
        <w:spacing w:line="500" w:lineRule="exact"/>
        <w:ind w:firstLine="480"/>
        <w:jc w:val="left"/>
        <w:textAlignment w:val="auto"/>
        <w:rPr>
          <w:rFonts w:hint="eastAsia" w:ascii="宋体" w:hAnsi="宋体" w:eastAsia="宋体" w:cs="宋体"/>
          <w:sz w:val="24"/>
          <w:szCs w:val="24"/>
        </w:rPr>
      </w:pPr>
      <w:r>
        <w:rPr>
          <w:rFonts w:hint="eastAsia" w:ascii="宋体" w:hAnsi="宋体" w:eastAsia="宋体" w:cs="宋体"/>
          <w:sz w:val="24"/>
          <w:szCs w:val="24"/>
        </w:rPr>
        <w:t>投标人代表：</w:t>
      </w:r>
      <w:r>
        <w:rPr>
          <w:rFonts w:hint="eastAsia" w:ascii="宋体" w:hAnsi="宋体" w:eastAsia="宋体" w:cs="宋体"/>
          <w:sz w:val="24"/>
          <w:szCs w:val="24"/>
          <w:u w:val="single"/>
        </w:rPr>
        <w:t>　　　　　</w:t>
      </w:r>
      <w:r>
        <w:rPr>
          <w:rFonts w:hint="eastAsia" w:ascii="宋体" w:hAnsi="宋体" w:eastAsia="宋体" w:cs="宋体"/>
          <w:sz w:val="24"/>
          <w:szCs w:val="24"/>
        </w:rPr>
        <w:t>身份证号：</w:t>
      </w:r>
      <w:r>
        <w:rPr>
          <w:rFonts w:hint="eastAsia" w:ascii="宋体" w:hAnsi="宋体" w:eastAsia="宋体" w:cs="宋体"/>
          <w:sz w:val="24"/>
          <w:szCs w:val="24"/>
          <w:u w:val="single"/>
        </w:rPr>
        <w:t>　　　　　</w:t>
      </w:r>
      <w:r>
        <w:rPr>
          <w:rFonts w:hint="eastAsia" w:ascii="宋体" w:hAnsi="宋体" w:eastAsia="宋体" w:cs="宋体"/>
          <w:sz w:val="24"/>
          <w:szCs w:val="24"/>
        </w:rPr>
        <w:t>手机：</w:t>
      </w:r>
      <w:r>
        <w:rPr>
          <w:rFonts w:hint="eastAsia" w:ascii="宋体" w:hAnsi="宋体" w:eastAsia="宋体" w:cs="宋体"/>
          <w:sz w:val="24"/>
          <w:szCs w:val="24"/>
          <w:u w:val="single"/>
        </w:rPr>
        <w:t>　　　　　</w:t>
      </w:r>
    </w:p>
    <w:p w14:paraId="4CE60432">
      <w:pPr>
        <w:pStyle w:val="6"/>
        <w:keepNext w:val="0"/>
        <w:keepLines w:val="0"/>
        <w:pageBreakBefore w:val="0"/>
        <w:kinsoku/>
        <w:wordWrap/>
        <w:overflowPunct/>
        <w:topLinePunct w:val="0"/>
        <w:autoSpaceDE/>
        <w:autoSpaceDN/>
        <w:bidi w:val="0"/>
        <w:adjustRightInd/>
        <w:snapToGrid/>
        <w:spacing w:line="500" w:lineRule="exact"/>
        <w:ind w:firstLine="480"/>
        <w:jc w:val="left"/>
        <w:textAlignment w:val="auto"/>
        <w:rPr>
          <w:rFonts w:hint="eastAsia" w:ascii="宋体" w:hAnsi="宋体" w:eastAsia="宋体" w:cs="宋体"/>
          <w:sz w:val="24"/>
          <w:szCs w:val="24"/>
        </w:rPr>
      </w:pPr>
      <w:r>
        <w:rPr>
          <w:rFonts w:hint="eastAsia" w:ascii="宋体" w:hAnsi="宋体" w:eastAsia="宋体" w:cs="宋体"/>
          <w:sz w:val="24"/>
          <w:szCs w:val="24"/>
        </w:rPr>
        <w:t>授权方</w:t>
      </w:r>
    </w:p>
    <w:p w14:paraId="48E94D05">
      <w:pPr>
        <w:pStyle w:val="6"/>
        <w:keepNext w:val="0"/>
        <w:keepLines w:val="0"/>
        <w:pageBreakBefore w:val="0"/>
        <w:kinsoku/>
        <w:wordWrap/>
        <w:overflowPunct/>
        <w:topLinePunct w:val="0"/>
        <w:autoSpaceDE/>
        <w:autoSpaceDN/>
        <w:bidi w:val="0"/>
        <w:adjustRightInd/>
        <w:snapToGrid/>
        <w:spacing w:line="500" w:lineRule="exact"/>
        <w:ind w:firstLine="480"/>
        <w:jc w:val="left"/>
        <w:textAlignment w:val="auto"/>
        <w:rPr>
          <w:rFonts w:hint="eastAsia" w:ascii="宋体" w:hAnsi="宋体" w:eastAsia="宋体" w:cs="宋体"/>
          <w:sz w:val="24"/>
          <w:szCs w:val="24"/>
        </w:rPr>
      </w:pPr>
      <w:r>
        <w:rPr>
          <w:rFonts w:hint="eastAsia" w:ascii="宋体" w:hAnsi="宋体" w:eastAsia="宋体" w:cs="宋体"/>
          <w:sz w:val="24"/>
          <w:szCs w:val="24"/>
        </w:rPr>
        <w:t>投标人：</w:t>
      </w:r>
      <w:r>
        <w:rPr>
          <w:rFonts w:hint="eastAsia" w:ascii="宋体" w:hAnsi="宋体" w:eastAsia="宋体" w:cs="宋体"/>
          <w:sz w:val="24"/>
          <w:szCs w:val="24"/>
          <w:u w:val="single"/>
        </w:rPr>
        <w:t>（全称并加盖单位公章）</w:t>
      </w:r>
    </w:p>
    <w:p w14:paraId="6E710EAC">
      <w:pPr>
        <w:pStyle w:val="6"/>
        <w:keepNext w:val="0"/>
        <w:keepLines w:val="0"/>
        <w:pageBreakBefore w:val="0"/>
        <w:kinsoku/>
        <w:wordWrap/>
        <w:overflowPunct/>
        <w:topLinePunct w:val="0"/>
        <w:autoSpaceDE/>
        <w:autoSpaceDN/>
        <w:bidi w:val="0"/>
        <w:adjustRightInd/>
        <w:snapToGrid/>
        <w:spacing w:line="500" w:lineRule="exact"/>
        <w:ind w:firstLine="480"/>
        <w:jc w:val="right"/>
        <w:textAlignment w:val="auto"/>
        <w:rPr>
          <w:rFonts w:hint="eastAsia" w:ascii="宋体" w:hAnsi="宋体" w:eastAsia="宋体" w:cs="宋体"/>
          <w:sz w:val="24"/>
          <w:szCs w:val="24"/>
        </w:rPr>
      </w:pPr>
      <w:r>
        <w:rPr>
          <w:rFonts w:hint="eastAsia" w:ascii="宋体" w:hAnsi="宋体" w:eastAsia="宋体" w:cs="宋体"/>
          <w:sz w:val="24"/>
          <w:szCs w:val="24"/>
        </w:rPr>
        <w:t>签署日期： 年 月 日</w:t>
      </w:r>
    </w:p>
    <w:p w14:paraId="738F8BAB">
      <w:pPr>
        <w:pStyle w:val="6"/>
        <w:keepNext w:val="0"/>
        <w:keepLines w:val="0"/>
        <w:pageBreakBefore w:val="0"/>
        <w:kinsoku/>
        <w:wordWrap/>
        <w:overflowPunct/>
        <w:topLinePunct w:val="0"/>
        <w:autoSpaceDE/>
        <w:autoSpaceDN/>
        <w:bidi w:val="0"/>
        <w:adjustRightInd/>
        <w:snapToGrid/>
        <w:spacing w:line="500" w:lineRule="exact"/>
        <w:ind w:firstLine="480"/>
        <w:jc w:val="left"/>
        <w:textAlignment w:val="auto"/>
        <w:rPr>
          <w:rFonts w:hint="eastAsia" w:ascii="宋体" w:hAnsi="宋体" w:eastAsia="宋体" w:cs="宋体"/>
          <w:sz w:val="24"/>
          <w:szCs w:val="24"/>
        </w:rPr>
      </w:pPr>
      <w:r>
        <w:rPr>
          <w:rFonts w:hint="eastAsia" w:ascii="宋体" w:hAnsi="宋体" w:eastAsia="宋体" w:cs="宋体"/>
          <w:sz w:val="24"/>
          <w:szCs w:val="24"/>
        </w:rPr>
        <w:t>附：单位负责人、投标人代表的身份证正反面复印件</w:t>
      </w:r>
    </w:p>
    <w:p w14:paraId="13B87567">
      <w:pPr>
        <w:pStyle w:val="6"/>
        <w:keepNext w:val="0"/>
        <w:keepLines w:val="0"/>
        <w:pageBreakBefore w:val="0"/>
        <w:kinsoku/>
        <w:wordWrap/>
        <w:overflowPunct/>
        <w:topLinePunct w:val="0"/>
        <w:autoSpaceDE/>
        <w:autoSpaceDN/>
        <w:bidi w:val="0"/>
        <w:adjustRightInd/>
        <w:snapToGrid/>
        <w:spacing w:line="500" w:lineRule="exact"/>
        <w:ind w:firstLine="960"/>
        <w:jc w:val="left"/>
        <w:textAlignment w:val="auto"/>
        <w:rPr>
          <w:rFonts w:hint="eastAsia" w:ascii="宋体" w:hAnsi="宋体" w:eastAsia="宋体" w:cs="宋体"/>
          <w:sz w:val="24"/>
          <w:szCs w:val="24"/>
        </w:rPr>
      </w:pPr>
      <w:r>
        <w:rPr>
          <w:rFonts w:hint="eastAsia" w:ascii="宋体" w:hAnsi="宋体" w:eastAsia="宋体" w:cs="宋体"/>
          <w:sz w:val="24"/>
          <w:szCs w:val="24"/>
        </w:rPr>
        <w:t>要求：真实有效且内容完整、清晰、整洁。</w:t>
      </w:r>
    </w:p>
    <w:p w14:paraId="69157B9B">
      <w:pPr>
        <w:pStyle w:val="6"/>
        <w:keepNext w:val="0"/>
        <w:keepLines w:val="0"/>
        <w:pageBreakBefore w:val="0"/>
        <w:kinsoku/>
        <w:wordWrap/>
        <w:overflowPunct/>
        <w:topLinePunct w:val="0"/>
        <w:autoSpaceDE/>
        <w:autoSpaceDN/>
        <w:bidi w:val="0"/>
        <w:adjustRightInd/>
        <w:snapToGrid/>
        <w:spacing w:line="500" w:lineRule="exact"/>
        <w:ind w:firstLine="480"/>
        <w:jc w:val="left"/>
        <w:textAlignment w:val="auto"/>
        <w:rPr>
          <w:rFonts w:hint="eastAsia" w:ascii="宋体" w:hAnsi="宋体" w:eastAsia="宋体" w:cs="宋体"/>
          <w:sz w:val="24"/>
          <w:szCs w:val="24"/>
        </w:rPr>
      </w:pPr>
      <w:r>
        <w:rPr>
          <w:rFonts w:hint="eastAsia" w:ascii="宋体" w:hAnsi="宋体" w:eastAsia="宋体" w:cs="宋体"/>
          <w:sz w:val="24"/>
          <w:szCs w:val="24"/>
        </w:rPr>
        <w:t>※注意：</w:t>
      </w:r>
    </w:p>
    <w:p w14:paraId="67E7D047">
      <w:pPr>
        <w:pStyle w:val="6"/>
        <w:keepNext w:val="0"/>
        <w:keepLines w:val="0"/>
        <w:pageBreakBefore w:val="0"/>
        <w:kinsoku/>
        <w:wordWrap/>
        <w:overflowPunct/>
        <w:topLinePunct w:val="0"/>
        <w:autoSpaceDE/>
        <w:autoSpaceDN/>
        <w:bidi w:val="0"/>
        <w:adjustRightInd/>
        <w:snapToGrid/>
        <w:spacing w:line="500" w:lineRule="exact"/>
        <w:ind w:firstLine="480"/>
        <w:jc w:val="left"/>
        <w:textAlignment w:val="auto"/>
        <w:rPr>
          <w:rFonts w:hint="eastAsia" w:ascii="宋体" w:hAnsi="宋体" w:eastAsia="宋体" w:cs="宋体"/>
          <w:sz w:val="24"/>
          <w:szCs w:val="24"/>
        </w:rPr>
      </w:pPr>
      <w:r>
        <w:rPr>
          <w:rFonts w:hint="eastAsia" w:ascii="宋体" w:hAnsi="宋体" w:eastAsia="宋体" w:cs="宋体"/>
          <w:sz w:val="24"/>
          <w:szCs w:val="24"/>
        </w:rPr>
        <w:t>1、企业（银行、保险、石油石化、电力、电信等行业除外）、事业单位和社会团体法人的“单位负责人”指法定代表人，即与实际提交的“营业执照等证明文件”载明的一致。</w:t>
      </w:r>
    </w:p>
    <w:p w14:paraId="7A3D5661">
      <w:pPr>
        <w:pStyle w:val="6"/>
        <w:keepNext w:val="0"/>
        <w:keepLines w:val="0"/>
        <w:pageBreakBefore w:val="0"/>
        <w:kinsoku/>
        <w:wordWrap/>
        <w:overflowPunct/>
        <w:topLinePunct w:val="0"/>
        <w:autoSpaceDE/>
        <w:autoSpaceDN/>
        <w:bidi w:val="0"/>
        <w:adjustRightInd/>
        <w:snapToGrid/>
        <w:spacing w:line="500" w:lineRule="exact"/>
        <w:ind w:firstLine="480"/>
        <w:jc w:val="left"/>
        <w:textAlignment w:val="auto"/>
        <w:rPr>
          <w:rFonts w:hint="eastAsia" w:ascii="宋体" w:hAnsi="宋体" w:eastAsia="宋体" w:cs="宋体"/>
          <w:sz w:val="24"/>
          <w:szCs w:val="24"/>
        </w:rPr>
      </w:pPr>
      <w:r>
        <w:rPr>
          <w:rFonts w:hint="eastAsia" w:ascii="宋体" w:hAnsi="宋体" w:eastAsia="宋体" w:cs="宋体"/>
          <w:sz w:val="24"/>
          <w:szCs w:val="24"/>
        </w:rPr>
        <w:t>2、银行、保险、石油石化、电力、电信等行业：以法人身份参加投标的，“单位负责人”指法定代表人，即与实际提交的“营业执照等证明文件”载明的一致；以非法人身份参加投标的，“单位负责人”指代表单位行使职权的主要负责人，即与实际提交的“营业执照等证明文件”载明的一致。</w:t>
      </w:r>
    </w:p>
    <w:p w14:paraId="342D5539">
      <w:pPr>
        <w:pStyle w:val="6"/>
        <w:keepNext w:val="0"/>
        <w:keepLines w:val="0"/>
        <w:pageBreakBefore w:val="0"/>
        <w:kinsoku/>
        <w:wordWrap/>
        <w:overflowPunct/>
        <w:topLinePunct w:val="0"/>
        <w:autoSpaceDE/>
        <w:autoSpaceDN/>
        <w:bidi w:val="0"/>
        <w:adjustRightInd/>
        <w:snapToGrid/>
        <w:spacing w:line="500" w:lineRule="exact"/>
        <w:ind w:firstLine="480"/>
        <w:jc w:val="left"/>
        <w:textAlignment w:val="auto"/>
        <w:rPr>
          <w:rFonts w:hint="eastAsia" w:ascii="宋体" w:hAnsi="宋体" w:eastAsia="宋体" w:cs="宋体"/>
          <w:sz w:val="24"/>
          <w:szCs w:val="24"/>
        </w:rPr>
      </w:pPr>
      <w:r>
        <w:rPr>
          <w:rFonts w:hint="eastAsia" w:ascii="宋体" w:hAnsi="宋体" w:eastAsia="宋体" w:cs="宋体"/>
          <w:sz w:val="24"/>
          <w:szCs w:val="24"/>
        </w:rPr>
        <w:t>3、投标人（自然人除外）：若投标人代表为单位授权的委托代理人，应提供本授权书；若投标人代表为单位负责人，应在此项下提交其身份证正反面复印件，可不提供本授权书。</w:t>
      </w:r>
    </w:p>
    <w:p w14:paraId="298E8092">
      <w:pPr>
        <w:pStyle w:val="6"/>
        <w:keepNext w:val="0"/>
        <w:keepLines w:val="0"/>
        <w:pageBreakBefore w:val="0"/>
        <w:kinsoku/>
        <w:wordWrap/>
        <w:overflowPunct/>
        <w:topLinePunct w:val="0"/>
        <w:autoSpaceDE/>
        <w:autoSpaceDN/>
        <w:bidi w:val="0"/>
        <w:adjustRightInd/>
        <w:snapToGrid/>
        <w:spacing w:line="500" w:lineRule="exact"/>
        <w:ind w:firstLine="480"/>
        <w:jc w:val="left"/>
        <w:textAlignment w:val="auto"/>
        <w:rPr>
          <w:rFonts w:hint="eastAsia" w:ascii="宋体" w:hAnsi="宋体" w:eastAsia="宋体" w:cs="宋体"/>
          <w:sz w:val="24"/>
          <w:szCs w:val="24"/>
        </w:rPr>
      </w:pPr>
      <w:r>
        <w:rPr>
          <w:rFonts w:hint="eastAsia" w:ascii="宋体" w:hAnsi="宋体" w:eastAsia="宋体" w:cs="宋体"/>
          <w:sz w:val="24"/>
          <w:szCs w:val="24"/>
        </w:rPr>
        <w:t>4、投标人为自然人的，可不填写本授权书。</w:t>
      </w:r>
    </w:p>
    <w:p w14:paraId="07A92CBC">
      <w:pPr>
        <w:pStyle w:val="6"/>
        <w:keepNext w:val="0"/>
        <w:keepLines w:val="0"/>
        <w:pageBreakBefore w:val="0"/>
        <w:kinsoku/>
        <w:wordWrap/>
        <w:overflowPunct/>
        <w:topLinePunct w:val="0"/>
        <w:autoSpaceDE/>
        <w:autoSpaceDN/>
        <w:bidi w:val="0"/>
        <w:adjustRightInd/>
        <w:snapToGrid/>
        <w:spacing w:line="500" w:lineRule="exact"/>
        <w:ind w:firstLine="960"/>
        <w:jc w:val="left"/>
        <w:textAlignment w:val="auto"/>
        <w:rPr>
          <w:rFonts w:hint="eastAsia" w:ascii="宋体" w:hAnsi="宋体" w:eastAsia="宋体" w:cs="宋体"/>
          <w:sz w:val="24"/>
          <w:szCs w:val="24"/>
        </w:rPr>
      </w:pPr>
      <w:r>
        <w:rPr>
          <w:rFonts w:hint="eastAsia" w:ascii="宋体" w:hAnsi="宋体" w:eastAsia="宋体" w:cs="宋体"/>
          <w:sz w:val="24"/>
          <w:szCs w:val="24"/>
        </w:rPr>
        <w:t xml:space="preserve"> </w:t>
      </w:r>
      <w:r>
        <w:rPr>
          <w:rFonts w:hint="eastAsia" w:ascii="宋体" w:hAnsi="宋体" w:eastAsia="宋体" w:cs="宋体"/>
          <w:sz w:val="24"/>
          <w:szCs w:val="24"/>
        </w:rPr>
        <w:br w:type="textWrapping"/>
      </w:r>
      <w:r>
        <w:rPr>
          <w:rFonts w:hint="eastAsia" w:ascii="宋体" w:hAnsi="宋体" w:eastAsia="宋体" w:cs="宋体"/>
          <w:sz w:val="24"/>
          <w:szCs w:val="24"/>
        </w:rPr>
        <w:br w:type="page"/>
      </w:r>
    </w:p>
    <w:p w14:paraId="2072DD7E">
      <w:pPr>
        <w:pStyle w:val="6"/>
        <w:keepNext w:val="0"/>
        <w:keepLines w:val="0"/>
        <w:pageBreakBefore w:val="0"/>
        <w:kinsoku/>
        <w:wordWrap/>
        <w:overflowPunct/>
        <w:topLinePunct w:val="0"/>
        <w:autoSpaceDE/>
        <w:autoSpaceDN/>
        <w:bidi w:val="0"/>
        <w:adjustRightInd/>
        <w:snapToGrid/>
        <w:spacing w:line="500" w:lineRule="exact"/>
        <w:ind w:firstLine="960"/>
        <w:jc w:val="center"/>
        <w:textAlignment w:val="auto"/>
        <w:outlineLvl w:val="3"/>
        <w:rPr>
          <w:rFonts w:hint="eastAsia" w:ascii="宋体" w:hAnsi="宋体" w:eastAsia="宋体" w:cs="宋体"/>
          <w:sz w:val="24"/>
          <w:szCs w:val="24"/>
        </w:rPr>
      </w:pPr>
      <w:r>
        <w:rPr>
          <w:rFonts w:hint="eastAsia" w:ascii="宋体" w:hAnsi="宋体" w:eastAsia="宋体" w:cs="宋体"/>
          <w:b/>
          <w:sz w:val="24"/>
          <w:szCs w:val="24"/>
        </w:rPr>
        <w:t>二-2 证明材料</w:t>
      </w:r>
    </w:p>
    <w:p w14:paraId="34823F4C">
      <w:pPr>
        <w:pStyle w:val="6"/>
        <w:keepNext w:val="0"/>
        <w:keepLines w:val="0"/>
        <w:pageBreakBefore w:val="0"/>
        <w:kinsoku/>
        <w:wordWrap/>
        <w:overflowPunct/>
        <w:topLinePunct w:val="0"/>
        <w:autoSpaceDE/>
        <w:autoSpaceDN/>
        <w:bidi w:val="0"/>
        <w:adjustRightInd/>
        <w:snapToGrid/>
        <w:spacing w:line="500" w:lineRule="exact"/>
        <w:ind w:firstLine="480"/>
        <w:jc w:val="left"/>
        <w:textAlignment w:val="auto"/>
        <w:rPr>
          <w:rFonts w:hint="eastAsia" w:ascii="宋体" w:hAnsi="宋体" w:eastAsia="宋体" w:cs="宋体"/>
          <w:sz w:val="24"/>
          <w:szCs w:val="24"/>
        </w:rPr>
      </w:pPr>
      <w:r>
        <w:rPr>
          <w:rFonts w:hint="eastAsia" w:ascii="宋体" w:hAnsi="宋体" w:eastAsia="宋体" w:cs="宋体"/>
          <w:sz w:val="24"/>
          <w:szCs w:val="24"/>
        </w:rPr>
        <w:t>注：根据招标文件第四章第一资格审查的1.3的“④其他资格证明文件”要求，允许供应商采用资格承诺制的，可提供符合要求的二-2-1资格承诺函，视为满足招标文件的资格要求，投标人根据投标文件格式二-2-1、二-2-2提供其中一种证明材料，若重复提供导致的不利后果，由投标人自行负责。</w:t>
      </w:r>
    </w:p>
    <w:p w14:paraId="5875EEA1">
      <w:pPr>
        <w:pStyle w:val="6"/>
        <w:keepNext w:val="0"/>
        <w:keepLines w:val="0"/>
        <w:pageBreakBefore w:val="0"/>
        <w:kinsoku/>
        <w:wordWrap/>
        <w:overflowPunct/>
        <w:topLinePunct w:val="0"/>
        <w:autoSpaceDE/>
        <w:autoSpaceDN/>
        <w:bidi w:val="0"/>
        <w:adjustRightInd/>
        <w:snapToGrid/>
        <w:spacing w:line="500" w:lineRule="exact"/>
        <w:ind w:firstLine="960"/>
        <w:jc w:val="center"/>
        <w:textAlignment w:val="auto"/>
        <w:outlineLvl w:val="3"/>
        <w:rPr>
          <w:rFonts w:hint="eastAsia" w:ascii="宋体" w:hAnsi="宋体" w:eastAsia="宋体" w:cs="宋体"/>
          <w:sz w:val="24"/>
          <w:szCs w:val="24"/>
        </w:rPr>
      </w:pPr>
      <w:r>
        <w:rPr>
          <w:rFonts w:hint="eastAsia" w:ascii="宋体" w:hAnsi="宋体" w:eastAsia="宋体" w:cs="宋体"/>
          <w:b/>
          <w:sz w:val="24"/>
          <w:szCs w:val="24"/>
        </w:rPr>
        <w:t>二-2-1 福建省政府采购供应商资格承诺函</w:t>
      </w:r>
    </w:p>
    <w:p w14:paraId="37897F00">
      <w:pPr>
        <w:pStyle w:val="6"/>
        <w:keepNext w:val="0"/>
        <w:keepLines w:val="0"/>
        <w:pageBreakBefore w:val="0"/>
        <w:kinsoku/>
        <w:wordWrap/>
        <w:overflowPunct/>
        <w:topLinePunct w:val="0"/>
        <w:autoSpaceDE/>
        <w:autoSpaceDN/>
        <w:bidi w:val="0"/>
        <w:adjustRightInd/>
        <w:snapToGrid/>
        <w:spacing w:line="500" w:lineRule="exact"/>
        <w:ind w:firstLine="480"/>
        <w:jc w:val="left"/>
        <w:textAlignment w:val="auto"/>
        <w:rPr>
          <w:rFonts w:hint="eastAsia" w:ascii="宋体" w:hAnsi="宋体" w:eastAsia="宋体" w:cs="宋体"/>
          <w:sz w:val="24"/>
          <w:szCs w:val="24"/>
        </w:rPr>
      </w:pPr>
      <w:r>
        <w:rPr>
          <w:rFonts w:hint="eastAsia" w:ascii="宋体" w:hAnsi="宋体" w:eastAsia="宋体" w:cs="宋体"/>
          <w:sz w:val="24"/>
          <w:szCs w:val="24"/>
        </w:rPr>
        <w:t>致：</w:t>
      </w:r>
      <w:r>
        <w:rPr>
          <w:rFonts w:hint="eastAsia" w:ascii="宋体" w:hAnsi="宋体" w:eastAsia="宋体" w:cs="宋体"/>
          <w:sz w:val="24"/>
          <w:szCs w:val="24"/>
          <w:u w:val="single"/>
        </w:rPr>
        <w:t>（采购人或采购代理机构）</w:t>
      </w:r>
    </w:p>
    <w:p w14:paraId="01F88223">
      <w:pPr>
        <w:pStyle w:val="6"/>
        <w:keepNext w:val="0"/>
        <w:keepLines w:val="0"/>
        <w:pageBreakBefore w:val="0"/>
        <w:kinsoku/>
        <w:wordWrap/>
        <w:overflowPunct/>
        <w:topLinePunct w:val="0"/>
        <w:autoSpaceDE/>
        <w:autoSpaceDN/>
        <w:bidi w:val="0"/>
        <w:adjustRightInd/>
        <w:snapToGrid/>
        <w:spacing w:line="500" w:lineRule="exact"/>
        <w:ind w:firstLine="960"/>
        <w:jc w:val="left"/>
        <w:textAlignment w:val="auto"/>
        <w:rPr>
          <w:rFonts w:hint="eastAsia" w:ascii="宋体" w:hAnsi="宋体" w:eastAsia="宋体" w:cs="宋体"/>
          <w:sz w:val="24"/>
          <w:szCs w:val="24"/>
        </w:rPr>
      </w:pPr>
      <w:r>
        <w:rPr>
          <w:rFonts w:hint="eastAsia" w:ascii="宋体" w:hAnsi="宋体" w:eastAsia="宋体" w:cs="宋体"/>
          <w:sz w:val="24"/>
          <w:szCs w:val="24"/>
        </w:rPr>
        <w:t>单位名称(自然人姓名):</w:t>
      </w:r>
    </w:p>
    <w:p w14:paraId="0321DA99">
      <w:pPr>
        <w:pStyle w:val="6"/>
        <w:keepNext w:val="0"/>
        <w:keepLines w:val="0"/>
        <w:pageBreakBefore w:val="0"/>
        <w:kinsoku/>
        <w:wordWrap/>
        <w:overflowPunct/>
        <w:topLinePunct w:val="0"/>
        <w:autoSpaceDE/>
        <w:autoSpaceDN/>
        <w:bidi w:val="0"/>
        <w:adjustRightInd/>
        <w:snapToGrid/>
        <w:spacing w:line="500" w:lineRule="exact"/>
        <w:ind w:firstLine="960"/>
        <w:jc w:val="left"/>
        <w:textAlignment w:val="auto"/>
        <w:rPr>
          <w:rFonts w:hint="eastAsia" w:ascii="宋体" w:hAnsi="宋体" w:eastAsia="宋体" w:cs="宋体"/>
          <w:sz w:val="24"/>
          <w:szCs w:val="24"/>
        </w:rPr>
      </w:pPr>
      <w:r>
        <w:rPr>
          <w:rFonts w:hint="eastAsia" w:ascii="宋体" w:hAnsi="宋体" w:eastAsia="宋体" w:cs="宋体"/>
          <w:sz w:val="24"/>
          <w:szCs w:val="24"/>
        </w:rPr>
        <w:t>统一社会信用代码(自然人身份证号码):</w:t>
      </w:r>
    </w:p>
    <w:p w14:paraId="759D16DB">
      <w:pPr>
        <w:pStyle w:val="6"/>
        <w:keepNext w:val="0"/>
        <w:keepLines w:val="0"/>
        <w:pageBreakBefore w:val="0"/>
        <w:kinsoku/>
        <w:wordWrap/>
        <w:overflowPunct/>
        <w:topLinePunct w:val="0"/>
        <w:autoSpaceDE/>
        <w:autoSpaceDN/>
        <w:bidi w:val="0"/>
        <w:adjustRightInd/>
        <w:snapToGrid/>
        <w:spacing w:line="500" w:lineRule="exact"/>
        <w:ind w:firstLine="960"/>
        <w:jc w:val="left"/>
        <w:textAlignment w:val="auto"/>
        <w:rPr>
          <w:rFonts w:hint="eastAsia" w:ascii="宋体" w:hAnsi="宋体" w:eastAsia="宋体" w:cs="宋体"/>
          <w:sz w:val="24"/>
          <w:szCs w:val="24"/>
        </w:rPr>
      </w:pPr>
      <w:r>
        <w:rPr>
          <w:rFonts w:hint="eastAsia" w:ascii="宋体" w:hAnsi="宋体" w:eastAsia="宋体" w:cs="宋体"/>
          <w:sz w:val="24"/>
          <w:szCs w:val="24"/>
        </w:rPr>
        <w:t>法定代表人(负责人):</w:t>
      </w:r>
    </w:p>
    <w:p w14:paraId="159A0529">
      <w:pPr>
        <w:pStyle w:val="6"/>
        <w:keepNext w:val="0"/>
        <w:keepLines w:val="0"/>
        <w:pageBreakBefore w:val="0"/>
        <w:kinsoku/>
        <w:wordWrap/>
        <w:overflowPunct/>
        <w:topLinePunct w:val="0"/>
        <w:autoSpaceDE/>
        <w:autoSpaceDN/>
        <w:bidi w:val="0"/>
        <w:adjustRightInd/>
        <w:snapToGrid/>
        <w:spacing w:line="500" w:lineRule="exact"/>
        <w:ind w:firstLine="960"/>
        <w:jc w:val="left"/>
        <w:textAlignment w:val="auto"/>
        <w:rPr>
          <w:rFonts w:hint="eastAsia" w:ascii="宋体" w:hAnsi="宋体" w:eastAsia="宋体" w:cs="宋体"/>
          <w:sz w:val="24"/>
          <w:szCs w:val="24"/>
        </w:rPr>
      </w:pPr>
      <w:r>
        <w:rPr>
          <w:rFonts w:hint="eastAsia" w:ascii="宋体" w:hAnsi="宋体" w:eastAsia="宋体" w:cs="宋体"/>
          <w:sz w:val="24"/>
          <w:szCs w:val="24"/>
        </w:rPr>
        <w:t>联系地址和电话:</w:t>
      </w:r>
    </w:p>
    <w:p w14:paraId="1AA24979">
      <w:pPr>
        <w:pStyle w:val="6"/>
        <w:keepNext w:val="0"/>
        <w:keepLines w:val="0"/>
        <w:pageBreakBefore w:val="0"/>
        <w:kinsoku/>
        <w:wordWrap/>
        <w:overflowPunct/>
        <w:topLinePunct w:val="0"/>
        <w:autoSpaceDE/>
        <w:autoSpaceDN/>
        <w:bidi w:val="0"/>
        <w:adjustRightInd/>
        <w:snapToGrid/>
        <w:spacing w:line="500" w:lineRule="exact"/>
        <w:ind w:firstLine="480"/>
        <w:jc w:val="left"/>
        <w:textAlignment w:val="auto"/>
        <w:rPr>
          <w:rFonts w:hint="eastAsia" w:ascii="宋体" w:hAnsi="宋体" w:eastAsia="宋体" w:cs="宋体"/>
          <w:sz w:val="24"/>
          <w:szCs w:val="24"/>
        </w:rPr>
      </w:pPr>
      <w:r>
        <w:rPr>
          <w:rFonts w:hint="eastAsia" w:ascii="宋体" w:hAnsi="宋体" w:eastAsia="宋体" w:cs="宋体"/>
          <w:sz w:val="24"/>
          <w:szCs w:val="24"/>
        </w:rPr>
        <w:t>我单位(本人)自愿参加本次政府采购活动，严格遵守《中华人民共和国政府采购法》及相关法律法规，坚守公开、公平公正和诚实信用等原则，依法诚信经营，并郑重承诺:</w:t>
      </w:r>
    </w:p>
    <w:p w14:paraId="3B30A087">
      <w:pPr>
        <w:pStyle w:val="6"/>
        <w:keepNext w:val="0"/>
        <w:keepLines w:val="0"/>
        <w:pageBreakBefore w:val="0"/>
        <w:kinsoku/>
        <w:wordWrap/>
        <w:overflowPunct/>
        <w:topLinePunct w:val="0"/>
        <w:autoSpaceDE/>
        <w:autoSpaceDN/>
        <w:bidi w:val="0"/>
        <w:adjustRightInd/>
        <w:snapToGrid/>
        <w:spacing w:line="500" w:lineRule="exact"/>
        <w:ind w:firstLine="480"/>
        <w:jc w:val="left"/>
        <w:textAlignment w:val="auto"/>
        <w:rPr>
          <w:rFonts w:hint="eastAsia" w:ascii="宋体" w:hAnsi="宋体" w:eastAsia="宋体" w:cs="宋体"/>
          <w:sz w:val="24"/>
          <w:szCs w:val="24"/>
        </w:rPr>
      </w:pPr>
      <w:r>
        <w:rPr>
          <w:rFonts w:hint="eastAsia" w:ascii="宋体" w:hAnsi="宋体" w:eastAsia="宋体" w:cs="宋体"/>
          <w:sz w:val="24"/>
          <w:szCs w:val="24"/>
        </w:rPr>
        <w:t>一、我单位(本人)具备采购文件要求以及《中华人民共和国政府采购法》第二十二条规定的条件:</w:t>
      </w:r>
    </w:p>
    <w:p w14:paraId="47720085">
      <w:pPr>
        <w:pStyle w:val="6"/>
        <w:keepNext w:val="0"/>
        <w:keepLines w:val="0"/>
        <w:pageBreakBefore w:val="0"/>
        <w:kinsoku/>
        <w:wordWrap/>
        <w:overflowPunct/>
        <w:topLinePunct w:val="0"/>
        <w:autoSpaceDE/>
        <w:autoSpaceDN/>
        <w:bidi w:val="0"/>
        <w:adjustRightInd/>
        <w:snapToGrid/>
        <w:spacing w:line="500" w:lineRule="exact"/>
        <w:ind w:firstLine="960"/>
        <w:jc w:val="left"/>
        <w:textAlignment w:val="auto"/>
        <w:rPr>
          <w:rFonts w:hint="eastAsia" w:ascii="宋体" w:hAnsi="宋体" w:eastAsia="宋体" w:cs="宋体"/>
          <w:sz w:val="24"/>
          <w:szCs w:val="24"/>
        </w:rPr>
      </w:pPr>
      <w:r>
        <w:rPr>
          <w:rFonts w:hint="eastAsia" w:ascii="宋体" w:hAnsi="宋体" w:eastAsia="宋体" w:cs="宋体"/>
          <w:sz w:val="24"/>
          <w:szCs w:val="24"/>
        </w:rPr>
        <w:t>1.具有独立承担民事责任的能力;</w:t>
      </w:r>
    </w:p>
    <w:p w14:paraId="7E5888B7">
      <w:pPr>
        <w:pStyle w:val="6"/>
        <w:keepNext w:val="0"/>
        <w:keepLines w:val="0"/>
        <w:pageBreakBefore w:val="0"/>
        <w:kinsoku/>
        <w:wordWrap/>
        <w:overflowPunct/>
        <w:topLinePunct w:val="0"/>
        <w:autoSpaceDE/>
        <w:autoSpaceDN/>
        <w:bidi w:val="0"/>
        <w:adjustRightInd/>
        <w:snapToGrid/>
        <w:spacing w:line="500" w:lineRule="exact"/>
        <w:ind w:firstLine="960"/>
        <w:jc w:val="left"/>
        <w:textAlignment w:val="auto"/>
        <w:rPr>
          <w:rFonts w:hint="eastAsia" w:ascii="宋体" w:hAnsi="宋体" w:eastAsia="宋体" w:cs="宋体"/>
          <w:sz w:val="24"/>
          <w:szCs w:val="24"/>
        </w:rPr>
      </w:pPr>
      <w:r>
        <w:rPr>
          <w:rFonts w:hint="eastAsia" w:ascii="宋体" w:hAnsi="宋体" w:eastAsia="宋体" w:cs="宋体"/>
          <w:sz w:val="24"/>
          <w:szCs w:val="24"/>
        </w:rPr>
        <w:t>2.具有良好的商业信誉和健全的财务会计制度;</w:t>
      </w:r>
    </w:p>
    <w:p w14:paraId="07641AD5">
      <w:pPr>
        <w:pStyle w:val="6"/>
        <w:keepNext w:val="0"/>
        <w:keepLines w:val="0"/>
        <w:pageBreakBefore w:val="0"/>
        <w:kinsoku/>
        <w:wordWrap/>
        <w:overflowPunct/>
        <w:topLinePunct w:val="0"/>
        <w:autoSpaceDE/>
        <w:autoSpaceDN/>
        <w:bidi w:val="0"/>
        <w:adjustRightInd/>
        <w:snapToGrid/>
        <w:spacing w:line="500" w:lineRule="exact"/>
        <w:ind w:firstLine="960"/>
        <w:jc w:val="left"/>
        <w:textAlignment w:val="auto"/>
        <w:rPr>
          <w:rFonts w:hint="eastAsia" w:ascii="宋体" w:hAnsi="宋体" w:eastAsia="宋体" w:cs="宋体"/>
          <w:sz w:val="24"/>
          <w:szCs w:val="24"/>
        </w:rPr>
      </w:pPr>
      <w:r>
        <w:rPr>
          <w:rFonts w:hint="eastAsia" w:ascii="宋体" w:hAnsi="宋体" w:eastAsia="宋体" w:cs="宋体"/>
          <w:sz w:val="24"/>
          <w:szCs w:val="24"/>
        </w:rPr>
        <w:t>3.具有履行合同所必需的设备和专业技术能力;</w:t>
      </w:r>
    </w:p>
    <w:p w14:paraId="71ABA2C8">
      <w:pPr>
        <w:pStyle w:val="6"/>
        <w:keepNext w:val="0"/>
        <w:keepLines w:val="0"/>
        <w:pageBreakBefore w:val="0"/>
        <w:kinsoku/>
        <w:wordWrap/>
        <w:overflowPunct/>
        <w:topLinePunct w:val="0"/>
        <w:autoSpaceDE/>
        <w:autoSpaceDN/>
        <w:bidi w:val="0"/>
        <w:adjustRightInd/>
        <w:snapToGrid/>
        <w:spacing w:line="500" w:lineRule="exact"/>
        <w:ind w:firstLine="960"/>
        <w:jc w:val="left"/>
        <w:textAlignment w:val="auto"/>
        <w:rPr>
          <w:rFonts w:hint="eastAsia" w:ascii="宋体" w:hAnsi="宋体" w:eastAsia="宋体" w:cs="宋体"/>
          <w:sz w:val="24"/>
          <w:szCs w:val="24"/>
        </w:rPr>
      </w:pPr>
      <w:r>
        <w:rPr>
          <w:rFonts w:hint="eastAsia" w:ascii="宋体" w:hAnsi="宋体" w:eastAsia="宋体" w:cs="宋体"/>
          <w:sz w:val="24"/>
          <w:szCs w:val="24"/>
        </w:rPr>
        <w:t>4.有依法缴纳税收和社会保障资金的良好记录;</w:t>
      </w:r>
    </w:p>
    <w:p w14:paraId="5F141004">
      <w:pPr>
        <w:pStyle w:val="6"/>
        <w:keepNext w:val="0"/>
        <w:keepLines w:val="0"/>
        <w:pageBreakBefore w:val="0"/>
        <w:kinsoku/>
        <w:wordWrap/>
        <w:overflowPunct/>
        <w:topLinePunct w:val="0"/>
        <w:autoSpaceDE/>
        <w:autoSpaceDN/>
        <w:bidi w:val="0"/>
        <w:adjustRightInd/>
        <w:snapToGrid/>
        <w:spacing w:line="500" w:lineRule="exact"/>
        <w:ind w:firstLine="960"/>
        <w:jc w:val="left"/>
        <w:textAlignment w:val="auto"/>
        <w:rPr>
          <w:rFonts w:hint="eastAsia" w:ascii="宋体" w:hAnsi="宋体" w:eastAsia="宋体" w:cs="宋体"/>
          <w:sz w:val="24"/>
          <w:szCs w:val="24"/>
        </w:rPr>
      </w:pPr>
      <w:r>
        <w:rPr>
          <w:rFonts w:hint="eastAsia" w:ascii="宋体" w:hAnsi="宋体" w:eastAsia="宋体" w:cs="宋体"/>
          <w:sz w:val="24"/>
          <w:szCs w:val="24"/>
        </w:rPr>
        <w:t>5.参加政府采购活动前三年内，在经营活动中没有重大违法记录；</w:t>
      </w:r>
    </w:p>
    <w:p w14:paraId="76D26392">
      <w:pPr>
        <w:pStyle w:val="6"/>
        <w:keepNext w:val="0"/>
        <w:keepLines w:val="0"/>
        <w:pageBreakBefore w:val="0"/>
        <w:kinsoku/>
        <w:wordWrap/>
        <w:overflowPunct/>
        <w:topLinePunct w:val="0"/>
        <w:autoSpaceDE/>
        <w:autoSpaceDN/>
        <w:bidi w:val="0"/>
        <w:adjustRightInd/>
        <w:snapToGrid/>
        <w:spacing w:line="500" w:lineRule="exact"/>
        <w:ind w:firstLine="960"/>
        <w:jc w:val="left"/>
        <w:textAlignment w:val="auto"/>
        <w:rPr>
          <w:rFonts w:hint="eastAsia" w:ascii="宋体" w:hAnsi="宋体" w:eastAsia="宋体" w:cs="宋体"/>
          <w:sz w:val="24"/>
          <w:szCs w:val="24"/>
        </w:rPr>
      </w:pPr>
      <w:r>
        <w:rPr>
          <w:rFonts w:hint="eastAsia" w:ascii="宋体" w:hAnsi="宋体" w:eastAsia="宋体" w:cs="宋体"/>
          <w:sz w:val="24"/>
          <w:szCs w:val="24"/>
        </w:rPr>
        <w:t>6.法律、行政法规规定的其他条件。</w:t>
      </w:r>
    </w:p>
    <w:p w14:paraId="3533CD3E">
      <w:pPr>
        <w:pStyle w:val="6"/>
        <w:keepNext w:val="0"/>
        <w:keepLines w:val="0"/>
        <w:pageBreakBefore w:val="0"/>
        <w:kinsoku/>
        <w:wordWrap/>
        <w:overflowPunct/>
        <w:topLinePunct w:val="0"/>
        <w:autoSpaceDE/>
        <w:autoSpaceDN/>
        <w:bidi w:val="0"/>
        <w:adjustRightInd/>
        <w:snapToGrid/>
        <w:spacing w:line="500" w:lineRule="exact"/>
        <w:ind w:firstLine="480"/>
        <w:jc w:val="left"/>
        <w:textAlignment w:val="auto"/>
        <w:rPr>
          <w:rFonts w:hint="eastAsia" w:ascii="宋体" w:hAnsi="宋体" w:eastAsia="宋体" w:cs="宋体"/>
          <w:sz w:val="24"/>
          <w:szCs w:val="24"/>
        </w:rPr>
      </w:pPr>
      <w:r>
        <w:rPr>
          <w:rFonts w:hint="eastAsia" w:ascii="宋体" w:hAnsi="宋体" w:eastAsia="宋体" w:cs="宋体"/>
          <w:sz w:val="24"/>
          <w:szCs w:val="24"/>
        </w:rPr>
        <w:t>二、不存在违反《中华人民共和国政府采购法实施条例》第十八条规定的“单位负责人为同一人或者存在直接控股、管理关系的不同供应商，不得参加同一合同项下的政府采购活动。除单一来源采购项目外，为采购项目提供整体设计、规范编制或者项目管理、监理、检测等服务的供应商，不得再参加该采购项目的其他采购活动”情形。</w:t>
      </w:r>
    </w:p>
    <w:p w14:paraId="2AAA20AA">
      <w:pPr>
        <w:pStyle w:val="6"/>
        <w:keepNext w:val="0"/>
        <w:keepLines w:val="0"/>
        <w:pageBreakBefore w:val="0"/>
        <w:kinsoku/>
        <w:wordWrap/>
        <w:overflowPunct/>
        <w:topLinePunct w:val="0"/>
        <w:autoSpaceDE/>
        <w:autoSpaceDN/>
        <w:bidi w:val="0"/>
        <w:adjustRightInd/>
        <w:snapToGrid/>
        <w:spacing w:line="500" w:lineRule="exact"/>
        <w:ind w:firstLine="480"/>
        <w:jc w:val="left"/>
        <w:textAlignment w:val="auto"/>
        <w:rPr>
          <w:rFonts w:hint="eastAsia" w:ascii="宋体" w:hAnsi="宋体" w:eastAsia="宋体" w:cs="宋体"/>
          <w:sz w:val="24"/>
          <w:szCs w:val="24"/>
        </w:rPr>
      </w:pPr>
      <w:r>
        <w:rPr>
          <w:rFonts w:hint="eastAsia" w:ascii="宋体" w:hAnsi="宋体" w:eastAsia="宋体" w:cs="宋体"/>
          <w:sz w:val="24"/>
          <w:szCs w:val="24"/>
        </w:rPr>
        <w:t>我单位(本人)对本承诺函及所承诺事项的真实性、合法性及有效性负责，并已知晓如提供资格承诺函不实，可能涉嫌《中华人民共和国政府采购法》第七十七条第一款第(一)项规定的“提供虚假材料谋取中标成交”违法情形。经调查属实的，愿意接受行政监管部门按照《中华人民共和国政府采购法》第七十七条:“处以采购金额千分之五以上千分之十以下的罚款，列入不良行为记录名单，在一至三年内禁止参加政府采购活动，有违法所得的，并处没收违法所得，情节严重的，由市场监管部门吊销营业执照，构成犯罪的，依法追究刑事责任”和政府采购法律法规有关规定处理。</w:t>
      </w:r>
    </w:p>
    <w:p w14:paraId="5F20721C">
      <w:pPr>
        <w:pStyle w:val="6"/>
        <w:keepNext w:val="0"/>
        <w:keepLines w:val="0"/>
        <w:pageBreakBefore w:val="0"/>
        <w:kinsoku/>
        <w:wordWrap/>
        <w:overflowPunct/>
        <w:topLinePunct w:val="0"/>
        <w:autoSpaceDE/>
        <w:autoSpaceDN/>
        <w:bidi w:val="0"/>
        <w:adjustRightInd/>
        <w:snapToGrid/>
        <w:spacing w:line="500" w:lineRule="exact"/>
        <w:ind w:firstLine="480"/>
        <w:jc w:val="right"/>
        <w:textAlignment w:val="auto"/>
        <w:rPr>
          <w:rFonts w:hint="eastAsia" w:ascii="宋体" w:hAnsi="宋体" w:eastAsia="宋体" w:cs="宋体"/>
          <w:sz w:val="24"/>
          <w:szCs w:val="24"/>
        </w:rPr>
      </w:pPr>
      <w:r>
        <w:rPr>
          <w:rFonts w:hint="eastAsia" w:ascii="宋体" w:hAnsi="宋体" w:eastAsia="宋体" w:cs="宋体"/>
          <w:sz w:val="24"/>
          <w:szCs w:val="24"/>
        </w:rPr>
        <w:t>供应商：</w:t>
      </w:r>
      <w:r>
        <w:rPr>
          <w:rFonts w:hint="eastAsia" w:ascii="宋体" w:hAnsi="宋体" w:eastAsia="宋体" w:cs="宋体"/>
          <w:sz w:val="24"/>
          <w:szCs w:val="24"/>
          <w:u w:val="single"/>
        </w:rPr>
        <w:t>名称(单位公章)</w:t>
      </w:r>
    </w:p>
    <w:p w14:paraId="7F773F6E">
      <w:pPr>
        <w:pStyle w:val="6"/>
        <w:keepNext w:val="0"/>
        <w:keepLines w:val="0"/>
        <w:pageBreakBefore w:val="0"/>
        <w:kinsoku/>
        <w:wordWrap/>
        <w:overflowPunct/>
        <w:topLinePunct w:val="0"/>
        <w:autoSpaceDE/>
        <w:autoSpaceDN/>
        <w:bidi w:val="0"/>
        <w:adjustRightInd/>
        <w:snapToGrid/>
        <w:spacing w:line="500" w:lineRule="exact"/>
        <w:ind w:firstLine="480"/>
        <w:jc w:val="right"/>
        <w:textAlignment w:val="auto"/>
        <w:rPr>
          <w:rFonts w:hint="eastAsia" w:ascii="宋体" w:hAnsi="宋体" w:eastAsia="宋体" w:cs="宋体"/>
          <w:sz w:val="24"/>
          <w:szCs w:val="24"/>
        </w:rPr>
      </w:pPr>
      <w:r>
        <w:rPr>
          <w:rFonts w:hint="eastAsia" w:ascii="宋体" w:hAnsi="宋体" w:eastAsia="宋体" w:cs="宋体"/>
          <w:sz w:val="24"/>
          <w:szCs w:val="24"/>
        </w:rPr>
        <w:t>日期：</w:t>
      </w:r>
      <w:r>
        <w:rPr>
          <w:rFonts w:hint="eastAsia" w:ascii="宋体" w:hAnsi="宋体" w:eastAsia="宋体" w:cs="宋体"/>
          <w:sz w:val="24"/>
          <w:szCs w:val="24"/>
          <w:u w:val="single"/>
        </w:rPr>
        <w:t>　　年　　月　　日</w:t>
      </w:r>
    </w:p>
    <w:p w14:paraId="67AD9871">
      <w:pPr>
        <w:pStyle w:val="6"/>
        <w:keepNext w:val="0"/>
        <w:keepLines w:val="0"/>
        <w:pageBreakBefore w:val="0"/>
        <w:kinsoku/>
        <w:wordWrap/>
        <w:overflowPunct/>
        <w:topLinePunct w:val="0"/>
        <w:autoSpaceDE/>
        <w:autoSpaceDN/>
        <w:bidi w:val="0"/>
        <w:adjustRightInd/>
        <w:snapToGrid/>
        <w:spacing w:line="500" w:lineRule="exact"/>
        <w:ind w:firstLine="480"/>
        <w:jc w:val="left"/>
        <w:textAlignment w:val="auto"/>
        <w:rPr>
          <w:rFonts w:hint="eastAsia" w:ascii="宋体" w:hAnsi="宋体" w:eastAsia="宋体" w:cs="宋体"/>
          <w:sz w:val="24"/>
          <w:szCs w:val="24"/>
        </w:rPr>
      </w:pPr>
      <w:r>
        <w:rPr>
          <w:rFonts w:hint="eastAsia" w:ascii="宋体" w:hAnsi="宋体" w:eastAsia="宋体" w:cs="宋体"/>
          <w:sz w:val="24"/>
          <w:szCs w:val="24"/>
        </w:rPr>
        <w:t>注：</w:t>
      </w:r>
    </w:p>
    <w:p w14:paraId="3AC31E5B">
      <w:pPr>
        <w:pStyle w:val="6"/>
        <w:keepNext w:val="0"/>
        <w:keepLines w:val="0"/>
        <w:pageBreakBefore w:val="0"/>
        <w:kinsoku/>
        <w:wordWrap/>
        <w:overflowPunct/>
        <w:topLinePunct w:val="0"/>
        <w:autoSpaceDE/>
        <w:autoSpaceDN/>
        <w:bidi w:val="0"/>
        <w:adjustRightInd/>
        <w:snapToGrid/>
        <w:spacing w:line="500" w:lineRule="exact"/>
        <w:ind w:firstLine="960"/>
        <w:jc w:val="left"/>
        <w:textAlignment w:val="auto"/>
        <w:rPr>
          <w:rFonts w:hint="eastAsia" w:ascii="宋体" w:hAnsi="宋体" w:eastAsia="宋体" w:cs="宋体"/>
          <w:sz w:val="24"/>
          <w:szCs w:val="24"/>
        </w:rPr>
      </w:pPr>
      <w:r>
        <w:rPr>
          <w:rFonts w:hint="eastAsia" w:ascii="宋体" w:hAnsi="宋体" w:eastAsia="宋体" w:cs="宋体"/>
          <w:sz w:val="24"/>
          <w:szCs w:val="24"/>
        </w:rPr>
        <w:t>1.我单位(本人)专指参加政府采购活动的供应商(含自然人)；</w:t>
      </w:r>
    </w:p>
    <w:p w14:paraId="0F97850C">
      <w:pPr>
        <w:pStyle w:val="6"/>
        <w:keepNext w:val="0"/>
        <w:keepLines w:val="0"/>
        <w:pageBreakBefore w:val="0"/>
        <w:kinsoku/>
        <w:wordWrap/>
        <w:overflowPunct/>
        <w:topLinePunct w:val="0"/>
        <w:autoSpaceDE/>
        <w:autoSpaceDN/>
        <w:bidi w:val="0"/>
        <w:adjustRightInd/>
        <w:snapToGrid/>
        <w:spacing w:line="500" w:lineRule="exact"/>
        <w:ind w:firstLine="960"/>
        <w:jc w:val="left"/>
        <w:textAlignment w:val="auto"/>
        <w:rPr>
          <w:rFonts w:hint="eastAsia" w:ascii="宋体" w:hAnsi="宋体" w:eastAsia="宋体" w:cs="宋体"/>
          <w:sz w:val="24"/>
          <w:szCs w:val="24"/>
        </w:rPr>
      </w:pPr>
      <w:r>
        <w:rPr>
          <w:rFonts w:hint="eastAsia" w:ascii="宋体" w:hAnsi="宋体" w:eastAsia="宋体" w:cs="宋体"/>
          <w:sz w:val="24"/>
          <w:szCs w:val="24"/>
        </w:rPr>
        <w:t>2.资格承诺的供应商应在投标(响应)文件中按此模板提供承诺函，否则，视为未按照招标文件规定提交投标人的资格及资信文件，按资格审查不通过处理。</w:t>
      </w:r>
    </w:p>
    <w:p w14:paraId="613DE77A">
      <w:pPr>
        <w:pStyle w:val="6"/>
        <w:keepNext w:val="0"/>
        <w:keepLines w:val="0"/>
        <w:pageBreakBefore w:val="0"/>
        <w:kinsoku/>
        <w:wordWrap/>
        <w:overflowPunct/>
        <w:topLinePunct w:val="0"/>
        <w:autoSpaceDE/>
        <w:autoSpaceDN/>
        <w:bidi w:val="0"/>
        <w:adjustRightInd/>
        <w:snapToGrid/>
        <w:spacing w:line="500" w:lineRule="exact"/>
        <w:ind w:firstLine="960"/>
        <w:jc w:val="left"/>
        <w:textAlignment w:val="auto"/>
        <w:rPr>
          <w:rFonts w:hint="eastAsia" w:ascii="宋体" w:hAnsi="宋体" w:eastAsia="宋体" w:cs="宋体"/>
          <w:sz w:val="24"/>
          <w:szCs w:val="24"/>
        </w:rPr>
      </w:pPr>
      <w:r>
        <w:rPr>
          <w:rFonts w:hint="eastAsia" w:ascii="宋体" w:hAnsi="宋体" w:eastAsia="宋体" w:cs="宋体"/>
          <w:sz w:val="24"/>
          <w:szCs w:val="24"/>
        </w:rPr>
        <w:t xml:space="preserve"> </w:t>
      </w:r>
      <w:r>
        <w:rPr>
          <w:rFonts w:hint="eastAsia" w:ascii="宋体" w:hAnsi="宋体" w:eastAsia="宋体" w:cs="宋体"/>
          <w:sz w:val="24"/>
          <w:szCs w:val="24"/>
        </w:rPr>
        <w:br w:type="textWrapping"/>
      </w:r>
      <w:r>
        <w:rPr>
          <w:rFonts w:hint="eastAsia" w:ascii="宋体" w:hAnsi="宋体" w:eastAsia="宋体" w:cs="宋体"/>
          <w:sz w:val="24"/>
          <w:szCs w:val="24"/>
        </w:rPr>
        <w:br w:type="page"/>
      </w:r>
    </w:p>
    <w:p w14:paraId="6FAAEC75">
      <w:pPr>
        <w:pStyle w:val="6"/>
        <w:keepNext w:val="0"/>
        <w:keepLines w:val="0"/>
        <w:pageBreakBefore w:val="0"/>
        <w:kinsoku/>
        <w:wordWrap/>
        <w:overflowPunct/>
        <w:topLinePunct w:val="0"/>
        <w:autoSpaceDE/>
        <w:autoSpaceDN/>
        <w:bidi w:val="0"/>
        <w:adjustRightInd/>
        <w:snapToGrid/>
        <w:spacing w:line="500" w:lineRule="exact"/>
        <w:ind w:firstLine="960"/>
        <w:jc w:val="center"/>
        <w:textAlignment w:val="auto"/>
        <w:outlineLvl w:val="3"/>
        <w:rPr>
          <w:rFonts w:hint="eastAsia" w:ascii="宋体" w:hAnsi="宋体" w:eastAsia="宋体" w:cs="宋体"/>
          <w:sz w:val="24"/>
          <w:szCs w:val="24"/>
        </w:rPr>
      </w:pPr>
      <w:r>
        <w:rPr>
          <w:rFonts w:hint="eastAsia" w:ascii="宋体" w:hAnsi="宋体" w:eastAsia="宋体" w:cs="宋体"/>
          <w:b/>
          <w:sz w:val="24"/>
          <w:szCs w:val="24"/>
        </w:rPr>
        <w:t>二-2-2 资格证明材料</w:t>
      </w:r>
    </w:p>
    <w:p w14:paraId="2E66BDCD">
      <w:pPr>
        <w:pStyle w:val="6"/>
        <w:keepNext w:val="0"/>
        <w:keepLines w:val="0"/>
        <w:pageBreakBefore w:val="0"/>
        <w:kinsoku/>
        <w:wordWrap/>
        <w:overflowPunct/>
        <w:topLinePunct w:val="0"/>
        <w:autoSpaceDE/>
        <w:autoSpaceDN/>
        <w:bidi w:val="0"/>
        <w:adjustRightInd/>
        <w:snapToGrid/>
        <w:spacing w:line="500" w:lineRule="exact"/>
        <w:ind w:firstLine="960"/>
        <w:jc w:val="center"/>
        <w:textAlignment w:val="auto"/>
        <w:outlineLvl w:val="3"/>
        <w:rPr>
          <w:rFonts w:hint="eastAsia" w:ascii="宋体" w:hAnsi="宋体" w:eastAsia="宋体" w:cs="宋体"/>
          <w:sz w:val="24"/>
          <w:szCs w:val="24"/>
        </w:rPr>
      </w:pPr>
      <w:r>
        <w:rPr>
          <w:rFonts w:hint="eastAsia" w:ascii="宋体" w:hAnsi="宋体" w:eastAsia="宋体" w:cs="宋体"/>
          <w:b/>
          <w:sz w:val="24"/>
          <w:szCs w:val="24"/>
        </w:rPr>
        <w:t>营业执照等证明文件</w:t>
      </w:r>
    </w:p>
    <w:p w14:paraId="7E1D02FB">
      <w:pPr>
        <w:pStyle w:val="6"/>
        <w:keepNext w:val="0"/>
        <w:keepLines w:val="0"/>
        <w:pageBreakBefore w:val="0"/>
        <w:kinsoku/>
        <w:wordWrap/>
        <w:overflowPunct/>
        <w:topLinePunct w:val="0"/>
        <w:autoSpaceDE/>
        <w:autoSpaceDN/>
        <w:bidi w:val="0"/>
        <w:adjustRightInd/>
        <w:snapToGrid/>
        <w:spacing w:line="500" w:lineRule="exact"/>
        <w:ind w:firstLine="480"/>
        <w:jc w:val="left"/>
        <w:textAlignment w:val="auto"/>
        <w:rPr>
          <w:rFonts w:hint="eastAsia" w:ascii="宋体" w:hAnsi="宋体" w:eastAsia="宋体" w:cs="宋体"/>
          <w:sz w:val="24"/>
          <w:szCs w:val="24"/>
        </w:rPr>
      </w:pPr>
      <w:r>
        <w:rPr>
          <w:rFonts w:hint="eastAsia" w:ascii="宋体" w:hAnsi="宋体" w:eastAsia="宋体" w:cs="宋体"/>
          <w:sz w:val="24"/>
          <w:szCs w:val="24"/>
        </w:rPr>
        <w:t>致：</w:t>
      </w:r>
      <w:r>
        <w:rPr>
          <w:rFonts w:hint="eastAsia" w:ascii="宋体" w:hAnsi="宋体" w:eastAsia="宋体" w:cs="宋体"/>
          <w:sz w:val="24"/>
          <w:szCs w:val="24"/>
          <w:u w:val="single"/>
        </w:rPr>
        <w:t>（采购人或采购代理机构）</w:t>
      </w:r>
    </w:p>
    <w:p w14:paraId="53D96FDE">
      <w:pPr>
        <w:pStyle w:val="6"/>
        <w:keepNext w:val="0"/>
        <w:keepLines w:val="0"/>
        <w:pageBreakBefore w:val="0"/>
        <w:kinsoku/>
        <w:wordWrap/>
        <w:overflowPunct/>
        <w:topLinePunct w:val="0"/>
        <w:autoSpaceDE/>
        <w:autoSpaceDN/>
        <w:bidi w:val="0"/>
        <w:adjustRightInd/>
        <w:snapToGrid/>
        <w:spacing w:line="500" w:lineRule="exact"/>
        <w:ind w:firstLine="480"/>
        <w:jc w:val="left"/>
        <w:textAlignment w:val="auto"/>
        <w:rPr>
          <w:rFonts w:hint="eastAsia" w:ascii="宋体" w:hAnsi="宋体" w:eastAsia="宋体" w:cs="宋体"/>
          <w:sz w:val="24"/>
          <w:szCs w:val="24"/>
        </w:rPr>
      </w:pPr>
      <w:r>
        <w:rPr>
          <w:rFonts w:hint="eastAsia" w:ascii="宋体" w:hAnsi="宋体" w:eastAsia="宋体" w:cs="宋体"/>
          <w:sz w:val="24"/>
          <w:szCs w:val="24"/>
        </w:rPr>
        <w:t>（ ）投标人为法人（包括企业、事业单位和社会团体）的</w:t>
      </w:r>
    </w:p>
    <w:p w14:paraId="77866E44">
      <w:pPr>
        <w:pStyle w:val="6"/>
        <w:keepNext w:val="0"/>
        <w:keepLines w:val="0"/>
        <w:pageBreakBefore w:val="0"/>
        <w:kinsoku/>
        <w:wordWrap/>
        <w:overflowPunct/>
        <w:topLinePunct w:val="0"/>
        <w:autoSpaceDE/>
        <w:autoSpaceDN/>
        <w:bidi w:val="0"/>
        <w:adjustRightInd/>
        <w:snapToGrid/>
        <w:spacing w:line="500" w:lineRule="exact"/>
        <w:ind w:firstLine="480"/>
        <w:jc w:val="left"/>
        <w:textAlignment w:val="auto"/>
        <w:rPr>
          <w:rFonts w:hint="eastAsia" w:ascii="宋体" w:hAnsi="宋体" w:eastAsia="宋体" w:cs="宋体"/>
          <w:sz w:val="24"/>
          <w:szCs w:val="24"/>
        </w:rPr>
      </w:pPr>
      <w:r>
        <w:rPr>
          <w:rFonts w:hint="eastAsia" w:ascii="宋体" w:hAnsi="宋体" w:eastAsia="宋体" w:cs="宋体"/>
          <w:sz w:val="24"/>
          <w:szCs w:val="24"/>
        </w:rPr>
        <w:t>现附上由</w:t>
      </w:r>
      <w:r>
        <w:rPr>
          <w:rFonts w:hint="eastAsia" w:ascii="宋体" w:hAnsi="宋体" w:eastAsia="宋体" w:cs="宋体"/>
          <w:sz w:val="24"/>
          <w:szCs w:val="24"/>
          <w:u w:val="single"/>
        </w:rPr>
        <w:t>（（填写“签发机关全称”）</w:t>
      </w:r>
      <w:r>
        <w:rPr>
          <w:rFonts w:hint="eastAsia" w:ascii="宋体" w:hAnsi="宋体" w:eastAsia="宋体" w:cs="宋体"/>
          <w:sz w:val="24"/>
          <w:szCs w:val="24"/>
        </w:rPr>
        <w:t>签发的我方统一社会信用代码（请填写法人的具体证照名称）复印件，该证明材料真实有效，否则我方负全部责任。</w:t>
      </w:r>
    </w:p>
    <w:p w14:paraId="090CA586">
      <w:pPr>
        <w:pStyle w:val="6"/>
        <w:keepNext w:val="0"/>
        <w:keepLines w:val="0"/>
        <w:pageBreakBefore w:val="0"/>
        <w:kinsoku/>
        <w:wordWrap/>
        <w:overflowPunct/>
        <w:topLinePunct w:val="0"/>
        <w:autoSpaceDE/>
        <w:autoSpaceDN/>
        <w:bidi w:val="0"/>
        <w:adjustRightInd/>
        <w:snapToGrid/>
        <w:spacing w:line="500" w:lineRule="exact"/>
        <w:ind w:firstLine="480"/>
        <w:jc w:val="left"/>
        <w:textAlignment w:val="auto"/>
        <w:rPr>
          <w:rFonts w:hint="eastAsia" w:ascii="宋体" w:hAnsi="宋体" w:eastAsia="宋体" w:cs="宋体"/>
          <w:sz w:val="24"/>
          <w:szCs w:val="24"/>
        </w:rPr>
      </w:pPr>
      <w:r>
        <w:rPr>
          <w:rFonts w:hint="eastAsia" w:ascii="宋体" w:hAnsi="宋体" w:eastAsia="宋体" w:cs="宋体"/>
          <w:sz w:val="24"/>
          <w:szCs w:val="24"/>
        </w:rPr>
        <w:t>（ ）投标人为非法人（包括其他组织、自然人）的</w:t>
      </w:r>
    </w:p>
    <w:p w14:paraId="591762A9">
      <w:pPr>
        <w:pStyle w:val="6"/>
        <w:keepNext w:val="0"/>
        <w:keepLines w:val="0"/>
        <w:pageBreakBefore w:val="0"/>
        <w:kinsoku/>
        <w:wordWrap/>
        <w:overflowPunct/>
        <w:topLinePunct w:val="0"/>
        <w:autoSpaceDE/>
        <w:autoSpaceDN/>
        <w:bidi w:val="0"/>
        <w:adjustRightInd/>
        <w:snapToGrid/>
        <w:spacing w:line="500" w:lineRule="exact"/>
        <w:ind w:firstLine="480"/>
        <w:jc w:val="left"/>
        <w:textAlignment w:val="auto"/>
        <w:rPr>
          <w:rFonts w:hint="eastAsia" w:ascii="宋体" w:hAnsi="宋体" w:eastAsia="宋体" w:cs="宋体"/>
          <w:sz w:val="24"/>
          <w:szCs w:val="24"/>
        </w:rPr>
      </w:pPr>
      <w:r>
        <w:rPr>
          <w:rFonts w:hint="eastAsia" w:ascii="宋体" w:hAnsi="宋体" w:eastAsia="宋体" w:cs="宋体"/>
          <w:sz w:val="24"/>
          <w:szCs w:val="24"/>
        </w:rPr>
        <w:t>□现附上由</w:t>
      </w:r>
      <w:r>
        <w:rPr>
          <w:rFonts w:hint="eastAsia" w:ascii="宋体" w:hAnsi="宋体" w:eastAsia="宋体" w:cs="宋体"/>
          <w:sz w:val="24"/>
          <w:szCs w:val="24"/>
          <w:u w:val="single"/>
        </w:rPr>
        <w:t>（（填写“签发机关全称”）</w:t>
      </w:r>
      <w:r>
        <w:rPr>
          <w:rFonts w:hint="eastAsia" w:ascii="宋体" w:hAnsi="宋体" w:eastAsia="宋体" w:cs="宋体"/>
          <w:sz w:val="24"/>
          <w:szCs w:val="24"/>
        </w:rPr>
        <w:t>签发的我方（请填写非自然人的非法人的具体证照名称）复印件，该证明材料真实有效，否则我方负全部责任。</w:t>
      </w:r>
    </w:p>
    <w:p w14:paraId="5E535F4D">
      <w:pPr>
        <w:pStyle w:val="6"/>
        <w:keepNext w:val="0"/>
        <w:keepLines w:val="0"/>
        <w:pageBreakBefore w:val="0"/>
        <w:kinsoku/>
        <w:wordWrap/>
        <w:overflowPunct/>
        <w:topLinePunct w:val="0"/>
        <w:autoSpaceDE/>
        <w:autoSpaceDN/>
        <w:bidi w:val="0"/>
        <w:adjustRightInd/>
        <w:snapToGrid/>
        <w:spacing w:line="500" w:lineRule="exact"/>
        <w:ind w:firstLine="480"/>
        <w:jc w:val="left"/>
        <w:textAlignment w:val="auto"/>
        <w:rPr>
          <w:rFonts w:hint="eastAsia" w:ascii="宋体" w:hAnsi="宋体" w:eastAsia="宋体" w:cs="宋体"/>
          <w:sz w:val="24"/>
          <w:szCs w:val="24"/>
        </w:rPr>
      </w:pPr>
      <w:r>
        <w:rPr>
          <w:rFonts w:hint="eastAsia" w:ascii="宋体" w:hAnsi="宋体" w:eastAsia="宋体" w:cs="宋体"/>
          <w:sz w:val="24"/>
          <w:szCs w:val="24"/>
        </w:rPr>
        <w:t>□现附上由</w:t>
      </w:r>
      <w:r>
        <w:rPr>
          <w:rFonts w:hint="eastAsia" w:ascii="宋体" w:hAnsi="宋体" w:eastAsia="宋体" w:cs="宋体"/>
          <w:sz w:val="24"/>
          <w:szCs w:val="24"/>
          <w:u w:val="single"/>
        </w:rPr>
        <w:t>（（填写“签发机关全称”）</w:t>
      </w:r>
      <w:r>
        <w:rPr>
          <w:rFonts w:hint="eastAsia" w:ascii="宋体" w:hAnsi="宋体" w:eastAsia="宋体" w:cs="宋体"/>
          <w:sz w:val="24"/>
          <w:szCs w:val="24"/>
        </w:rPr>
        <w:t>签发的我方（请填写自然人的身份证件名称）复印件，该证明材料真实有效，否则我方负全部责任。</w:t>
      </w:r>
    </w:p>
    <w:p w14:paraId="0C667D22">
      <w:pPr>
        <w:pStyle w:val="6"/>
        <w:keepNext w:val="0"/>
        <w:keepLines w:val="0"/>
        <w:pageBreakBefore w:val="0"/>
        <w:kinsoku/>
        <w:wordWrap/>
        <w:overflowPunct/>
        <w:topLinePunct w:val="0"/>
        <w:autoSpaceDE/>
        <w:autoSpaceDN/>
        <w:bidi w:val="0"/>
        <w:adjustRightInd/>
        <w:snapToGrid/>
        <w:spacing w:line="500" w:lineRule="exact"/>
        <w:ind w:firstLine="480"/>
        <w:jc w:val="left"/>
        <w:textAlignment w:val="auto"/>
        <w:rPr>
          <w:rFonts w:hint="eastAsia" w:ascii="宋体" w:hAnsi="宋体" w:eastAsia="宋体" w:cs="宋体"/>
          <w:sz w:val="24"/>
          <w:szCs w:val="24"/>
        </w:rPr>
      </w:pPr>
      <w:r>
        <w:rPr>
          <w:rFonts w:hint="eastAsia" w:ascii="宋体" w:hAnsi="宋体" w:eastAsia="宋体" w:cs="宋体"/>
          <w:sz w:val="24"/>
          <w:szCs w:val="24"/>
        </w:rPr>
        <w:t>※注意：</w:t>
      </w:r>
    </w:p>
    <w:p w14:paraId="2A6E9A5C">
      <w:pPr>
        <w:pStyle w:val="6"/>
        <w:keepNext w:val="0"/>
        <w:keepLines w:val="0"/>
        <w:pageBreakBefore w:val="0"/>
        <w:kinsoku/>
        <w:wordWrap/>
        <w:overflowPunct/>
        <w:topLinePunct w:val="0"/>
        <w:autoSpaceDE/>
        <w:autoSpaceDN/>
        <w:bidi w:val="0"/>
        <w:adjustRightInd/>
        <w:snapToGrid/>
        <w:spacing w:line="500" w:lineRule="exact"/>
        <w:ind w:firstLine="480"/>
        <w:jc w:val="left"/>
        <w:textAlignment w:val="auto"/>
        <w:rPr>
          <w:rFonts w:hint="eastAsia" w:ascii="宋体" w:hAnsi="宋体" w:eastAsia="宋体" w:cs="宋体"/>
          <w:sz w:val="24"/>
          <w:szCs w:val="24"/>
        </w:rPr>
      </w:pPr>
      <w:r>
        <w:rPr>
          <w:rFonts w:hint="eastAsia" w:ascii="宋体" w:hAnsi="宋体" w:eastAsia="宋体" w:cs="宋体"/>
          <w:sz w:val="24"/>
          <w:szCs w:val="24"/>
        </w:rPr>
        <w:t>1、请投标人按照实际情况编制填写，在相应的（）中打“√”并选择相应的“□”（若有）后，再按照本格式的要求提供相应证明材料的复印件。</w:t>
      </w:r>
    </w:p>
    <w:p w14:paraId="0EC73BC2">
      <w:pPr>
        <w:pStyle w:val="6"/>
        <w:keepNext w:val="0"/>
        <w:keepLines w:val="0"/>
        <w:pageBreakBefore w:val="0"/>
        <w:kinsoku/>
        <w:wordWrap/>
        <w:overflowPunct/>
        <w:topLinePunct w:val="0"/>
        <w:autoSpaceDE/>
        <w:autoSpaceDN/>
        <w:bidi w:val="0"/>
        <w:adjustRightInd/>
        <w:snapToGrid/>
        <w:spacing w:line="500" w:lineRule="exact"/>
        <w:ind w:firstLine="480"/>
        <w:jc w:val="left"/>
        <w:textAlignment w:val="auto"/>
        <w:rPr>
          <w:rFonts w:hint="eastAsia" w:ascii="宋体" w:hAnsi="宋体" w:eastAsia="宋体" w:cs="宋体"/>
          <w:sz w:val="24"/>
          <w:szCs w:val="24"/>
        </w:rPr>
      </w:pPr>
      <w:r>
        <w:rPr>
          <w:rFonts w:hint="eastAsia" w:ascii="宋体" w:hAnsi="宋体" w:eastAsia="宋体" w:cs="宋体"/>
          <w:sz w:val="24"/>
          <w:szCs w:val="24"/>
        </w:rPr>
        <w:t>2、投标人为企业的，提供有效的营业执照复印件；投标人为事业单位的，提供有效的事业单位法人证书复印件；投标人为社会团体的，提供有效的社会团体法人登记证书复印件；投标人为合伙企业、个体工商户的，提供有效的营业执照复印件；投标人为非企业专业服务机构的，提供有效的执业许可证等证明材料复印件；投标人为自然人的，提供有效的自然人身份证件复印件；其他投标人应按照有关法律、法规和规章规定，提供有效的相应具体证照复印件。</w:t>
      </w:r>
    </w:p>
    <w:p w14:paraId="644B323D">
      <w:pPr>
        <w:pStyle w:val="6"/>
        <w:keepNext w:val="0"/>
        <w:keepLines w:val="0"/>
        <w:pageBreakBefore w:val="0"/>
        <w:kinsoku/>
        <w:wordWrap/>
        <w:overflowPunct/>
        <w:topLinePunct w:val="0"/>
        <w:autoSpaceDE/>
        <w:autoSpaceDN/>
        <w:bidi w:val="0"/>
        <w:adjustRightInd/>
        <w:snapToGrid/>
        <w:spacing w:line="500" w:lineRule="exact"/>
        <w:ind w:firstLine="480"/>
        <w:jc w:val="right"/>
        <w:textAlignment w:val="auto"/>
        <w:rPr>
          <w:rFonts w:hint="eastAsia" w:ascii="宋体" w:hAnsi="宋体" w:eastAsia="宋体" w:cs="宋体"/>
          <w:sz w:val="24"/>
          <w:szCs w:val="24"/>
        </w:rPr>
      </w:pPr>
      <w:r>
        <w:rPr>
          <w:rFonts w:hint="eastAsia" w:ascii="宋体" w:hAnsi="宋体" w:eastAsia="宋体" w:cs="宋体"/>
          <w:sz w:val="24"/>
          <w:szCs w:val="24"/>
        </w:rPr>
        <w:t>投标人：</w:t>
      </w:r>
      <w:r>
        <w:rPr>
          <w:rFonts w:hint="eastAsia" w:ascii="宋体" w:hAnsi="宋体" w:eastAsia="宋体" w:cs="宋体"/>
          <w:sz w:val="24"/>
          <w:szCs w:val="24"/>
          <w:u w:val="single"/>
        </w:rPr>
        <w:t>（全称并加盖单位公章）</w:t>
      </w:r>
    </w:p>
    <w:p w14:paraId="503DA8CF">
      <w:pPr>
        <w:pStyle w:val="6"/>
        <w:keepNext w:val="0"/>
        <w:keepLines w:val="0"/>
        <w:pageBreakBefore w:val="0"/>
        <w:kinsoku/>
        <w:wordWrap/>
        <w:overflowPunct/>
        <w:topLinePunct w:val="0"/>
        <w:autoSpaceDE/>
        <w:autoSpaceDN/>
        <w:bidi w:val="0"/>
        <w:adjustRightInd/>
        <w:snapToGrid/>
        <w:spacing w:line="500" w:lineRule="exact"/>
        <w:ind w:firstLine="480"/>
        <w:jc w:val="right"/>
        <w:textAlignment w:val="auto"/>
        <w:rPr>
          <w:rFonts w:hint="eastAsia" w:ascii="宋体" w:hAnsi="宋体" w:eastAsia="宋体" w:cs="宋体"/>
          <w:sz w:val="24"/>
          <w:szCs w:val="24"/>
        </w:rPr>
      </w:pPr>
      <w:r>
        <w:rPr>
          <w:rFonts w:hint="eastAsia" w:ascii="宋体" w:hAnsi="宋体" w:eastAsia="宋体" w:cs="宋体"/>
          <w:sz w:val="24"/>
          <w:szCs w:val="24"/>
        </w:rPr>
        <w:t>日期：</w:t>
      </w:r>
      <w:r>
        <w:rPr>
          <w:rFonts w:hint="eastAsia" w:ascii="宋体" w:hAnsi="宋体" w:eastAsia="宋体" w:cs="宋体"/>
          <w:sz w:val="24"/>
          <w:szCs w:val="24"/>
          <w:u w:val="single"/>
        </w:rPr>
        <w:t>　　年　　月　　日</w:t>
      </w:r>
    </w:p>
    <w:p w14:paraId="1AEA5465">
      <w:pPr>
        <w:pStyle w:val="6"/>
        <w:keepNext w:val="0"/>
        <w:keepLines w:val="0"/>
        <w:pageBreakBefore w:val="0"/>
        <w:kinsoku/>
        <w:wordWrap/>
        <w:overflowPunct/>
        <w:topLinePunct w:val="0"/>
        <w:autoSpaceDE/>
        <w:autoSpaceDN/>
        <w:bidi w:val="0"/>
        <w:adjustRightInd/>
        <w:snapToGrid/>
        <w:spacing w:line="500" w:lineRule="exact"/>
        <w:ind w:firstLine="960"/>
        <w:jc w:val="left"/>
        <w:textAlignment w:val="auto"/>
        <w:rPr>
          <w:rFonts w:hint="eastAsia" w:ascii="宋体" w:hAnsi="宋体" w:eastAsia="宋体" w:cs="宋体"/>
          <w:sz w:val="24"/>
          <w:szCs w:val="24"/>
        </w:rPr>
      </w:pPr>
      <w:r>
        <w:rPr>
          <w:rFonts w:hint="eastAsia" w:ascii="宋体" w:hAnsi="宋体" w:eastAsia="宋体" w:cs="宋体"/>
          <w:sz w:val="24"/>
          <w:szCs w:val="24"/>
        </w:rPr>
        <w:t xml:space="preserve"> </w:t>
      </w:r>
      <w:r>
        <w:rPr>
          <w:rFonts w:hint="eastAsia" w:ascii="宋体" w:hAnsi="宋体" w:eastAsia="宋体" w:cs="宋体"/>
          <w:sz w:val="24"/>
          <w:szCs w:val="24"/>
        </w:rPr>
        <w:br w:type="textWrapping"/>
      </w:r>
      <w:r>
        <w:rPr>
          <w:rFonts w:hint="eastAsia" w:ascii="宋体" w:hAnsi="宋体" w:eastAsia="宋体" w:cs="宋体"/>
          <w:sz w:val="24"/>
          <w:szCs w:val="24"/>
        </w:rPr>
        <w:br w:type="page"/>
      </w:r>
    </w:p>
    <w:p w14:paraId="628B5389">
      <w:pPr>
        <w:pStyle w:val="6"/>
        <w:keepNext w:val="0"/>
        <w:keepLines w:val="0"/>
        <w:pageBreakBefore w:val="0"/>
        <w:kinsoku/>
        <w:wordWrap/>
        <w:overflowPunct/>
        <w:topLinePunct w:val="0"/>
        <w:autoSpaceDE/>
        <w:autoSpaceDN/>
        <w:bidi w:val="0"/>
        <w:adjustRightInd/>
        <w:snapToGrid/>
        <w:spacing w:line="500" w:lineRule="exact"/>
        <w:ind w:firstLine="960"/>
        <w:jc w:val="center"/>
        <w:textAlignment w:val="auto"/>
        <w:outlineLvl w:val="3"/>
        <w:rPr>
          <w:rFonts w:hint="eastAsia" w:ascii="宋体" w:hAnsi="宋体" w:eastAsia="宋体" w:cs="宋体"/>
          <w:sz w:val="24"/>
          <w:szCs w:val="24"/>
        </w:rPr>
      </w:pPr>
      <w:r>
        <w:rPr>
          <w:rFonts w:hint="eastAsia" w:ascii="宋体" w:hAnsi="宋体" w:eastAsia="宋体" w:cs="宋体"/>
          <w:b/>
          <w:sz w:val="24"/>
          <w:szCs w:val="24"/>
        </w:rPr>
        <w:t>财务状况报告（财务报告、或资信证明）</w:t>
      </w:r>
    </w:p>
    <w:p w14:paraId="702D55C0">
      <w:pPr>
        <w:pStyle w:val="6"/>
        <w:keepNext w:val="0"/>
        <w:keepLines w:val="0"/>
        <w:pageBreakBefore w:val="0"/>
        <w:kinsoku/>
        <w:wordWrap/>
        <w:overflowPunct/>
        <w:topLinePunct w:val="0"/>
        <w:autoSpaceDE/>
        <w:autoSpaceDN/>
        <w:bidi w:val="0"/>
        <w:adjustRightInd/>
        <w:snapToGrid/>
        <w:spacing w:line="500" w:lineRule="exact"/>
        <w:ind w:firstLine="480"/>
        <w:jc w:val="left"/>
        <w:textAlignment w:val="auto"/>
        <w:rPr>
          <w:rFonts w:hint="eastAsia" w:ascii="宋体" w:hAnsi="宋体" w:eastAsia="宋体" w:cs="宋体"/>
          <w:sz w:val="24"/>
          <w:szCs w:val="24"/>
        </w:rPr>
      </w:pPr>
      <w:r>
        <w:rPr>
          <w:rFonts w:hint="eastAsia" w:ascii="宋体" w:hAnsi="宋体" w:eastAsia="宋体" w:cs="宋体"/>
          <w:sz w:val="24"/>
          <w:szCs w:val="24"/>
        </w:rPr>
        <w:t>致：</w:t>
      </w:r>
      <w:r>
        <w:rPr>
          <w:rFonts w:hint="eastAsia" w:ascii="宋体" w:hAnsi="宋体" w:eastAsia="宋体" w:cs="宋体"/>
          <w:sz w:val="24"/>
          <w:szCs w:val="24"/>
          <w:u w:val="single"/>
        </w:rPr>
        <w:t>（采购人或采购代理机构）</w:t>
      </w:r>
    </w:p>
    <w:p w14:paraId="0DC1EB00">
      <w:pPr>
        <w:pStyle w:val="6"/>
        <w:keepNext w:val="0"/>
        <w:keepLines w:val="0"/>
        <w:pageBreakBefore w:val="0"/>
        <w:kinsoku/>
        <w:wordWrap/>
        <w:overflowPunct/>
        <w:topLinePunct w:val="0"/>
        <w:autoSpaceDE/>
        <w:autoSpaceDN/>
        <w:bidi w:val="0"/>
        <w:adjustRightInd/>
        <w:snapToGrid/>
        <w:spacing w:line="500" w:lineRule="exact"/>
        <w:ind w:firstLine="480"/>
        <w:jc w:val="left"/>
        <w:textAlignment w:val="auto"/>
        <w:rPr>
          <w:rFonts w:hint="eastAsia" w:ascii="宋体" w:hAnsi="宋体" w:eastAsia="宋体" w:cs="宋体"/>
          <w:sz w:val="24"/>
          <w:szCs w:val="24"/>
        </w:rPr>
      </w:pPr>
      <w:r>
        <w:rPr>
          <w:rFonts w:hint="eastAsia" w:ascii="宋体" w:hAnsi="宋体" w:eastAsia="宋体" w:cs="宋体"/>
          <w:sz w:val="24"/>
          <w:szCs w:val="24"/>
        </w:rPr>
        <w:t>（ ）投标人提供财务报告的</w:t>
      </w:r>
    </w:p>
    <w:p w14:paraId="17A15191">
      <w:pPr>
        <w:pStyle w:val="6"/>
        <w:keepNext w:val="0"/>
        <w:keepLines w:val="0"/>
        <w:pageBreakBefore w:val="0"/>
        <w:kinsoku/>
        <w:wordWrap/>
        <w:overflowPunct/>
        <w:topLinePunct w:val="0"/>
        <w:autoSpaceDE/>
        <w:autoSpaceDN/>
        <w:bidi w:val="0"/>
        <w:adjustRightInd/>
        <w:snapToGrid/>
        <w:spacing w:line="500" w:lineRule="exact"/>
        <w:ind w:firstLine="480"/>
        <w:jc w:val="left"/>
        <w:textAlignment w:val="auto"/>
        <w:rPr>
          <w:rFonts w:hint="eastAsia" w:ascii="宋体" w:hAnsi="宋体" w:eastAsia="宋体" w:cs="宋体"/>
          <w:sz w:val="24"/>
          <w:szCs w:val="24"/>
        </w:rPr>
      </w:pPr>
      <w:r>
        <w:rPr>
          <w:rFonts w:hint="eastAsia" w:ascii="宋体" w:hAnsi="宋体" w:eastAsia="宋体" w:cs="宋体"/>
          <w:sz w:val="24"/>
          <w:szCs w:val="24"/>
        </w:rPr>
        <w:t>□企业适用：现附上我方</w:t>
      </w:r>
      <w:r>
        <w:rPr>
          <w:rFonts w:hint="eastAsia" w:ascii="宋体" w:hAnsi="宋体" w:eastAsia="宋体" w:cs="宋体"/>
          <w:sz w:val="24"/>
          <w:szCs w:val="24"/>
          <w:u w:val="single"/>
        </w:rPr>
        <w:t>（填写“具体的年度、或半年度、季度”）</w:t>
      </w:r>
      <w:r>
        <w:rPr>
          <w:rFonts w:hint="eastAsia" w:ascii="宋体" w:hAnsi="宋体" w:eastAsia="宋体" w:cs="宋体"/>
          <w:sz w:val="24"/>
          <w:szCs w:val="24"/>
        </w:rPr>
        <w:t>财务报告复印件，包括资产负债表、利润表、现金流量表、所有者权益变动表（若有）及其附注（若有）、会计师事务所营业执照和注册会计师资格证书，上述证明材料真实有效，否则我方负全部责任。</w:t>
      </w:r>
    </w:p>
    <w:p w14:paraId="398ED4D3">
      <w:pPr>
        <w:pStyle w:val="6"/>
        <w:keepNext w:val="0"/>
        <w:keepLines w:val="0"/>
        <w:pageBreakBefore w:val="0"/>
        <w:kinsoku/>
        <w:wordWrap/>
        <w:overflowPunct/>
        <w:topLinePunct w:val="0"/>
        <w:autoSpaceDE/>
        <w:autoSpaceDN/>
        <w:bidi w:val="0"/>
        <w:adjustRightInd/>
        <w:snapToGrid/>
        <w:spacing w:line="500" w:lineRule="exact"/>
        <w:ind w:firstLine="480"/>
        <w:jc w:val="left"/>
        <w:textAlignment w:val="auto"/>
        <w:rPr>
          <w:rFonts w:hint="eastAsia" w:ascii="宋体" w:hAnsi="宋体" w:eastAsia="宋体" w:cs="宋体"/>
          <w:sz w:val="24"/>
          <w:szCs w:val="24"/>
        </w:rPr>
      </w:pPr>
      <w:r>
        <w:rPr>
          <w:rFonts w:hint="eastAsia" w:ascii="宋体" w:hAnsi="宋体" w:eastAsia="宋体" w:cs="宋体"/>
          <w:sz w:val="24"/>
          <w:szCs w:val="24"/>
        </w:rPr>
        <w:t>□事业单位适用：现附上我方</w:t>
      </w:r>
      <w:r>
        <w:rPr>
          <w:rFonts w:hint="eastAsia" w:ascii="宋体" w:hAnsi="宋体" w:eastAsia="宋体" w:cs="宋体"/>
          <w:sz w:val="24"/>
          <w:szCs w:val="24"/>
          <w:u w:val="single"/>
        </w:rPr>
        <w:t>（填写“具体的年度、或半年度、或季度”）</w:t>
      </w:r>
      <w:r>
        <w:rPr>
          <w:rFonts w:hint="eastAsia" w:ascii="宋体" w:hAnsi="宋体" w:eastAsia="宋体" w:cs="宋体"/>
          <w:sz w:val="24"/>
          <w:szCs w:val="24"/>
        </w:rPr>
        <w:t>财务报告复印件，包括资产负债表、收入支出表（或收入费用表）、财政补助收入支出表（若有）、会计师事务所营业执照和注册会计师资格证书，上述证明材料真实有效，否则我方负全部责任。</w:t>
      </w:r>
    </w:p>
    <w:p w14:paraId="7654B9BC">
      <w:pPr>
        <w:pStyle w:val="6"/>
        <w:keepNext w:val="0"/>
        <w:keepLines w:val="0"/>
        <w:pageBreakBefore w:val="0"/>
        <w:kinsoku/>
        <w:wordWrap/>
        <w:overflowPunct/>
        <w:topLinePunct w:val="0"/>
        <w:autoSpaceDE/>
        <w:autoSpaceDN/>
        <w:bidi w:val="0"/>
        <w:adjustRightInd/>
        <w:snapToGrid/>
        <w:spacing w:line="500" w:lineRule="exact"/>
        <w:ind w:firstLine="480"/>
        <w:jc w:val="left"/>
        <w:textAlignment w:val="auto"/>
        <w:rPr>
          <w:rFonts w:hint="eastAsia" w:ascii="宋体" w:hAnsi="宋体" w:eastAsia="宋体" w:cs="宋体"/>
          <w:sz w:val="24"/>
          <w:szCs w:val="24"/>
        </w:rPr>
      </w:pPr>
      <w:r>
        <w:rPr>
          <w:rFonts w:hint="eastAsia" w:ascii="宋体" w:hAnsi="宋体" w:eastAsia="宋体" w:cs="宋体"/>
          <w:sz w:val="24"/>
          <w:szCs w:val="24"/>
        </w:rPr>
        <w:t>□社会团体、民办非企适用：现附上我方</w:t>
      </w:r>
      <w:r>
        <w:rPr>
          <w:rFonts w:hint="eastAsia" w:ascii="宋体" w:hAnsi="宋体" w:eastAsia="宋体" w:cs="宋体"/>
          <w:sz w:val="24"/>
          <w:szCs w:val="24"/>
          <w:u w:val="single"/>
        </w:rPr>
        <w:t>（填写“具体的年度、或半年度、或季度”）</w:t>
      </w:r>
      <w:r>
        <w:rPr>
          <w:rFonts w:hint="eastAsia" w:ascii="宋体" w:hAnsi="宋体" w:eastAsia="宋体" w:cs="宋体"/>
          <w:sz w:val="24"/>
          <w:szCs w:val="24"/>
        </w:rPr>
        <w:t>财务报告复印件，包括资产负债表、业务活动表、现金流量表、会计师事务所营业执照和注册会计师资格证书，上述证明材料真实有效，否则我方负全部责任。</w:t>
      </w:r>
    </w:p>
    <w:p w14:paraId="1BA94A76">
      <w:pPr>
        <w:pStyle w:val="6"/>
        <w:keepNext w:val="0"/>
        <w:keepLines w:val="0"/>
        <w:pageBreakBefore w:val="0"/>
        <w:kinsoku/>
        <w:wordWrap/>
        <w:overflowPunct/>
        <w:topLinePunct w:val="0"/>
        <w:autoSpaceDE/>
        <w:autoSpaceDN/>
        <w:bidi w:val="0"/>
        <w:adjustRightInd/>
        <w:snapToGrid/>
        <w:spacing w:line="500" w:lineRule="exact"/>
        <w:ind w:firstLine="480"/>
        <w:jc w:val="left"/>
        <w:textAlignment w:val="auto"/>
        <w:rPr>
          <w:rFonts w:hint="eastAsia" w:ascii="宋体" w:hAnsi="宋体" w:eastAsia="宋体" w:cs="宋体"/>
          <w:sz w:val="24"/>
          <w:szCs w:val="24"/>
        </w:rPr>
      </w:pPr>
      <w:r>
        <w:rPr>
          <w:rFonts w:hint="eastAsia" w:ascii="宋体" w:hAnsi="宋体" w:eastAsia="宋体" w:cs="宋体"/>
          <w:sz w:val="24"/>
          <w:szCs w:val="24"/>
        </w:rPr>
        <w:t>（ ）投标人提供资信证明的</w:t>
      </w:r>
    </w:p>
    <w:p w14:paraId="4EF27C22">
      <w:pPr>
        <w:pStyle w:val="6"/>
        <w:keepNext w:val="0"/>
        <w:keepLines w:val="0"/>
        <w:pageBreakBefore w:val="0"/>
        <w:kinsoku/>
        <w:wordWrap/>
        <w:overflowPunct/>
        <w:topLinePunct w:val="0"/>
        <w:autoSpaceDE/>
        <w:autoSpaceDN/>
        <w:bidi w:val="0"/>
        <w:adjustRightInd/>
        <w:snapToGrid/>
        <w:spacing w:line="500" w:lineRule="exact"/>
        <w:ind w:firstLine="480"/>
        <w:jc w:val="left"/>
        <w:textAlignment w:val="auto"/>
        <w:rPr>
          <w:rFonts w:hint="eastAsia" w:ascii="宋体" w:hAnsi="宋体" w:eastAsia="宋体" w:cs="宋体"/>
          <w:sz w:val="24"/>
          <w:szCs w:val="24"/>
        </w:rPr>
      </w:pPr>
      <w:r>
        <w:rPr>
          <w:rFonts w:hint="eastAsia" w:ascii="宋体" w:hAnsi="宋体" w:eastAsia="宋体" w:cs="宋体"/>
          <w:sz w:val="24"/>
          <w:szCs w:val="24"/>
        </w:rPr>
        <w:t>□非自然人适用（包括企业、事业单位、社会团体和其他组织）：现附上我方银行：</w:t>
      </w:r>
      <w:r>
        <w:rPr>
          <w:rFonts w:hint="eastAsia" w:ascii="宋体" w:hAnsi="宋体" w:eastAsia="宋体" w:cs="宋体"/>
          <w:sz w:val="24"/>
          <w:szCs w:val="24"/>
          <w:u w:val="single"/>
        </w:rPr>
        <w:t>（填写“开户银行全称”）</w:t>
      </w:r>
      <w:r>
        <w:rPr>
          <w:rFonts w:hint="eastAsia" w:ascii="宋体" w:hAnsi="宋体" w:eastAsia="宋体" w:cs="宋体"/>
          <w:sz w:val="24"/>
          <w:szCs w:val="24"/>
        </w:rPr>
        <w:t>出具的资信证明复印件，上述证明材料真实有效，否则我方负全部责任。</w:t>
      </w:r>
    </w:p>
    <w:p w14:paraId="3638A7AA">
      <w:pPr>
        <w:pStyle w:val="6"/>
        <w:keepNext w:val="0"/>
        <w:keepLines w:val="0"/>
        <w:pageBreakBefore w:val="0"/>
        <w:kinsoku/>
        <w:wordWrap/>
        <w:overflowPunct/>
        <w:topLinePunct w:val="0"/>
        <w:autoSpaceDE/>
        <w:autoSpaceDN/>
        <w:bidi w:val="0"/>
        <w:adjustRightInd/>
        <w:snapToGrid/>
        <w:spacing w:line="500" w:lineRule="exact"/>
        <w:ind w:firstLine="480"/>
        <w:jc w:val="left"/>
        <w:textAlignment w:val="auto"/>
        <w:rPr>
          <w:rFonts w:hint="eastAsia" w:ascii="宋体" w:hAnsi="宋体" w:eastAsia="宋体" w:cs="宋体"/>
          <w:sz w:val="24"/>
          <w:szCs w:val="24"/>
        </w:rPr>
      </w:pPr>
      <w:r>
        <w:rPr>
          <w:rFonts w:hint="eastAsia" w:ascii="宋体" w:hAnsi="宋体" w:eastAsia="宋体" w:cs="宋体"/>
          <w:sz w:val="24"/>
          <w:szCs w:val="24"/>
        </w:rPr>
        <w:t>□自然人适用：现附上我方银行</w:t>
      </w:r>
      <w:r>
        <w:rPr>
          <w:rFonts w:hint="eastAsia" w:ascii="宋体" w:hAnsi="宋体" w:eastAsia="宋体" w:cs="宋体"/>
          <w:sz w:val="24"/>
          <w:szCs w:val="24"/>
          <w:u w:val="single"/>
        </w:rPr>
        <w:t>：（填写自然人的“个人账户的开户银行全称”）</w:t>
      </w:r>
      <w:r>
        <w:rPr>
          <w:rFonts w:hint="eastAsia" w:ascii="宋体" w:hAnsi="宋体" w:eastAsia="宋体" w:cs="宋体"/>
          <w:sz w:val="24"/>
          <w:szCs w:val="24"/>
        </w:rPr>
        <w:t>出具的资信证明复印件，上述证明材料真实有效，否则我方负全部责任。</w:t>
      </w:r>
    </w:p>
    <w:p w14:paraId="4FE5B4FE">
      <w:pPr>
        <w:pStyle w:val="6"/>
        <w:keepNext w:val="0"/>
        <w:keepLines w:val="0"/>
        <w:pageBreakBefore w:val="0"/>
        <w:kinsoku/>
        <w:wordWrap/>
        <w:overflowPunct/>
        <w:topLinePunct w:val="0"/>
        <w:autoSpaceDE/>
        <w:autoSpaceDN/>
        <w:bidi w:val="0"/>
        <w:adjustRightInd/>
        <w:snapToGrid/>
        <w:spacing w:line="500" w:lineRule="exact"/>
        <w:ind w:firstLine="480"/>
        <w:jc w:val="left"/>
        <w:textAlignment w:val="auto"/>
        <w:rPr>
          <w:rFonts w:hint="eastAsia" w:ascii="宋体" w:hAnsi="宋体" w:eastAsia="宋体" w:cs="宋体"/>
          <w:sz w:val="24"/>
          <w:szCs w:val="24"/>
        </w:rPr>
      </w:pPr>
      <w:r>
        <w:rPr>
          <w:rFonts w:hint="eastAsia" w:ascii="宋体" w:hAnsi="宋体" w:eastAsia="宋体" w:cs="宋体"/>
          <w:sz w:val="24"/>
          <w:szCs w:val="24"/>
        </w:rPr>
        <w:t>※注意：</w:t>
      </w:r>
    </w:p>
    <w:p w14:paraId="7461D6BC">
      <w:pPr>
        <w:pStyle w:val="6"/>
        <w:keepNext w:val="0"/>
        <w:keepLines w:val="0"/>
        <w:pageBreakBefore w:val="0"/>
        <w:kinsoku/>
        <w:wordWrap/>
        <w:overflowPunct/>
        <w:topLinePunct w:val="0"/>
        <w:autoSpaceDE/>
        <w:autoSpaceDN/>
        <w:bidi w:val="0"/>
        <w:adjustRightInd/>
        <w:snapToGrid/>
        <w:spacing w:line="500" w:lineRule="exact"/>
        <w:ind w:firstLine="480"/>
        <w:jc w:val="left"/>
        <w:textAlignment w:val="auto"/>
        <w:rPr>
          <w:rFonts w:hint="eastAsia" w:ascii="宋体" w:hAnsi="宋体" w:eastAsia="宋体" w:cs="宋体"/>
          <w:sz w:val="24"/>
          <w:szCs w:val="24"/>
        </w:rPr>
      </w:pPr>
      <w:r>
        <w:rPr>
          <w:rFonts w:hint="eastAsia" w:ascii="宋体" w:hAnsi="宋体" w:eastAsia="宋体" w:cs="宋体"/>
          <w:sz w:val="24"/>
          <w:szCs w:val="24"/>
        </w:rPr>
        <w:t>1、请投标人按照实际情况编制填写，在相应的（）中打“√”并选择相应的“□”（若有）后，再按照本格式的要求提供相应证明材料的复印件。</w:t>
      </w:r>
    </w:p>
    <w:p w14:paraId="0C100C23">
      <w:pPr>
        <w:pStyle w:val="6"/>
        <w:keepNext w:val="0"/>
        <w:keepLines w:val="0"/>
        <w:pageBreakBefore w:val="0"/>
        <w:kinsoku/>
        <w:wordWrap/>
        <w:overflowPunct/>
        <w:topLinePunct w:val="0"/>
        <w:autoSpaceDE/>
        <w:autoSpaceDN/>
        <w:bidi w:val="0"/>
        <w:adjustRightInd/>
        <w:snapToGrid/>
        <w:spacing w:line="500" w:lineRule="exact"/>
        <w:ind w:firstLine="480"/>
        <w:jc w:val="left"/>
        <w:textAlignment w:val="auto"/>
        <w:rPr>
          <w:rFonts w:hint="eastAsia" w:ascii="宋体" w:hAnsi="宋体" w:eastAsia="宋体" w:cs="宋体"/>
          <w:sz w:val="24"/>
          <w:szCs w:val="24"/>
        </w:rPr>
      </w:pPr>
      <w:r>
        <w:rPr>
          <w:rFonts w:hint="eastAsia" w:ascii="宋体" w:hAnsi="宋体" w:eastAsia="宋体" w:cs="宋体"/>
          <w:sz w:val="24"/>
          <w:szCs w:val="24"/>
        </w:rPr>
        <w:t>2、投标人提供的财务报告复印件（成立年限按照投标截止时间推算）应符合下列规定：</w:t>
      </w:r>
    </w:p>
    <w:p w14:paraId="1ED96CC9">
      <w:pPr>
        <w:pStyle w:val="6"/>
        <w:keepNext w:val="0"/>
        <w:keepLines w:val="0"/>
        <w:pageBreakBefore w:val="0"/>
        <w:kinsoku/>
        <w:wordWrap/>
        <w:overflowPunct/>
        <w:topLinePunct w:val="0"/>
        <w:autoSpaceDE/>
        <w:autoSpaceDN/>
        <w:bidi w:val="0"/>
        <w:adjustRightInd/>
        <w:snapToGrid/>
        <w:spacing w:line="500" w:lineRule="exact"/>
        <w:ind w:firstLine="480"/>
        <w:jc w:val="left"/>
        <w:textAlignment w:val="auto"/>
        <w:rPr>
          <w:rFonts w:hint="eastAsia" w:ascii="宋体" w:hAnsi="宋体" w:eastAsia="宋体" w:cs="宋体"/>
          <w:sz w:val="24"/>
          <w:szCs w:val="24"/>
        </w:rPr>
      </w:pPr>
      <w:r>
        <w:rPr>
          <w:rFonts w:hint="eastAsia" w:ascii="宋体" w:hAnsi="宋体" w:eastAsia="宋体" w:cs="宋体"/>
          <w:sz w:val="24"/>
          <w:szCs w:val="24"/>
        </w:rPr>
        <w:t>2.1成立年限满1年及以上的投标人，提供经审计的招标文件规定的年度财务报告。</w:t>
      </w:r>
    </w:p>
    <w:p w14:paraId="540EB6E5">
      <w:pPr>
        <w:pStyle w:val="6"/>
        <w:keepNext w:val="0"/>
        <w:keepLines w:val="0"/>
        <w:pageBreakBefore w:val="0"/>
        <w:kinsoku/>
        <w:wordWrap/>
        <w:overflowPunct/>
        <w:topLinePunct w:val="0"/>
        <w:autoSpaceDE/>
        <w:autoSpaceDN/>
        <w:bidi w:val="0"/>
        <w:adjustRightInd/>
        <w:snapToGrid/>
        <w:spacing w:line="500" w:lineRule="exact"/>
        <w:ind w:firstLine="480"/>
        <w:jc w:val="left"/>
        <w:textAlignment w:val="auto"/>
        <w:rPr>
          <w:rFonts w:hint="eastAsia" w:ascii="宋体" w:hAnsi="宋体" w:eastAsia="宋体" w:cs="宋体"/>
          <w:sz w:val="24"/>
          <w:szCs w:val="24"/>
        </w:rPr>
      </w:pPr>
      <w:r>
        <w:rPr>
          <w:rFonts w:hint="eastAsia" w:ascii="宋体" w:hAnsi="宋体" w:eastAsia="宋体" w:cs="宋体"/>
          <w:sz w:val="24"/>
          <w:szCs w:val="24"/>
        </w:rPr>
        <w:t>2.2成立年限满半年但不足1年的投标人，提供该半年度中任一季度的季度财务报告或该半年度的半年度财务报告。</w:t>
      </w:r>
    </w:p>
    <w:p w14:paraId="4132FE14">
      <w:pPr>
        <w:pStyle w:val="6"/>
        <w:keepNext w:val="0"/>
        <w:keepLines w:val="0"/>
        <w:pageBreakBefore w:val="0"/>
        <w:kinsoku/>
        <w:wordWrap/>
        <w:overflowPunct/>
        <w:topLinePunct w:val="0"/>
        <w:autoSpaceDE/>
        <w:autoSpaceDN/>
        <w:bidi w:val="0"/>
        <w:adjustRightInd/>
        <w:snapToGrid/>
        <w:spacing w:line="500" w:lineRule="exact"/>
        <w:ind w:firstLine="480"/>
        <w:jc w:val="left"/>
        <w:textAlignment w:val="auto"/>
        <w:rPr>
          <w:rFonts w:hint="eastAsia" w:ascii="宋体" w:hAnsi="宋体" w:eastAsia="宋体" w:cs="宋体"/>
          <w:sz w:val="24"/>
          <w:szCs w:val="24"/>
        </w:rPr>
      </w:pPr>
      <w:r>
        <w:rPr>
          <w:rFonts w:hint="eastAsia" w:ascii="宋体" w:hAnsi="宋体" w:eastAsia="宋体" w:cs="宋体"/>
          <w:sz w:val="24"/>
          <w:szCs w:val="24"/>
        </w:rPr>
        <w:t>※无法按照本格式第2.1、2.2条规定提供财务报告复印件的投标人（包括但不限于：成立年限满1年及以上的投标人、成立年限满半年但不足1年的投标人、成立年限不足半年的投标人），应按照本格式的要求选择提供资信证明复印件。</w:t>
      </w:r>
    </w:p>
    <w:p w14:paraId="216AA69F">
      <w:pPr>
        <w:pStyle w:val="6"/>
        <w:keepNext w:val="0"/>
        <w:keepLines w:val="0"/>
        <w:pageBreakBefore w:val="0"/>
        <w:kinsoku/>
        <w:wordWrap/>
        <w:overflowPunct/>
        <w:topLinePunct w:val="0"/>
        <w:autoSpaceDE/>
        <w:autoSpaceDN/>
        <w:bidi w:val="0"/>
        <w:adjustRightInd/>
        <w:snapToGrid/>
        <w:spacing w:line="500" w:lineRule="exact"/>
        <w:ind w:firstLine="480"/>
        <w:jc w:val="right"/>
        <w:textAlignment w:val="auto"/>
        <w:rPr>
          <w:rFonts w:hint="eastAsia" w:ascii="宋体" w:hAnsi="宋体" w:eastAsia="宋体" w:cs="宋体"/>
          <w:sz w:val="24"/>
          <w:szCs w:val="24"/>
        </w:rPr>
      </w:pPr>
      <w:r>
        <w:rPr>
          <w:rFonts w:hint="eastAsia" w:ascii="宋体" w:hAnsi="宋体" w:eastAsia="宋体" w:cs="宋体"/>
          <w:sz w:val="24"/>
          <w:szCs w:val="24"/>
        </w:rPr>
        <w:t>投标人：</w:t>
      </w:r>
      <w:r>
        <w:rPr>
          <w:rFonts w:hint="eastAsia" w:ascii="宋体" w:hAnsi="宋体" w:eastAsia="宋体" w:cs="宋体"/>
          <w:sz w:val="24"/>
          <w:szCs w:val="24"/>
          <w:u w:val="single"/>
        </w:rPr>
        <w:t>（全称并加盖单位公章）</w:t>
      </w:r>
    </w:p>
    <w:p w14:paraId="4B6EF438">
      <w:pPr>
        <w:pStyle w:val="6"/>
        <w:keepNext w:val="0"/>
        <w:keepLines w:val="0"/>
        <w:pageBreakBefore w:val="0"/>
        <w:kinsoku/>
        <w:wordWrap/>
        <w:overflowPunct/>
        <w:topLinePunct w:val="0"/>
        <w:autoSpaceDE/>
        <w:autoSpaceDN/>
        <w:bidi w:val="0"/>
        <w:adjustRightInd/>
        <w:snapToGrid/>
        <w:spacing w:line="500" w:lineRule="exact"/>
        <w:ind w:firstLine="480"/>
        <w:jc w:val="right"/>
        <w:textAlignment w:val="auto"/>
        <w:rPr>
          <w:rFonts w:hint="eastAsia" w:ascii="宋体" w:hAnsi="宋体" w:eastAsia="宋体" w:cs="宋体"/>
          <w:sz w:val="24"/>
          <w:szCs w:val="24"/>
        </w:rPr>
      </w:pPr>
      <w:r>
        <w:rPr>
          <w:rFonts w:hint="eastAsia" w:ascii="宋体" w:hAnsi="宋体" w:eastAsia="宋体" w:cs="宋体"/>
          <w:sz w:val="24"/>
          <w:szCs w:val="24"/>
        </w:rPr>
        <w:t>日期：</w:t>
      </w:r>
      <w:r>
        <w:rPr>
          <w:rFonts w:hint="eastAsia" w:ascii="宋体" w:hAnsi="宋体" w:eastAsia="宋体" w:cs="宋体"/>
          <w:sz w:val="24"/>
          <w:szCs w:val="24"/>
          <w:u w:val="single"/>
        </w:rPr>
        <w:t>　　年　　月　　日</w:t>
      </w:r>
    </w:p>
    <w:p w14:paraId="1BB5111B">
      <w:pPr>
        <w:pStyle w:val="6"/>
        <w:keepNext w:val="0"/>
        <w:keepLines w:val="0"/>
        <w:pageBreakBefore w:val="0"/>
        <w:kinsoku/>
        <w:wordWrap/>
        <w:overflowPunct/>
        <w:topLinePunct w:val="0"/>
        <w:autoSpaceDE/>
        <w:autoSpaceDN/>
        <w:bidi w:val="0"/>
        <w:adjustRightInd/>
        <w:snapToGrid/>
        <w:spacing w:line="500" w:lineRule="exact"/>
        <w:ind w:firstLine="960"/>
        <w:jc w:val="left"/>
        <w:textAlignment w:val="auto"/>
        <w:rPr>
          <w:rFonts w:hint="eastAsia" w:ascii="宋体" w:hAnsi="宋体" w:eastAsia="宋体" w:cs="宋体"/>
          <w:sz w:val="24"/>
          <w:szCs w:val="24"/>
        </w:rPr>
      </w:pPr>
      <w:r>
        <w:rPr>
          <w:rFonts w:hint="eastAsia" w:ascii="宋体" w:hAnsi="宋体" w:eastAsia="宋体" w:cs="宋体"/>
          <w:sz w:val="24"/>
          <w:szCs w:val="24"/>
        </w:rPr>
        <w:t xml:space="preserve"> </w:t>
      </w:r>
      <w:r>
        <w:rPr>
          <w:rFonts w:hint="eastAsia" w:ascii="宋体" w:hAnsi="宋体" w:eastAsia="宋体" w:cs="宋体"/>
          <w:sz w:val="24"/>
          <w:szCs w:val="24"/>
        </w:rPr>
        <w:br w:type="textWrapping"/>
      </w:r>
      <w:r>
        <w:rPr>
          <w:rFonts w:hint="eastAsia" w:ascii="宋体" w:hAnsi="宋体" w:eastAsia="宋体" w:cs="宋体"/>
          <w:sz w:val="24"/>
          <w:szCs w:val="24"/>
        </w:rPr>
        <w:br w:type="page"/>
      </w:r>
    </w:p>
    <w:p w14:paraId="17652D25">
      <w:pPr>
        <w:pStyle w:val="6"/>
        <w:keepNext w:val="0"/>
        <w:keepLines w:val="0"/>
        <w:pageBreakBefore w:val="0"/>
        <w:kinsoku/>
        <w:wordWrap/>
        <w:overflowPunct/>
        <w:topLinePunct w:val="0"/>
        <w:autoSpaceDE/>
        <w:autoSpaceDN/>
        <w:bidi w:val="0"/>
        <w:adjustRightInd/>
        <w:snapToGrid/>
        <w:spacing w:line="500" w:lineRule="exact"/>
        <w:ind w:firstLine="960"/>
        <w:jc w:val="center"/>
        <w:textAlignment w:val="auto"/>
        <w:outlineLvl w:val="3"/>
        <w:rPr>
          <w:rFonts w:hint="eastAsia" w:ascii="宋体" w:hAnsi="宋体" w:eastAsia="宋体" w:cs="宋体"/>
          <w:sz w:val="24"/>
          <w:szCs w:val="24"/>
        </w:rPr>
      </w:pPr>
      <w:r>
        <w:rPr>
          <w:rFonts w:hint="eastAsia" w:ascii="宋体" w:hAnsi="宋体" w:eastAsia="宋体" w:cs="宋体"/>
          <w:b/>
          <w:sz w:val="24"/>
          <w:szCs w:val="24"/>
        </w:rPr>
        <w:t>依法缴纳税收证明材料</w:t>
      </w:r>
    </w:p>
    <w:p w14:paraId="07C0A4C7">
      <w:pPr>
        <w:pStyle w:val="6"/>
        <w:keepNext w:val="0"/>
        <w:keepLines w:val="0"/>
        <w:pageBreakBefore w:val="0"/>
        <w:kinsoku/>
        <w:wordWrap/>
        <w:overflowPunct/>
        <w:topLinePunct w:val="0"/>
        <w:autoSpaceDE/>
        <w:autoSpaceDN/>
        <w:bidi w:val="0"/>
        <w:adjustRightInd/>
        <w:snapToGrid/>
        <w:spacing w:line="500" w:lineRule="exact"/>
        <w:ind w:firstLine="480"/>
        <w:jc w:val="left"/>
        <w:textAlignment w:val="auto"/>
        <w:rPr>
          <w:rFonts w:hint="eastAsia" w:ascii="宋体" w:hAnsi="宋体" w:eastAsia="宋体" w:cs="宋体"/>
          <w:sz w:val="24"/>
          <w:szCs w:val="24"/>
        </w:rPr>
      </w:pPr>
      <w:r>
        <w:rPr>
          <w:rFonts w:hint="eastAsia" w:ascii="宋体" w:hAnsi="宋体" w:eastAsia="宋体" w:cs="宋体"/>
          <w:sz w:val="24"/>
          <w:szCs w:val="24"/>
        </w:rPr>
        <w:t>致：</w:t>
      </w:r>
      <w:r>
        <w:rPr>
          <w:rFonts w:hint="eastAsia" w:ascii="宋体" w:hAnsi="宋体" w:eastAsia="宋体" w:cs="宋体"/>
          <w:sz w:val="24"/>
          <w:szCs w:val="24"/>
          <w:u w:val="single"/>
        </w:rPr>
        <w:t>（采购人或采购代理机构）</w:t>
      </w:r>
    </w:p>
    <w:p w14:paraId="68FCC02F">
      <w:pPr>
        <w:pStyle w:val="6"/>
        <w:keepNext w:val="0"/>
        <w:keepLines w:val="0"/>
        <w:pageBreakBefore w:val="0"/>
        <w:kinsoku/>
        <w:wordWrap/>
        <w:overflowPunct/>
        <w:topLinePunct w:val="0"/>
        <w:autoSpaceDE/>
        <w:autoSpaceDN/>
        <w:bidi w:val="0"/>
        <w:adjustRightInd/>
        <w:snapToGrid/>
        <w:spacing w:line="500" w:lineRule="exact"/>
        <w:ind w:firstLine="480"/>
        <w:jc w:val="left"/>
        <w:textAlignment w:val="auto"/>
        <w:rPr>
          <w:rFonts w:hint="eastAsia" w:ascii="宋体" w:hAnsi="宋体" w:eastAsia="宋体" w:cs="宋体"/>
          <w:sz w:val="24"/>
          <w:szCs w:val="24"/>
        </w:rPr>
      </w:pPr>
      <w:r>
        <w:rPr>
          <w:rFonts w:hint="eastAsia" w:ascii="宋体" w:hAnsi="宋体" w:eastAsia="宋体" w:cs="宋体"/>
          <w:sz w:val="24"/>
          <w:szCs w:val="24"/>
        </w:rPr>
        <w:t>1、依法缴纳税收的投标人</w:t>
      </w:r>
    </w:p>
    <w:p w14:paraId="16D5F8D3">
      <w:pPr>
        <w:pStyle w:val="6"/>
        <w:keepNext w:val="0"/>
        <w:keepLines w:val="0"/>
        <w:pageBreakBefore w:val="0"/>
        <w:kinsoku/>
        <w:wordWrap/>
        <w:overflowPunct/>
        <w:topLinePunct w:val="0"/>
        <w:autoSpaceDE/>
        <w:autoSpaceDN/>
        <w:bidi w:val="0"/>
        <w:adjustRightInd/>
        <w:snapToGrid/>
        <w:spacing w:line="500" w:lineRule="exact"/>
        <w:ind w:firstLine="480"/>
        <w:jc w:val="left"/>
        <w:textAlignment w:val="auto"/>
        <w:rPr>
          <w:rFonts w:hint="eastAsia" w:ascii="宋体" w:hAnsi="宋体" w:eastAsia="宋体" w:cs="宋体"/>
          <w:sz w:val="24"/>
          <w:szCs w:val="24"/>
        </w:rPr>
      </w:pPr>
      <w:r>
        <w:rPr>
          <w:rFonts w:hint="eastAsia" w:ascii="宋体" w:hAnsi="宋体" w:eastAsia="宋体" w:cs="宋体"/>
          <w:sz w:val="24"/>
          <w:szCs w:val="24"/>
        </w:rPr>
        <w:t>（ ）法人（包括企业、事业单位和社会团体）的</w:t>
      </w:r>
    </w:p>
    <w:p w14:paraId="3F65FA40">
      <w:pPr>
        <w:pStyle w:val="6"/>
        <w:keepNext w:val="0"/>
        <w:keepLines w:val="0"/>
        <w:pageBreakBefore w:val="0"/>
        <w:kinsoku/>
        <w:wordWrap/>
        <w:overflowPunct/>
        <w:topLinePunct w:val="0"/>
        <w:autoSpaceDE/>
        <w:autoSpaceDN/>
        <w:bidi w:val="0"/>
        <w:adjustRightInd/>
        <w:snapToGrid/>
        <w:spacing w:line="500" w:lineRule="exact"/>
        <w:ind w:firstLine="480"/>
        <w:jc w:val="left"/>
        <w:textAlignment w:val="auto"/>
        <w:rPr>
          <w:rFonts w:hint="eastAsia" w:ascii="宋体" w:hAnsi="宋体" w:eastAsia="宋体" w:cs="宋体"/>
          <w:sz w:val="24"/>
          <w:szCs w:val="24"/>
        </w:rPr>
      </w:pPr>
      <w:r>
        <w:rPr>
          <w:rFonts w:hint="eastAsia" w:ascii="宋体" w:hAnsi="宋体" w:eastAsia="宋体" w:cs="宋体"/>
          <w:sz w:val="24"/>
          <w:szCs w:val="24"/>
        </w:rPr>
        <w:t>现附上自</w:t>
      </w:r>
      <w:r>
        <w:rPr>
          <w:rFonts w:hint="eastAsia" w:ascii="宋体" w:hAnsi="宋体" w:eastAsia="宋体" w:cs="宋体"/>
          <w:sz w:val="24"/>
          <w:szCs w:val="24"/>
          <w:u w:val="single"/>
        </w:rPr>
        <w:t>　　年　　月　　日</w:t>
      </w:r>
      <w:r>
        <w:rPr>
          <w:rFonts w:hint="eastAsia" w:ascii="宋体" w:hAnsi="宋体" w:eastAsia="宋体" w:cs="宋体"/>
          <w:sz w:val="24"/>
          <w:szCs w:val="24"/>
        </w:rPr>
        <w:t>至</w:t>
      </w:r>
      <w:r>
        <w:rPr>
          <w:rFonts w:hint="eastAsia" w:ascii="宋体" w:hAnsi="宋体" w:eastAsia="宋体" w:cs="宋体"/>
          <w:sz w:val="24"/>
          <w:szCs w:val="24"/>
          <w:u w:val="single"/>
        </w:rPr>
        <w:t>　　年　　月　　日</w:t>
      </w:r>
      <w:r>
        <w:rPr>
          <w:rFonts w:hint="eastAsia" w:ascii="宋体" w:hAnsi="宋体" w:eastAsia="宋体" w:cs="宋体"/>
          <w:sz w:val="24"/>
          <w:szCs w:val="24"/>
        </w:rPr>
        <w:t>期间我方缴纳（包括但不限于税务机关出具的专用收据、税收缴纳证明或税收代缴银行的缴款收讫凭证）等税收凭据复印件，上述证明材料真实有效，否则我方负全部责任。</w:t>
      </w:r>
    </w:p>
    <w:p w14:paraId="69FBAC0C">
      <w:pPr>
        <w:pStyle w:val="6"/>
        <w:keepNext w:val="0"/>
        <w:keepLines w:val="0"/>
        <w:pageBreakBefore w:val="0"/>
        <w:kinsoku/>
        <w:wordWrap/>
        <w:overflowPunct/>
        <w:topLinePunct w:val="0"/>
        <w:autoSpaceDE/>
        <w:autoSpaceDN/>
        <w:bidi w:val="0"/>
        <w:adjustRightInd/>
        <w:snapToGrid/>
        <w:spacing w:line="500" w:lineRule="exact"/>
        <w:ind w:firstLine="480"/>
        <w:jc w:val="left"/>
        <w:textAlignment w:val="auto"/>
        <w:rPr>
          <w:rFonts w:hint="eastAsia" w:ascii="宋体" w:hAnsi="宋体" w:eastAsia="宋体" w:cs="宋体"/>
          <w:sz w:val="24"/>
          <w:szCs w:val="24"/>
        </w:rPr>
      </w:pPr>
      <w:r>
        <w:rPr>
          <w:rFonts w:hint="eastAsia" w:ascii="宋体" w:hAnsi="宋体" w:eastAsia="宋体" w:cs="宋体"/>
          <w:sz w:val="24"/>
          <w:szCs w:val="24"/>
        </w:rPr>
        <w:t>（ ）非法人（包括其他组织、自然人）的</w:t>
      </w:r>
    </w:p>
    <w:p w14:paraId="76D9C9B6">
      <w:pPr>
        <w:pStyle w:val="6"/>
        <w:keepNext w:val="0"/>
        <w:keepLines w:val="0"/>
        <w:pageBreakBefore w:val="0"/>
        <w:kinsoku/>
        <w:wordWrap/>
        <w:overflowPunct/>
        <w:topLinePunct w:val="0"/>
        <w:autoSpaceDE/>
        <w:autoSpaceDN/>
        <w:bidi w:val="0"/>
        <w:adjustRightInd/>
        <w:snapToGrid/>
        <w:spacing w:line="500" w:lineRule="exact"/>
        <w:ind w:firstLine="480"/>
        <w:jc w:val="left"/>
        <w:textAlignment w:val="auto"/>
        <w:rPr>
          <w:rFonts w:hint="eastAsia" w:ascii="宋体" w:hAnsi="宋体" w:eastAsia="宋体" w:cs="宋体"/>
          <w:sz w:val="24"/>
          <w:szCs w:val="24"/>
        </w:rPr>
      </w:pPr>
      <w:r>
        <w:rPr>
          <w:rFonts w:hint="eastAsia" w:ascii="宋体" w:hAnsi="宋体" w:eastAsia="宋体" w:cs="宋体"/>
          <w:sz w:val="24"/>
          <w:szCs w:val="24"/>
        </w:rPr>
        <w:t>现附上自</w:t>
      </w:r>
      <w:r>
        <w:rPr>
          <w:rFonts w:hint="eastAsia" w:ascii="宋体" w:hAnsi="宋体" w:eastAsia="宋体" w:cs="宋体"/>
          <w:sz w:val="24"/>
          <w:szCs w:val="24"/>
          <w:u w:val="single"/>
        </w:rPr>
        <w:t>　　年　　月　　日</w:t>
      </w:r>
      <w:r>
        <w:rPr>
          <w:rFonts w:hint="eastAsia" w:ascii="宋体" w:hAnsi="宋体" w:eastAsia="宋体" w:cs="宋体"/>
          <w:sz w:val="24"/>
          <w:szCs w:val="24"/>
        </w:rPr>
        <w:t>至</w:t>
      </w:r>
      <w:r>
        <w:rPr>
          <w:rFonts w:hint="eastAsia" w:ascii="宋体" w:hAnsi="宋体" w:eastAsia="宋体" w:cs="宋体"/>
          <w:sz w:val="24"/>
          <w:szCs w:val="24"/>
          <w:u w:val="single"/>
        </w:rPr>
        <w:t>　　年　　月　　日</w:t>
      </w:r>
      <w:r>
        <w:rPr>
          <w:rFonts w:hint="eastAsia" w:ascii="宋体" w:hAnsi="宋体" w:eastAsia="宋体" w:cs="宋体"/>
          <w:sz w:val="24"/>
          <w:szCs w:val="24"/>
        </w:rPr>
        <w:t>期间我方缴纳（包括但不限于税务机关出具的专用收据、税收缴纳证明或税收代缴银行的缴款收讫凭证）等税收凭据复印件，上述证明材料真实有效，否则我方负全部责任。</w:t>
      </w:r>
    </w:p>
    <w:p w14:paraId="24D1E4E2">
      <w:pPr>
        <w:pStyle w:val="6"/>
        <w:keepNext w:val="0"/>
        <w:keepLines w:val="0"/>
        <w:pageBreakBefore w:val="0"/>
        <w:kinsoku/>
        <w:wordWrap/>
        <w:overflowPunct/>
        <w:topLinePunct w:val="0"/>
        <w:autoSpaceDE/>
        <w:autoSpaceDN/>
        <w:bidi w:val="0"/>
        <w:adjustRightInd/>
        <w:snapToGrid/>
        <w:spacing w:line="500" w:lineRule="exact"/>
        <w:ind w:firstLine="480"/>
        <w:jc w:val="left"/>
        <w:textAlignment w:val="auto"/>
        <w:rPr>
          <w:rFonts w:hint="eastAsia" w:ascii="宋体" w:hAnsi="宋体" w:eastAsia="宋体" w:cs="宋体"/>
          <w:sz w:val="24"/>
          <w:szCs w:val="24"/>
        </w:rPr>
      </w:pPr>
      <w:r>
        <w:rPr>
          <w:rFonts w:hint="eastAsia" w:ascii="宋体" w:hAnsi="宋体" w:eastAsia="宋体" w:cs="宋体"/>
          <w:sz w:val="24"/>
          <w:szCs w:val="24"/>
        </w:rPr>
        <w:t>2、依法免税的投标人</w:t>
      </w:r>
    </w:p>
    <w:p w14:paraId="583C6523">
      <w:pPr>
        <w:pStyle w:val="6"/>
        <w:keepNext w:val="0"/>
        <w:keepLines w:val="0"/>
        <w:pageBreakBefore w:val="0"/>
        <w:kinsoku/>
        <w:wordWrap/>
        <w:overflowPunct/>
        <w:topLinePunct w:val="0"/>
        <w:autoSpaceDE/>
        <w:autoSpaceDN/>
        <w:bidi w:val="0"/>
        <w:adjustRightInd/>
        <w:snapToGrid/>
        <w:spacing w:line="500" w:lineRule="exact"/>
        <w:ind w:firstLine="480"/>
        <w:jc w:val="left"/>
        <w:textAlignment w:val="auto"/>
        <w:rPr>
          <w:rFonts w:hint="eastAsia" w:ascii="宋体" w:hAnsi="宋体" w:eastAsia="宋体" w:cs="宋体"/>
          <w:sz w:val="24"/>
          <w:szCs w:val="24"/>
        </w:rPr>
      </w:pPr>
      <w:r>
        <w:rPr>
          <w:rFonts w:hint="eastAsia" w:ascii="宋体" w:hAnsi="宋体" w:eastAsia="宋体" w:cs="宋体"/>
          <w:sz w:val="24"/>
          <w:szCs w:val="24"/>
        </w:rPr>
        <w:t>（ ）现附上我方依法免税的证明材料复印件，上述证明材料真实有效，否则我方负全部责任。</w:t>
      </w:r>
    </w:p>
    <w:p w14:paraId="21685FE5">
      <w:pPr>
        <w:pStyle w:val="6"/>
        <w:keepNext w:val="0"/>
        <w:keepLines w:val="0"/>
        <w:pageBreakBefore w:val="0"/>
        <w:kinsoku/>
        <w:wordWrap/>
        <w:overflowPunct/>
        <w:topLinePunct w:val="0"/>
        <w:autoSpaceDE/>
        <w:autoSpaceDN/>
        <w:bidi w:val="0"/>
        <w:adjustRightInd/>
        <w:snapToGrid/>
        <w:spacing w:line="500" w:lineRule="exact"/>
        <w:ind w:firstLine="480"/>
        <w:jc w:val="left"/>
        <w:textAlignment w:val="auto"/>
        <w:rPr>
          <w:rFonts w:hint="eastAsia" w:ascii="宋体" w:hAnsi="宋体" w:eastAsia="宋体" w:cs="宋体"/>
          <w:sz w:val="24"/>
          <w:szCs w:val="24"/>
        </w:rPr>
      </w:pPr>
      <w:r>
        <w:rPr>
          <w:rFonts w:hint="eastAsia" w:ascii="宋体" w:hAnsi="宋体" w:eastAsia="宋体" w:cs="宋体"/>
          <w:sz w:val="24"/>
          <w:szCs w:val="24"/>
        </w:rPr>
        <w:t>※注意：</w:t>
      </w:r>
    </w:p>
    <w:p w14:paraId="43A8D5E7">
      <w:pPr>
        <w:pStyle w:val="6"/>
        <w:keepNext w:val="0"/>
        <w:keepLines w:val="0"/>
        <w:pageBreakBefore w:val="0"/>
        <w:kinsoku/>
        <w:wordWrap/>
        <w:overflowPunct/>
        <w:topLinePunct w:val="0"/>
        <w:autoSpaceDE/>
        <w:autoSpaceDN/>
        <w:bidi w:val="0"/>
        <w:adjustRightInd/>
        <w:snapToGrid/>
        <w:spacing w:line="500" w:lineRule="exact"/>
        <w:ind w:firstLine="480"/>
        <w:jc w:val="left"/>
        <w:textAlignment w:val="auto"/>
        <w:rPr>
          <w:rFonts w:hint="eastAsia" w:ascii="宋体" w:hAnsi="宋体" w:eastAsia="宋体" w:cs="宋体"/>
          <w:sz w:val="24"/>
          <w:szCs w:val="24"/>
        </w:rPr>
      </w:pPr>
      <w:r>
        <w:rPr>
          <w:rFonts w:hint="eastAsia" w:ascii="宋体" w:hAnsi="宋体" w:eastAsia="宋体" w:cs="宋体"/>
          <w:sz w:val="24"/>
          <w:szCs w:val="24"/>
        </w:rPr>
        <w:t>1、请投标人按照实际情况编制填写，在相应的（）中打“√”，并按照本格式的要求提供相应证明材料的复印件。</w:t>
      </w:r>
    </w:p>
    <w:p w14:paraId="0C26CB9F">
      <w:pPr>
        <w:pStyle w:val="6"/>
        <w:keepNext w:val="0"/>
        <w:keepLines w:val="0"/>
        <w:pageBreakBefore w:val="0"/>
        <w:kinsoku/>
        <w:wordWrap/>
        <w:overflowPunct/>
        <w:topLinePunct w:val="0"/>
        <w:autoSpaceDE/>
        <w:autoSpaceDN/>
        <w:bidi w:val="0"/>
        <w:adjustRightInd/>
        <w:snapToGrid/>
        <w:spacing w:line="500" w:lineRule="exact"/>
        <w:ind w:firstLine="480"/>
        <w:jc w:val="left"/>
        <w:textAlignment w:val="auto"/>
        <w:rPr>
          <w:rFonts w:hint="eastAsia" w:ascii="宋体" w:hAnsi="宋体" w:eastAsia="宋体" w:cs="宋体"/>
          <w:sz w:val="24"/>
          <w:szCs w:val="24"/>
        </w:rPr>
      </w:pPr>
      <w:r>
        <w:rPr>
          <w:rFonts w:hint="eastAsia" w:ascii="宋体" w:hAnsi="宋体" w:eastAsia="宋体" w:cs="宋体"/>
          <w:sz w:val="24"/>
          <w:szCs w:val="24"/>
        </w:rPr>
        <w:t>2、投标人提供的税收缴纳凭据复印件应符合下列规定：</w:t>
      </w:r>
    </w:p>
    <w:p w14:paraId="45ED3A53">
      <w:pPr>
        <w:pStyle w:val="6"/>
        <w:keepNext w:val="0"/>
        <w:keepLines w:val="0"/>
        <w:pageBreakBefore w:val="0"/>
        <w:kinsoku/>
        <w:wordWrap/>
        <w:overflowPunct/>
        <w:topLinePunct w:val="0"/>
        <w:autoSpaceDE/>
        <w:autoSpaceDN/>
        <w:bidi w:val="0"/>
        <w:adjustRightInd/>
        <w:snapToGrid/>
        <w:spacing w:line="500" w:lineRule="exact"/>
        <w:ind w:firstLine="480"/>
        <w:jc w:val="left"/>
        <w:textAlignment w:val="auto"/>
        <w:rPr>
          <w:rFonts w:hint="eastAsia" w:ascii="宋体" w:hAnsi="宋体" w:eastAsia="宋体" w:cs="宋体"/>
          <w:sz w:val="24"/>
          <w:szCs w:val="24"/>
        </w:rPr>
      </w:pPr>
      <w:r>
        <w:rPr>
          <w:rFonts w:hint="eastAsia" w:ascii="宋体" w:hAnsi="宋体" w:eastAsia="宋体" w:cs="宋体"/>
          <w:sz w:val="24"/>
          <w:szCs w:val="24"/>
        </w:rPr>
        <w:t>2.1投标截止时间前（不含投标截止时间的当月）已依法缴纳税收的投标人，提供投标截止时间前六个月（不含投标截止时间的当月）中任一月份的税收缴纳凭据复印件。</w:t>
      </w:r>
    </w:p>
    <w:p w14:paraId="39F2848D">
      <w:pPr>
        <w:pStyle w:val="6"/>
        <w:keepNext w:val="0"/>
        <w:keepLines w:val="0"/>
        <w:pageBreakBefore w:val="0"/>
        <w:kinsoku/>
        <w:wordWrap/>
        <w:overflowPunct/>
        <w:topLinePunct w:val="0"/>
        <w:autoSpaceDE/>
        <w:autoSpaceDN/>
        <w:bidi w:val="0"/>
        <w:adjustRightInd/>
        <w:snapToGrid/>
        <w:spacing w:line="500" w:lineRule="exact"/>
        <w:ind w:firstLine="480"/>
        <w:jc w:val="left"/>
        <w:textAlignment w:val="auto"/>
        <w:rPr>
          <w:rFonts w:hint="eastAsia" w:ascii="宋体" w:hAnsi="宋体" w:eastAsia="宋体" w:cs="宋体"/>
          <w:sz w:val="24"/>
          <w:szCs w:val="24"/>
        </w:rPr>
      </w:pPr>
      <w:r>
        <w:rPr>
          <w:rFonts w:hint="eastAsia" w:ascii="宋体" w:hAnsi="宋体" w:eastAsia="宋体" w:cs="宋体"/>
          <w:sz w:val="24"/>
          <w:szCs w:val="24"/>
        </w:rPr>
        <w:t>2.2投标截止时间的当月成立的投标人，视同满足本项资格条件要求。</w:t>
      </w:r>
    </w:p>
    <w:p w14:paraId="46EF88B2">
      <w:pPr>
        <w:pStyle w:val="6"/>
        <w:keepNext w:val="0"/>
        <w:keepLines w:val="0"/>
        <w:pageBreakBefore w:val="0"/>
        <w:kinsoku/>
        <w:wordWrap/>
        <w:overflowPunct/>
        <w:topLinePunct w:val="0"/>
        <w:autoSpaceDE/>
        <w:autoSpaceDN/>
        <w:bidi w:val="0"/>
        <w:adjustRightInd/>
        <w:snapToGrid/>
        <w:spacing w:line="500" w:lineRule="exact"/>
        <w:ind w:firstLine="480"/>
        <w:jc w:val="left"/>
        <w:textAlignment w:val="auto"/>
        <w:rPr>
          <w:rFonts w:hint="eastAsia" w:ascii="宋体" w:hAnsi="宋体" w:eastAsia="宋体" w:cs="宋体"/>
          <w:sz w:val="24"/>
          <w:szCs w:val="24"/>
        </w:rPr>
      </w:pPr>
      <w:r>
        <w:rPr>
          <w:rFonts w:hint="eastAsia" w:ascii="宋体" w:hAnsi="宋体" w:eastAsia="宋体" w:cs="宋体"/>
          <w:sz w:val="24"/>
          <w:szCs w:val="24"/>
        </w:rPr>
        <w:t>3、若为依法免税范围的投标人，提供依法免税证明材料的，视同满足本项资格条件要求。</w:t>
      </w:r>
    </w:p>
    <w:p w14:paraId="21773569">
      <w:pPr>
        <w:pStyle w:val="6"/>
        <w:keepNext w:val="0"/>
        <w:keepLines w:val="0"/>
        <w:pageBreakBefore w:val="0"/>
        <w:kinsoku/>
        <w:wordWrap/>
        <w:overflowPunct/>
        <w:topLinePunct w:val="0"/>
        <w:autoSpaceDE/>
        <w:autoSpaceDN/>
        <w:bidi w:val="0"/>
        <w:adjustRightInd/>
        <w:snapToGrid/>
        <w:spacing w:line="500" w:lineRule="exact"/>
        <w:ind w:firstLine="480"/>
        <w:jc w:val="right"/>
        <w:textAlignment w:val="auto"/>
        <w:rPr>
          <w:rFonts w:hint="eastAsia" w:ascii="宋体" w:hAnsi="宋体" w:eastAsia="宋体" w:cs="宋体"/>
          <w:sz w:val="24"/>
          <w:szCs w:val="24"/>
        </w:rPr>
      </w:pPr>
      <w:r>
        <w:rPr>
          <w:rFonts w:hint="eastAsia" w:ascii="宋体" w:hAnsi="宋体" w:eastAsia="宋体" w:cs="宋体"/>
          <w:sz w:val="24"/>
          <w:szCs w:val="24"/>
        </w:rPr>
        <w:t>投标人：</w:t>
      </w:r>
      <w:r>
        <w:rPr>
          <w:rFonts w:hint="eastAsia" w:ascii="宋体" w:hAnsi="宋体" w:eastAsia="宋体" w:cs="宋体"/>
          <w:sz w:val="24"/>
          <w:szCs w:val="24"/>
          <w:u w:val="single"/>
        </w:rPr>
        <w:t>（全称并加盖单位公章）</w:t>
      </w:r>
    </w:p>
    <w:p w14:paraId="3FBC17FC">
      <w:pPr>
        <w:pStyle w:val="6"/>
        <w:keepNext w:val="0"/>
        <w:keepLines w:val="0"/>
        <w:pageBreakBefore w:val="0"/>
        <w:kinsoku/>
        <w:wordWrap/>
        <w:overflowPunct/>
        <w:topLinePunct w:val="0"/>
        <w:autoSpaceDE/>
        <w:autoSpaceDN/>
        <w:bidi w:val="0"/>
        <w:adjustRightInd/>
        <w:snapToGrid/>
        <w:spacing w:line="500" w:lineRule="exact"/>
        <w:ind w:firstLine="480"/>
        <w:jc w:val="right"/>
        <w:textAlignment w:val="auto"/>
        <w:rPr>
          <w:rFonts w:hint="eastAsia" w:ascii="宋体" w:hAnsi="宋体" w:eastAsia="宋体" w:cs="宋体"/>
          <w:sz w:val="24"/>
          <w:szCs w:val="24"/>
        </w:rPr>
      </w:pPr>
      <w:r>
        <w:rPr>
          <w:rFonts w:hint="eastAsia" w:ascii="宋体" w:hAnsi="宋体" w:eastAsia="宋体" w:cs="宋体"/>
          <w:sz w:val="24"/>
          <w:szCs w:val="24"/>
        </w:rPr>
        <w:t>日期：</w:t>
      </w:r>
      <w:r>
        <w:rPr>
          <w:rFonts w:hint="eastAsia" w:ascii="宋体" w:hAnsi="宋体" w:eastAsia="宋体" w:cs="宋体"/>
          <w:sz w:val="24"/>
          <w:szCs w:val="24"/>
          <w:u w:val="single"/>
        </w:rPr>
        <w:t>　　年　　月　　日</w:t>
      </w:r>
    </w:p>
    <w:p w14:paraId="5C2C3EF8">
      <w:pPr>
        <w:pStyle w:val="6"/>
        <w:keepNext w:val="0"/>
        <w:keepLines w:val="0"/>
        <w:pageBreakBefore w:val="0"/>
        <w:kinsoku/>
        <w:wordWrap/>
        <w:overflowPunct/>
        <w:topLinePunct w:val="0"/>
        <w:autoSpaceDE/>
        <w:autoSpaceDN/>
        <w:bidi w:val="0"/>
        <w:adjustRightInd/>
        <w:snapToGrid/>
        <w:spacing w:line="500" w:lineRule="exact"/>
        <w:ind w:firstLine="960"/>
        <w:jc w:val="left"/>
        <w:textAlignment w:val="auto"/>
        <w:rPr>
          <w:rFonts w:hint="eastAsia" w:ascii="宋体" w:hAnsi="宋体" w:eastAsia="宋体" w:cs="宋体"/>
          <w:sz w:val="24"/>
          <w:szCs w:val="24"/>
        </w:rPr>
      </w:pPr>
      <w:r>
        <w:rPr>
          <w:rFonts w:hint="eastAsia" w:ascii="宋体" w:hAnsi="宋体" w:eastAsia="宋体" w:cs="宋体"/>
          <w:sz w:val="24"/>
          <w:szCs w:val="24"/>
        </w:rPr>
        <w:t xml:space="preserve"> </w:t>
      </w:r>
      <w:r>
        <w:rPr>
          <w:rFonts w:hint="eastAsia" w:ascii="宋体" w:hAnsi="宋体" w:eastAsia="宋体" w:cs="宋体"/>
          <w:sz w:val="24"/>
          <w:szCs w:val="24"/>
        </w:rPr>
        <w:br w:type="textWrapping"/>
      </w:r>
      <w:r>
        <w:rPr>
          <w:rFonts w:hint="eastAsia" w:ascii="宋体" w:hAnsi="宋体" w:eastAsia="宋体" w:cs="宋体"/>
          <w:sz w:val="24"/>
          <w:szCs w:val="24"/>
        </w:rPr>
        <w:br w:type="page"/>
      </w:r>
    </w:p>
    <w:p w14:paraId="64F23E58">
      <w:pPr>
        <w:pStyle w:val="6"/>
        <w:keepNext w:val="0"/>
        <w:keepLines w:val="0"/>
        <w:pageBreakBefore w:val="0"/>
        <w:kinsoku/>
        <w:wordWrap/>
        <w:overflowPunct/>
        <w:topLinePunct w:val="0"/>
        <w:autoSpaceDE/>
        <w:autoSpaceDN/>
        <w:bidi w:val="0"/>
        <w:adjustRightInd/>
        <w:snapToGrid/>
        <w:spacing w:line="500" w:lineRule="exact"/>
        <w:ind w:firstLine="960"/>
        <w:jc w:val="center"/>
        <w:textAlignment w:val="auto"/>
        <w:outlineLvl w:val="3"/>
        <w:rPr>
          <w:rFonts w:hint="eastAsia" w:ascii="宋体" w:hAnsi="宋体" w:eastAsia="宋体" w:cs="宋体"/>
          <w:sz w:val="24"/>
          <w:szCs w:val="24"/>
        </w:rPr>
      </w:pPr>
      <w:r>
        <w:rPr>
          <w:rFonts w:hint="eastAsia" w:ascii="宋体" w:hAnsi="宋体" w:eastAsia="宋体" w:cs="宋体"/>
          <w:b/>
          <w:sz w:val="24"/>
          <w:szCs w:val="24"/>
        </w:rPr>
        <w:t>依法缴纳社会保障资金证明材料</w:t>
      </w:r>
    </w:p>
    <w:p w14:paraId="2F44B213">
      <w:pPr>
        <w:pStyle w:val="6"/>
        <w:keepNext w:val="0"/>
        <w:keepLines w:val="0"/>
        <w:pageBreakBefore w:val="0"/>
        <w:kinsoku/>
        <w:wordWrap/>
        <w:overflowPunct/>
        <w:topLinePunct w:val="0"/>
        <w:autoSpaceDE/>
        <w:autoSpaceDN/>
        <w:bidi w:val="0"/>
        <w:adjustRightInd/>
        <w:snapToGrid/>
        <w:spacing w:line="500" w:lineRule="exact"/>
        <w:ind w:firstLine="480"/>
        <w:jc w:val="left"/>
        <w:textAlignment w:val="auto"/>
        <w:rPr>
          <w:rFonts w:hint="eastAsia" w:ascii="宋体" w:hAnsi="宋体" w:eastAsia="宋体" w:cs="宋体"/>
          <w:sz w:val="24"/>
          <w:szCs w:val="24"/>
        </w:rPr>
      </w:pPr>
      <w:r>
        <w:rPr>
          <w:rFonts w:hint="eastAsia" w:ascii="宋体" w:hAnsi="宋体" w:eastAsia="宋体" w:cs="宋体"/>
          <w:sz w:val="24"/>
          <w:szCs w:val="24"/>
        </w:rPr>
        <w:t>致：</w:t>
      </w:r>
      <w:r>
        <w:rPr>
          <w:rFonts w:hint="eastAsia" w:ascii="宋体" w:hAnsi="宋体" w:eastAsia="宋体" w:cs="宋体"/>
          <w:sz w:val="24"/>
          <w:szCs w:val="24"/>
          <w:u w:val="single"/>
        </w:rPr>
        <w:t>（采购人或采购代理机构）</w:t>
      </w:r>
    </w:p>
    <w:p w14:paraId="5EFACF7F">
      <w:pPr>
        <w:pStyle w:val="6"/>
        <w:keepNext w:val="0"/>
        <w:keepLines w:val="0"/>
        <w:pageBreakBefore w:val="0"/>
        <w:kinsoku/>
        <w:wordWrap/>
        <w:overflowPunct/>
        <w:topLinePunct w:val="0"/>
        <w:autoSpaceDE/>
        <w:autoSpaceDN/>
        <w:bidi w:val="0"/>
        <w:adjustRightInd/>
        <w:snapToGrid/>
        <w:spacing w:line="500" w:lineRule="exact"/>
        <w:ind w:firstLine="480"/>
        <w:jc w:val="left"/>
        <w:textAlignment w:val="auto"/>
        <w:rPr>
          <w:rFonts w:hint="eastAsia" w:ascii="宋体" w:hAnsi="宋体" w:eastAsia="宋体" w:cs="宋体"/>
          <w:sz w:val="24"/>
          <w:szCs w:val="24"/>
        </w:rPr>
      </w:pPr>
      <w:r>
        <w:rPr>
          <w:rFonts w:hint="eastAsia" w:ascii="宋体" w:hAnsi="宋体" w:eastAsia="宋体" w:cs="宋体"/>
          <w:sz w:val="24"/>
          <w:szCs w:val="24"/>
        </w:rPr>
        <w:t>1、依法缴纳社会保障资金的投标人</w:t>
      </w:r>
    </w:p>
    <w:p w14:paraId="189CBA9B">
      <w:pPr>
        <w:pStyle w:val="6"/>
        <w:keepNext w:val="0"/>
        <w:keepLines w:val="0"/>
        <w:pageBreakBefore w:val="0"/>
        <w:kinsoku/>
        <w:wordWrap/>
        <w:overflowPunct/>
        <w:topLinePunct w:val="0"/>
        <w:autoSpaceDE/>
        <w:autoSpaceDN/>
        <w:bidi w:val="0"/>
        <w:adjustRightInd/>
        <w:snapToGrid/>
        <w:spacing w:line="500" w:lineRule="exact"/>
        <w:ind w:firstLine="480"/>
        <w:jc w:val="left"/>
        <w:textAlignment w:val="auto"/>
        <w:rPr>
          <w:rFonts w:hint="eastAsia" w:ascii="宋体" w:hAnsi="宋体" w:eastAsia="宋体" w:cs="宋体"/>
          <w:sz w:val="24"/>
          <w:szCs w:val="24"/>
        </w:rPr>
      </w:pPr>
      <w:r>
        <w:rPr>
          <w:rFonts w:hint="eastAsia" w:ascii="宋体" w:hAnsi="宋体" w:eastAsia="宋体" w:cs="宋体"/>
          <w:sz w:val="24"/>
          <w:szCs w:val="24"/>
        </w:rPr>
        <w:t>（ ）法人（包括企业、事业单位和社会团体）的</w:t>
      </w:r>
    </w:p>
    <w:p w14:paraId="3034598B">
      <w:pPr>
        <w:pStyle w:val="6"/>
        <w:keepNext w:val="0"/>
        <w:keepLines w:val="0"/>
        <w:pageBreakBefore w:val="0"/>
        <w:kinsoku/>
        <w:wordWrap/>
        <w:overflowPunct/>
        <w:topLinePunct w:val="0"/>
        <w:autoSpaceDE/>
        <w:autoSpaceDN/>
        <w:bidi w:val="0"/>
        <w:adjustRightInd/>
        <w:snapToGrid/>
        <w:spacing w:line="500" w:lineRule="exact"/>
        <w:ind w:firstLine="480"/>
        <w:jc w:val="left"/>
        <w:textAlignment w:val="auto"/>
        <w:rPr>
          <w:rFonts w:hint="eastAsia" w:ascii="宋体" w:hAnsi="宋体" w:eastAsia="宋体" w:cs="宋体"/>
          <w:sz w:val="24"/>
          <w:szCs w:val="24"/>
        </w:rPr>
      </w:pPr>
      <w:r>
        <w:rPr>
          <w:rFonts w:hint="eastAsia" w:ascii="宋体" w:hAnsi="宋体" w:eastAsia="宋体" w:cs="宋体"/>
          <w:sz w:val="24"/>
          <w:szCs w:val="24"/>
        </w:rPr>
        <w:t>现附上自</w:t>
      </w:r>
      <w:r>
        <w:rPr>
          <w:rFonts w:hint="eastAsia" w:ascii="宋体" w:hAnsi="宋体" w:eastAsia="宋体" w:cs="宋体"/>
          <w:sz w:val="24"/>
          <w:szCs w:val="24"/>
          <w:u w:val="single"/>
        </w:rPr>
        <w:t>　　年　　月　　日</w:t>
      </w:r>
      <w:r>
        <w:rPr>
          <w:rFonts w:hint="eastAsia" w:ascii="宋体" w:hAnsi="宋体" w:eastAsia="宋体" w:cs="宋体"/>
          <w:sz w:val="24"/>
          <w:szCs w:val="24"/>
        </w:rPr>
        <w:t>至</w:t>
      </w:r>
      <w:r>
        <w:rPr>
          <w:rFonts w:hint="eastAsia" w:ascii="宋体" w:hAnsi="宋体" w:eastAsia="宋体" w:cs="宋体"/>
          <w:sz w:val="24"/>
          <w:szCs w:val="24"/>
          <w:u w:val="single"/>
        </w:rPr>
        <w:t>　　年　　月　　日</w:t>
      </w:r>
      <w:r>
        <w:rPr>
          <w:rFonts w:hint="eastAsia" w:ascii="宋体" w:hAnsi="宋体" w:eastAsia="宋体" w:cs="宋体"/>
          <w:sz w:val="24"/>
          <w:szCs w:val="24"/>
        </w:rPr>
        <w:t>我方缴纳的社会保险凭据（限：税务机关/社会保障资金管理机关的专用收据或社会保险缴纳清单，或社会保险的银行缴款收讫凭证）复印件，上述证明材料真实有效，否则我方负全部责任。</w:t>
      </w:r>
    </w:p>
    <w:p w14:paraId="197A1A03">
      <w:pPr>
        <w:pStyle w:val="6"/>
        <w:keepNext w:val="0"/>
        <w:keepLines w:val="0"/>
        <w:pageBreakBefore w:val="0"/>
        <w:kinsoku/>
        <w:wordWrap/>
        <w:overflowPunct/>
        <w:topLinePunct w:val="0"/>
        <w:autoSpaceDE/>
        <w:autoSpaceDN/>
        <w:bidi w:val="0"/>
        <w:adjustRightInd/>
        <w:snapToGrid/>
        <w:spacing w:line="500" w:lineRule="exact"/>
        <w:ind w:firstLine="480"/>
        <w:jc w:val="left"/>
        <w:textAlignment w:val="auto"/>
        <w:rPr>
          <w:rFonts w:hint="eastAsia" w:ascii="宋体" w:hAnsi="宋体" w:eastAsia="宋体" w:cs="宋体"/>
          <w:sz w:val="24"/>
          <w:szCs w:val="24"/>
        </w:rPr>
      </w:pPr>
      <w:r>
        <w:rPr>
          <w:rFonts w:hint="eastAsia" w:ascii="宋体" w:hAnsi="宋体" w:eastAsia="宋体" w:cs="宋体"/>
          <w:sz w:val="24"/>
          <w:szCs w:val="24"/>
        </w:rPr>
        <w:t>（ ）非法人（包括其他组织、自然人）的</w:t>
      </w:r>
    </w:p>
    <w:p w14:paraId="1B7A6825">
      <w:pPr>
        <w:pStyle w:val="6"/>
        <w:keepNext w:val="0"/>
        <w:keepLines w:val="0"/>
        <w:pageBreakBefore w:val="0"/>
        <w:kinsoku/>
        <w:wordWrap/>
        <w:overflowPunct/>
        <w:topLinePunct w:val="0"/>
        <w:autoSpaceDE/>
        <w:autoSpaceDN/>
        <w:bidi w:val="0"/>
        <w:adjustRightInd/>
        <w:snapToGrid/>
        <w:spacing w:line="500" w:lineRule="exact"/>
        <w:ind w:firstLine="480"/>
        <w:jc w:val="left"/>
        <w:textAlignment w:val="auto"/>
        <w:rPr>
          <w:rFonts w:hint="eastAsia" w:ascii="宋体" w:hAnsi="宋体" w:eastAsia="宋体" w:cs="宋体"/>
          <w:sz w:val="24"/>
          <w:szCs w:val="24"/>
        </w:rPr>
      </w:pPr>
      <w:r>
        <w:rPr>
          <w:rFonts w:hint="eastAsia" w:ascii="宋体" w:hAnsi="宋体" w:eastAsia="宋体" w:cs="宋体"/>
          <w:sz w:val="24"/>
          <w:szCs w:val="24"/>
        </w:rPr>
        <w:t>自</w:t>
      </w:r>
      <w:r>
        <w:rPr>
          <w:rFonts w:hint="eastAsia" w:ascii="宋体" w:hAnsi="宋体" w:eastAsia="宋体" w:cs="宋体"/>
          <w:sz w:val="24"/>
          <w:szCs w:val="24"/>
          <w:u w:val="single"/>
        </w:rPr>
        <w:t>　　年　　月　　日</w:t>
      </w:r>
      <w:r>
        <w:rPr>
          <w:rFonts w:hint="eastAsia" w:ascii="宋体" w:hAnsi="宋体" w:eastAsia="宋体" w:cs="宋体"/>
          <w:sz w:val="24"/>
          <w:szCs w:val="24"/>
        </w:rPr>
        <w:t>至</w:t>
      </w:r>
      <w:r>
        <w:rPr>
          <w:rFonts w:hint="eastAsia" w:ascii="宋体" w:hAnsi="宋体" w:eastAsia="宋体" w:cs="宋体"/>
          <w:sz w:val="24"/>
          <w:szCs w:val="24"/>
          <w:u w:val="single"/>
        </w:rPr>
        <w:t>　　年　　月　　日</w:t>
      </w:r>
      <w:r>
        <w:rPr>
          <w:rFonts w:hint="eastAsia" w:ascii="宋体" w:hAnsi="宋体" w:eastAsia="宋体" w:cs="宋体"/>
          <w:sz w:val="24"/>
          <w:szCs w:val="24"/>
        </w:rPr>
        <w:t>我方缴纳的社会保险凭据（限：税务机关/社会保障资金管理机关的专用收据或社会保险缴纳清单，或社会保险的银行缴款收讫凭证）复印件，上述证明材料真实有效，否则我方负全部责任。</w:t>
      </w:r>
    </w:p>
    <w:p w14:paraId="4473A80C">
      <w:pPr>
        <w:pStyle w:val="6"/>
        <w:keepNext w:val="0"/>
        <w:keepLines w:val="0"/>
        <w:pageBreakBefore w:val="0"/>
        <w:kinsoku/>
        <w:wordWrap/>
        <w:overflowPunct/>
        <w:topLinePunct w:val="0"/>
        <w:autoSpaceDE/>
        <w:autoSpaceDN/>
        <w:bidi w:val="0"/>
        <w:adjustRightInd/>
        <w:snapToGrid/>
        <w:spacing w:line="500" w:lineRule="exact"/>
        <w:ind w:firstLine="480"/>
        <w:jc w:val="left"/>
        <w:textAlignment w:val="auto"/>
        <w:rPr>
          <w:rFonts w:hint="eastAsia" w:ascii="宋体" w:hAnsi="宋体" w:eastAsia="宋体" w:cs="宋体"/>
          <w:sz w:val="24"/>
          <w:szCs w:val="24"/>
        </w:rPr>
      </w:pPr>
      <w:r>
        <w:rPr>
          <w:rFonts w:hint="eastAsia" w:ascii="宋体" w:hAnsi="宋体" w:eastAsia="宋体" w:cs="宋体"/>
          <w:sz w:val="24"/>
          <w:szCs w:val="24"/>
        </w:rPr>
        <w:t>2、依法不需要缴纳或暂缓缴纳社会保障资金的投标人</w:t>
      </w:r>
    </w:p>
    <w:p w14:paraId="49AD3405">
      <w:pPr>
        <w:pStyle w:val="6"/>
        <w:keepNext w:val="0"/>
        <w:keepLines w:val="0"/>
        <w:pageBreakBefore w:val="0"/>
        <w:kinsoku/>
        <w:wordWrap/>
        <w:overflowPunct/>
        <w:topLinePunct w:val="0"/>
        <w:autoSpaceDE/>
        <w:autoSpaceDN/>
        <w:bidi w:val="0"/>
        <w:adjustRightInd/>
        <w:snapToGrid/>
        <w:spacing w:line="500" w:lineRule="exact"/>
        <w:ind w:firstLine="480"/>
        <w:jc w:val="left"/>
        <w:textAlignment w:val="auto"/>
        <w:rPr>
          <w:rFonts w:hint="eastAsia" w:ascii="宋体" w:hAnsi="宋体" w:eastAsia="宋体" w:cs="宋体"/>
          <w:sz w:val="24"/>
          <w:szCs w:val="24"/>
        </w:rPr>
      </w:pPr>
      <w:r>
        <w:rPr>
          <w:rFonts w:hint="eastAsia" w:ascii="宋体" w:hAnsi="宋体" w:eastAsia="宋体" w:cs="宋体"/>
          <w:sz w:val="24"/>
          <w:szCs w:val="24"/>
        </w:rPr>
        <w:t>（ ）现附上我方依法不需要缴纳或暂缓缴纳社会保障资金证明材料复印件，上述证明材料真实有效，否则我方负全部责任。</w:t>
      </w:r>
    </w:p>
    <w:p w14:paraId="3E26CAB8">
      <w:pPr>
        <w:pStyle w:val="6"/>
        <w:keepNext w:val="0"/>
        <w:keepLines w:val="0"/>
        <w:pageBreakBefore w:val="0"/>
        <w:kinsoku/>
        <w:wordWrap/>
        <w:overflowPunct/>
        <w:topLinePunct w:val="0"/>
        <w:autoSpaceDE/>
        <w:autoSpaceDN/>
        <w:bidi w:val="0"/>
        <w:adjustRightInd/>
        <w:snapToGrid/>
        <w:spacing w:line="500" w:lineRule="exact"/>
        <w:ind w:firstLine="480"/>
        <w:jc w:val="left"/>
        <w:textAlignment w:val="auto"/>
        <w:rPr>
          <w:rFonts w:hint="eastAsia" w:ascii="宋体" w:hAnsi="宋体" w:eastAsia="宋体" w:cs="宋体"/>
          <w:sz w:val="24"/>
          <w:szCs w:val="24"/>
        </w:rPr>
      </w:pPr>
      <w:r>
        <w:rPr>
          <w:rFonts w:hint="eastAsia" w:ascii="宋体" w:hAnsi="宋体" w:eastAsia="宋体" w:cs="宋体"/>
          <w:sz w:val="24"/>
          <w:szCs w:val="24"/>
        </w:rPr>
        <w:t>※注意：</w:t>
      </w:r>
    </w:p>
    <w:p w14:paraId="1D7F71A9">
      <w:pPr>
        <w:pStyle w:val="6"/>
        <w:keepNext w:val="0"/>
        <w:keepLines w:val="0"/>
        <w:pageBreakBefore w:val="0"/>
        <w:kinsoku/>
        <w:wordWrap/>
        <w:overflowPunct/>
        <w:topLinePunct w:val="0"/>
        <w:autoSpaceDE/>
        <w:autoSpaceDN/>
        <w:bidi w:val="0"/>
        <w:adjustRightInd/>
        <w:snapToGrid/>
        <w:spacing w:line="500" w:lineRule="exact"/>
        <w:ind w:firstLine="480"/>
        <w:jc w:val="left"/>
        <w:textAlignment w:val="auto"/>
        <w:rPr>
          <w:rFonts w:hint="eastAsia" w:ascii="宋体" w:hAnsi="宋体" w:eastAsia="宋体" w:cs="宋体"/>
          <w:sz w:val="24"/>
          <w:szCs w:val="24"/>
        </w:rPr>
      </w:pPr>
      <w:r>
        <w:rPr>
          <w:rFonts w:hint="eastAsia" w:ascii="宋体" w:hAnsi="宋体" w:eastAsia="宋体" w:cs="宋体"/>
          <w:sz w:val="24"/>
          <w:szCs w:val="24"/>
        </w:rPr>
        <w:t>1、请投标人按照实际情况编制填写，在相应的（）中打“√”，并按照本格式的要求提供相应证明材料的复印件。</w:t>
      </w:r>
    </w:p>
    <w:p w14:paraId="16C18D26">
      <w:pPr>
        <w:pStyle w:val="6"/>
        <w:keepNext w:val="0"/>
        <w:keepLines w:val="0"/>
        <w:pageBreakBefore w:val="0"/>
        <w:kinsoku/>
        <w:wordWrap/>
        <w:overflowPunct/>
        <w:topLinePunct w:val="0"/>
        <w:autoSpaceDE/>
        <w:autoSpaceDN/>
        <w:bidi w:val="0"/>
        <w:adjustRightInd/>
        <w:snapToGrid/>
        <w:spacing w:line="500" w:lineRule="exact"/>
        <w:ind w:firstLine="480"/>
        <w:jc w:val="left"/>
        <w:textAlignment w:val="auto"/>
        <w:rPr>
          <w:rFonts w:hint="eastAsia" w:ascii="宋体" w:hAnsi="宋体" w:eastAsia="宋体" w:cs="宋体"/>
          <w:sz w:val="24"/>
          <w:szCs w:val="24"/>
        </w:rPr>
      </w:pPr>
      <w:r>
        <w:rPr>
          <w:rFonts w:hint="eastAsia" w:ascii="宋体" w:hAnsi="宋体" w:eastAsia="宋体" w:cs="宋体"/>
          <w:sz w:val="24"/>
          <w:szCs w:val="24"/>
        </w:rPr>
        <w:t>2、投标人提供的社会保障资金缴纳凭据复印件应符合下列规定：</w:t>
      </w:r>
    </w:p>
    <w:p w14:paraId="40806027">
      <w:pPr>
        <w:pStyle w:val="6"/>
        <w:keepNext w:val="0"/>
        <w:keepLines w:val="0"/>
        <w:pageBreakBefore w:val="0"/>
        <w:kinsoku/>
        <w:wordWrap/>
        <w:overflowPunct/>
        <w:topLinePunct w:val="0"/>
        <w:autoSpaceDE/>
        <w:autoSpaceDN/>
        <w:bidi w:val="0"/>
        <w:adjustRightInd/>
        <w:snapToGrid/>
        <w:spacing w:line="500" w:lineRule="exact"/>
        <w:ind w:firstLine="480"/>
        <w:jc w:val="left"/>
        <w:textAlignment w:val="auto"/>
        <w:rPr>
          <w:rFonts w:hint="eastAsia" w:ascii="宋体" w:hAnsi="宋体" w:eastAsia="宋体" w:cs="宋体"/>
          <w:sz w:val="24"/>
          <w:szCs w:val="24"/>
        </w:rPr>
      </w:pPr>
      <w:r>
        <w:rPr>
          <w:rFonts w:hint="eastAsia" w:ascii="宋体" w:hAnsi="宋体" w:eastAsia="宋体" w:cs="宋体"/>
          <w:sz w:val="24"/>
          <w:szCs w:val="24"/>
        </w:rPr>
        <w:t>2.1投标截止时间前（不含投标截止时间的当月）已依法缴纳社会保障资金的投标人，提供投标截止时间前六个月（不含投标截止时间的当月）中任一月份的社会保障资金缴纳凭据复印件。</w:t>
      </w:r>
    </w:p>
    <w:p w14:paraId="6840E1C2">
      <w:pPr>
        <w:pStyle w:val="6"/>
        <w:keepNext w:val="0"/>
        <w:keepLines w:val="0"/>
        <w:pageBreakBefore w:val="0"/>
        <w:kinsoku/>
        <w:wordWrap/>
        <w:overflowPunct/>
        <w:topLinePunct w:val="0"/>
        <w:autoSpaceDE/>
        <w:autoSpaceDN/>
        <w:bidi w:val="0"/>
        <w:adjustRightInd/>
        <w:snapToGrid/>
        <w:spacing w:line="500" w:lineRule="exact"/>
        <w:ind w:firstLine="480"/>
        <w:jc w:val="left"/>
        <w:textAlignment w:val="auto"/>
        <w:rPr>
          <w:rFonts w:hint="eastAsia" w:ascii="宋体" w:hAnsi="宋体" w:eastAsia="宋体" w:cs="宋体"/>
          <w:sz w:val="24"/>
          <w:szCs w:val="24"/>
        </w:rPr>
      </w:pPr>
      <w:r>
        <w:rPr>
          <w:rFonts w:hint="eastAsia" w:ascii="宋体" w:hAnsi="宋体" w:eastAsia="宋体" w:cs="宋体"/>
          <w:sz w:val="24"/>
          <w:szCs w:val="24"/>
        </w:rPr>
        <w:t>2.2投标截止时间的当月成立的投标人，视同满足本项资格条件要求。</w:t>
      </w:r>
    </w:p>
    <w:p w14:paraId="1AE9DA07">
      <w:pPr>
        <w:pStyle w:val="6"/>
        <w:keepNext w:val="0"/>
        <w:keepLines w:val="0"/>
        <w:pageBreakBefore w:val="0"/>
        <w:kinsoku/>
        <w:wordWrap/>
        <w:overflowPunct/>
        <w:topLinePunct w:val="0"/>
        <w:autoSpaceDE/>
        <w:autoSpaceDN/>
        <w:bidi w:val="0"/>
        <w:adjustRightInd/>
        <w:snapToGrid/>
        <w:spacing w:line="500" w:lineRule="exact"/>
        <w:ind w:firstLine="480"/>
        <w:jc w:val="left"/>
        <w:textAlignment w:val="auto"/>
        <w:rPr>
          <w:rFonts w:hint="eastAsia" w:ascii="宋体" w:hAnsi="宋体" w:eastAsia="宋体" w:cs="宋体"/>
          <w:sz w:val="24"/>
          <w:szCs w:val="24"/>
        </w:rPr>
      </w:pPr>
      <w:r>
        <w:rPr>
          <w:rFonts w:hint="eastAsia" w:ascii="宋体" w:hAnsi="宋体" w:eastAsia="宋体" w:cs="宋体"/>
          <w:sz w:val="24"/>
          <w:szCs w:val="24"/>
        </w:rPr>
        <w:t>3、若为依法不需要缴纳或暂缓缴纳社会保障资金的投标人，提供依法不需要缴纳或暂缓缴纳社会保障资金证明材料的，视同满足本项资格条件要求。</w:t>
      </w:r>
    </w:p>
    <w:p w14:paraId="7C54CDC2">
      <w:pPr>
        <w:pStyle w:val="6"/>
        <w:keepNext w:val="0"/>
        <w:keepLines w:val="0"/>
        <w:pageBreakBefore w:val="0"/>
        <w:kinsoku/>
        <w:wordWrap/>
        <w:overflowPunct/>
        <w:topLinePunct w:val="0"/>
        <w:autoSpaceDE/>
        <w:autoSpaceDN/>
        <w:bidi w:val="0"/>
        <w:adjustRightInd/>
        <w:snapToGrid/>
        <w:spacing w:line="500" w:lineRule="exact"/>
        <w:ind w:firstLine="480"/>
        <w:jc w:val="right"/>
        <w:textAlignment w:val="auto"/>
        <w:rPr>
          <w:rFonts w:hint="eastAsia" w:ascii="宋体" w:hAnsi="宋体" w:eastAsia="宋体" w:cs="宋体"/>
          <w:sz w:val="24"/>
          <w:szCs w:val="24"/>
        </w:rPr>
      </w:pPr>
      <w:r>
        <w:rPr>
          <w:rFonts w:hint="eastAsia" w:ascii="宋体" w:hAnsi="宋体" w:eastAsia="宋体" w:cs="宋体"/>
          <w:sz w:val="24"/>
          <w:szCs w:val="24"/>
        </w:rPr>
        <w:t>投标人：</w:t>
      </w:r>
      <w:r>
        <w:rPr>
          <w:rFonts w:hint="eastAsia" w:ascii="宋体" w:hAnsi="宋体" w:eastAsia="宋体" w:cs="宋体"/>
          <w:sz w:val="24"/>
          <w:szCs w:val="24"/>
          <w:u w:val="single"/>
        </w:rPr>
        <w:t>（全称并加盖单位公章）</w:t>
      </w:r>
    </w:p>
    <w:p w14:paraId="6A0691C7">
      <w:pPr>
        <w:pStyle w:val="6"/>
        <w:keepNext w:val="0"/>
        <w:keepLines w:val="0"/>
        <w:pageBreakBefore w:val="0"/>
        <w:kinsoku/>
        <w:wordWrap/>
        <w:overflowPunct/>
        <w:topLinePunct w:val="0"/>
        <w:autoSpaceDE/>
        <w:autoSpaceDN/>
        <w:bidi w:val="0"/>
        <w:adjustRightInd/>
        <w:snapToGrid/>
        <w:spacing w:line="500" w:lineRule="exact"/>
        <w:ind w:firstLine="480"/>
        <w:jc w:val="right"/>
        <w:textAlignment w:val="auto"/>
        <w:rPr>
          <w:rFonts w:hint="eastAsia" w:ascii="宋体" w:hAnsi="宋体" w:eastAsia="宋体" w:cs="宋体"/>
          <w:sz w:val="24"/>
          <w:szCs w:val="24"/>
        </w:rPr>
      </w:pPr>
      <w:r>
        <w:rPr>
          <w:rFonts w:hint="eastAsia" w:ascii="宋体" w:hAnsi="宋体" w:eastAsia="宋体" w:cs="宋体"/>
          <w:sz w:val="24"/>
          <w:szCs w:val="24"/>
        </w:rPr>
        <w:t>日期：</w:t>
      </w:r>
      <w:r>
        <w:rPr>
          <w:rFonts w:hint="eastAsia" w:ascii="宋体" w:hAnsi="宋体" w:eastAsia="宋体" w:cs="宋体"/>
          <w:sz w:val="24"/>
          <w:szCs w:val="24"/>
          <w:u w:val="single"/>
        </w:rPr>
        <w:t>　　年　　月　　日</w:t>
      </w:r>
    </w:p>
    <w:p w14:paraId="2C9E62DB">
      <w:pPr>
        <w:pStyle w:val="6"/>
        <w:keepNext w:val="0"/>
        <w:keepLines w:val="0"/>
        <w:pageBreakBefore w:val="0"/>
        <w:kinsoku/>
        <w:wordWrap/>
        <w:overflowPunct/>
        <w:topLinePunct w:val="0"/>
        <w:autoSpaceDE/>
        <w:autoSpaceDN/>
        <w:bidi w:val="0"/>
        <w:adjustRightInd/>
        <w:snapToGrid/>
        <w:spacing w:line="500" w:lineRule="exact"/>
        <w:ind w:firstLine="960"/>
        <w:jc w:val="left"/>
        <w:textAlignment w:val="auto"/>
        <w:rPr>
          <w:rFonts w:hint="eastAsia" w:ascii="宋体" w:hAnsi="宋体" w:eastAsia="宋体" w:cs="宋体"/>
          <w:sz w:val="24"/>
          <w:szCs w:val="24"/>
        </w:rPr>
      </w:pPr>
      <w:r>
        <w:rPr>
          <w:rFonts w:hint="eastAsia" w:ascii="宋体" w:hAnsi="宋体" w:eastAsia="宋体" w:cs="宋体"/>
          <w:sz w:val="24"/>
          <w:szCs w:val="24"/>
        </w:rPr>
        <w:t xml:space="preserve"> </w:t>
      </w:r>
      <w:r>
        <w:rPr>
          <w:rFonts w:hint="eastAsia" w:ascii="宋体" w:hAnsi="宋体" w:eastAsia="宋体" w:cs="宋体"/>
          <w:sz w:val="24"/>
          <w:szCs w:val="24"/>
        </w:rPr>
        <w:br w:type="textWrapping"/>
      </w:r>
      <w:r>
        <w:rPr>
          <w:rFonts w:hint="eastAsia" w:ascii="宋体" w:hAnsi="宋体" w:eastAsia="宋体" w:cs="宋体"/>
          <w:sz w:val="24"/>
          <w:szCs w:val="24"/>
        </w:rPr>
        <w:br w:type="page"/>
      </w:r>
    </w:p>
    <w:p w14:paraId="38776859">
      <w:pPr>
        <w:pStyle w:val="6"/>
        <w:keepNext w:val="0"/>
        <w:keepLines w:val="0"/>
        <w:pageBreakBefore w:val="0"/>
        <w:kinsoku/>
        <w:wordWrap/>
        <w:overflowPunct/>
        <w:topLinePunct w:val="0"/>
        <w:autoSpaceDE/>
        <w:autoSpaceDN/>
        <w:bidi w:val="0"/>
        <w:adjustRightInd/>
        <w:snapToGrid/>
        <w:spacing w:line="500" w:lineRule="exact"/>
        <w:ind w:firstLine="960"/>
        <w:jc w:val="center"/>
        <w:textAlignment w:val="auto"/>
        <w:outlineLvl w:val="3"/>
        <w:rPr>
          <w:rFonts w:hint="eastAsia" w:ascii="宋体" w:hAnsi="宋体" w:eastAsia="宋体" w:cs="宋体"/>
          <w:sz w:val="24"/>
          <w:szCs w:val="24"/>
        </w:rPr>
      </w:pPr>
      <w:r>
        <w:rPr>
          <w:rFonts w:hint="eastAsia" w:ascii="宋体" w:hAnsi="宋体" w:eastAsia="宋体" w:cs="宋体"/>
          <w:b/>
          <w:sz w:val="24"/>
          <w:szCs w:val="24"/>
        </w:rPr>
        <w:t>具备履行合同所必需设备和专业技术能力的声明函（若有）</w:t>
      </w:r>
    </w:p>
    <w:p w14:paraId="2ADEAC8F">
      <w:pPr>
        <w:pStyle w:val="6"/>
        <w:keepNext w:val="0"/>
        <w:keepLines w:val="0"/>
        <w:pageBreakBefore w:val="0"/>
        <w:kinsoku/>
        <w:wordWrap/>
        <w:overflowPunct/>
        <w:topLinePunct w:val="0"/>
        <w:autoSpaceDE/>
        <w:autoSpaceDN/>
        <w:bidi w:val="0"/>
        <w:adjustRightInd/>
        <w:snapToGrid/>
        <w:spacing w:line="500" w:lineRule="exact"/>
        <w:ind w:firstLine="480"/>
        <w:jc w:val="left"/>
        <w:textAlignment w:val="auto"/>
        <w:rPr>
          <w:rFonts w:hint="eastAsia" w:ascii="宋体" w:hAnsi="宋体" w:eastAsia="宋体" w:cs="宋体"/>
          <w:sz w:val="24"/>
          <w:szCs w:val="24"/>
        </w:rPr>
      </w:pPr>
      <w:r>
        <w:rPr>
          <w:rFonts w:hint="eastAsia" w:ascii="宋体" w:hAnsi="宋体" w:eastAsia="宋体" w:cs="宋体"/>
          <w:sz w:val="24"/>
          <w:szCs w:val="24"/>
        </w:rPr>
        <w:t>致：</w:t>
      </w:r>
      <w:r>
        <w:rPr>
          <w:rFonts w:hint="eastAsia" w:ascii="宋体" w:hAnsi="宋体" w:eastAsia="宋体" w:cs="宋体"/>
          <w:sz w:val="24"/>
          <w:szCs w:val="24"/>
          <w:u w:val="single"/>
        </w:rPr>
        <w:t>（采购人或采购代理机构）</w:t>
      </w:r>
    </w:p>
    <w:p w14:paraId="24CF9F7D">
      <w:pPr>
        <w:pStyle w:val="6"/>
        <w:keepNext w:val="0"/>
        <w:keepLines w:val="0"/>
        <w:pageBreakBefore w:val="0"/>
        <w:kinsoku/>
        <w:wordWrap/>
        <w:overflowPunct/>
        <w:topLinePunct w:val="0"/>
        <w:autoSpaceDE/>
        <w:autoSpaceDN/>
        <w:bidi w:val="0"/>
        <w:adjustRightInd/>
        <w:snapToGrid/>
        <w:spacing w:line="500" w:lineRule="exact"/>
        <w:ind w:firstLine="480"/>
        <w:jc w:val="left"/>
        <w:textAlignment w:val="auto"/>
        <w:rPr>
          <w:rFonts w:hint="eastAsia" w:ascii="宋体" w:hAnsi="宋体" w:eastAsia="宋体" w:cs="宋体"/>
          <w:sz w:val="24"/>
          <w:szCs w:val="24"/>
        </w:rPr>
      </w:pPr>
      <w:r>
        <w:rPr>
          <w:rFonts w:hint="eastAsia" w:ascii="宋体" w:hAnsi="宋体" w:eastAsia="宋体" w:cs="宋体"/>
          <w:sz w:val="24"/>
          <w:szCs w:val="24"/>
        </w:rPr>
        <w:t>我方具备履行合同所必需的设备和专业技术能力，否则产生不利后果由我方承担责任。</w:t>
      </w:r>
    </w:p>
    <w:p w14:paraId="6B82EA09">
      <w:pPr>
        <w:pStyle w:val="6"/>
        <w:keepNext w:val="0"/>
        <w:keepLines w:val="0"/>
        <w:pageBreakBefore w:val="0"/>
        <w:kinsoku/>
        <w:wordWrap/>
        <w:overflowPunct/>
        <w:topLinePunct w:val="0"/>
        <w:autoSpaceDE/>
        <w:autoSpaceDN/>
        <w:bidi w:val="0"/>
        <w:adjustRightInd/>
        <w:snapToGrid/>
        <w:spacing w:line="500" w:lineRule="exact"/>
        <w:ind w:firstLine="960"/>
        <w:jc w:val="left"/>
        <w:textAlignment w:val="auto"/>
        <w:rPr>
          <w:rFonts w:hint="eastAsia" w:ascii="宋体" w:hAnsi="宋体" w:eastAsia="宋体" w:cs="宋体"/>
          <w:sz w:val="24"/>
          <w:szCs w:val="24"/>
        </w:rPr>
      </w:pPr>
      <w:r>
        <w:rPr>
          <w:rFonts w:hint="eastAsia" w:ascii="宋体" w:hAnsi="宋体" w:eastAsia="宋体" w:cs="宋体"/>
          <w:sz w:val="24"/>
          <w:szCs w:val="24"/>
        </w:rPr>
        <w:t>特此声明。</w:t>
      </w:r>
    </w:p>
    <w:p w14:paraId="328B55D8">
      <w:pPr>
        <w:pStyle w:val="6"/>
        <w:keepNext w:val="0"/>
        <w:keepLines w:val="0"/>
        <w:pageBreakBefore w:val="0"/>
        <w:kinsoku/>
        <w:wordWrap/>
        <w:overflowPunct/>
        <w:topLinePunct w:val="0"/>
        <w:autoSpaceDE/>
        <w:autoSpaceDN/>
        <w:bidi w:val="0"/>
        <w:adjustRightInd/>
        <w:snapToGrid/>
        <w:spacing w:line="500" w:lineRule="exact"/>
        <w:ind w:firstLine="480"/>
        <w:jc w:val="left"/>
        <w:textAlignment w:val="auto"/>
        <w:rPr>
          <w:rFonts w:hint="eastAsia" w:ascii="宋体" w:hAnsi="宋体" w:eastAsia="宋体" w:cs="宋体"/>
          <w:sz w:val="24"/>
          <w:szCs w:val="24"/>
        </w:rPr>
      </w:pPr>
      <w:r>
        <w:rPr>
          <w:rFonts w:hint="eastAsia" w:ascii="宋体" w:hAnsi="宋体" w:eastAsia="宋体" w:cs="宋体"/>
          <w:sz w:val="24"/>
          <w:szCs w:val="24"/>
        </w:rPr>
        <w:t>※注意：</w:t>
      </w:r>
    </w:p>
    <w:p w14:paraId="63EC8B3B">
      <w:pPr>
        <w:pStyle w:val="6"/>
        <w:keepNext w:val="0"/>
        <w:keepLines w:val="0"/>
        <w:pageBreakBefore w:val="0"/>
        <w:kinsoku/>
        <w:wordWrap/>
        <w:overflowPunct/>
        <w:topLinePunct w:val="0"/>
        <w:autoSpaceDE/>
        <w:autoSpaceDN/>
        <w:bidi w:val="0"/>
        <w:adjustRightInd/>
        <w:snapToGrid/>
        <w:spacing w:line="500" w:lineRule="exact"/>
        <w:ind w:firstLine="480"/>
        <w:jc w:val="left"/>
        <w:textAlignment w:val="auto"/>
        <w:rPr>
          <w:rFonts w:hint="eastAsia" w:ascii="宋体" w:hAnsi="宋体" w:eastAsia="宋体" w:cs="宋体"/>
          <w:sz w:val="24"/>
          <w:szCs w:val="24"/>
        </w:rPr>
      </w:pPr>
      <w:r>
        <w:rPr>
          <w:rFonts w:hint="eastAsia" w:ascii="宋体" w:hAnsi="宋体" w:eastAsia="宋体" w:cs="宋体"/>
          <w:sz w:val="24"/>
          <w:szCs w:val="24"/>
        </w:rPr>
        <w:t>1、招标文件未要求投标人提供“具备履行合同所必需的设备和专业技术能力专项证明材料”的，投标人应提供本声明函。</w:t>
      </w:r>
    </w:p>
    <w:p w14:paraId="680F59EF">
      <w:pPr>
        <w:pStyle w:val="6"/>
        <w:keepNext w:val="0"/>
        <w:keepLines w:val="0"/>
        <w:pageBreakBefore w:val="0"/>
        <w:kinsoku/>
        <w:wordWrap/>
        <w:overflowPunct/>
        <w:topLinePunct w:val="0"/>
        <w:autoSpaceDE/>
        <w:autoSpaceDN/>
        <w:bidi w:val="0"/>
        <w:adjustRightInd/>
        <w:snapToGrid/>
        <w:spacing w:line="500" w:lineRule="exact"/>
        <w:ind w:firstLine="480"/>
        <w:jc w:val="left"/>
        <w:textAlignment w:val="auto"/>
        <w:rPr>
          <w:rFonts w:hint="eastAsia" w:ascii="宋体" w:hAnsi="宋体" w:eastAsia="宋体" w:cs="宋体"/>
          <w:sz w:val="24"/>
          <w:szCs w:val="24"/>
        </w:rPr>
      </w:pPr>
      <w:r>
        <w:rPr>
          <w:rFonts w:hint="eastAsia" w:ascii="宋体" w:hAnsi="宋体" w:eastAsia="宋体" w:cs="宋体"/>
          <w:sz w:val="24"/>
          <w:szCs w:val="24"/>
        </w:rPr>
        <w:t>2、招标文件要求投标人提供“具备履行合同所必需的设备和专业技术能力专项证明材料”的，投标人可不提供本声明函。</w:t>
      </w:r>
    </w:p>
    <w:p w14:paraId="0A5FA259">
      <w:pPr>
        <w:pStyle w:val="6"/>
        <w:keepNext w:val="0"/>
        <w:keepLines w:val="0"/>
        <w:pageBreakBefore w:val="0"/>
        <w:kinsoku/>
        <w:wordWrap/>
        <w:overflowPunct/>
        <w:topLinePunct w:val="0"/>
        <w:autoSpaceDE/>
        <w:autoSpaceDN/>
        <w:bidi w:val="0"/>
        <w:adjustRightInd/>
        <w:snapToGrid/>
        <w:spacing w:line="500" w:lineRule="exact"/>
        <w:ind w:firstLine="480"/>
        <w:jc w:val="left"/>
        <w:textAlignment w:val="auto"/>
        <w:rPr>
          <w:rFonts w:hint="eastAsia" w:ascii="宋体" w:hAnsi="宋体" w:eastAsia="宋体" w:cs="宋体"/>
          <w:sz w:val="24"/>
          <w:szCs w:val="24"/>
        </w:rPr>
      </w:pPr>
      <w:r>
        <w:rPr>
          <w:rFonts w:hint="eastAsia" w:ascii="宋体" w:hAnsi="宋体" w:eastAsia="宋体" w:cs="宋体"/>
          <w:sz w:val="24"/>
          <w:szCs w:val="24"/>
        </w:rPr>
        <w:t>3、请投标人根据实际情况如实声明，否则视为提供虚假材料。</w:t>
      </w:r>
    </w:p>
    <w:p w14:paraId="3C971635">
      <w:pPr>
        <w:pStyle w:val="6"/>
        <w:keepNext w:val="0"/>
        <w:keepLines w:val="0"/>
        <w:pageBreakBefore w:val="0"/>
        <w:kinsoku/>
        <w:wordWrap/>
        <w:overflowPunct/>
        <w:topLinePunct w:val="0"/>
        <w:autoSpaceDE/>
        <w:autoSpaceDN/>
        <w:bidi w:val="0"/>
        <w:adjustRightInd/>
        <w:snapToGrid/>
        <w:spacing w:line="500" w:lineRule="exact"/>
        <w:ind w:firstLine="480"/>
        <w:jc w:val="right"/>
        <w:textAlignment w:val="auto"/>
        <w:rPr>
          <w:rFonts w:hint="eastAsia" w:ascii="宋体" w:hAnsi="宋体" w:eastAsia="宋体" w:cs="宋体"/>
          <w:sz w:val="24"/>
          <w:szCs w:val="24"/>
        </w:rPr>
      </w:pPr>
      <w:r>
        <w:rPr>
          <w:rFonts w:hint="eastAsia" w:ascii="宋体" w:hAnsi="宋体" w:eastAsia="宋体" w:cs="宋体"/>
          <w:sz w:val="24"/>
          <w:szCs w:val="24"/>
        </w:rPr>
        <w:t>投标人：</w:t>
      </w:r>
      <w:r>
        <w:rPr>
          <w:rFonts w:hint="eastAsia" w:ascii="宋体" w:hAnsi="宋体" w:eastAsia="宋体" w:cs="宋体"/>
          <w:sz w:val="24"/>
          <w:szCs w:val="24"/>
          <w:u w:val="single"/>
        </w:rPr>
        <w:t>（全称并加盖单位公章）</w:t>
      </w:r>
    </w:p>
    <w:p w14:paraId="3CDAFF74">
      <w:pPr>
        <w:pStyle w:val="6"/>
        <w:keepNext w:val="0"/>
        <w:keepLines w:val="0"/>
        <w:pageBreakBefore w:val="0"/>
        <w:kinsoku/>
        <w:wordWrap/>
        <w:overflowPunct/>
        <w:topLinePunct w:val="0"/>
        <w:autoSpaceDE/>
        <w:autoSpaceDN/>
        <w:bidi w:val="0"/>
        <w:adjustRightInd/>
        <w:snapToGrid/>
        <w:spacing w:line="500" w:lineRule="exact"/>
        <w:ind w:firstLine="480"/>
        <w:jc w:val="right"/>
        <w:textAlignment w:val="auto"/>
        <w:rPr>
          <w:rFonts w:hint="eastAsia" w:ascii="宋体" w:hAnsi="宋体" w:eastAsia="宋体" w:cs="宋体"/>
          <w:sz w:val="24"/>
          <w:szCs w:val="24"/>
        </w:rPr>
      </w:pPr>
      <w:r>
        <w:rPr>
          <w:rFonts w:hint="eastAsia" w:ascii="宋体" w:hAnsi="宋体" w:eastAsia="宋体" w:cs="宋体"/>
          <w:sz w:val="24"/>
          <w:szCs w:val="24"/>
        </w:rPr>
        <w:t>日期：</w:t>
      </w:r>
      <w:r>
        <w:rPr>
          <w:rFonts w:hint="eastAsia" w:ascii="宋体" w:hAnsi="宋体" w:eastAsia="宋体" w:cs="宋体"/>
          <w:sz w:val="24"/>
          <w:szCs w:val="24"/>
          <w:u w:val="single"/>
        </w:rPr>
        <w:t>　　年　　月　　日</w:t>
      </w:r>
    </w:p>
    <w:p w14:paraId="740C21B7">
      <w:pPr>
        <w:pStyle w:val="6"/>
        <w:keepNext w:val="0"/>
        <w:keepLines w:val="0"/>
        <w:pageBreakBefore w:val="0"/>
        <w:kinsoku/>
        <w:wordWrap/>
        <w:overflowPunct/>
        <w:topLinePunct w:val="0"/>
        <w:autoSpaceDE/>
        <w:autoSpaceDN/>
        <w:bidi w:val="0"/>
        <w:adjustRightInd/>
        <w:snapToGrid/>
        <w:spacing w:line="500" w:lineRule="exact"/>
        <w:ind w:firstLine="960"/>
        <w:jc w:val="left"/>
        <w:textAlignment w:val="auto"/>
        <w:rPr>
          <w:rFonts w:hint="eastAsia" w:ascii="宋体" w:hAnsi="宋体" w:eastAsia="宋体" w:cs="宋体"/>
          <w:sz w:val="24"/>
          <w:szCs w:val="24"/>
        </w:rPr>
      </w:pPr>
      <w:r>
        <w:rPr>
          <w:rFonts w:hint="eastAsia" w:ascii="宋体" w:hAnsi="宋体" w:eastAsia="宋体" w:cs="宋体"/>
          <w:sz w:val="24"/>
          <w:szCs w:val="24"/>
        </w:rPr>
        <w:t xml:space="preserve"> </w:t>
      </w:r>
      <w:r>
        <w:rPr>
          <w:rFonts w:hint="eastAsia" w:ascii="宋体" w:hAnsi="宋体" w:eastAsia="宋体" w:cs="宋体"/>
          <w:sz w:val="24"/>
          <w:szCs w:val="24"/>
        </w:rPr>
        <w:br w:type="textWrapping"/>
      </w:r>
      <w:r>
        <w:rPr>
          <w:rFonts w:hint="eastAsia" w:ascii="宋体" w:hAnsi="宋体" w:eastAsia="宋体" w:cs="宋体"/>
          <w:sz w:val="24"/>
          <w:szCs w:val="24"/>
        </w:rPr>
        <w:br w:type="page"/>
      </w:r>
    </w:p>
    <w:p w14:paraId="2B693BF7">
      <w:pPr>
        <w:pStyle w:val="6"/>
        <w:keepNext w:val="0"/>
        <w:keepLines w:val="0"/>
        <w:pageBreakBefore w:val="0"/>
        <w:kinsoku/>
        <w:wordWrap/>
        <w:overflowPunct/>
        <w:topLinePunct w:val="0"/>
        <w:autoSpaceDE/>
        <w:autoSpaceDN/>
        <w:bidi w:val="0"/>
        <w:adjustRightInd/>
        <w:snapToGrid/>
        <w:spacing w:line="500" w:lineRule="exact"/>
        <w:ind w:firstLine="960"/>
        <w:jc w:val="center"/>
        <w:textAlignment w:val="auto"/>
        <w:outlineLvl w:val="3"/>
        <w:rPr>
          <w:rFonts w:hint="eastAsia" w:ascii="宋体" w:hAnsi="宋体" w:eastAsia="宋体" w:cs="宋体"/>
          <w:sz w:val="24"/>
          <w:szCs w:val="24"/>
        </w:rPr>
      </w:pPr>
      <w:r>
        <w:rPr>
          <w:rFonts w:hint="eastAsia" w:ascii="宋体" w:hAnsi="宋体" w:eastAsia="宋体" w:cs="宋体"/>
          <w:b/>
          <w:sz w:val="24"/>
          <w:szCs w:val="24"/>
        </w:rPr>
        <w:t>参加采购活动前三年内在经营活动中没有重大违法记录书面声明</w:t>
      </w:r>
    </w:p>
    <w:p w14:paraId="6FCFCC78">
      <w:pPr>
        <w:pStyle w:val="6"/>
        <w:keepNext w:val="0"/>
        <w:keepLines w:val="0"/>
        <w:pageBreakBefore w:val="0"/>
        <w:kinsoku/>
        <w:wordWrap/>
        <w:overflowPunct/>
        <w:topLinePunct w:val="0"/>
        <w:autoSpaceDE/>
        <w:autoSpaceDN/>
        <w:bidi w:val="0"/>
        <w:adjustRightInd/>
        <w:snapToGrid/>
        <w:spacing w:line="500" w:lineRule="exact"/>
        <w:ind w:firstLine="480"/>
        <w:jc w:val="left"/>
        <w:textAlignment w:val="auto"/>
        <w:rPr>
          <w:rFonts w:hint="eastAsia" w:ascii="宋体" w:hAnsi="宋体" w:eastAsia="宋体" w:cs="宋体"/>
          <w:sz w:val="24"/>
          <w:szCs w:val="24"/>
        </w:rPr>
      </w:pPr>
      <w:r>
        <w:rPr>
          <w:rFonts w:hint="eastAsia" w:ascii="宋体" w:hAnsi="宋体" w:eastAsia="宋体" w:cs="宋体"/>
          <w:sz w:val="24"/>
          <w:szCs w:val="24"/>
        </w:rPr>
        <w:t>致：</w:t>
      </w:r>
      <w:r>
        <w:rPr>
          <w:rFonts w:hint="eastAsia" w:ascii="宋体" w:hAnsi="宋体" w:eastAsia="宋体" w:cs="宋体"/>
          <w:sz w:val="24"/>
          <w:szCs w:val="24"/>
          <w:u w:val="single"/>
        </w:rPr>
        <w:t>（采购人或采购代理机构）</w:t>
      </w:r>
    </w:p>
    <w:p w14:paraId="3BFC3044">
      <w:pPr>
        <w:pStyle w:val="6"/>
        <w:keepNext w:val="0"/>
        <w:keepLines w:val="0"/>
        <w:pageBreakBefore w:val="0"/>
        <w:kinsoku/>
        <w:wordWrap/>
        <w:overflowPunct/>
        <w:topLinePunct w:val="0"/>
        <w:autoSpaceDE/>
        <w:autoSpaceDN/>
        <w:bidi w:val="0"/>
        <w:adjustRightInd/>
        <w:snapToGrid/>
        <w:spacing w:line="500" w:lineRule="exact"/>
        <w:ind w:firstLine="480"/>
        <w:jc w:val="left"/>
        <w:textAlignment w:val="auto"/>
        <w:rPr>
          <w:rFonts w:hint="eastAsia" w:ascii="宋体" w:hAnsi="宋体" w:eastAsia="宋体" w:cs="宋体"/>
          <w:sz w:val="24"/>
          <w:szCs w:val="24"/>
        </w:rPr>
      </w:pPr>
      <w:r>
        <w:rPr>
          <w:rFonts w:hint="eastAsia" w:ascii="宋体" w:hAnsi="宋体" w:eastAsia="宋体" w:cs="宋体"/>
          <w:sz w:val="24"/>
          <w:szCs w:val="24"/>
        </w:rPr>
        <w:t>参加采购活动前三年内，我方在经营活动中没有重大违法记录，即没有因违法经营受到刑事处罚或责令停产停业、吊销许可证或执照、较大数额罚款等行政处罚。否则产生不利后果由我方承担责任。</w:t>
      </w:r>
    </w:p>
    <w:p w14:paraId="3B0CB79E">
      <w:pPr>
        <w:pStyle w:val="6"/>
        <w:keepNext w:val="0"/>
        <w:keepLines w:val="0"/>
        <w:pageBreakBefore w:val="0"/>
        <w:kinsoku/>
        <w:wordWrap/>
        <w:overflowPunct/>
        <w:topLinePunct w:val="0"/>
        <w:autoSpaceDE/>
        <w:autoSpaceDN/>
        <w:bidi w:val="0"/>
        <w:adjustRightInd/>
        <w:snapToGrid/>
        <w:spacing w:line="500" w:lineRule="exact"/>
        <w:ind w:firstLine="960"/>
        <w:jc w:val="left"/>
        <w:textAlignment w:val="auto"/>
        <w:rPr>
          <w:rFonts w:hint="eastAsia" w:ascii="宋体" w:hAnsi="宋体" w:eastAsia="宋体" w:cs="宋体"/>
          <w:sz w:val="24"/>
          <w:szCs w:val="24"/>
        </w:rPr>
      </w:pPr>
      <w:r>
        <w:rPr>
          <w:rFonts w:hint="eastAsia" w:ascii="宋体" w:hAnsi="宋体" w:eastAsia="宋体" w:cs="宋体"/>
          <w:sz w:val="24"/>
          <w:szCs w:val="24"/>
        </w:rPr>
        <w:t>特此声明。</w:t>
      </w:r>
    </w:p>
    <w:p w14:paraId="4FDC9A21">
      <w:pPr>
        <w:pStyle w:val="6"/>
        <w:keepNext w:val="0"/>
        <w:keepLines w:val="0"/>
        <w:pageBreakBefore w:val="0"/>
        <w:kinsoku/>
        <w:wordWrap/>
        <w:overflowPunct/>
        <w:topLinePunct w:val="0"/>
        <w:autoSpaceDE/>
        <w:autoSpaceDN/>
        <w:bidi w:val="0"/>
        <w:adjustRightInd/>
        <w:snapToGrid/>
        <w:spacing w:line="500" w:lineRule="exact"/>
        <w:ind w:firstLine="480"/>
        <w:jc w:val="left"/>
        <w:textAlignment w:val="auto"/>
        <w:rPr>
          <w:rFonts w:hint="eastAsia" w:ascii="宋体" w:hAnsi="宋体" w:eastAsia="宋体" w:cs="宋体"/>
          <w:sz w:val="24"/>
          <w:szCs w:val="24"/>
        </w:rPr>
      </w:pPr>
      <w:r>
        <w:rPr>
          <w:rFonts w:hint="eastAsia" w:ascii="宋体" w:hAnsi="宋体" w:eastAsia="宋体" w:cs="宋体"/>
          <w:sz w:val="24"/>
          <w:szCs w:val="24"/>
        </w:rPr>
        <w:t>※注意：</w:t>
      </w:r>
    </w:p>
    <w:p w14:paraId="25EDA80A">
      <w:pPr>
        <w:pStyle w:val="6"/>
        <w:keepNext w:val="0"/>
        <w:keepLines w:val="0"/>
        <w:pageBreakBefore w:val="0"/>
        <w:kinsoku/>
        <w:wordWrap/>
        <w:overflowPunct/>
        <w:topLinePunct w:val="0"/>
        <w:autoSpaceDE/>
        <w:autoSpaceDN/>
        <w:bidi w:val="0"/>
        <w:adjustRightInd/>
        <w:snapToGrid/>
        <w:spacing w:line="500" w:lineRule="exact"/>
        <w:ind w:firstLine="480"/>
        <w:jc w:val="left"/>
        <w:textAlignment w:val="auto"/>
        <w:rPr>
          <w:rFonts w:hint="eastAsia" w:ascii="宋体" w:hAnsi="宋体" w:eastAsia="宋体" w:cs="宋体"/>
          <w:sz w:val="24"/>
          <w:szCs w:val="24"/>
        </w:rPr>
      </w:pPr>
      <w:r>
        <w:rPr>
          <w:rFonts w:hint="eastAsia" w:ascii="宋体" w:hAnsi="宋体" w:eastAsia="宋体" w:cs="宋体"/>
          <w:sz w:val="24"/>
          <w:szCs w:val="24"/>
        </w:rPr>
        <w:t>“重大违法记录”指投标人因违法经营受到刑事处罚或责令停产停业、吊销许可证或执照、较大数额罚款等行政处罚。根据财库〔2022〕3号文件的规定，“较大数额罚款”认定为200万元以上的罚款，法律、行政法规以及国务院有关部门明确规定相关领域“较大数额罚款”标准高于200万元的，从其规定。</w:t>
      </w:r>
    </w:p>
    <w:p w14:paraId="4594289E">
      <w:pPr>
        <w:pStyle w:val="6"/>
        <w:keepNext w:val="0"/>
        <w:keepLines w:val="0"/>
        <w:pageBreakBefore w:val="0"/>
        <w:kinsoku/>
        <w:wordWrap/>
        <w:overflowPunct/>
        <w:topLinePunct w:val="0"/>
        <w:autoSpaceDE/>
        <w:autoSpaceDN/>
        <w:bidi w:val="0"/>
        <w:adjustRightInd/>
        <w:snapToGrid/>
        <w:spacing w:line="500" w:lineRule="exact"/>
        <w:ind w:firstLine="480"/>
        <w:jc w:val="left"/>
        <w:textAlignment w:val="auto"/>
        <w:rPr>
          <w:rFonts w:hint="eastAsia" w:ascii="宋体" w:hAnsi="宋体" w:eastAsia="宋体" w:cs="宋体"/>
          <w:sz w:val="24"/>
          <w:szCs w:val="24"/>
        </w:rPr>
      </w:pPr>
      <w:r>
        <w:rPr>
          <w:rFonts w:hint="eastAsia" w:ascii="宋体" w:hAnsi="宋体" w:eastAsia="宋体" w:cs="宋体"/>
          <w:sz w:val="24"/>
          <w:szCs w:val="24"/>
        </w:rPr>
        <w:t>请投标人根据实际情况如实声明，否则视为提供虚假材料。</w:t>
      </w:r>
    </w:p>
    <w:p w14:paraId="2AAF1D97">
      <w:pPr>
        <w:pStyle w:val="6"/>
        <w:keepNext w:val="0"/>
        <w:keepLines w:val="0"/>
        <w:pageBreakBefore w:val="0"/>
        <w:kinsoku/>
        <w:wordWrap/>
        <w:overflowPunct/>
        <w:topLinePunct w:val="0"/>
        <w:autoSpaceDE/>
        <w:autoSpaceDN/>
        <w:bidi w:val="0"/>
        <w:adjustRightInd/>
        <w:snapToGrid/>
        <w:spacing w:line="500" w:lineRule="exact"/>
        <w:ind w:firstLine="480"/>
        <w:jc w:val="right"/>
        <w:textAlignment w:val="auto"/>
        <w:rPr>
          <w:rFonts w:hint="eastAsia" w:ascii="宋体" w:hAnsi="宋体" w:eastAsia="宋体" w:cs="宋体"/>
          <w:sz w:val="24"/>
          <w:szCs w:val="24"/>
        </w:rPr>
      </w:pPr>
      <w:r>
        <w:rPr>
          <w:rFonts w:hint="eastAsia" w:ascii="宋体" w:hAnsi="宋体" w:eastAsia="宋体" w:cs="宋体"/>
          <w:sz w:val="24"/>
          <w:szCs w:val="24"/>
        </w:rPr>
        <w:t>投标人：</w:t>
      </w:r>
      <w:r>
        <w:rPr>
          <w:rFonts w:hint="eastAsia" w:ascii="宋体" w:hAnsi="宋体" w:eastAsia="宋体" w:cs="宋体"/>
          <w:sz w:val="24"/>
          <w:szCs w:val="24"/>
          <w:u w:val="single"/>
        </w:rPr>
        <w:t>（全称并加盖单位公章）</w:t>
      </w:r>
    </w:p>
    <w:p w14:paraId="35E94611">
      <w:pPr>
        <w:pStyle w:val="6"/>
        <w:keepNext w:val="0"/>
        <w:keepLines w:val="0"/>
        <w:pageBreakBefore w:val="0"/>
        <w:kinsoku/>
        <w:wordWrap/>
        <w:overflowPunct/>
        <w:topLinePunct w:val="0"/>
        <w:autoSpaceDE/>
        <w:autoSpaceDN/>
        <w:bidi w:val="0"/>
        <w:adjustRightInd/>
        <w:snapToGrid/>
        <w:spacing w:line="500" w:lineRule="exact"/>
        <w:ind w:firstLine="480"/>
        <w:jc w:val="right"/>
        <w:textAlignment w:val="auto"/>
        <w:rPr>
          <w:rFonts w:hint="eastAsia" w:ascii="宋体" w:hAnsi="宋体" w:eastAsia="宋体" w:cs="宋体"/>
          <w:sz w:val="24"/>
          <w:szCs w:val="24"/>
        </w:rPr>
      </w:pPr>
      <w:r>
        <w:rPr>
          <w:rFonts w:hint="eastAsia" w:ascii="宋体" w:hAnsi="宋体" w:eastAsia="宋体" w:cs="宋体"/>
          <w:sz w:val="24"/>
          <w:szCs w:val="24"/>
        </w:rPr>
        <w:t>日期：</w:t>
      </w:r>
      <w:r>
        <w:rPr>
          <w:rFonts w:hint="eastAsia" w:ascii="宋体" w:hAnsi="宋体" w:eastAsia="宋体" w:cs="宋体"/>
          <w:sz w:val="24"/>
          <w:szCs w:val="24"/>
          <w:u w:val="single"/>
        </w:rPr>
        <w:t>　　年　　月　　日</w:t>
      </w:r>
    </w:p>
    <w:p w14:paraId="11AD37A9">
      <w:pPr>
        <w:pStyle w:val="6"/>
        <w:keepNext w:val="0"/>
        <w:keepLines w:val="0"/>
        <w:pageBreakBefore w:val="0"/>
        <w:kinsoku/>
        <w:wordWrap/>
        <w:overflowPunct/>
        <w:topLinePunct w:val="0"/>
        <w:autoSpaceDE/>
        <w:autoSpaceDN/>
        <w:bidi w:val="0"/>
        <w:adjustRightInd/>
        <w:snapToGrid/>
        <w:spacing w:line="500" w:lineRule="exact"/>
        <w:ind w:firstLine="960"/>
        <w:jc w:val="left"/>
        <w:textAlignment w:val="auto"/>
        <w:rPr>
          <w:rFonts w:hint="eastAsia" w:ascii="宋体" w:hAnsi="宋体" w:eastAsia="宋体" w:cs="宋体"/>
          <w:sz w:val="24"/>
          <w:szCs w:val="24"/>
        </w:rPr>
      </w:pPr>
      <w:r>
        <w:rPr>
          <w:rFonts w:hint="eastAsia" w:ascii="宋体" w:hAnsi="宋体" w:eastAsia="宋体" w:cs="宋体"/>
          <w:sz w:val="24"/>
          <w:szCs w:val="24"/>
        </w:rPr>
        <w:t xml:space="preserve"> </w:t>
      </w:r>
      <w:r>
        <w:rPr>
          <w:rFonts w:hint="eastAsia" w:ascii="宋体" w:hAnsi="宋体" w:eastAsia="宋体" w:cs="宋体"/>
          <w:sz w:val="24"/>
          <w:szCs w:val="24"/>
        </w:rPr>
        <w:br w:type="textWrapping"/>
      </w:r>
      <w:r>
        <w:rPr>
          <w:rFonts w:hint="eastAsia" w:ascii="宋体" w:hAnsi="宋体" w:eastAsia="宋体" w:cs="宋体"/>
          <w:sz w:val="24"/>
          <w:szCs w:val="24"/>
        </w:rPr>
        <w:br w:type="page"/>
      </w:r>
    </w:p>
    <w:p w14:paraId="7496A728">
      <w:pPr>
        <w:pStyle w:val="6"/>
        <w:keepNext w:val="0"/>
        <w:keepLines w:val="0"/>
        <w:pageBreakBefore w:val="0"/>
        <w:kinsoku/>
        <w:wordWrap/>
        <w:overflowPunct/>
        <w:topLinePunct w:val="0"/>
        <w:autoSpaceDE/>
        <w:autoSpaceDN/>
        <w:bidi w:val="0"/>
        <w:adjustRightInd/>
        <w:snapToGrid/>
        <w:spacing w:line="500" w:lineRule="exact"/>
        <w:ind w:firstLine="960"/>
        <w:jc w:val="center"/>
        <w:textAlignment w:val="auto"/>
        <w:outlineLvl w:val="3"/>
        <w:rPr>
          <w:rFonts w:hint="eastAsia" w:ascii="宋体" w:hAnsi="宋体" w:eastAsia="宋体" w:cs="宋体"/>
          <w:sz w:val="24"/>
          <w:szCs w:val="24"/>
        </w:rPr>
      </w:pPr>
      <w:r>
        <w:rPr>
          <w:rFonts w:hint="eastAsia" w:ascii="宋体" w:hAnsi="宋体" w:eastAsia="宋体" w:cs="宋体"/>
          <w:b/>
          <w:sz w:val="24"/>
          <w:szCs w:val="24"/>
        </w:rPr>
        <w:t>二-3信用记录查询提示</w:t>
      </w:r>
    </w:p>
    <w:p w14:paraId="66C2E481">
      <w:pPr>
        <w:pStyle w:val="6"/>
        <w:keepNext w:val="0"/>
        <w:keepLines w:val="0"/>
        <w:pageBreakBefore w:val="0"/>
        <w:kinsoku/>
        <w:wordWrap/>
        <w:overflowPunct/>
        <w:topLinePunct w:val="0"/>
        <w:autoSpaceDE/>
        <w:autoSpaceDN/>
        <w:bidi w:val="0"/>
        <w:adjustRightInd/>
        <w:snapToGrid/>
        <w:spacing w:line="500" w:lineRule="exact"/>
        <w:ind w:firstLine="480"/>
        <w:jc w:val="left"/>
        <w:textAlignment w:val="auto"/>
        <w:rPr>
          <w:rFonts w:hint="eastAsia" w:ascii="宋体" w:hAnsi="宋体" w:eastAsia="宋体" w:cs="宋体"/>
          <w:sz w:val="24"/>
          <w:szCs w:val="24"/>
        </w:rPr>
      </w:pPr>
      <w:r>
        <w:rPr>
          <w:rFonts w:hint="eastAsia" w:ascii="宋体" w:hAnsi="宋体" w:eastAsia="宋体" w:cs="宋体"/>
          <w:sz w:val="24"/>
          <w:szCs w:val="24"/>
        </w:rPr>
        <w:t>1、由资格审查小组通过网站查询并打印投标人的信用记录。</w:t>
      </w:r>
    </w:p>
    <w:p w14:paraId="22B343E7">
      <w:pPr>
        <w:pStyle w:val="6"/>
        <w:keepNext w:val="0"/>
        <w:keepLines w:val="0"/>
        <w:pageBreakBefore w:val="0"/>
        <w:kinsoku/>
        <w:wordWrap/>
        <w:overflowPunct/>
        <w:topLinePunct w:val="0"/>
        <w:autoSpaceDE/>
        <w:autoSpaceDN/>
        <w:bidi w:val="0"/>
        <w:adjustRightInd/>
        <w:snapToGrid/>
        <w:spacing w:line="500" w:lineRule="exact"/>
        <w:ind w:firstLine="480"/>
        <w:jc w:val="left"/>
        <w:textAlignment w:val="auto"/>
        <w:rPr>
          <w:rFonts w:hint="eastAsia" w:ascii="宋体" w:hAnsi="宋体" w:eastAsia="宋体" w:cs="宋体"/>
          <w:sz w:val="24"/>
          <w:szCs w:val="24"/>
        </w:rPr>
      </w:pPr>
      <w:r>
        <w:rPr>
          <w:rFonts w:hint="eastAsia" w:ascii="宋体" w:hAnsi="宋体" w:eastAsia="宋体" w:cs="宋体"/>
          <w:sz w:val="24"/>
          <w:szCs w:val="24"/>
        </w:rPr>
        <w:t>2、经查询，投标人参加本项目采购活动(投标截止时间)前三年内被列入失信被执行人名单、重大税收违法案件当事人名单、政府采购严重违法失信行为记录名单及其他重大违法记录且相关信用惩戒期限未满的，其资格审查不合格。</w:t>
      </w:r>
    </w:p>
    <w:p w14:paraId="34DE56FA">
      <w:pPr>
        <w:pStyle w:val="6"/>
        <w:keepNext w:val="0"/>
        <w:keepLines w:val="0"/>
        <w:pageBreakBefore w:val="0"/>
        <w:kinsoku/>
        <w:wordWrap/>
        <w:overflowPunct/>
        <w:topLinePunct w:val="0"/>
        <w:autoSpaceDE/>
        <w:autoSpaceDN/>
        <w:bidi w:val="0"/>
        <w:adjustRightInd/>
        <w:snapToGrid/>
        <w:spacing w:line="500" w:lineRule="exact"/>
        <w:ind w:firstLine="480"/>
        <w:jc w:val="left"/>
        <w:textAlignment w:val="auto"/>
        <w:rPr>
          <w:rFonts w:hint="eastAsia" w:ascii="宋体" w:hAnsi="宋体" w:eastAsia="宋体" w:cs="宋体"/>
          <w:sz w:val="24"/>
          <w:szCs w:val="24"/>
        </w:rPr>
      </w:pPr>
      <w:r>
        <w:rPr>
          <w:rFonts w:hint="eastAsia" w:ascii="宋体" w:hAnsi="宋体" w:eastAsia="宋体" w:cs="宋体"/>
          <w:sz w:val="24"/>
          <w:szCs w:val="24"/>
        </w:rPr>
        <w:t>3、投标人应了解投标人自身的信用记录情况。当投标人受到200万以上罚款的行政处罚且该罚款不属较大数额罚款时，投标人应在电子投标文件中提供此项罚款不属于较大数额罚款的依据（如提供：相关法律制度的规定、行政执法机构对该罚款不属于较大数额罚款的认定或者其他有效依据）。</w:t>
      </w:r>
    </w:p>
    <w:p w14:paraId="1B1EB084">
      <w:pPr>
        <w:pStyle w:val="6"/>
        <w:keepNext w:val="0"/>
        <w:keepLines w:val="0"/>
        <w:pageBreakBefore w:val="0"/>
        <w:kinsoku/>
        <w:wordWrap/>
        <w:overflowPunct/>
        <w:topLinePunct w:val="0"/>
        <w:autoSpaceDE/>
        <w:autoSpaceDN/>
        <w:bidi w:val="0"/>
        <w:adjustRightInd/>
        <w:snapToGrid/>
        <w:spacing w:line="500" w:lineRule="exact"/>
        <w:ind w:firstLine="960"/>
        <w:jc w:val="left"/>
        <w:textAlignment w:val="auto"/>
        <w:rPr>
          <w:rFonts w:hint="eastAsia" w:ascii="宋体" w:hAnsi="宋体" w:eastAsia="宋体" w:cs="宋体"/>
          <w:sz w:val="24"/>
          <w:szCs w:val="24"/>
        </w:rPr>
      </w:pPr>
      <w:r>
        <w:rPr>
          <w:rFonts w:hint="eastAsia" w:ascii="宋体" w:hAnsi="宋体" w:eastAsia="宋体" w:cs="宋体"/>
          <w:sz w:val="24"/>
          <w:szCs w:val="24"/>
        </w:rPr>
        <w:t xml:space="preserve"> </w:t>
      </w:r>
      <w:r>
        <w:rPr>
          <w:rFonts w:hint="eastAsia" w:ascii="宋体" w:hAnsi="宋体" w:eastAsia="宋体" w:cs="宋体"/>
          <w:sz w:val="24"/>
          <w:szCs w:val="24"/>
        </w:rPr>
        <w:br w:type="textWrapping"/>
      </w:r>
      <w:r>
        <w:rPr>
          <w:rFonts w:hint="eastAsia" w:ascii="宋体" w:hAnsi="宋体" w:eastAsia="宋体" w:cs="宋体"/>
          <w:sz w:val="24"/>
          <w:szCs w:val="24"/>
        </w:rPr>
        <w:br w:type="page"/>
      </w:r>
    </w:p>
    <w:p w14:paraId="09AA58AB">
      <w:pPr>
        <w:pStyle w:val="6"/>
        <w:keepNext w:val="0"/>
        <w:keepLines w:val="0"/>
        <w:pageBreakBefore w:val="0"/>
        <w:kinsoku/>
        <w:wordWrap/>
        <w:overflowPunct/>
        <w:topLinePunct w:val="0"/>
        <w:autoSpaceDE/>
        <w:autoSpaceDN/>
        <w:bidi w:val="0"/>
        <w:adjustRightInd/>
        <w:snapToGrid/>
        <w:spacing w:line="500" w:lineRule="exact"/>
        <w:ind w:firstLine="960"/>
        <w:jc w:val="center"/>
        <w:textAlignment w:val="auto"/>
        <w:outlineLvl w:val="3"/>
        <w:rPr>
          <w:rFonts w:hint="eastAsia" w:ascii="宋体" w:hAnsi="宋体" w:eastAsia="宋体" w:cs="宋体"/>
          <w:sz w:val="24"/>
          <w:szCs w:val="24"/>
        </w:rPr>
      </w:pPr>
      <w:r>
        <w:rPr>
          <w:rFonts w:hint="eastAsia" w:ascii="宋体" w:hAnsi="宋体" w:eastAsia="宋体" w:cs="宋体"/>
          <w:b/>
          <w:sz w:val="24"/>
          <w:szCs w:val="24"/>
        </w:rPr>
        <w:t>二-4中小企业声明函</w:t>
      </w:r>
    </w:p>
    <w:p w14:paraId="7F3B029E">
      <w:pPr>
        <w:pStyle w:val="6"/>
        <w:keepNext w:val="0"/>
        <w:keepLines w:val="0"/>
        <w:pageBreakBefore w:val="0"/>
        <w:kinsoku/>
        <w:wordWrap/>
        <w:overflowPunct/>
        <w:topLinePunct w:val="0"/>
        <w:autoSpaceDE/>
        <w:autoSpaceDN/>
        <w:bidi w:val="0"/>
        <w:adjustRightInd/>
        <w:snapToGrid/>
        <w:spacing w:line="500" w:lineRule="exact"/>
        <w:ind w:firstLine="960"/>
        <w:jc w:val="center"/>
        <w:textAlignment w:val="auto"/>
        <w:outlineLvl w:val="3"/>
        <w:rPr>
          <w:rFonts w:hint="eastAsia" w:ascii="宋体" w:hAnsi="宋体" w:eastAsia="宋体" w:cs="宋体"/>
          <w:sz w:val="24"/>
          <w:szCs w:val="24"/>
        </w:rPr>
      </w:pPr>
      <w:r>
        <w:rPr>
          <w:rFonts w:hint="eastAsia" w:ascii="宋体" w:hAnsi="宋体" w:eastAsia="宋体" w:cs="宋体"/>
          <w:b/>
          <w:sz w:val="24"/>
          <w:szCs w:val="24"/>
        </w:rPr>
        <w:t>（以资格条件落实中小企业扶持政策时适用，若有）</w:t>
      </w:r>
    </w:p>
    <w:p w14:paraId="33BADCDD">
      <w:pPr>
        <w:pStyle w:val="6"/>
        <w:keepNext w:val="0"/>
        <w:keepLines w:val="0"/>
        <w:pageBreakBefore w:val="0"/>
        <w:kinsoku/>
        <w:wordWrap/>
        <w:overflowPunct/>
        <w:topLinePunct w:val="0"/>
        <w:autoSpaceDE/>
        <w:autoSpaceDN/>
        <w:bidi w:val="0"/>
        <w:adjustRightInd/>
        <w:snapToGrid/>
        <w:spacing w:line="500" w:lineRule="exact"/>
        <w:ind w:firstLine="960"/>
        <w:jc w:val="center"/>
        <w:textAlignment w:val="auto"/>
        <w:outlineLvl w:val="3"/>
        <w:rPr>
          <w:rFonts w:hint="eastAsia" w:ascii="宋体" w:hAnsi="宋体" w:eastAsia="宋体" w:cs="宋体"/>
          <w:sz w:val="24"/>
          <w:szCs w:val="24"/>
        </w:rPr>
      </w:pPr>
      <w:r>
        <w:rPr>
          <w:rFonts w:hint="eastAsia" w:ascii="宋体" w:hAnsi="宋体" w:eastAsia="宋体" w:cs="宋体"/>
          <w:b/>
          <w:sz w:val="24"/>
          <w:szCs w:val="24"/>
        </w:rPr>
        <w:t>中小企业声明函（货物）</w:t>
      </w:r>
    </w:p>
    <w:p w14:paraId="6FBD8C42">
      <w:pPr>
        <w:pStyle w:val="6"/>
        <w:keepNext w:val="0"/>
        <w:keepLines w:val="0"/>
        <w:pageBreakBefore w:val="0"/>
        <w:kinsoku/>
        <w:wordWrap/>
        <w:overflowPunct/>
        <w:topLinePunct w:val="0"/>
        <w:autoSpaceDE/>
        <w:autoSpaceDN/>
        <w:bidi w:val="0"/>
        <w:adjustRightInd/>
        <w:snapToGrid/>
        <w:spacing w:line="500" w:lineRule="exact"/>
        <w:ind w:firstLine="480"/>
        <w:jc w:val="left"/>
        <w:textAlignment w:val="auto"/>
        <w:rPr>
          <w:rFonts w:hint="eastAsia" w:ascii="宋体" w:hAnsi="宋体" w:eastAsia="宋体" w:cs="宋体"/>
          <w:sz w:val="24"/>
          <w:szCs w:val="24"/>
        </w:rPr>
      </w:pPr>
      <w:r>
        <w:rPr>
          <w:rFonts w:hint="eastAsia" w:ascii="宋体" w:hAnsi="宋体" w:eastAsia="宋体" w:cs="宋体"/>
          <w:sz w:val="24"/>
          <w:szCs w:val="24"/>
        </w:rPr>
        <w:t>本公司（联合体）郑重声明，根据《政府采购促进中小企业发展管理办法》（财库﹝2020﹞46 号）的规定，本公司（联合体）参加</w:t>
      </w:r>
      <w:r>
        <w:rPr>
          <w:rFonts w:hint="eastAsia" w:ascii="宋体" w:hAnsi="宋体" w:eastAsia="宋体" w:cs="宋体"/>
          <w:sz w:val="24"/>
          <w:szCs w:val="24"/>
          <w:u w:val="single"/>
        </w:rPr>
        <w:t>（单位名称）</w:t>
      </w:r>
      <w:r>
        <w:rPr>
          <w:rFonts w:hint="eastAsia" w:ascii="宋体" w:hAnsi="宋体" w:eastAsia="宋体" w:cs="宋体"/>
          <w:sz w:val="24"/>
          <w:szCs w:val="24"/>
        </w:rPr>
        <w:t>的</w:t>
      </w:r>
      <w:r>
        <w:rPr>
          <w:rFonts w:hint="eastAsia" w:ascii="宋体" w:hAnsi="宋体" w:eastAsia="宋体" w:cs="宋体"/>
          <w:sz w:val="24"/>
          <w:szCs w:val="24"/>
          <w:u w:val="single"/>
        </w:rPr>
        <w:t>（项目名称）</w:t>
      </w:r>
      <w:r>
        <w:rPr>
          <w:rFonts w:hint="eastAsia" w:ascii="宋体" w:hAnsi="宋体" w:eastAsia="宋体" w:cs="宋体"/>
          <w:sz w:val="24"/>
          <w:szCs w:val="24"/>
        </w:rPr>
        <w:t>采购活动，提供的货物全部由符合政策要求的中小企业制造。相关企业（含联合体中的中小企业、签订分包意向协议的中小企业）的具体情况如下：</w:t>
      </w:r>
    </w:p>
    <w:p w14:paraId="0ACC7096">
      <w:pPr>
        <w:pStyle w:val="6"/>
        <w:keepNext w:val="0"/>
        <w:keepLines w:val="0"/>
        <w:pageBreakBefore w:val="0"/>
        <w:kinsoku/>
        <w:wordWrap/>
        <w:overflowPunct/>
        <w:topLinePunct w:val="0"/>
        <w:autoSpaceDE/>
        <w:autoSpaceDN/>
        <w:bidi w:val="0"/>
        <w:adjustRightInd/>
        <w:snapToGrid/>
        <w:spacing w:line="500" w:lineRule="exact"/>
        <w:ind w:firstLine="480"/>
        <w:jc w:val="left"/>
        <w:textAlignment w:val="auto"/>
        <w:rPr>
          <w:rFonts w:hint="eastAsia" w:ascii="宋体" w:hAnsi="宋体" w:eastAsia="宋体" w:cs="宋体"/>
          <w:sz w:val="24"/>
          <w:szCs w:val="24"/>
        </w:rPr>
      </w:pPr>
      <w:r>
        <w:rPr>
          <w:rFonts w:hint="eastAsia" w:ascii="宋体" w:hAnsi="宋体" w:eastAsia="宋体" w:cs="宋体"/>
          <w:sz w:val="24"/>
          <w:szCs w:val="24"/>
        </w:rPr>
        <w:t>1.</w:t>
      </w:r>
      <w:r>
        <w:rPr>
          <w:rFonts w:hint="eastAsia" w:ascii="宋体" w:hAnsi="宋体" w:eastAsia="宋体" w:cs="宋体"/>
          <w:sz w:val="24"/>
          <w:szCs w:val="24"/>
          <w:u w:val="single"/>
        </w:rPr>
        <w:t xml:space="preserve"> （标的名称） </w:t>
      </w:r>
      <w:r>
        <w:rPr>
          <w:rFonts w:hint="eastAsia" w:ascii="宋体" w:hAnsi="宋体" w:eastAsia="宋体" w:cs="宋体"/>
          <w:sz w:val="24"/>
          <w:szCs w:val="24"/>
        </w:rPr>
        <w:t>，属于</w:t>
      </w:r>
      <w:r>
        <w:rPr>
          <w:rFonts w:hint="eastAsia" w:ascii="宋体" w:hAnsi="宋体" w:eastAsia="宋体" w:cs="宋体"/>
          <w:sz w:val="24"/>
          <w:szCs w:val="24"/>
          <w:u w:val="single"/>
        </w:rPr>
        <w:t>（采购文件中明确的所属行业）</w:t>
      </w:r>
      <w:r>
        <w:rPr>
          <w:rFonts w:hint="eastAsia" w:ascii="宋体" w:hAnsi="宋体" w:eastAsia="宋体" w:cs="宋体"/>
          <w:sz w:val="24"/>
          <w:szCs w:val="24"/>
        </w:rPr>
        <w:t>行业；制造商为</w:t>
      </w:r>
      <w:r>
        <w:rPr>
          <w:rFonts w:hint="eastAsia" w:ascii="宋体" w:hAnsi="宋体" w:eastAsia="宋体" w:cs="宋体"/>
          <w:sz w:val="24"/>
          <w:szCs w:val="24"/>
          <w:u w:val="single"/>
        </w:rPr>
        <w:t>（企业名称）</w:t>
      </w:r>
      <w:r>
        <w:rPr>
          <w:rFonts w:hint="eastAsia" w:ascii="宋体" w:hAnsi="宋体" w:eastAsia="宋体" w:cs="宋体"/>
          <w:sz w:val="24"/>
          <w:szCs w:val="24"/>
        </w:rPr>
        <w:t>，从业人员</w:t>
      </w:r>
      <w:r>
        <w:rPr>
          <w:rFonts w:hint="eastAsia" w:ascii="宋体" w:hAnsi="宋体" w:eastAsia="宋体" w:cs="宋体"/>
          <w:sz w:val="24"/>
          <w:szCs w:val="24"/>
          <w:u w:val="single"/>
        </w:rPr>
        <w:t>　　　　　</w:t>
      </w:r>
      <w:r>
        <w:rPr>
          <w:rFonts w:hint="eastAsia" w:ascii="宋体" w:hAnsi="宋体" w:eastAsia="宋体" w:cs="宋体"/>
          <w:sz w:val="24"/>
          <w:szCs w:val="24"/>
        </w:rPr>
        <w:t>人，营业收入为</w:t>
      </w:r>
      <w:r>
        <w:rPr>
          <w:rFonts w:hint="eastAsia" w:ascii="宋体" w:hAnsi="宋体" w:eastAsia="宋体" w:cs="宋体"/>
          <w:sz w:val="24"/>
          <w:szCs w:val="24"/>
          <w:u w:val="single"/>
        </w:rPr>
        <w:t>　　　　　</w:t>
      </w:r>
      <w:r>
        <w:rPr>
          <w:rFonts w:hint="eastAsia" w:ascii="宋体" w:hAnsi="宋体" w:eastAsia="宋体" w:cs="宋体"/>
          <w:sz w:val="24"/>
          <w:szCs w:val="24"/>
        </w:rPr>
        <w:t>万元，资产总额为</w:t>
      </w:r>
      <w:r>
        <w:rPr>
          <w:rFonts w:hint="eastAsia" w:ascii="宋体" w:hAnsi="宋体" w:eastAsia="宋体" w:cs="宋体"/>
          <w:sz w:val="24"/>
          <w:szCs w:val="24"/>
          <w:u w:val="single"/>
        </w:rPr>
        <w:t>　　　　　</w:t>
      </w:r>
      <w:r>
        <w:rPr>
          <w:rFonts w:hint="eastAsia" w:ascii="宋体" w:hAnsi="宋体" w:eastAsia="宋体" w:cs="宋体"/>
          <w:sz w:val="24"/>
          <w:szCs w:val="24"/>
        </w:rPr>
        <w:t>万元¹，属于</w:t>
      </w:r>
      <w:r>
        <w:rPr>
          <w:rFonts w:hint="eastAsia" w:ascii="宋体" w:hAnsi="宋体" w:eastAsia="宋体" w:cs="宋体"/>
          <w:sz w:val="24"/>
          <w:szCs w:val="24"/>
          <w:u w:val="single"/>
        </w:rPr>
        <w:t>（中型企业、小型企业、微型企业）</w:t>
      </w:r>
      <w:r>
        <w:rPr>
          <w:rFonts w:hint="eastAsia" w:ascii="宋体" w:hAnsi="宋体" w:eastAsia="宋体" w:cs="宋体"/>
          <w:sz w:val="24"/>
          <w:szCs w:val="24"/>
        </w:rPr>
        <w:t>；</w:t>
      </w:r>
    </w:p>
    <w:p w14:paraId="1D435BA4">
      <w:pPr>
        <w:pStyle w:val="6"/>
        <w:keepNext w:val="0"/>
        <w:keepLines w:val="0"/>
        <w:pageBreakBefore w:val="0"/>
        <w:kinsoku/>
        <w:wordWrap/>
        <w:overflowPunct/>
        <w:topLinePunct w:val="0"/>
        <w:autoSpaceDE/>
        <w:autoSpaceDN/>
        <w:bidi w:val="0"/>
        <w:adjustRightInd/>
        <w:snapToGrid/>
        <w:spacing w:line="500" w:lineRule="exact"/>
        <w:ind w:firstLine="480"/>
        <w:jc w:val="left"/>
        <w:textAlignment w:val="auto"/>
        <w:rPr>
          <w:rFonts w:hint="eastAsia" w:ascii="宋体" w:hAnsi="宋体" w:eastAsia="宋体" w:cs="宋体"/>
          <w:sz w:val="24"/>
          <w:szCs w:val="24"/>
        </w:rPr>
      </w:pPr>
      <w:r>
        <w:rPr>
          <w:rFonts w:hint="eastAsia" w:ascii="宋体" w:hAnsi="宋体" w:eastAsia="宋体" w:cs="宋体"/>
          <w:sz w:val="24"/>
          <w:szCs w:val="24"/>
        </w:rPr>
        <w:t>2.</w:t>
      </w:r>
      <w:r>
        <w:rPr>
          <w:rFonts w:hint="eastAsia" w:ascii="宋体" w:hAnsi="宋体" w:eastAsia="宋体" w:cs="宋体"/>
          <w:sz w:val="24"/>
          <w:szCs w:val="24"/>
          <w:u w:val="single"/>
        </w:rPr>
        <w:t xml:space="preserve"> （标的名称） </w:t>
      </w:r>
      <w:r>
        <w:rPr>
          <w:rFonts w:hint="eastAsia" w:ascii="宋体" w:hAnsi="宋体" w:eastAsia="宋体" w:cs="宋体"/>
          <w:sz w:val="24"/>
          <w:szCs w:val="24"/>
        </w:rPr>
        <w:t>，属于</w:t>
      </w:r>
      <w:r>
        <w:rPr>
          <w:rFonts w:hint="eastAsia" w:ascii="宋体" w:hAnsi="宋体" w:eastAsia="宋体" w:cs="宋体"/>
          <w:sz w:val="24"/>
          <w:szCs w:val="24"/>
          <w:u w:val="single"/>
        </w:rPr>
        <w:t>（采购文件中明确的所属行业）</w:t>
      </w:r>
      <w:r>
        <w:rPr>
          <w:rFonts w:hint="eastAsia" w:ascii="宋体" w:hAnsi="宋体" w:eastAsia="宋体" w:cs="宋体"/>
          <w:sz w:val="24"/>
          <w:szCs w:val="24"/>
        </w:rPr>
        <w:t>行业；制造商为</w:t>
      </w:r>
      <w:r>
        <w:rPr>
          <w:rFonts w:hint="eastAsia" w:ascii="宋体" w:hAnsi="宋体" w:eastAsia="宋体" w:cs="宋体"/>
          <w:sz w:val="24"/>
          <w:szCs w:val="24"/>
          <w:u w:val="single"/>
        </w:rPr>
        <w:t>（企业名称）</w:t>
      </w:r>
      <w:r>
        <w:rPr>
          <w:rFonts w:hint="eastAsia" w:ascii="宋体" w:hAnsi="宋体" w:eastAsia="宋体" w:cs="宋体"/>
          <w:sz w:val="24"/>
          <w:szCs w:val="24"/>
        </w:rPr>
        <w:t>，从业人员</w:t>
      </w:r>
      <w:r>
        <w:rPr>
          <w:rFonts w:hint="eastAsia" w:ascii="宋体" w:hAnsi="宋体" w:eastAsia="宋体" w:cs="宋体"/>
          <w:sz w:val="24"/>
          <w:szCs w:val="24"/>
          <w:u w:val="single"/>
        </w:rPr>
        <w:t>　　　　　</w:t>
      </w:r>
      <w:r>
        <w:rPr>
          <w:rFonts w:hint="eastAsia" w:ascii="宋体" w:hAnsi="宋体" w:eastAsia="宋体" w:cs="宋体"/>
          <w:sz w:val="24"/>
          <w:szCs w:val="24"/>
        </w:rPr>
        <w:t>人，营业收入为</w:t>
      </w:r>
      <w:r>
        <w:rPr>
          <w:rFonts w:hint="eastAsia" w:ascii="宋体" w:hAnsi="宋体" w:eastAsia="宋体" w:cs="宋体"/>
          <w:sz w:val="24"/>
          <w:szCs w:val="24"/>
          <w:u w:val="single"/>
        </w:rPr>
        <w:t>　　　　　</w:t>
      </w:r>
      <w:r>
        <w:rPr>
          <w:rFonts w:hint="eastAsia" w:ascii="宋体" w:hAnsi="宋体" w:eastAsia="宋体" w:cs="宋体"/>
          <w:sz w:val="24"/>
          <w:szCs w:val="24"/>
        </w:rPr>
        <w:t>万元，资产总额为</w:t>
      </w:r>
      <w:r>
        <w:rPr>
          <w:rFonts w:hint="eastAsia" w:ascii="宋体" w:hAnsi="宋体" w:eastAsia="宋体" w:cs="宋体"/>
          <w:sz w:val="24"/>
          <w:szCs w:val="24"/>
          <w:u w:val="single"/>
        </w:rPr>
        <w:t>　　　　　</w:t>
      </w:r>
      <w:r>
        <w:rPr>
          <w:rFonts w:hint="eastAsia" w:ascii="宋体" w:hAnsi="宋体" w:eastAsia="宋体" w:cs="宋体"/>
          <w:sz w:val="24"/>
          <w:szCs w:val="24"/>
        </w:rPr>
        <w:t>万元，属于</w:t>
      </w:r>
      <w:r>
        <w:rPr>
          <w:rFonts w:hint="eastAsia" w:ascii="宋体" w:hAnsi="宋体" w:eastAsia="宋体" w:cs="宋体"/>
          <w:sz w:val="24"/>
          <w:szCs w:val="24"/>
          <w:u w:val="single"/>
        </w:rPr>
        <w:t>（中型企业、小型企业、微型企业）</w:t>
      </w:r>
      <w:r>
        <w:rPr>
          <w:rFonts w:hint="eastAsia" w:ascii="宋体" w:hAnsi="宋体" w:eastAsia="宋体" w:cs="宋体"/>
          <w:sz w:val="24"/>
          <w:szCs w:val="24"/>
        </w:rPr>
        <w:t>；</w:t>
      </w:r>
    </w:p>
    <w:p w14:paraId="000D72FC">
      <w:pPr>
        <w:pStyle w:val="6"/>
        <w:keepNext w:val="0"/>
        <w:keepLines w:val="0"/>
        <w:pageBreakBefore w:val="0"/>
        <w:kinsoku/>
        <w:wordWrap/>
        <w:overflowPunct/>
        <w:topLinePunct w:val="0"/>
        <w:autoSpaceDE/>
        <w:autoSpaceDN/>
        <w:bidi w:val="0"/>
        <w:adjustRightInd/>
        <w:snapToGrid/>
        <w:spacing w:line="500" w:lineRule="exact"/>
        <w:ind w:firstLine="480"/>
        <w:jc w:val="left"/>
        <w:textAlignment w:val="auto"/>
        <w:rPr>
          <w:rFonts w:hint="eastAsia" w:ascii="宋体" w:hAnsi="宋体" w:eastAsia="宋体" w:cs="宋体"/>
          <w:sz w:val="24"/>
          <w:szCs w:val="24"/>
        </w:rPr>
      </w:pPr>
      <w:r>
        <w:rPr>
          <w:rFonts w:hint="eastAsia" w:ascii="宋体" w:hAnsi="宋体" w:eastAsia="宋体" w:cs="宋体"/>
          <w:sz w:val="24"/>
          <w:szCs w:val="24"/>
        </w:rPr>
        <w:t>……</w:t>
      </w:r>
    </w:p>
    <w:p w14:paraId="64A9F51F">
      <w:pPr>
        <w:pStyle w:val="6"/>
        <w:keepNext w:val="0"/>
        <w:keepLines w:val="0"/>
        <w:pageBreakBefore w:val="0"/>
        <w:kinsoku/>
        <w:wordWrap/>
        <w:overflowPunct/>
        <w:topLinePunct w:val="0"/>
        <w:autoSpaceDE/>
        <w:autoSpaceDN/>
        <w:bidi w:val="0"/>
        <w:adjustRightInd/>
        <w:snapToGrid/>
        <w:spacing w:line="500" w:lineRule="exact"/>
        <w:ind w:firstLine="480"/>
        <w:jc w:val="left"/>
        <w:textAlignment w:val="auto"/>
        <w:rPr>
          <w:rFonts w:hint="eastAsia" w:ascii="宋体" w:hAnsi="宋体" w:eastAsia="宋体" w:cs="宋体"/>
          <w:sz w:val="24"/>
          <w:szCs w:val="24"/>
        </w:rPr>
      </w:pPr>
      <w:r>
        <w:rPr>
          <w:rFonts w:hint="eastAsia" w:ascii="宋体" w:hAnsi="宋体" w:eastAsia="宋体" w:cs="宋体"/>
          <w:sz w:val="24"/>
          <w:szCs w:val="24"/>
        </w:rPr>
        <w:t>以上企业，不属于大企业的分支机构，不存在控股股东为大企业的情形，也不存在与大企业的负责人为同一人的情形。</w:t>
      </w:r>
    </w:p>
    <w:p w14:paraId="1074993C">
      <w:pPr>
        <w:pStyle w:val="6"/>
        <w:keepNext w:val="0"/>
        <w:keepLines w:val="0"/>
        <w:pageBreakBefore w:val="0"/>
        <w:kinsoku/>
        <w:wordWrap/>
        <w:overflowPunct/>
        <w:topLinePunct w:val="0"/>
        <w:autoSpaceDE/>
        <w:autoSpaceDN/>
        <w:bidi w:val="0"/>
        <w:adjustRightInd/>
        <w:snapToGrid/>
        <w:spacing w:line="500" w:lineRule="exact"/>
        <w:ind w:firstLine="480"/>
        <w:jc w:val="left"/>
        <w:textAlignment w:val="auto"/>
        <w:rPr>
          <w:rFonts w:hint="eastAsia" w:ascii="宋体" w:hAnsi="宋体" w:eastAsia="宋体" w:cs="宋体"/>
          <w:sz w:val="24"/>
          <w:szCs w:val="24"/>
        </w:rPr>
      </w:pPr>
      <w:r>
        <w:rPr>
          <w:rFonts w:hint="eastAsia" w:ascii="宋体" w:hAnsi="宋体" w:eastAsia="宋体" w:cs="宋体"/>
          <w:sz w:val="24"/>
          <w:szCs w:val="24"/>
        </w:rPr>
        <w:t>本企业对上述声明内容的真实性负责。如有虚假，将依法承担相应责任。</w:t>
      </w:r>
    </w:p>
    <w:p w14:paraId="2F43B495">
      <w:pPr>
        <w:pStyle w:val="6"/>
        <w:keepNext w:val="0"/>
        <w:keepLines w:val="0"/>
        <w:pageBreakBefore w:val="0"/>
        <w:kinsoku/>
        <w:wordWrap/>
        <w:overflowPunct/>
        <w:topLinePunct w:val="0"/>
        <w:autoSpaceDE/>
        <w:autoSpaceDN/>
        <w:bidi w:val="0"/>
        <w:adjustRightInd/>
        <w:snapToGrid/>
        <w:spacing w:line="500" w:lineRule="exact"/>
        <w:ind w:firstLine="480"/>
        <w:jc w:val="right"/>
        <w:textAlignment w:val="auto"/>
        <w:rPr>
          <w:rFonts w:hint="eastAsia" w:ascii="宋体" w:hAnsi="宋体" w:eastAsia="宋体" w:cs="宋体"/>
          <w:sz w:val="24"/>
          <w:szCs w:val="24"/>
        </w:rPr>
      </w:pPr>
      <w:r>
        <w:rPr>
          <w:rFonts w:hint="eastAsia" w:ascii="宋体" w:hAnsi="宋体" w:eastAsia="宋体" w:cs="宋体"/>
          <w:sz w:val="24"/>
          <w:szCs w:val="24"/>
        </w:rPr>
        <w:t>投标人：</w:t>
      </w:r>
      <w:r>
        <w:rPr>
          <w:rFonts w:hint="eastAsia" w:ascii="宋体" w:hAnsi="宋体" w:eastAsia="宋体" w:cs="宋体"/>
          <w:sz w:val="24"/>
          <w:szCs w:val="24"/>
          <w:u w:val="single"/>
        </w:rPr>
        <w:t>（全称并加盖单位公章）</w:t>
      </w:r>
    </w:p>
    <w:p w14:paraId="57B0361A">
      <w:pPr>
        <w:pStyle w:val="6"/>
        <w:keepNext w:val="0"/>
        <w:keepLines w:val="0"/>
        <w:pageBreakBefore w:val="0"/>
        <w:kinsoku/>
        <w:wordWrap/>
        <w:overflowPunct/>
        <w:topLinePunct w:val="0"/>
        <w:autoSpaceDE/>
        <w:autoSpaceDN/>
        <w:bidi w:val="0"/>
        <w:adjustRightInd/>
        <w:snapToGrid/>
        <w:spacing w:line="500" w:lineRule="exact"/>
        <w:ind w:firstLine="480"/>
        <w:jc w:val="right"/>
        <w:textAlignment w:val="auto"/>
        <w:rPr>
          <w:rFonts w:hint="eastAsia" w:ascii="宋体" w:hAnsi="宋体" w:eastAsia="宋体" w:cs="宋体"/>
          <w:sz w:val="24"/>
          <w:szCs w:val="24"/>
        </w:rPr>
      </w:pPr>
      <w:r>
        <w:rPr>
          <w:rFonts w:hint="eastAsia" w:ascii="宋体" w:hAnsi="宋体" w:eastAsia="宋体" w:cs="宋体"/>
          <w:sz w:val="24"/>
          <w:szCs w:val="24"/>
        </w:rPr>
        <w:t>日期：</w:t>
      </w:r>
      <w:r>
        <w:rPr>
          <w:rFonts w:hint="eastAsia" w:ascii="宋体" w:hAnsi="宋体" w:eastAsia="宋体" w:cs="宋体"/>
          <w:sz w:val="24"/>
          <w:szCs w:val="24"/>
          <w:u w:val="single"/>
        </w:rPr>
        <w:t>　　年　　月　　日</w:t>
      </w:r>
    </w:p>
    <w:p w14:paraId="7E879003">
      <w:pPr>
        <w:pStyle w:val="6"/>
        <w:keepNext w:val="0"/>
        <w:keepLines w:val="0"/>
        <w:pageBreakBefore w:val="0"/>
        <w:kinsoku/>
        <w:wordWrap/>
        <w:overflowPunct/>
        <w:topLinePunct w:val="0"/>
        <w:autoSpaceDE/>
        <w:autoSpaceDN/>
        <w:bidi w:val="0"/>
        <w:adjustRightInd/>
        <w:snapToGrid/>
        <w:spacing w:line="500" w:lineRule="exact"/>
        <w:ind w:firstLine="480"/>
        <w:jc w:val="left"/>
        <w:textAlignment w:val="auto"/>
        <w:rPr>
          <w:rFonts w:hint="eastAsia" w:ascii="宋体" w:hAnsi="宋体" w:eastAsia="宋体" w:cs="宋体"/>
          <w:sz w:val="24"/>
          <w:szCs w:val="24"/>
        </w:rPr>
      </w:pPr>
      <w:r>
        <w:rPr>
          <w:rFonts w:hint="eastAsia" w:ascii="宋体" w:hAnsi="宋体" w:eastAsia="宋体" w:cs="宋体"/>
          <w:sz w:val="24"/>
          <w:szCs w:val="24"/>
        </w:rPr>
        <w:t>※注意：</w:t>
      </w:r>
    </w:p>
    <w:p w14:paraId="44CC6BF5">
      <w:pPr>
        <w:pStyle w:val="6"/>
        <w:keepNext w:val="0"/>
        <w:keepLines w:val="0"/>
        <w:pageBreakBefore w:val="0"/>
        <w:kinsoku/>
        <w:wordWrap/>
        <w:overflowPunct/>
        <w:topLinePunct w:val="0"/>
        <w:autoSpaceDE/>
        <w:autoSpaceDN/>
        <w:bidi w:val="0"/>
        <w:adjustRightInd/>
        <w:snapToGrid/>
        <w:spacing w:line="500" w:lineRule="exact"/>
        <w:ind w:firstLine="480"/>
        <w:jc w:val="left"/>
        <w:textAlignment w:val="auto"/>
        <w:rPr>
          <w:rFonts w:hint="eastAsia" w:ascii="宋体" w:hAnsi="宋体" w:eastAsia="宋体" w:cs="宋体"/>
          <w:sz w:val="24"/>
          <w:szCs w:val="24"/>
        </w:rPr>
      </w:pPr>
      <w:r>
        <w:rPr>
          <w:rFonts w:hint="eastAsia" w:ascii="宋体" w:hAnsi="宋体" w:eastAsia="宋体" w:cs="宋体"/>
          <w:sz w:val="24"/>
          <w:szCs w:val="24"/>
        </w:rPr>
        <w:t>1、从业人员、营业收入、资产总额填报上一年度数据，无上一年度数据的新成立企业可不填报。</w:t>
      </w:r>
    </w:p>
    <w:p w14:paraId="40AD394A">
      <w:pPr>
        <w:pStyle w:val="6"/>
        <w:keepNext w:val="0"/>
        <w:keepLines w:val="0"/>
        <w:pageBreakBefore w:val="0"/>
        <w:kinsoku/>
        <w:wordWrap/>
        <w:overflowPunct/>
        <w:topLinePunct w:val="0"/>
        <w:autoSpaceDE/>
        <w:autoSpaceDN/>
        <w:bidi w:val="0"/>
        <w:adjustRightInd/>
        <w:snapToGrid/>
        <w:spacing w:line="500" w:lineRule="exact"/>
        <w:ind w:firstLine="480"/>
        <w:jc w:val="left"/>
        <w:textAlignment w:val="auto"/>
        <w:rPr>
          <w:rFonts w:hint="eastAsia" w:ascii="宋体" w:hAnsi="宋体" w:eastAsia="宋体" w:cs="宋体"/>
          <w:sz w:val="24"/>
          <w:szCs w:val="24"/>
        </w:rPr>
      </w:pPr>
      <w:r>
        <w:rPr>
          <w:rFonts w:hint="eastAsia" w:ascii="宋体" w:hAnsi="宋体" w:eastAsia="宋体" w:cs="宋体"/>
          <w:sz w:val="24"/>
          <w:szCs w:val="24"/>
        </w:rPr>
        <w:t>2、投标人须按招标文件中明确的所属行业填列，多品目项目中须按上表要求逐条填列，否则，其提供的中小企业声明将被判定为无效声明函，由此造成的后果由投标人自行承担（涉及资格的按无效投标处理；涉及价格评审优惠的，不予认定）。</w:t>
      </w:r>
    </w:p>
    <w:p w14:paraId="44DD3C86">
      <w:pPr>
        <w:pStyle w:val="6"/>
        <w:keepNext w:val="0"/>
        <w:keepLines w:val="0"/>
        <w:pageBreakBefore w:val="0"/>
        <w:kinsoku/>
        <w:wordWrap/>
        <w:overflowPunct/>
        <w:topLinePunct w:val="0"/>
        <w:autoSpaceDE/>
        <w:autoSpaceDN/>
        <w:bidi w:val="0"/>
        <w:adjustRightInd/>
        <w:snapToGrid/>
        <w:spacing w:line="500" w:lineRule="exact"/>
        <w:ind w:firstLine="480"/>
        <w:jc w:val="left"/>
        <w:textAlignment w:val="auto"/>
        <w:rPr>
          <w:rFonts w:hint="eastAsia" w:ascii="宋体" w:hAnsi="宋体" w:eastAsia="宋体" w:cs="宋体"/>
          <w:sz w:val="24"/>
          <w:szCs w:val="24"/>
        </w:rPr>
      </w:pPr>
      <w:r>
        <w:rPr>
          <w:rFonts w:hint="eastAsia" w:ascii="宋体" w:hAnsi="宋体" w:eastAsia="宋体" w:cs="宋体"/>
          <w:sz w:val="24"/>
          <w:szCs w:val="24"/>
        </w:rPr>
        <w:t>3、投标人应当对其出具的《中小企业声明函》真实性负责，投标人出具的《中小企业声明函》内容不实的，属于提供虚假材料谋取中标。在实际操作中，项目属性为货物且投标人希望获得中小企业政策支持的，应从制造商处获得充分、准确的信息。对相关制造商信息了解不充分，或者不能确定相关信息真实、准确的，不建议出具《中小企业声明函》。</w:t>
      </w:r>
    </w:p>
    <w:p w14:paraId="22F6C6A9">
      <w:pPr>
        <w:pStyle w:val="6"/>
        <w:keepNext w:val="0"/>
        <w:keepLines w:val="0"/>
        <w:pageBreakBefore w:val="0"/>
        <w:kinsoku/>
        <w:wordWrap/>
        <w:overflowPunct/>
        <w:topLinePunct w:val="0"/>
        <w:autoSpaceDE/>
        <w:autoSpaceDN/>
        <w:bidi w:val="0"/>
        <w:adjustRightInd/>
        <w:snapToGrid/>
        <w:spacing w:line="500" w:lineRule="exact"/>
        <w:ind w:firstLine="960"/>
        <w:jc w:val="left"/>
        <w:textAlignment w:val="auto"/>
        <w:rPr>
          <w:rFonts w:hint="eastAsia" w:ascii="宋体" w:hAnsi="宋体" w:eastAsia="宋体" w:cs="宋体"/>
          <w:sz w:val="24"/>
          <w:szCs w:val="24"/>
        </w:rPr>
      </w:pPr>
      <w:r>
        <w:rPr>
          <w:rFonts w:hint="eastAsia" w:ascii="宋体" w:hAnsi="宋体" w:eastAsia="宋体" w:cs="宋体"/>
          <w:sz w:val="24"/>
          <w:szCs w:val="24"/>
        </w:rPr>
        <w:t xml:space="preserve"> </w:t>
      </w:r>
      <w:r>
        <w:rPr>
          <w:rFonts w:hint="eastAsia" w:ascii="宋体" w:hAnsi="宋体" w:eastAsia="宋体" w:cs="宋体"/>
          <w:sz w:val="24"/>
          <w:szCs w:val="24"/>
        </w:rPr>
        <w:br w:type="textWrapping"/>
      </w:r>
      <w:r>
        <w:rPr>
          <w:rFonts w:hint="eastAsia" w:ascii="宋体" w:hAnsi="宋体" w:eastAsia="宋体" w:cs="宋体"/>
          <w:sz w:val="24"/>
          <w:szCs w:val="24"/>
        </w:rPr>
        <w:br w:type="page"/>
      </w:r>
    </w:p>
    <w:p w14:paraId="76108B47">
      <w:pPr>
        <w:pStyle w:val="6"/>
        <w:keepNext w:val="0"/>
        <w:keepLines w:val="0"/>
        <w:pageBreakBefore w:val="0"/>
        <w:kinsoku/>
        <w:wordWrap/>
        <w:overflowPunct/>
        <w:topLinePunct w:val="0"/>
        <w:autoSpaceDE/>
        <w:autoSpaceDN/>
        <w:bidi w:val="0"/>
        <w:adjustRightInd/>
        <w:snapToGrid/>
        <w:spacing w:line="500" w:lineRule="exact"/>
        <w:ind w:firstLine="960"/>
        <w:jc w:val="center"/>
        <w:textAlignment w:val="auto"/>
        <w:outlineLvl w:val="3"/>
        <w:rPr>
          <w:rFonts w:hint="eastAsia" w:ascii="宋体" w:hAnsi="宋体" w:eastAsia="宋体" w:cs="宋体"/>
          <w:sz w:val="24"/>
          <w:szCs w:val="24"/>
        </w:rPr>
      </w:pPr>
      <w:r>
        <w:rPr>
          <w:rFonts w:hint="eastAsia" w:ascii="宋体" w:hAnsi="宋体" w:eastAsia="宋体" w:cs="宋体"/>
          <w:b/>
          <w:sz w:val="24"/>
          <w:szCs w:val="24"/>
        </w:rPr>
        <w:t>中小企业声明函（工程、服务）</w:t>
      </w:r>
    </w:p>
    <w:p w14:paraId="6CBCB269">
      <w:pPr>
        <w:pStyle w:val="6"/>
        <w:keepNext w:val="0"/>
        <w:keepLines w:val="0"/>
        <w:pageBreakBefore w:val="0"/>
        <w:kinsoku/>
        <w:wordWrap/>
        <w:overflowPunct/>
        <w:topLinePunct w:val="0"/>
        <w:autoSpaceDE/>
        <w:autoSpaceDN/>
        <w:bidi w:val="0"/>
        <w:adjustRightInd/>
        <w:snapToGrid/>
        <w:spacing w:line="500" w:lineRule="exact"/>
        <w:ind w:firstLine="480"/>
        <w:jc w:val="left"/>
        <w:textAlignment w:val="auto"/>
        <w:rPr>
          <w:rFonts w:hint="eastAsia" w:ascii="宋体" w:hAnsi="宋体" w:eastAsia="宋体" w:cs="宋体"/>
          <w:sz w:val="24"/>
          <w:szCs w:val="24"/>
        </w:rPr>
      </w:pPr>
      <w:r>
        <w:rPr>
          <w:rFonts w:hint="eastAsia" w:ascii="宋体" w:hAnsi="宋体" w:eastAsia="宋体" w:cs="宋体"/>
          <w:sz w:val="24"/>
          <w:szCs w:val="24"/>
        </w:rPr>
        <w:t>本公司（联合体）郑重声明，根据《政府采购促进中小企业发展管理办法》（财库﹝2020﹞46 号）的规定，本公司（联合体）参加</w:t>
      </w:r>
      <w:r>
        <w:rPr>
          <w:rFonts w:hint="eastAsia" w:ascii="宋体" w:hAnsi="宋体" w:eastAsia="宋体" w:cs="宋体"/>
          <w:sz w:val="24"/>
          <w:szCs w:val="24"/>
          <w:u w:val="single"/>
        </w:rPr>
        <w:t>（单位名称）</w:t>
      </w:r>
      <w:r>
        <w:rPr>
          <w:rFonts w:hint="eastAsia" w:ascii="宋体" w:hAnsi="宋体" w:eastAsia="宋体" w:cs="宋体"/>
          <w:sz w:val="24"/>
          <w:szCs w:val="24"/>
        </w:rPr>
        <w:t>的</w:t>
      </w:r>
      <w:r>
        <w:rPr>
          <w:rFonts w:hint="eastAsia" w:ascii="宋体" w:hAnsi="宋体" w:eastAsia="宋体" w:cs="宋体"/>
          <w:sz w:val="24"/>
          <w:szCs w:val="24"/>
          <w:u w:val="single"/>
        </w:rPr>
        <w:t>（项目名称）</w:t>
      </w:r>
      <w:r>
        <w:rPr>
          <w:rFonts w:hint="eastAsia" w:ascii="宋体" w:hAnsi="宋体" w:eastAsia="宋体" w:cs="宋体"/>
          <w:sz w:val="24"/>
          <w:szCs w:val="24"/>
        </w:rPr>
        <w:t>采购活动，工程的施工单位全部为符合政策要求的中小企业（或者：服务全部由符合政策要求的中小企业承接）。相关企业（含联合体中的中小企业、签订分包意向协议的中小企业）的具体情况如下：</w:t>
      </w:r>
    </w:p>
    <w:p w14:paraId="24CE67F2">
      <w:pPr>
        <w:pStyle w:val="6"/>
        <w:keepNext w:val="0"/>
        <w:keepLines w:val="0"/>
        <w:pageBreakBefore w:val="0"/>
        <w:kinsoku/>
        <w:wordWrap/>
        <w:overflowPunct/>
        <w:topLinePunct w:val="0"/>
        <w:autoSpaceDE/>
        <w:autoSpaceDN/>
        <w:bidi w:val="0"/>
        <w:adjustRightInd/>
        <w:snapToGrid/>
        <w:spacing w:line="500" w:lineRule="exact"/>
        <w:ind w:firstLine="480"/>
        <w:jc w:val="left"/>
        <w:textAlignment w:val="auto"/>
        <w:rPr>
          <w:rFonts w:hint="eastAsia" w:ascii="宋体" w:hAnsi="宋体" w:eastAsia="宋体" w:cs="宋体"/>
          <w:sz w:val="24"/>
          <w:szCs w:val="24"/>
        </w:rPr>
      </w:pPr>
      <w:r>
        <w:rPr>
          <w:rFonts w:hint="eastAsia" w:ascii="宋体" w:hAnsi="宋体" w:eastAsia="宋体" w:cs="宋体"/>
          <w:sz w:val="24"/>
          <w:szCs w:val="24"/>
        </w:rPr>
        <w:t>1.</w:t>
      </w:r>
      <w:r>
        <w:rPr>
          <w:rFonts w:hint="eastAsia" w:ascii="宋体" w:hAnsi="宋体" w:eastAsia="宋体" w:cs="宋体"/>
          <w:sz w:val="24"/>
          <w:szCs w:val="24"/>
          <w:u w:val="single"/>
        </w:rPr>
        <w:t>（标的名称）</w:t>
      </w:r>
      <w:r>
        <w:rPr>
          <w:rFonts w:hint="eastAsia" w:ascii="宋体" w:hAnsi="宋体" w:eastAsia="宋体" w:cs="宋体"/>
          <w:sz w:val="24"/>
          <w:szCs w:val="24"/>
        </w:rPr>
        <w:t>，属于</w:t>
      </w:r>
      <w:r>
        <w:rPr>
          <w:rFonts w:hint="eastAsia" w:ascii="宋体" w:hAnsi="宋体" w:eastAsia="宋体" w:cs="宋体"/>
          <w:sz w:val="24"/>
          <w:szCs w:val="24"/>
          <w:u w:val="single"/>
        </w:rPr>
        <w:t>（采购文件中明确的所属行业）</w:t>
      </w:r>
      <w:r>
        <w:rPr>
          <w:rFonts w:hint="eastAsia" w:ascii="宋体" w:hAnsi="宋体" w:eastAsia="宋体" w:cs="宋体"/>
          <w:sz w:val="24"/>
          <w:szCs w:val="24"/>
        </w:rPr>
        <w:t>；承建（承接）企业为</w:t>
      </w:r>
      <w:r>
        <w:rPr>
          <w:rFonts w:hint="eastAsia" w:ascii="宋体" w:hAnsi="宋体" w:eastAsia="宋体" w:cs="宋体"/>
          <w:sz w:val="24"/>
          <w:szCs w:val="24"/>
          <w:u w:val="single"/>
        </w:rPr>
        <w:t>（企业名称）</w:t>
      </w:r>
      <w:r>
        <w:rPr>
          <w:rFonts w:hint="eastAsia" w:ascii="宋体" w:hAnsi="宋体" w:eastAsia="宋体" w:cs="宋体"/>
          <w:sz w:val="24"/>
          <w:szCs w:val="24"/>
        </w:rPr>
        <w:t>，从业人员</w:t>
      </w:r>
      <w:r>
        <w:rPr>
          <w:rFonts w:hint="eastAsia" w:ascii="宋体" w:hAnsi="宋体" w:eastAsia="宋体" w:cs="宋体"/>
          <w:sz w:val="24"/>
          <w:szCs w:val="24"/>
          <w:u w:val="single"/>
        </w:rPr>
        <w:t>　　　</w:t>
      </w:r>
      <w:r>
        <w:rPr>
          <w:rFonts w:hint="eastAsia" w:ascii="宋体" w:hAnsi="宋体" w:eastAsia="宋体" w:cs="宋体"/>
          <w:sz w:val="24"/>
          <w:szCs w:val="24"/>
        </w:rPr>
        <w:t>人，营业收入为</w:t>
      </w:r>
      <w:r>
        <w:rPr>
          <w:rFonts w:hint="eastAsia" w:ascii="宋体" w:hAnsi="宋体" w:eastAsia="宋体" w:cs="宋体"/>
          <w:sz w:val="24"/>
          <w:szCs w:val="24"/>
          <w:u w:val="single"/>
        </w:rPr>
        <w:t>　　　</w:t>
      </w:r>
      <w:r>
        <w:rPr>
          <w:rFonts w:hint="eastAsia" w:ascii="宋体" w:hAnsi="宋体" w:eastAsia="宋体" w:cs="宋体"/>
          <w:sz w:val="24"/>
          <w:szCs w:val="24"/>
        </w:rPr>
        <w:t>万元，资产总额为</w:t>
      </w:r>
      <w:r>
        <w:rPr>
          <w:rFonts w:hint="eastAsia" w:ascii="宋体" w:hAnsi="宋体" w:eastAsia="宋体" w:cs="宋体"/>
          <w:sz w:val="24"/>
          <w:szCs w:val="24"/>
          <w:u w:val="single"/>
        </w:rPr>
        <w:t>　　　</w:t>
      </w:r>
      <w:r>
        <w:rPr>
          <w:rFonts w:hint="eastAsia" w:ascii="宋体" w:hAnsi="宋体" w:eastAsia="宋体" w:cs="宋体"/>
          <w:sz w:val="24"/>
          <w:szCs w:val="24"/>
        </w:rPr>
        <w:t>万元¹，属于</w:t>
      </w:r>
      <w:r>
        <w:rPr>
          <w:rFonts w:hint="eastAsia" w:ascii="宋体" w:hAnsi="宋体" w:eastAsia="宋体" w:cs="宋体"/>
          <w:sz w:val="24"/>
          <w:szCs w:val="24"/>
          <w:u w:val="single"/>
        </w:rPr>
        <w:t>（中型企业、小型企业、微型企业）</w:t>
      </w:r>
      <w:r>
        <w:rPr>
          <w:rFonts w:hint="eastAsia" w:ascii="宋体" w:hAnsi="宋体" w:eastAsia="宋体" w:cs="宋体"/>
          <w:sz w:val="24"/>
          <w:szCs w:val="24"/>
        </w:rPr>
        <w:t>；</w:t>
      </w:r>
    </w:p>
    <w:p w14:paraId="57673C77">
      <w:pPr>
        <w:pStyle w:val="6"/>
        <w:keepNext w:val="0"/>
        <w:keepLines w:val="0"/>
        <w:pageBreakBefore w:val="0"/>
        <w:kinsoku/>
        <w:wordWrap/>
        <w:overflowPunct/>
        <w:topLinePunct w:val="0"/>
        <w:autoSpaceDE/>
        <w:autoSpaceDN/>
        <w:bidi w:val="0"/>
        <w:adjustRightInd/>
        <w:snapToGrid/>
        <w:spacing w:line="500" w:lineRule="exact"/>
        <w:ind w:firstLine="480"/>
        <w:jc w:val="left"/>
        <w:textAlignment w:val="auto"/>
        <w:rPr>
          <w:rFonts w:hint="eastAsia" w:ascii="宋体" w:hAnsi="宋体" w:eastAsia="宋体" w:cs="宋体"/>
          <w:sz w:val="24"/>
          <w:szCs w:val="24"/>
        </w:rPr>
      </w:pPr>
      <w:r>
        <w:rPr>
          <w:rFonts w:hint="eastAsia" w:ascii="宋体" w:hAnsi="宋体" w:eastAsia="宋体" w:cs="宋体"/>
          <w:sz w:val="24"/>
          <w:szCs w:val="24"/>
        </w:rPr>
        <w:t>2.</w:t>
      </w:r>
      <w:r>
        <w:rPr>
          <w:rFonts w:hint="eastAsia" w:ascii="宋体" w:hAnsi="宋体" w:eastAsia="宋体" w:cs="宋体"/>
          <w:sz w:val="24"/>
          <w:szCs w:val="24"/>
          <w:u w:val="single"/>
        </w:rPr>
        <w:t>（标的名称）</w:t>
      </w:r>
      <w:r>
        <w:rPr>
          <w:rFonts w:hint="eastAsia" w:ascii="宋体" w:hAnsi="宋体" w:eastAsia="宋体" w:cs="宋体"/>
          <w:sz w:val="24"/>
          <w:szCs w:val="24"/>
        </w:rPr>
        <w:t>，属于</w:t>
      </w:r>
      <w:r>
        <w:rPr>
          <w:rFonts w:hint="eastAsia" w:ascii="宋体" w:hAnsi="宋体" w:eastAsia="宋体" w:cs="宋体"/>
          <w:sz w:val="24"/>
          <w:szCs w:val="24"/>
          <w:u w:val="single"/>
        </w:rPr>
        <w:t>（采购文件中明确的所属行业）</w:t>
      </w:r>
      <w:r>
        <w:rPr>
          <w:rFonts w:hint="eastAsia" w:ascii="宋体" w:hAnsi="宋体" w:eastAsia="宋体" w:cs="宋体"/>
          <w:sz w:val="24"/>
          <w:szCs w:val="24"/>
        </w:rPr>
        <w:t>；承建（承接）企业为</w:t>
      </w:r>
      <w:r>
        <w:rPr>
          <w:rFonts w:hint="eastAsia" w:ascii="宋体" w:hAnsi="宋体" w:eastAsia="宋体" w:cs="宋体"/>
          <w:sz w:val="24"/>
          <w:szCs w:val="24"/>
          <w:u w:val="single"/>
        </w:rPr>
        <w:t>（企业名称）</w:t>
      </w:r>
      <w:r>
        <w:rPr>
          <w:rFonts w:hint="eastAsia" w:ascii="宋体" w:hAnsi="宋体" w:eastAsia="宋体" w:cs="宋体"/>
          <w:sz w:val="24"/>
          <w:szCs w:val="24"/>
        </w:rPr>
        <w:t>，从业人员</w:t>
      </w:r>
      <w:r>
        <w:rPr>
          <w:rFonts w:hint="eastAsia" w:ascii="宋体" w:hAnsi="宋体" w:eastAsia="宋体" w:cs="宋体"/>
          <w:sz w:val="24"/>
          <w:szCs w:val="24"/>
          <w:u w:val="single"/>
        </w:rPr>
        <w:t>　　　</w:t>
      </w:r>
      <w:r>
        <w:rPr>
          <w:rFonts w:hint="eastAsia" w:ascii="宋体" w:hAnsi="宋体" w:eastAsia="宋体" w:cs="宋体"/>
          <w:sz w:val="24"/>
          <w:szCs w:val="24"/>
        </w:rPr>
        <w:t>人，营业收入为</w:t>
      </w:r>
      <w:r>
        <w:rPr>
          <w:rFonts w:hint="eastAsia" w:ascii="宋体" w:hAnsi="宋体" w:eastAsia="宋体" w:cs="宋体"/>
          <w:sz w:val="24"/>
          <w:szCs w:val="24"/>
          <w:u w:val="single"/>
        </w:rPr>
        <w:t>　　　　　</w:t>
      </w:r>
      <w:r>
        <w:rPr>
          <w:rFonts w:hint="eastAsia" w:ascii="宋体" w:hAnsi="宋体" w:eastAsia="宋体" w:cs="宋体"/>
          <w:sz w:val="24"/>
          <w:szCs w:val="24"/>
        </w:rPr>
        <w:t>万元，资产总额为</w:t>
      </w:r>
      <w:r>
        <w:rPr>
          <w:rFonts w:hint="eastAsia" w:ascii="宋体" w:hAnsi="宋体" w:eastAsia="宋体" w:cs="宋体"/>
          <w:sz w:val="24"/>
          <w:szCs w:val="24"/>
          <w:u w:val="single"/>
        </w:rPr>
        <w:t>　　　</w:t>
      </w:r>
      <w:r>
        <w:rPr>
          <w:rFonts w:hint="eastAsia" w:ascii="宋体" w:hAnsi="宋体" w:eastAsia="宋体" w:cs="宋体"/>
          <w:sz w:val="24"/>
          <w:szCs w:val="24"/>
        </w:rPr>
        <w:t>万元，属于</w:t>
      </w:r>
      <w:r>
        <w:rPr>
          <w:rFonts w:hint="eastAsia" w:ascii="宋体" w:hAnsi="宋体" w:eastAsia="宋体" w:cs="宋体"/>
          <w:sz w:val="24"/>
          <w:szCs w:val="24"/>
          <w:u w:val="single"/>
        </w:rPr>
        <w:t>（中型企业、小型企业、微型企业）</w:t>
      </w:r>
      <w:r>
        <w:rPr>
          <w:rFonts w:hint="eastAsia" w:ascii="宋体" w:hAnsi="宋体" w:eastAsia="宋体" w:cs="宋体"/>
          <w:sz w:val="24"/>
          <w:szCs w:val="24"/>
        </w:rPr>
        <w:t>；</w:t>
      </w:r>
    </w:p>
    <w:p w14:paraId="3DA3D411">
      <w:pPr>
        <w:pStyle w:val="6"/>
        <w:keepNext w:val="0"/>
        <w:keepLines w:val="0"/>
        <w:pageBreakBefore w:val="0"/>
        <w:kinsoku/>
        <w:wordWrap/>
        <w:overflowPunct/>
        <w:topLinePunct w:val="0"/>
        <w:autoSpaceDE/>
        <w:autoSpaceDN/>
        <w:bidi w:val="0"/>
        <w:adjustRightInd/>
        <w:snapToGrid/>
        <w:spacing w:line="500" w:lineRule="exact"/>
        <w:ind w:firstLine="480"/>
        <w:jc w:val="left"/>
        <w:textAlignment w:val="auto"/>
        <w:rPr>
          <w:rFonts w:hint="eastAsia" w:ascii="宋体" w:hAnsi="宋体" w:eastAsia="宋体" w:cs="宋体"/>
          <w:sz w:val="24"/>
          <w:szCs w:val="24"/>
        </w:rPr>
      </w:pPr>
      <w:r>
        <w:rPr>
          <w:rFonts w:hint="eastAsia" w:ascii="宋体" w:hAnsi="宋体" w:eastAsia="宋体" w:cs="宋体"/>
          <w:sz w:val="24"/>
          <w:szCs w:val="24"/>
        </w:rPr>
        <w:t>……</w:t>
      </w:r>
    </w:p>
    <w:p w14:paraId="669953A6">
      <w:pPr>
        <w:pStyle w:val="6"/>
        <w:keepNext w:val="0"/>
        <w:keepLines w:val="0"/>
        <w:pageBreakBefore w:val="0"/>
        <w:kinsoku/>
        <w:wordWrap/>
        <w:overflowPunct/>
        <w:topLinePunct w:val="0"/>
        <w:autoSpaceDE/>
        <w:autoSpaceDN/>
        <w:bidi w:val="0"/>
        <w:adjustRightInd/>
        <w:snapToGrid/>
        <w:spacing w:line="500" w:lineRule="exact"/>
        <w:ind w:firstLine="480"/>
        <w:jc w:val="left"/>
        <w:textAlignment w:val="auto"/>
        <w:rPr>
          <w:rFonts w:hint="eastAsia" w:ascii="宋体" w:hAnsi="宋体" w:eastAsia="宋体" w:cs="宋体"/>
          <w:sz w:val="24"/>
          <w:szCs w:val="24"/>
        </w:rPr>
      </w:pPr>
      <w:r>
        <w:rPr>
          <w:rFonts w:hint="eastAsia" w:ascii="宋体" w:hAnsi="宋体" w:eastAsia="宋体" w:cs="宋体"/>
          <w:sz w:val="24"/>
          <w:szCs w:val="24"/>
        </w:rPr>
        <w:t>以上企业，不属于大企业的分支机构，不存在控股股东为大企业的情形，也不存在与大企业的负责人为同一人的情形。</w:t>
      </w:r>
    </w:p>
    <w:p w14:paraId="2962F8AB">
      <w:pPr>
        <w:pStyle w:val="6"/>
        <w:keepNext w:val="0"/>
        <w:keepLines w:val="0"/>
        <w:pageBreakBefore w:val="0"/>
        <w:kinsoku/>
        <w:wordWrap/>
        <w:overflowPunct/>
        <w:topLinePunct w:val="0"/>
        <w:autoSpaceDE/>
        <w:autoSpaceDN/>
        <w:bidi w:val="0"/>
        <w:adjustRightInd/>
        <w:snapToGrid/>
        <w:spacing w:line="500" w:lineRule="exact"/>
        <w:ind w:firstLine="480"/>
        <w:jc w:val="left"/>
        <w:textAlignment w:val="auto"/>
        <w:rPr>
          <w:rFonts w:hint="eastAsia" w:ascii="宋体" w:hAnsi="宋体" w:eastAsia="宋体" w:cs="宋体"/>
          <w:sz w:val="24"/>
          <w:szCs w:val="24"/>
        </w:rPr>
      </w:pPr>
      <w:r>
        <w:rPr>
          <w:rFonts w:hint="eastAsia" w:ascii="宋体" w:hAnsi="宋体" w:eastAsia="宋体" w:cs="宋体"/>
          <w:sz w:val="24"/>
          <w:szCs w:val="24"/>
        </w:rPr>
        <w:t>本企业对上述声明内容的真实性负责。如有虚假，将依法承担相应责任。</w:t>
      </w:r>
    </w:p>
    <w:p w14:paraId="4C81DDFB">
      <w:pPr>
        <w:pStyle w:val="6"/>
        <w:keepNext w:val="0"/>
        <w:keepLines w:val="0"/>
        <w:pageBreakBefore w:val="0"/>
        <w:kinsoku/>
        <w:wordWrap/>
        <w:overflowPunct/>
        <w:topLinePunct w:val="0"/>
        <w:autoSpaceDE/>
        <w:autoSpaceDN/>
        <w:bidi w:val="0"/>
        <w:adjustRightInd/>
        <w:snapToGrid/>
        <w:spacing w:line="500" w:lineRule="exact"/>
        <w:ind w:firstLine="480"/>
        <w:jc w:val="right"/>
        <w:textAlignment w:val="auto"/>
        <w:rPr>
          <w:rFonts w:hint="eastAsia" w:ascii="宋体" w:hAnsi="宋体" w:eastAsia="宋体" w:cs="宋体"/>
          <w:sz w:val="24"/>
          <w:szCs w:val="24"/>
        </w:rPr>
      </w:pPr>
      <w:r>
        <w:rPr>
          <w:rFonts w:hint="eastAsia" w:ascii="宋体" w:hAnsi="宋体" w:eastAsia="宋体" w:cs="宋体"/>
          <w:sz w:val="24"/>
          <w:szCs w:val="24"/>
        </w:rPr>
        <w:t>投标人：</w:t>
      </w:r>
      <w:r>
        <w:rPr>
          <w:rFonts w:hint="eastAsia" w:ascii="宋体" w:hAnsi="宋体" w:eastAsia="宋体" w:cs="宋体"/>
          <w:sz w:val="24"/>
          <w:szCs w:val="24"/>
          <w:u w:val="single"/>
        </w:rPr>
        <w:t>（全称并加盖单位公章）</w:t>
      </w:r>
    </w:p>
    <w:p w14:paraId="69DA68AE">
      <w:pPr>
        <w:pStyle w:val="6"/>
        <w:keepNext w:val="0"/>
        <w:keepLines w:val="0"/>
        <w:pageBreakBefore w:val="0"/>
        <w:kinsoku/>
        <w:wordWrap/>
        <w:overflowPunct/>
        <w:topLinePunct w:val="0"/>
        <w:autoSpaceDE/>
        <w:autoSpaceDN/>
        <w:bidi w:val="0"/>
        <w:adjustRightInd/>
        <w:snapToGrid/>
        <w:spacing w:line="500" w:lineRule="exact"/>
        <w:ind w:firstLine="480"/>
        <w:jc w:val="right"/>
        <w:textAlignment w:val="auto"/>
        <w:rPr>
          <w:rFonts w:hint="eastAsia" w:ascii="宋体" w:hAnsi="宋体" w:eastAsia="宋体" w:cs="宋体"/>
          <w:sz w:val="24"/>
          <w:szCs w:val="24"/>
        </w:rPr>
      </w:pPr>
      <w:r>
        <w:rPr>
          <w:rFonts w:hint="eastAsia" w:ascii="宋体" w:hAnsi="宋体" w:eastAsia="宋体" w:cs="宋体"/>
          <w:sz w:val="24"/>
          <w:szCs w:val="24"/>
        </w:rPr>
        <w:t>日期：</w:t>
      </w:r>
      <w:r>
        <w:rPr>
          <w:rFonts w:hint="eastAsia" w:ascii="宋体" w:hAnsi="宋体" w:eastAsia="宋体" w:cs="宋体"/>
          <w:sz w:val="24"/>
          <w:szCs w:val="24"/>
          <w:u w:val="single"/>
        </w:rPr>
        <w:t>　　年　　月　　日</w:t>
      </w:r>
    </w:p>
    <w:p w14:paraId="245BCE35">
      <w:pPr>
        <w:pStyle w:val="6"/>
        <w:keepNext w:val="0"/>
        <w:keepLines w:val="0"/>
        <w:pageBreakBefore w:val="0"/>
        <w:kinsoku/>
        <w:wordWrap/>
        <w:overflowPunct/>
        <w:topLinePunct w:val="0"/>
        <w:autoSpaceDE/>
        <w:autoSpaceDN/>
        <w:bidi w:val="0"/>
        <w:adjustRightInd/>
        <w:snapToGrid/>
        <w:spacing w:line="500" w:lineRule="exact"/>
        <w:ind w:firstLine="480"/>
        <w:jc w:val="left"/>
        <w:textAlignment w:val="auto"/>
        <w:rPr>
          <w:rFonts w:hint="eastAsia" w:ascii="宋体" w:hAnsi="宋体" w:eastAsia="宋体" w:cs="宋体"/>
          <w:sz w:val="24"/>
          <w:szCs w:val="24"/>
        </w:rPr>
      </w:pPr>
      <w:r>
        <w:rPr>
          <w:rFonts w:hint="eastAsia" w:ascii="宋体" w:hAnsi="宋体" w:eastAsia="宋体" w:cs="宋体"/>
          <w:sz w:val="24"/>
          <w:szCs w:val="24"/>
        </w:rPr>
        <w:t>※注意：</w:t>
      </w:r>
    </w:p>
    <w:p w14:paraId="0AA805C1">
      <w:pPr>
        <w:pStyle w:val="6"/>
        <w:keepNext w:val="0"/>
        <w:keepLines w:val="0"/>
        <w:pageBreakBefore w:val="0"/>
        <w:kinsoku/>
        <w:wordWrap/>
        <w:overflowPunct/>
        <w:topLinePunct w:val="0"/>
        <w:autoSpaceDE/>
        <w:autoSpaceDN/>
        <w:bidi w:val="0"/>
        <w:adjustRightInd/>
        <w:snapToGrid/>
        <w:spacing w:line="500" w:lineRule="exact"/>
        <w:ind w:firstLine="480"/>
        <w:jc w:val="left"/>
        <w:textAlignment w:val="auto"/>
        <w:rPr>
          <w:rFonts w:hint="eastAsia" w:ascii="宋体" w:hAnsi="宋体" w:eastAsia="宋体" w:cs="宋体"/>
          <w:sz w:val="24"/>
          <w:szCs w:val="24"/>
        </w:rPr>
      </w:pPr>
      <w:r>
        <w:rPr>
          <w:rFonts w:hint="eastAsia" w:ascii="宋体" w:hAnsi="宋体" w:eastAsia="宋体" w:cs="宋体"/>
          <w:sz w:val="24"/>
          <w:szCs w:val="24"/>
        </w:rPr>
        <w:t>1、从业人员、营业收入、资产总额填报上一年度数据，无上一年度数据的新成立企业可不填报。</w:t>
      </w:r>
    </w:p>
    <w:p w14:paraId="7B94039B">
      <w:pPr>
        <w:pStyle w:val="6"/>
        <w:keepNext w:val="0"/>
        <w:keepLines w:val="0"/>
        <w:pageBreakBefore w:val="0"/>
        <w:kinsoku/>
        <w:wordWrap/>
        <w:overflowPunct/>
        <w:topLinePunct w:val="0"/>
        <w:autoSpaceDE/>
        <w:autoSpaceDN/>
        <w:bidi w:val="0"/>
        <w:adjustRightInd/>
        <w:snapToGrid/>
        <w:spacing w:line="500" w:lineRule="exact"/>
        <w:ind w:firstLine="480"/>
        <w:jc w:val="left"/>
        <w:textAlignment w:val="auto"/>
        <w:rPr>
          <w:rFonts w:hint="eastAsia" w:ascii="宋体" w:hAnsi="宋体" w:eastAsia="宋体" w:cs="宋体"/>
          <w:sz w:val="24"/>
          <w:szCs w:val="24"/>
        </w:rPr>
      </w:pPr>
      <w:r>
        <w:rPr>
          <w:rFonts w:hint="eastAsia" w:ascii="宋体" w:hAnsi="宋体" w:eastAsia="宋体" w:cs="宋体"/>
          <w:sz w:val="24"/>
          <w:szCs w:val="24"/>
        </w:rPr>
        <w:t>2、投标人须按招标文件中明确的所属行业填列，多品目项目中须按上表要求逐条填列，否则，其提供的中小企业声明将被判定为无效声明函，由此造成的后果由投标人自行承担（涉及资格的按无效投标处理；涉及价格评审优惠的，不予认定）。</w:t>
      </w:r>
    </w:p>
    <w:p w14:paraId="3C77FEDA">
      <w:pPr>
        <w:pStyle w:val="6"/>
        <w:keepNext w:val="0"/>
        <w:keepLines w:val="0"/>
        <w:pageBreakBefore w:val="0"/>
        <w:kinsoku/>
        <w:wordWrap/>
        <w:overflowPunct/>
        <w:topLinePunct w:val="0"/>
        <w:autoSpaceDE/>
        <w:autoSpaceDN/>
        <w:bidi w:val="0"/>
        <w:adjustRightInd/>
        <w:snapToGrid/>
        <w:spacing w:line="500" w:lineRule="exact"/>
        <w:ind w:firstLine="480"/>
        <w:jc w:val="left"/>
        <w:textAlignment w:val="auto"/>
        <w:rPr>
          <w:rFonts w:hint="eastAsia" w:ascii="宋体" w:hAnsi="宋体" w:eastAsia="宋体" w:cs="宋体"/>
          <w:sz w:val="24"/>
          <w:szCs w:val="24"/>
        </w:rPr>
      </w:pPr>
      <w:r>
        <w:rPr>
          <w:rFonts w:hint="eastAsia" w:ascii="宋体" w:hAnsi="宋体" w:eastAsia="宋体" w:cs="宋体"/>
          <w:sz w:val="24"/>
          <w:szCs w:val="24"/>
        </w:rPr>
        <w:t>3、投标人应当对其出具的《中小企业声明函》真实性负责，投标人出具的《中小企业声明函》内容不实的，属于提供虚假材料谋取中标。在实际操作中，项目属性为货物且投标人希望获得中小企业政策支持的，应从制造商处获得充分、准确的信息。对相关制造商信息了解不充分，或者不能确定相关信息真实、准确的，不建议出具《中小企业声明函》。</w:t>
      </w:r>
    </w:p>
    <w:p w14:paraId="217E1576">
      <w:pPr>
        <w:pStyle w:val="6"/>
        <w:keepNext w:val="0"/>
        <w:keepLines w:val="0"/>
        <w:pageBreakBefore w:val="0"/>
        <w:kinsoku/>
        <w:wordWrap/>
        <w:overflowPunct/>
        <w:topLinePunct w:val="0"/>
        <w:autoSpaceDE/>
        <w:autoSpaceDN/>
        <w:bidi w:val="0"/>
        <w:adjustRightInd/>
        <w:snapToGrid/>
        <w:spacing w:line="500" w:lineRule="exact"/>
        <w:ind w:firstLine="960"/>
        <w:jc w:val="left"/>
        <w:textAlignment w:val="auto"/>
        <w:rPr>
          <w:rFonts w:hint="eastAsia" w:ascii="宋体" w:hAnsi="宋体" w:eastAsia="宋体" w:cs="宋体"/>
          <w:sz w:val="24"/>
          <w:szCs w:val="24"/>
        </w:rPr>
      </w:pPr>
      <w:r>
        <w:rPr>
          <w:rFonts w:hint="eastAsia" w:ascii="宋体" w:hAnsi="宋体" w:eastAsia="宋体" w:cs="宋体"/>
          <w:sz w:val="24"/>
          <w:szCs w:val="24"/>
        </w:rPr>
        <w:t xml:space="preserve"> </w:t>
      </w:r>
      <w:r>
        <w:rPr>
          <w:rFonts w:hint="eastAsia" w:ascii="宋体" w:hAnsi="宋体" w:eastAsia="宋体" w:cs="宋体"/>
          <w:sz w:val="24"/>
          <w:szCs w:val="24"/>
        </w:rPr>
        <w:br w:type="textWrapping"/>
      </w:r>
      <w:r>
        <w:rPr>
          <w:rFonts w:hint="eastAsia" w:ascii="宋体" w:hAnsi="宋体" w:eastAsia="宋体" w:cs="宋体"/>
          <w:sz w:val="24"/>
          <w:szCs w:val="24"/>
        </w:rPr>
        <w:br w:type="page"/>
      </w:r>
    </w:p>
    <w:p w14:paraId="265EA4B0">
      <w:pPr>
        <w:pStyle w:val="6"/>
        <w:keepNext w:val="0"/>
        <w:keepLines w:val="0"/>
        <w:pageBreakBefore w:val="0"/>
        <w:kinsoku/>
        <w:wordWrap/>
        <w:overflowPunct/>
        <w:topLinePunct w:val="0"/>
        <w:autoSpaceDE/>
        <w:autoSpaceDN/>
        <w:bidi w:val="0"/>
        <w:adjustRightInd/>
        <w:snapToGrid/>
        <w:spacing w:line="500" w:lineRule="exact"/>
        <w:ind w:firstLine="960"/>
        <w:jc w:val="center"/>
        <w:textAlignment w:val="auto"/>
        <w:outlineLvl w:val="3"/>
        <w:rPr>
          <w:rFonts w:hint="eastAsia" w:ascii="宋体" w:hAnsi="宋体" w:eastAsia="宋体" w:cs="宋体"/>
          <w:sz w:val="24"/>
          <w:szCs w:val="24"/>
        </w:rPr>
      </w:pPr>
      <w:r>
        <w:rPr>
          <w:rFonts w:hint="eastAsia" w:ascii="宋体" w:hAnsi="宋体" w:eastAsia="宋体" w:cs="宋体"/>
          <w:b/>
          <w:sz w:val="24"/>
          <w:szCs w:val="24"/>
        </w:rPr>
        <w:t>残疾人福利性单位声明函</w:t>
      </w:r>
    </w:p>
    <w:p w14:paraId="33090C96">
      <w:pPr>
        <w:pStyle w:val="6"/>
        <w:keepNext w:val="0"/>
        <w:keepLines w:val="0"/>
        <w:pageBreakBefore w:val="0"/>
        <w:kinsoku/>
        <w:wordWrap/>
        <w:overflowPunct/>
        <w:topLinePunct w:val="0"/>
        <w:autoSpaceDE/>
        <w:autoSpaceDN/>
        <w:bidi w:val="0"/>
        <w:adjustRightInd/>
        <w:snapToGrid/>
        <w:spacing w:line="500" w:lineRule="exact"/>
        <w:ind w:firstLine="960"/>
        <w:jc w:val="center"/>
        <w:textAlignment w:val="auto"/>
        <w:outlineLvl w:val="3"/>
        <w:rPr>
          <w:rFonts w:hint="eastAsia" w:ascii="宋体" w:hAnsi="宋体" w:eastAsia="宋体" w:cs="宋体"/>
          <w:sz w:val="24"/>
          <w:szCs w:val="24"/>
        </w:rPr>
      </w:pPr>
      <w:r>
        <w:rPr>
          <w:rFonts w:hint="eastAsia" w:ascii="宋体" w:hAnsi="宋体" w:eastAsia="宋体" w:cs="宋体"/>
          <w:b/>
          <w:sz w:val="24"/>
          <w:szCs w:val="24"/>
        </w:rPr>
        <w:t>（以资格条件落实中小企业扶持政策时适用，若有）</w:t>
      </w:r>
    </w:p>
    <w:p w14:paraId="3A464CAA">
      <w:pPr>
        <w:pStyle w:val="6"/>
        <w:keepNext w:val="0"/>
        <w:keepLines w:val="0"/>
        <w:pageBreakBefore w:val="0"/>
        <w:kinsoku/>
        <w:wordWrap/>
        <w:overflowPunct/>
        <w:topLinePunct w:val="0"/>
        <w:autoSpaceDE/>
        <w:autoSpaceDN/>
        <w:bidi w:val="0"/>
        <w:adjustRightInd/>
        <w:snapToGrid/>
        <w:spacing w:line="500" w:lineRule="exact"/>
        <w:ind w:firstLine="480"/>
        <w:jc w:val="left"/>
        <w:textAlignment w:val="auto"/>
        <w:rPr>
          <w:rFonts w:hint="eastAsia" w:ascii="宋体" w:hAnsi="宋体" w:eastAsia="宋体" w:cs="宋体"/>
          <w:sz w:val="24"/>
          <w:szCs w:val="24"/>
        </w:rPr>
      </w:pPr>
      <w:r>
        <w:rPr>
          <w:rFonts w:hint="eastAsia" w:ascii="宋体" w:hAnsi="宋体" w:eastAsia="宋体" w:cs="宋体"/>
          <w:sz w:val="24"/>
          <w:szCs w:val="24"/>
        </w:rPr>
        <w:t>本投标人郑重声明，根据《财政部 民政部 中国残疾人联合会关于促进残疾人就业政府采购政策的通知》（财库[2017]141号）、《政府采购促进中小企业发展管理办法》（财库〔2020〕46号）的规定，本投标人为符合条件的残疾人福利性单位，且本投标人参加贵单位的（填写“项目名称”）项目采购活动：</w:t>
      </w:r>
    </w:p>
    <w:p w14:paraId="5D54BD68">
      <w:pPr>
        <w:pStyle w:val="6"/>
        <w:keepNext w:val="0"/>
        <w:keepLines w:val="0"/>
        <w:pageBreakBefore w:val="0"/>
        <w:kinsoku/>
        <w:wordWrap/>
        <w:overflowPunct/>
        <w:topLinePunct w:val="0"/>
        <w:autoSpaceDE/>
        <w:autoSpaceDN/>
        <w:bidi w:val="0"/>
        <w:adjustRightInd/>
        <w:snapToGrid/>
        <w:spacing w:line="500" w:lineRule="exact"/>
        <w:ind w:firstLine="480"/>
        <w:jc w:val="left"/>
        <w:textAlignment w:val="auto"/>
        <w:rPr>
          <w:rFonts w:hint="eastAsia" w:ascii="宋体" w:hAnsi="宋体" w:eastAsia="宋体" w:cs="宋体"/>
          <w:sz w:val="24"/>
          <w:szCs w:val="24"/>
        </w:rPr>
      </w:pPr>
      <w:r>
        <w:rPr>
          <w:rFonts w:hint="eastAsia" w:ascii="宋体" w:hAnsi="宋体" w:eastAsia="宋体" w:cs="宋体"/>
          <w:sz w:val="24"/>
          <w:szCs w:val="24"/>
        </w:rPr>
        <w:t>（ ）提供本投标人制造的（填写“所投采购包、品目号”）货物，或提供其他残疾人福利性单位制造的（填写“所投采购包、品目号”）货物（不包括使用非残疾人福利性单位注册商标的货物）。（说明：只有部分货物由残疾人福利企业制造的，在该货物后标※）</w:t>
      </w:r>
    </w:p>
    <w:p w14:paraId="5A81E0DB">
      <w:pPr>
        <w:pStyle w:val="6"/>
        <w:keepNext w:val="0"/>
        <w:keepLines w:val="0"/>
        <w:pageBreakBefore w:val="0"/>
        <w:kinsoku/>
        <w:wordWrap/>
        <w:overflowPunct/>
        <w:topLinePunct w:val="0"/>
        <w:autoSpaceDE/>
        <w:autoSpaceDN/>
        <w:bidi w:val="0"/>
        <w:adjustRightInd/>
        <w:snapToGrid/>
        <w:spacing w:line="500" w:lineRule="exact"/>
        <w:ind w:firstLine="480"/>
        <w:jc w:val="left"/>
        <w:textAlignment w:val="auto"/>
        <w:rPr>
          <w:rFonts w:hint="eastAsia" w:ascii="宋体" w:hAnsi="宋体" w:eastAsia="宋体" w:cs="宋体"/>
          <w:sz w:val="24"/>
          <w:szCs w:val="24"/>
        </w:rPr>
      </w:pPr>
      <w:r>
        <w:rPr>
          <w:rFonts w:hint="eastAsia" w:ascii="宋体" w:hAnsi="宋体" w:eastAsia="宋体" w:cs="宋体"/>
          <w:sz w:val="24"/>
          <w:szCs w:val="24"/>
        </w:rPr>
        <w:t>（ ）由本投标人承建的（填写“所投采购包、品目号”）工程</w:t>
      </w:r>
    </w:p>
    <w:p w14:paraId="0B079D38">
      <w:pPr>
        <w:pStyle w:val="6"/>
        <w:keepNext w:val="0"/>
        <w:keepLines w:val="0"/>
        <w:pageBreakBefore w:val="0"/>
        <w:kinsoku/>
        <w:wordWrap/>
        <w:overflowPunct/>
        <w:topLinePunct w:val="0"/>
        <w:autoSpaceDE/>
        <w:autoSpaceDN/>
        <w:bidi w:val="0"/>
        <w:adjustRightInd/>
        <w:snapToGrid/>
        <w:spacing w:line="500" w:lineRule="exact"/>
        <w:ind w:firstLine="480"/>
        <w:jc w:val="left"/>
        <w:textAlignment w:val="auto"/>
        <w:rPr>
          <w:rFonts w:hint="eastAsia" w:ascii="宋体" w:hAnsi="宋体" w:eastAsia="宋体" w:cs="宋体"/>
          <w:sz w:val="24"/>
          <w:szCs w:val="24"/>
        </w:rPr>
      </w:pPr>
      <w:r>
        <w:rPr>
          <w:rFonts w:hint="eastAsia" w:ascii="宋体" w:hAnsi="宋体" w:eastAsia="宋体" w:cs="宋体"/>
          <w:sz w:val="24"/>
          <w:szCs w:val="24"/>
        </w:rPr>
        <w:t>（ ）由本投标人承接的（填写“所投采购包、品目号”）服务；</w:t>
      </w:r>
    </w:p>
    <w:p w14:paraId="7C340A94">
      <w:pPr>
        <w:pStyle w:val="6"/>
        <w:keepNext w:val="0"/>
        <w:keepLines w:val="0"/>
        <w:pageBreakBefore w:val="0"/>
        <w:kinsoku/>
        <w:wordWrap/>
        <w:overflowPunct/>
        <w:topLinePunct w:val="0"/>
        <w:autoSpaceDE/>
        <w:autoSpaceDN/>
        <w:bidi w:val="0"/>
        <w:adjustRightInd/>
        <w:snapToGrid/>
        <w:spacing w:line="500" w:lineRule="exact"/>
        <w:ind w:firstLine="480"/>
        <w:jc w:val="left"/>
        <w:textAlignment w:val="auto"/>
        <w:rPr>
          <w:rFonts w:hint="eastAsia" w:ascii="宋体" w:hAnsi="宋体" w:eastAsia="宋体" w:cs="宋体"/>
          <w:sz w:val="24"/>
          <w:szCs w:val="24"/>
        </w:rPr>
      </w:pPr>
      <w:r>
        <w:rPr>
          <w:rFonts w:hint="eastAsia" w:ascii="宋体" w:hAnsi="宋体" w:eastAsia="宋体" w:cs="宋体"/>
          <w:sz w:val="24"/>
          <w:szCs w:val="24"/>
        </w:rPr>
        <w:t>本投标人对上述声明的真实性负责。如有虚假，将依法承担相应责任。</w:t>
      </w:r>
    </w:p>
    <w:p w14:paraId="05061A6E">
      <w:pPr>
        <w:pStyle w:val="6"/>
        <w:keepNext w:val="0"/>
        <w:keepLines w:val="0"/>
        <w:pageBreakBefore w:val="0"/>
        <w:kinsoku/>
        <w:wordWrap/>
        <w:overflowPunct/>
        <w:topLinePunct w:val="0"/>
        <w:autoSpaceDE/>
        <w:autoSpaceDN/>
        <w:bidi w:val="0"/>
        <w:adjustRightInd/>
        <w:snapToGrid/>
        <w:spacing w:line="500" w:lineRule="exact"/>
        <w:ind w:firstLine="480"/>
        <w:jc w:val="left"/>
        <w:textAlignment w:val="auto"/>
        <w:rPr>
          <w:rFonts w:hint="eastAsia" w:ascii="宋体" w:hAnsi="宋体" w:eastAsia="宋体" w:cs="宋体"/>
          <w:sz w:val="24"/>
          <w:szCs w:val="24"/>
        </w:rPr>
      </w:pPr>
      <w:r>
        <w:rPr>
          <w:rFonts w:hint="eastAsia" w:ascii="宋体" w:hAnsi="宋体" w:eastAsia="宋体" w:cs="宋体"/>
          <w:sz w:val="24"/>
          <w:szCs w:val="24"/>
        </w:rPr>
        <w:t>备注：</w:t>
      </w:r>
    </w:p>
    <w:p w14:paraId="5F4498B3">
      <w:pPr>
        <w:pStyle w:val="6"/>
        <w:keepNext w:val="0"/>
        <w:keepLines w:val="0"/>
        <w:pageBreakBefore w:val="0"/>
        <w:kinsoku/>
        <w:wordWrap/>
        <w:overflowPunct/>
        <w:topLinePunct w:val="0"/>
        <w:autoSpaceDE/>
        <w:autoSpaceDN/>
        <w:bidi w:val="0"/>
        <w:adjustRightInd/>
        <w:snapToGrid/>
        <w:spacing w:line="500" w:lineRule="exact"/>
        <w:ind w:firstLine="480"/>
        <w:jc w:val="left"/>
        <w:textAlignment w:val="auto"/>
        <w:rPr>
          <w:rFonts w:hint="eastAsia" w:ascii="宋体" w:hAnsi="宋体" w:eastAsia="宋体" w:cs="宋体"/>
          <w:sz w:val="24"/>
          <w:szCs w:val="24"/>
        </w:rPr>
      </w:pPr>
      <w:r>
        <w:rPr>
          <w:rFonts w:hint="eastAsia" w:ascii="宋体" w:hAnsi="宋体" w:eastAsia="宋体" w:cs="宋体"/>
          <w:sz w:val="24"/>
          <w:szCs w:val="24"/>
        </w:rPr>
        <w:t>1、请投标人按照实际情况编制填写本声明函，并在相应的（）中打“√”。</w:t>
      </w:r>
    </w:p>
    <w:p w14:paraId="5073D0C7">
      <w:pPr>
        <w:pStyle w:val="6"/>
        <w:keepNext w:val="0"/>
        <w:keepLines w:val="0"/>
        <w:pageBreakBefore w:val="0"/>
        <w:kinsoku/>
        <w:wordWrap/>
        <w:overflowPunct/>
        <w:topLinePunct w:val="0"/>
        <w:autoSpaceDE/>
        <w:autoSpaceDN/>
        <w:bidi w:val="0"/>
        <w:adjustRightInd/>
        <w:snapToGrid/>
        <w:spacing w:line="500" w:lineRule="exact"/>
        <w:ind w:firstLine="480"/>
        <w:jc w:val="left"/>
        <w:textAlignment w:val="auto"/>
        <w:rPr>
          <w:rFonts w:hint="eastAsia" w:ascii="宋体" w:hAnsi="宋体" w:eastAsia="宋体" w:cs="宋体"/>
          <w:sz w:val="24"/>
          <w:szCs w:val="24"/>
        </w:rPr>
      </w:pPr>
      <w:r>
        <w:rPr>
          <w:rFonts w:hint="eastAsia" w:ascii="宋体" w:hAnsi="宋体" w:eastAsia="宋体" w:cs="宋体"/>
          <w:sz w:val="24"/>
          <w:szCs w:val="24"/>
        </w:rPr>
        <w:t>2、若《残疾人福利性单位声明函》内容不真实，视为提供虚假材料。</w:t>
      </w:r>
    </w:p>
    <w:p w14:paraId="228B826B">
      <w:pPr>
        <w:pStyle w:val="6"/>
        <w:keepNext w:val="0"/>
        <w:keepLines w:val="0"/>
        <w:pageBreakBefore w:val="0"/>
        <w:kinsoku/>
        <w:wordWrap/>
        <w:overflowPunct/>
        <w:topLinePunct w:val="0"/>
        <w:autoSpaceDE/>
        <w:autoSpaceDN/>
        <w:bidi w:val="0"/>
        <w:adjustRightInd/>
        <w:snapToGrid/>
        <w:spacing w:line="500" w:lineRule="exact"/>
        <w:ind w:firstLine="480"/>
        <w:jc w:val="right"/>
        <w:textAlignment w:val="auto"/>
        <w:rPr>
          <w:rFonts w:hint="eastAsia" w:ascii="宋体" w:hAnsi="宋体" w:eastAsia="宋体" w:cs="宋体"/>
          <w:sz w:val="24"/>
          <w:szCs w:val="24"/>
        </w:rPr>
      </w:pPr>
      <w:r>
        <w:rPr>
          <w:rFonts w:hint="eastAsia" w:ascii="宋体" w:hAnsi="宋体" w:eastAsia="宋体" w:cs="宋体"/>
          <w:sz w:val="24"/>
          <w:szCs w:val="24"/>
        </w:rPr>
        <w:t>投标人：</w:t>
      </w:r>
      <w:r>
        <w:rPr>
          <w:rFonts w:hint="eastAsia" w:ascii="宋体" w:hAnsi="宋体" w:eastAsia="宋体" w:cs="宋体"/>
          <w:sz w:val="24"/>
          <w:szCs w:val="24"/>
          <w:u w:val="single"/>
        </w:rPr>
        <w:t>（全称并加盖单位公章）</w:t>
      </w:r>
    </w:p>
    <w:p w14:paraId="548F8245">
      <w:pPr>
        <w:pStyle w:val="6"/>
        <w:keepNext w:val="0"/>
        <w:keepLines w:val="0"/>
        <w:pageBreakBefore w:val="0"/>
        <w:kinsoku/>
        <w:wordWrap/>
        <w:overflowPunct/>
        <w:topLinePunct w:val="0"/>
        <w:autoSpaceDE/>
        <w:autoSpaceDN/>
        <w:bidi w:val="0"/>
        <w:adjustRightInd/>
        <w:snapToGrid/>
        <w:spacing w:line="500" w:lineRule="exact"/>
        <w:ind w:firstLine="480"/>
        <w:jc w:val="right"/>
        <w:textAlignment w:val="auto"/>
        <w:rPr>
          <w:rFonts w:hint="eastAsia" w:ascii="宋体" w:hAnsi="宋体" w:eastAsia="宋体" w:cs="宋体"/>
          <w:sz w:val="24"/>
          <w:szCs w:val="24"/>
        </w:rPr>
      </w:pPr>
      <w:r>
        <w:rPr>
          <w:rFonts w:hint="eastAsia" w:ascii="宋体" w:hAnsi="宋体" w:eastAsia="宋体" w:cs="宋体"/>
          <w:sz w:val="24"/>
          <w:szCs w:val="24"/>
        </w:rPr>
        <w:t>日期：</w:t>
      </w:r>
      <w:r>
        <w:rPr>
          <w:rFonts w:hint="eastAsia" w:ascii="宋体" w:hAnsi="宋体" w:eastAsia="宋体" w:cs="宋体"/>
          <w:sz w:val="24"/>
          <w:szCs w:val="24"/>
          <w:u w:val="single"/>
        </w:rPr>
        <w:t>　　年　　月　　日</w:t>
      </w:r>
    </w:p>
    <w:p w14:paraId="63EC52DF">
      <w:pPr>
        <w:pStyle w:val="6"/>
        <w:keepNext w:val="0"/>
        <w:keepLines w:val="0"/>
        <w:pageBreakBefore w:val="0"/>
        <w:kinsoku/>
        <w:wordWrap/>
        <w:overflowPunct/>
        <w:topLinePunct w:val="0"/>
        <w:autoSpaceDE/>
        <w:autoSpaceDN/>
        <w:bidi w:val="0"/>
        <w:adjustRightInd/>
        <w:snapToGrid/>
        <w:spacing w:line="500" w:lineRule="exact"/>
        <w:ind w:firstLine="480"/>
        <w:jc w:val="left"/>
        <w:textAlignment w:val="auto"/>
        <w:rPr>
          <w:rFonts w:hint="eastAsia" w:ascii="宋体" w:hAnsi="宋体" w:eastAsia="宋体" w:cs="宋体"/>
          <w:sz w:val="24"/>
          <w:szCs w:val="24"/>
        </w:rPr>
      </w:pPr>
      <w:r>
        <w:rPr>
          <w:rFonts w:hint="eastAsia" w:ascii="宋体" w:hAnsi="宋体" w:eastAsia="宋体" w:cs="宋体"/>
          <w:sz w:val="24"/>
          <w:szCs w:val="24"/>
        </w:rPr>
        <w:t>附：</w:t>
      </w:r>
    </w:p>
    <w:p w14:paraId="035220F7">
      <w:pPr>
        <w:pStyle w:val="6"/>
        <w:keepNext w:val="0"/>
        <w:keepLines w:val="0"/>
        <w:pageBreakBefore w:val="0"/>
        <w:kinsoku/>
        <w:wordWrap/>
        <w:overflowPunct/>
        <w:topLinePunct w:val="0"/>
        <w:autoSpaceDE/>
        <w:autoSpaceDN/>
        <w:bidi w:val="0"/>
        <w:adjustRightInd/>
        <w:snapToGrid/>
        <w:spacing w:line="500" w:lineRule="exact"/>
        <w:ind w:firstLine="960"/>
        <w:jc w:val="center"/>
        <w:textAlignment w:val="auto"/>
        <w:outlineLvl w:val="3"/>
        <w:rPr>
          <w:rFonts w:hint="eastAsia" w:ascii="宋体" w:hAnsi="宋体" w:eastAsia="宋体" w:cs="宋体"/>
          <w:sz w:val="24"/>
          <w:szCs w:val="24"/>
        </w:rPr>
      </w:pPr>
      <w:r>
        <w:rPr>
          <w:rFonts w:hint="eastAsia" w:ascii="宋体" w:hAnsi="宋体" w:eastAsia="宋体" w:cs="宋体"/>
          <w:b/>
          <w:sz w:val="24"/>
          <w:szCs w:val="24"/>
        </w:rPr>
        <w:t>监狱企业证明材料</w:t>
      </w:r>
    </w:p>
    <w:p w14:paraId="3B5C7144">
      <w:pPr>
        <w:pStyle w:val="6"/>
        <w:keepNext w:val="0"/>
        <w:keepLines w:val="0"/>
        <w:pageBreakBefore w:val="0"/>
        <w:kinsoku/>
        <w:wordWrap/>
        <w:overflowPunct/>
        <w:topLinePunct w:val="0"/>
        <w:autoSpaceDE/>
        <w:autoSpaceDN/>
        <w:bidi w:val="0"/>
        <w:adjustRightInd/>
        <w:snapToGrid/>
        <w:spacing w:line="500" w:lineRule="exact"/>
        <w:ind w:firstLine="480"/>
        <w:jc w:val="left"/>
        <w:textAlignment w:val="auto"/>
        <w:rPr>
          <w:rFonts w:hint="eastAsia" w:ascii="宋体" w:hAnsi="宋体" w:eastAsia="宋体" w:cs="宋体"/>
          <w:sz w:val="24"/>
          <w:szCs w:val="24"/>
        </w:rPr>
      </w:pPr>
      <w:r>
        <w:rPr>
          <w:rFonts w:hint="eastAsia" w:ascii="宋体" w:hAnsi="宋体" w:eastAsia="宋体" w:cs="宋体"/>
          <w:sz w:val="24"/>
          <w:szCs w:val="24"/>
        </w:rPr>
        <w:t>投标人为监狱企业，提供本单位制造的货物（承接的服务），并在电子投标文件中提供省级以上监狱管理局、戒毒管理局（含新疆生产建设兵团）出具的属于监狱企业的证明文件。</w:t>
      </w:r>
    </w:p>
    <w:p w14:paraId="2851173E">
      <w:pPr>
        <w:pStyle w:val="6"/>
        <w:keepNext w:val="0"/>
        <w:keepLines w:val="0"/>
        <w:pageBreakBefore w:val="0"/>
        <w:kinsoku/>
        <w:wordWrap/>
        <w:overflowPunct/>
        <w:topLinePunct w:val="0"/>
        <w:autoSpaceDE/>
        <w:autoSpaceDN/>
        <w:bidi w:val="0"/>
        <w:adjustRightInd/>
        <w:snapToGrid/>
        <w:spacing w:line="500" w:lineRule="exact"/>
        <w:ind w:firstLine="960"/>
        <w:jc w:val="left"/>
        <w:textAlignment w:val="auto"/>
        <w:rPr>
          <w:rFonts w:hint="eastAsia" w:ascii="宋体" w:hAnsi="宋体" w:eastAsia="宋体" w:cs="宋体"/>
          <w:sz w:val="24"/>
          <w:szCs w:val="24"/>
        </w:rPr>
      </w:pPr>
      <w:r>
        <w:rPr>
          <w:rFonts w:hint="eastAsia" w:ascii="宋体" w:hAnsi="宋体" w:eastAsia="宋体" w:cs="宋体"/>
          <w:sz w:val="24"/>
          <w:szCs w:val="24"/>
        </w:rPr>
        <w:t xml:space="preserve"> </w:t>
      </w:r>
      <w:r>
        <w:rPr>
          <w:rFonts w:hint="eastAsia" w:ascii="宋体" w:hAnsi="宋体" w:eastAsia="宋体" w:cs="宋体"/>
          <w:sz w:val="24"/>
          <w:szCs w:val="24"/>
        </w:rPr>
        <w:br w:type="textWrapping"/>
      </w:r>
      <w:r>
        <w:rPr>
          <w:rFonts w:hint="eastAsia" w:ascii="宋体" w:hAnsi="宋体" w:eastAsia="宋体" w:cs="宋体"/>
          <w:sz w:val="24"/>
          <w:szCs w:val="24"/>
        </w:rPr>
        <w:br w:type="page"/>
      </w:r>
    </w:p>
    <w:p w14:paraId="7DFA835A">
      <w:pPr>
        <w:pStyle w:val="6"/>
        <w:keepNext w:val="0"/>
        <w:keepLines w:val="0"/>
        <w:pageBreakBefore w:val="0"/>
        <w:kinsoku/>
        <w:wordWrap/>
        <w:overflowPunct/>
        <w:topLinePunct w:val="0"/>
        <w:autoSpaceDE/>
        <w:autoSpaceDN/>
        <w:bidi w:val="0"/>
        <w:adjustRightInd/>
        <w:snapToGrid/>
        <w:spacing w:line="500" w:lineRule="exact"/>
        <w:ind w:firstLine="960"/>
        <w:jc w:val="center"/>
        <w:textAlignment w:val="auto"/>
        <w:outlineLvl w:val="3"/>
        <w:rPr>
          <w:rFonts w:hint="eastAsia" w:ascii="宋体" w:hAnsi="宋体" w:eastAsia="宋体" w:cs="宋体"/>
          <w:sz w:val="24"/>
          <w:szCs w:val="24"/>
        </w:rPr>
      </w:pPr>
      <w:r>
        <w:rPr>
          <w:rFonts w:hint="eastAsia" w:ascii="宋体" w:hAnsi="宋体" w:eastAsia="宋体" w:cs="宋体"/>
          <w:b/>
          <w:sz w:val="24"/>
          <w:szCs w:val="24"/>
        </w:rPr>
        <w:t>二-5联合体协议（若有）</w:t>
      </w:r>
    </w:p>
    <w:p w14:paraId="67B6C545">
      <w:pPr>
        <w:pStyle w:val="6"/>
        <w:keepNext w:val="0"/>
        <w:keepLines w:val="0"/>
        <w:pageBreakBefore w:val="0"/>
        <w:kinsoku/>
        <w:wordWrap/>
        <w:overflowPunct/>
        <w:topLinePunct w:val="0"/>
        <w:autoSpaceDE/>
        <w:autoSpaceDN/>
        <w:bidi w:val="0"/>
        <w:adjustRightInd/>
        <w:snapToGrid/>
        <w:spacing w:line="500" w:lineRule="exact"/>
        <w:ind w:firstLine="480"/>
        <w:jc w:val="left"/>
        <w:textAlignment w:val="auto"/>
        <w:rPr>
          <w:rFonts w:hint="eastAsia" w:ascii="宋体" w:hAnsi="宋体" w:eastAsia="宋体" w:cs="宋体"/>
          <w:sz w:val="24"/>
          <w:szCs w:val="24"/>
        </w:rPr>
      </w:pPr>
      <w:r>
        <w:rPr>
          <w:rFonts w:hint="eastAsia" w:ascii="宋体" w:hAnsi="宋体" w:eastAsia="宋体" w:cs="宋体"/>
          <w:sz w:val="24"/>
          <w:szCs w:val="24"/>
        </w:rPr>
        <w:t>致：</w:t>
      </w:r>
      <w:r>
        <w:rPr>
          <w:rFonts w:hint="eastAsia" w:ascii="宋体" w:hAnsi="宋体" w:eastAsia="宋体" w:cs="宋体"/>
          <w:sz w:val="24"/>
          <w:szCs w:val="24"/>
          <w:u w:val="single"/>
        </w:rPr>
        <w:t>（采购人或采购代理机构）</w:t>
      </w:r>
    </w:p>
    <w:p w14:paraId="3D2DB3AB">
      <w:pPr>
        <w:pStyle w:val="6"/>
        <w:keepNext w:val="0"/>
        <w:keepLines w:val="0"/>
        <w:pageBreakBefore w:val="0"/>
        <w:kinsoku/>
        <w:wordWrap/>
        <w:overflowPunct/>
        <w:topLinePunct w:val="0"/>
        <w:autoSpaceDE/>
        <w:autoSpaceDN/>
        <w:bidi w:val="0"/>
        <w:adjustRightInd/>
        <w:snapToGrid/>
        <w:spacing w:line="500" w:lineRule="exact"/>
        <w:ind w:firstLine="480"/>
        <w:jc w:val="left"/>
        <w:textAlignment w:val="auto"/>
        <w:rPr>
          <w:rFonts w:hint="eastAsia" w:ascii="宋体" w:hAnsi="宋体" w:eastAsia="宋体" w:cs="宋体"/>
          <w:sz w:val="24"/>
          <w:szCs w:val="24"/>
        </w:rPr>
      </w:pPr>
      <w:r>
        <w:rPr>
          <w:rFonts w:hint="eastAsia" w:ascii="宋体" w:hAnsi="宋体" w:eastAsia="宋体" w:cs="宋体"/>
          <w:sz w:val="24"/>
          <w:szCs w:val="24"/>
        </w:rPr>
        <w:t>兹有</w:t>
      </w:r>
      <w:r>
        <w:rPr>
          <w:rFonts w:hint="eastAsia" w:ascii="宋体" w:hAnsi="宋体" w:eastAsia="宋体" w:cs="宋体"/>
          <w:sz w:val="24"/>
          <w:szCs w:val="24"/>
          <w:u w:val="single"/>
        </w:rPr>
        <w:t>（填写“联合体中各方的全称”，各方的全称之间请用“、”分割）</w:t>
      </w:r>
      <w:r>
        <w:rPr>
          <w:rFonts w:hint="eastAsia" w:ascii="宋体" w:hAnsi="宋体" w:eastAsia="宋体" w:cs="宋体"/>
          <w:sz w:val="24"/>
          <w:szCs w:val="24"/>
        </w:rPr>
        <w:t>自愿组成联合体，共同参加</w:t>
      </w:r>
      <w:r>
        <w:rPr>
          <w:rFonts w:hint="eastAsia" w:ascii="宋体" w:hAnsi="宋体" w:eastAsia="宋体" w:cs="宋体"/>
          <w:sz w:val="24"/>
          <w:szCs w:val="24"/>
          <w:u w:val="single"/>
        </w:rPr>
        <w:t>（填写“项目名称”）</w:t>
      </w:r>
      <w:r>
        <w:rPr>
          <w:rFonts w:hint="eastAsia" w:ascii="宋体" w:hAnsi="宋体" w:eastAsia="宋体" w:cs="宋体"/>
          <w:sz w:val="24"/>
          <w:szCs w:val="24"/>
        </w:rPr>
        <w:t xml:space="preserve"> 项目（项目编号：</w:t>
      </w:r>
      <w:r>
        <w:rPr>
          <w:rFonts w:hint="eastAsia" w:ascii="宋体" w:hAnsi="宋体" w:eastAsia="宋体" w:cs="宋体"/>
          <w:sz w:val="24"/>
          <w:szCs w:val="24"/>
          <w:u w:val="single"/>
        </w:rPr>
        <w:t>　　　　　　</w:t>
      </w:r>
      <w:r>
        <w:rPr>
          <w:rFonts w:hint="eastAsia" w:ascii="宋体" w:hAnsi="宋体" w:eastAsia="宋体" w:cs="宋体"/>
          <w:sz w:val="24"/>
          <w:szCs w:val="24"/>
        </w:rPr>
        <w:t>）的投标。现就联合体参加本项目投标的有关事宜达成下列协议：</w:t>
      </w:r>
    </w:p>
    <w:p w14:paraId="21739797">
      <w:pPr>
        <w:pStyle w:val="6"/>
        <w:keepNext w:val="0"/>
        <w:keepLines w:val="0"/>
        <w:pageBreakBefore w:val="0"/>
        <w:kinsoku/>
        <w:wordWrap/>
        <w:overflowPunct/>
        <w:topLinePunct w:val="0"/>
        <w:autoSpaceDE/>
        <w:autoSpaceDN/>
        <w:bidi w:val="0"/>
        <w:adjustRightInd/>
        <w:snapToGrid/>
        <w:spacing w:line="500" w:lineRule="exact"/>
        <w:ind w:firstLine="480"/>
        <w:jc w:val="left"/>
        <w:textAlignment w:val="auto"/>
        <w:rPr>
          <w:rFonts w:hint="eastAsia" w:ascii="宋体" w:hAnsi="宋体" w:eastAsia="宋体" w:cs="宋体"/>
          <w:sz w:val="24"/>
          <w:szCs w:val="24"/>
        </w:rPr>
      </w:pPr>
      <w:r>
        <w:rPr>
          <w:rFonts w:hint="eastAsia" w:ascii="宋体" w:hAnsi="宋体" w:eastAsia="宋体" w:cs="宋体"/>
          <w:sz w:val="24"/>
          <w:szCs w:val="24"/>
        </w:rPr>
        <w:t>一、联合体各方应承担的工作和义务具体如下：</w:t>
      </w:r>
    </w:p>
    <w:p w14:paraId="09F6B7C5">
      <w:pPr>
        <w:pStyle w:val="6"/>
        <w:keepNext w:val="0"/>
        <w:keepLines w:val="0"/>
        <w:pageBreakBefore w:val="0"/>
        <w:kinsoku/>
        <w:wordWrap/>
        <w:overflowPunct/>
        <w:topLinePunct w:val="0"/>
        <w:autoSpaceDE/>
        <w:autoSpaceDN/>
        <w:bidi w:val="0"/>
        <w:adjustRightInd/>
        <w:snapToGrid/>
        <w:spacing w:line="500" w:lineRule="exact"/>
        <w:ind w:firstLine="480"/>
        <w:jc w:val="left"/>
        <w:textAlignment w:val="auto"/>
        <w:rPr>
          <w:rFonts w:hint="eastAsia" w:ascii="宋体" w:hAnsi="宋体" w:eastAsia="宋体" w:cs="宋体"/>
          <w:sz w:val="24"/>
          <w:szCs w:val="24"/>
        </w:rPr>
      </w:pPr>
      <w:r>
        <w:rPr>
          <w:rFonts w:hint="eastAsia" w:ascii="宋体" w:hAnsi="宋体" w:eastAsia="宋体" w:cs="宋体"/>
          <w:sz w:val="24"/>
          <w:szCs w:val="24"/>
        </w:rPr>
        <w:t>1、牵头方（全称）：</w:t>
      </w:r>
      <w:r>
        <w:rPr>
          <w:rFonts w:hint="eastAsia" w:ascii="宋体" w:hAnsi="宋体" w:eastAsia="宋体" w:cs="宋体"/>
          <w:sz w:val="24"/>
          <w:szCs w:val="24"/>
          <w:u w:val="single"/>
        </w:rPr>
        <w:t xml:space="preserve">（填写“工作及义务的具体内容”） </w:t>
      </w:r>
      <w:r>
        <w:rPr>
          <w:rFonts w:hint="eastAsia" w:ascii="宋体" w:hAnsi="宋体" w:eastAsia="宋体" w:cs="宋体"/>
          <w:sz w:val="24"/>
          <w:szCs w:val="24"/>
        </w:rPr>
        <w:t>；</w:t>
      </w:r>
    </w:p>
    <w:p w14:paraId="36FEFE64">
      <w:pPr>
        <w:pStyle w:val="6"/>
        <w:keepNext w:val="0"/>
        <w:keepLines w:val="0"/>
        <w:pageBreakBefore w:val="0"/>
        <w:kinsoku/>
        <w:wordWrap/>
        <w:overflowPunct/>
        <w:topLinePunct w:val="0"/>
        <w:autoSpaceDE/>
        <w:autoSpaceDN/>
        <w:bidi w:val="0"/>
        <w:adjustRightInd/>
        <w:snapToGrid/>
        <w:spacing w:line="500" w:lineRule="exact"/>
        <w:ind w:firstLine="480"/>
        <w:jc w:val="left"/>
        <w:textAlignment w:val="auto"/>
        <w:rPr>
          <w:rFonts w:hint="eastAsia" w:ascii="宋体" w:hAnsi="宋体" w:eastAsia="宋体" w:cs="宋体"/>
          <w:sz w:val="24"/>
          <w:szCs w:val="24"/>
        </w:rPr>
      </w:pPr>
      <w:r>
        <w:rPr>
          <w:rFonts w:hint="eastAsia" w:ascii="宋体" w:hAnsi="宋体" w:eastAsia="宋体" w:cs="宋体"/>
          <w:sz w:val="24"/>
          <w:szCs w:val="24"/>
        </w:rPr>
        <w:t>2、成员方：</w:t>
      </w:r>
    </w:p>
    <w:p w14:paraId="5D2E33C2">
      <w:pPr>
        <w:pStyle w:val="6"/>
        <w:keepNext w:val="0"/>
        <w:keepLines w:val="0"/>
        <w:pageBreakBefore w:val="0"/>
        <w:kinsoku/>
        <w:wordWrap/>
        <w:overflowPunct/>
        <w:topLinePunct w:val="0"/>
        <w:autoSpaceDE/>
        <w:autoSpaceDN/>
        <w:bidi w:val="0"/>
        <w:adjustRightInd/>
        <w:snapToGrid/>
        <w:spacing w:line="500" w:lineRule="exact"/>
        <w:ind w:firstLine="480"/>
        <w:jc w:val="left"/>
        <w:textAlignment w:val="auto"/>
        <w:rPr>
          <w:rFonts w:hint="eastAsia" w:ascii="宋体" w:hAnsi="宋体" w:eastAsia="宋体" w:cs="宋体"/>
          <w:sz w:val="24"/>
          <w:szCs w:val="24"/>
        </w:rPr>
      </w:pPr>
      <w:r>
        <w:rPr>
          <w:rFonts w:hint="eastAsia" w:ascii="宋体" w:hAnsi="宋体" w:eastAsia="宋体" w:cs="宋体"/>
          <w:sz w:val="24"/>
          <w:szCs w:val="24"/>
        </w:rPr>
        <w:t>2.1（成员一的全称）：</w:t>
      </w:r>
      <w:r>
        <w:rPr>
          <w:rFonts w:hint="eastAsia" w:ascii="宋体" w:hAnsi="宋体" w:eastAsia="宋体" w:cs="宋体"/>
          <w:sz w:val="24"/>
          <w:szCs w:val="24"/>
          <w:u w:val="single"/>
        </w:rPr>
        <w:t>（填写“工作及义务的具体内容”）</w:t>
      </w:r>
      <w:r>
        <w:rPr>
          <w:rFonts w:hint="eastAsia" w:ascii="宋体" w:hAnsi="宋体" w:eastAsia="宋体" w:cs="宋体"/>
          <w:sz w:val="24"/>
          <w:szCs w:val="24"/>
        </w:rPr>
        <w:t xml:space="preserve"> ；</w:t>
      </w:r>
    </w:p>
    <w:p w14:paraId="10EA4A56">
      <w:pPr>
        <w:pStyle w:val="6"/>
        <w:keepNext w:val="0"/>
        <w:keepLines w:val="0"/>
        <w:pageBreakBefore w:val="0"/>
        <w:kinsoku/>
        <w:wordWrap/>
        <w:overflowPunct/>
        <w:topLinePunct w:val="0"/>
        <w:autoSpaceDE/>
        <w:autoSpaceDN/>
        <w:bidi w:val="0"/>
        <w:adjustRightInd/>
        <w:snapToGrid/>
        <w:spacing w:line="500" w:lineRule="exact"/>
        <w:ind w:firstLine="480"/>
        <w:jc w:val="left"/>
        <w:textAlignment w:val="auto"/>
        <w:rPr>
          <w:rFonts w:hint="eastAsia" w:ascii="宋体" w:hAnsi="宋体" w:eastAsia="宋体" w:cs="宋体"/>
          <w:sz w:val="24"/>
          <w:szCs w:val="24"/>
        </w:rPr>
      </w:pPr>
      <w:r>
        <w:rPr>
          <w:rFonts w:hint="eastAsia" w:ascii="宋体" w:hAnsi="宋体" w:eastAsia="宋体" w:cs="宋体"/>
          <w:sz w:val="24"/>
          <w:szCs w:val="24"/>
        </w:rPr>
        <w:t>……</w:t>
      </w:r>
    </w:p>
    <w:p w14:paraId="6322692D">
      <w:pPr>
        <w:pStyle w:val="6"/>
        <w:keepNext w:val="0"/>
        <w:keepLines w:val="0"/>
        <w:pageBreakBefore w:val="0"/>
        <w:kinsoku/>
        <w:wordWrap/>
        <w:overflowPunct/>
        <w:topLinePunct w:val="0"/>
        <w:autoSpaceDE/>
        <w:autoSpaceDN/>
        <w:bidi w:val="0"/>
        <w:adjustRightInd/>
        <w:snapToGrid/>
        <w:spacing w:line="500" w:lineRule="exact"/>
        <w:ind w:firstLine="480"/>
        <w:jc w:val="left"/>
        <w:textAlignment w:val="auto"/>
        <w:rPr>
          <w:rFonts w:hint="eastAsia" w:ascii="宋体" w:hAnsi="宋体" w:eastAsia="宋体" w:cs="宋体"/>
          <w:sz w:val="24"/>
          <w:szCs w:val="24"/>
        </w:rPr>
      </w:pPr>
      <w:r>
        <w:rPr>
          <w:rFonts w:hint="eastAsia" w:ascii="宋体" w:hAnsi="宋体" w:eastAsia="宋体" w:cs="宋体"/>
          <w:sz w:val="24"/>
          <w:szCs w:val="24"/>
        </w:rPr>
        <w:t>二、联合体各方的合同金额占比，具体如下：</w:t>
      </w:r>
    </w:p>
    <w:p w14:paraId="254D442D">
      <w:pPr>
        <w:pStyle w:val="6"/>
        <w:keepNext w:val="0"/>
        <w:keepLines w:val="0"/>
        <w:pageBreakBefore w:val="0"/>
        <w:kinsoku/>
        <w:wordWrap/>
        <w:overflowPunct/>
        <w:topLinePunct w:val="0"/>
        <w:autoSpaceDE/>
        <w:autoSpaceDN/>
        <w:bidi w:val="0"/>
        <w:adjustRightInd/>
        <w:snapToGrid/>
        <w:spacing w:line="500" w:lineRule="exact"/>
        <w:ind w:firstLine="480"/>
        <w:jc w:val="left"/>
        <w:textAlignment w:val="auto"/>
        <w:rPr>
          <w:rFonts w:hint="eastAsia" w:ascii="宋体" w:hAnsi="宋体" w:eastAsia="宋体" w:cs="宋体"/>
          <w:sz w:val="24"/>
          <w:szCs w:val="24"/>
        </w:rPr>
      </w:pPr>
      <w:r>
        <w:rPr>
          <w:rFonts w:hint="eastAsia" w:ascii="宋体" w:hAnsi="宋体" w:eastAsia="宋体" w:cs="宋体"/>
          <w:sz w:val="24"/>
          <w:szCs w:val="24"/>
        </w:rPr>
        <w:t>1.牵头方（</w:t>
      </w:r>
      <w:r>
        <w:rPr>
          <w:rFonts w:hint="eastAsia" w:ascii="宋体" w:hAnsi="宋体" w:eastAsia="宋体" w:cs="宋体"/>
          <w:sz w:val="24"/>
          <w:szCs w:val="24"/>
          <w:u w:val="single"/>
        </w:rPr>
        <w:t xml:space="preserve"> 全称</w:t>
      </w:r>
      <w:r>
        <w:rPr>
          <w:rFonts w:hint="eastAsia" w:ascii="宋体" w:hAnsi="宋体" w:eastAsia="宋体" w:cs="宋体"/>
          <w:sz w:val="24"/>
          <w:szCs w:val="24"/>
        </w:rPr>
        <w:t xml:space="preserve"> ）的合同金额占合同总额的</w:t>
      </w:r>
      <w:r>
        <w:rPr>
          <w:rFonts w:hint="eastAsia" w:ascii="宋体" w:hAnsi="宋体" w:eastAsia="宋体" w:cs="宋体"/>
          <w:sz w:val="24"/>
          <w:szCs w:val="24"/>
          <w:u w:val="single"/>
        </w:rPr>
        <w:t>　　</w:t>
      </w:r>
      <w:r>
        <w:rPr>
          <w:rFonts w:hint="eastAsia" w:ascii="宋体" w:hAnsi="宋体" w:eastAsia="宋体" w:cs="宋体"/>
          <w:sz w:val="24"/>
          <w:szCs w:val="24"/>
        </w:rPr>
        <w:t>%；</w:t>
      </w:r>
    </w:p>
    <w:p w14:paraId="4184A515">
      <w:pPr>
        <w:pStyle w:val="6"/>
        <w:keepNext w:val="0"/>
        <w:keepLines w:val="0"/>
        <w:pageBreakBefore w:val="0"/>
        <w:kinsoku/>
        <w:wordWrap/>
        <w:overflowPunct/>
        <w:topLinePunct w:val="0"/>
        <w:autoSpaceDE/>
        <w:autoSpaceDN/>
        <w:bidi w:val="0"/>
        <w:adjustRightInd/>
        <w:snapToGrid/>
        <w:spacing w:line="500" w:lineRule="exact"/>
        <w:ind w:firstLine="480"/>
        <w:jc w:val="left"/>
        <w:textAlignment w:val="auto"/>
        <w:rPr>
          <w:rFonts w:hint="eastAsia" w:ascii="宋体" w:hAnsi="宋体" w:eastAsia="宋体" w:cs="宋体"/>
          <w:sz w:val="24"/>
          <w:szCs w:val="24"/>
        </w:rPr>
      </w:pPr>
      <w:r>
        <w:rPr>
          <w:rFonts w:hint="eastAsia" w:ascii="宋体" w:hAnsi="宋体" w:eastAsia="宋体" w:cs="宋体"/>
          <w:sz w:val="24"/>
          <w:szCs w:val="24"/>
        </w:rPr>
        <w:t>2.成员方：</w:t>
      </w:r>
    </w:p>
    <w:p w14:paraId="5F1D7A97">
      <w:pPr>
        <w:pStyle w:val="6"/>
        <w:keepNext w:val="0"/>
        <w:keepLines w:val="0"/>
        <w:pageBreakBefore w:val="0"/>
        <w:kinsoku/>
        <w:wordWrap/>
        <w:overflowPunct/>
        <w:topLinePunct w:val="0"/>
        <w:autoSpaceDE/>
        <w:autoSpaceDN/>
        <w:bidi w:val="0"/>
        <w:adjustRightInd/>
        <w:snapToGrid/>
        <w:spacing w:line="500" w:lineRule="exact"/>
        <w:ind w:firstLine="480"/>
        <w:jc w:val="left"/>
        <w:textAlignment w:val="auto"/>
        <w:rPr>
          <w:rFonts w:hint="eastAsia" w:ascii="宋体" w:hAnsi="宋体" w:eastAsia="宋体" w:cs="宋体"/>
          <w:sz w:val="24"/>
          <w:szCs w:val="24"/>
        </w:rPr>
      </w:pPr>
      <w:r>
        <w:rPr>
          <w:rFonts w:hint="eastAsia" w:ascii="宋体" w:hAnsi="宋体" w:eastAsia="宋体" w:cs="宋体"/>
          <w:sz w:val="24"/>
          <w:szCs w:val="24"/>
        </w:rPr>
        <w:t>2.1（</w:t>
      </w:r>
      <w:r>
        <w:rPr>
          <w:rFonts w:hint="eastAsia" w:ascii="宋体" w:hAnsi="宋体" w:eastAsia="宋体" w:cs="宋体"/>
          <w:sz w:val="24"/>
          <w:szCs w:val="24"/>
          <w:u w:val="single"/>
        </w:rPr>
        <w:t xml:space="preserve"> 成员1的全称 </w:t>
      </w:r>
      <w:r>
        <w:rPr>
          <w:rFonts w:hint="eastAsia" w:ascii="宋体" w:hAnsi="宋体" w:eastAsia="宋体" w:cs="宋体"/>
          <w:sz w:val="24"/>
          <w:szCs w:val="24"/>
        </w:rPr>
        <w:t>）的合同金额占合同总额的</w:t>
      </w:r>
      <w:r>
        <w:rPr>
          <w:rFonts w:hint="eastAsia" w:ascii="宋体" w:hAnsi="宋体" w:eastAsia="宋体" w:cs="宋体"/>
          <w:sz w:val="24"/>
          <w:szCs w:val="24"/>
          <w:u w:val="single"/>
        </w:rPr>
        <w:t>　　</w:t>
      </w:r>
      <w:r>
        <w:rPr>
          <w:rFonts w:hint="eastAsia" w:ascii="宋体" w:hAnsi="宋体" w:eastAsia="宋体" w:cs="宋体"/>
          <w:sz w:val="24"/>
          <w:szCs w:val="24"/>
        </w:rPr>
        <w:t>%；</w:t>
      </w:r>
    </w:p>
    <w:p w14:paraId="71CCBF17">
      <w:pPr>
        <w:pStyle w:val="6"/>
        <w:keepNext w:val="0"/>
        <w:keepLines w:val="0"/>
        <w:pageBreakBefore w:val="0"/>
        <w:kinsoku/>
        <w:wordWrap/>
        <w:overflowPunct/>
        <w:topLinePunct w:val="0"/>
        <w:autoSpaceDE/>
        <w:autoSpaceDN/>
        <w:bidi w:val="0"/>
        <w:adjustRightInd/>
        <w:snapToGrid/>
        <w:spacing w:line="500" w:lineRule="exact"/>
        <w:ind w:firstLine="480"/>
        <w:jc w:val="left"/>
        <w:textAlignment w:val="auto"/>
        <w:rPr>
          <w:rFonts w:hint="eastAsia" w:ascii="宋体" w:hAnsi="宋体" w:eastAsia="宋体" w:cs="宋体"/>
          <w:sz w:val="24"/>
          <w:szCs w:val="24"/>
        </w:rPr>
      </w:pPr>
      <w:r>
        <w:rPr>
          <w:rFonts w:hint="eastAsia" w:ascii="宋体" w:hAnsi="宋体" w:eastAsia="宋体" w:cs="宋体"/>
          <w:sz w:val="24"/>
          <w:szCs w:val="24"/>
        </w:rPr>
        <w:t>……</w:t>
      </w:r>
    </w:p>
    <w:p w14:paraId="604A781B">
      <w:pPr>
        <w:pStyle w:val="6"/>
        <w:keepNext w:val="0"/>
        <w:keepLines w:val="0"/>
        <w:pageBreakBefore w:val="0"/>
        <w:kinsoku/>
        <w:wordWrap/>
        <w:overflowPunct/>
        <w:topLinePunct w:val="0"/>
        <w:autoSpaceDE/>
        <w:autoSpaceDN/>
        <w:bidi w:val="0"/>
        <w:adjustRightInd/>
        <w:snapToGrid/>
        <w:spacing w:line="500" w:lineRule="exact"/>
        <w:ind w:firstLine="480"/>
        <w:jc w:val="left"/>
        <w:textAlignment w:val="auto"/>
        <w:rPr>
          <w:rFonts w:hint="eastAsia" w:ascii="宋体" w:hAnsi="宋体" w:eastAsia="宋体" w:cs="宋体"/>
          <w:sz w:val="24"/>
          <w:szCs w:val="24"/>
        </w:rPr>
      </w:pPr>
      <w:r>
        <w:rPr>
          <w:rFonts w:hint="eastAsia" w:ascii="宋体" w:hAnsi="宋体" w:eastAsia="宋体" w:cs="宋体"/>
          <w:sz w:val="24"/>
          <w:szCs w:val="24"/>
        </w:rPr>
        <w:t>三、联合体各方约定：</w:t>
      </w:r>
    </w:p>
    <w:p w14:paraId="2437FC6B">
      <w:pPr>
        <w:pStyle w:val="6"/>
        <w:keepNext w:val="0"/>
        <w:keepLines w:val="0"/>
        <w:pageBreakBefore w:val="0"/>
        <w:kinsoku/>
        <w:wordWrap/>
        <w:overflowPunct/>
        <w:topLinePunct w:val="0"/>
        <w:autoSpaceDE/>
        <w:autoSpaceDN/>
        <w:bidi w:val="0"/>
        <w:adjustRightInd/>
        <w:snapToGrid/>
        <w:spacing w:line="500" w:lineRule="exact"/>
        <w:ind w:firstLine="480"/>
        <w:jc w:val="left"/>
        <w:textAlignment w:val="auto"/>
        <w:rPr>
          <w:rFonts w:hint="eastAsia" w:ascii="宋体" w:hAnsi="宋体" w:eastAsia="宋体" w:cs="宋体"/>
          <w:sz w:val="24"/>
          <w:szCs w:val="24"/>
        </w:rPr>
      </w:pPr>
      <w:r>
        <w:rPr>
          <w:rFonts w:hint="eastAsia" w:ascii="宋体" w:hAnsi="宋体" w:eastAsia="宋体" w:cs="宋体"/>
          <w:sz w:val="24"/>
          <w:szCs w:val="24"/>
        </w:rPr>
        <w:t>1、由</w:t>
      </w:r>
      <w:r>
        <w:rPr>
          <w:rFonts w:hint="eastAsia" w:ascii="宋体" w:hAnsi="宋体" w:eastAsia="宋体" w:cs="宋体"/>
          <w:sz w:val="24"/>
          <w:szCs w:val="24"/>
          <w:u w:val="single"/>
        </w:rPr>
        <w:t>（填写“牵头方的全称”）代表联合体办理参加本项目投标的有关事宜（包括但不限于：注册账号、派出投标人代表、提交电子投标文件及参加开标、谈判、澄清等），在此过程中，投标人代表签字的一切文件和处理结果，联合体均予以认可并对此承担责任。</w:t>
      </w:r>
    </w:p>
    <w:p w14:paraId="6D0227E5">
      <w:pPr>
        <w:pStyle w:val="6"/>
        <w:keepNext w:val="0"/>
        <w:keepLines w:val="0"/>
        <w:pageBreakBefore w:val="0"/>
        <w:kinsoku/>
        <w:wordWrap/>
        <w:overflowPunct/>
        <w:topLinePunct w:val="0"/>
        <w:autoSpaceDE/>
        <w:autoSpaceDN/>
        <w:bidi w:val="0"/>
        <w:adjustRightInd/>
        <w:snapToGrid/>
        <w:spacing w:line="500" w:lineRule="exact"/>
        <w:ind w:firstLine="480"/>
        <w:jc w:val="left"/>
        <w:textAlignment w:val="auto"/>
        <w:rPr>
          <w:rFonts w:hint="eastAsia" w:ascii="宋体" w:hAnsi="宋体" w:eastAsia="宋体" w:cs="宋体"/>
          <w:sz w:val="24"/>
          <w:szCs w:val="24"/>
        </w:rPr>
      </w:pPr>
      <w:r>
        <w:rPr>
          <w:rFonts w:hint="eastAsia" w:ascii="宋体" w:hAnsi="宋体" w:eastAsia="宋体" w:cs="宋体"/>
          <w:sz w:val="24"/>
          <w:szCs w:val="24"/>
        </w:rPr>
        <w:t>2、联合体各方约定由</w:t>
      </w:r>
      <w:r>
        <w:rPr>
          <w:rFonts w:hint="eastAsia" w:ascii="宋体" w:hAnsi="宋体" w:eastAsia="宋体" w:cs="宋体"/>
          <w:sz w:val="24"/>
          <w:szCs w:val="24"/>
          <w:u w:val="single"/>
        </w:rPr>
        <w:t>（填写“牵头方的全称”）代表联合体办理投标保证金事宜。</w:t>
      </w:r>
    </w:p>
    <w:p w14:paraId="4A78419A">
      <w:pPr>
        <w:pStyle w:val="6"/>
        <w:keepNext w:val="0"/>
        <w:keepLines w:val="0"/>
        <w:pageBreakBefore w:val="0"/>
        <w:kinsoku/>
        <w:wordWrap/>
        <w:overflowPunct/>
        <w:topLinePunct w:val="0"/>
        <w:autoSpaceDE/>
        <w:autoSpaceDN/>
        <w:bidi w:val="0"/>
        <w:adjustRightInd/>
        <w:snapToGrid/>
        <w:spacing w:line="500" w:lineRule="exact"/>
        <w:ind w:firstLine="480"/>
        <w:jc w:val="left"/>
        <w:textAlignment w:val="auto"/>
        <w:rPr>
          <w:rFonts w:hint="eastAsia" w:ascii="宋体" w:hAnsi="宋体" w:eastAsia="宋体" w:cs="宋体"/>
          <w:sz w:val="24"/>
          <w:szCs w:val="24"/>
        </w:rPr>
      </w:pPr>
      <w:r>
        <w:rPr>
          <w:rFonts w:hint="eastAsia" w:ascii="宋体" w:hAnsi="宋体" w:eastAsia="宋体" w:cs="宋体"/>
          <w:sz w:val="24"/>
          <w:szCs w:val="24"/>
        </w:rPr>
        <w:t>3、若本项目采用综合评分法，则联合体只能确定由其中一方的条件参与商务部分的评标。因此，联合体各方约定以（应填写“其中一方的全称”，如：联合体确定以成员一的条件参与商务部分的评标，则填写“成员一的全称”…；否则填写“无”）的条件参与商务部分的评标。</w:t>
      </w:r>
    </w:p>
    <w:p w14:paraId="07EF2FDD">
      <w:pPr>
        <w:pStyle w:val="6"/>
        <w:keepNext w:val="0"/>
        <w:keepLines w:val="0"/>
        <w:pageBreakBefore w:val="0"/>
        <w:kinsoku/>
        <w:wordWrap/>
        <w:overflowPunct/>
        <w:topLinePunct w:val="0"/>
        <w:autoSpaceDE/>
        <w:autoSpaceDN/>
        <w:bidi w:val="0"/>
        <w:adjustRightInd/>
        <w:snapToGrid/>
        <w:spacing w:line="500" w:lineRule="exact"/>
        <w:ind w:firstLine="480"/>
        <w:jc w:val="left"/>
        <w:textAlignment w:val="auto"/>
        <w:rPr>
          <w:rFonts w:hint="eastAsia" w:ascii="宋体" w:hAnsi="宋体" w:eastAsia="宋体" w:cs="宋体"/>
          <w:sz w:val="24"/>
          <w:szCs w:val="24"/>
        </w:rPr>
      </w:pPr>
      <w:r>
        <w:rPr>
          <w:rFonts w:hint="eastAsia" w:ascii="宋体" w:hAnsi="宋体" w:eastAsia="宋体" w:cs="宋体"/>
          <w:sz w:val="24"/>
          <w:szCs w:val="24"/>
        </w:rPr>
        <w:t>四、若中标，牵头方将代表联合体与采购人就合同签订事宜进行协商；若协商一致，则联合体各方将共同与采购人签订政府采购合同，并就政府采购合同约定的事项对采购人承担连带责任。</w:t>
      </w:r>
    </w:p>
    <w:p w14:paraId="488201E5">
      <w:pPr>
        <w:pStyle w:val="6"/>
        <w:keepNext w:val="0"/>
        <w:keepLines w:val="0"/>
        <w:pageBreakBefore w:val="0"/>
        <w:kinsoku/>
        <w:wordWrap/>
        <w:overflowPunct/>
        <w:topLinePunct w:val="0"/>
        <w:autoSpaceDE/>
        <w:autoSpaceDN/>
        <w:bidi w:val="0"/>
        <w:adjustRightInd/>
        <w:snapToGrid/>
        <w:spacing w:line="500" w:lineRule="exact"/>
        <w:ind w:firstLine="480"/>
        <w:jc w:val="left"/>
        <w:textAlignment w:val="auto"/>
        <w:rPr>
          <w:rFonts w:hint="eastAsia" w:ascii="宋体" w:hAnsi="宋体" w:eastAsia="宋体" w:cs="宋体"/>
          <w:sz w:val="24"/>
          <w:szCs w:val="24"/>
        </w:rPr>
      </w:pPr>
      <w:r>
        <w:rPr>
          <w:rFonts w:hint="eastAsia" w:ascii="宋体" w:hAnsi="宋体" w:eastAsia="宋体" w:cs="宋体"/>
          <w:sz w:val="24"/>
          <w:szCs w:val="24"/>
        </w:rPr>
        <w:t>五、本协议自签署之日起生效，政府采购合同履行完毕后自动失效。</w:t>
      </w:r>
    </w:p>
    <w:p w14:paraId="6D540C9D">
      <w:pPr>
        <w:pStyle w:val="6"/>
        <w:keepNext w:val="0"/>
        <w:keepLines w:val="0"/>
        <w:pageBreakBefore w:val="0"/>
        <w:kinsoku/>
        <w:wordWrap/>
        <w:overflowPunct/>
        <w:topLinePunct w:val="0"/>
        <w:autoSpaceDE/>
        <w:autoSpaceDN/>
        <w:bidi w:val="0"/>
        <w:adjustRightInd/>
        <w:snapToGrid/>
        <w:spacing w:line="500" w:lineRule="exact"/>
        <w:ind w:firstLine="480"/>
        <w:jc w:val="left"/>
        <w:textAlignment w:val="auto"/>
        <w:rPr>
          <w:rFonts w:hint="eastAsia" w:ascii="宋体" w:hAnsi="宋体" w:eastAsia="宋体" w:cs="宋体"/>
          <w:sz w:val="24"/>
          <w:szCs w:val="24"/>
        </w:rPr>
      </w:pPr>
      <w:r>
        <w:rPr>
          <w:rFonts w:hint="eastAsia" w:ascii="宋体" w:hAnsi="宋体" w:eastAsia="宋体" w:cs="宋体"/>
          <w:sz w:val="24"/>
          <w:szCs w:val="24"/>
        </w:rPr>
        <w:t>六、本协议一式</w:t>
      </w:r>
      <w:r>
        <w:rPr>
          <w:rFonts w:hint="eastAsia" w:ascii="宋体" w:hAnsi="宋体" w:eastAsia="宋体" w:cs="宋体"/>
          <w:sz w:val="24"/>
          <w:szCs w:val="24"/>
          <w:u w:val="single"/>
        </w:rPr>
        <w:t>（填写具体份数）</w:t>
      </w:r>
      <w:r>
        <w:rPr>
          <w:rFonts w:hint="eastAsia" w:ascii="宋体" w:hAnsi="宋体" w:eastAsia="宋体" w:cs="宋体"/>
          <w:sz w:val="24"/>
          <w:szCs w:val="24"/>
        </w:rPr>
        <w:t>份，联合体各方各执一份，电子投标文件中提交一份。</w:t>
      </w:r>
    </w:p>
    <w:p w14:paraId="292CAA46">
      <w:pPr>
        <w:pStyle w:val="6"/>
        <w:keepNext w:val="0"/>
        <w:keepLines w:val="0"/>
        <w:pageBreakBefore w:val="0"/>
        <w:kinsoku/>
        <w:wordWrap/>
        <w:overflowPunct/>
        <w:topLinePunct w:val="0"/>
        <w:autoSpaceDE/>
        <w:autoSpaceDN/>
        <w:bidi w:val="0"/>
        <w:adjustRightInd/>
        <w:snapToGrid/>
        <w:spacing w:line="500" w:lineRule="exact"/>
        <w:ind w:firstLine="480"/>
        <w:jc w:val="left"/>
        <w:textAlignment w:val="auto"/>
        <w:rPr>
          <w:rFonts w:hint="eastAsia" w:ascii="宋体" w:hAnsi="宋体" w:eastAsia="宋体" w:cs="宋体"/>
          <w:sz w:val="24"/>
          <w:szCs w:val="24"/>
        </w:rPr>
      </w:pPr>
      <w:r>
        <w:rPr>
          <w:rFonts w:hint="eastAsia" w:ascii="宋体" w:hAnsi="宋体" w:eastAsia="宋体" w:cs="宋体"/>
          <w:sz w:val="24"/>
          <w:szCs w:val="24"/>
        </w:rPr>
        <w:t>（以下无正文）</w:t>
      </w:r>
    </w:p>
    <w:p w14:paraId="381E31E3">
      <w:pPr>
        <w:pStyle w:val="6"/>
        <w:keepNext w:val="0"/>
        <w:keepLines w:val="0"/>
        <w:pageBreakBefore w:val="0"/>
        <w:kinsoku/>
        <w:wordWrap/>
        <w:overflowPunct/>
        <w:topLinePunct w:val="0"/>
        <w:autoSpaceDE/>
        <w:autoSpaceDN/>
        <w:bidi w:val="0"/>
        <w:adjustRightInd/>
        <w:snapToGrid/>
        <w:spacing w:line="500" w:lineRule="exact"/>
        <w:ind w:firstLine="480"/>
        <w:jc w:val="left"/>
        <w:textAlignment w:val="auto"/>
        <w:rPr>
          <w:rFonts w:hint="eastAsia" w:ascii="宋体" w:hAnsi="宋体" w:eastAsia="宋体" w:cs="宋体"/>
          <w:sz w:val="24"/>
          <w:szCs w:val="24"/>
        </w:rPr>
      </w:pPr>
      <w:r>
        <w:rPr>
          <w:rFonts w:hint="eastAsia" w:ascii="宋体" w:hAnsi="宋体" w:eastAsia="宋体" w:cs="宋体"/>
          <w:sz w:val="24"/>
          <w:szCs w:val="24"/>
        </w:rPr>
        <w:t>牵头方：</w:t>
      </w:r>
      <w:r>
        <w:rPr>
          <w:rFonts w:hint="eastAsia" w:ascii="宋体" w:hAnsi="宋体" w:eastAsia="宋体" w:cs="宋体"/>
          <w:sz w:val="24"/>
          <w:szCs w:val="24"/>
          <w:u w:val="single"/>
        </w:rPr>
        <w:t>（全称并加盖单位公章）</w:t>
      </w:r>
    </w:p>
    <w:p w14:paraId="06CFED0E">
      <w:pPr>
        <w:pStyle w:val="6"/>
        <w:keepNext w:val="0"/>
        <w:keepLines w:val="0"/>
        <w:pageBreakBefore w:val="0"/>
        <w:kinsoku/>
        <w:wordWrap/>
        <w:overflowPunct/>
        <w:topLinePunct w:val="0"/>
        <w:autoSpaceDE/>
        <w:autoSpaceDN/>
        <w:bidi w:val="0"/>
        <w:adjustRightInd/>
        <w:snapToGrid/>
        <w:spacing w:line="500" w:lineRule="exact"/>
        <w:ind w:firstLine="480"/>
        <w:jc w:val="left"/>
        <w:textAlignment w:val="auto"/>
        <w:rPr>
          <w:rFonts w:hint="eastAsia" w:ascii="宋体" w:hAnsi="宋体" w:eastAsia="宋体" w:cs="宋体"/>
          <w:sz w:val="24"/>
          <w:szCs w:val="24"/>
        </w:rPr>
      </w:pPr>
      <w:r>
        <w:rPr>
          <w:rFonts w:hint="eastAsia" w:ascii="宋体" w:hAnsi="宋体" w:eastAsia="宋体" w:cs="宋体"/>
          <w:sz w:val="24"/>
          <w:szCs w:val="24"/>
        </w:rPr>
        <w:t>法定代表人或其委托代理人：</w:t>
      </w:r>
      <w:r>
        <w:rPr>
          <w:rFonts w:hint="eastAsia" w:ascii="宋体" w:hAnsi="宋体" w:eastAsia="宋体" w:cs="宋体"/>
          <w:sz w:val="24"/>
          <w:szCs w:val="24"/>
          <w:u w:val="single"/>
        </w:rPr>
        <w:t xml:space="preserve"> （签字或盖章）</w:t>
      </w:r>
    </w:p>
    <w:p w14:paraId="6581C538">
      <w:pPr>
        <w:pStyle w:val="6"/>
        <w:keepNext w:val="0"/>
        <w:keepLines w:val="0"/>
        <w:pageBreakBefore w:val="0"/>
        <w:kinsoku/>
        <w:wordWrap/>
        <w:overflowPunct/>
        <w:topLinePunct w:val="0"/>
        <w:autoSpaceDE/>
        <w:autoSpaceDN/>
        <w:bidi w:val="0"/>
        <w:adjustRightInd/>
        <w:snapToGrid/>
        <w:spacing w:line="500" w:lineRule="exact"/>
        <w:ind w:firstLine="480"/>
        <w:jc w:val="left"/>
        <w:textAlignment w:val="auto"/>
        <w:rPr>
          <w:rFonts w:hint="eastAsia" w:ascii="宋体" w:hAnsi="宋体" w:eastAsia="宋体" w:cs="宋体"/>
          <w:sz w:val="24"/>
          <w:szCs w:val="24"/>
        </w:rPr>
      </w:pPr>
      <w:r>
        <w:rPr>
          <w:rFonts w:hint="eastAsia" w:ascii="宋体" w:hAnsi="宋体" w:eastAsia="宋体" w:cs="宋体"/>
          <w:sz w:val="24"/>
          <w:szCs w:val="24"/>
        </w:rPr>
        <w:t>成员一：</w:t>
      </w:r>
      <w:r>
        <w:rPr>
          <w:rFonts w:hint="eastAsia" w:ascii="宋体" w:hAnsi="宋体" w:eastAsia="宋体" w:cs="宋体"/>
          <w:sz w:val="24"/>
          <w:szCs w:val="24"/>
          <w:u w:val="single"/>
        </w:rPr>
        <w:t>（全称并加盖成员一的单位公章）</w:t>
      </w:r>
    </w:p>
    <w:p w14:paraId="28B5B5EC">
      <w:pPr>
        <w:pStyle w:val="6"/>
        <w:keepNext w:val="0"/>
        <w:keepLines w:val="0"/>
        <w:pageBreakBefore w:val="0"/>
        <w:kinsoku/>
        <w:wordWrap/>
        <w:overflowPunct/>
        <w:topLinePunct w:val="0"/>
        <w:autoSpaceDE/>
        <w:autoSpaceDN/>
        <w:bidi w:val="0"/>
        <w:adjustRightInd/>
        <w:snapToGrid/>
        <w:spacing w:line="500" w:lineRule="exact"/>
        <w:ind w:firstLine="480"/>
        <w:jc w:val="left"/>
        <w:textAlignment w:val="auto"/>
        <w:rPr>
          <w:rFonts w:hint="eastAsia" w:ascii="宋体" w:hAnsi="宋体" w:eastAsia="宋体" w:cs="宋体"/>
          <w:sz w:val="24"/>
          <w:szCs w:val="24"/>
        </w:rPr>
      </w:pPr>
      <w:r>
        <w:rPr>
          <w:rFonts w:hint="eastAsia" w:ascii="宋体" w:hAnsi="宋体" w:eastAsia="宋体" w:cs="宋体"/>
          <w:sz w:val="24"/>
          <w:szCs w:val="24"/>
        </w:rPr>
        <w:t>法定代表人或其委托代理人：</w:t>
      </w:r>
      <w:r>
        <w:rPr>
          <w:rFonts w:hint="eastAsia" w:ascii="宋体" w:hAnsi="宋体" w:eastAsia="宋体" w:cs="宋体"/>
          <w:sz w:val="24"/>
          <w:szCs w:val="24"/>
          <w:u w:val="single"/>
        </w:rPr>
        <w:t xml:space="preserve"> （签字或盖章）</w:t>
      </w:r>
    </w:p>
    <w:p w14:paraId="3A277C54">
      <w:pPr>
        <w:pStyle w:val="6"/>
        <w:keepNext w:val="0"/>
        <w:keepLines w:val="0"/>
        <w:pageBreakBefore w:val="0"/>
        <w:kinsoku/>
        <w:wordWrap/>
        <w:overflowPunct/>
        <w:topLinePunct w:val="0"/>
        <w:autoSpaceDE/>
        <w:autoSpaceDN/>
        <w:bidi w:val="0"/>
        <w:adjustRightInd/>
        <w:snapToGrid/>
        <w:spacing w:line="500" w:lineRule="exact"/>
        <w:ind w:firstLine="480"/>
        <w:jc w:val="left"/>
        <w:textAlignment w:val="auto"/>
        <w:rPr>
          <w:rFonts w:hint="eastAsia" w:ascii="宋体" w:hAnsi="宋体" w:eastAsia="宋体" w:cs="宋体"/>
          <w:sz w:val="24"/>
          <w:szCs w:val="24"/>
        </w:rPr>
      </w:pPr>
      <w:r>
        <w:rPr>
          <w:rFonts w:hint="eastAsia" w:ascii="宋体" w:hAnsi="宋体" w:eastAsia="宋体" w:cs="宋体"/>
          <w:sz w:val="24"/>
          <w:szCs w:val="24"/>
        </w:rPr>
        <w:t>……</w:t>
      </w:r>
    </w:p>
    <w:p w14:paraId="6D8E108C">
      <w:pPr>
        <w:pStyle w:val="6"/>
        <w:keepNext w:val="0"/>
        <w:keepLines w:val="0"/>
        <w:pageBreakBefore w:val="0"/>
        <w:kinsoku/>
        <w:wordWrap/>
        <w:overflowPunct/>
        <w:topLinePunct w:val="0"/>
        <w:autoSpaceDE/>
        <w:autoSpaceDN/>
        <w:bidi w:val="0"/>
        <w:adjustRightInd/>
        <w:snapToGrid/>
        <w:spacing w:line="500" w:lineRule="exact"/>
        <w:ind w:firstLine="480"/>
        <w:jc w:val="left"/>
        <w:textAlignment w:val="auto"/>
        <w:rPr>
          <w:rFonts w:hint="eastAsia" w:ascii="宋体" w:hAnsi="宋体" w:eastAsia="宋体" w:cs="宋体"/>
          <w:sz w:val="24"/>
          <w:szCs w:val="24"/>
        </w:rPr>
      </w:pPr>
      <w:r>
        <w:rPr>
          <w:rFonts w:hint="eastAsia" w:ascii="宋体" w:hAnsi="宋体" w:eastAsia="宋体" w:cs="宋体"/>
          <w:sz w:val="24"/>
          <w:szCs w:val="24"/>
        </w:rPr>
        <w:t>成员**：</w:t>
      </w:r>
      <w:r>
        <w:rPr>
          <w:rFonts w:hint="eastAsia" w:ascii="宋体" w:hAnsi="宋体" w:eastAsia="宋体" w:cs="宋体"/>
          <w:sz w:val="24"/>
          <w:szCs w:val="24"/>
          <w:u w:val="single"/>
        </w:rPr>
        <w:t>（全称并加盖成员**的单位公章）</w:t>
      </w:r>
    </w:p>
    <w:p w14:paraId="5E02AEFC">
      <w:pPr>
        <w:pStyle w:val="6"/>
        <w:keepNext w:val="0"/>
        <w:keepLines w:val="0"/>
        <w:pageBreakBefore w:val="0"/>
        <w:kinsoku/>
        <w:wordWrap/>
        <w:overflowPunct/>
        <w:topLinePunct w:val="0"/>
        <w:autoSpaceDE/>
        <w:autoSpaceDN/>
        <w:bidi w:val="0"/>
        <w:adjustRightInd/>
        <w:snapToGrid/>
        <w:spacing w:line="500" w:lineRule="exact"/>
        <w:ind w:firstLine="480"/>
        <w:jc w:val="left"/>
        <w:textAlignment w:val="auto"/>
        <w:rPr>
          <w:rFonts w:hint="eastAsia" w:ascii="宋体" w:hAnsi="宋体" w:eastAsia="宋体" w:cs="宋体"/>
          <w:sz w:val="24"/>
          <w:szCs w:val="24"/>
        </w:rPr>
      </w:pPr>
      <w:r>
        <w:rPr>
          <w:rFonts w:hint="eastAsia" w:ascii="宋体" w:hAnsi="宋体" w:eastAsia="宋体" w:cs="宋体"/>
          <w:sz w:val="24"/>
          <w:szCs w:val="24"/>
        </w:rPr>
        <w:t>法定代表人或其委托代理人：</w:t>
      </w:r>
      <w:r>
        <w:rPr>
          <w:rFonts w:hint="eastAsia" w:ascii="宋体" w:hAnsi="宋体" w:eastAsia="宋体" w:cs="宋体"/>
          <w:sz w:val="24"/>
          <w:szCs w:val="24"/>
          <w:u w:val="single"/>
        </w:rPr>
        <w:t xml:space="preserve"> （签字或盖章）</w:t>
      </w:r>
    </w:p>
    <w:p w14:paraId="35977AE6">
      <w:pPr>
        <w:pStyle w:val="6"/>
        <w:keepNext w:val="0"/>
        <w:keepLines w:val="0"/>
        <w:pageBreakBefore w:val="0"/>
        <w:kinsoku/>
        <w:wordWrap/>
        <w:overflowPunct/>
        <w:topLinePunct w:val="0"/>
        <w:autoSpaceDE/>
        <w:autoSpaceDN/>
        <w:bidi w:val="0"/>
        <w:adjustRightInd/>
        <w:snapToGrid/>
        <w:spacing w:line="500" w:lineRule="exact"/>
        <w:ind w:firstLine="480"/>
        <w:jc w:val="right"/>
        <w:textAlignment w:val="auto"/>
        <w:rPr>
          <w:rFonts w:hint="eastAsia" w:ascii="宋体" w:hAnsi="宋体" w:eastAsia="宋体" w:cs="宋体"/>
          <w:sz w:val="24"/>
          <w:szCs w:val="24"/>
        </w:rPr>
      </w:pPr>
      <w:r>
        <w:rPr>
          <w:rFonts w:hint="eastAsia" w:ascii="宋体" w:hAnsi="宋体" w:eastAsia="宋体" w:cs="宋体"/>
          <w:sz w:val="24"/>
          <w:szCs w:val="24"/>
        </w:rPr>
        <w:t>签署日期：</w:t>
      </w:r>
      <w:r>
        <w:rPr>
          <w:rFonts w:hint="eastAsia" w:ascii="宋体" w:hAnsi="宋体" w:eastAsia="宋体" w:cs="宋体"/>
          <w:sz w:val="24"/>
          <w:szCs w:val="24"/>
          <w:u w:val="single"/>
        </w:rPr>
        <w:t>　　年　　月　　日</w:t>
      </w:r>
    </w:p>
    <w:p w14:paraId="1F41E843">
      <w:pPr>
        <w:pStyle w:val="6"/>
        <w:keepNext w:val="0"/>
        <w:keepLines w:val="0"/>
        <w:pageBreakBefore w:val="0"/>
        <w:kinsoku/>
        <w:wordWrap/>
        <w:overflowPunct/>
        <w:topLinePunct w:val="0"/>
        <w:autoSpaceDE/>
        <w:autoSpaceDN/>
        <w:bidi w:val="0"/>
        <w:adjustRightInd/>
        <w:snapToGrid/>
        <w:spacing w:line="500" w:lineRule="exact"/>
        <w:ind w:firstLine="480"/>
        <w:jc w:val="left"/>
        <w:textAlignment w:val="auto"/>
        <w:rPr>
          <w:rFonts w:hint="eastAsia" w:ascii="宋体" w:hAnsi="宋体" w:eastAsia="宋体" w:cs="宋体"/>
          <w:sz w:val="24"/>
          <w:szCs w:val="24"/>
        </w:rPr>
      </w:pPr>
      <w:r>
        <w:rPr>
          <w:rFonts w:hint="eastAsia" w:ascii="宋体" w:hAnsi="宋体" w:eastAsia="宋体" w:cs="宋体"/>
          <w:sz w:val="24"/>
          <w:szCs w:val="24"/>
        </w:rPr>
        <w:t>※注意：</w:t>
      </w:r>
    </w:p>
    <w:p w14:paraId="1658644B">
      <w:pPr>
        <w:pStyle w:val="6"/>
        <w:keepNext w:val="0"/>
        <w:keepLines w:val="0"/>
        <w:pageBreakBefore w:val="0"/>
        <w:kinsoku/>
        <w:wordWrap/>
        <w:overflowPunct/>
        <w:topLinePunct w:val="0"/>
        <w:autoSpaceDE/>
        <w:autoSpaceDN/>
        <w:bidi w:val="0"/>
        <w:adjustRightInd/>
        <w:snapToGrid/>
        <w:spacing w:line="500" w:lineRule="exact"/>
        <w:ind w:firstLine="480"/>
        <w:jc w:val="left"/>
        <w:textAlignment w:val="auto"/>
        <w:rPr>
          <w:rFonts w:hint="eastAsia" w:ascii="宋体" w:hAnsi="宋体" w:eastAsia="宋体" w:cs="宋体"/>
          <w:sz w:val="24"/>
          <w:szCs w:val="24"/>
        </w:rPr>
      </w:pPr>
      <w:r>
        <w:rPr>
          <w:rFonts w:hint="eastAsia" w:ascii="宋体" w:hAnsi="宋体" w:eastAsia="宋体" w:cs="宋体"/>
          <w:sz w:val="24"/>
          <w:szCs w:val="24"/>
        </w:rPr>
        <w:t>1、招标文件接受联合体投标且投标人为联合体的，投标人应提供本协议；否则无须提供。</w:t>
      </w:r>
    </w:p>
    <w:p w14:paraId="4EBC5ACF">
      <w:pPr>
        <w:pStyle w:val="6"/>
        <w:keepNext w:val="0"/>
        <w:keepLines w:val="0"/>
        <w:pageBreakBefore w:val="0"/>
        <w:kinsoku/>
        <w:wordWrap/>
        <w:overflowPunct/>
        <w:topLinePunct w:val="0"/>
        <w:autoSpaceDE/>
        <w:autoSpaceDN/>
        <w:bidi w:val="0"/>
        <w:adjustRightInd/>
        <w:snapToGrid/>
        <w:spacing w:line="500" w:lineRule="exact"/>
        <w:ind w:firstLine="480"/>
        <w:jc w:val="left"/>
        <w:textAlignment w:val="auto"/>
        <w:rPr>
          <w:rFonts w:hint="eastAsia" w:ascii="宋体" w:hAnsi="宋体" w:eastAsia="宋体" w:cs="宋体"/>
          <w:sz w:val="24"/>
          <w:szCs w:val="24"/>
        </w:rPr>
      </w:pPr>
      <w:r>
        <w:rPr>
          <w:rFonts w:hint="eastAsia" w:ascii="宋体" w:hAnsi="宋体" w:eastAsia="宋体" w:cs="宋体"/>
          <w:sz w:val="24"/>
          <w:szCs w:val="24"/>
        </w:rPr>
        <w:t>2、本协议由委托代理人签字或盖章的，应按照本章载明的格式提供“单位授权书”。</w:t>
      </w:r>
    </w:p>
    <w:p w14:paraId="06234BE8">
      <w:pPr>
        <w:pStyle w:val="6"/>
        <w:keepNext w:val="0"/>
        <w:keepLines w:val="0"/>
        <w:pageBreakBefore w:val="0"/>
        <w:kinsoku/>
        <w:wordWrap/>
        <w:overflowPunct/>
        <w:topLinePunct w:val="0"/>
        <w:autoSpaceDE/>
        <w:autoSpaceDN/>
        <w:bidi w:val="0"/>
        <w:adjustRightInd/>
        <w:snapToGrid/>
        <w:spacing w:line="500" w:lineRule="exact"/>
        <w:ind w:firstLine="480"/>
        <w:jc w:val="left"/>
        <w:textAlignment w:val="auto"/>
        <w:rPr>
          <w:rFonts w:hint="eastAsia" w:ascii="宋体" w:hAnsi="宋体" w:eastAsia="宋体" w:cs="宋体"/>
          <w:sz w:val="24"/>
          <w:szCs w:val="24"/>
        </w:rPr>
      </w:pPr>
      <w:r>
        <w:rPr>
          <w:rFonts w:hint="eastAsia" w:ascii="宋体" w:hAnsi="宋体" w:eastAsia="宋体" w:cs="宋体"/>
          <w:sz w:val="24"/>
          <w:szCs w:val="24"/>
        </w:rPr>
        <w:t>3、在以联合体形式落实中小企业预留份额项目中，投标人除了要提供《中小企业声明函》，还需提供本协议。</w:t>
      </w:r>
    </w:p>
    <w:p w14:paraId="6A134377">
      <w:pPr>
        <w:pStyle w:val="6"/>
        <w:keepNext w:val="0"/>
        <w:keepLines w:val="0"/>
        <w:pageBreakBefore w:val="0"/>
        <w:kinsoku/>
        <w:wordWrap/>
        <w:overflowPunct/>
        <w:topLinePunct w:val="0"/>
        <w:autoSpaceDE/>
        <w:autoSpaceDN/>
        <w:bidi w:val="0"/>
        <w:adjustRightInd/>
        <w:snapToGrid/>
        <w:spacing w:line="500" w:lineRule="exact"/>
        <w:ind w:firstLine="960"/>
        <w:jc w:val="left"/>
        <w:textAlignment w:val="auto"/>
        <w:rPr>
          <w:rFonts w:hint="eastAsia" w:ascii="宋体" w:hAnsi="宋体" w:eastAsia="宋体" w:cs="宋体"/>
          <w:sz w:val="24"/>
          <w:szCs w:val="24"/>
        </w:rPr>
      </w:pPr>
      <w:r>
        <w:rPr>
          <w:rFonts w:hint="eastAsia" w:ascii="宋体" w:hAnsi="宋体" w:eastAsia="宋体" w:cs="宋体"/>
          <w:sz w:val="24"/>
          <w:szCs w:val="24"/>
        </w:rPr>
        <w:t xml:space="preserve"> </w:t>
      </w:r>
      <w:r>
        <w:rPr>
          <w:rFonts w:hint="eastAsia" w:ascii="宋体" w:hAnsi="宋体" w:eastAsia="宋体" w:cs="宋体"/>
          <w:sz w:val="24"/>
          <w:szCs w:val="24"/>
        </w:rPr>
        <w:br w:type="textWrapping"/>
      </w:r>
      <w:r>
        <w:rPr>
          <w:rFonts w:hint="eastAsia" w:ascii="宋体" w:hAnsi="宋体" w:eastAsia="宋体" w:cs="宋体"/>
          <w:sz w:val="24"/>
          <w:szCs w:val="24"/>
        </w:rPr>
        <w:br w:type="page"/>
      </w:r>
    </w:p>
    <w:p w14:paraId="44A3050F">
      <w:pPr>
        <w:pStyle w:val="6"/>
        <w:keepNext w:val="0"/>
        <w:keepLines w:val="0"/>
        <w:pageBreakBefore w:val="0"/>
        <w:kinsoku/>
        <w:wordWrap/>
        <w:overflowPunct/>
        <w:topLinePunct w:val="0"/>
        <w:autoSpaceDE/>
        <w:autoSpaceDN/>
        <w:bidi w:val="0"/>
        <w:adjustRightInd/>
        <w:snapToGrid/>
        <w:spacing w:line="500" w:lineRule="exact"/>
        <w:ind w:firstLine="960"/>
        <w:jc w:val="center"/>
        <w:textAlignment w:val="auto"/>
        <w:outlineLvl w:val="3"/>
        <w:rPr>
          <w:rFonts w:hint="eastAsia" w:ascii="宋体" w:hAnsi="宋体" w:eastAsia="宋体" w:cs="宋体"/>
          <w:sz w:val="24"/>
          <w:szCs w:val="24"/>
        </w:rPr>
      </w:pPr>
      <w:r>
        <w:rPr>
          <w:rFonts w:hint="eastAsia" w:ascii="宋体" w:hAnsi="宋体" w:eastAsia="宋体" w:cs="宋体"/>
          <w:b/>
          <w:sz w:val="24"/>
          <w:szCs w:val="24"/>
        </w:rPr>
        <w:t>二-6分包意向协议（若有）</w:t>
      </w:r>
    </w:p>
    <w:p w14:paraId="0E604DB6">
      <w:pPr>
        <w:pStyle w:val="6"/>
        <w:keepNext w:val="0"/>
        <w:keepLines w:val="0"/>
        <w:pageBreakBefore w:val="0"/>
        <w:kinsoku/>
        <w:wordWrap/>
        <w:overflowPunct/>
        <w:topLinePunct w:val="0"/>
        <w:autoSpaceDE/>
        <w:autoSpaceDN/>
        <w:bidi w:val="0"/>
        <w:adjustRightInd/>
        <w:snapToGrid/>
        <w:spacing w:line="500" w:lineRule="exact"/>
        <w:ind w:firstLine="480"/>
        <w:jc w:val="left"/>
        <w:textAlignment w:val="auto"/>
        <w:rPr>
          <w:rFonts w:hint="eastAsia" w:ascii="宋体" w:hAnsi="宋体" w:eastAsia="宋体" w:cs="宋体"/>
          <w:sz w:val="24"/>
          <w:szCs w:val="24"/>
        </w:rPr>
      </w:pPr>
      <w:r>
        <w:rPr>
          <w:rFonts w:hint="eastAsia" w:ascii="宋体" w:hAnsi="宋体" w:eastAsia="宋体" w:cs="宋体"/>
          <w:sz w:val="24"/>
          <w:szCs w:val="24"/>
        </w:rPr>
        <w:t>甲方（总包方）：</w:t>
      </w:r>
      <w:r>
        <w:rPr>
          <w:rFonts w:hint="eastAsia" w:ascii="宋体" w:hAnsi="宋体" w:eastAsia="宋体" w:cs="宋体"/>
          <w:sz w:val="24"/>
          <w:szCs w:val="24"/>
          <w:u w:val="single"/>
        </w:rPr>
        <w:t>　　　　　　　</w:t>
      </w:r>
      <w:r>
        <w:rPr>
          <w:rFonts w:hint="eastAsia" w:ascii="宋体" w:hAnsi="宋体" w:eastAsia="宋体" w:cs="宋体"/>
          <w:sz w:val="24"/>
          <w:szCs w:val="24"/>
        </w:rPr>
        <w:t>（即本项目的投标人）</w:t>
      </w:r>
    </w:p>
    <w:p w14:paraId="4841A0DE">
      <w:pPr>
        <w:pStyle w:val="6"/>
        <w:keepNext w:val="0"/>
        <w:keepLines w:val="0"/>
        <w:pageBreakBefore w:val="0"/>
        <w:kinsoku/>
        <w:wordWrap/>
        <w:overflowPunct/>
        <w:topLinePunct w:val="0"/>
        <w:autoSpaceDE/>
        <w:autoSpaceDN/>
        <w:bidi w:val="0"/>
        <w:adjustRightInd/>
        <w:snapToGrid/>
        <w:spacing w:line="500" w:lineRule="exact"/>
        <w:ind w:firstLine="480"/>
        <w:jc w:val="left"/>
        <w:textAlignment w:val="auto"/>
        <w:rPr>
          <w:rFonts w:hint="eastAsia" w:ascii="宋体" w:hAnsi="宋体" w:eastAsia="宋体" w:cs="宋体"/>
          <w:sz w:val="24"/>
          <w:szCs w:val="24"/>
        </w:rPr>
      </w:pPr>
      <w:r>
        <w:rPr>
          <w:rFonts w:hint="eastAsia" w:ascii="宋体" w:hAnsi="宋体" w:eastAsia="宋体" w:cs="宋体"/>
          <w:sz w:val="24"/>
          <w:szCs w:val="24"/>
        </w:rPr>
        <w:t>乙方（分包方）：</w:t>
      </w:r>
      <w:r>
        <w:rPr>
          <w:rFonts w:hint="eastAsia" w:ascii="宋体" w:hAnsi="宋体" w:eastAsia="宋体" w:cs="宋体"/>
          <w:sz w:val="24"/>
          <w:szCs w:val="24"/>
          <w:u w:val="single"/>
        </w:rPr>
        <w:t>　　　　　　　</w:t>
      </w:r>
    </w:p>
    <w:p w14:paraId="35E84B16">
      <w:pPr>
        <w:pStyle w:val="6"/>
        <w:keepNext w:val="0"/>
        <w:keepLines w:val="0"/>
        <w:pageBreakBefore w:val="0"/>
        <w:kinsoku/>
        <w:wordWrap/>
        <w:overflowPunct/>
        <w:topLinePunct w:val="0"/>
        <w:autoSpaceDE/>
        <w:autoSpaceDN/>
        <w:bidi w:val="0"/>
        <w:adjustRightInd/>
        <w:snapToGrid/>
        <w:spacing w:line="500" w:lineRule="exact"/>
        <w:ind w:firstLine="480"/>
        <w:jc w:val="left"/>
        <w:textAlignment w:val="auto"/>
        <w:rPr>
          <w:rFonts w:hint="eastAsia" w:ascii="宋体" w:hAnsi="宋体" w:eastAsia="宋体" w:cs="宋体"/>
          <w:sz w:val="24"/>
          <w:szCs w:val="24"/>
        </w:rPr>
      </w:pPr>
      <w:r>
        <w:rPr>
          <w:rFonts w:hint="eastAsia" w:ascii="宋体" w:hAnsi="宋体" w:eastAsia="宋体" w:cs="宋体"/>
          <w:sz w:val="24"/>
          <w:szCs w:val="24"/>
        </w:rPr>
        <w:t>兹有甲方参加</w:t>
      </w:r>
      <w:r>
        <w:rPr>
          <w:rFonts w:hint="eastAsia" w:ascii="宋体" w:hAnsi="宋体" w:eastAsia="宋体" w:cs="宋体"/>
          <w:sz w:val="24"/>
          <w:szCs w:val="24"/>
          <w:u w:val="single"/>
        </w:rPr>
        <w:t>（填写“项目名称”）</w:t>
      </w:r>
      <w:r>
        <w:rPr>
          <w:rFonts w:hint="eastAsia" w:ascii="宋体" w:hAnsi="宋体" w:eastAsia="宋体" w:cs="宋体"/>
          <w:sz w:val="24"/>
          <w:szCs w:val="24"/>
        </w:rPr>
        <w:t xml:space="preserve"> 项目（项目编号：</w:t>
      </w:r>
      <w:r>
        <w:rPr>
          <w:rFonts w:hint="eastAsia" w:ascii="宋体" w:hAnsi="宋体" w:eastAsia="宋体" w:cs="宋体"/>
          <w:sz w:val="24"/>
          <w:szCs w:val="24"/>
          <w:u w:val="single"/>
        </w:rPr>
        <w:t>　　　　　　　</w:t>
      </w:r>
      <w:r>
        <w:rPr>
          <w:rFonts w:hint="eastAsia" w:ascii="宋体" w:hAnsi="宋体" w:eastAsia="宋体" w:cs="宋体"/>
          <w:sz w:val="24"/>
          <w:szCs w:val="24"/>
        </w:rPr>
        <w:t>）的政府采购活动。甲方期望将采购项目的部分采购标的分包给乙方完成，而乙方保证能够向甲方提供本协议项下的采购标的，甲、乙双方就合同分包的有关事宜达成下列协议：</w:t>
      </w:r>
    </w:p>
    <w:p w14:paraId="30FF1F03">
      <w:pPr>
        <w:pStyle w:val="6"/>
        <w:keepNext w:val="0"/>
        <w:keepLines w:val="0"/>
        <w:pageBreakBefore w:val="0"/>
        <w:kinsoku/>
        <w:wordWrap/>
        <w:overflowPunct/>
        <w:topLinePunct w:val="0"/>
        <w:autoSpaceDE/>
        <w:autoSpaceDN/>
        <w:bidi w:val="0"/>
        <w:adjustRightInd/>
        <w:snapToGrid/>
        <w:spacing w:line="500" w:lineRule="exact"/>
        <w:ind w:firstLine="480"/>
        <w:jc w:val="left"/>
        <w:textAlignment w:val="auto"/>
        <w:rPr>
          <w:rFonts w:hint="eastAsia" w:ascii="宋体" w:hAnsi="宋体" w:eastAsia="宋体" w:cs="宋体"/>
          <w:sz w:val="24"/>
          <w:szCs w:val="24"/>
        </w:rPr>
      </w:pPr>
      <w:r>
        <w:rPr>
          <w:rFonts w:hint="eastAsia" w:ascii="宋体" w:hAnsi="宋体" w:eastAsia="宋体" w:cs="宋体"/>
          <w:sz w:val="24"/>
          <w:szCs w:val="24"/>
        </w:rPr>
        <w:t>一、分包标的</w:t>
      </w:r>
    </w:p>
    <w:p w14:paraId="286D5066">
      <w:pPr>
        <w:pStyle w:val="6"/>
        <w:keepNext w:val="0"/>
        <w:keepLines w:val="0"/>
        <w:pageBreakBefore w:val="0"/>
        <w:kinsoku/>
        <w:wordWrap/>
        <w:overflowPunct/>
        <w:topLinePunct w:val="0"/>
        <w:autoSpaceDE/>
        <w:autoSpaceDN/>
        <w:bidi w:val="0"/>
        <w:adjustRightInd/>
        <w:snapToGrid/>
        <w:spacing w:line="500" w:lineRule="exact"/>
        <w:ind w:firstLine="480"/>
        <w:jc w:val="left"/>
        <w:textAlignment w:val="auto"/>
        <w:rPr>
          <w:rFonts w:hint="eastAsia" w:ascii="宋体" w:hAnsi="宋体" w:eastAsia="宋体" w:cs="宋体"/>
          <w:sz w:val="24"/>
          <w:szCs w:val="24"/>
        </w:rPr>
      </w:pPr>
      <w:r>
        <w:rPr>
          <w:rFonts w:hint="eastAsia" w:ascii="宋体" w:hAnsi="宋体" w:eastAsia="宋体" w:cs="宋体"/>
          <w:sz w:val="24"/>
          <w:szCs w:val="24"/>
          <w:u w:val="single"/>
        </w:rPr>
        <w:t>（根据双方的意向填写，可以是表格或文字描述）。</w:t>
      </w:r>
    </w:p>
    <w:p w14:paraId="6EE593B5">
      <w:pPr>
        <w:pStyle w:val="6"/>
        <w:keepNext w:val="0"/>
        <w:keepLines w:val="0"/>
        <w:pageBreakBefore w:val="0"/>
        <w:kinsoku/>
        <w:wordWrap/>
        <w:overflowPunct/>
        <w:topLinePunct w:val="0"/>
        <w:autoSpaceDE/>
        <w:autoSpaceDN/>
        <w:bidi w:val="0"/>
        <w:adjustRightInd/>
        <w:snapToGrid/>
        <w:spacing w:line="500" w:lineRule="exact"/>
        <w:ind w:firstLine="480"/>
        <w:jc w:val="left"/>
        <w:textAlignment w:val="auto"/>
        <w:rPr>
          <w:rFonts w:hint="eastAsia" w:ascii="宋体" w:hAnsi="宋体" w:eastAsia="宋体" w:cs="宋体"/>
          <w:sz w:val="24"/>
          <w:szCs w:val="24"/>
        </w:rPr>
      </w:pPr>
      <w:r>
        <w:rPr>
          <w:rFonts w:hint="eastAsia" w:ascii="宋体" w:hAnsi="宋体" w:eastAsia="宋体" w:cs="宋体"/>
          <w:sz w:val="24"/>
          <w:szCs w:val="24"/>
        </w:rPr>
        <w:t>二、分包合同金额占比</w:t>
      </w:r>
    </w:p>
    <w:p w14:paraId="30A1F1B9">
      <w:pPr>
        <w:pStyle w:val="6"/>
        <w:keepNext w:val="0"/>
        <w:keepLines w:val="0"/>
        <w:pageBreakBefore w:val="0"/>
        <w:kinsoku/>
        <w:wordWrap/>
        <w:overflowPunct/>
        <w:topLinePunct w:val="0"/>
        <w:autoSpaceDE/>
        <w:autoSpaceDN/>
        <w:bidi w:val="0"/>
        <w:adjustRightInd/>
        <w:snapToGrid/>
        <w:spacing w:line="500" w:lineRule="exact"/>
        <w:ind w:firstLine="480"/>
        <w:jc w:val="left"/>
        <w:textAlignment w:val="auto"/>
        <w:rPr>
          <w:rFonts w:hint="eastAsia" w:ascii="宋体" w:hAnsi="宋体" w:eastAsia="宋体" w:cs="宋体"/>
          <w:sz w:val="24"/>
          <w:szCs w:val="24"/>
        </w:rPr>
      </w:pPr>
      <w:r>
        <w:rPr>
          <w:rFonts w:hint="eastAsia" w:ascii="宋体" w:hAnsi="宋体" w:eastAsia="宋体" w:cs="宋体"/>
          <w:sz w:val="24"/>
          <w:szCs w:val="24"/>
        </w:rPr>
        <w:t>分包合同价占投标总价的比例：</w:t>
      </w:r>
      <w:r>
        <w:rPr>
          <w:rFonts w:hint="eastAsia" w:ascii="宋体" w:hAnsi="宋体" w:eastAsia="宋体" w:cs="宋体"/>
          <w:sz w:val="24"/>
          <w:szCs w:val="24"/>
          <w:u w:val="single"/>
        </w:rPr>
        <w:t>　　　　　</w:t>
      </w:r>
      <w:r>
        <w:rPr>
          <w:rFonts w:hint="eastAsia" w:ascii="宋体" w:hAnsi="宋体" w:eastAsia="宋体" w:cs="宋体"/>
          <w:sz w:val="24"/>
          <w:szCs w:val="24"/>
        </w:rPr>
        <w:t>%</w:t>
      </w:r>
    </w:p>
    <w:p w14:paraId="747DCA8D">
      <w:pPr>
        <w:pStyle w:val="6"/>
        <w:keepNext w:val="0"/>
        <w:keepLines w:val="0"/>
        <w:pageBreakBefore w:val="0"/>
        <w:kinsoku/>
        <w:wordWrap/>
        <w:overflowPunct/>
        <w:topLinePunct w:val="0"/>
        <w:autoSpaceDE/>
        <w:autoSpaceDN/>
        <w:bidi w:val="0"/>
        <w:adjustRightInd/>
        <w:snapToGrid/>
        <w:spacing w:line="500" w:lineRule="exact"/>
        <w:ind w:firstLine="480"/>
        <w:jc w:val="left"/>
        <w:textAlignment w:val="auto"/>
        <w:rPr>
          <w:rFonts w:hint="eastAsia" w:ascii="宋体" w:hAnsi="宋体" w:eastAsia="宋体" w:cs="宋体"/>
          <w:sz w:val="24"/>
          <w:szCs w:val="24"/>
        </w:rPr>
      </w:pPr>
      <w:r>
        <w:rPr>
          <w:rFonts w:hint="eastAsia" w:ascii="宋体" w:hAnsi="宋体" w:eastAsia="宋体" w:cs="宋体"/>
          <w:sz w:val="24"/>
          <w:szCs w:val="24"/>
        </w:rPr>
        <w:t>三、其他条款</w:t>
      </w:r>
    </w:p>
    <w:p w14:paraId="1454EE66">
      <w:pPr>
        <w:pStyle w:val="6"/>
        <w:keepNext w:val="0"/>
        <w:keepLines w:val="0"/>
        <w:pageBreakBefore w:val="0"/>
        <w:kinsoku/>
        <w:wordWrap/>
        <w:overflowPunct/>
        <w:topLinePunct w:val="0"/>
        <w:autoSpaceDE/>
        <w:autoSpaceDN/>
        <w:bidi w:val="0"/>
        <w:adjustRightInd/>
        <w:snapToGrid/>
        <w:spacing w:line="500" w:lineRule="exact"/>
        <w:ind w:firstLine="480"/>
        <w:jc w:val="left"/>
        <w:textAlignment w:val="auto"/>
        <w:rPr>
          <w:rFonts w:hint="eastAsia" w:ascii="宋体" w:hAnsi="宋体" w:eastAsia="宋体" w:cs="宋体"/>
          <w:sz w:val="24"/>
          <w:szCs w:val="24"/>
        </w:rPr>
      </w:pPr>
      <w:r>
        <w:rPr>
          <w:rFonts w:hint="eastAsia" w:ascii="宋体" w:hAnsi="宋体" w:eastAsia="宋体" w:cs="宋体"/>
          <w:sz w:val="24"/>
          <w:szCs w:val="24"/>
        </w:rPr>
        <w:t>分包合同标的交付时间、地点和条件，质量要求和标准，验收，款项的支付，履约担保，违约责任，质量保证，知识产权，合同纠纷处理方式，不可抗力等条款待甲方中标（成交）后，根据甲方与采购人签订的总包合同确定具体的内容。</w:t>
      </w:r>
    </w:p>
    <w:tbl>
      <w:tblPr>
        <w:tblStyle w:val="4"/>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4153"/>
        <w:gridCol w:w="4153"/>
      </w:tblGrid>
      <w:tr w14:paraId="3A99F13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3" w:type="dxa"/>
          </w:tcPr>
          <w:p w14:paraId="7BDF39E1">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甲方：</w:t>
            </w:r>
          </w:p>
        </w:tc>
        <w:tc>
          <w:tcPr>
            <w:tcW w:w="4153" w:type="dxa"/>
          </w:tcPr>
          <w:p w14:paraId="52A234A4">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乙方：</w:t>
            </w:r>
          </w:p>
        </w:tc>
      </w:tr>
      <w:tr w14:paraId="1FF4958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3" w:type="dxa"/>
          </w:tcPr>
          <w:p w14:paraId="033E7B47">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住所：</w:t>
            </w:r>
          </w:p>
        </w:tc>
        <w:tc>
          <w:tcPr>
            <w:tcW w:w="4153" w:type="dxa"/>
          </w:tcPr>
          <w:p w14:paraId="216CF593">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住所：</w:t>
            </w:r>
          </w:p>
        </w:tc>
      </w:tr>
      <w:tr w14:paraId="2269396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3" w:type="dxa"/>
          </w:tcPr>
          <w:p w14:paraId="71219C27">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单位负责人或委托代理人：</w:t>
            </w:r>
          </w:p>
        </w:tc>
        <w:tc>
          <w:tcPr>
            <w:tcW w:w="4153" w:type="dxa"/>
          </w:tcPr>
          <w:p w14:paraId="6E7FECCD">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单位负责人或委托代理人：</w:t>
            </w:r>
          </w:p>
        </w:tc>
      </w:tr>
      <w:tr w14:paraId="5E6B3C8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3" w:type="dxa"/>
          </w:tcPr>
          <w:p w14:paraId="77F28AAA">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联系方法：</w:t>
            </w:r>
          </w:p>
        </w:tc>
        <w:tc>
          <w:tcPr>
            <w:tcW w:w="4153" w:type="dxa"/>
          </w:tcPr>
          <w:p w14:paraId="33602134">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联系方法：</w:t>
            </w:r>
          </w:p>
        </w:tc>
      </w:tr>
      <w:tr w14:paraId="5246847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3" w:type="dxa"/>
          </w:tcPr>
          <w:p w14:paraId="587D611B">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开户银行：</w:t>
            </w:r>
          </w:p>
        </w:tc>
        <w:tc>
          <w:tcPr>
            <w:tcW w:w="4153" w:type="dxa"/>
          </w:tcPr>
          <w:p w14:paraId="17FB4C76">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开户银行：</w:t>
            </w:r>
          </w:p>
        </w:tc>
      </w:tr>
      <w:tr w14:paraId="1064C06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3" w:type="dxa"/>
          </w:tcPr>
          <w:p w14:paraId="1F7DE165">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账号：</w:t>
            </w:r>
          </w:p>
        </w:tc>
        <w:tc>
          <w:tcPr>
            <w:tcW w:w="4153" w:type="dxa"/>
          </w:tcPr>
          <w:p w14:paraId="79BDCDF3">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账号：</w:t>
            </w:r>
          </w:p>
        </w:tc>
      </w:tr>
      <w:tr w14:paraId="1207118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06" w:type="dxa"/>
            <w:gridSpan w:val="2"/>
          </w:tcPr>
          <w:p w14:paraId="7658350B">
            <w:pPr>
              <w:pStyle w:val="6"/>
              <w:keepNext w:val="0"/>
              <w:keepLines w:val="0"/>
              <w:pageBreakBefore w:val="0"/>
              <w:kinsoku/>
              <w:wordWrap/>
              <w:overflowPunct/>
              <w:topLinePunct w:val="0"/>
              <w:autoSpaceDE/>
              <w:autoSpaceDN/>
              <w:bidi w:val="0"/>
              <w:adjustRightInd/>
              <w:snapToGrid/>
              <w:spacing w:line="500" w:lineRule="exact"/>
              <w:ind w:firstLine="960"/>
              <w:jc w:val="right"/>
              <w:textAlignment w:val="auto"/>
              <w:rPr>
                <w:rFonts w:hint="eastAsia" w:ascii="宋体" w:hAnsi="宋体" w:eastAsia="宋体" w:cs="宋体"/>
                <w:sz w:val="24"/>
                <w:szCs w:val="24"/>
              </w:rPr>
            </w:pPr>
            <w:r>
              <w:rPr>
                <w:rFonts w:hint="eastAsia" w:ascii="宋体" w:hAnsi="宋体" w:eastAsia="宋体" w:cs="宋体"/>
                <w:sz w:val="24"/>
                <w:szCs w:val="24"/>
              </w:rPr>
              <w:t>签订地点：</w:t>
            </w:r>
            <w:r>
              <w:rPr>
                <w:rFonts w:hint="eastAsia" w:ascii="宋体" w:hAnsi="宋体" w:eastAsia="宋体" w:cs="宋体"/>
                <w:sz w:val="24"/>
                <w:szCs w:val="24"/>
                <w:u w:val="single"/>
              </w:rPr>
              <w:t>　　　　　　　　　　</w:t>
            </w:r>
          </w:p>
          <w:p w14:paraId="778E57C6">
            <w:pPr>
              <w:pStyle w:val="6"/>
              <w:keepNext w:val="0"/>
              <w:keepLines w:val="0"/>
              <w:pageBreakBefore w:val="0"/>
              <w:kinsoku/>
              <w:wordWrap/>
              <w:overflowPunct/>
              <w:topLinePunct w:val="0"/>
              <w:autoSpaceDE/>
              <w:autoSpaceDN/>
              <w:bidi w:val="0"/>
              <w:adjustRightInd/>
              <w:snapToGrid/>
              <w:spacing w:line="500" w:lineRule="exact"/>
              <w:ind w:firstLine="960"/>
              <w:jc w:val="right"/>
              <w:textAlignment w:val="auto"/>
              <w:rPr>
                <w:rFonts w:hint="eastAsia" w:ascii="宋体" w:hAnsi="宋体" w:eastAsia="宋体" w:cs="宋体"/>
                <w:sz w:val="24"/>
                <w:szCs w:val="24"/>
              </w:rPr>
            </w:pPr>
            <w:r>
              <w:rPr>
                <w:rFonts w:hint="eastAsia" w:ascii="宋体" w:hAnsi="宋体" w:eastAsia="宋体" w:cs="宋体"/>
                <w:sz w:val="24"/>
                <w:szCs w:val="24"/>
              </w:rPr>
              <w:t>签约日期：</w:t>
            </w:r>
            <w:r>
              <w:rPr>
                <w:rFonts w:hint="eastAsia" w:ascii="宋体" w:hAnsi="宋体" w:eastAsia="宋体" w:cs="宋体"/>
                <w:sz w:val="24"/>
                <w:szCs w:val="24"/>
                <w:u w:val="single"/>
              </w:rPr>
              <w:t>　　年　　月　　日</w:t>
            </w:r>
          </w:p>
        </w:tc>
      </w:tr>
    </w:tbl>
    <w:p w14:paraId="6D990A42">
      <w:pPr>
        <w:pStyle w:val="6"/>
        <w:keepNext w:val="0"/>
        <w:keepLines w:val="0"/>
        <w:pageBreakBefore w:val="0"/>
        <w:kinsoku/>
        <w:wordWrap/>
        <w:overflowPunct/>
        <w:topLinePunct w:val="0"/>
        <w:autoSpaceDE/>
        <w:autoSpaceDN/>
        <w:bidi w:val="0"/>
        <w:adjustRightInd/>
        <w:snapToGrid/>
        <w:spacing w:line="500" w:lineRule="exact"/>
        <w:ind w:firstLine="480"/>
        <w:jc w:val="left"/>
        <w:textAlignment w:val="auto"/>
        <w:rPr>
          <w:rFonts w:hint="eastAsia" w:ascii="宋体" w:hAnsi="宋体" w:eastAsia="宋体" w:cs="宋体"/>
          <w:sz w:val="24"/>
          <w:szCs w:val="24"/>
        </w:rPr>
      </w:pPr>
      <w:r>
        <w:rPr>
          <w:rFonts w:hint="eastAsia" w:ascii="宋体" w:hAnsi="宋体" w:eastAsia="宋体" w:cs="宋体"/>
          <w:sz w:val="24"/>
          <w:szCs w:val="24"/>
        </w:rPr>
        <w:t>※注意：</w:t>
      </w:r>
    </w:p>
    <w:p w14:paraId="7F28785F">
      <w:pPr>
        <w:pStyle w:val="6"/>
        <w:keepNext w:val="0"/>
        <w:keepLines w:val="0"/>
        <w:pageBreakBefore w:val="0"/>
        <w:kinsoku/>
        <w:wordWrap/>
        <w:overflowPunct/>
        <w:topLinePunct w:val="0"/>
        <w:autoSpaceDE/>
        <w:autoSpaceDN/>
        <w:bidi w:val="0"/>
        <w:adjustRightInd/>
        <w:snapToGrid/>
        <w:spacing w:line="500" w:lineRule="exact"/>
        <w:ind w:firstLine="480"/>
        <w:jc w:val="left"/>
        <w:textAlignment w:val="auto"/>
        <w:rPr>
          <w:rFonts w:hint="eastAsia" w:ascii="宋体" w:hAnsi="宋体" w:eastAsia="宋体" w:cs="宋体"/>
          <w:sz w:val="24"/>
          <w:szCs w:val="24"/>
        </w:rPr>
      </w:pPr>
      <w:r>
        <w:rPr>
          <w:rFonts w:hint="eastAsia" w:ascii="宋体" w:hAnsi="宋体" w:eastAsia="宋体" w:cs="宋体"/>
          <w:sz w:val="24"/>
          <w:szCs w:val="24"/>
        </w:rPr>
        <w:t>1.招标文件接受合同分包且投标人拟将合同分包的，应提供本协议；否则无须提供。</w:t>
      </w:r>
    </w:p>
    <w:p w14:paraId="0477A9F8">
      <w:pPr>
        <w:pStyle w:val="6"/>
        <w:keepNext w:val="0"/>
        <w:keepLines w:val="0"/>
        <w:pageBreakBefore w:val="0"/>
        <w:kinsoku/>
        <w:wordWrap/>
        <w:overflowPunct/>
        <w:topLinePunct w:val="0"/>
        <w:autoSpaceDE/>
        <w:autoSpaceDN/>
        <w:bidi w:val="0"/>
        <w:adjustRightInd/>
        <w:snapToGrid/>
        <w:spacing w:line="500" w:lineRule="exact"/>
        <w:ind w:firstLine="480"/>
        <w:jc w:val="left"/>
        <w:textAlignment w:val="auto"/>
        <w:rPr>
          <w:rFonts w:hint="eastAsia" w:ascii="宋体" w:hAnsi="宋体" w:eastAsia="宋体" w:cs="宋体"/>
          <w:sz w:val="24"/>
          <w:szCs w:val="24"/>
        </w:rPr>
      </w:pPr>
      <w:r>
        <w:rPr>
          <w:rFonts w:hint="eastAsia" w:ascii="宋体" w:hAnsi="宋体" w:eastAsia="宋体" w:cs="宋体"/>
          <w:sz w:val="24"/>
          <w:szCs w:val="24"/>
        </w:rPr>
        <w:t>2.本协议由委托代理人签字或盖章的，应按照本章载明的格式提供“单位授权书”。</w:t>
      </w:r>
    </w:p>
    <w:p w14:paraId="7257ED0C">
      <w:pPr>
        <w:pStyle w:val="6"/>
        <w:keepNext w:val="0"/>
        <w:keepLines w:val="0"/>
        <w:pageBreakBefore w:val="0"/>
        <w:kinsoku/>
        <w:wordWrap/>
        <w:overflowPunct/>
        <w:topLinePunct w:val="0"/>
        <w:autoSpaceDE/>
        <w:autoSpaceDN/>
        <w:bidi w:val="0"/>
        <w:adjustRightInd/>
        <w:snapToGrid/>
        <w:spacing w:line="500" w:lineRule="exact"/>
        <w:ind w:firstLine="480"/>
        <w:jc w:val="left"/>
        <w:textAlignment w:val="auto"/>
        <w:rPr>
          <w:rFonts w:hint="eastAsia" w:ascii="宋体" w:hAnsi="宋体" w:eastAsia="宋体" w:cs="宋体"/>
          <w:sz w:val="24"/>
          <w:szCs w:val="24"/>
        </w:rPr>
      </w:pPr>
      <w:r>
        <w:rPr>
          <w:rFonts w:hint="eastAsia" w:ascii="宋体" w:hAnsi="宋体" w:eastAsia="宋体" w:cs="宋体"/>
          <w:sz w:val="24"/>
          <w:szCs w:val="24"/>
        </w:rPr>
        <w:t>3.在以合同分包形式落实中小企业预留份额项目中，投标人除了要提供《中小企业声明函》，还需提供本协议。</w:t>
      </w:r>
    </w:p>
    <w:p w14:paraId="16FAC05B">
      <w:pPr>
        <w:pStyle w:val="6"/>
        <w:keepNext w:val="0"/>
        <w:keepLines w:val="0"/>
        <w:pageBreakBefore w:val="0"/>
        <w:kinsoku/>
        <w:wordWrap/>
        <w:overflowPunct/>
        <w:topLinePunct w:val="0"/>
        <w:autoSpaceDE/>
        <w:autoSpaceDN/>
        <w:bidi w:val="0"/>
        <w:adjustRightInd/>
        <w:snapToGrid/>
        <w:spacing w:line="500" w:lineRule="exact"/>
        <w:ind w:firstLine="960"/>
        <w:jc w:val="left"/>
        <w:textAlignment w:val="auto"/>
        <w:rPr>
          <w:rFonts w:hint="eastAsia" w:ascii="宋体" w:hAnsi="宋体" w:eastAsia="宋体" w:cs="宋体"/>
          <w:sz w:val="24"/>
          <w:szCs w:val="24"/>
        </w:rPr>
      </w:pPr>
      <w:r>
        <w:rPr>
          <w:rFonts w:hint="eastAsia" w:ascii="宋体" w:hAnsi="宋体" w:eastAsia="宋体" w:cs="宋体"/>
          <w:sz w:val="24"/>
          <w:szCs w:val="24"/>
        </w:rPr>
        <w:t xml:space="preserve"> </w:t>
      </w:r>
      <w:r>
        <w:rPr>
          <w:rFonts w:hint="eastAsia" w:ascii="宋体" w:hAnsi="宋体" w:eastAsia="宋体" w:cs="宋体"/>
          <w:sz w:val="24"/>
          <w:szCs w:val="24"/>
        </w:rPr>
        <w:br w:type="textWrapping"/>
      </w:r>
      <w:r>
        <w:rPr>
          <w:rFonts w:hint="eastAsia" w:ascii="宋体" w:hAnsi="宋体" w:eastAsia="宋体" w:cs="宋体"/>
          <w:sz w:val="24"/>
          <w:szCs w:val="24"/>
        </w:rPr>
        <w:br w:type="page"/>
      </w:r>
    </w:p>
    <w:p w14:paraId="252474FC">
      <w:pPr>
        <w:pStyle w:val="6"/>
        <w:keepNext w:val="0"/>
        <w:keepLines w:val="0"/>
        <w:pageBreakBefore w:val="0"/>
        <w:kinsoku/>
        <w:wordWrap/>
        <w:overflowPunct/>
        <w:topLinePunct w:val="0"/>
        <w:autoSpaceDE/>
        <w:autoSpaceDN/>
        <w:bidi w:val="0"/>
        <w:adjustRightInd/>
        <w:snapToGrid/>
        <w:spacing w:line="500" w:lineRule="exact"/>
        <w:ind w:firstLine="960"/>
        <w:jc w:val="center"/>
        <w:textAlignment w:val="auto"/>
        <w:outlineLvl w:val="3"/>
        <w:rPr>
          <w:rFonts w:hint="eastAsia" w:ascii="宋体" w:hAnsi="宋体" w:eastAsia="宋体" w:cs="宋体"/>
          <w:sz w:val="24"/>
          <w:szCs w:val="24"/>
        </w:rPr>
      </w:pPr>
      <w:r>
        <w:rPr>
          <w:rFonts w:hint="eastAsia" w:ascii="宋体" w:hAnsi="宋体" w:eastAsia="宋体" w:cs="宋体"/>
          <w:b/>
          <w:sz w:val="24"/>
          <w:szCs w:val="24"/>
        </w:rPr>
        <w:t>二-7其他资格证明文件（若有）</w:t>
      </w:r>
    </w:p>
    <w:p w14:paraId="50D5E184">
      <w:pPr>
        <w:pStyle w:val="6"/>
        <w:keepNext w:val="0"/>
        <w:keepLines w:val="0"/>
        <w:pageBreakBefore w:val="0"/>
        <w:kinsoku/>
        <w:wordWrap/>
        <w:overflowPunct/>
        <w:topLinePunct w:val="0"/>
        <w:autoSpaceDE/>
        <w:autoSpaceDN/>
        <w:bidi w:val="0"/>
        <w:adjustRightInd/>
        <w:snapToGrid/>
        <w:spacing w:line="500" w:lineRule="exact"/>
        <w:ind w:firstLine="960"/>
        <w:jc w:val="center"/>
        <w:textAlignment w:val="auto"/>
        <w:outlineLvl w:val="3"/>
        <w:rPr>
          <w:rFonts w:hint="eastAsia" w:ascii="宋体" w:hAnsi="宋体" w:eastAsia="宋体" w:cs="宋体"/>
          <w:sz w:val="24"/>
          <w:szCs w:val="24"/>
        </w:rPr>
      </w:pPr>
      <w:r>
        <w:rPr>
          <w:rFonts w:hint="eastAsia" w:ascii="宋体" w:hAnsi="宋体" w:eastAsia="宋体" w:cs="宋体"/>
          <w:b/>
          <w:sz w:val="24"/>
          <w:szCs w:val="24"/>
        </w:rPr>
        <w:t>二-7-①招标文件规定的其他资格证明文件（若有）</w:t>
      </w:r>
    </w:p>
    <w:p w14:paraId="04861B53">
      <w:pPr>
        <w:pStyle w:val="6"/>
        <w:keepNext w:val="0"/>
        <w:keepLines w:val="0"/>
        <w:pageBreakBefore w:val="0"/>
        <w:kinsoku/>
        <w:wordWrap/>
        <w:overflowPunct/>
        <w:topLinePunct w:val="0"/>
        <w:autoSpaceDE/>
        <w:autoSpaceDN/>
        <w:bidi w:val="0"/>
        <w:adjustRightInd/>
        <w:snapToGrid/>
        <w:spacing w:line="500" w:lineRule="exact"/>
        <w:ind w:firstLine="480"/>
        <w:jc w:val="center"/>
        <w:textAlignment w:val="auto"/>
        <w:rPr>
          <w:rFonts w:hint="eastAsia" w:ascii="宋体" w:hAnsi="宋体" w:eastAsia="宋体" w:cs="宋体"/>
          <w:sz w:val="24"/>
          <w:szCs w:val="24"/>
        </w:rPr>
      </w:pPr>
      <w:r>
        <w:rPr>
          <w:rFonts w:hint="eastAsia" w:ascii="宋体" w:hAnsi="宋体" w:eastAsia="宋体" w:cs="宋体"/>
          <w:sz w:val="24"/>
          <w:szCs w:val="24"/>
        </w:rPr>
        <w:t>编制说明</w:t>
      </w:r>
    </w:p>
    <w:p w14:paraId="6B909E92">
      <w:pPr>
        <w:pStyle w:val="6"/>
        <w:keepNext w:val="0"/>
        <w:keepLines w:val="0"/>
        <w:pageBreakBefore w:val="0"/>
        <w:kinsoku/>
        <w:wordWrap/>
        <w:overflowPunct/>
        <w:topLinePunct w:val="0"/>
        <w:autoSpaceDE/>
        <w:autoSpaceDN/>
        <w:bidi w:val="0"/>
        <w:adjustRightInd/>
        <w:snapToGrid/>
        <w:spacing w:line="500" w:lineRule="exact"/>
        <w:ind w:firstLine="480"/>
        <w:jc w:val="left"/>
        <w:textAlignment w:val="auto"/>
        <w:rPr>
          <w:rFonts w:hint="eastAsia" w:ascii="宋体" w:hAnsi="宋体" w:eastAsia="宋体" w:cs="宋体"/>
          <w:sz w:val="24"/>
          <w:szCs w:val="24"/>
        </w:rPr>
      </w:pPr>
      <w:r>
        <w:rPr>
          <w:rFonts w:hint="eastAsia" w:ascii="宋体" w:hAnsi="宋体" w:eastAsia="宋体" w:cs="宋体"/>
          <w:sz w:val="24"/>
          <w:szCs w:val="24"/>
        </w:rPr>
        <w:t>除招标文件另有规定外，招标文件要求提交的除前述资格证明文件外的其他资格证明文件（若有）加盖投标人的单位公章后应在此项下提交。</w:t>
      </w:r>
    </w:p>
    <w:p w14:paraId="73F0DA32">
      <w:pPr>
        <w:pStyle w:val="6"/>
        <w:keepNext w:val="0"/>
        <w:keepLines w:val="0"/>
        <w:pageBreakBefore w:val="0"/>
        <w:kinsoku/>
        <w:wordWrap/>
        <w:overflowPunct/>
        <w:topLinePunct w:val="0"/>
        <w:autoSpaceDE/>
        <w:autoSpaceDN/>
        <w:bidi w:val="0"/>
        <w:adjustRightInd/>
        <w:snapToGrid/>
        <w:spacing w:line="500" w:lineRule="exact"/>
        <w:textAlignment w:val="auto"/>
        <w:rPr>
          <w:rFonts w:hint="eastAsia" w:ascii="宋体" w:hAnsi="宋体" w:eastAsia="宋体" w:cs="宋体"/>
          <w:sz w:val="24"/>
          <w:szCs w:val="24"/>
        </w:rPr>
      </w:pPr>
      <w:r>
        <w:rPr>
          <w:rFonts w:hint="eastAsia" w:ascii="宋体" w:hAnsi="宋体" w:eastAsia="宋体" w:cs="宋体"/>
          <w:sz w:val="24"/>
          <w:szCs w:val="24"/>
        </w:rPr>
        <w:t xml:space="preserve"> </w:t>
      </w:r>
      <w:r>
        <w:rPr>
          <w:rFonts w:hint="eastAsia" w:ascii="宋体" w:hAnsi="宋体" w:eastAsia="宋体" w:cs="宋体"/>
          <w:sz w:val="24"/>
          <w:szCs w:val="24"/>
        </w:rPr>
        <w:br w:type="textWrapping"/>
      </w:r>
      <w:r>
        <w:rPr>
          <w:rFonts w:hint="eastAsia" w:ascii="宋体" w:hAnsi="宋体" w:eastAsia="宋体" w:cs="宋体"/>
          <w:sz w:val="24"/>
          <w:szCs w:val="24"/>
        </w:rPr>
        <w:br w:type="page"/>
      </w:r>
    </w:p>
    <w:p w14:paraId="1D08FDA0">
      <w:pPr>
        <w:pStyle w:val="6"/>
        <w:keepNext w:val="0"/>
        <w:keepLines w:val="0"/>
        <w:pageBreakBefore w:val="0"/>
        <w:kinsoku/>
        <w:wordWrap/>
        <w:overflowPunct/>
        <w:topLinePunct w:val="0"/>
        <w:autoSpaceDE/>
        <w:autoSpaceDN/>
        <w:bidi w:val="0"/>
        <w:adjustRightInd/>
        <w:snapToGrid/>
        <w:spacing w:line="500" w:lineRule="exact"/>
        <w:jc w:val="center"/>
        <w:textAlignment w:val="auto"/>
        <w:outlineLvl w:val="2"/>
        <w:rPr>
          <w:rFonts w:hint="eastAsia" w:ascii="宋体" w:hAnsi="宋体" w:eastAsia="宋体" w:cs="宋体"/>
          <w:sz w:val="24"/>
          <w:szCs w:val="24"/>
        </w:rPr>
      </w:pPr>
      <w:r>
        <w:rPr>
          <w:rFonts w:hint="eastAsia" w:ascii="宋体" w:hAnsi="宋体" w:eastAsia="宋体" w:cs="宋体"/>
          <w:b/>
          <w:sz w:val="24"/>
          <w:szCs w:val="24"/>
        </w:rPr>
        <w:t>三、投标保证金</w:t>
      </w:r>
    </w:p>
    <w:p w14:paraId="55149125">
      <w:pPr>
        <w:pStyle w:val="6"/>
        <w:keepNext w:val="0"/>
        <w:keepLines w:val="0"/>
        <w:pageBreakBefore w:val="0"/>
        <w:kinsoku/>
        <w:wordWrap/>
        <w:overflowPunct/>
        <w:topLinePunct w:val="0"/>
        <w:autoSpaceDE/>
        <w:autoSpaceDN/>
        <w:bidi w:val="0"/>
        <w:adjustRightInd/>
        <w:snapToGrid/>
        <w:spacing w:line="500" w:lineRule="exact"/>
        <w:ind w:firstLine="480"/>
        <w:jc w:val="center"/>
        <w:textAlignment w:val="auto"/>
        <w:rPr>
          <w:rFonts w:hint="eastAsia" w:ascii="宋体" w:hAnsi="宋体" w:eastAsia="宋体" w:cs="宋体"/>
          <w:sz w:val="24"/>
          <w:szCs w:val="24"/>
        </w:rPr>
      </w:pPr>
      <w:r>
        <w:rPr>
          <w:rFonts w:hint="eastAsia" w:ascii="宋体" w:hAnsi="宋体" w:eastAsia="宋体" w:cs="宋体"/>
          <w:sz w:val="24"/>
          <w:szCs w:val="24"/>
        </w:rPr>
        <w:t>编制说明</w:t>
      </w:r>
    </w:p>
    <w:p w14:paraId="427206DE">
      <w:pPr>
        <w:pStyle w:val="6"/>
        <w:keepNext w:val="0"/>
        <w:keepLines w:val="0"/>
        <w:pageBreakBefore w:val="0"/>
        <w:kinsoku/>
        <w:wordWrap/>
        <w:overflowPunct/>
        <w:topLinePunct w:val="0"/>
        <w:autoSpaceDE/>
        <w:autoSpaceDN/>
        <w:bidi w:val="0"/>
        <w:adjustRightInd/>
        <w:snapToGrid/>
        <w:spacing w:line="500" w:lineRule="exact"/>
        <w:ind w:firstLine="480"/>
        <w:jc w:val="left"/>
        <w:textAlignment w:val="auto"/>
        <w:rPr>
          <w:rFonts w:hint="eastAsia" w:ascii="宋体" w:hAnsi="宋体" w:eastAsia="宋体" w:cs="宋体"/>
          <w:sz w:val="24"/>
          <w:szCs w:val="24"/>
        </w:rPr>
      </w:pPr>
      <w:r>
        <w:rPr>
          <w:rFonts w:hint="eastAsia" w:ascii="宋体" w:hAnsi="宋体" w:eastAsia="宋体" w:cs="宋体"/>
          <w:sz w:val="24"/>
          <w:szCs w:val="24"/>
        </w:rPr>
        <w:t>1、在此项下提交的“投标保证金”材料可使用转账凭证复印件或从福建省政府采购网上公开信息系统中下载的有关原始页面的打印件。</w:t>
      </w:r>
    </w:p>
    <w:p w14:paraId="54F37E59">
      <w:pPr>
        <w:pStyle w:val="6"/>
        <w:keepNext w:val="0"/>
        <w:keepLines w:val="0"/>
        <w:pageBreakBefore w:val="0"/>
        <w:kinsoku/>
        <w:wordWrap/>
        <w:overflowPunct/>
        <w:topLinePunct w:val="0"/>
        <w:autoSpaceDE/>
        <w:autoSpaceDN/>
        <w:bidi w:val="0"/>
        <w:adjustRightInd/>
        <w:snapToGrid/>
        <w:spacing w:line="500" w:lineRule="exact"/>
        <w:ind w:firstLine="480"/>
        <w:jc w:val="left"/>
        <w:textAlignment w:val="auto"/>
        <w:rPr>
          <w:rFonts w:hint="eastAsia" w:ascii="宋体" w:hAnsi="宋体" w:eastAsia="宋体" w:cs="宋体"/>
          <w:sz w:val="24"/>
          <w:szCs w:val="24"/>
        </w:rPr>
      </w:pPr>
      <w:r>
        <w:rPr>
          <w:rFonts w:hint="eastAsia" w:ascii="宋体" w:hAnsi="宋体" w:eastAsia="宋体" w:cs="宋体"/>
          <w:sz w:val="24"/>
          <w:szCs w:val="24"/>
        </w:rPr>
        <w:t>2、投标保证金是否已提交的认定按照招标文件第三章规定执行。</w:t>
      </w:r>
    </w:p>
    <w:p w14:paraId="4C31FE40">
      <w:pPr>
        <w:pStyle w:val="6"/>
        <w:keepNext w:val="0"/>
        <w:keepLines w:val="0"/>
        <w:pageBreakBefore w:val="0"/>
        <w:kinsoku/>
        <w:wordWrap/>
        <w:overflowPunct/>
        <w:topLinePunct w:val="0"/>
        <w:autoSpaceDE/>
        <w:autoSpaceDN/>
        <w:bidi w:val="0"/>
        <w:adjustRightInd/>
        <w:snapToGrid/>
        <w:spacing w:line="500" w:lineRule="exact"/>
        <w:textAlignment w:val="auto"/>
        <w:rPr>
          <w:rFonts w:hint="eastAsia" w:ascii="宋体" w:hAnsi="宋体" w:eastAsia="宋体" w:cs="宋体"/>
          <w:sz w:val="24"/>
          <w:szCs w:val="24"/>
        </w:rPr>
      </w:pPr>
      <w:r>
        <w:rPr>
          <w:rFonts w:hint="eastAsia" w:ascii="宋体" w:hAnsi="宋体" w:eastAsia="宋体" w:cs="宋体"/>
          <w:sz w:val="24"/>
          <w:szCs w:val="24"/>
        </w:rPr>
        <w:t xml:space="preserve"> </w:t>
      </w:r>
      <w:r>
        <w:rPr>
          <w:rFonts w:hint="eastAsia" w:ascii="宋体" w:hAnsi="宋体" w:eastAsia="宋体" w:cs="宋体"/>
          <w:sz w:val="24"/>
          <w:szCs w:val="24"/>
        </w:rPr>
        <w:br w:type="textWrapping"/>
      </w:r>
      <w:r>
        <w:rPr>
          <w:rFonts w:hint="eastAsia" w:ascii="宋体" w:hAnsi="宋体" w:eastAsia="宋体" w:cs="宋体"/>
          <w:sz w:val="24"/>
          <w:szCs w:val="24"/>
        </w:rPr>
        <w:br w:type="page"/>
      </w:r>
    </w:p>
    <w:p w14:paraId="688654C8">
      <w:pPr>
        <w:pStyle w:val="6"/>
        <w:keepNext w:val="0"/>
        <w:keepLines w:val="0"/>
        <w:pageBreakBefore w:val="0"/>
        <w:kinsoku/>
        <w:wordWrap/>
        <w:overflowPunct/>
        <w:topLinePunct w:val="0"/>
        <w:autoSpaceDE/>
        <w:autoSpaceDN/>
        <w:bidi w:val="0"/>
        <w:adjustRightInd/>
        <w:snapToGrid/>
        <w:spacing w:line="500" w:lineRule="exact"/>
        <w:jc w:val="center"/>
        <w:textAlignment w:val="auto"/>
        <w:outlineLvl w:val="2"/>
        <w:rPr>
          <w:rFonts w:hint="eastAsia" w:ascii="宋体" w:hAnsi="宋体" w:eastAsia="宋体" w:cs="宋体"/>
          <w:sz w:val="24"/>
          <w:szCs w:val="24"/>
        </w:rPr>
      </w:pPr>
      <w:r>
        <w:rPr>
          <w:rFonts w:hint="eastAsia" w:ascii="宋体" w:hAnsi="宋体" w:eastAsia="宋体" w:cs="宋体"/>
          <w:b/>
          <w:sz w:val="24"/>
          <w:szCs w:val="24"/>
        </w:rPr>
        <w:t>封面格式(报价部分)</w:t>
      </w:r>
    </w:p>
    <w:p w14:paraId="61AEBEE3">
      <w:pPr>
        <w:pStyle w:val="6"/>
        <w:keepNext w:val="0"/>
        <w:keepLines w:val="0"/>
        <w:pageBreakBefore w:val="0"/>
        <w:kinsoku/>
        <w:wordWrap/>
        <w:overflowPunct/>
        <w:topLinePunct w:val="0"/>
        <w:autoSpaceDE/>
        <w:autoSpaceDN/>
        <w:bidi w:val="0"/>
        <w:adjustRightInd/>
        <w:snapToGrid/>
        <w:spacing w:line="500" w:lineRule="exact"/>
        <w:jc w:val="center"/>
        <w:textAlignment w:val="auto"/>
        <w:outlineLvl w:val="0"/>
        <w:rPr>
          <w:rFonts w:hint="eastAsia" w:ascii="宋体" w:hAnsi="宋体" w:eastAsia="宋体" w:cs="宋体"/>
          <w:sz w:val="24"/>
          <w:szCs w:val="24"/>
        </w:rPr>
      </w:pPr>
      <w:r>
        <w:rPr>
          <w:rFonts w:hint="eastAsia" w:ascii="宋体" w:hAnsi="宋体" w:eastAsia="宋体" w:cs="宋体"/>
          <w:b/>
          <w:sz w:val="24"/>
          <w:szCs w:val="24"/>
        </w:rPr>
        <w:t>福建省政府采购投标文件</w:t>
      </w:r>
    </w:p>
    <w:p w14:paraId="1825E195">
      <w:pPr>
        <w:pStyle w:val="6"/>
        <w:keepNext w:val="0"/>
        <w:keepLines w:val="0"/>
        <w:pageBreakBefore w:val="0"/>
        <w:kinsoku/>
        <w:wordWrap/>
        <w:overflowPunct/>
        <w:topLinePunct w:val="0"/>
        <w:autoSpaceDE/>
        <w:autoSpaceDN/>
        <w:bidi w:val="0"/>
        <w:adjustRightInd/>
        <w:snapToGrid/>
        <w:spacing w:line="500" w:lineRule="exact"/>
        <w:jc w:val="center"/>
        <w:textAlignment w:val="auto"/>
        <w:outlineLvl w:val="0"/>
        <w:rPr>
          <w:rFonts w:hint="eastAsia" w:ascii="宋体" w:hAnsi="宋体" w:eastAsia="宋体" w:cs="宋体"/>
          <w:sz w:val="24"/>
          <w:szCs w:val="24"/>
        </w:rPr>
      </w:pPr>
      <w:r>
        <w:rPr>
          <w:rFonts w:hint="eastAsia" w:ascii="宋体" w:hAnsi="宋体" w:eastAsia="宋体" w:cs="宋体"/>
          <w:b/>
          <w:sz w:val="24"/>
          <w:szCs w:val="24"/>
        </w:rPr>
        <w:t>（报价部分）</w:t>
      </w:r>
      <w:r>
        <w:rPr>
          <w:rFonts w:hint="eastAsia" w:ascii="宋体" w:hAnsi="宋体" w:eastAsia="宋体" w:cs="宋体"/>
          <w:sz w:val="24"/>
          <w:szCs w:val="24"/>
        </w:rPr>
        <w:br w:type="textWrapping"/>
      </w:r>
      <w:r>
        <w:rPr>
          <w:rFonts w:hint="eastAsia" w:ascii="宋体" w:hAnsi="宋体" w:eastAsia="宋体" w:cs="宋体"/>
          <w:sz w:val="24"/>
          <w:szCs w:val="24"/>
        </w:rPr>
        <w:br w:type="textWrapping"/>
      </w:r>
    </w:p>
    <w:p w14:paraId="599A34EF">
      <w:pPr>
        <w:pStyle w:val="6"/>
        <w:keepNext w:val="0"/>
        <w:keepLines w:val="0"/>
        <w:pageBreakBefore w:val="0"/>
        <w:kinsoku/>
        <w:wordWrap/>
        <w:overflowPunct/>
        <w:topLinePunct w:val="0"/>
        <w:autoSpaceDE/>
        <w:autoSpaceDN/>
        <w:bidi w:val="0"/>
        <w:adjustRightInd/>
        <w:snapToGrid/>
        <w:spacing w:line="500" w:lineRule="exact"/>
        <w:jc w:val="center"/>
        <w:textAlignment w:val="auto"/>
        <w:outlineLvl w:val="1"/>
        <w:rPr>
          <w:rFonts w:hint="eastAsia" w:ascii="宋体" w:hAnsi="宋体" w:eastAsia="宋体" w:cs="宋体"/>
          <w:sz w:val="24"/>
          <w:szCs w:val="24"/>
        </w:rPr>
      </w:pPr>
      <w:r>
        <w:rPr>
          <w:rFonts w:hint="eastAsia" w:ascii="宋体" w:hAnsi="宋体" w:eastAsia="宋体" w:cs="宋体"/>
          <w:b/>
          <w:sz w:val="24"/>
          <w:szCs w:val="24"/>
        </w:rPr>
        <w:t>（填写正本或副本）</w:t>
      </w:r>
      <w:r>
        <w:rPr>
          <w:rFonts w:hint="eastAsia" w:ascii="宋体" w:hAnsi="宋体" w:eastAsia="宋体" w:cs="宋体"/>
          <w:sz w:val="24"/>
          <w:szCs w:val="24"/>
        </w:rPr>
        <w:br w:type="textWrapping"/>
      </w:r>
      <w:r>
        <w:rPr>
          <w:rFonts w:hint="eastAsia" w:ascii="宋体" w:hAnsi="宋体" w:eastAsia="宋体" w:cs="宋体"/>
          <w:sz w:val="24"/>
          <w:szCs w:val="24"/>
        </w:rPr>
        <w:br w:type="textWrapping"/>
      </w:r>
      <w:r>
        <w:rPr>
          <w:rFonts w:hint="eastAsia" w:ascii="宋体" w:hAnsi="宋体" w:eastAsia="宋体" w:cs="宋体"/>
          <w:sz w:val="24"/>
          <w:szCs w:val="24"/>
        </w:rPr>
        <w:br w:type="textWrapping"/>
      </w:r>
      <w:r>
        <w:rPr>
          <w:rFonts w:hint="eastAsia" w:ascii="宋体" w:hAnsi="宋体" w:eastAsia="宋体" w:cs="宋体"/>
          <w:sz w:val="24"/>
          <w:szCs w:val="24"/>
        </w:rPr>
        <w:br w:type="textWrapping"/>
      </w:r>
    </w:p>
    <w:p w14:paraId="43FFBCAE">
      <w:pPr>
        <w:pStyle w:val="6"/>
        <w:keepNext w:val="0"/>
        <w:keepLines w:val="0"/>
        <w:pageBreakBefore w:val="0"/>
        <w:kinsoku/>
        <w:wordWrap/>
        <w:overflowPunct/>
        <w:topLinePunct w:val="0"/>
        <w:autoSpaceDE/>
        <w:autoSpaceDN/>
        <w:bidi w:val="0"/>
        <w:adjustRightInd/>
        <w:snapToGrid/>
        <w:spacing w:line="500" w:lineRule="exact"/>
        <w:jc w:val="center"/>
        <w:textAlignment w:val="auto"/>
        <w:outlineLvl w:val="2"/>
        <w:rPr>
          <w:rFonts w:hint="eastAsia" w:ascii="宋体" w:hAnsi="宋体" w:eastAsia="宋体" w:cs="宋体"/>
          <w:sz w:val="24"/>
          <w:szCs w:val="24"/>
        </w:rPr>
      </w:pPr>
      <w:r>
        <w:rPr>
          <w:rFonts w:hint="eastAsia" w:ascii="宋体" w:hAnsi="宋体" w:eastAsia="宋体" w:cs="宋体"/>
          <w:b/>
          <w:sz w:val="24"/>
          <w:szCs w:val="24"/>
        </w:rPr>
        <w:t>项目名称：（由投标人填写）</w:t>
      </w:r>
    </w:p>
    <w:p w14:paraId="553A7F25">
      <w:pPr>
        <w:pStyle w:val="6"/>
        <w:keepNext w:val="0"/>
        <w:keepLines w:val="0"/>
        <w:pageBreakBefore w:val="0"/>
        <w:kinsoku/>
        <w:wordWrap/>
        <w:overflowPunct/>
        <w:topLinePunct w:val="0"/>
        <w:autoSpaceDE/>
        <w:autoSpaceDN/>
        <w:bidi w:val="0"/>
        <w:adjustRightInd/>
        <w:snapToGrid/>
        <w:spacing w:line="500" w:lineRule="exact"/>
        <w:jc w:val="center"/>
        <w:textAlignment w:val="auto"/>
        <w:outlineLvl w:val="2"/>
        <w:rPr>
          <w:rFonts w:hint="eastAsia" w:ascii="宋体" w:hAnsi="宋体" w:eastAsia="宋体" w:cs="宋体"/>
          <w:sz w:val="24"/>
          <w:szCs w:val="24"/>
        </w:rPr>
      </w:pPr>
      <w:r>
        <w:rPr>
          <w:rFonts w:hint="eastAsia" w:ascii="宋体" w:hAnsi="宋体" w:eastAsia="宋体" w:cs="宋体"/>
          <w:b/>
          <w:sz w:val="24"/>
          <w:szCs w:val="24"/>
        </w:rPr>
        <w:t>备案编号：（由投标人填写）</w:t>
      </w:r>
    </w:p>
    <w:p w14:paraId="27BBDB91">
      <w:pPr>
        <w:pStyle w:val="6"/>
        <w:keepNext w:val="0"/>
        <w:keepLines w:val="0"/>
        <w:pageBreakBefore w:val="0"/>
        <w:kinsoku/>
        <w:wordWrap/>
        <w:overflowPunct/>
        <w:topLinePunct w:val="0"/>
        <w:autoSpaceDE/>
        <w:autoSpaceDN/>
        <w:bidi w:val="0"/>
        <w:adjustRightInd/>
        <w:snapToGrid/>
        <w:spacing w:line="500" w:lineRule="exact"/>
        <w:jc w:val="center"/>
        <w:textAlignment w:val="auto"/>
        <w:outlineLvl w:val="2"/>
        <w:rPr>
          <w:rFonts w:hint="eastAsia" w:ascii="宋体" w:hAnsi="宋体" w:eastAsia="宋体" w:cs="宋体"/>
          <w:sz w:val="24"/>
          <w:szCs w:val="24"/>
        </w:rPr>
      </w:pPr>
      <w:r>
        <w:rPr>
          <w:rFonts w:hint="eastAsia" w:ascii="宋体" w:hAnsi="宋体" w:eastAsia="宋体" w:cs="宋体"/>
          <w:b/>
          <w:sz w:val="24"/>
          <w:szCs w:val="24"/>
        </w:rPr>
        <w:t>项目编号：（由投标人填写）</w:t>
      </w:r>
    </w:p>
    <w:p w14:paraId="67F815A4">
      <w:pPr>
        <w:pStyle w:val="6"/>
        <w:keepNext w:val="0"/>
        <w:keepLines w:val="0"/>
        <w:pageBreakBefore w:val="0"/>
        <w:kinsoku/>
        <w:wordWrap/>
        <w:overflowPunct/>
        <w:topLinePunct w:val="0"/>
        <w:autoSpaceDE/>
        <w:autoSpaceDN/>
        <w:bidi w:val="0"/>
        <w:adjustRightInd/>
        <w:snapToGrid/>
        <w:spacing w:line="500" w:lineRule="exact"/>
        <w:jc w:val="center"/>
        <w:textAlignment w:val="auto"/>
        <w:outlineLvl w:val="2"/>
        <w:rPr>
          <w:rFonts w:hint="eastAsia" w:ascii="宋体" w:hAnsi="宋体" w:eastAsia="宋体" w:cs="宋体"/>
          <w:sz w:val="24"/>
          <w:szCs w:val="24"/>
        </w:rPr>
      </w:pPr>
      <w:r>
        <w:rPr>
          <w:rFonts w:hint="eastAsia" w:ascii="宋体" w:hAnsi="宋体" w:eastAsia="宋体" w:cs="宋体"/>
          <w:b/>
          <w:sz w:val="24"/>
          <w:szCs w:val="24"/>
        </w:rPr>
        <w:t>所投采购包：（由投标人填写）</w:t>
      </w:r>
    </w:p>
    <w:p w14:paraId="5E998C13">
      <w:pPr>
        <w:pStyle w:val="6"/>
        <w:keepNext w:val="0"/>
        <w:keepLines w:val="0"/>
        <w:pageBreakBefore w:val="0"/>
        <w:kinsoku/>
        <w:wordWrap/>
        <w:overflowPunct/>
        <w:topLinePunct w:val="0"/>
        <w:autoSpaceDE/>
        <w:autoSpaceDN/>
        <w:bidi w:val="0"/>
        <w:adjustRightInd/>
        <w:snapToGrid/>
        <w:spacing w:line="500" w:lineRule="exact"/>
        <w:jc w:val="center"/>
        <w:textAlignment w:val="auto"/>
        <w:outlineLvl w:val="2"/>
        <w:rPr>
          <w:rFonts w:hint="eastAsia" w:ascii="宋体" w:hAnsi="宋体" w:eastAsia="宋体" w:cs="宋体"/>
          <w:sz w:val="24"/>
          <w:szCs w:val="24"/>
        </w:rPr>
      </w:pPr>
      <w:r>
        <w:rPr>
          <w:rFonts w:hint="eastAsia" w:ascii="宋体" w:hAnsi="宋体" w:eastAsia="宋体" w:cs="宋体"/>
          <w:b/>
          <w:sz w:val="24"/>
          <w:szCs w:val="24"/>
        </w:rPr>
        <w:t>投标人：（填写“全称”）</w:t>
      </w:r>
    </w:p>
    <w:p w14:paraId="5DF6D3C4">
      <w:pPr>
        <w:pStyle w:val="6"/>
        <w:keepNext w:val="0"/>
        <w:keepLines w:val="0"/>
        <w:pageBreakBefore w:val="0"/>
        <w:kinsoku/>
        <w:wordWrap/>
        <w:overflowPunct/>
        <w:topLinePunct w:val="0"/>
        <w:autoSpaceDE/>
        <w:autoSpaceDN/>
        <w:bidi w:val="0"/>
        <w:adjustRightInd/>
        <w:snapToGrid/>
        <w:spacing w:line="500" w:lineRule="exact"/>
        <w:jc w:val="center"/>
        <w:textAlignment w:val="auto"/>
        <w:outlineLvl w:val="2"/>
        <w:rPr>
          <w:rFonts w:hint="eastAsia" w:ascii="宋体" w:hAnsi="宋体" w:eastAsia="宋体" w:cs="宋体"/>
          <w:sz w:val="24"/>
          <w:szCs w:val="24"/>
        </w:rPr>
      </w:pPr>
      <w:r>
        <w:rPr>
          <w:rFonts w:hint="eastAsia" w:ascii="宋体" w:hAnsi="宋体" w:eastAsia="宋体" w:cs="宋体"/>
          <w:b/>
          <w:sz w:val="24"/>
          <w:szCs w:val="24"/>
        </w:rPr>
        <w:t>（由投标人填写）年（由投标人填写）月</w:t>
      </w:r>
    </w:p>
    <w:p w14:paraId="0DF247EE">
      <w:pPr>
        <w:pStyle w:val="6"/>
        <w:keepNext w:val="0"/>
        <w:keepLines w:val="0"/>
        <w:pageBreakBefore w:val="0"/>
        <w:kinsoku/>
        <w:wordWrap/>
        <w:overflowPunct/>
        <w:topLinePunct w:val="0"/>
        <w:autoSpaceDE/>
        <w:autoSpaceDN/>
        <w:bidi w:val="0"/>
        <w:adjustRightInd/>
        <w:snapToGrid/>
        <w:spacing w:line="500" w:lineRule="exact"/>
        <w:textAlignment w:val="auto"/>
        <w:rPr>
          <w:rFonts w:hint="eastAsia" w:ascii="宋体" w:hAnsi="宋体" w:eastAsia="宋体" w:cs="宋体"/>
          <w:sz w:val="24"/>
          <w:szCs w:val="24"/>
        </w:rPr>
      </w:pPr>
      <w:r>
        <w:rPr>
          <w:rFonts w:hint="eastAsia" w:ascii="宋体" w:hAnsi="宋体" w:eastAsia="宋体" w:cs="宋体"/>
          <w:sz w:val="24"/>
          <w:szCs w:val="24"/>
        </w:rPr>
        <w:t xml:space="preserve"> </w:t>
      </w:r>
      <w:r>
        <w:rPr>
          <w:rFonts w:hint="eastAsia" w:ascii="宋体" w:hAnsi="宋体" w:eastAsia="宋体" w:cs="宋体"/>
          <w:sz w:val="24"/>
          <w:szCs w:val="24"/>
        </w:rPr>
        <w:br w:type="textWrapping"/>
      </w:r>
      <w:r>
        <w:rPr>
          <w:rFonts w:hint="eastAsia" w:ascii="宋体" w:hAnsi="宋体" w:eastAsia="宋体" w:cs="宋体"/>
          <w:sz w:val="24"/>
          <w:szCs w:val="24"/>
        </w:rPr>
        <w:br w:type="page"/>
      </w:r>
    </w:p>
    <w:p w14:paraId="35452232">
      <w:pPr>
        <w:pStyle w:val="6"/>
        <w:keepNext w:val="0"/>
        <w:keepLines w:val="0"/>
        <w:pageBreakBefore w:val="0"/>
        <w:kinsoku/>
        <w:wordWrap/>
        <w:overflowPunct/>
        <w:topLinePunct w:val="0"/>
        <w:autoSpaceDE/>
        <w:autoSpaceDN/>
        <w:bidi w:val="0"/>
        <w:adjustRightInd/>
        <w:snapToGrid/>
        <w:spacing w:line="500" w:lineRule="exact"/>
        <w:jc w:val="center"/>
        <w:textAlignment w:val="auto"/>
        <w:outlineLvl w:val="2"/>
        <w:rPr>
          <w:rFonts w:hint="eastAsia" w:ascii="宋体" w:hAnsi="宋体" w:eastAsia="宋体" w:cs="宋体"/>
          <w:sz w:val="24"/>
          <w:szCs w:val="24"/>
        </w:rPr>
      </w:pPr>
      <w:r>
        <w:rPr>
          <w:rFonts w:hint="eastAsia" w:ascii="宋体" w:hAnsi="宋体" w:eastAsia="宋体" w:cs="宋体"/>
          <w:b/>
          <w:sz w:val="24"/>
          <w:szCs w:val="24"/>
        </w:rPr>
        <w:t>索引</w:t>
      </w:r>
    </w:p>
    <w:p w14:paraId="5C528A11">
      <w:pPr>
        <w:pStyle w:val="6"/>
        <w:keepNext w:val="0"/>
        <w:keepLines w:val="0"/>
        <w:pageBreakBefore w:val="0"/>
        <w:kinsoku/>
        <w:wordWrap/>
        <w:overflowPunct/>
        <w:topLinePunct w:val="0"/>
        <w:autoSpaceDE/>
        <w:autoSpaceDN/>
        <w:bidi w:val="0"/>
        <w:adjustRightInd/>
        <w:snapToGrid/>
        <w:spacing w:line="500" w:lineRule="exact"/>
        <w:ind w:firstLine="480"/>
        <w:jc w:val="left"/>
        <w:textAlignment w:val="auto"/>
        <w:rPr>
          <w:rFonts w:hint="eastAsia" w:ascii="宋体" w:hAnsi="宋体" w:eastAsia="宋体" w:cs="宋体"/>
          <w:sz w:val="24"/>
          <w:szCs w:val="24"/>
        </w:rPr>
      </w:pPr>
      <w:r>
        <w:rPr>
          <w:rFonts w:hint="eastAsia" w:ascii="宋体" w:hAnsi="宋体" w:eastAsia="宋体" w:cs="宋体"/>
          <w:sz w:val="24"/>
          <w:szCs w:val="24"/>
        </w:rPr>
        <w:t>一、开标（报价）一览表</w:t>
      </w:r>
    </w:p>
    <w:p w14:paraId="018DE39D">
      <w:pPr>
        <w:pStyle w:val="6"/>
        <w:keepNext w:val="0"/>
        <w:keepLines w:val="0"/>
        <w:pageBreakBefore w:val="0"/>
        <w:kinsoku/>
        <w:wordWrap/>
        <w:overflowPunct/>
        <w:topLinePunct w:val="0"/>
        <w:autoSpaceDE/>
        <w:autoSpaceDN/>
        <w:bidi w:val="0"/>
        <w:adjustRightInd/>
        <w:snapToGrid/>
        <w:spacing w:line="500" w:lineRule="exact"/>
        <w:ind w:firstLine="480"/>
        <w:jc w:val="left"/>
        <w:textAlignment w:val="auto"/>
        <w:rPr>
          <w:rFonts w:hint="eastAsia" w:ascii="宋体" w:hAnsi="宋体" w:eastAsia="宋体" w:cs="宋体"/>
          <w:sz w:val="24"/>
          <w:szCs w:val="24"/>
        </w:rPr>
      </w:pPr>
      <w:r>
        <w:rPr>
          <w:rFonts w:hint="eastAsia" w:ascii="宋体" w:hAnsi="宋体" w:eastAsia="宋体" w:cs="宋体"/>
          <w:sz w:val="24"/>
          <w:szCs w:val="24"/>
        </w:rPr>
        <w:t>二、投标（响应）报价明细表</w:t>
      </w:r>
    </w:p>
    <w:p w14:paraId="3EA94398">
      <w:pPr>
        <w:pStyle w:val="6"/>
        <w:keepNext w:val="0"/>
        <w:keepLines w:val="0"/>
        <w:pageBreakBefore w:val="0"/>
        <w:kinsoku/>
        <w:wordWrap/>
        <w:overflowPunct/>
        <w:topLinePunct w:val="0"/>
        <w:autoSpaceDE/>
        <w:autoSpaceDN/>
        <w:bidi w:val="0"/>
        <w:adjustRightInd/>
        <w:snapToGrid/>
        <w:spacing w:line="500" w:lineRule="exact"/>
        <w:ind w:firstLine="480"/>
        <w:jc w:val="left"/>
        <w:textAlignment w:val="auto"/>
        <w:rPr>
          <w:rFonts w:hint="eastAsia" w:ascii="宋体" w:hAnsi="宋体" w:eastAsia="宋体" w:cs="宋体"/>
          <w:sz w:val="24"/>
          <w:szCs w:val="24"/>
        </w:rPr>
      </w:pPr>
      <w:r>
        <w:rPr>
          <w:rFonts w:hint="eastAsia" w:ascii="宋体" w:hAnsi="宋体" w:eastAsia="宋体" w:cs="宋体"/>
          <w:sz w:val="24"/>
          <w:szCs w:val="24"/>
        </w:rPr>
        <w:t>三、招标文件规定的价格扣除证明材料（若有）</w:t>
      </w:r>
    </w:p>
    <w:p w14:paraId="3824B2E4">
      <w:pPr>
        <w:pStyle w:val="6"/>
        <w:keepNext w:val="0"/>
        <w:keepLines w:val="0"/>
        <w:pageBreakBefore w:val="0"/>
        <w:kinsoku/>
        <w:wordWrap/>
        <w:overflowPunct/>
        <w:topLinePunct w:val="0"/>
        <w:autoSpaceDE/>
        <w:autoSpaceDN/>
        <w:bidi w:val="0"/>
        <w:adjustRightInd/>
        <w:snapToGrid/>
        <w:spacing w:line="500" w:lineRule="exact"/>
        <w:ind w:firstLine="480"/>
        <w:jc w:val="left"/>
        <w:textAlignment w:val="auto"/>
        <w:rPr>
          <w:rFonts w:hint="eastAsia" w:ascii="宋体" w:hAnsi="宋体" w:eastAsia="宋体" w:cs="宋体"/>
          <w:sz w:val="24"/>
          <w:szCs w:val="24"/>
        </w:rPr>
      </w:pPr>
      <w:r>
        <w:rPr>
          <w:rFonts w:hint="eastAsia" w:ascii="宋体" w:hAnsi="宋体" w:eastAsia="宋体" w:cs="宋体"/>
          <w:sz w:val="24"/>
          <w:szCs w:val="24"/>
        </w:rPr>
        <w:t xml:space="preserve"> </w:t>
      </w:r>
      <w:r>
        <w:rPr>
          <w:rFonts w:hint="eastAsia" w:ascii="宋体" w:hAnsi="宋体" w:eastAsia="宋体" w:cs="宋体"/>
          <w:sz w:val="24"/>
          <w:szCs w:val="24"/>
        </w:rPr>
        <w:br w:type="textWrapping"/>
      </w:r>
      <w:r>
        <w:rPr>
          <w:rFonts w:hint="eastAsia" w:ascii="宋体" w:hAnsi="宋体" w:eastAsia="宋体" w:cs="宋体"/>
          <w:sz w:val="24"/>
          <w:szCs w:val="24"/>
        </w:rPr>
        <w:br w:type="page"/>
      </w:r>
    </w:p>
    <w:p w14:paraId="5210EDAB">
      <w:pPr>
        <w:pStyle w:val="6"/>
        <w:keepNext w:val="0"/>
        <w:keepLines w:val="0"/>
        <w:pageBreakBefore w:val="0"/>
        <w:kinsoku/>
        <w:wordWrap/>
        <w:overflowPunct/>
        <w:topLinePunct w:val="0"/>
        <w:autoSpaceDE/>
        <w:autoSpaceDN/>
        <w:bidi w:val="0"/>
        <w:adjustRightInd/>
        <w:snapToGrid/>
        <w:spacing w:line="500" w:lineRule="exact"/>
        <w:jc w:val="left"/>
        <w:textAlignment w:val="auto"/>
        <w:outlineLvl w:val="0"/>
        <w:rPr>
          <w:rFonts w:hint="eastAsia" w:ascii="宋体" w:hAnsi="宋体" w:eastAsia="宋体" w:cs="宋体"/>
          <w:sz w:val="24"/>
          <w:szCs w:val="24"/>
        </w:rPr>
      </w:pPr>
      <w:r>
        <w:rPr>
          <w:rFonts w:hint="eastAsia" w:ascii="宋体" w:hAnsi="宋体" w:eastAsia="宋体" w:cs="宋体"/>
          <w:b/>
          <w:sz w:val="24"/>
          <w:szCs w:val="24"/>
        </w:rPr>
        <w:t>开标（报价）一览表</w:t>
      </w:r>
    </w:p>
    <w:p w14:paraId="26D27969">
      <w:pPr>
        <w:pStyle w:val="6"/>
        <w:keepNext w:val="0"/>
        <w:keepLines w:val="0"/>
        <w:pageBreakBefore w:val="0"/>
        <w:kinsoku/>
        <w:wordWrap/>
        <w:overflowPunct/>
        <w:topLinePunct w:val="0"/>
        <w:autoSpaceDE/>
        <w:autoSpaceDN/>
        <w:bidi w:val="0"/>
        <w:adjustRightInd/>
        <w:snapToGrid/>
        <w:spacing w:line="500" w:lineRule="exact"/>
        <w:ind w:right="1650"/>
        <w:jc w:val="left"/>
        <w:textAlignment w:val="auto"/>
        <w:rPr>
          <w:rFonts w:hint="eastAsia" w:ascii="宋体" w:hAnsi="宋体" w:eastAsia="宋体" w:cs="宋体"/>
          <w:sz w:val="24"/>
          <w:szCs w:val="24"/>
        </w:rPr>
      </w:pPr>
      <w:r>
        <w:rPr>
          <w:rFonts w:hint="eastAsia" w:ascii="宋体" w:hAnsi="宋体" w:eastAsia="宋体" w:cs="宋体"/>
          <w:sz w:val="24"/>
          <w:szCs w:val="24"/>
        </w:rPr>
        <w:t>项目编号：[350101]ZHZB[GK]2026002</w:t>
      </w:r>
    </w:p>
    <w:p w14:paraId="47CAFC72">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项目名称：福建省精神专科服务能力建设项目信息化专项项目</w:t>
      </w:r>
    </w:p>
    <w:p w14:paraId="28DC12B2">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采购包：1(福建省精神专科服务能力建设项目信息化专项)</w:t>
      </w:r>
    </w:p>
    <w:p w14:paraId="43F4784F">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投标人（供应商）名称：</w:t>
      </w:r>
    </w:p>
    <w:p w14:paraId="6530D10C">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p>
    <w:tbl>
      <w:tblPr>
        <w:tblStyle w:val="4"/>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661"/>
        <w:gridCol w:w="1661"/>
        <w:gridCol w:w="1661"/>
        <w:gridCol w:w="1661"/>
        <w:gridCol w:w="1661"/>
      </w:tblGrid>
      <w:tr w14:paraId="6D9147E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1" w:type="dxa"/>
          </w:tcPr>
          <w:p w14:paraId="321B5A3B">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 xml:space="preserve"> 序号</w:t>
            </w:r>
          </w:p>
        </w:tc>
        <w:tc>
          <w:tcPr>
            <w:tcW w:w="1661" w:type="dxa"/>
          </w:tcPr>
          <w:p w14:paraId="41ED129F">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 xml:space="preserve"> 报价内容</w:t>
            </w:r>
          </w:p>
        </w:tc>
        <w:tc>
          <w:tcPr>
            <w:tcW w:w="1661" w:type="dxa"/>
          </w:tcPr>
          <w:p w14:paraId="7E7D846D">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 xml:space="preserve"> 最高限价</w:t>
            </w:r>
          </w:p>
        </w:tc>
        <w:tc>
          <w:tcPr>
            <w:tcW w:w="1661" w:type="dxa"/>
          </w:tcPr>
          <w:p w14:paraId="51CD1783">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 xml:space="preserve"> 响应报价</w:t>
            </w:r>
          </w:p>
        </w:tc>
        <w:tc>
          <w:tcPr>
            <w:tcW w:w="1661" w:type="dxa"/>
          </w:tcPr>
          <w:p w14:paraId="42CECEF4">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 xml:space="preserve"> 价款形式</w:t>
            </w:r>
          </w:p>
        </w:tc>
      </w:tr>
      <w:tr w14:paraId="2411E2E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1" w:type="dxa"/>
          </w:tcPr>
          <w:p w14:paraId="3A68901E">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 xml:space="preserve"> 1</w:t>
            </w:r>
          </w:p>
        </w:tc>
        <w:tc>
          <w:tcPr>
            <w:tcW w:w="1661" w:type="dxa"/>
          </w:tcPr>
          <w:p w14:paraId="6960E088">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 xml:space="preserve"> 福建省精神专科服务能力建设项目信息化专项</w:t>
            </w:r>
          </w:p>
        </w:tc>
        <w:tc>
          <w:tcPr>
            <w:tcW w:w="1661" w:type="dxa"/>
          </w:tcPr>
          <w:p w14:paraId="35AD9D16">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 xml:space="preserve"> 19870136.82  元</w:t>
            </w:r>
          </w:p>
        </w:tc>
        <w:tc>
          <w:tcPr>
            <w:tcW w:w="1661" w:type="dxa"/>
          </w:tcPr>
          <w:p w14:paraId="38C7197D">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 xml:space="preserve"> 「汇总引用」  元</w:t>
            </w:r>
          </w:p>
        </w:tc>
        <w:tc>
          <w:tcPr>
            <w:tcW w:w="1661" w:type="dxa"/>
          </w:tcPr>
          <w:p w14:paraId="3171338B">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 xml:space="preserve"> 总价</w:t>
            </w:r>
          </w:p>
        </w:tc>
      </w:tr>
    </w:tbl>
    <w:p w14:paraId="5808EA9B">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备注：无</w:t>
      </w:r>
    </w:p>
    <w:p w14:paraId="475B5242">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时间：     年     月     日</w:t>
      </w:r>
    </w:p>
    <w:p w14:paraId="7AEB5FEB">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 xml:space="preserve">签章：                     </w:t>
      </w:r>
    </w:p>
    <w:p w14:paraId="3D168B21">
      <w:pPr>
        <w:pStyle w:val="6"/>
        <w:keepNext w:val="0"/>
        <w:keepLines w:val="0"/>
        <w:pageBreakBefore w:val="0"/>
        <w:kinsoku/>
        <w:wordWrap/>
        <w:overflowPunct/>
        <w:topLinePunct w:val="0"/>
        <w:autoSpaceDE/>
        <w:autoSpaceDN/>
        <w:bidi w:val="0"/>
        <w:adjustRightInd/>
        <w:snapToGrid/>
        <w:spacing w:line="500" w:lineRule="exact"/>
        <w:jc w:val="left"/>
        <w:textAlignment w:val="auto"/>
        <w:outlineLvl w:val="0"/>
        <w:rPr>
          <w:rFonts w:hint="eastAsia" w:ascii="宋体" w:hAnsi="宋体" w:eastAsia="宋体" w:cs="宋体"/>
          <w:sz w:val="24"/>
          <w:szCs w:val="24"/>
        </w:rPr>
      </w:pPr>
      <w:r>
        <w:rPr>
          <w:rFonts w:hint="eastAsia" w:ascii="宋体" w:hAnsi="宋体" w:eastAsia="宋体" w:cs="宋体"/>
          <w:b/>
          <w:sz w:val="24"/>
          <w:szCs w:val="24"/>
        </w:rPr>
        <w:t>投标（响应）报价明细表</w:t>
      </w:r>
    </w:p>
    <w:p w14:paraId="70B4A3A0">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项目编号：[350101]ZHZB[GK]2026002</w:t>
      </w:r>
    </w:p>
    <w:p w14:paraId="2F745787">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项目名称：福建省精神专科服务能力建设项目信息化专项项目</w:t>
      </w:r>
    </w:p>
    <w:p w14:paraId="6A53279B">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采购包：福建省精神专科服务能力建设项目信息化专项</w:t>
      </w:r>
    </w:p>
    <w:p w14:paraId="063E969B">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投标人名称：</w:t>
      </w:r>
    </w:p>
    <w:p w14:paraId="2D17BB67">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 xml:space="preserve"> 福建省精神专科服务能力建设项目信息化专项</w:t>
      </w:r>
    </w:p>
    <w:p w14:paraId="10E719C9">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p>
    <w:tbl>
      <w:tblPr>
        <w:tblStyle w:val="4"/>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678"/>
        <w:gridCol w:w="678"/>
        <w:gridCol w:w="709"/>
        <w:gridCol w:w="709"/>
        <w:gridCol w:w="709"/>
        <w:gridCol w:w="709"/>
        <w:gridCol w:w="1296"/>
        <w:gridCol w:w="709"/>
        <w:gridCol w:w="936"/>
        <w:gridCol w:w="679"/>
        <w:gridCol w:w="710"/>
      </w:tblGrid>
      <w:tr w14:paraId="3D3AE08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PrEx>
        <w:tc>
          <w:tcPr>
            <w:tcW w:w="755" w:type="dxa"/>
          </w:tcPr>
          <w:p w14:paraId="0BFCDE02">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 xml:space="preserve"> 序号</w:t>
            </w:r>
          </w:p>
        </w:tc>
        <w:tc>
          <w:tcPr>
            <w:tcW w:w="755" w:type="dxa"/>
          </w:tcPr>
          <w:p w14:paraId="63B27E08">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 xml:space="preserve"> 服务名称</w:t>
            </w:r>
          </w:p>
        </w:tc>
        <w:tc>
          <w:tcPr>
            <w:tcW w:w="755" w:type="dxa"/>
          </w:tcPr>
          <w:p w14:paraId="5520FC76">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 xml:space="preserve"> 服务范围</w:t>
            </w:r>
          </w:p>
        </w:tc>
        <w:tc>
          <w:tcPr>
            <w:tcW w:w="755" w:type="dxa"/>
          </w:tcPr>
          <w:p w14:paraId="06425614">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 xml:space="preserve"> 服务要求</w:t>
            </w:r>
          </w:p>
        </w:tc>
        <w:tc>
          <w:tcPr>
            <w:tcW w:w="755" w:type="dxa"/>
          </w:tcPr>
          <w:p w14:paraId="711E341A">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 xml:space="preserve"> 服务时间</w:t>
            </w:r>
          </w:p>
        </w:tc>
        <w:tc>
          <w:tcPr>
            <w:tcW w:w="755" w:type="dxa"/>
          </w:tcPr>
          <w:p w14:paraId="185F207D">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 xml:space="preserve"> 服务标准</w:t>
            </w:r>
          </w:p>
        </w:tc>
        <w:tc>
          <w:tcPr>
            <w:tcW w:w="755" w:type="dxa"/>
          </w:tcPr>
          <w:p w14:paraId="7BEF03DD">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 xml:space="preserve"> 最高限价</w:t>
            </w:r>
          </w:p>
        </w:tc>
        <w:tc>
          <w:tcPr>
            <w:tcW w:w="755" w:type="dxa"/>
          </w:tcPr>
          <w:p w14:paraId="0CDD7FC5">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 xml:space="preserve"> 单价</w:t>
            </w:r>
          </w:p>
        </w:tc>
        <w:tc>
          <w:tcPr>
            <w:tcW w:w="755" w:type="dxa"/>
          </w:tcPr>
          <w:p w14:paraId="2EF91688">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 xml:space="preserve"> 数量</w:t>
            </w:r>
          </w:p>
        </w:tc>
        <w:tc>
          <w:tcPr>
            <w:tcW w:w="755" w:type="dxa"/>
          </w:tcPr>
          <w:p w14:paraId="4FAF9237">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 xml:space="preserve"> 计量单位</w:t>
            </w:r>
          </w:p>
        </w:tc>
        <w:tc>
          <w:tcPr>
            <w:tcW w:w="755" w:type="dxa"/>
          </w:tcPr>
          <w:p w14:paraId="2569D9F4">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 xml:space="preserve"> 总价</w:t>
            </w:r>
          </w:p>
        </w:tc>
      </w:tr>
      <w:tr w14:paraId="69BA069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55" w:type="dxa"/>
          </w:tcPr>
          <w:p w14:paraId="445E4AD2">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 xml:space="preserve"> 1</w:t>
            </w:r>
          </w:p>
        </w:tc>
        <w:tc>
          <w:tcPr>
            <w:tcW w:w="755" w:type="dxa"/>
          </w:tcPr>
          <w:p w14:paraId="2D6A09A0">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 xml:space="preserve"> 行业应用软件开发服务部分</w:t>
            </w:r>
          </w:p>
        </w:tc>
        <w:tc>
          <w:tcPr>
            <w:tcW w:w="755" w:type="dxa"/>
          </w:tcPr>
          <w:p w14:paraId="700FB66D">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 xml:space="preserve"> {供应商响应}</w:t>
            </w:r>
          </w:p>
        </w:tc>
        <w:tc>
          <w:tcPr>
            <w:tcW w:w="755" w:type="dxa"/>
          </w:tcPr>
          <w:p w14:paraId="0A3A96FD">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 xml:space="preserve"> {供应商响应}</w:t>
            </w:r>
          </w:p>
        </w:tc>
        <w:tc>
          <w:tcPr>
            <w:tcW w:w="755" w:type="dxa"/>
          </w:tcPr>
          <w:p w14:paraId="290038AE">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 xml:space="preserve"> {供应商响应}</w:t>
            </w:r>
          </w:p>
        </w:tc>
        <w:tc>
          <w:tcPr>
            <w:tcW w:w="755" w:type="dxa"/>
          </w:tcPr>
          <w:p w14:paraId="6B6479B1">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 xml:space="preserve"> {供应商响应}</w:t>
            </w:r>
          </w:p>
        </w:tc>
        <w:tc>
          <w:tcPr>
            <w:tcW w:w="755" w:type="dxa"/>
          </w:tcPr>
          <w:p w14:paraId="3C6CF954">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 xml:space="preserve"> 12101100  元</w:t>
            </w:r>
          </w:p>
        </w:tc>
        <w:tc>
          <w:tcPr>
            <w:tcW w:w="755" w:type="dxa"/>
          </w:tcPr>
          <w:p w14:paraId="70D045E4">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 xml:space="preserve"> {=总价/数量}  元</w:t>
            </w:r>
          </w:p>
        </w:tc>
        <w:tc>
          <w:tcPr>
            <w:tcW w:w="755" w:type="dxa"/>
          </w:tcPr>
          <w:p w14:paraId="4F024CCC">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 xml:space="preserve"> 1.0000</w:t>
            </w:r>
          </w:p>
        </w:tc>
        <w:tc>
          <w:tcPr>
            <w:tcW w:w="755" w:type="dxa"/>
          </w:tcPr>
          <w:p w14:paraId="20931927">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 xml:space="preserve"> 项</w:t>
            </w:r>
          </w:p>
        </w:tc>
        <w:tc>
          <w:tcPr>
            <w:tcW w:w="755" w:type="dxa"/>
          </w:tcPr>
          <w:p w14:paraId="0B5D5D77">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 xml:space="preserve"> {供应商响应}  元</w:t>
            </w:r>
          </w:p>
        </w:tc>
      </w:tr>
      <w:tr w14:paraId="1078CC3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55" w:type="dxa"/>
          </w:tcPr>
          <w:p w14:paraId="0B82F623">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 xml:space="preserve"> 2</w:t>
            </w:r>
          </w:p>
        </w:tc>
        <w:tc>
          <w:tcPr>
            <w:tcW w:w="755" w:type="dxa"/>
          </w:tcPr>
          <w:p w14:paraId="5489FAE5">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 xml:space="preserve"> 硬件设备部分</w:t>
            </w:r>
          </w:p>
        </w:tc>
        <w:tc>
          <w:tcPr>
            <w:tcW w:w="755" w:type="dxa"/>
          </w:tcPr>
          <w:p w14:paraId="42EDC5B1">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 xml:space="preserve"> {供应商响应}</w:t>
            </w:r>
          </w:p>
        </w:tc>
        <w:tc>
          <w:tcPr>
            <w:tcW w:w="755" w:type="dxa"/>
          </w:tcPr>
          <w:p w14:paraId="133F8A04">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 xml:space="preserve"> {供应商响应}</w:t>
            </w:r>
          </w:p>
        </w:tc>
        <w:tc>
          <w:tcPr>
            <w:tcW w:w="755" w:type="dxa"/>
          </w:tcPr>
          <w:p w14:paraId="737F96B7">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 xml:space="preserve"> {供应商响应}</w:t>
            </w:r>
          </w:p>
        </w:tc>
        <w:tc>
          <w:tcPr>
            <w:tcW w:w="755" w:type="dxa"/>
          </w:tcPr>
          <w:p w14:paraId="51C02654">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 xml:space="preserve"> {供应商响应}</w:t>
            </w:r>
          </w:p>
        </w:tc>
        <w:tc>
          <w:tcPr>
            <w:tcW w:w="755" w:type="dxa"/>
          </w:tcPr>
          <w:p w14:paraId="1157FE33">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 xml:space="preserve"> 7514040  元</w:t>
            </w:r>
          </w:p>
        </w:tc>
        <w:tc>
          <w:tcPr>
            <w:tcW w:w="755" w:type="dxa"/>
          </w:tcPr>
          <w:p w14:paraId="365E69F4">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 xml:space="preserve"> {=总价/数量}  元</w:t>
            </w:r>
          </w:p>
        </w:tc>
        <w:tc>
          <w:tcPr>
            <w:tcW w:w="755" w:type="dxa"/>
          </w:tcPr>
          <w:p w14:paraId="35E273BF">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 xml:space="preserve"> 1.0000</w:t>
            </w:r>
          </w:p>
        </w:tc>
        <w:tc>
          <w:tcPr>
            <w:tcW w:w="755" w:type="dxa"/>
          </w:tcPr>
          <w:p w14:paraId="5D5369F9">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 xml:space="preserve"> 批</w:t>
            </w:r>
          </w:p>
        </w:tc>
        <w:tc>
          <w:tcPr>
            <w:tcW w:w="755" w:type="dxa"/>
          </w:tcPr>
          <w:p w14:paraId="251836BC">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 xml:space="preserve"> {供应商响应}  元</w:t>
            </w:r>
          </w:p>
        </w:tc>
      </w:tr>
      <w:tr w14:paraId="66791CC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55" w:type="dxa"/>
          </w:tcPr>
          <w:p w14:paraId="41F94938">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 xml:space="preserve"> 3</w:t>
            </w:r>
          </w:p>
        </w:tc>
        <w:tc>
          <w:tcPr>
            <w:tcW w:w="755" w:type="dxa"/>
          </w:tcPr>
          <w:p w14:paraId="74B64DE5">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 xml:space="preserve"> 系统集成与人员培训费部分</w:t>
            </w:r>
          </w:p>
        </w:tc>
        <w:tc>
          <w:tcPr>
            <w:tcW w:w="755" w:type="dxa"/>
          </w:tcPr>
          <w:p w14:paraId="489ABFC8">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 xml:space="preserve"> {供应商响应}</w:t>
            </w:r>
          </w:p>
        </w:tc>
        <w:tc>
          <w:tcPr>
            <w:tcW w:w="755" w:type="dxa"/>
          </w:tcPr>
          <w:p w14:paraId="6C565389">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 xml:space="preserve"> {供应商响应}</w:t>
            </w:r>
          </w:p>
        </w:tc>
        <w:tc>
          <w:tcPr>
            <w:tcW w:w="755" w:type="dxa"/>
          </w:tcPr>
          <w:p w14:paraId="59C2FFFA">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 xml:space="preserve"> {供应商响应}</w:t>
            </w:r>
          </w:p>
        </w:tc>
        <w:tc>
          <w:tcPr>
            <w:tcW w:w="755" w:type="dxa"/>
          </w:tcPr>
          <w:p w14:paraId="3F4CF2B6">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 xml:space="preserve"> {供应商响应}</w:t>
            </w:r>
          </w:p>
        </w:tc>
        <w:tc>
          <w:tcPr>
            <w:tcW w:w="755" w:type="dxa"/>
          </w:tcPr>
          <w:p w14:paraId="6EF2D2DE">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 xml:space="preserve"> 254996.82  元</w:t>
            </w:r>
          </w:p>
        </w:tc>
        <w:tc>
          <w:tcPr>
            <w:tcW w:w="755" w:type="dxa"/>
          </w:tcPr>
          <w:p w14:paraId="785E4A48">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 xml:space="preserve"> {=总价/数量}  元</w:t>
            </w:r>
          </w:p>
        </w:tc>
        <w:tc>
          <w:tcPr>
            <w:tcW w:w="755" w:type="dxa"/>
          </w:tcPr>
          <w:p w14:paraId="29B18F7B">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 xml:space="preserve"> 1.0000</w:t>
            </w:r>
          </w:p>
        </w:tc>
        <w:tc>
          <w:tcPr>
            <w:tcW w:w="755" w:type="dxa"/>
          </w:tcPr>
          <w:p w14:paraId="6A546413">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 xml:space="preserve"> 项</w:t>
            </w:r>
          </w:p>
        </w:tc>
        <w:tc>
          <w:tcPr>
            <w:tcW w:w="755" w:type="dxa"/>
          </w:tcPr>
          <w:p w14:paraId="0ADC67F6">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 xml:space="preserve"> {供应商响应}  元</w:t>
            </w:r>
          </w:p>
        </w:tc>
      </w:tr>
    </w:tbl>
    <w:p w14:paraId="23767BB2">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合计：</w:t>
      </w:r>
    </w:p>
    <w:p w14:paraId="6353AA5B">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备注：无</w:t>
      </w:r>
    </w:p>
    <w:p w14:paraId="29A06891">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时间：     年     月     日</w:t>
      </w:r>
    </w:p>
    <w:p w14:paraId="7102AB91">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 xml:space="preserve">签章：                     </w:t>
      </w:r>
    </w:p>
    <w:p w14:paraId="3B039A80">
      <w:pPr>
        <w:pStyle w:val="6"/>
        <w:keepNext w:val="0"/>
        <w:keepLines w:val="0"/>
        <w:pageBreakBefore w:val="0"/>
        <w:kinsoku/>
        <w:wordWrap/>
        <w:overflowPunct/>
        <w:topLinePunct w:val="0"/>
        <w:autoSpaceDE/>
        <w:autoSpaceDN/>
        <w:bidi w:val="0"/>
        <w:adjustRightInd/>
        <w:snapToGrid/>
        <w:spacing w:line="500" w:lineRule="exact"/>
        <w:textAlignment w:val="auto"/>
        <w:rPr>
          <w:rFonts w:hint="eastAsia" w:ascii="宋体" w:hAnsi="宋体" w:eastAsia="宋体" w:cs="宋体"/>
          <w:sz w:val="24"/>
          <w:szCs w:val="24"/>
        </w:rPr>
      </w:pPr>
      <w:r>
        <w:rPr>
          <w:rFonts w:hint="eastAsia" w:ascii="宋体" w:hAnsi="宋体" w:eastAsia="宋体" w:cs="宋体"/>
          <w:sz w:val="24"/>
          <w:szCs w:val="24"/>
        </w:rPr>
        <w:t xml:space="preserve"> </w:t>
      </w:r>
      <w:r>
        <w:rPr>
          <w:rFonts w:hint="eastAsia" w:ascii="宋体" w:hAnsi="宋体" w:eastAsia="宋体" w:cs="宋体"/>
          <w:sz w:val="24"/>
          <w:szCs w:val="24"/>
        </w:rPr>
        <w:br w:type="textWrapping"/>
      </w:r>
      <w:r>
        <w:rPr>
          <w:rFonts w:hint="eastAsia" w:ascii="宋体" w:hAnsi="宋体" w:eastAsia="宋体" w:cs="宋体"/>
          <w:sz w:val="24"/>
          <w:szCs w:val="24"/>
        </w:rPr>
        <w:br w:type="page"/>
      </w:r>
    </w:p>
    <w:p w14:paraId="21C8EF73">
      <w:pPr>
        <w:pStyle w:val="6"/>
        <w:keepNext w:val="0"/>
        <w:keepLines w:val="0"/>
        <w:pageBreakBefore w:val="0"/>
        <w:kinsoku/>
        <w:wordWrap/>
        <w:overflowPunct/>
        <w:topLinePunct w:val="0"/>
        <w:autoSpaceDE/>
        <w:autoSpaceDN/>
        <w:bidi w:val="0"/>
        <w:adjustRightInd/>
        <w:snapToGrid/>
        <w:spacing w:line="500" w:lineRule="exact"/>
        <w:jc w:val="center"/>
        <w:textAlignment w:val="auto"/>
        <w:outlineLvl w:val="2"/>
        <w:rPr>
          <w:rFonts w:hint="eastAsia" w:ascii="宋体" w:hAnsi="宋体" w:eastAsia="宋体" w:cs="宋体"/>
          <w:sz w:val="24"/>
          <w:szCs w:val="24"/>
        </w:rPr>
      </w:pPr>
      <w:r>
        <w:rPr>
          <w:rFonts w:hint="eastAsia" w:ascii="宋体" w:hAnsi="宋体" w:eastAsia="宋体" w:cs="宋体"/>
          <w:b/>
          <w:sz w:val="24"/>
          <w:szCs w:val="24"/>
        </w:rPr>
        <w:t>三、招标文件规定的价格扣除证明材料（若有）</w:t>
      </w:r>
    </w:p>
    <w:p w14:paraId="151894E1">
      <w:pPr>
        <w:pStyle w:val="6"/>
        <w:keepNext w:val="0"/>
        <w:keepLines w:val="0"/>
        <w:pageBreakBefore w:val="0"/>
        <w:kinsoku/>
        <w:wordWrap/>
        <w:overflowPunct/>
        <w:topLinePunct w:val="0"/>
        <w:autoSpaceDE/>
        <w:autoSpaceDN/>
        <w:bidi w:val="0"/>
        <w:adjustRightInd/>
        <w:snapToGrid/>
        <w:spacing w:line="500" w:lineRule="exact"/>
        <w:jc w:val="center"/>
        <w:textAlignment w:val="auto"/>
        <w:outlineLvl w:val="3"/>
        <w:rPr>
          <w:rFonts w:hint="eastAsia" w:ascii="宋体" w:hAnsi="宋体" w:eastAsia="宋体" w:cs="宋体"/>
          <w:sz w:val="24"/>
          <w:szCs w:val="24"/>
        </w:rPr>
      </w:pPr>
      <w:r>
        <w:rPr>
          <w:rFonts w:hint="eastAsia" w:ascii="宋体" w:hAnsi="宋体" w:eastAsia="宋体" w:cs="宋体"/>
          <w:b/>
          <w:sz w:val="24"/>
          <w:szCs w:val="24"/>
        </w:rPr>
        <w:t>三-1优先类节能产品、环境标志产品价格扣除证明材料（若有）</w:t>
      </w:r>
    </w:p>
    <w:p w14:paraId="75516BED">
      <w:pPr>
        <w:pStyle w:val="6"/>
        <w:keepNext w:val="0"/>
        <w:keepLines w:val="0"/>
        <w:pageBreakBefore w:val="0"/>
        <w:kinsoku/>
        <w:wordWrap/>
        <w:overflowPunct/>
        <w:topLinePunct w:val="0"/>
        <w:autoSpaceDE/>
        <w:autoSpaceDN/>
        <w:bidi w:val="0"/>
        <w:adjustRightInd/>
        <w:snapToGrid/>
        <w:spacing w:line="500" w:lineRule="exact"/>
        <w:jc w:val="center"/>
        <w:textAlignment w:val="auto"/>
        <w:outlineLvl w:val="3"/>
        <w:rPr>
          <w:rFonts w:hint="eastAsia" w:ascii="宋体" w:hAnsi="宋体" w:eastAsia="宋体" w:cs="宋体"/>
          <w:sz w:val="24"/>
          <w:szCs w:val="24"/>
        </w:rPr>
      </w:pPr>
      <w:r>
        <w:rPr>
          <w:rFonts w:hint="eastAsia" w:ascii="宋体" w:hAnsi="宋体" w:eastAsia="宋体" w:cs="宋体"/>
          <w:b/>
          <w:sz w:val="24"/>
          <w:szCs w:val="24"/>
        </w:rPr>
        <w:t>三-1-①优先类节能产品、环境标志产品统计表（价格扣除适用，若有）</w:t>
      </w:r>
    </w:p>
    <w:p w14:paraId="7A9C50DF">
      <w:pPr>
        <w:pStyle w:val="6"/>
        <w:keepNext w:val="0"/>
        <w:keepLines w:val="0"/>
        <w:pageBreakBefore w:val="0"/>
        <w:kinsoku/>
        <w:wordWrap/>
        <w:overflowPunct/>
        <w:topLinePunct w:val="0"/>
        <w:autoSpaceDE/>
        <w:autoSpaceDN/>
        <w:bidi w:val="0"/>
        <w:adjustRightInd/>
        <w:snapToGrid/>
        <w:spacing w:line="500" w:lineRule="exact"/>
        <w:ind w:firstLine="480"/>
        <w:jc w:val="left"/>
        <w:textAlignment w:val="auto"/>
        <w:rPr>
          <w:rFonts w:hint="eastAsia" w:ascii="宋体" w:hAnsi="宋体" w:eastAsia="宋体" w:cs="宋体"/>
          <w:sz w:val="24"/>
          <w:szCs w:val="24"/>
        </w:rPr>
      </w:pPr>
      <w:r>
        <w:rPr>
          <w:rFonts w:hint="eastAsia" w:ascii="宋体" w:hAnsi="宋体" w:eastAsia="宋体" w:cs="宋体"/>
          <w:sz w:val="24"/>
          <w:szCs w:val="24"/>
        </w:rPr>
        <w:t>项目编号：</w:t>
      </w:r>
      <w:r>
        <w:rPr>
          <w:rFonts w:hint="eastAsia" w:ascii="宋体" w:hAnsi="宋体" w:eastAsia="宋体" w:cs="宋体"/>
          <w:sz w:val="24"/>
          <w:szCs w:val="24"/>
          <w:u w:val="single"/>
        </w:rPr>
        <w:t>　　　　　　　　</w:t>
      </w:r>
    </w:p>
    <w:tbl>
      <w:tblPr>
        <w:tblStyle w:val="4"/>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187"/>
        <w:gridCol w:w="1187"/>
        <w:gridCol w:w="1187"/>
        <w:gridCol w:w="1187"/>
        <w:gridCol w:w="3561"/>
      </w:tblGrid>
      <w:tr w14:paraId="35B6851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87" w:type="dxa"/>
          </w:tcPr>
          <w:p w14:paraId="650696A9">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hAnsi="宋体" w:eastAsia="宋体" w:cs="宋体"/>
                <w:sz w:val="24"/>
                <w:szCs w:val="24"/>
              </w:rPr>
            </w:pPr>
          </w:p>
        </w:tc>
        <w:tc>
          <w:tcPr>
            <w:tcW w:w="7122" w:type="dxa"/>
            <w:gridSpan w:val="4"/>
          </w:tcPr>
          <w:p w14:paraId="3F6C6F2F">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本采购包内属于节能、环境标志产品情况</w:t>
            </w:r>
          </w:p>
        </w:tc>
      </w:tr>
      <w:tr w14:paraId="50B14E7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gridAfter w:val="1"/>
          <w:wAfter w:w="3561" w:type="dxa"/>
        </w:trPr>
        <w:tc>
          <w:tcPr>
            <w:tcW w:w="1187" w:type="dxa"/>
          </w:tcPr>
          <w:p w14:paraId="539C462B">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采购包</w:t>
            </w:r>
          </w:p>
        </w:tc>
        <w:tc>
          <w:tcPr>
            <w:tcW w:w="1187" w:type="dxa"/>
          </w:tcPr>
          <w:p w14:paraId="503DAE8E">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品目号</w:t>
            </w:r>
          </w:p>
        </w:tc>
        <w:tc>
          <w:tcPr>
            <w:tcW w:w="1187" w:type="dxa"/>
          </w:tcPr>
          <w:p w14:paraId="79EC23A3">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产品名称</w:t>
            </w:r>
          </w:p>
        </w:tc>
        <w:tc>
          <w:tcPr>
            <w:tcW w:w="1187" w:type="dxa"/>
          </w:tcPr>
          <w:p w14:paraId="33B36FD0">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认证种类</w:t>
            </w:r>
          </w:p>
        </w:tc>
      </w:tr>
      <w:tr w14:paraId="2A68B33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gridAfter w:val="1"/>
          <w:wAfter w:w="3561" w:type="dxa"/>
        </w:trPr>
        <w:tc>
          <w:tcPr>
            <w:tcW w:w="1187" w:type="dxa"/>
            <w:vMerge w:val="restart"/>
          </w:tcPr>
          <w:p w14:paraId="3F8C65D3">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w:t>
            </w:r>
          </w:p>
        </w:tc>
        <w:tc>
          <w:tcPr>
            <w:tcW w:w="1187" w:type="dxa"/>
          </w:tcPr>
          <w:p w14:paraId="2214A051">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*-1</w:t>
            </w:r>
          </w:p>
        </w:tc>
        <w:tc>
          <w:tcPr>
            <w:tcW w:w="1187" w:type="dxa"/>
          </w:tcPr>
          <w:p w14:paraId="088EF074">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hAnsi="宋体" w:eastAsia="宋体" w:cs="宋体"/>
                <w:sz w:val="24"/>
                <w:szCs w:val="24"/>
              </w:rPr>
            </w:pPr>
          </w:p>
        </w:tc>
        <w:tc>
          <w:tcPr>
            <w:tcW w:w="1187" w:type="dxa"/>
          </w:tcPr>
          <w:p w14:paraId="59683EBE">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供应商自行填写种类，并上传证明附件以便评审查看</w:t>
            </w:r>
          </w:p>
        </w:tc>
      </w:tr>
      <w:tr w14:paraId="17C1A6C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gridAfter w:val="1"/>
          <w:wAfter w:w="3561" w:type="dxa"/>
        </w:trPr>
        <w:tc>
          <w:tcPr>
            <w:tcW w:w="1187" w:type="dxa"/>
            <w:vMerge w:val="continue"/>
          </w:tcPr>
          <w:p w14:paraId="47FAA601">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hAnsi="宋体" w:eastAsia="宋体" w:cs="宋体"/>
                <w:sz w:val="24"/>
                <w:szCs w:val="24"/>
              </w:rPr>
            </w:pPr>
          </w:p>
        </w:tc>
        <w:tc>
          <w:tcPr>
            <w:tcW w:w="1187" w:type="dxa"/>
          </w:tcPr>
          <w:p w14:paraId="4AF0B3C0">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w:t>
            </w:r>
          </w:p>
          <w:p w14:paraId="324D31B5">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p>
        </w:tc>
        <w:tc>
          <w:tcPr>
            <w:tcW w:w="1187" w:type="dxa"/>
          </w:tcPr>
          <w:p w14:paraId="3CF8F389">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hAnsi="宋体" w:eastAsia="宋体" w:cs="宋体"/>
                <w:sz w:val="24"/>
                <w:szCs w:val="24"/>
              </w:rPr>
            </w:pPr>
          </w:p>
        </w:tc>
        <w:tc>
          <w:tcPr>
            <w:tcW w:w="1187" w:type="dxa"/>
          </w:tcPr>
          <w:p w14:paraId="33420956">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hAnsi="宋体" w:eastAsia="宋体" w:cs="宋体"/>
                <w:sz w:val="24"/>
                <w:szCs w:val="24"/>
              </w:rPr>
            </w:pPr>
          </w:p>
        </w:tc>
      </w:tr>
      <w:tr w14:paraId="4145542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gridAfter w:val="1"/>
          <w:wAfter w:w="3561" w:type="dxa"/>
        </w:trPr>
        <w:tc>
          <w:tcPr>
            <w:tcW w:w="1187" w:type="dxa"/>
          </w:tcPr>
          <w:p w14:paraId="44FA8EA3">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备注</w:t>
            </w:r>
          </w:p>
        </w:tc>
        <w:tc>
          <w:tcPr>
            <w:tcW w:w="3561" w:type="dxa"/>
            <w:gridSpan w:val="3"/>
          </w:tcPr>
          <w:p w14:paraId="4D50BF24">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p>
        </w:tc>
      </w:tr>
    </w:tbl>
    <w:p w14:paraId="7C6F6DD0">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※注意：</w:t>
      </w:r>
    </w:p>
    <w:p w14:paraId="0E7362E9">
      <w:pPr>
        <w:pStyle w:val="6"/>
        <w:keepNext w:val="0"/>
        <w:keepLines w:val="0"/>
        <w:pageBreakBefore w:val="0"/>
        <w:kinsoku/>
        <w:wordWrap/>
        <w:overflowPunct/>
        <w:topLinePunct w:val="0"/>
        <w:autoSpaceDE/>
        <w:autoSpaceDN/>
        <w:bidi w:val="0"/>
        <w:adjustRightInd/>
        <w:snapToGrid/>
        <w:spacing w:line="500" w:lineRule="exact"/>
        <w:ind w:firstLine="480"/>
        <w:jc w:val="left"/>
        <w:textAlignment w:val="auto"/>
        <w:rPr>
          <w:rFonts w:hint="eastAsia" w:ascii="宋体" w:hAnsi="宋体" w:eastAsia="宋体" w:cs="宋体"/>
          <w:sz w:val="24"/>
          <w:szCs w:val="24"/>
        </w:rPr>
      </w:pPr>
      <w:r>
        <w:rPr>
          <w:rFonts w:hint="eastAsia" w:ascii="宋体" w:hAnsi="宋体" w:eastAsia="宋体" w:cs="宋体"/>
          <w:sz w:val="24"/>
          <w:szCs w:val="24"/>
        </w:rPr>
        <w:t>1、对节能、环境标志产品计算价格扣除时，只依据电子投标（响应）文件“投标（响应）报价明细表”以及“优先类节能产品、环境标志产品证明材料（价格扣除适用，若有）。</w:t>
      </w:r>
    </w:p>
    <w:p w14:paraId="24FF45AE">
      <w:pPr>
        <w:pStyle w:val="6"/>
        <w:keepNext w:val="0"/>
        <w:keepLines w:val="0"/>
        <w:pageBreakBefore w:val="0"/>
        <w:kinsoku/>
        <w:wordWrap/>
        <w:overflowPunct/>
        <w:topLinePunct w:val="0"/>
        <w:autoSpaceDE/>
        <w:autoSpaceDN/>
        <w:bidi w:val="0"/>
        <w:adjustRightInd/>
        <w:snapToGrid/>
        <w:spacing w:line="500" w:lineRule="exact"/>
        <w:ind w:firstLine="480"/>
        <w:jc w:val="left"/>
        <w:textAlignment w:val="auto"/>
        <w:rPr>
          <w:rFonts w:hint="eastAsia" w:ascii="宋体" w:hAnsi="宋体" w:eastAsia="宋体" w:cs="宋体"/>
          <w:sz w:val="24"/>
          <w:szCs w:val="24"/>
        </w:rPr>
      </w:pPr>
      <w:r>
        <w:rPr>
          <w:rFonts w:hint="eastAsia" w:ascii="宋体" w:hAnsi="宋体" w:eastAsia="宋体" w:cs="宋体"/>
          <w:sz w:val="24"/>
          <w:szCs w:val="24"/>
        </w:rPr>
        <w:t>2、本表以采购包为单位，不同采购包请分别填写；同一采购包请按照其品目号顺序分别填写。</w:t>
      </w:r>
    </w:p>
    <w:p w14:paraId="764D73E7">
      <w:pPr>
        <w:pStyle w:val="6"/>
        <w:keepNext w:val="0"/>
        <w:keepLines w:val="0"/>
        <w:pageBreakBefore w:val="0"/>
        <w:kinsoku/>
        <w:wordWrap/>
        <w:overflowPunct/>
        <w:topLinePunct w:val="0"/>
        <w:autoSpaceDE/>
        <w:autoSpaceDN/>
        <w:bidi w:val="0"/>
        <w:adjustRightInd/>
        <w:snapToGrid/>
        <w:spacing w:line="500" w:lineRule="exact"/>
        <w:ind w:firstLine="480"/>
        <w:jc w:val="left"/>
        <w:textAlignment w:val="auto"/>
        <w:rPr>
          <w:rFonts w:hint="eastAsia" w:ascii="宋体" w:hAnsi="宋体" w:eastAsia="宋体" w:cs="宋体"/>
          <w:sz w:val="24"/>
          <w:szCs w:val="24"/>
        </w:rPr>
      </w:pPr>
      <w:r>
        <w:rPr>
          <w:rFonts w:hint="eastAsia" w:ascii="宋体" w:hAnsi="宋体" w:eastAsia="宋体" w:cs="宋体"/>
          <w:sz w:val="24"/>
          <w:szCs w:val="24"/>
        </w:rPr>
        <w:t>3、具体统计、计算：</w:t>
      </w:r>
    </w:p>
    <w:p w14:paraId="4A7EE913">
      <w:pPr>
        <w:pStyle w:val="6"/>
        <w:keepNext w:val="0"/>
        <w:keepLines w:val="0"/>
        <w:pageBreakBefore w:val="0"/>
        <w:kinsoku/>
        <w:wordWrap/>
        <w:overflowPunct/>
        <w:topLinePunct w:val="0"/>
        <w:autoSpaceDE/>
        <w:autoSpaceDN/>
        <w:bidi w:val="0"/>
        <w:adjustRightInd/>
        <w:snapToGrid/>
        <w:spacing w:line="500" w:lineRule="exact"/>
        <w:ind w:firstLine="480"/>
        <w:jc w:val="left"/>
        <w:textAlignment w:val="auto"/>
        <w:rPr>
          <w:rFonts w:hint="eastAsia" w:ascii="宋体" w:hAnsi="宋体" w:eastAsia="宋体" w:cs="宋体"/>
          <w:sz w:val="24"/>
          <w:szCs w:val="24"/>
        </w:rPr>
      </w:pPr>
      <w:r>
        <w:rPr>
          <w:rFonts w:hint="eastAsia" w:ascii="宋体" w:hAnsi="宋体" w:eastAsia="宋体" w:cs="宋体"/>
          <w:sz w:val="24"/>
          <w:szCs w:val="24"/>
        </w:rPr>
        <w:t>3.1若同一采购包内的单个或多个货物取得或同时取得节能、环境标志产品等两项或多项认证的，均按照单个货物对应一项认证的原则统计、计算1次。</w:t>
      </w:r>
    </w:p>
    <w:p w14:paraId="59F9293D">
      <w:pPr>
        <w:pStyle w:val="6"/>
        <w:keepNext w:val="0"/>
        <w:keepLines w:val="0"/>
        <w:pageBreakBefore w:val="0"/>
        <w:kinsoku/>
        <w:wordWrap/>
        <w:overflowPunct/>
        <w:topLinePunct w:val="0"/>
        <w:autoSpaceDE/>
        <w:autoSpaceDN/>
        <w:bidi w:val="0"/>
        <w:adjustRightInd/>
        <w:snapToGrid/>
        <w:spacing w:line="500" w:lineRule="exact"/>
        <w:ind w:firstLine="480"/>
        <w:jc w:val="left"/>
        <w:textAlignment w:val="auto"/>
        <w:rPr>
          <w:rFonts w:hint="eastAsia" w:ascii="宋体" w:hAnsi="宋体" w:eastAsia="宋体" w:cs="宋体"/>
          <w:sz w:val="24"/>
          <w:szCs w:val="24"/>
        </w:rPr>
      </w:pPr>
      <w:r>
        <w:rPr>
          <w:rFonts w:hint="eastAsia" w:ascii="宋体" w:hAnsi="宋体" w:eastAsia="宋体" w:cs="宋体"/>
          <w:sz w:val="24"/>
          <w:szCs w:val="24"/>
        </w:rPr>
        <w:t>3.2计算结果若除不尽，可四舍五入保留到小数点后两位。</w:t>
      </w:r>
    </w:p>
    <w:p w14:paraId="55E4E3B3">
      <w:pPr>
        <w:pStyle w:val="6"/>
        <w:keepNext w:val="0"/>
        <w:keepLines w:val="0"/>
        <w:pageBreakBefore w:val="0"/>
        <w:kinsoku/>
        <w:wordWrap/>
        <w:overflowPunct/>
        <w:topLinePunct w:val="0"/>
        <w:autoSpaceDE/>
        <w:autoSpaceDN/>
        <w:bidi w:val="0"/>
        <w:adjustRightInd/>
        <w:snapToGrid/>
        <w:spacing w:line="500" w:lineRule="exact"/>
        <w:ind w:firstLine="480"/>
        <w:jc w:val="left"/>
        <w:textAlignment w:val="auto"/>
        <w:rPr>
          <w:rFonts w:hint="eastAsia" w:ascii="宋体" w:hAnsi="宋体" w:eastAsia="宋体" w:cs="宋体"/>
          <w:sz w:val="24"/>
          <w:szCs w:val="24"/>
        </w:rPr>
      </w:pPr>
      <w:r>
        <w:rPr>
          <w:rFonts w:hint="eastAsia" w:ascii="宋体" w:hAnsi="宋体" w:eastAsia="宋体" w:cs="宋体"/>
          <w:sz w:val="24"/>
          <w:szCs w:val="24"/>
        </w:rPr>
        <w:t>3.3投标人(供应商)按照采购文件要求认真统计、计算。</w:t>
      </w:r>
    </w:p>
    <w:p w14:paraId="18D5C142">
      <w:pPr>
        <w:pStyle w:val="6"/>
        <w:keepNext w:val="0"/>
        <w:keepLines w:val="0"/>
        <w:pageBreakBefore w:val="0"/>
        <w:kinsoku/>
        <w:wordWrap/>
        <w:overflowPunct/>
        <w:topLinePunct w:val="0"/>
        <w:autoSpaceDE/>
        <w:autoSpaceDN/>
        <w:bidi w:val="0"/>
        <w:adjustRightInd/>
        <w:snapToGrid/>
        <w:spacing w:line="500" w:lineRule="exact"/>
        <w:ind w:firstLine="480"/>
        <w:jc w:val="left"/>
        <w:textAlignment w:val="auto"/>
        <w:rPr>
          <w:rFonts w:hint="eastAsia" w:ascii="宋体" w:hAnsi="宋体" w:eastAsia="宋体" w:cs="宋体"/>
          <w:sz w:val="24"/>
          <w:szCs w:val="24"/>
        </w:rPr>
      </w:pPr>
      <w:r>
        <w:rPr>
          <w:rFonts w:hint="eastAsia" w:ascii="宋体" w:hAnsi="宋体" w:eastAsia="宋体" w:cs="宋体"/>
          <w:sz w:val="24"/>
          <w:szCs w:val="24"/>
        </w:rPr>
        <w:t>3.4若无节能、环境标志产品，不填写本表。</w:t>
      </w:r>
    </w:p>
    <w:p w14:paraId="7190902E">
      <w:pPr>
        <w:pStyle w:val="6"/>
        <w:keepNext w:val="0"/>
        <w:keepLines w:val="0"/>
        <w:pageBreakBefore w:val="0"/>
        <w:kinsoku/>
        <w:wordWrap/>
        <w:overflowPunct/>
        <w:topLinePunct w:val="0"/>
        <w:autoSpaceDE/>
        <w:autoSpaceDN/>
        <w:bidi w:val="0"/>
        <w:adjustRightInd/>
        <w:snapToGrid/>
        <w:spacing w:line="500" w:lineRule="exact"/>
        <w:ind w:firstLine="480"/>
        <w:jc w:val="left"/>
        <w:textAlignment w:val="auto"/>
        <w:rPr>
          <w:rFonts w:hint="eastAsia" w:ascii="宋体" w:hAnsi="宋体" w:eastAsia="宋体" w:cs="宋体"/>
          <w:sz w:val="24"/>
          <w:szCs w:val="24"/>
        </w:rPr>
      </w:pPr>
      <w:r>
        <w:rPr>
          <w:rFonts w:hint="eastAsia" w:ascii="宋体" w:hAnsi="宋体" w:eastAsia="宋体" w:cs="宋体"/>
          <w:sz w:val="24"/>
          <w:szCs w:val="24"/>
        </w:rPr>
        <w:t>3.5强制类节能产品不享受价格扣除。</w:t>
      </w:r>
    </w:p>
    <w:p w14:paraId="4D756792">
      <w:pPr>
        <w:pStyle w:val="6"/>
        <w:keepNext w:val="0"/>
        <w:keepLines w:val="0"/>
        <w:pageBreakBefore w:val="0"/>
        <w:kinsoku/>
        <w:wordWrap/>
        <w:overflowPunct/>
        <w:topLinePunct w:val="0"/>
        <w:autoSpaceDE/>
        <w:autoSpaceDN/>
        <w:bidi w:val="0"/>
        <w:adjustRightInd/>
        <w:snapToGrid/>
        <w:spacing w:line="500" w:lineRule="exact"/>
        <w:ind w:firstLine="480"/>
        <w:jc w:val="right"/>
        <w:textAlignment w:val="auto"/>
        <w:rPr>
          <w:rFonts w:hint="eastAsia" w:ascii="宋体" w:hAnsi="宋体" w:eastAsia="宋体" w:cs="宋体"/>
          <w:sz w:val="24"/>
          <w:szCs w:val="24"/>
        </w:rPr>
      </w:pPr>
      <w:r>
        <w:rPr>
          <w:rFonts w:hint="eastAsia" w:ascii="宋体" w:hAnsi="宋体" w:eastAsia="宋体" w:cs="宋体"/>
          <w:sz w:val="24"/>
          <w:szCs w:val="24"/>
        </w:rPr>
        <w:t>投标人：</w:t>
      </w:r>
      <w:r>
        <w:rPr>
          <w:rFonts w:hint="eastAsia" w:ascii="宋体" w:hAnsi="宋体" w:eastAsia="宋体" w:cs="宋体"/>
          <w:sz w:val="24"/>
          <w:szCs w:val="24"/>
          <w:u w:val="single"/>
        </w:rPr>
        <w:t>（全称并加盖单位公章）</w:t>
      </w:r>
    </w:p>
    <w:p w14:paraId="51DD6BB2">
      <w:pPr>
        <w:pStyle w:val="6"/>
        <w:keepNext w:val="0"/>
        <w:keepLines w:val="0"/>
        <w:pageBreakBefore w:val="0"/>
        <w:kinsoku/>
        <w:wordWrap/>
        <w:overflowPunct/>
        <w:topLinePunct w:val="0"/>
        <w:autoSpaceDE/>
        <w:autoSpaceDN/>
        <w:bidi w:val="0"/>
        <w:adjustRightInd/>
        <w:snapToGrid/>
        <w:spacing w:line="500" w:lineRule="exact"/>
        <w:ind w:firstLine="480"/>
        <w:jc w:val="right"/>
        <w:textAlignment w:val="auto"/>
        <w:rPr>
          <w:rFonts w:hint="eastAsia" w:ascii="宋体" w:hAnsi="宋体" w:eastAsia="宋体" w:cs="宋体"/>
          <w:sz w:val="24"/>
          <w:szCs w:val="24"/>
        </w:rPr>
      </w:pPr>
      <w:r>
        <w:rPr>
          <w:rFonts w:hint="eastAsia" w:ascii="宋体" w:hAnsi="宋体" w:eastAsia="宋体" w:cs="宋体"/>
          <w:sz w:val="24"/>
          <w:szCs w:val="24"/>
        </w:rPr>
        <w:t>日期：</w:t>
      </w:r>
      <w:r>
        <w:rPr>
          <w:rFonts w:hint="eastAsia" w:ascii="宋体" w:hAnsi="宋体" w:eastAsia="宋体" w:cs="宋体"/>
          <w:sz w:val="24"/>
          <w:szCs w:val="24"/>
          <w:u w:val="single"/>
        </w:rPr>
        <w:t>　　年　　月　　日</w:t>
      </w:r>
    </w:p>
    <w:p w14:paraId="603E4D12">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 xml:space="preserve"> </w:t>
      </w:r>
      <w:r>
        <w:rPr>
          <w:rFonts w:hint="eastAsia" w:ascii="宋体" w:hAnsi="宋体" w:eastAsia="宋体" w:cs="宋体"/>
          <w:sz w:val="24"/>
          <w:szCs w:val="24"/>
        </w:rPr>
        <w:br w:type="textWrapping"/>
      </w:r>
      <w:r>
        <w:rPr>
          <w:rFonts w:hint="eastAsia" w:ascii="宋体" w:hAnsi="宋体" w:eastAsia="宋体" w:cs="宋体"/>
          <w:sz w:val="24"/>
          <w:szCs w:val="24"/>
        </w:rPr>
        <w:br w:type="page"/>
      </w:r>
    </w:p>
    <w:p w14:paraId="0E5C95EE">
      <w:pPr>
        <w:pStyle w:val="6"/>
        <w:keepNext w:val="0"/>
        <w:keepLines w:val="0"/>
        <w:pageBreakBefore w:val="0"/>
        <w:kinsoku/>
        <w:wordWrap/>
        <w:overflowPunct/>
        <w:topLinePunct w:val="0"/>
        <w:autoSpaceDE/>
        <w:autoSpaceDN/>
        <w:bidi w:val="0"/>
        <w:adjustRightInd/>
        <w:snapToGrid/>
        <w:spacing w:line="500" w:lineRule="exact"/>
        <w:jc w:val="center"/>
        <w:textAlignment w:val="auto"/>
        <w:outlineLvl w:val="3"/>
        <w:rPr>
          <w:rFonts w:hint="eastAsia" w:ascii="宋体" w:hAnsi="宋体" w:eastAsia="宋体" w:cs="宋体"/>
          <w:sz w:val="24"/>
          <w:szCs w:val="24"/>
        </w:rPr>
      </w:pPr>
      <w:r>
        <w:rPr>
          <w:rFonts w:hint="eastAsia" w:ascii="宋体" w:hAnsi="宋体" w:eastAsia="宋体" w:cs="宋体"/>
          <w:b/>
          <w:sz w:val="24"/>
          <w:szCs w:val="24"/>
        </w:rPr>
        <w:t>三-1-②优先类节能产品、环境标志产品证明材料（价格扣除适用，若有）</w:t>
      </w:r>
    </w:p>
    <w:p w14:paraId="4F40FC49">
      <w:pPr>
        <w:pStyle w:val="6"/>
        <w:keepNext w:val="0"/>
        <w:keepLines w:val="0"/>
        <w:pageBreakBefore w:val="0"/>
        <w:kinsoku/>
        <w:wordWrap/>
        <w:overflowPunct/>
        <w:topLinePunct w:val="0"/>
        <w:autoSpaceDE/>
        <w:autoSpaceDN/>
        <w:bidi w:val="0"/>
        <w:adjustRightInd/>
        <w:snapToGrid/>
        <w:spacing w:line="500" w:lineRule="exact"/>
        <w:jc w:val="center"/>
        <w:textAlignment w:val="auto"/>
        <w:outlineLvl w:val="3"/>
        <w:rPr>
          <w:rFonts w:hint="eastAsia" w:ascii="宋体" w:hAnsi="宋体" w:eastAsia="宋体" w:cs="宋体"/>
          <w:sz w:val="24"/>
          <w:szCs w:val="24"/>
        </w:rPr>
      </w:pPr>
      <w:r>
        <w:rPr>
          <w:rFonts w:hint="eastAsia" w:ascii="宋体" w:hAnsi="宋体" w:eastAsia="宋体" w:cs="宋体"/>
          <w:b/>
          <w:sz w:val="24"/>
          <w:szCs w:val="24"/>
        </w:rPr>
        <w:t>三-2小型、微型企业产品等价格扣除证明材料（若有）</w:t>
      </w:r>
    </w:p>
    <w:p w14:paraId="5B48034B">
      <w:pPr>
        <w:pStyle w:val="6"/>
        <w:keepNext w:val="0"/>
        <w:keepLines w:val="0"/>
        <w:pageBreakBefore w:val="0"/>
        <w:kinsoku/>
        <w:wordWrap/>
        <w:overflowPunct/>
        <w:topLinePunct w:val="0"/>
        <w:autoSpaceDE/>
        <w:autoSpaceDN/>
        <w:bidi w:val="0"/>
        <w:adjustRightInd/>
        <w:snapToGrid/>
        <w:spacing w:line="500" w:lineRule="exact"/>
        <w:jc w:val="center"/>
        <w:textAlignment w:val="auto"/>
        <w:outlineLvl w:val="3"/>
        <w:rPr>
          <w:rFonts w:hint="eastAsia" w:ascii="宋体" w:hAnsi="宋体" w:eastAsia="宋体" w:cs="宋体"/>
          <w:sz w:val="24"/>
          <w:szCs w:val="24"/>
        </w:rPr>
      </w:pPr>
      <w:r>
        <w:rPr>
          <w:rFonts w:hint="eastAsia" w:ascii="宋体" w:hAnsi="宋体" w:eastAsia="宋体" w:cs="宋体"/>
          <w:b/>
          <w:sz w:val="24"/>
          <w:szCs w:val="24"/>
        </w:rPr>
        <w:t>三-2-①中小企业声明函（价格扣除适用，若有）</w:t>
      </w:r>
    </w:p>
    <w:p w14:paraId="077AF8AA">
      <w:pPr>
        <w:pStyle w:val="6"/>
        <w:keepNext w:val="0"/>
        <w:keepLines w:val="0"/>
        <w:pageBreakBefore w:val="0"/>
        <w:kinsoku/>
        <w:wordWrap/>
        <w:overflowPunct/>
        <w:topLinePunct w:val="0"/>
        <w:autoSpaceDE/>
        <w:autoSpaceDN/>
        <w:bidi w:val="0"/>
        <w:adjustRightInd/>
        <w:snapToGrid/>
        <w:spacing w:line="500" w:lineRule="exact"/>
        <w:jc w:val="center"/>
        <w:textAlignment w:val="auto"/>
        <w:outlineLvl w:val="3"/>
        <w:rPr>
          <w:rFonts w:hint="eastAsia" w:ascii="宋体" w:hAnsi="宋体" w:eastAsia="宋体" w:cs="宋体"/>
          <w:sz w:val="24"/>
          <w:szCs w:val="24"/>
        </w:rPr>
      </w:pPr>
      <w:r>
        <w:rPr>
          <w:rFonts w:hint="eastAsia" w:ascii="宋体" w:hAnsi="宋体" w:eastAsia="宋体" w:cs="宋体"/>
          <w:b/>
          <w:sz w:val="24"/>
          <w:szCs w:val="24"/>
        </w:rPr>
        <w:t>中小企业声明函（货物）</w:t>
      </w:r>
    </w:p>
    <w:p w14:paraId="71E3FFD0">
      <w:pPr>
        <w:pStyle w:val="6"/>
        <w:keepNext w:val="0"/>
        <w:keepLines w:val="0"/>
        <w:pageBreakBefore w:val="0"/>
        <w:kinsoku/>
        <w:wordWrap/>
        <w:overflowPunct/>
        <w:topLinePunct w:val="0"/>
        <w:autoSpaceDE/>
        <w:autoSpaceDN/>
        <w:bidi w:val="0"/>
        <w:adjustRightInd/>
        <w:snapToGrid/>
        <w:spacing w:line="500" w:lineRule="exact"/>
        <w:ind w:firstLine="480"/>
        <w:jc w:val="left"/>
        <w:textAlignment w:val="auto"/>
        <w:rPr>
          <w:rFonts w:hint="eastAsia" w:ascii="宋体" w:hAnsi="宋体" w:eastAsia="宋体" w:cs="宋体"/>
          <w:sz w:val="24"/>
          <w:szCs w:val="24"/>
        </w:rPr>
      </w:pPr>
      <w:r>
        <w:rPr>
          <w:rFonts w:hint="eastAsia" w:ascii="宋体" w:hAnsi="宋体" w:eastAsia="宋体" w:cs="宋体"/>
          <w:sz w:val="24"/>
          <w:szCs w:val="24"/>
        </w:rPr>
        <w:t>本公司（联合体）郑重声明，根据《政府采购促进中小企业发展管理办法》（财库﹝2020﹞46 号）的规定，本公司（联合体）参加</w:t>
      </w:r>
      <w:r>
        <w:rPr>
          <w:rFonts w:hint="eastAsia" w:ascii="宋体" w:hAnsi="宋体" w:eastAsia="宋体" w:cs="宋体"/>
          <w:sz w:val="24"/>
          <w:szCs w:val="24"/>
          <w:u w:val="single"/>
        </w:rPr>
        <w:t>（单位名称）</w:t>
      </w:r>
      <w:r>
        <w:rPr>
          <w:rFonts w:hint="eastAsia" w:ascii="宋体" w:hAnsi="宋体" w:eastAsia="宋体" w:cs="宋体"/>
          <w:sz w:val="24"/>
          <w:szCs w:val="24"/>
        </w:rPr>
        <w:t>的</w:t>
      </w:r>
      <w:r>
        <w:rPr>
          <w:rFonts w:hint="eastAsia" w:ascii="宋体" w:hAnsi="宋体" w:eastAsia="宋体" w:cs="宋体"/>
          <w:sz w:val="24"/>
          <w:szCs w:val="24"/>
          <w:u w:val="single"/>
        </w:rPr>
        <w:t>（项目名称）</w:t>
      </w:r>
      <w:r>
        <w:rPr>
          <w:rFonts w:hint="eastAsia" w:ascii="宋体" w:hAnsi="宋体" w:eastAsia="宋体" w:cs="宋体"/>
          <w:sz w:val="24"/>
          <w:szCs w:val="24"/>
        </w:rPr>
        <w:t>采购活动，提供的货物全部由符合政策要求的中小企业制造。相关企业（含联合体中的中小企业、签订分包意向协议的中小企业）的具体情况如下：</w:t>
      </w:r>
    </w:p>
    <w:p w14:paraId="5EC24C33">
      <w:pPr>
        <w:pStyle w:val="6"/>
        <w:keepNext w:val="0"/>
        <w:keepLines w:val="0"/>
        <w:pageBreakBefore w:val="0"/>
        <w:kinsoku/>
        <w:wordWrap/>
        <w:overflowPunct/>
        <w:topLinePunct w:val="0"/>
        <w:autoSpaceDE/>
        <w:autoSpaceDN/>
        <w:bidi w:val="0"/>
        <w:adjustRightInd/>
        <w:snapToGrid/>
        <w:spacing w:line="500" w:lineRule="exact"/>
        <w:ind w:firstLine="480"/>
        <w:jc w:val="left"/>
        <w:textAlignment w:val="auto"/>
        <w:rPr>
          <w:rFonts w:hint="eastAsia" w:ascii="宋体" w:hAnsi="宋体" w:eastAsia="宋体" w:cs="宋体"/>
          <w:sz w:val="24"/>
          <w:szCs w:val="24"/>
        </w:rPr>
      </w:pPr>
      <w:r>
        <w:rPr>
          <w:rFonts w:hint="eastAsia" w:ascii="宋体" w:hAnsi="宋体" w:eastAsia="宋体" w:cs="宋体"/>
          <w:sz w:val="24"/>
          <w:szCs w:val="24"/>
        </w:rPr>
        <w:t>1.</w:t>
      </w:r>
      <w:r>
        <w:rPr>
          <w:rFonts w:hint="eastAsia" w:ascii="宋体" w:hAnsi="宋体" w:eastAsia="宋体" w:cs="宋体"/>
          <w:sz w:val="24"/>
          <w:szCs w:val="24"/>
          <w:u w:val="single"/>
        </w:rPr>
        <w:t xml:space="preserve"> （标的名称） </w:t>
      </w:r>
      <w:r>
        <w:rPr>
          <w:rFonts w:hint="eastAsia" w:ascii="宋体" w:hAnsi="宋体" w:eastAsia="宋体" w:cs="宋体"/>
          <w:sz w:val="24"/>
          <w:szCs w:val="24"/>
        </w:rPr>
        <w:t>，属于</w:t>
      </w:r>
      <w:r>
        <w:rPr>
          <w:rFonts w:hint="eastAsia" w:ascii="宋体" w:hAnsi="宋体" w:eastAsia="宋体" w:cs="宋体"/>
          <w:sz w:val="24"/>
          <w:szCs w:val="24"/>
          <w:u w:val="single"/>
        </w:rPr>
        <w:t>（采购文件中明确的所属行业）</w:t>
      </w:r>
      <w:r>
        <w:rPr>
          <w:rFonts w:hint="eastAsia" w:ascii="宋体" w:hAnsi="宋体" w:eastAsia="宋体" w:cs="宋体"/>
          <w:sz w:val="24"/>
          <w:szCs w:val="24"/>
        </w:rPr>
        <w:t>行业；制造商为</w:t>
      </w:r>
      <w:r>
        <w:rPr>
          <w:rFonts w:hint="eastAsia" w:ascii="宋体" w:hAnsi="宋体" w:eastAsia="宋体" w:cs="宋体"/>
          <w:sz w:val="24"/>
          <w:szCs w:val="24"/>
          <w:u w:val="single"/>
        </w:rPr>
        <w:t>（企业名称）</w:t>
      </w:r>
      <w:r>
        <w:rPr>
          <w:rFonts w:hint="eastAsia" w:ascii="宋体" w:hAnsi="宋体" w:eastAsia="宋体" w:cs="宋体"/>
          <w:sz w:val="24"/>
          <w:szCs w:val="24"/>
        </w:rPr>
        <w:t>，从业人员</w:t>
      </w:r>
      <w:r>
        <w:rPr>
          <w:rFonts w:hint="eastAsia" w:ascii="宋体" w:hAnsi="宋体" w:eastAsia="宋体" w:cs="宋体"/>
          <w:sz w:val="24"/>
          <w:szCs w:val="24"/>
          <w:u w:val="single"/>
        </w:rPr>
        <w:t>　　　　　</w:t>
      </w:r>
      <w:r>
        <w:rPr>
          <w:rFonts w:hint="eastAsia" w:ascii="宋体" w:hAnsi="宋体" w:eastAsia="宋体" w:cs="宋体"/>
          <w:sz w:val="24"/>
          <w:szCs w:val="24"/>
        </w:rPr>
        <w:t>人，营业收入为</w:t>
      </w:r>
      <w:r>
        <w:rPr>
          <w:rFonts w:hint="eastAsia" w:ascii="宋体" w:hAnsi="宋体" w:eastAsia="宋体" w:cs="宋体"/>
          <w:sz w:val="24"/>
          <w:szCs w:val="24"/>
          <w:u w:val="single"/>
        </w:rPr>
        <w:t>　　　　　</w:t>
      </w:r>
      <w:r>
        <w:rPr>
          <w:rFonts w:hint="eastAsia" w:ascii="宋体" w:hAnsi="宋体" w:eastAsia="宋体" w:cs="宋体"/>
          <w:sz w:val="24"/>
          <w:szCs w:val="24"/>
        </w:rPr>
        <w:t>万元，资产总额为</w:t>
      </w:r>
      <w:r>
        <w:rPr>
          <w:rFonts w:hint="eastAsia" w:ascii="宋体" w:hAnsi="宋体" w:eastAsia="宋体" w:cs="宋体"/>
          <w:sz w:val="24"/>
          <w:szCs w:val="24"/>
          <w:u w:val="single"/>
        </w:rPr>
        <w:t>　　　　　</w:t>
      </w:r>
      <w:r>
        <w:rPr>
          <w:rFonts w:hint="eastAsia" w:ascii="宋体" w:hAnsi="宋体" w:eastAsia="宋体" w:cs="宋体"/>
          <w:sz w:val="24"/>
          <w:szCs w:val="24"/>
        </w:rPr>
        <w:t>万元</w:t>
      </w:r>
      <w:r>
        <w:rPr>
          <w:rFonts w:hint="eastAsia" w:ascii="宋体" w:hAnsi="宋体" w:eastAsia="宋体" w:cs="宋体"/>
          <w:sz w:val="24"/>
          <w:szCs w:val="24"/>
          <w:vertAlign w:val="superscript"/>
        </w:rPr>
        <w:t>1</w:t>
      </w:r>
      <w:r>
        <w:rPr>
          <w:rFonts w:hint="eastAsia" w:ascii="宋体" w:hAnsi="宋体" w:eastAsia="宋体" w:cs="宋体"/>
          <w:sz w:val="24"/>
          <w:szCs w:val="24"/>
        </w:rPr>
        <w:t>，属于</w:t>
      </w:r>
      <w:r>
        <w:rPr>
          <w:rFonts w:hint="eastAsia" w:ascii="宋体" w:hAnsi="宋体" w:eastAsia="宋体" w:cs="宋体"/>
          <w:sz w:val="24"/>
          <w:szCs w:val="24"/>
          <w:u w:val="single"/>
        </w:rPr>
        <w:t>（中型企业、小型企业、微型企业）</w:t>
      </w:r>
      <w:r>
        <w:rPr>
          <w:rFonts w:hint="eastAsia" w:ascii="宋体" w:hAnsi="宋体" w:eastAsia="宋体" w:cs="宋体"/>
          <w:sz w:val="24"/>
          <w:szCs w:val="24"/>
        </w:rPr>
        <w:t>；</w:t>
      </w:r>
    </w:p>
    <w:p w14:paraId="47367669">
      <w:pPr>
        <w:pStyle w:val="6"/>
        <w:keepNext w:val="0"/>
        <w:keepLines w:val="0"/>
        <w:pageBreakBefore w:val="0"/>
        <w:kinsoku/>
        <w:wordWrap/>
        <w:overflowPunct/>
        <w:topLinePunct w:val="0"/>
        <w:autoSpaceDE/>
        <w:autoSpaceDN/>
        <w:bidi w:val="0"/>
        <w:adjustRightInd/>
        <w:snapToGrid/>
        <w:spacing w:line="500" w:lineRule="exact"/>
        <w:ind w:firstLine="480"/>
        <w:jc w:val="left"/>
        <w:textAlignment w:val="auto"/>
        <w:rPr>
          <w:rFonts w:hint="eastAsia" w:ascii="宋体" w:hAnsi="宋体" w:eastAsia="宋体" w:cs="宋体"/>
          <w:sz w:val="24"/>
          <w:szCs w:val="24"/>
        </w:rPr>
      </w:pPr>
      <w:r>
        <w:rPr>
          <w:rFonts w:hint="eastAsia" w:ascii="宋体" w:hAnsi="宋体" w:eastAsia="宋体" w:cs="宋体"/>
          <w:sz w:val="24"/>
          <w:szCs w:val="24"/>
        </w:rPr>
        <w:t>2.</w:t>
      </w:r>
      <w:r>
        <w:rPr>
          <w:rFonts w:hint="eastAsia" w:ascii="宋体" w:hAnsi="宋体" w:eastAsia="宋体" w:cs="宋体"/>
          <w:sz w:val="24"/>
          <w:szCs w:val="24"/>
          <w:u w:val="single"/>
        </w:rPr>
        <w:t xml:space="preserve"> （标的名称） </w:t>
      </w:r>
      <w:r>
        <w:rPr>
          <w:rFonts w:hint="eastAsia" w:ascii="宋体" w:hAnsi="宋体" w:eastAsia="宋体" w:cs="宋体"/>
          <w:sz w:val="24"/>
          <w:szCs w:val="24"/>
        </w:rPr>
        <w:t>，属于</w:t>
      </w:r>
      <w:r>
        <w:rPr>
          <w:rFonts w:hint="eastAsia" w:ascii="宋体" w:hAnsi="宋体" w:eastAsia="宋体" w:cs="宋体"/>
          <w:sz w:val="24"/>
          <w:szCs w:val="24"/>
          <w:u w:val="single"/>
        </w:rPr>
        <w:t>（采购文件中明确的所属行业）</w:t>
      </w:r>
      <w:r>
        <w:rPr>
          <w:rFonts w:hint="eastAsia" w:ascii="宋体" w:hAnsi="宋体" w:eastAsia="宋体" w:cs="宋体"/>
          <w:sz w:val="24"/>
          <w:szCs w:val="24"/>
        </w:rPr>
        <w:t>行业；制造商为</w:t>
      </w:r>
      <w:r>
        <w:rPr>
          <w:rFonts w:hint="eastAsia" w:ascii="宋体" w:hAnsi="宋体" w:eastAsia="宋体" w:cs="宋体"/>
          <w:sz w:val="24"/>
          <w:szCs w:val="24"/>
          <w:u w:val="single"/>
        </w:rPr>
        <w:t>（企业名称）</w:t>
      </w:r>
      <w:r>
        <w:rPr>
          <w:rFonts w:hint="eastAsia" w:ascii="宋体" w:hAnsi="宋体" w:eastAsia="宋体" w:cs="宋体"/>
          <w:sz w:val="24"/>
          <w:szCs w:val="24"/>
        </w:rPr>
        <w:t>，从业人员</w:t>
      </w:r>
      <w:r>
        <w:rPr>
          <w:rFonts w:hint="eastAsia" w:ascii="宋体" w:hAnsi="宋体" w:eastAsia="宋体" w:cs="宋体"/>
          <w:sz w:val="24"/>
          <w:szCs w:val="24"/>
          <w:u w:val="single"/>
        </w:rPr>
        <w:t>　　　　　</w:t>
      </w:r>
      <w:r>
        <w:rPr>
          <w:rFonts w:hint="eastAsia" w:ascii="宋体" w:hAnsi="宋体" w:eastAsia="宋体" w:cs="宋体"/>
          <w:sz w:val="24"/>
          <w:szCs w:val="24"/>
        </w:rPr>
        <w:t>人，营业收入为</w:t>
      </w:r>
      <w:r>
        <w:rPr>
          <w:rFonts w:hint="eastAsia" w:ascii="宋体" w:hAnsi="宋体" w:eastAsia="宋体" w:cs="宋体"/>
          <w:sz w:val="24"/>
          <w:szCs w:val="24"/>
          <w:u w:val="single"/>
        </w:rPr>
        <w:t>　　　　　</w:t>
      </w:r>
      <w:r>
        <w:rPr>
          <w:rFonts w:hint="eastAsia" w:ascii="宋体" w:hAnsi="宋体" w:eastAsia="宋体" w:cs="宋体"/>
          <w:sz w:val="24"/>
          <w:szCs w:val="24"/>
        </w:rPr>
        <w:t>万元，资产总额为</w:t>
      </w:r>
      <w:r>
        <w:rPr>
          <w:rFonts w:hint="eastAsia" w:ascii="宋体" w:hAnsi="宋体" w:eastAsia="宋体" w:cs="宋体"/>
          <w:sz w:val="24"/>
          <w:szCs w:val="24"/>
          <w:u w:val="single"/>
        </w:rPr>
        <w:t>　　　　　</w:t>
      </w:r>
      <w:r>
        <w:rPr>
          <w:rFonts w:hint="eastAsia" w:ascii="宋体" w:hAnsi="宋体" w:eastAsia="宋体" w:cs="宋体"/>
          <w:sz w:val="24"/>
          <w:szCs w:val="24"/>
        </w:rPr>
        <w:t>万元，属于</w:t>
      </w:r>
      <w:r>
        <w:rPr>
          <w:rFonts w:hint="eastAsia" w:ascii="宋体" w:hAnsi="宋体" w:eastAsia="宋体" w:cs="宋体"/>
          <w:sz w:val="24"/>
          <w:szCs w:val="24"/>
          <w:u w:val="single"/>
        </w:rPr>
        <w:t>（中型企业、小型企业、微型企业）</w:t>
      </w:r>
      <w:r>
        <w:rPr>
          <w:rFonts w:hint="eastAsia" w:ascii="宋体" w:hAnsi="宋体" w:eastAsia="宋体" w:cs="宋体"/>
          <w:sz w:val="24"/>
          <w:szCs w:val="24"/>
        </w:rPr>
        <w:t>；</w:t>
      </w:r>
    </w:p>
    <w:p w14:paraId="0109E91A">
      <w:pPr>
        <w:pStyle w:val="6"/>
        <w:keepNext w:val="0"/>
        <w:keepLines w:val="0"/>
        <w:pageBreakBefore w:val="0"/>
        <w:kinsoku/>
        <w:wordWrap/>
        <w:overflowPunct/>
        <w:topLinePunct w:val="0"/>
        <w:autoSpaceDE/>
        <w:autoSpaceDN/>
        <w:bidi w:val="0"/>
        <w:adjustRightInd/>
        <w:snapToGrid/>
        <w:spacing w:line="500" w:lineRule="exact"/>
        <w:ind w:firstLine="480"/>
        <w:jc w:val="left"/>
        <w:textAlignment w:val="auto"/>
        <w:rPr>
          <w:rFonts w:hint="eastAsia" w:ascii="宋体" w:hAnsi="宋体" w:eastAsia="宋体" w:cs="宋体"/>
          <w:sz w:val="24"/>
          <w:szCs w:val="24"/>
        </w:rPr>
      </w:pPr>
      <w:r>
        <w:rPr>
          <w:rFonts w:hint="eastAsia" w:ascii="宋体" w:hAnsi="宋体" w:eastAsia="宋体" w:cs="宋体"/>
          <w:sz w:val="24"/>
          <w:szCs w:val="24"/>
        </w:rPr>
        <w:t>……</w:t>
      </w:r>
    </w:p>
    <w:p w14:paraId="1B382831">
      <w:pPr>
        <w:pStyle w:val="6"/>
        <w:keepNext w:val="0"/>
        <w:keepLines w:val="0"/>
        <w:pageBreakBefore w:val="0"/>
        <w:kinsoku/>
        <w:wordWrap/>
        <w:overflowPunct/>
        <w:topLinePunct w:val="0"/>
        <w:autoSpaceDE/>
        <w:autoSpaceDN/>
        <w:bidi w:val="0"/>
        <w:adjustRightInd/>
        <w:snapToGrid/>
        <w:spacing w:line="500" w:lineRule="exact"/>
        <w:ind w:firstLine="480"/>
        <w:jc w:val="left"/>
        <w:textAlignment w:val="auto"/>
        <w:rPr>
          <w:rFonts w:hint="eastAsia" w:ascii="宋体" w:hAnsi="宋体" w:eastAsia="宋体" w:cs="宋体"/>
          <w:sz w:val="24"/>
          <w:szCs w:val="24"/>
        </w:rPr>
      </w:pPr>
      <w:r>
        <w:rPr>
          <w:rFonts w:hint="eastAsia" w:ascii="宋体" w:hAnsi="宋体" w:eastAsia="宋体" w:cs="宋体"/>
          <w:sz w:val="24"/>
          <w:szCs w:val="24"/>
        </w:rPr>
        <w:t>以上企业，不属于大企业的分支机构，不存在控股股东为大企业的情形，也不存在与大企业的负责人为同一人的情形。</w:t>
      </w:r>
    </w:p>
    <w:p w14:paraId="79737851">
      <w:pPr>
        <w:pStyle w:val="6"/>
        <w:keepNext w:val="0"/>
        <w:keepLines w:val="0"/>
        <w:pageBreakBefore w:val="0"/>
        <w:kinsoku/>
        <w:wordWrap/>
        <w:overflowPunct/>
        <w:topLinePunct w:val="0"/>
        <w:autoSpaceDE/>
        <w:autoSpaceDN/>
        <w:bidi w:val="0"/>
        <w:adjustRightInd/>
        <w:snapToGrid/>
        <w:spacing w:line="500" w:lineRule="exact"/>
        <w:ind w:firstLine="480"/>
        <w:jc w:val="left"/>
        <w:textAlignment w:val="auto"/>
        <w:rPr>
          <w:rFonts w:hint="eastAsia" w:ascii="宋体" w:hAnsi="宋体" w:eastAsia="宋体" w:cs="宋体"/>
          <w:sz w:val="24"/>
          <w:szCs w:val="24"/>
        </w:rPr>
      </w:pPr>
      <w:r>
        <w:rPr>
          <w:rFonts w:hint="eastAsia" w:ascii="宋体" w:hAnsi="宋体" w:eastAsia="宋体" w:cs="宋体"/>
          <w:sz w:val="24"/>
          <w:szCs w:val="24"/>
        </w:rPr>
        <w:t>本企业对上述声明内容的真实性负责。如有虚假，将依法承担相应责任。</w:t>
      </w:r>
    </w:p>
    <w:p w14:paraId="4B74D57C">
      <w:pPr>
        <w:pStyle w:val="6"/>
        <w:keepNext w:val="0"/>
        <w:keepLines w:val="0"/>
        <w:pageBreakBefore w:val="0"/>
        <w:kinsoku/>
        <w:wordWrap/>
        <w:overflowPunct/>
        <w:topLinePunct w:val="0"/>
        <w:autoSpaceDE/>
        <w:autoSpaceDN/>
        <w:bidi w:val="0"/>
        <w:adjustRightInd/>
        <w:snapToGrid/>
        <w:spacing w:line="500" w:lineRule="exact"/>
        <w:ind w:firstLine="480"/>
        <w:jc w:val="right"/>
        <w:textAlignment w:val="auto"/>
        <w:rPr>
          <w:rFonts w:hint="eastAsia" w:ascii="宋体" w:hAnsi="宋体" w:eastAsia="宋体" w:cs="宋体"/>
          <w:sz w:val="24"/>
          <w:szCs w:val="24"/>
        </w:rPr>
      </w:pPr>
      <w:r>
        <w:rPr>
          <w:rFonts w:hint="eastAsia" w:ascii="宋体" w:hAnsi="宋体" w:eastAsia="宋体" w:cs="宋体"/>
          <w:sz w:val="24"/>
          <w:szCs w:val="24"/>
        </w:rPr>
        <w:t>投标人：</w:t>
      </w:r>
      <w:r>
        <w:rPr>
          <w:rFonts w:hint="eastAsia" w:ascii="宋体" w:hAnsi="宋体" w:eastAsia="宋体" w:cs="宋体"/>
          <w:sz w:val="24"/>
          <w:szCs w:val="24"/>
          <w:u w:val="single"/>
        </w:rPr>
        <w:t>（全称并加盖单位公章）</w:t>
      </w:r>
    </w:p>
    <w:p w14:paraId="0ECFF430">
      <w:pPr>
        <w:pStyle w:val="6"/>
        <w:keepNext w:val="0"/>
        <w:keepLines w:val="0"/>
        <w:pageBreakBefore w:val="0"/>
        <w:kinsoku/>
        <w:wordWrap/>
        <w:overflowPunct/>
        <w:topLinePunct w:val="0"/>
        <w:autoSpaceDE/>
        <w:autoSpaceDN/>
        <w:bidi w:val="0"/>
        <w:adjustRightInd/>
        <w:snapToGrid/>
        <w:spacing w:line="500" w:lineRule="exact"/>
        <w:ind w:firstLine="480"/>
        <w:jc w:val="right"/>
        <w:textAlignment w:val="auto"/>
        <w:rPr>
          <w:rFonts w:hint="eastAsia" w:ascii="宋体" w:hAnsi="宋体" w:eastAsia="宋体" w:cs="宋体"/>
          <w:sz w:val="24"/>
          <w:szCs w:val="24"/>
        </w:rPr>
      </w:pPr>
      <w:r>
        <w:rPr>
          <w:rFonts w:hint="eastAsia" w:ascii="宋体" w:hAnsi="宋体" w:eastAsia="宋体" w:cs="宋体"/>
          <w:sz w:val="24"/>
          <w:szCs w:val="24"/>
        </w:rPr>
        <w:t>日期：</w:t>
      </w:r>
      <w:r>
        <w:rPr>
          <w:rFonts w:hint="eastAsia" w:ascii="宋体" w:hAnsi="宋体" w:eastAsia="宋体" w:cs="宋体"/>
          <w:sz w:val="24"/>
          <w:szCs w:val="24"/>
          <w:u w:val="single"/>
        </w:rPr>
        <w:t>　　年　　月　　日</w:t>
      </w:r>
    </w:p>
    <w:p w14:paraId="6F5C2F14">
      <w:pPr>
        <w:pStyle w:val="6"/>
        <w:keepNext w:val="0"/>
        <w:keepLines w:val="0"/>
        <w:pageBreakBefore w:val="0"/>
        <w:kinsoku/>
        <w:wordWrap/>
        <w:overflowPunct/>
        <w:topLinePunct w:val="0"/>
        <w:autoSpaceDE/>
        <w:autoSpaceDN/>
        <w:bidi w:val="0"/>
        <w:adjustRightInd/>
        <w:snapToGrid/>
        <w:spacing w:line="500" w:lineRule="exact"/>
        <w:ind w:firstLine="480"/>
        <w:jc w:val="left"/>
        <w:textAlignment w:val="auto"/>
        <w:rPr>
          <w:rFonts w:hint="eastAsia" w:ascii="宋体" w:hAnsi="宋体" w:eastAsia="宋体" w:cs="宋体"/>
          <w:sz w:val="24"/>
          <w:szCs w:val="24"/>
        </w:rPr>
      </w:pPr>
      <w:r>
        <w:rPr>
          <w:rFonts w:hint="eastAsia" w:ascii="宋体" w:hAnsi="宋体" w:eastAsia="宋体" w:cs="宋体"/>
          <w:sz w:val="24"/>
          <w:szCs w:val="24"/>
        </w:rPr>
        <w:t>※注意：</w:t>
      </w:r>
    </w:p>
    <w:p w14:paraId="7BC2D82B">
      <w:pPr>
        <w:pStyle w:val="6"/>
        <w:keepNext w:val="0"/>
        <w:keepLines w:val="0"/>
        <w:pageBreakBefore w:val="0"/>
        <w:kinsoku/>
        <w:wordWrap/>
        <w:overflowPunct/>
        <w:topLinePunct w:val="0"/>
        <w:autoSpaceDE/>
        <w:autoSpaceDN/>
        <w:bidi w:val="0"/>
        <w:adjustRightInd/>
        <w:snapToGrid/>
        <w:spacing w:line="500" w:lineRule="exact"/>
        <w:ind w:firstLine="480"/>
        <w:jc w:val="left"/>
        <w:textAlignment w:val="auto"/>
        <w:rPr>
          <w:rFonts w:hint="eastAsia" w:ascii="宋体" w:hAnsi="宋体" w:eastAsia="宋体" w:cs="宋体"/>
          <w:sz w:val="24"/>
          <w:szCs w:val="24"/>
        </w:rPr>
      </w:pPr>
      <w:r>
        <w:rPr>
          <w:rFonts w:hint="eastAsia" w:ascii="宋体" w:hAnsi="宋体" w:eastAsia="宋体" w:cs="宋体"/>
          <w:sz w:val="24"/>
          <w:szCs w:val="24"/>
        </w:rPr>
        <w:t>1、从业人员、营业收入、资产总额填报上一年度数据，无上一年度数据的新成立企业可不填报。</w:t>
      </w:r>
    </w:p>
    <w:p w14:paraId="520F5DCE">
      <w:pPr>
        <w:pStyle w:val="6"/>
        <w:keepNext w:val="0"/>
        <w:keepLines w:val="0"/>
        <w:pageBreakBefore w:val="0"/>
        <w:kinsoku/>
        <w:wordWrap/>
        <w:overflowPunct/>
        <w:topLinePunct w:val="0"/>
        <w:autoSpaceDE/>
        <w:autoSpaceDN/>
        <w:bidi w:val="0"/>
        <w:adjustRightInd/>
        <w:snapToGrid/>
        <w:spacing w:line="500" w:lineRule="exact"/>
        <w:ind w:firstLine="480"/>
        <w:jc w:val="left"/>
        <w:textAlignment w:val="auto"/>
        <w:rPr>
          <w:rFonts w:hint="eastAsia" w:ascii="宋体" w:hAnsi="宋体" w:eastAsia="宋体" w:cs="宋体"/>
          <w:sz w:val="24"/>
          <w:szCs w:val="24"/>
        </w:rPr>
      </w:pPr>
      <w:r>
        <w:rPr>
          <w:rFonts w:hint="eastAsia" w:ascii="宋体" w:hAnsi="宋体" w:eastAsia="宋体" w:cs="宋体"/>
          <w:sz w:val="24"/>
          <w:szCs w:val="24"/>
        </w:rPr>
        <w:t>2、投标人须按招标文件中明确的所属行业填列，多品目项目中须按上表要求逐条填列，否则，其提供的中小企业声明将被判定为无效声明函，由此造成的后果由投标人自行承担（涉及资格的按无效投标处理；涉及价格评审优惠的，不予认定）。</w:t>
      </w:r>
    </w:p>
    <w:p w14:paraId="246C7F23">
      <w:pPr>
        <w:pStyle w:val="6"/>
        <w:keepNext w:val="0"/>
        <w:keepLines w:val="0"/>
        <w:pageBreakBefore w:val="0"/>
        <w:kinsoku/>
        <w:wordWrap/>
        <w:overflowPunct/>
        <w:topLinePunct w:val="0"/>
        <w:autoSpaceDE/>
        <w:autoSpaceDN/>
        <w:bidi w:val="0"/>
        <w:adjustRightInd/>
        <w:snapToGrid/>
        <w:spacing w:line="500" w:lineRule="exact"/>
        <w:ind w:firstLine="480"/>
        <w:jc w:val="left"/>
        <w:textAlignment w:val="auto"/>
        <w:rPr>
          <w:rFonts w:hint="eastAsia" w:ascii="宋体" w:hAnsi="宋体" w:eastAsia="宋体" w:cs="宋体"/>
          <w:sz w:val="24"/>
          <w:szCs w:val="24"/>
        </w:rPr>
      </w:pPr>
      <w:r>
        <w:rPr>
          <w:rFonts w:hint="eastAsia" w:ascii="宋体" w:hAnsi="宋体" w:eastAsia="宋体" w:cs="宋体"/>
          <w:sz w:val="24"/>
          <w:szCs w:val="24"/>
        </w:rPr>
        <w:t>3、投标人应当对其出具的《中小企业声明函》真实性负责，投标人出具的《中小企业声明函》内容不实的，属于提供虚假材料谋取中标。在实际操作中，项目属性为货物且投标人希望获得中小企业政策支持的，应从制造商处获得充分、准确的信息。对相关制造商信息了解不充分，或者不能确定相关信息真实、准确的，不建议出具《中小企业声明函》。</w:t>
      </w:r>
    </w:p>
    <w:p w14:paraId="780DFAA3">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 xml:space="preserve"> </w:t>
      </w:r>
      <w:r>
        <w:rPr>
          <w:rFonts w:hint="eastAsia" w:ascii="宋体" w:hAnsi="宋体" w:eastAsia="宋体" w:cs="宋体"/>
          <w:sz w:val="24"/>
          <w:szCs w:val="24"/>
        </w:rPr>
        <w:br w:type="textWrapping"/>
      </w:r>
      <w:r>
        <w:rPr>
          <w:rFonts w:hint="eastAsia" w:ascii="宋体" w:hAnsi="宋体" w:eastAsia="宋体" w:cs="宋体"/>
          <w:sz w:val="24"/>
          <w:szCs w:val="24"/>
        </w:rPr>
        <w:br w:type="page"/>
      </w:r>
    </w:p>
    <w:p w14:paraId="3B77E5AE">
      <w:pPr>
        <w:pStyle w:val="6"/>
        <w:keepNext w:val="0"/>
        <w:keepLines w:val="0"/>
        <w:pageBreakBefore w:val="0"/>
        <w:kinsoku/>
        <w:wordWrap/>
        <w:overflowPunct/>
        <w:topLinePunct w:val="0"/>
        <w:autoSpaceDE/>
        <w:autoSpaceDN/>
        <w:bidi w:val="0"/>
        <w:adjustRightInd/>
        <w:snapToGrid/>
        <w:spacing w:line="500" w:lineRule="exact"/>
        <w:jc w:val="center"/>
        <w:textAlignment w:val="auto"/>
        <w:outlineLvl w:val="3"/>
        <w:rPr>
          <w:rFonts w:hint="eastAsia" w:ascii="宋体" w:hAnsi="宋体" w:eastAsia="宋体" w:cs="宋体"/>
          <w:sz w:val="24"/>
          <w:szCs w:val="24"/>
        </w:rPr>
      </w:pPr>
      <w:r>
        <w:rPr>
          <w:rFonts w:hint="eastAsia" w:ascii="宋体" w:hAnsi="宋体" w:eastAsia="宋体" w:cs="宋体"/>
          <w:b/>
          <w:sz w:val="24"/>
          <w:szCs w:val="24"/>
        </w:rPr>
        <w:t>中小企业声明函（工程、服务）</w:t>
      </w:r>
    </w:p>
    <w:p w14:paraId="1E37C205">
      <w:pPr>
        <w:pStyle w:val="6"/>
        <w:keepNext w:val="0"/>
        <w:keepLines w:val="0"/>
        <w:pageBreakBefore w:val="0"/>
        <w:kinsoku/>
        <w:wordWrap/>
        <w:overflowPunct/>
        <w:topLinePunct w:val="0"/>
        <w:autoSpaceDE/>
        <w:autoSpaceDN/>
        <w:bidi w:val="0"/>
        <w:adjustRightInd/>
        <w:snapToGrid/>
        <w:spacing w:line="500" w:lineRule="exact"/>
        <w:ind w:firstLine="480"/>
        <w:jc w:val="left"/>
        <w:textAlignment w:val="auto"/>
        <w:rPr>
          <w:rFonts w:hint="eastAsia" w:ascii="宋体" w:hAnsi="宋体" w:eastAsia="宋体" w:cs="宋体"/>
          <w:sz w:val="24"/>
          <w:szCs w:val="24"/>
        </w:rPr>
      </w:pPr>
      <w:r>
        <w:rPr>
          <w:rFonts w:hint="eastAsia" w:ascii="宋体" w:hAnsi="宋体" w:eastAsia="宋体" w:cs="宋体"/>
          <w:sz w:val="24"/>
          <w:szCs w:val="24"/>
        </w:rPr>
        <w:t>本公司（联合体）郑重声明，根据《政府采购促进中小企业发展管理办法》（财库﹝2020﹞46 号）的规定，本公司（联合体）参加</w:t>
      </w:r>
      <w:r>
        <w:rPr>
          <w:rFonts w:hint="eastAsia" w:ascii="宋体" w:hAnsi="宋体" w:eastAsia="宋体" w:cs="宋体"/>
          <w:sz w:val="24"/>
          <w:szCs w:val="24"/>
          <w:u w:val="single"/>
        </w:rPr>
        <w:t>（单位名称）</w:t>
      </w:r>
      <w:r>
        <w:rPr>
          <w:rFonts w:hint="eastAsia" w:ascii="宋体" w:hAnsi="宋体" w:eastAsia="宋体" w:cs="宋体"/>
          <w:sz w:val="24"/>
          <w:szCs w:val="24"/>
        </w:rPr>
        <w:t>的</w:t>
      </w:r>
      <w:r>
        <w:rPr>
          <w:rFonts w:hint="eastAsia" w:ascii="宋体" w:hAnsi="宋体" w:eastAsia="宋体" w:cs="宋体"/>
          <w:sz w:val="24"/>
          <w:szCs w:val="24"/>
          <w:u w:val="single"/>
        </w:rPr>
        <w:t>（项目名称）</w:t>
      </w:r>
      <w:r>
        <w:rPr>
          <w:rFonts w:hint="eastAsia" w:ascii="宋体" w:hAnsi="宋体" w:eastAsia="宋体" w:cs="宋体"/>
          <w:sz w:val="24"/>
          <w:szCs w:val="24"/>
        </w:rPr>
        <w:t>采购活动，工程的施工单位全部为符合政策要求的中小企业（或者：服务全部由符合政策要求的中小企业承接）。相关企业（含联合体中的中小企业、签订分包意向协议的中小企业）的具体情况如下：</w:t>
      </w:r>
    </w:p>
    <w:p w14:paraId="487D1917">
      <w:pPr>
        <w:pStyle w:val="6"/>
        <w:keepNext w:val="0"/>
        <w:keepLines w:val="0"/>
        <w:pageBreakBefore w:val="0"/>
        <w:kinsoku/>
        <w:wordWrap/>
        <w:overflowPunct/>
        <w:topLinePunct w:val="0"/>
        <w:autoSpaceDE/>
        <w:autoSpaceDN/>
        <w:bidi w:val="0"/>
        <w:adjustRightInd/>
        <w:snapToGrid/>
        <w:spacing w:line="500" w:lineRule="exact"/>
        <w:ind w:firstLine="480"/>
        <w:jc w:val="left"/>
        <w:textAlignment w:val="auto"/>
        <w:rPr>
          <w:rFonts w:hint="eastAsia" w:ascii="宋体" w:hAnsi="宋体" w:eastAsia="宋体" w:cs="宋体"/>
          <w:sz w:val="24"/>
          <w:szCs w:val="24"/>
        </w:rPr>
      </w:pPr>
      <w:r>
        <w:rPr>
          <w:rFonts w:hint="eastAsia" w:ascii="宋体" w:hAnsi="宋体" w:eastAsia="宋体" w:cs="宋体"/>
          <w:sz w:val="24"/>
          <w:szCs w:val="24"/>
        </w:rPr>
        <w:t>1.</w:t>
      </w:r>
      <w:r>
        <w:rPr>
          <w:rFonts w:hint="eastAsia" w:ascii="宋体" w:hAnsi="宋体" w:eastAsia="宋体" w:cs="宋体"/>
          <w:sz w:val="24"/>
          <w:szCs w:val="24"/>
          <w:u w:val="single"/>
        </w:rPr>
        <w:t>（标的名称）</w:t>
      </w:r>
      <w:r>
        <w:rPr>
          <w:rFonts w:hint="eastAsia" w:ascii="宋体" w:hAnsi="宋体" w:eastAsia="宋体" w:cs="宋体"/>
          <w:sz w:val="24"/>
          <w:szCs w:val="24"/>
        </w:rPr>
        <w:t>，属于</w:t>
      </w:r>
      <w:r>
        <w:rPr>
          <w:rFonts w:hint="eastAsia" w:ascii="宋体" w:hAnsi="宋体" w:eastAsia="宋体" w:cs="宋体"/>
          <w:sz w:val="24"/>
          <w:szCs w:val="24"/>
          <w:u w:val="single"/>
        </w:rPr>
        <w:t>（采购文件中明确的所属行业）</w:t>
      </w:r>
      <w:r>
        <w:rPr>
          <w:rFonts w:hint="eastAsia" w:ascii="宋体" w:hAnsi="宋体" w:eastAsia="宋体" w:cs="宋体"/>
          <w:sz w:val="24"/>
          <w:szCs w:val="24"/>
        </w:rPr>
        <w:t>；承建（承接）企业为</w:t>
      </w:r>
      <w:r>
        <w:rPr>
          <w:rFonts w:hint="eastAsia" w:ascii="宋体" w:hAnsi="宋体" w:eastAsia="宋体" w:cs="宋体"/>
          <w:sz w:val="24"/>
          <w:szCs w:val="24"/>
          <w:u w:val="single"/>
        </w:rPr>
        <w:t>（企业名称）</w:t>
      </w:r>
      <w:r>
        <w:rPr>
          <w:rFonts w:hint="eastAsia" w:ascii="宋体" w:hAnsi="宋体" w:eastAsia="宋体" w:cs="宋体"/>
          <w:sz w:val="24"/>
          <w:szCs w:val="24"/>
        </w:rPr>
        <w:t>，从业人员</w:t>
      </w:r>
      <w:r>
        <w:rPr>
          <w:rFonts w:hint="eastAsia" w:ascii="宋体" w:hAnsi="宋体" w:eastAsia="宋体" w:cs="宋体"/>
          <w:sz w:val="24"/>
          <w:szCs w:val="24"/>
          <w:u w:val="single"/>
        </w:rPr>
        <w:t>　　　　　</w:t>
      </w:r>
      <w:r>
        <w:rPr>
          <w:rFonts w:hint="eastAsia" w:ascii="宋体" w:hAnsi="宋体" w:eastAsia="宋体" w:cs="宋体"/>
          <w:sz w:val="24"/>
          <w:szCs w:val="24"/>
        </w:rPr>
        <w:t>人，营业收入为</w:t>
      </w:r>
      <w:r>
        <w:rPr>
          <w:rFonts w:hint="eastAsia" w:ascii="宋体" w:hAnsi="宋体" w:eastAsia="宋体" w:cs="宋体"/>
          <w:sz w:val="24"/>
          <w:szCs w:val="24"/>
          <w:u w:val="single"/>
        </w:rPr>
        <w:t>　　　　　</w:t>
      </w:r>
      <w:r>
        <w:rPr>
          <w:rFonts w:hint="eastAsia" w:ascii="宋体" w:hAnsi="宋体" w:eastAsia="宋体" w:cs="宋体"/>
          <w:sz w:val="24"/>
          <w:szCs w:val="24"/>
        </w:rPr>
        <w:t>万元，资产总额为</w:t>
      </w:r>
      <w:r>
        <w:rPr>
          <w:rFonts w:hint="eastAsia" w:ascii="宋体" w:hAnsi="宋体" w:eastAsia="宋体" w:cs="宋体"/>
          <w:sz w:val="24"/>
          <w:szCs w:val="24"/>
          <w:u w:val="single"/>
        </w:rPr>
        <w:t>　　　　　</w:t>
      </w:r>
      <w:r>
        <w:rPr>
          <w:rFonts w:hint="eastAsia" w:ascii="宋体" w:hAnsi="宋体" w:eastAsia="宋体" w:cs="宋体"/>
          <w:sz w:val="24"/>
          <w:szCs w:val="24"/>
        </w:rPr>
        <w:t>万元</w:t>
      </w:r>
      <w:r>
        <w:rPr>
          <w:rFonts w:hint="eastAsia" w:ascii="宋体" w:hAnsi="宋体" w:eastAsia="宋体" w:cs="宋体"/>
          <w:sz w:val="24"/>
          <w:szCs w:val="24"/>
          <w:vertAlign w:val="superscript"/>
        </w:rPr>
        <w:t>1</w:t>
      </w:r>
      <w:r>
        <w:rPr>
          <w:rFonts w:hint="eastAsia" w:ascii="宋体" w:hAnsi="宋体" w:eastAsia="宋体" w:cs="宋体"/>
          <w:sz w:val="24"/>
          <w:szCs w:val="24"/>
        </w:rPr>
        <w:t>，属于</w:t>
      </w:r>
      <w:r>
        <w:rPr>
          <w:rFonts w:hint="eastAsia" w:ascii="宋体" w:hAnsi="宋体" w:eastAsia="宋体" w:cs="宋体"/>
          <w:sz w:val="24"/>
          <w:szCs w:val="24"/>
          <w:u w:val="single"/>
        </w:rPr>
        <w:t>（中型企业、小型企业、微型企业）</w:t>
      </w:r>
      <w:r>
        <w:rPr>
          <w:rFonts w:hint="eastAsia" w:ascii="宋体" w:hAnsi="宋体" w:eastAsia="宋体" w:cs="宋体"/>
          <w:sz w:val="24"/>
          <w:szCs w:val="24"/>
        </w:rPr>
        <w:t>；</w:t>
      </w:r>
    </w:p>
    <w:p w14:paraId="22771641">
      <w:pPr>
        <w:pStyle w:val="6"/>
        <w:keepNext w:val="0"/>
        <w:keepLines w:val="0"/>
        <w:pageBreakBefore w:val="0"/>
        <w:kinsoku/>
        <w:wordWrap/>
        <w:overflowPunct/>
        <w:topLinePunct w:val="0"/>
        <w:autoSpaceDE/>
        <w:autoSpaceDN/>
        <w:bidi w:val="0"/>
        <w:adjustRightInd/>
        <w:snapToGrid/>
        <w:spacing w:line="500" w:lineRule="exact"/>
        <w:ind w:firstLine="480"/>
        <w:jc w:val="left"/>
        <w:textAlignment w:val="auto"/>
        <w:rPr>
          <w:rFonts w:hint="eastAsia" w:ascii="宋体" w:hAnsi="宋体" w:eastAsia="宋体" w:cs="宋体"/>
          <w:sz w:val="24"/>
          <w:szCs w:val="24"/>
        </w:rPr>
      </w:pPr>
      <w:r>
        <w:rPr>
          <w:rFonts w:hint="eastAsia" w:ascii="宋体" w:hAnsi="宋体" w:eastAsia="宋体" w:cs="宋体"/>
          <w:sz w:val="24"/>
          <w:szCs w:val="24"/>
        </w:rPr>
        <w:t>2.</w:t>
      </w:r>
      <w:r>
        <w:rPr>
          <w:rFonts w:hint="eastAsia" w:ascii="宋体" w:hAnsi="宋体" w:eastAsia="宋体" w:cs="宋体"/>
          <w:sz w:val="24"/>
          <w:szCs w:val="24"/>
          <w:u w:val="single"/>
        </w:rPr>
        <w:t>（标的名称）</w:t>
      </w:r>
      <w:r>
        <w:rPr>
          <w:rFonts w:hint="eastAsia" w:ascii="宋体" w:hAnsi="宋体" w:eastAsia="宋体" w:cs="宋体"/>
          <w:sz w:val="24"/>
          <w:szCs w:val="24"/>
        </w:rPr>
        <w:t>，属于</w:t>
      </w:r>
      <w:r>
        <w:rPr>
          <w:rFonts w:hint="eastAsia" w:ascii="宋体" w:hAnsi="宋体" w:eastAsia="宋体" w:cs="宋体"/>
          <w:sz w:val="24"/>
          <w:szCs w:val="24"/>
          <w:u w:val="single"/>
        </w:rPr>
        <w:t>（采购文件中明确的所属行业）</w:t>
      </w:r>
      <w:r>
        <w:rPr>
          <w:rFonts w:hint="eastAsia" w:ascii="宋体" w:hAnsi="宋体" w:eastAsia="宋体" w:cs="宋体"/>
          <w:sz w:val="24"/>
          <w:szCs w:val="24"/>
        </w:rPr>
        <w:t>；承建（承接）企业为</w:t>
      </w:r>
      <w:r>
        <w:rPr>
          <w:rFonts w:hint="eastAsia" w:ascii="宋体" w:hAnsi="宋体" w:eastAsia="宋体" w:cs="宋体"/>
          <w:sz w:val="24"/>
          <w:szCs w:val="24"/>
          <w:u w:val="single"/>
        </w:rPr>
        <w:t>（企业名称）</w:t>
      </w:r>
      <w:r>
        <w:rPr>
          <w:rFonts w:hint="eastAsia" w:ascii="宋体" w:hAnsi="宋体" w:eastAsia="宋体" w:cs="宋体"/>
          <w:sz w:val="24"/>
          <w:szCs w:val="24"/>
        </w:rPr>
        <w:t>，从业人员</w:t>
      </w:r>
      <w:r>
        <w:rPr>
          <w:rFonts w:hint="eastAsia" w:ascii="宋体" w:hAnsi="宋体" w:eastAsia="宋体" w:cs="宋体"/>
          <w:sz w:val="24"/>
          <w:szCs w:val="24"/>
          <w:u w:val="single"/>
        </w:rPr>
        <w:t>　　　　　</w:t>
      </w:r>
      <w:r>
        <w:rPr>
          <w:rFonts w:hint="eastAsia" w:ascii="宋体" w:hAnsi="宋体" w:eastAsia="宋体" w:cs="宋体"/>
          <w:sz w:val="24"/>
          <w:szCs w:val="24"/>
        </w:rPr>
        <w:t>人，营业收入为</w:t>
      </w:r>
      <w:r>
        <w:rPr>
          <w:rFonts w:hint="eastAsia" w:ascii="宋体" w:hAnsi="宋体" w:eastAsia="宋体" w:cs="宋体"/>
          <w:sz w:val="24"/>
          <w:szCs w:val="24"/>
          <w:u w:val="single"/>
        </w:rPr>
        <w:t>　　　　　</w:t>
      </w:r>
      <w:r>
        <w:rPr>
          <w:rFonts w:hint="eastAsia" w:ascii="宋体" w:hAnsi="宋体" w:eastAsia="宋体" w:cs="宋体"/>
          <w:sz w:val="24"/>
          <w:szCs w:val="24"/>
        </w:rPr>
        <w:t>万元，资产总额为</w:t>
      </w:r>
      <w:r>
        <w:rPr>
          <w:rFonts w:hint="eastAsia" w:ascii="宋体" w:hAnsi="宋体" w:eastAsia="宋体" w:cs="宋体"/>
          <w:sz w:val="24"/>
          <w:szCs w:val="24"/>
          <w:u w:val="single"/>
        </w:rPr>
        <w:t>　　　　　</w:t>
      </w:r>
      <w:r>
        <w:rPr>
          <w:rFonts w:hint="eastAsia" w:ascii="宋体" w:hAnsi="宋体" w:eastAsia="宋体" w:cs="宋体"/>
          <w:sz w:val="24"/>
          <w:szCs w:val="24"/>
        </w:rPr>
        <w:t>万元，属于</w:t>
      </w:r>
      <w:r>
        <w:rPr>
          <w:rFonts w:hint="eastAsia" w:ascii="宋体" w:hAnsi="宋体" w:eastAsia="宋体" w:cs="宋体"/>
          <w:sz w:val="24"/>
          <w:szCs w:val="24"/>
          <w:u w:val="single"/>
        </w:rPr>
        <w:t>（中型企业、小型企业、微型企业）</w:t>
      </w:r>
      <w:r>
        <w:rPr>
          <w:rFonts w:hint="eastAsia" w:ascii="宋体" w:hAnsi="宋体" w:eastAsia="宋体" w:cs="宋体"/>
          <w:sz w:val="24"/>
          <w:szCs w:val="24"/>
        </w:rPr>
        <w:t>；</w:t>
      </w:r>
    </w:p>
    <w:p w14:paraId="0516805D">
      <w:pPr>
        <w:pStyle w:val="6"/>
        <w:keepNext w:val="0"/>
        <w:keepLines w:val="0"/>
        <w:pageBreakBefore w:val="0"/>
        <w:kinsoku/>
        <w:wordWrap/>
        <w:overflowPunct/>
        <w:topLinePunct w:val="0"/>
        <w:autoSpaceDE/>
        <w:autoSpaceDN/>
        <w:bidi w:val="0"/>
        <w:adjustRightInd/>
        <w:snapToGrid/>
        <w:spacing w:line="500" w:lineRule="exact"/>
        <w:ind w:firstLine="480"/>
        <w:jc w:val="left"/>
        <w:textAlignment w:val="auto"/>
        <w:rPr>
          <w:rFonts w:hint="eastAsia" w:ascii="宋体" w:hAnsi="宋体" w:eastAsia="宋体" w:cs="宋体"/>
          <w:sz w:val="24"/>
          <w:szCs w:val="24"/>
        </w:rPr>
      </w:pPr>
      <w:r>
        <w:rPr>
          <w:rFonts w:hint="eastAsia" w:ascii="宋体" w:hAnsi="宋体" w:eastAsia="宋体" w:cs="宋体"/>
          <w:sz w:val="24"/>
          <w:szCs w:val="24"/>
        </w:rPr>
        <w:t>……</w:t>
      </w:r>
    </w:p>
    <w:p w14:paraId="1DA6B30D">
      <w:pPr>
        <w:pStyle w:val="6"/>
        <w:keepNext w:val="0"/>
        <w:keepLines w:val="0"/>
        <w:pageBreakBefore w:val="0"/>
        <w:kinsoku/>
        <w:wordWrap/>
        <w:overflowPunct/>
        <w:topLinePunct w:val="0"/>
        <w:autoSpaceDE/>
        <w:autoSpaceDN/>
        <w:bidi w:val="0"/>
        <w:adjustRightInd/>
        <w:snapToGrid/>
        <w:spacing w:line="500" w:lineRule="exact"/>
        <w:ind w:firstLine="480"/>
        <w:jc w:val="left"/>
        <w:textAlignment w:val="auto"/>
        <w:rPr>
          <w:rFonts w:hint="eastAsia" w:ascii="宋体" w:hAnsi="宋体" w:eastAsia="宋体" w:cs="宋体"/>
          <w:sz w:val="24"/>
          <w:szCs w:val="24"/>
        </w:rPr>
      </w:pPr>
      <w:r>
        <w:rPr>
          <w:rFonts w:hint="eastAsia" w:ascii="宋体" w:hAnsi="宋体" w:eastAsia="宋体" w:cs="宋体"/>
          <w:sz w:val="24"/>
          <w:szCs w:val="24"/>
        </w:rPr>
        <w:t>以上企业，不属于大企业的分支机构，不存在控股股东为大企业的情形，也不存在与大企业的负责人为同一人的情形。</w:t>
      </w:r>
    </w:p>
    <w:p w14:paraId="7810FD03">
      <w:pPr>
        <w:pStyle w:val="6"/>
        <w:keepNext w:val="0"/>
        <w:keepLines w:val="0"/>
        <w:pageBreakBefore w:val="0"/>
        <w:kinsoku/>
        <w:wordWrap/>
        <w:overflowPunct/>
        <w:topLinePunct w:val="0"/>
        <w:autoSpaceDE/>
        <w:autoSpaceDN/>
        <w:bidi w:val="0"/>
        <w:adjustRightInd/>
        <w:snapToGrid/>
        <w:spacing w:line="500" w:lineRule="exact"/>
        <w:ind w:firstLine="480"/>
        <w:jc w:val="left"/>
        <w:textAlignment w:val="auto"/>
        <w:rPr>
          <w:rFonts w:hint="eastAsia" w:ascii="宋体" w:hAnsi="宋体" w:eastAsia="宋体" w:cs="宋体"/>
          <w:sz w:val="24"/>
          <w:szCs w:val="24"/>
        </w:rPr>
      </w:pPr>
      <w:r>
        <w:rPr>
          <w:rFonts w:hint="eastAsia" w:ascii="宋体" w:hAnsi="宋体" w:eastAsia="宋体" w:cs="宋体"/>
          <w:sz w:val="24"/>
          <w:szCs w:val="24"/>
        </w:rPr>
        <w:t>本企业对上述声明内容的真实性负责。如有虚假，将依法承担相应责任。</w:t>
      </w:r>
    </w:p>
    <w:p w14:paraId="144C71CA">
      <w:pPr>
        <w:pStyle w:val="6"/>
        <w:keepNext w:val="0"/>
        <w:keepLines w:val="0"/>
        <w:pageBreakBefore w:val="0"/>
        <w:kinsoku/>
        <w:wordWrap/>
        <w:overflowPunct/>
        <w:topLinePunct w:val="0"/>
        <w:autoSpaceDE/>
        <w:autoSpaceDN/>
        <w:bidi w:val="0"/>
        <w:adjustRightInd/>
        <w:snapToGrid/>
        <w:spacing w:line="500" w:lineRule="exact"/>
        <w:ind w:firstLine="480"/>
        <w:jc w:val="right"/>
        <w:textAlignment w:val="auto"/>
        <w:rPr>
          <w:rFonts w:hint="eastAsia" w:ascii="宋体" w:hAnsi="宋体" w:eastAsia="宋体" w:cs="宋体"/>
          <w:sz w:val="24"/>
          <w:szCs w:val="24"/>
        </w:rPr>
      </w:pPr>
      <w:r>
        <w:rPr>
          <w:rFonts w:hint="eastAsia" w:ascii="宋体" w:hAnsi="宋体" w:eastAsia="宋体" w:cs="宋体"/>
          <w:sz w:val="24"/>
          <w:szCs w:val="24"/>
        </w:rPr>
        <w:t>投标人：</w:t>
      </w:r>
      <w:r>
        <w:rPr>
          <w:rFonts w:hint="eastAsia" w:ascii="宋体" w:hAnsi="宋体" w:eastAsia="宋体" w:cs="宋体"/>
          <w:sz w:val="24"/>
          <w:szCs w:val="24"/>
          <w:u w:val="single"/>
        </w:rPr>
        <w:t>（全称并加盖单位公章）</w:t>
      </w:r>
    </w:p>
    <w:p w14:paraId="263F69DE">
      <w:pPr>
        <w:pStyle w:val="6"/>
        <w:keepNext w:val="0"/>
        <w:keepLines w:val="0"/>
        <w:pageBreakBefore w:val="0"/>
        <w:kinsoku/>
        <w:wordWrap/>
        <w:overflowPunct/>
        <w:topLinePunct w:val="0"/>
        <w:autoSpaceDE/>
        <w:autoSpaceDN/>
        <w:bidi w:val="0"/>
        <w:adjustRightInd/>
        <w:snapToGrid/>
        <w:spacing w:line="500" w:lineRule="exact"/>
        <w:ind w:firstLine="480"/>
        <w:jc w:val="right"/>
        <w:textAlignment w:val="auto"/>
        <w:rPr>
          <w:rFonts w:hint="eastAsia" w:ascii="宋体" w:hAnsi="宋体" w:eastAsia="宋体" w:cs="宋体"/>
          <w:sz w:val="24"/>
          <w:szCs w:val="24"/>
        </w:rPr>
      </w:pPr>
      <w:r>
        <w:rPr>
          <w:rFonts w:hint="eastAsia" w:ascii="宋体" w:hAnsi="宋体" w:eastAsia="宋体" w:cs="宋体"/>
          <w:sz w:val="24"/>
          <w:szCs w:val="24"/>
        </w:rPr>
        <w:t>日期：</w:t>
      </w:r>
      <w:r>
        <w:rPr>
          <w:rFonts w:hint="eastAsia" w:ascii="宋体" w:hAnsi="宋体" w:eastAsia="宋体" w:cs="宋体"/>
          <w:sz w:val="24"/>
          <w:szCs w:val="24"/>
          <w:u w:val="single"/>
        </w:rPr>
        <w:t>　　年　　月　　日</w:t>
      </w:r>
    </w:p>
    <w:p w14:paraId="27440BF5">
      <w:pPr>
        <w:pStyle w:val="6"/>
        <w:keepNext w:val="0"/>
        <w:keepLines w:val="0"/>
        <w:pageBreakBefore w:val="0"/>
        <w:kinsoku/>
        <w:wordWrap/>
        <w:overflowPunct/>
        <w:topLinePunct w:val="0"/>
        <w:autoSpaceDE/>
        <w:autoSpaceDN/>
        <w:bidi w:val="0"/>
        <w:adjustRightInd/>
        <w:snapToGrid/>
        <w:spacing w:line="500" w:lineRule="exact"/>
        <w:ind w:firstLine="480"/>
        <w:jc w:val="left"/>
        <w:textAlignment w:val="auto"/>
        <w:rPr>
          <w:rFonts w:hint="eastAsia" w:ascii="宋体" w:hAnsi="宋体" w:eastAsia="宋体" w:cs="宋体"/>
          <w:sz w:val="24"/>
          <w:szCs w:val="24"/>
        </w:rPr>
      </w:pPr>
      <w:r>
        <w:rPr>
          <w:rFonts w:hint="eastAsia" w:ascii="宋体" w:hAnsi="宋体" w:eastAsia="宋体" w:cs="宋体"/>
          <w:sz w:val="24"/>
          <w:szCs w:val="24"/>
        </w:rPr>
        <w:t>※注意：</w:t>
      </w:r>
    </w:p>
    <w:p w14:paraId="7DEEBAF4">
      <w:pPr>
        <w:pStyle w:val="6"/>
        <w:keepNext w:val="0"/>
        <w:keepLines w:val="0"/>
        <w:pageBreakBefore w:val="0"/>
        <w:kinsoku/>
        <w:wordWrap/>
        <w:overflowPunct/>
        <w:topLinePunct w:val="0"/>
        <w:autoSpaceDE/>
        <w:autoSpaceDN/>
        <w:bidi w:val="0"/>
        <w:adjustRightInd/>
        <w:snapToGrid/>
        <w:spacing w:line="500" w:lineRule="exact"/>
        <w:ind w:firstLine="480"/>
        <w:jc w:val="left"/>
        <w:textAlignment w:val="auto"/>
        <w:rPr>
          <w:rFonts w:hint="eastAsia" w:ascii="宋体" w:hAnsi="宋体" w:eastAsia="宋体" w:cs="宋体"/>
          <w:sz w:val="24"/>
          <w:szCs w:val="24"/>
        </w:rPr>
      </w:pPr>
      <w:r>
        <w:rPr>
          <w:rFonts w:hint="eastAsia" w:ascii="宋体" w:hAnsi="宋体" w:eastAsia="宋体" w:cs="宋体"/>
          <w:sz w:val="24"/>
          <w:szCs w:val="24"/>
        </w:rPr>
        <w:t>1、从业人员、营业收入、资产总额填报上一年度数据，无上一年度数据的新成立企业可不填报。</w:t>
      </w:r>
    </w:p>
    <w:p w14:paraId="579E0FA3">
      <w:pPr>
        <w:pStyle w:val="6"/>
        <w:keepNext w:val="0"/>
        <w:keepLines w:val="0"/>
        <w:pageBreakBefore w:val="0"/>
        <w:kinsoku/>
        <w:wordWrap/>
        <w:overflowPunct/>
        <w:topLinePunct w:val="0"/>
        <w:autoSpaceDE/>
        <w:autoSpaceDN/>
        <w:bidi w:val="0"/>
        <w:adjustRightInd/>
        <w:snapToGrid/>
        <w:spacing w:line="500" w:lineRule="exact"/>
        <w:ind w:firstLine="480"/>
        <w:jc w:val="left"/>
        <w:textAlignment w:val="auto"/>
        <w:rPr>
          <w:rFonts w:hint="eastAsia" w:ascii="宋体" w:hAnsi="宋体" w:eastAsia="宋体" w:cs="宋体"/>
          <w:sz w:val="24"/>
          <w:szCs w:val="24"/>
        </w:rPr>
      </w:pPr>
      <w:r>
        <w:rPr>
          <w:rFonts w:hint="eastAsia" w:ascii="宋体" w:hAnsi="宋体" w:eastAsia="宋体" w:cs="宋体"/>
          <w:sz w:val="24"/>
          <w:szCs w:val="24"/>
        </w:rPr>
        <w:t>2、投标人须按招标文件中明确的所属行业填列，多品目项目中须按上表要求逐条填列，否则，其提供的中小企业声明将被判定为无效声明函，由此造成的后果由投标人自行承担（涉及资格的按无效投标处理；涉及价格评审优惠的，不予认定）。</w:t>
      </w:r>
    </w:p>
    <w:p w14:paraId="6DFC0390">
      <w:pPr>
        <w:pStyle w:val="6"/>
        <w:keepNext w:val="0"/>
        <w:keepLines w:val="0"/>
        <w:pageBreakBefore w:val="0"/>
        <w:kinsoku/>
        <w:wordWrap/>
        <w:overflowPunct/>
        <w:topLinePunct w:val="0"/>
        <w:autoSpaceDE/>
        <w:autoSpaceDN/>
        <w:bidi w:val="0"/>
        <w:adjustRightInd/>
        <w:snapToGrid/>
        <w:spacing w:line="500" w:lineRule="exact"/>
        <w:ind w:firstLine="480"/>
        <w:jc w:val="left"/>
        <w:textAlignment w:val="auto"/>
        <w:rPr>
          <w:rFonts w:hint="eastAsia" w:ascii="宋体" w:hAnsi="宋体" w:eastAsia="宋体" w:cs="宋体"/>
          <w:sz w:val="24"/>
          <w:szCs w:val="24"/>
        </w:rPr>
      </w:pPr>
      <w:r>
        <w:rPr>
          <w:rFonts w:hint="eastAsia" w:ascii="宋体" w:hAnsi="宋体" w:eastAsia="宋体" w:cs="宋体"/>
          <w:sz w:val="24"/>
          <w:szCs w:val="24"/>
        </w:rPr>
        <w:t>3、投标人应当对其出具的《中小企业声明函》真实性负责，投标人出具的《中小企业声明函》内容不实的，属于提供虚假材料谋取中标。在实际操作中，项目属性为货物且投标人希望获得中小企业政策支持的，应从制造商处获得充分、准确的信息。对相关制造商信息了解不充分，或者不能确定相关信息真实、准确的，不建议出具《中小企业声明函》。</w:t>
      </w:r>
    </w:p>
    <w:p w14:paraId="5F98DD2C">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 xml:space="preserve"> </w:t>
      </w:r>
      <w:r>
        <w:rPr>
          <w:rFonts w:hint="eastAsia" w:ascii="宋体" w:hAnsi="宋体" w:eastAsia="宋体" w:cs="宋体"/>
          <w:sz w:val="24"/>
          <w:szCs w:val="24"/>
        </w:rPr>
        <w:br w:type="textWrapping"/>
      </w:r>
      <w:r>
        <w:rPr>
          <w:rFonts w:hint="eastAsia" w:ascii="宋体" w:hAnsi="宋体" w:eastAsia="宋体" w:cs="宋体"/>
          <w:sz w:val="24"/>
          <w:szCs w:val="24"/>
        </w:rPr>
        <w:br w:type="page"/>
      </w:r>
    </w:p>
    <w:p w14:paraId="17100C7A">
      <w:pPr>
        <w:pStyle w:val="6"/>
        <w:keepNext w:val="0"/>
        <w:keepLines w:val="0"/>
        <w:pageBreakBefore w:val="0"/>
        <w:kinsoku/>
        <w:wordWrap/>
        <w:overflowPunct/>
        <w:topLinePunct w:val="0"/>
        <w:autoSpaceDE/>
        <w:autoSpaceDN/>
        <w:bidi w:val="0"/>
        <w:adjustRightInd/>
        <w:snapToGrid/>
        <w:spacing w:line="500" w:lineRule="exact"/>
        <w:jc w:val="center"/>
        <w:textAlignment w:val="auto"/>
        <w:outlineLvl w:val="3"/>
        <w:rPr>
          <w:rFonts w:hint="eastAsia" w:ascii="宋体" w:hAnsi="宋体" w:eastAsia="宋体" w:cs="宋体"/>
          <w:sz w:val="24"/>
          <w:szCs w:val="24"/>
        </w:rPr>
      </w:pPr>
      <w:r>
        <w:rPr>
          <w:rFonts w:hint="eastAsia" w:ascii="宋体" w:hAnsi="宋体" w:eastAsia="宋体" w:cs="宋体"/>
          <w:b/>
          <w:sz w:val="24"/>
          <w:szCs w:val="24"/>
        </w:rPr>
        <w:t>三-2-②小型、微型企业等证明材料（价格扣除适用，若有）</w:t>
      </w:r>
    </w:p>
    <w:p w14:paraId="1FA6CA69">
      <w:pPr>
        <w:pStyle w:val="6"/>
        <w:keepNext w:val="0"/>
        <w:keepLines w:val="0"/>
        <w:pageBreakBefore w:val="0"/>
        <w:kinsoku/>
        <w:wordWrap/>
        <w:overflowPunct/>
        <w:topLinePunct w:val="0"/>
        <w:autoSpaceDE/>
        <w:autoSpaceDN/>
        <w:bidi w:val="0"/>
        <w:adjustRightInd/>
        <w:snapToGrid/>
        <w:spacing w:line="500" w:lineRule="exact"/>
        <w:ind w:firstLine="480"/>
        <w:jc w:val="center"/>
        <w:textAlignment w:val="auto"/>
        <w:rPr>
          <w:rFonts w:hint="eastAsia" w:ascii="宋体" w:hAnsi="宋体" w:eastAsia="宋体" w:cs="宋体"/>
          <w:sz w:val="24"/>
          <w:szCs w:val="24"/>
        </w:rPr>
      </w:pPr>
      <w:r>
        <w:rPr>
          <w:rFonts w:hint="eastAsia" w:ascii="宋体" w:hAnsi="宋体" w:eastAsia="宋体" w:cs="宋体"/>
          <w:sz w:val="24"/>
          <w:szCs w:val="24"/>
        </w:rPr>
        <w:t>编制说明</w:t>
      </w:r>
    </w:p>
    <w:p w14:paraId="2E3258AD">
      <w:pPr>
        <w:pStyle w:val="6"/>
        <w:keepNext w:val="0"/>
        <w:keepLines w:val="0"/>
        <w:pageBreakBefore w:val="0"/>
        <w:kinsoku/>
        <w:wordWrap/>
        <w:overflowPunct/>
        <w:topLinePunct w:val="0"/>
        <w:autoSpaceDE/>
        <w:autoSpaceDN/>
        <w:bidi w:val="0"/>
        <w:adjustRightInd/>
        <w:snapToGrid/>
        <w:spacing w:line="500" w:lineRule="exact"/>
        <w:ind w:firstLine="480"/>
        <w:jc w:val="left"/>
        <w:textAlignment w:val="auto"/>
        <w:rPr>
          <w:rFonts w:hint="eastAsia" w:ascii="宋体" w:hAnsi="宋体" w:eastAsia="宋体" w:cs="宋体"/>
          <w:sz w:val="24"/>
          <w:szCs w:val="24"/>
        </w:rPr>
      </w:pPr>
      <w:r>
        <w:rPr>
          <w:rFonts w:hint="eastAsia" w:ascii="宋体" w:hAnsi="宋体" w:eastAsia="宋体" w:cs="宋体"/>
          <w:sz w:val="24"/>
          <w:szCs w:val="24"/>
        </w:rPr>
        <w:t>1、投标人为监狱企业的，根据其提供的由省级以上监狱管理局、戒毒管理局（含新疆生产建设兵团）出具的属于监狱企业的证明文件进行认定，监狱企业视同小型、微型企业。</w:t>
      </w:r>
    </w:p>
    <w:p w14:paraId="5C45CF8F">
      <w:pPr>
        <w:pStyle w:val="6"/>
        <w:keepNext w:val="0"/>
        <w:keepLines w:val="0"/>
        <w:pageBreakBefore w:val="0"/>
        <w:kinsoku/>
        <w:wordWrap/>
        <w:overflowPunct/>
        <w:topLinePunct w:val="0"/>
        <w:autoSpaceDE/>
        <w:autoSpaceDN/>
        <w:bidi w:val="0"/>
        <w:adjustRightInd/>
        <w:snapToGrid/>
        <w:spacing w:line="500" w:lineRule="exact"/>
        <w:ind w:firstLine="480"/>
        <w:jc w:val="left"/>
        <w:textAlignment w:val="auto"/>
        <w:rPr>
          <w:rFonts w:hint="eastAsia" w:ascii="宋体" w:hAnsi="宋体" w:eastAsia="宋体" w:cs="宋体"/>
          <w:sz w:val="24"/>
          <w:szCs w:val="24"/>
        </w:rPr>
      </w:pPr>
      <w:r>
        <w:rPr>
          <w:rFonts w:hint="eastAsia" w:ascii="宋体" w:hAnsi="宋体" w:eastAsia="宋体" w:cs="宋体"/>
          <w:sz w:val="24"/>
          <w:szCs w:val="24"/>
        </w:rPr>
        <w:t>2、投标人为残疾人福利性单位的，根据其提供的《残疾人福利性单位声明函》（格式附后）进行认定，残疾人福利性单位视同小型、微型企业。残疾人福利性单位属于小型、微型企业的，不重复享受政策。</w:t>
      </w:r>
    </w:p>
    <w:p w14:paraId="78C8A69F">
      <w:pPr>
        <w:pStyle w:val="6"/>
        <w:keepNext w:val="0"/>
        <w:keepLines w:val="0"/>
        <w:pageBreakBefore w:val="0"/>
        <w:kinsoku/>
        <w:wordWrap/>
        <w:overflowPunct/>
        <w:topLinePunct w:val="0"/>
        <w:autoSpaceDE/>
        <w:autoSpaceDN/>
        <w:bidi w:val="0"/>
        <w:adjustRightInd/>
        <w:snapToGrid/>
        <w:spacing w:line="500" w:lineRule="exact"/>
        <w:ind w:firstLine="480"/>
        <w:jc w:val="left"/>
        <w:textAlignment w:val="auto"/>
        <w:rPr>
          <w:rFonts w:hint="eastAsia" w:ascii="宋体" w:hAnsi="宋体" w:eastAsia="宋体" w:cs="宋体"/>
          <w:sz w:val="24"/>
          <w:szCs w:val="24"/>
        </w:rPr>
      </w:pPr>
      <w:r>
        <w:rPr>
          <w:rFonts w:hint="eastAsia" w:ascii="宋体" w:hAnsi="宋体" w:eastAsia="宋体" w:cs="宋体"/>
          <w:sz w:val="24"/>
          <w:szCs w:val="24"/>
        </w:rPr>
        <w:t>附：</w:t>
      </w:r>
    </w:p>
    <w:p w14:paraId="4B32B55A">
      <w:pPr>
        <w:pStyle w:val="6"/>
        <w:keepNext w:val="0"/>
        <w:keepLines w:val="0"/>
        <w:pageBreakBefore w:val="0"/>
        <w:kinsoku/>
        <w:wordWrap/>
        <w:overflowPunct/>
        <w:topLinePunct w:val="0"/>
        <w:autoSpaceDE/>
        <w:autoSpaceDN/>
        <w:bidi w:val="0"/>
        <w:adjustRightInd/>
        <w:snapToGrid/>
        <w:spacing w:line="500" w:lineRule="exact"/>
        <w:jc w:val="center"/>
        <w:textAlignment w:val="auto"/>
        <w:outlineLvl w:val="3"/>
        <w:rPr>
          <w:rFonts w:hint="eastAsia" w:ascii="宋体" w:hAnsi="宋体" w:eastAsia="宋体" w:cs="宋体"/>
          <w:sz w:val="24"/>
          <w:szCs w:val="24"/>
        </w:rPr>
      </w:pPr>
      <w:r>
        <w:rPr>
          <w:rFonts w:hint="eastAsia" w:ascii="宋体" w:hAnsi="宋体" w:eastAsia="宋体" w:cs="宋体"/>
          <w:b/>
          <w:sz w:val="24"/>
          <w:szCs w:val="24"/>
        </w:rPr>
        <w:t>残疾人福利性单位声明函（价格扣除适用，若有）</w:t>
      </w:r>
    </w:p>
    <w:p w14:paraId="4DE27549">
      <w:pPr>
        <w:pStyle w:val="6"/>
        <w:keepNext w:val="0"/>
        <w:keepLines w:val="0"/>
        <w:pageBreakBefore w:val="0"/>
        <w:kinsoku/>
        <w:wordWrap/>
        <w:overflowPunct/>
        <w:topLinePunct w:val="0"/>
        <w:autoSpaceDE/>
        <w:autoSpaceDN/>
        <w:bidi w:val="0"/>
        <w:adjustRightInd/>
        <w:snapToGrid/>
        <w:spacing w:line="500" w:lineRule="exact"/>
        <w:ind w:firstLine="480"/>
        <w:jc w:val="left"/>
        <w:textAlignment w:val="auto"/>
        <w:rPr>
          <w:rFonts w:hint="eastAsia" w:ascii="宋体" w:hAnsi="宋体" w:eastAsia="宋体" w:cs="宋体"/>
          <w:sz w:val="24"/>
          <w:szCs w:val="24"/>
        </w:rPr>
      </w:pPr>
      <w:r>
        <w:rPr>
          <w:rFonts w:hint="eastAsia" w:ascii="宋体" w:hAnsi="宋体" w:eastAsia="宋体" w:cs="宋体"/>
          <w:sz w:val="24"/>
          <w:szCs w:val="24"/>
        </w:rPr>
        <w:t>本投标人郑重声明，根据《财政部 民政部 中国残疾人联合会关于促进残疾人就业政府采购政策的通知》（财库[2017]141号）、《政府采购促进中小企业发展管理办法》（财库〔2020〕46号）的规定，本投标人为符合条件的残疾人福利性单位，且本投标人参加贵单位的（填写“项目名称”）项目采购活动：</w:t>
      </w:r>
    </w:p>
    <w:p w14:paraId="34103E11">
      <w:pPr>
        <w:pStyle w:val="6"/>
        <w:keepNext w:val="0"/>
        <w:keepLines w:val="0"/>
        <w:pageBreakBefore w:val="0"/>
        <w:kinsoku/>
        <w:wordWrap/>
        <w:overflowPunct/>
        <w:topLinePunct w:val="0"/>
        <w:autoSpaceDE/>
        <w:autoSpaceDN/>
        <w:bidi w:val="0"/>
        <w:adjustRightInd/>
        <w:snapToGrid/>
        <w:spacing w:line="500" w:lineRule="exact"/>
        <w:ind w:firstLine="480"/>
        <w:jc w:val="left"/>
        <w:textAlignment w:val="auto"/>
        <w:rPr>
          <w:rFonts w:hint="eastAsia" w:ascii="宋体" w:hAnsi="宋体" w:eastAsia="宋体" w:cs="宋体"/>
          <w:sz w:val="24"/>
          <w:szCs w:val="24"/>
        </w:rPr>
      </w:pPr>
      <w:r>
        <w:rPr>
          <w:rFonts w:hint="eastAsia" w:ascii="宋体" w:hAnsi="宋体" w:eastAsia="宋体" w:cs="宋体"/>
          <w:sz w:val="24"/>
          <w:szCs w:val="24"/>
        </w:rPr>
        <w:t>（ ）提供本投标人制造的（填写“所投采购包、品目号”）货物，或提供其他残疾人福利性单位制造的（填写“所投采购包、品目号”）货物（不包括使用非残疾人福利性单位注册商标的货物）。（说明：只有部分货物由残疾人福利企业制造的，在该货物后标★）</w:t>
      </w:r>
    </w:p>
    <w:p w14:paraId="5D52C765">
      <w:pPr>
        <w:pStyle w:val="6"/>
        <w:keepNext w:val="0"/>
        <w:keepLines w:val="0"/>
        <w:pageBreakBefore w:val="0"/>
        <w:kinsoku/>
        <w:wordWrap/>
        <w:overflowPunct/>
        <w:topLinePunct w:val="0"/>
        <w:autoSpaceDE/>
        <w:autoSpaceDN/>
        <w:bidi w:val="0"/>
        <w:adjustRightInd/>
        <w:snapToGrid/>
        <w:spacing w:line="500" w:lineRule="exact"/>
        <w:ind w:firstLine="480"/>
        <w:jc w:val="left"/>
        <w:textAlignment w:val="auto"/>
        <w:rPr>
          <w:rFonts w:hint="eastAsia" w:ascii="宋体" w:hAnsi="宋体" w:eastAsia="宋体" w:cs="宋体"/>
          <w:sz w:val="24"/>
          <w:szCs w:val="24"/>
        </w:rPr>
      </w:pPr>
      <w:r>
        <w:rPr>
          <w:rFonts w:hint="eastAsia" w:ascii="宋体" w:hAnsi="宋体" w:eastAsia="宋体" w:cs="宋体"/>
          <w:sz w:val="24"/>
          <w:szCs w:val="24"/>
        </w:rPr>
        <w:t>（ ）由本投标人承建的（填写“所投采购包、品目号”）工程</w:t>
      </w:r>
    </w:p>
    <w:p w14:paraId="5CEF9C38">
      <w:pPr>
        <w:pStyle w:val="6"/>
        <w:keepNext w:val="0"/>
        <w:keepLines w:val="0"/>
        <w:pageBreakBefore w:val="0"/>
        <w:kinsoku/>
        <w:wordWrap/>
        <w:overflowPunct/>
        <w:topLinePunct w:val="0"/>
        <w:autoSpaceDE/>
        <w:autoSpaceDN/>
        <w:bidi w:val="0"/>
        <w:adjustRightInd/>
        <w:snapToGrid/>
        <w:spacing w:line="500" w:lineRule="exact"/>
        <w:ind w:firstLine="480"/>
        <w:jc w:val="left"/>
        <w:textAlignment w:val="auto"/>
        <w:rPr>
          <w:rFonts w:hint="eastAsia" w:ascii="宋体" w:hAnsi="宋体" w:eastAsia="宋体" w:cs="宋体"/>
          <w:sz w:val="24"/>
          <w:szCs w:val="24"/>
        </w:rPr>
      </w:pPr>
      <w:r>
        <w:rPr>
          <w:rFonts w:hint="eastAsia" w:ascii="宋体" w:hAnsi="宋体" w:eastAsia="宋体" w:cs="宋体"/>
          <w:sz w:val="24"/>
          <w:szCs w:val="24"/>
        </w:rPr>
        <w:t>（ ）由本投标人承接的（填写“所投采购包、品目号”）服务；</w:t>
      </w:r>
    </w:p>
    <w:p w14:paraId="0239B4CD">
      <w:pPr>
        <w:pStyle w:val="6"/>
        <w:keepNext w:val="0"/>
        <w:keepLines w:val="0"/>
        <w:pageBreakBefore w:val="0"/>
        <w:kinsoku/>
        <w:wordWrap/>
        <w:overflowPunct/>
        <w:topLinePunct w:val="0"/>
        <w:autoSpaceDE/>
        <w:autoSpaceDN/>
        <w:bidi w:val="0"/>
        <w:adjustRightInd/>
        <w:snapToGrid/>
        <w:spacing w:line="500" w:lineRule="exact"/>
        <w:ind w:firstLine="480"/>
        <w:jc w:val="left"/>
        <w:textAlignment w:val="auto"/>
        <w:rPr>
          <w:rFonts w:hint="eastAsia" w:ascii="宋体" w:hAnsi="宋体" w:eastAsia="宋体" w:cs="宋体"/>
          <w:sz w:val="24"/>
          <w:szCs w:val="24"/>
        </w:rPr>
      </w:pPr>
      <w:r>
        <w:rPr>
          <w:rFonts w:hint="eastAsia" w:ascii="宋体" w:hAnsi="宋体" w:eastAsia="宋体" w:cs="宋体"/>
          <w:sz w:val="24"/>
          <w:szCs w:val="24"/>
        </w:rPr>
        <w:t>本投标人对上述声明的真实性负责。如有虚假，将依法承担相应责任。</w:t>
      </w:r>
    </w:p>
    <w:p w14:paraId="3C02404C">
      <w:pPr>
        <w:pStyle w:val="6"/>
        <w:keepNext w:val="0"/>
        <w:keepLines w:val="0"/>
        <w:pageBreakBefore w:val="0"/>
        <w:kinsoku/>
        <w:wordWrap/>
        <w:overflowPunct/>
        <w:topLinePunct w:val="0"/>
        <w:autoSpaceDE/>
        <w:autoSpaceDN/>
        <w:bidi w:val="0"/>
        <w:adjustRightInd/>
        <w:snapToGrid/>
        <w:spacing w:line="500" w:lineRule="exact"/>
        <w:ind w:firstLine="480"/>
        <w:jc w:val="left"/>
        <w:textAlignment w:val="auto"/>
        <w:rPr>
          <w:rFonts w:hint="eastAsia" w:ascii="宋体" w:hAnsi="宋体" w:eastAsia="宋体" w:cs="宋体"/>
          <w:sz w:val="24"/>
          <w:szCs w:val="24"/>
        </w:rPr>
      </w:pPr>
      <w:r>
        <w:rPr>
          <w:rFonts w:hint="eastAsia" w:ascii="宋体" w:hAnsi="宋体" w:eastAsia="宋体" w:cs="宋体"/>
          <w:sz w:val="24"/>
          <w:szCs w:val="24"/>
        </w:rPr>
        <w:t>备注：</w:t>
      </w:r>
    </w:p>
    <w:p w14:paraId="4DE205D8">
      <w:pPr>
        <w:pStyle w:val="6"/>
        <w:keepNext w:val="0"/>
        <w:keepLines w:val="0"/>
        <w:pageBreakBefore w:val="0"/>
        <w:kinsoku/>
        <w:wordWrap/>
        <w:overflowPunct/>
        <w:topLinePunct w:val="0"/>
        <w:autoSpaceDE/>
        <w:autoSpaceDN/>
        <w:bidi w:val="0"/>
        <w:adjustRightInd/>
        <w:snapToGrid/>
        <w:spacing w:line="500" w:lineRule="exact"/>
        <w:ind w:firstLine="480"/>
        <w:jc w:val="left"/>
        <w:textAlignment w:val="auto"/>
        <w:rPr>
          <w:rFonts w:hint="eastAsia" w:ascii="宋体" w:hAnsi="宋体" w:eastAsia="宋体" w:cs="宋体"/>
          <w:sz w:val="24"/>
          <w:szCs w:val="24"/>
        </w:rPr>
      </w:pPr>
      <w:r>
        <w:rPr>
          <w:rFonts w:hint="eastAsia" w:ascii="宋体" w:hAnsi="宋体" w:eastAsia="宋体" w:cs="宋体"/>
          <w:sz w:val="24"/>
          <w:szCs w:val="24"/>
        </w:rPr>
        <w:t>1、请投标人按照实际情况编制填写本声明函，并在相应的（）中打“√”。</w:t>
      </w:r>
    </w:p>
    <w:p w14:paraId="5718E355">
      <w:pPr>
        <w:pStyle w:val="6"/>
        <w:keepNext w:val="0"/>
        <w:keepLines w:val="0"/>
        <w:pageBreakBefore w:val="0"/>
        <w:kinsoku/>
        <w:wordWrap/>
        <w:overflowPunct/>
        <w:topLinePunct w:val="0"/>
        <w:autoSpaceDE/>
        <w:autoSpaceDN/>
        <w:bidi w:val="0"/>
        <w:adjustRightInd/>
        <w:snapToGrid/>
        <w:spacing w:line="500" w:lineRule="exact"/>
        <w:ind w:firstLine="480"/>
        <w:jc w:val="left"/>
        <w:textAlignment w:val="auto"/>
        <w:rPr>
          <w:rFonts w:hint="eastAsia" w:ascii="宋体" w:hAnsi="宋体" w:eastAsia="宋体" w:cs="宋体"/>
          <w:sz w:val="24"/>
          <w:szCs w:val="24"/>
        </w:rPr>
      </w:pPr>
      <w:r>
        <w:rPr>
          <w:rFonts w:hint="eastAsia" w:ascii="宋体" w:hAnsi="宋体" w:eastAsia="宋体" w:cs="宋体"/>
          <w:sz w:val="24"/>
          <w:szCs w:val="24"/>
        </w:rPr>
        <w:t>2、若《残疾人福利性单位声明函》内容不真实，视为提供虚假材料。</w:t>
      </w:r>
    </w:p>
    <w:p w14:paraId="0EB7F423">
      <w:pPr>
        <w:pStyle w:val="6"/>
        <w:keepNext w:val="0"/>
        <w:keepLines w:val="0"/>
        <w:pageBreakBefore w:val="0"/>
        <w:kinsoku/>
        <w:wordWrap/>
        <w:overflowPunct/>
        <w:topLinePunct w:val="0"/>
        <w:autoSpaceDE/>
        <w:autoSpaceDN/>
        <w:bidi w:val="0"/>
        <w:adjustRightInd/>
        <w:snapToGrid/>
        <w:spacing w:line="500" w:lineRule="exact"/>
        <w:ind w:firstLine="480"/>
        <w:jc w:val="right"/>
        <w:textAlignment w:val="auto"/>
        <w:rPr>
          <w:rFonts w:hint="eastAsia" w:ascii="宋体" w:hAnsi="宋体" w:eastAsia="宋体" w:cs="宋体"/>
          <w:sz w:val="24"/>
          <w:szCs w:val="24"/>
        </w:rPr>
      </w:pPr>
      <w:r>
        <w:rPr>
          <w:rFonts w:hint="eastAsia" w:ascii="宋体" w:hAnsi="宋体" w:eastAsia="宋体" w:cs="宋体"/>
          <w:sz w:val="24"/>
          <w:szCs w:val="24"/>
        </w:rPr>
        <w:t>投标人：</w:t>
      </w:r>
      <w:r>
        <w:rPr>
          <w:rFonts w:hint="eastAsia" w:ascii="宋体" w:hAnsi="宋体" w:eastAsia="宋体" w:cs="宋体"/>
          <w:sz w:val="24"/>
          <w:szCs w:val="24"/>
          <w:u w:val="single"/>
        </w:rPr>
        <w:t>（全称并加盖单位公章）</w:t>
      </w:r>
    </w:p>
    <w:p w14:paraId="422B209A">
      <w:pPr>
        <w:pStyle w:val="6"/>
        <w:keepNext w:val="0"/>
        <w:keepLines w:val="0"/>
        <w:pageBreakBefore w:val="0"/>
        <w:kinsoku/>
        <w:wordWrap/>
        <w:overflowPunct/>
        <w:topLinePunct w:val="0"/>
        <w:autoSpaceDE/>
        <w:autoSpaceDN/>
        <w:bidi w:val="0"/>
        <w:adjustRightInd/>
        <w:snapToGrid/>
        <w:spacing w:line="500" w:lineRule="exact"/>
        <w:ind w:firstLine="480"/>
        <w:jc w:val="right"/>
        <w:textAlignment w:val="auto"/>
        <w:rPr>
          <w:rFonts w:hint="eastAsia" w:ascii="宋体" w:hAnsi="宋体" w:eastAsia="宋体" w:cs="宋体"/>
          <w:sz w:val="24"/>
          <w:szCs w:val="24"/>
        </w:rPr>
      </w:pPr>
      <w:r>
        <w:rPr>
          <w:rFonts w:hint="eastAsia" w:ascii="宋体" w:hAnsi="宋体" w:eastAsia="宋体" w:cs="宋体"/>
          <w:sz w:val="24"/>
          <w:szCs w:val="24"/>
        </w:rPr>
        <w:t>日期：</w:t>
      </w:r>
      <w:r>
        <w:rPr>
          <w:rFonts w:hint="eastAsia" w:ascii="宋体" w:hAnsi="宋体" w:eastAsia="宋体" w:cs="宋体"/>
          <w:sz w:val="24"/>
          <w:szCs w:val="24"/>
          <w:u w:val="single"/>
        </w:rPr>
        <w:t>　　年　　月　　日</w:t>
      </w:r>
    </w:p>
    <w:p w14:paraId="3CB1F73F">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 xml:space="preserve"> </w:t>
      </w:r>
      <w:r>
        <w:rPr>
          <w:rFonts w:hint="eastAsia" w:ascii="宋体" w:hAnsi="宋体" w:eastAsia="宋体" w:cs="宋体"/>
          <w:sz w:val="24"/>
          <w:szCs w:val="24"/>
        </w:rPr>
        <w:br w:type="textWrapping"/>
      </w:r>
      <w:r>
        <w:rPr>
          <w:rFonts w:hint="eastAsia" w:ascii="宋体" w:hAnsi="宋体" w:eastAsia="宋体" w:cs="宋体"/>
          <w:sz w:val="24"/>
          <w:szCs w:val="24"/>
        </w:rPr>
        <w:br w:type="page"/>
      </w:r>
    </w:p>
    <w:p w14:paraId="3A43E164">
      <w:pPr>
        <w:pStyle w:val="6"/>
        <w:keepNext w:val="0"/>
        <w:keepLines w:val="0"/>
        <w:pageBreakBefore w:val="0"/>
        <w:kinsoku/>
        <w:wordWrap/>
        <w:overflowPunct/>
        <w:topLinePunct w:val="0"/>
        <w:autoSpaceDE/>
        <w:autoSpaceDN/>
        <w:bidi w:val="0"/>
        <w:adjustRightInd/>
        <w:snapToGrid/>
        <w:spacing w:line="500" w:lineRule="exact"/>
        <w:ind w:firstLine="480"/>
        <w:jc w:val="left"/>
        <w:textAlignment w:val="auto"/>
        <w:rPr>
          <w:rFonts w:hint="eastAsia" w:ascii="宋体" w:hAnsi="宋体" w:eastAsia="宋体" w:cs="宋体"/>
          <w:sz w:val="24"/>
          <w:szCs w:val="24"/>
        </w:rPr>
      </w:pPr>
      <w:r>
        <w:rPr>
          <w:rFonts w:hint="eastAsia" w:ascii="宋体" w:hAnsi="宋体" w:eastAsia="宋体" w:cs="宋体"/>
          <w:sz w:val="24"/>
          <w:szCs w:val="24"/>
        </w:rPr>
        <w:t>附：</w:t>
      </w:r>
    </w:p>
    <w:p w14:paraId="4BEC4699">
      <w:pPr>
        <w:pStyle w:val="6"/>
        <w:keepNext w:val="0"/>
        <w:keepLines w:val="0"/>
        <w:pageBreakBefore w:val="0"/>
        <w:kinsoku/>
        <w:wordWrap/>
        <w:overflowPunct/>
        <w:topLinePunct w:val="0"/>
        <w:autoSpaceDE/>
        <w:autoSpaceDN/>
        <w:bidi w:val="0"/>
        <w:adjustRightInd/>
        <w:snapToGrid/>
        <w:spacing w:line="500" w:lineRule="exact"/>
        <w:jc w:val="center"/>
        <w:textAlignment w:val="auto"/>
        <w:outlineLvl w:val="3"/>
        <w:rPr>
          <w:rFonts w:hint="eastAsia" w:ascii="宋体" w:hAnsi="宋体" w:eastAsia="宋体" w:cs="宋体"/>
          <w:sz w:val="24"/>
          <w:szCs w:val="24"/>
        </w:rPr>
      </w:pPr>
      <w:r>
        <w:rPr>
          <w:rFonts w:hint="eastAsia" w:ascii="宋体" w:hAnsi="宋体" w:eastAsia="宋体" w:cs="宋体"/>
          <w:b/>
          <w:sz w:val="24"/>
          <w:szCs w:val="24"/>
        </w:rPr>
        <w:t>监狱企业证明材料</w:t>
      </w:r>
    </w:p>
    <w:p w14:paraId="225601C0">
      <w:pPr>
        <w:pStyle w:val="6"/>
        <w:keepNext w:val="0"/>
        <w:keepLines w:val="0"/>
        <w:pageBreakBefore w:val="0"/>
        <w:kinsoku/>
        <w:wordWrap/>
        <w:overflowPunct/>
        <w:topLinePunct w:val="0"/>
        <w:autoSpaceDE/>
        <w:autoSpaceDN/>
        <w:bidi w:val="0"/>
        <w:adjustRightInd/>
        <w:snapToGrid/>
        <w:spacing w:line="500" w:lineRule="exact"/>
        <w:ind w:firstLine="480"/>
        <w:jc w:val="left"/>
        <w:textAlignment w:val="auto"/>
        <w:rPr>
          <w:rFonts w:hint="eastAsia" w:ascii="宋体" w:hAnsi="宋体" w:eastAsia="宋体" w:cs="宋体"/>
          <w:sz w:val="24"/>
          <w:szCs w:val="24"/>
        </w:rPr>
      </w:pPr>
      <w:r>
        <w:rPr>
          <w:rFonts w:hint="eastAsia" w:ascii="宋体" w:hAnsi="宋体" w:eastAsia="宋体" w:cs="宋体"/>
          <w:sz w:val="24"/>
          <w:szCs w:val="24"/>
        </w:rPr>
        <w:t>投标人为监狱企业，提供本单位制造的货物（承接的服务），并在电子投标文件中提供省级以上监狱管理局、戒毒管理局（含新疆生产建设兵团）出具的属于监狱企业的证明文件。</w:t>
      </w:r>
    </w:p>
    <w:p w14:paraId="0BD75D18">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 xml:space="preserve"> </w:t>
      </w:r>
      <w:r>
        <w:rPr>
          <w:rFonts w:hint="eastAsia" w:ascii="宋体" w:hAnsi="宋体" w:eastAsia="宋体" w:cs="宋体"/>
          <w:sz w:val="24"/>
          <w:szCs w:val="24"/>
        </w:rPr>
        <w:br w:type="textWrapping"/>
      </w:r>
      <w:r>
        <w:rPr>
          <w:rFonts w:hint="eastAsia" w:ascii="宋体" w:hAnsi="宋体" w:eastAsia="宋体" w:cs="宋体"/>
          <w:sz w:val="24"/>
          <w:szCs w:val="24"/>
        </w:rPr>
        <w:br w:type="page"/>
      </w:r>
    </w:p>
    <w:p w14:paraId="6A16A01E">
      <w:pPr>
        <w:pStyle w:val="6"/>
        <w:keepNext w:val="0"/>
        <w:keepLines w:val="0"/>
        <w:pageBreakBefore w:val="0"/>
        <w:kinsoku/>
        <w:wordWrap/>
        <w:overflowPunct/>
        <w:topLinePunct w:val="0"/>
        <w:autoSpaceDE/>
        <w:autoSpaceDN/>
        <w:bidi w:val="0"/>
        <w:adjustRightInd/>
        <w:snapToGrid/>
        <w:spacing w:line="500" w:lineRule="exact"/>
        <w:jc w:val="center"/>
        <w:textAlignment w:val="auto"/>
        <w:outlineLvl w:val="3"/>
        <w:rPr>
          <w:rFonts w:hint="eastAsia" w:ascii="宋体" w:hAnsi="宋体" w:eastAsia="宋体" w:cs="宋体"/>
          <w:sz w:val="24"/>
          <w:szCs w:val="24"/>
        </w:rPr>
      </w:pPr>
      <w:r>
        <w:rPr>
          <w:rFonts w:hint="eastAsia" w:ascii="宋体" w:hAnsi="宋体" w:eastAsia="宋体" w:cs="宋体"/>
          <w:b/>
          <w:sz w:val="24"/>
          <w:szCs w:val="24"/>
        </w:rPr>
        <w:t>三-3本国产品证明材料（若有）</w:t>
      </w:r>
    </w:p>
    <w:p w14:paraId="6B34F540">
      <w:pPr>
        <w:pStyle w:val="6"/>
        <w:keepNext w:val="0"/>
        <w:keepLines w:val="0"/>
        <w:pageBreakBefore w:val="0"/>
        <w:kinsoku/>
        <w:wordWrap/>
        <w:overflowPunct/>
        <w:topLinePunct w:val="0"/>
        <w:autoSpaceDE/>
        <w:autoSpaceDN/>
        <w:bidi w:val="0"/>
        <w:adjustRightInd/>
        <w:snapToGrid/>
        <w:spacing w:line="500" w:lineRule="exact"/>
        <w:jc w:val="center"/>
        <w:textAlignment w:val="auto"/>
        <w:outlineLvl w:val="3"/>
        <w:rPr>
          <w:rFonts w:hint="eastAsia" w:ascii="宋体" w:hAnsi="宋体" w:eastAsia="宋体" w:cs="宋体"/>
          <w:sz w:val="24"/>
          <w:szCs w:val="24"/>
        </w:rPr>
      </w:pPr>
      <w:r>
        <w:rPr>
          <w:rFonts w:hint="eastAsia" w:ascii="宋体" w:hAnsi="宋体" w:eastAsia="宋体" w:cs="宋体"/>
          <w:b/>
          <w:sz w:val="24"/>
          <w:szCs w:val="24"/>
        </w:rPr>
        <w:t>三-3-①关于符合本国产品标准的声明函（价格扣除适用，若有）</w:t>
      </w:r>
    </w:p>
    <w:p w14:paraId="36DAC1EF">
      <w:pPr>
        <w:pStyle w:val="6"/>
        <w:keepNext w:val="0"/>
        <w:keepLines w:val="0"/>
        <w:pageBreakBefore w:val="0"/>
        <w:kinsoku/>
        <w:wordWrap/>
        <w:overflowPunct/>
        <w:topLinePunct w:val="0"/>
        <w:autoSpaceDE/>
        <w:autoSpaceDN/>
        <w:bidi w:val="0"/>
        <w:adjustRightInd/>
        <w:snapToGrid/>
        <w:spacing w:line="500" w:lineRule="exact"/>
        <w:ind w:firstLine="480"/>
        <w:jc w:val="left"/>
        <w:textAlignment w:val="auto"/>
        <w:rPr>
          <w:rFonts w:hint="eastAsia" w:ascii="宋体" w:hAnsi="宋体" w:eastAsia="宋体" w:cs="宋体"/>
          <w:sz w:val="24"/>
          <w:szCs w:val="24"/>
        </w:rPr>
      </w:pPr>
      <w:r>
        <w:rPr>
          <w:rFonts w:hint="eastAsia" w:ascii="宋体" w:hAnsi="宋体" w:eastAsia="宋体" w:cs="宋体"/>
          <w:sz w:val="24"/>
          <w:szCs w:val="24"/>
        </w:rPr>
        <w:t>本公司（单位）郑重声明，根据《国务院办公厅关于在政府采购中实施本国产品标准及相关政策的通知》（国办发〔2025〕34号）的规定，本公司（单位）提供的以下产品属于本国产品。具体情况如下：</w:t>
      </w:r>
    </w:p>
    <w:p w14:paraId="452155BE">
      <w:pPr>
        <w:pStyle w:val="6"/>
        <w:keepNext w:val="0"/>
        <w:keepLines w:val="0"/>
        <w:pageBreakBefore w:val="0"/>
        <w:kinsoku/>
        <w:wordWrap/>
        <w:overflowPunct/>
        <w:topLinePunct w:val="0"/>
        <w:autoSpaceDE/>
        <w:autoSpaceDN/>
        <w:bidi w:val="0"/>
        <w:adjustRightInd/>
        <w:snapToGrid/>
        <w:spacing w:line="500" w:lineRule="exact"/>
        <w:ind w:firstLine="480"/>
        <w:jc w:val="left"/>
        <w:textAlignment w:val="auto"/>
        <w:rPr>
          <w:rFonts w:hint="eastAsia" w:ascii="宋体" w:hAnsi="宋体" w:eastAsia="宋体" w:cs="宋体"/>
          <w:sz w:val="24"/>
          <w:szCs w:val="24"/>
        </w:rPr>
      </w:pPr>
      <w:r>
        <w:rPr>
          <w:rFonts w:hint="eastAsia" w:ascii="宋体" w:hAnsi="宋体" w:eastAsia="宋体" w:cs="宋体"/>
          <w:sz w:val="24"/>
          <w:szCs w:val="24"/>
        </w:rPr>
        <w:t>1.（产品名称1），生产厂为（厂名），厂址为（生产厂址）。（产品名称1）的中国境内生产的组件成本占比≥（规定比例）。（产品名称）的（关键组件）在中国境内生产。（产品名称）的（关键工序）在中国境内完成。</w:t>
      </w:r>
    </w:p>
    <w:p w14:paraId="54FEDFA2">
      <w:pPr>
        <w:pStyle w:val="6"/>
        <w:keepNext w:val="0"/>
        <w:keepLines w:val="0"/>
        <w:pageBreakBefore w:val="0"/>
        <w:kinsoku/>
        <w:wordWrap/>
        <w:overflowPunct/>
        <w:topLinePunct w:val="0"/>
        <w:autoSpaceDE/>
        <w:autoSpaceDN/>
        <w:bidi w:val="0"/>
        <w:adjustRightInd/>
        <w:snapToGrid/>
        <w:spacing w:line="500" w:lineRule="exact"/>
        <w:ind w:firstLine="480"/>
        <w:jc w:val="left"/>
        <w:textAlignment w:val="auto"/>
        <w:rPr>
          <w:rFonts w:hint="eastAsia" w:ascii="宋体" w:hAnsi="宋体" w:eastAsia="宋体" w:cs="宋体"/>
          <w:sz w:val="24"/>
          <w:szCs w:val="24"/>
        </w:rPr>
      </w:pPr>
      <w:r>
        <w:rPr>
          <w:rFonts w:hint="eastAsia" w:ascii="宋体" w:hAnsi="宋体" w:eastAsia="宋体" w:cs="宋体"/>
          <w:sz w:val="24"/>
          <w:szCs w:val="24"/>
        </w:rPr>
        <w:t>2.（产品名称2），生产厂为（厂名），厂址为（生产厂址）。（产品名称2）的中国境内生产的组件成本占比≥（规定比例）。（产品名称2）的（关键组件）在中国境内生产。（产品名称2）的（关键工序）在中国境内完成。</w:t>
      </w:r>
    </w:p>
    <w:p w14:paraId="2819AA02">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w:t>
      </w:r>
    </w:p>
    <w:p w14:paraId="103415EF">
      <w:pPr>
        <w:pStyle w:val="6"/>
        <w:keepNext w:val="0"/>
        <w:keepLines w:val="0"/>
        <w:pageBreakBefore w:val="0"/>
        <w:kinsoku/>
        <w:wordWrap/>
        <w:overflowPunct/>
        <w:topLinePunct w:val="0"/>
        <w:autoSpaceDE/>
        <w:autoSpaceDN/>
        <w:bidi w:val="0"/>
        <w:adjustRightInd/>
        <w:snapToGrid/>
        <w:spacing w:line="500" w:lineRule="exact"/>
        <w:ind w:firstLine="480"/>
        <w:jc w:val="left"/>
        <w:textAlignment w:val="auto"/>
        <w:rPr>
          <w:rFonts w:hint="eastAsia" w:ascii="宋体" w:hAnsi="宋体" w:eastAsia="宋体" w:cs="宋体"/>
          <w:sz w:val="24"/>
          <w:szCs w:val="24"/>
        </w:rPr>
      </w:pPr>
      <w:r>
        <w:rPr>
          <w:rFonts w:hint="eastAsia" w:ascii="宋体" w:hAnsi="宋体" w:eastAsia="宋体" w:cs="宋体"/>
          <w:sz w:val="24"/>
          <w:szCs w:val="24"/>
        </w:rPr>
        <w:t>本公司（单位）对上述声明内容的真实性负责。如有虚假，愿承担相应法律责任。</w:t>
      </w:r>
    </w:p>
    <w:p w14:paraId="79C257C5">
      <w:pPr>
        <w:pStyle w:val="6"/>
        <w:keepNext w:val="0"/>
        <w:keepLines w:val="0"/>
        <w:pageBreakBefore w:val="0"/>
        <w:kinsoku/>
        <w:wordWrap/>
        <w:overflowPunct/>
        <w:topLinePunct w:val="0"/>
        <w:autoSpaceDE/>
        <w:autoSpaceDN/>
        <w:bidi w:val="0"/>
        <w:adjustRightInd/>
        <w:snapToGrid/>
        <w:spacing w:line="500" w:lineRule="exact"/>
        <w:ind w:firstLine="480"/>
        <w:jc w:val="right"/>
        <w:textAlignment w:val="auto"/>
        <w:rPr>
          <w:rFonts w:hint="eastAsia" w:ascii="宋体" w:hAnsi="宋体" w:eastAsia="宋体" w:cs="宋体"/>
          <w:sz w:val="24"/>
          <w:szCs w:val="24"/>
        </w:rPr>
      </w:pPr>
      <w:r>
        <w:rPr>
          <w:rFonts w:hint="eastAsia" w:ascii="宋体" w:hAnsi="宋体" w:eastAsia="宋体" w:cs="宋体"/>
          <w:sz w:val="24"/>
          <w:szCs w:val="24"/>
        </w:rPr>
        <w:t>公司（单位）名称（盖章）：</w:t>
      </w:r>
    </w:p>
    <w:p w14:paraId="23C9F138">
      <w:pPr>
        <w:pStyle w:val="6"/>
        <w:keepNext w:val="0"/>
        <w:keepLines w:val="0"/>
        <w:pageBreakBefore w:val="0"/>
        <w:kinsoku/>
        <w:wordWrap/>
        <w:overflowPunct/>
        <w:topLinePunct w:val="0"/>
        <w:autoSpaceDE/>
        <w:autoSpaceDN/>
        <w:bidi w:val="0"/>
        <w:adjustRightInd/>
        <w:snapToGrid/>
        <w:spacing w:line="500" w:lineRule="exact"/>
        <w:ind w:firstLine="480"/>
        <w:jc w:val="right"/>
        <w:textAlignment w:val="auto"/>
        <w:rPr>
          <w:rFonts w:hint="eastAsia" w:ascii="宋体" w:hAnsi="宋体" w:eastAsia="宋体" w:cs="宋体"/>
          <w:sz w:val="24"/>
          <w:szCs w:val="24"/>
        </w:rPr>
      </w:pPr>
      <w:r>
        <w:rPr>
          <w:rFonts w:hint="eastAsia" w:ascii="宋体" w:hAnsi="宋体" w:eastAsia="宋体" w:cs="宋体"/>
          <w:sz w:val="24"/>
          <w:szCs w:val="24"/>
        </w:rPr>
        <w:t>日期：　　年　　月　　日</w:t>
      </w:r>
    </w:p>
    <w:p w14:paraId="11DB762B">
      <w:pPr>
        <w:pStyle w:val="6"/>
        <w:keepNext w:val="0"/>
        <w:keepLines w:val="0"/>
        <w:pageBreakBefore w:val="0"/>
        <w:pBdr>
          <w:bottom w:val="single" w:color="auto" w:sz="6" w:space="1"/>
          <w:between w:val="single" w:color="auto" w:sz="6" w:space="1"/>
        </w:pBdr>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1.产品如有型号，请在"产品名称"栏一并填写。</w:t>
      </w:r>
    </w:p>
    <w:p w14:paraId="0B2EEF8C">
      <w:pPr>
        <w:pStyle w:val="6"/>
        <w:keepNext w:val="0"/>
        <w:keepLines w:val="0"/>
        <w:pageBreakBefore w:val="0"/>
        <w:kinsoku/>
        <w:wordWrap/>
        <w:overflowPunct/>
        <w:topLinePunct w:val="0"/>
        <w:autoSpaceDE/>
        <w:autoSpaceDN/>
        <w:bidi w:val="0"/>
        <w:adjustRightInd/>
        <w:snapToGrid/>
        <w:spacing w:line="500" w:lineRule="exact"/>
        <w:ind w:firstLine="480"/>
        <w:jc w:val="left"/>
        <w:textAlignment w:val="auto"/>
        <w:rPr>
          <w:rFonts w:hint="eastAsia" w:ascii="宋体" w:hAnsi="宋体" w:eastAsia="宋体" w:cs="宋体"/>
          <w:sz w:val="24"/>
          <w:szCs w:val="24"/>
        </w:rPr>
      </w:pPr>
      <w:r>
        <w:rPr>
          <w:rFonts w:hint="eastAsia" w:ascii="宋体" w:hAnsi="宋体" w:eastAsia="宋体" w:cs="宋体"/>
          <w:sz w:val="24"/>
          <w:szCs w:val="24"/>
        </w:rPr>
        <w:t>2.生产厂名与厂址应与生产厂营业执照载明的相关信息保持一致。</w:t>
      </w:r>
    </w:p>
    <w:p w14:paraId="710E9211">
      <w:pPr>
        <w:pStyle w:val="6"/>
        <w:keepNext w:val="0"/>
        <w:keepLines w:val="0"/>
        <w:pageBreakBefore w:val="0"/>
        <w:kinsoku/>
        <w:wordWrap/>
        <w:overflowPunct/>
        <w:topLinePunct w:val="0"/>
        <w:autoSpaceDE/>
        <w:autoSpaceDN/>
        <w:bidi w:val="0"/>
        <w:adjustRightInd/>
        <w:snapToGrid/>
        <w:spacing w:line="500" w:lineRule="exact"/>
        <w:ind w:firstLine="480"/>
        <w:jc w:val="left"/>
        <w:textAlignment w:val="auto"/>
        <w:rPr>
          <w:rFonts w:hint="eastAsia" w:ascii="宋体" w:hAnsi="宋体" w:eastAsia="宋体" w:cs="宋体"/>
          <w:sz w:val="24"/>
          <w:szCs w:val="24"/>
        </w:rPr>
      </w:pPr>
      <w:r>
        <w:rPr>
          <w:rFonts w:hint="eastAsia" w:ascii="宋体" w:hAnsi="宋体" w:eastAsia="宋体" w:cs="宋体"/>
          <w:sz w:val="24"/>
          <w:szCs w:val="24"/>
        </w:rPr>
        <w:t>3.该产品的中国境内生产的组件成本占比相关要求实施前，"规定比例"栏可不填，下同。</w:t>
      </w:r>
    </w:p>
    <w:p w14:paraId="1E882284">
      <w:pPr>
        <w:pStyle w:val="6"/>
        <w:keepNext w:val="0"/>
        <w:keepLines w:val="0"/>
        <w:pageBreakBefore w:val="0"/>
        <w:kinsoku/>
        <w:wordWrap/>
        <w:overflowPunct/>
        <w:topLinePunct w:val="0"/>
        <w:autoSpaceDE/>
        <w:autoSpaceDN/>
        <w:bidi w:val="0"/>
        <w:adjustRightInd/>
        <w:snapToGrid/>
        <w:spacing w:line="500" w:lineRule="exact"/>
        <w:ind w:firstLine="480"/>
        <w:jc w:val="left"/>
        <w:textAlignment w:val="auto"/>
        <w:rPr>
          <w:rFonts w:hint="eastAsia" w:ascii="宋体" w:hAnsi="宋体" w:eastAsia="宋体" w:cs="宋体"/>
          <w:sz w:val="24"/>
          <w:szCs w:val="24"/>
        </w:rPr>
      </w:pPr>
      <w:r>
        <w:rPr>
          <w:rFonts w:hint="eastAsia" w:ascii="宋体" w:hAnsi="宋体" w:eastAsia="宋体" w:cs="宋体"/>
          <w:sz w:val="24"/>
          <w:szCs w:val="24"/>
        </w:rPr>
        <w:t>4.该产品的关键组件要求实施前，"关键组件"栏可不填，下同。</w:t>
      </w:r>
    </w:p>
    <w:p w14:paraId="493A0A5E">
      <w:pPr>
        <w:pStyle w:val="6"/>
        <w:keepNext w:val="0"/>
        <w:keepLines w:val="0"/>
        <w:pageBreakBefore w:val="0"/>
        <w:kinsoku/>
        <w:wordWrap/>
        <w:overflowPunct/>
        <w:topLinePunct w:val="0"/>
        <w:autoSpaceDE/>
        <w:autoSpaceDN/>
        <w:bidi w:val="0"/>
        <w:adjustRightInd/>
        <w:snapToGrid/>
        <w:spacing w:line="500" w:lineRule="exact"/>
        <w:ind w:firstLine="480"/>
        <w:jc w:val="left"/>
        <w:textAlignment w:val="auto"/>
        <w:rPr>
          <w:rFonts w:hint="eastAsia" w:ascii="宋体" w:hAnsi="宋体" w:eastAsia="宋体" w:cs="宋体"/>
          <w:sz w:val="24"/>
          <w:szCs w:val="24"/>
        </w:rPr>
      </w:pPr>
      <w:r>
        <w:rPr>
          <w:rFonts w:hint="eastAsia" w:ascii="宋体" w:hAnsi="宋体" w:eastAsia="宋体" w:cs="宋体"/>
          <w:sz w:val="24"/>
          <w:szCs w:val="24"/>
        </w:rPr>
        <w:t>5.该产品的关键工序要求实施前，"关键工序"栏可不填，下同。</w:t>
      </w:r>
    </w:p>
    <w:p w14:paraId="769256EA">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 xml:space="preserve"> </w:t>
      </w:r>
      <w:r>
        <w:rPr>
          <w:rFonts w:hint="eastAsia" w:ascii="宋体" w:hAnsi="宋体" w:eastAsia="宋体" w:cs="宋体"/>
          <w:sz w:val="24"/>
          <w:szCs w:val="24"/>
        </w:rPr>
        <w:br w:type="textWrapping"/>
      </w:r>
      <w:r>
        <w:rPr>
          <w:rFonts w:hint="eastAsia" w:ascii="宋体" w:hAnsi="宋体" w:eastAsia="宋体" w:cs="宋体"/>
          <w:sz w:val="24"/>
          <w:szCs w:val="24"/>
        </w:rPr>
        <w:br w:type="page"/>
      </w:r>
    </w:p>
    <w:p w14:paraId="516EFA1F">
      <w:pPr>
        <w:pStyle w:val="6"/>
        <w:keepNext w:val="0"/>
        <w:keepLines w:val="0"/>
        <w:pageBreakBefore w:val="0"/>
        <w:kinsoku/>
        <w:wordWrap/>
        <w:overflowPunct/>
        <w:topLinePunct w:val="0"/>
        <w:autoSpaceDE/>
        <w:autoSpaceDN/>
        <w:bidi w:val="0"/>
        <w:adjustRightInd/>
        <w:snapToGrid/>
        <w:spacing w:line="500" w:lineRule="exact"/>
        <w:jc w:val="center"/>
        <w:textAlignment w:val="auto"/>
        <w:outlineLvl w:val="3"/>
        <w:rPr>
          <w:rFonts w:hint="eastAsia" w:ascii="宋体" w:hAnsi="宋体" w:eastAsia="宋体" w:cs="宋体"/>
          <w:sz w:val="24"/>
          <w:szCs w:val="24"/>
        </w:rPr>
      </w:pPr>
      <w:r>
        <w:rPr>
          <w:rFonts w:hint="eastAsia" w:ascii="宋体" w:hAnsi="宋体" w:eastAsia="宋体" w:cs="宋体"/>
          <w:b/>
          <w:sz w:val="24"/>
          <w:szCs w:val="24"/>
        </w:rPr>
        <w:t>三-3-②《本国产品成本占比说明》（价格扣除适用，若有）</w:t>
      </w:r>
    </w:p>
    <w:p w14:paraId="7E5D64DC">
      <w:pPr>
        <w:pStyle w:val="6"/>
        <w:keepNext w:val="0"/>
        <w:keepLines w:val="0"/>
        <w:pageBreakBefore w:val="0"/>
        <w:kinsoku/>
        <w:wordWrap/>
        <w:overflowPunct/>
        <w:topLinePunct w:val="0"/>
        <w:autoSpaceDE/>
        <w:autoSpaceDN/>
        <w:bidi w:val="0"/>
        <w:adjustRightInd/>
        <w:snapToGrid/>
        <w:spacing w:line="500" w:lineRule="exact"/>
        <w:ind w:firstLine="480"/>
        <w:jc w:val="left"/>
        <w:textAlignment w:val="auto"/>
        <w:rPr>
          <w:rFonts w:hint="eastAsia" w:ascii="宋体" w:hAnsi="宋体" w:eastAsia="宋体" w:cs="宋体"/>
          <w:sz w:val="24"/>
          <w:szCs w:val="24"/>
        </w:rPr>
      </w:pPr>
      <w:r>
        <w:rPr>
          <w:rFonts w:hint="eastAsia" w:ascii="宋体" w:hAnsi="宋体" w:eastAsia="宋体" w:cs="宋体"/>
          <w:sz w:val="24"/>
          <w:szCs w:val="24"/>
        </w:rPr>
        <w:t>本公司（单位）郑重承诺并声明：根据《国务院办公厅关于在政府采购中实施本国产品标准及相关政策的通知》（国办发〔2025〕34 号）规定，本公司（单位）所提供的以下产品，完全符合本国产品认定标准，属于本国产品：</w:t>
      </w:r>
    </w:p>
    <w:tbl>
      <w:tblPr>
        <w:tblStyle w:val="4"/>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2076"/>
        <w:gridCol w:w="2076"/>
        <w:gridCol w:w="2076"/>
        <w:gridCol w:w="2076"/>
      </w:tblGrid>
      <w:tr w14:paraId="3163C66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076" w:type="dxa"/>
          </w:tcPr>
          <w:p w14:paraId="6C852FDC">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序号</w:t>
            </w:r>
          </w:p>
        </w:tc>
        <w:tc>
          <w:tcPr>
            <w:tcW w:w="2076" w:type="dxa"/>
          </w:tcPr>
          <w:p w14:paraId="0D2F389B">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采购文件要求的产品名称</w:t>
            </w:r>
          </w:p>
        </w:tc>
        <w:tc>
          <w:tcPr>
            <w:tcW w:w="2076" w:type="dxa"/>
          </w:tcPr>
          <w:p w14:paraId="53F8BFCF">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响应文件中响应的主要产品/技术名称(规格型号)</w:t>
            </w:r>
          </w:p>
        </w:tc>
        <w:tc>
          <w:tcPr>
            <w:tcW w:w="2076" w:type="dxa"/>
          </w:tcPr>
          <w:p w14:paraId="1720F647">
            <w:pPr>
              <w:pStyle w:val="6"/>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响应的产品是否为本国产品</w:t>
            </w:r>
          </w:p>
        </w:tc>
      </w:tr>
      <w:tr w14:paraId="06405F4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076" w:type="dxa"/>
          </w:tcPr>
          <w:p w14:paraId="62649551">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1</w:t>
            </w:r>
          </w:p>
        </w:tc>
        <w:tc>
          <w:tcPr>
            <w:tcW w:w="2076" w:type="dxa"/>
          </w:tcPr>
          <w:p w14:paraId="55103E65">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hAnsi="宋体" w:eastAsia="宋体" w:cs="宋体"/>
                <w:sz w:val="24"/>
                <w:szCs w:val="24"/>
              </w:rPr>
            </w:pPr>
          </w:p>
        </w:tc>
        <w:tc>
          <w:tcPr>
            <w:tcW w:w="2076" w:type="dxa"/>
          </w:tcPr>
          <w:p w14:paraId="0C9B89A0">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hAnsi="宋体" w:eastAsia="宋体" w:cs="宋体"/>
                <w:sz w:val="24"/>
                <w:szCs w:val="24"/>
              </w:rPr>
            </w:pPr>
          </w:p>
        </w:tc>
        <w:tc>
          <w:tcPr>
            <w:tcW w:w="2076" w:type="dxa"/>
          </w:tcPr>
          <w:p w14:paraId="30082BE4">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hAnsi="宋体" w:eastAsia="宋体" w:cs="宋体"/>
                <w:sz w:val="24"/>
                <w:szCs w:val="24"/>
              </w:rPr>
            </w:pPr>
          </w:p>
        </w:tc>
      </w:tr>
      <w:tr w14:paraId="5E63C7D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076" w:type="dxa"/>
          </w:tcPr>
          <w:p w14:paraId="30193813">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2</w:t>
            </w:r>
          </w:p>
        </w:tc>
        <w:tc>
          <w:tcPr>
            <w:tcW w:w="2076" w:type="dxa"/>
          </w:tcPr>
          <w:p w14:paraId="37DB8E9B">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hAnsi="宋体" w:eastAsia="宋体" w:cs="宋体"/>
                <w:sz w:val="24"/>
                <w:szCs w:val="24"/>
              </w:rPr>
            </w:pPr>
          </w:p>
        </w:tc>
        <w:tc>
          <w:tcPr>
            <w:tcW w:w="2076" w:type="dxa"/>
          </w:tcPr>
          <w:p w14:paraId="0AE54F61">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hAnsi="宋体" w:eastAsia="宋体" w:cs="宋体"/>
                <w:sz w:val="24"/>
                <w:szCs w:val="24"/>
              </w:rPr>
            </w:pPr>
          </w:p>
        </w:tc>
        <w:tc>
          <w:tcPr>
            <w:tcW w:w="2076" w:type="dxa"/>
          </w:tcPr>
          <w:p w14:paraId="6D7380E9">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hAnsi="宋体" w:eastAsia="宋体" w:cs="宋体"/>
                <w:sz w:val="24"/>
                <w:szCs w:val="24"/>
              </w:rPr>
            </w:pPr>
          </w:p>
        </w:tc>
      </w:tr>
      <w:tr w14:paraId="097F6D3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076" w:type="dxa"/>
          </w:tcPr>
          <w:p w14:paraId="356BDB6B">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3</w:t>
            </w:r>
          </w:p>
        </w:tc>
        <w:tc>
          <w:tcPr>
            <w:tcW w:w="2076" w:type="dxa"/>
          </w:tcPr>
          <w:p w14:paraId="06F83926">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hAnsi="宋体" w:eastAsia="宋体" w:cs="宋体"/>
                <w:sz w:val="24"/>
                <w:szCs w:val="24"/>
              </w:rPr>
            </w:pPr>
          </w:p>
        </w:tc>
        <w:tc>
          <w:tcPr>
            <w:tcW w:w="2076" w:type="dxa"/>
          </w:tcPr>
          <w:p w14:paraId="39570D44">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hAnsi="宋体" w:eastAsia="宋体" w:cs="宋体"/>
                <w:sz w:val="24"/>
                <w:szCs w:val="24"/>
              </w:rPr>
            </w:pPr>
          </w:p>
        </w:tc>
        <w:tc>
          <w:tcPr>
            <w:tcW w:w="2076" w:type="dxa"/>
          </w:tcPr>
          <w:p w14:paraId="50A38B97">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hAnsi="宋体" w:eastAsia="宋体" w:cs="宋体"/>
                <w:sz w:val="24"/>
                <w:szCs w:val="24"/>
              </w:rPr>
            </w:pPr>
          </w:p>
        </w:tc>
      </w:tr>
      <w:tr w14:paraId="04E22B2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228" w:type="dxa"/>
            <w:gridSpan w:val="3"/>
          </w:tcPr>
          <w:p w14:paraId="06B8410F">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供应商为该采购项目或者采购包提供的符合本国产品标准的产品成本之和占该供应商提供的全部产品成本之和的比例是否达到80%</w:t>
            </w:r>
          </w:p>
        </w:tc>
        <w:tc>
          <w:tcPr>
            <w:tcW w:w="2076" w:type="dxa"/>
          </w:tcPr>
          <w:p w14:paraId="23DC8438">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hAnsi="宋体" w:eastAsia="宋体" w:cs="宋体"/>
                <w:sz w:val="24"/>
                <w:szCs w:val="24"/>
              </w:rPr>
            </w:pPr>
          </w:p>
        </w:tc>
      </w:tr>
    </w:tbl>
    <w:p w14:paraId="0944916A">
      <w:pPr>
        <w:pStyle w:val="6"/>
        <w:keepNext w:val="0"/>
        <w:keepLines w:val="0"/>
        <w:pageBreakBefore w:val="0"/>
        <w:kinsoku/>
        <w:wordWrap/>
        <w:overflowPunct/>
        <w:topLinePunct w:val="0"/>
        <w:autoSpaceDE/>
        <w:autoSpaceDN/>
        <w:bidi w:val="0"/>
        <w:adjustRightInd/>
        <w:snapToGrid/>
        <w:spacing w:line="500" w:lineRule="exact"/>
        <w:ind w:firstLine="480"/>
        <w:jc w:val="left"/>
        <w:textAlignment w:val="auto"/>
        <w:rPr>
          <w:rFonts w:hint="eastAsia" w:ascii="宋体" w:hAnsi="宋体" w:eastAsia="宋体" w:cs="宋体"/>
          <w:sz w:val="24"/>
          <w:szCs w:val="24"/>
        </w:rPr>
      </w:pPr>
      <w:r>
        <w:rPr>
          <w:rFonts w:hint="eastAsia" w:ascii="宋体" w:hAnsi="宋体" w:eastAsia="宋体" w:cs="宋体"/>
          <w:sz w:val="24"/>
          <w:szCs w:val="24"/>
        </w:rPr>
        <w:t>本公司（单位）对上述承诺承担全部法律责任，若存在虚假承诺或与实际不符情形，自愿接受政府采购相关法律法规及监管规定处理，并承担由此产生的一切法律后果与经济责任。</w:t>
      </w:r>
    </w:p>
    <w:p w14:paraId="63E117A3">
      <w:pPr>
        <w:pStyle w:val="6"/>
        <w:keepNext w:val="0"/>
        <w:keepLines w:val="0"/>
        <w:pageBreakBefore w:val="0"/>
        <w:kinsoku/>
        <w:wordWrap/>
        <w:overflowPunct/>
        <w:topLinePunct w:val="0"/>
        <w:autoSpaceDE/>
        <w:autoSpaceDN/>
        <w:bidi w:val="0"/>
        <w:adjustRightInd/>
        <w:snapToGrid/>
        <w:spacing w:line="500" w:lineRule="exact"/>
        <w:ind w:firstLine="480"/>
        <w:jc w:val="right"/>
        <w:textAlignment w:val="auto"/>
        <w:rPr>
          <w:rFonts w:hint="eastAsia" w:ascii="宋体" w:hAnsi="宋体" w:eastAsia="宋体" w:cs="宋体"/>
          <w:sz w:val="24"/>
          <w:szCs w:val="24"/>
        </w:rPr>
      </w:pPr>
      <w:r>
        <w:rPr>
          <w:rFonts w:hint="eastAsia" w:ascii="宋体" w:hAnsi="宋体" w:eastAsia="宋体" w:cs="宋体"/>
          <w:sz w:val="24"/>
          <w:szCs w:val="24"/>
        </w:rPr>
        <w:t>供应商名称（盖章）：</w:t>
      </w:r>
      <w:r>
        <w:rPr>
          <w:rFonts w:hint="eastAsia" w:ascii="宋体" w:hAnsi="宋体" w:eastAsia="宋体" w:cs="宋体"/>
          <w:sz w:val="24"/>
          <w:szCs w:val="24"/>
          <w:u w:val="single"/>
        </w:rPr>
        <w:t xml:space="preserve">                    </w:t>
      </w:r>
    </w:p>
    <w:p w14:paraId="508272E0">
      <w:pPr>
        <w:pStyle w:val="6"/>
        <w:keepNext w:val="0"/>
        <w:keepLines w:val="0"/>
        <w:pageBreakBefore w:val="0"/>
        <w:kinsoku/>
        <w:wordWrap/>
        <w:overflowPunct/>
        <w:topLinePunct w:val="0"/>
        <w:autoSpaceDE/>
        <w:autoSpaceDN/>
        <w:bidi w:val="0"/>
        <w:adjustRightInd/>
        <w:snapToGrid/>
        <w:spacing w:line="500" w:lineRule="exact"/>
        <w:ind w:firstLine="480"/>
        <w:jc w:val="right"/>
        <w:textAlignment w:val="auto"/>
        <w:rPr>
          <w:rFonts w:hint="eastAsia" w:ascii="宋体" w:hAnsi="宋体" w:eastAsia="宋体" w:cs="宋体"/>
          <w:sz w:val="24"/>
          <w:szCs w:val="24"/>
        </w:rPr>
      </w:pPr>
      <w:r>
        <w:rPr>
          <w:rFonts w:hint="eastAsia" w:ascii="宋体" w:hAnsi="宋体" w:eastAsia="宋体" w:cs="宋体"/>
          <w:sz w:val="24"/>
          <w:szCs w:val="24"/>
        </w:rPr>
        <w:t>日期：　　年　　月　　日</w:t>
      </w:r>
    </w:p>
    <w:p w14:paraId="00C350CF">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b/>
          <w:sz w:val="24"/>
          <w:szCs w:val="24"/>
        </w:rPr>
        <w:t>注：</w:t>
      </w:r>
    </w:p>
    <w:p w14:paraId="6B6F7F33">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1. 供应商提供本国产品应符合《国务院办公厅关于在政府采购中实施本国产品标准及相关政策的通知》（国办发〔2025〕34号），如后续有更新的，则以更新后的文件为准，按照《中国境内生产的组件成本核算基本规则》（见下附件1）提供该产品成本在产品总成本中占比。</w:t>
      </w:r>
    </w:p>
    <w:p w14:paraId="590A9576">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2. 供应商须同时出具《关于符合本国产品标准的声明函》（样式见下附件2）或财政部会同有关部门规定的有关证明文件。出具符合要求的《声明函》或有关证明文件的，该产品视为本国产品。</w:t>
      </w:r>
    </w:p>
    <w:p w14:paraId="381B75FD">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3. 本项目(采购包)若需要供应商响应本国产品，需在本国产品说明文件中响应(承诺)供应商为该采购项目或者采购包提供的符合本国产品标准的产品成本之和占该供应商提供的全部产品成本之和的比例达到80%以上。</w:t>
      </w:r>
    </w:p>
    <w:p w14:paraId="20B90BC1">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4. 若本国产品说明和关于符合本国产品标准的声明函出现不一致，以《关于符合本国产品标准的声明函》为准。</w:t>
      </w:r>
    </w:p>
    <w:p w14:paraId="4E5FDFCE">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 xml:space="preserve"> </w:t>
      </w:r>
      <w:r>
        <w:rPr>
          <w:rFonts w:hint="eastAsia" w:ascii="宋体" w:hAnsi="宋体" w:eastAsia="宋体" w:cs="宋体"/>
          <w:sz w:val="24"/>
          <w:szCs w:val="24"/>
        </w:rPr>
        <w:br w:type="textWrapping"/>
      </w:r>
      <w:r>
        <w:rPr>
          <w:rFonts w:hint="eastAsia" w:ascii="宋体" w:hAnsi="宋体" w:eastAsia="宋体" w:cs="宋体"/>
          <w:sz w:val="24"/>
          <w:szCs w:val="24"/>
        </w:rPr>
        <w:br w:type="page"/>
      </w:r>
    </w:p>
    <w:p w14:paraId="0B6A2EDD">
      <w:pPr>
        <w:pStyle w:val="6"/>
        <w:keepNext w:val="0"/>
        <w:keepLines w:val="0"/>
        <w:pageBreakBefore w:val="0"/>
        <w:kinsoku/>
        <w:wordWrap/>
        <w:overflowPunct/>
        <w:topLinePunct w:val="0"/>
        <w:autoSpaceDE/>
        <w:autoSpaceDN/>
        <w:bidi w:val="0"/>
        <w:adjustRightInd/>
        <w:snapToGrid/>
        <w:spacing w:line="500" w:lineRule="exact"/>
        <w:jc w:val="center"/>
        <w:textAlignment w:val="auto"/>
        <w:outlineLvl w:val="3"/>
        <w:rPr>
          <w:rFonts w:hint="eastAsia" w:ascii="宋体" w:hAnsi="宋体" w:eastAsia="宋体" w:cs="宋体"/>
          <w:sz w:val="24"/>
          <w:szCs w:val="24"/>
        </w:rPr>
      </w:pPr>
      <w:r>
        <w:rPr>
          <w:rFonts w:hint="eastAsia" w:ascii="宋体" w:hAnsi="宋体" w:eastAsia="宋体" w:cs="宋体"/>
          <w:b/>
          <w:sz w:val="24"/>
          <w:szCs w:val="24"/>
        </w:rPr>
        <w:t>三-4招标文件规定的其他价格扣除证明材料（若有）</w:t>
      </w:r>
    </w:p>
    <w:p w14:paraId="5D7F9826">
      <w:pPr>
        <w:pStyle w:val="6"/>
        <w:keepNext w:val="0"/>
        <w:keepLines w:val="0"/>
        <w:pageBreakBefore w:val="0"/>
        <w:kinsoku/>
        <w:wordWrap/>
        <w:overflowPunct/>
        <w:topLinePunct w:val="0"/>
        <w:autoSpaceDE/>
        <w:autoSpaceDN/>
        <w:bidi w:val="0"/>
        <w:adjustRightInd/>
        <w:snapToGrid/>
        <w:spacing w:line="500" w:lineRule="exact"/>
        <w:ind w:firstLine="480"/>
        <w:jc w:val="center"/>
        <w:textAlignment w:val="auto"/>
        <w:rPr>
          <w:rFonts w:hint="eastAsia" w:ascii="宋体" w:hAnsi="宋体" w:eastAsia="宋体" w:cs="宋体"/>
          <w:sz w:val="24"/>
          <w:szCs w:val="24"/>
        </w:rPr>
      </w:pPr>
      <w:r>
        <w:rPr>
          <w:rFonts w:hint="eastAsia" w:ascii="宋体" w:hAnsi="宋体" w:eastAsia="宋体" w:cs="宋体"/>
          <w:sz w:val="24"/>
          <w:szCs w:val="24"/>
        </w:rPr>
        <w:t>编制说明</w:t>
      </w:r>
    </w:p>
    <w:p w14:paraId="0FECE92B">
      <w:pPr>
        <w:pStyle w:val="6"/>
        <w:keepNext w:val="0"/>
        <w:keepLines w:val="0"/>
        <w:pageBreakBefore w:val="0"/>
        <w:kinsoku/>
        <w:wordWrap/>
        <w:overflowPunct/>
        <w:topLinePunct w:val="0"/>
        <w:autoSpaceDE/>
        <w:autoSpaceDN/>
        <w:bidi w:val="0"/>
        <w:adjustRightInd/>
        <w:snapToGrid/>
        <w:spacing w:line="500" w:lineRule="exact"/>
        <w:ind w:firstLine="480"/>
        <w:jc w:val="left"/>
        <w:textAlignment w:val="auto"/>
        <w:rPr>
          <w:rFonts w:hint="eastAsia" w:ascii="宋体" w:hAnsi="宋体" w:eastAsia="宋体" w:cs="宋体"/>
          <w:sz w:val="24"/>
          <w:szCs w:val="24"/>
        </w:rPr>
      </w:pPr>
      <w:r>
        <w:rPr>
          <w:rFonts w:hint="eastAsia" w:ascii="宋体" w:hAnsi="宋体" w:eastAsia="宋体" w:cs="宋体"/>
          <w:sz w:val="24"/>
          <w:szCs w:val="24"/>
        </w:rPr>
        <w:t>若投标人可享受招标文件规定的除“节能（非强制类）、环境标志产品价格扣除”及“小型、微型企业产品等价格扣除”外的其他价格扣除优惠，则投标人应按照招标文件要求提供相应证明材料。</w:t>
      </w:r>
    </w:p>
    <w:p w14:paraId="2AA0B01C">
      <w:pPr>
        <w:pStyle w:val="6"/>
        <w:keepNext w:val="0"/>
        <w:keepLines w:val="0"/>
        <w:pageBreakBefore w:val="0"/>
        <w:kinsoku/>
        <w:wordWrap/>
        <w:overflowPunct/>
        <w:topLinePunct w:val="0"/>
        <w:autoSpaceDE/>
        <w:autoSpaceDN/>
        <w:bidi w:val="0"/>
        <w:adjustRightInd/>
        <w:snapToGrid/>
        <w:spacing w:line="500" w:lineRule="exact"/>
        <w:textAlignment w:val="auto"/>
        <w:rPr>
          <w:rFonts w:hint="eastAsia" w:ascii="宋体" w:hAnsi="宋体" w:eastAsia="宋体" w:cs="宋体"/>
          <w:sz w:val="24"/>
          <w:szCs w:val="24"/>
        </w:rPr>
      </w:pPr>
      <w:r>
        <w:rPr>
          <w:rFonts w:hint="eastAsia" w:ascii="宋体" w:hAnsi="宋体" w:eastAsia="宋体" w:cs="宋体"/>
          <w:sz w:val="24"/>
          <w:szCs w:val="24"/>
        </w:rPr>
        <w:t xml:space="preserve"> </w:t>
      </w:r>
      <w:r>
        <w:rPr>
          <w:rFonts w:hint="eastAsia" w:ascii="宋体" w:hAnsi="宋体" w:eastAsia="宋体" w:cs="宋体"/>
          <w:sz w:val="24"/>
          <w:szCs w:val="24"/>
        </w:rPr>
        <w:br w:type="textWrapping"/>
      </w:r>
      <w:r>
        <w:rPr>
          <w:rFonts w:hint="eastAsia" w:ascii="宋体" w:hAnsi="宋体" w:eastAsia="宋体" w:cs="宋体"/>
          <w:sz w:val="24"/>
          <w:szCs w:val="24"/>
        </w:rPr>
        <w:br w:type="page"/>
      </w:r>
    </w:p>
    <w:p w14:paraId="423367A7">
      <w:pPr>
        <w:pStyle w:val="6"/>
        <w:keepNext w:val="0"/>
        <w:keepLines w:val="0"/>
        <w:pageBreakBefore w:val="0"/>
        <w:kinsoku/>
        <w:wordWrap/>
        <w:overflowPunct/>
        <w:topLinePunct w:val="0"/>
        <w:autoSpaceDE/>
        <w:autoSpaceDN/>
        <w:bidi w:val="0"/>
        <w:adjustRightInd/>
        <w:snapToGrid/>
        <w:spacing w:line="500" w:lineRule="exact"/>
        <w:jc w:val="center"/>
        <w:textAlignment w:val="auto"/>
        <w:outlineLvl w:val="2"/>
        <w:rPr>
          <w:rFonts w:hint="eastAsia" w:ascii="宋体" w:hAnsi="宋体" w:eastAsia="宋体" w:cs="宋体"/>
          <w:sz w:val="24"/>
          <w:szCs w:val="24"/>
        </w:rPr>
      </w:pPr>
      <w:r>
        <w:rPr>
          <w:rFonts w:hint="eastAsia" w:ascii="宋体" w:hAnsi="宋体" w:eastAsia="宋体" w:cs="宋体"/>
          <w:b/>
          <w:sz w:val="24"/>
          <w:szCs w:val="24"/>
        </w:rPr>
        <w:t>封面格式(技术商务部分)</w:t>
      </w:r>
    </w:p>
    <w:p w14:paraId="4B859E03">
      <w:pPr>
        <w:pStyle w:val="6"/>
        <w:keepNext w:val="0"/>
        <w:keepLines w:val="0"/>
        <w:pageBreakBefore w:val="0"/>
        <w:kinsoku/>
        <w:wordWrap/>
        <w:overflowPunct/>
        <w:topLinePunct w:val="0"/>
        <w:autoSpaceDE/>
        <w:autoSpaceDN/>
        <w:bidi w:val="0"/>
        <w:adjustRightInd/>
        <w:snapToGrid/>
        <w:spacing w:line="500" w:lineRule="exact"/>
        <w:jc w:val="center"/>
        <w:textAlignment w:val="auto"/>
        <w:outlineLvl w:val="0"/>
        <w:rPr>
          <w:rFonts w:hint="eastAsia" w:ascii="宋体" w:hAnsi="宋体" w:eastAsia="宋体" w:cs="宋体"/>
          <w:sz w:val="24"/>
          <w:szCs w:val="24"/>
        </w:rPr>
      </w:pPr>
      <w:r>
        <w:rPr>
          <w:rFonts w:hint="eastAsia" w:ascii="宋体" w:hAnsi="宋体" w:eastAsia="宋体" w:cs="宋体"/>
          <w:b/>
          <w:sz w:val="24"/>
          <w:szCs w:val="24"/>
        </w:rPr>
        <w:t>福建省政府采购投标文件</w:t>
      </w:r>
    </w:p>
    <w:p w14:paraId="15C2B272">
      <w:pPr>
        <w:pStyle w:val="6"/>
        <w:keepNext w:val="0"/>
        <w:keepLines w:val="0"/>
        <w:pageBreakBefore w:val="0"/>
        <w:kinsoku/>
        <w:wordWrap/>
        <w:overflowPunct/>
        <w:topLinePunct w:val="0"/>
        <w:autoSpaceDE/>
        <w:autoSpaceDN/>
        <w:bidi w:val="0"/>
        <w:adjustRightInd/>
        <w:snapToGrid/>
        <w:spacing w:line="500" w:lineRule="exact"/>
        <w:jc w:val="center"/>
        <w:textAlignment w:val="auto"/>
        <w:outlineLvl w:val="0"/>
        <w:rPr>
          <w:rFonts w:hint="eastAsia" w:ascii="宋体" w:hAnsi="宋体" w:eastAsia="宋体" w:cs="宋体"/>
          <w:sz w:val="24"/>
          <w:szCs w:val="24"/>
        </w:rPr>
      </w:pPr>
      <w:r>
        <w:rPr>
          <w:rFonts w:hint="eastAsia" w:ascii="宋体" w:hAnsi="宋体" w:eastAsia="宋体" w:cs="宋体"/>
          <w:b/>
          <w:sz w:val="24"/>
          <w:szCs w:val="24"/>
        </w:rPr>
        <w:t>（技术商务部分）</w:t>
      </w:r>
      <w:r>
        <w:rPr>
          <w:rFonts w:hint="eastAsia" w:ascii="宋体" w:hAnsi="宋体" w:eastAsia="宋体" w:cs="宋体"/>
          <w:sz w:val="24"/>
          <w:szCs w:val="24"/>
        </w:rPr>
        <w:br w:type="textWrapping"/>
      </w:r>
      <w:r>
        <w:rPr>
          <w:rFonts w:hint="eastAsia" w:ascii="宋体" w:hAnsi="宋体" w:eastAsia="宋体" w:cs="宋体"/>
          <w:sz w:val="24"/>
          <w:szCs w:val="24"/>
        </w:rPr>
        <w:br w:type="textWrapping"/>
      </w:r>
    </w:p>
    <w:p w14:paraId="2FBF55FA">
      <w:pPr>
        <w:pStyle w:val="6"/>
        <w:keepNext w:val="0"/>
        <w:keepLines w:val="0"/>
        <w:pageBreakBefore w:val="0"/>
        <w:kinsoku/>
        <w:wordWrap/>
        <w:overflowPunct/>
        <w:topLinePunct w:val="0"/>
        <w:autoSpaceDE/>
        <w:autoSpaceDN/>
        <w:bidi w:val="0"/>
        <w:adjustRightInd/>
        <w:snapToGrid/>
        <w:spacing w:line="500" w:lineRule="exact"/>
        <w:jc w:val="center"/>
        <w:textAlignment w:val="auto"/>
        <w:outlineLvl w:val="1"/>
        <w:rPr>
          <w:rFonts w:hint="eastAsia" w:ascii="宋体" w:hAnsi="宋体" w:eastAsia="宋体" w:cs="宋体"/>
          <w:sz w:val="24"/>
          <w:szCs w:val="24"/>
        </w:rPr>
      </w:pPr>
      <w:r>
        <w:rPr>
          <w:rFonts w:hint="eastAsia" w:ascii="宋体" w:hAnsi="宋体" w:eastAsia="宋体" w:cs="宋体"/>
          <w:b/>
          <w:sz w:val="24"/>
          <w:szCs w:val="24"/>
        </w:rPr>
        <w:t>（填写正本或副本）</w:t>
      </w:r>
      <w:r>
        <w:rPr>
          <w:rFonts w:hint="eastAsia" w:ascii="宋体" w:hAnsi="宋体" w:eastAsia="宋体" w:cs="宋体"/>
          <w:sz w:val="24"/>
          <w:szCs w:val="24"/>
        </w:rPr>
        <w:br w:type="textWrapping"/>
      </w:r>
      <w:r>
        <w:rPr>
          <w:rFonts w:hint="eastAsia" w:ascii="宋体" w:hAnsi="宋体" w:eastAsia="宋体" w:cs="宋体"/>
          <w:sz w:val="24"/>
          <w:szCs w:val="24"/>
        </w:rPr>
        <w:br w:type="textWrapping"/>
      </w:r>
      <w:r>
        <w:rPr>
          <w:rFonts w:hint="eastAsia" w:ascii="宋体" w:hAnsi="宋体" w:eastAsia="宋体" w:cs="宋体"/>
          <w:sz w:val="24"/>
          <w:szCs w:val="24"/>
        </w:rPr>
        <w:br w:type="textWrapping"/>
      </w:r>
      <w:r>
        <w:rPr>
          <w:rFonts w:hint="eastAsia" w:ascii="宋体" w:hAnsi="宋体" w:eastAsia="宋体" w:cs="宋体"/>
          <w:sz w:val="24"/>
          <w:szCs w:val="24"/>
        </w:rPr>
        <w:br w:type="textWrapping"/>
      </w:r>
    </w:p>
    <w:p w14:paraId="00171E58">
      <w:pPr>
        <w:pStyle w:val="6"/>
        <w:keepNext w:val="0"/>
        <w:keepLines w:val="0"/>
        <w:pageBreakBefore w:val="0"/>
        <w:kinsoku/>
        <w:wordWrap/>
        <w:overflowPunct/>
        <w:topLinePunct w:val="0"/>
        <w:autoSpaceDE/>
        <w:autoSpaceDN/>
        <w:bidi w:val="0"/>
        <w:adjustRightInd/>
        <w:snapToGrid/>
        <w:spacing w:line="500" w:lineRule="exact"/>
        <w:jc w:val="center"/>
        <w:textAlignment w:val="auto"/>
        <w:outlineLvl w:val="2"/>
        <w:rPr>
          <w:rFonts w:hint="eastAsia" w:ascii="宋体" w:hAnsi="宋体" w:eastAsia="宋体" w:cs="宋体"/>
          <w:sz w:val="24"/>
          <w:szCs w:val="24"/>
        </w:rPr>
      </w:pPr>
      <w:r>
        <w:rPr>
          <w:rFonts w:hint="eastAsia" w:ascii="宋体" w:hAnsi="宋体" w:eastAsia="宋体" w:cs="宋体"/>
          <w:b/>
          <w:sz w:val="24"/>
          <w:szCs w:val="24"/>
        </w:rPr>
        <w:t>项目名称：（由投标人填写）</w:t>
      </w:r>
    </w:p>
    <w:p w14:paraId="432E1F8C">
      <w:pPr>
        <w:pStyle w:val="6"/>
        <w:keepNext w:val="0"/>
        <w:keepLines w:val="0"/>
        <w:pageBreakBefore w:val="0"/>
        <w:kinsoku/>
        <w:wordWrap/>
        <w:overflowPunct/>
        <w:topLinePunct w:val="0"/>
        <w:autoSpaceDE/>
        <w:autoSpaceDN/>
        <w:bidi w:val="0"/>
        <w:adjustRightInd/>
        <w:snapToGrid/>
        <w:spacing w:line="500" w:lineRule="exact"/>
        <w:jc w:val="center"/>
        <w:textAlignment w:val="auto"/>
        <w:outlineLvl w:val="2"/>
        <w:rPr>
          <w:rFonts w:hint="eastAsia" w:ascii="宋体" w:hAnsi="宋体" w:eastAsia="宋体" w:cs="宋体"/>
          <w:sz w:val="24"/>
          <w:szCs w:val="24"/>
        </w:rPr>
      </w:pPr>
      <w:r>
        <w:rPr>
          <w:rFonts w:hint="eastAsia" w:ascii="宋体" w:hAnsi="宋体" w:eastAsia="宋体" w:cs="宋体"/>
          <w:b/>
          <w:sz w:val="24"/>
          <w:szCs w:val="24"/>
        </w:rPr>
        <w:t>备案编号：（由投标人填写）</w:t>
      </w:r>
    </w:p>
    <w:p w14:paraId="71BA4E75">
      <w:pPr>
        <w:pStyle w:val="6"/>
        <w:keepNext w:val="0"/>
        <w:keepLines w:val="0"/>
        <w:pageBreakBefore w:val="0"/>
        <w:kinsoku/>
        <w:wordWrap/>
        <w:overflowPunct/>
        <w:topLinePunct w:val="0"/>
        <w:autoSpaceDE/>
        <w:autoSpaceDN/>
        <w:bidi w:val="0"/>
        <w:adjustRightInd/>
        <w:snapToGrid/>
        <w:spacing w:line="500" w:lineRule="exact"/>
        <w:jc w:val="center"/>
        <w:textAlignment w:val="auto"/>
        <w:outlineLvl w:val="2"/>
        <w:rPr>
          <w:rFonts w:hint="eastAsia" w:ascii="宋体" w:hAnsi="宋体" w:eastAsia="宋体" w:cs="宋体"/>
          <w:sz w:val="24"/>
          <w:szCs w:val="24"/>
        </w:rPr>
      </w:pPr>
      <w:r>
        <w:rPr>
          <w:rFonts w:hint="eastAsia" w:ascii="宋体" w:hAnsi="宋体" w:eastAsia="宋体" w:cs="宋体"/>
          <w:b/>
          <w:sz w:val="24"/>
          <w:szCs w:val="24"/>
        </w:rPr>
        <w:t>项目编号：（由投标人填写）</w:t>
      </w:r>
    </w:p>
    <w:p w14:paraId="1E81A1D6">
      <w:pPr>
        <w:pStyle w:val="6"/>
        <w:keepNext w:val="0"/>
        <w:keepLines w:val="0"/>
        <w:pageBreakBefore w:val="0"/>
        <w:kinsoku/>
        <w:wordWrap/>
        <w:overflowPunct/>
        <w:topLinePunct w:val="0"/>
        <w:autoSpaceDE/>
        <w:autoSpaceDN/>
        <w:bidi w:val="0"/>
        <w:adjustRightInd/>
        <w:snapToGrid/>
        <w:spacing w:line="500" w:lineRule="exact"/>
        <w:jc w:val="center"/>
        <w:textAlignment w:val="auto"/>
        <w:outlineLvl w:val="2"/>
        <w:rPr>
          <w:rFonts w:hint="eastAsia" w:ascii="宋体" w:hAnsi="宋体" w:eastAsia="宋体" w:cs="宋体"/>
          <w:sz w:val="24"/>
          <w:szCs w:val="24"/>
        </w:rPr>
      </w:pPr>
      <w:r>
        <w:rPr>
          <w:rFonts w:hint="eastAsia" w:ascii="宋体" w:hAnsi="宋体" w:eastAsia="宋体" w:cs="宋体"/>
          <w:b/>
          <w:sz w:val="24"/>
          <w:szCs w:val="24"/>
        </w:rPr>
        <w:t>所投采购包：（由投标人填写）</w:t>
      </w:r>
    </w:p>
    <w:p w14:paraId="4B73E376">
      <w:pPr>
        <w:pStyle w:val="6"/>
        <w:keepNext w:val="0"/>
        <w:keepLines w:val="0"/>
        <w:pageBreakBefore w:val="0"/>
        <w:kinsoku/>
        <w:wordWrap/>
        <w:overflowPunct/>
        <w:topLinePunct w:val="0"/>
        <w:autoSpaceDE/>
        <w:autoSpaceDN/>
        <w:bidi w:val="0"/>
        <w:adjustRightInd/>
        <w:snapToGrid/>
        <w:spacing w:line="500" w:lineRule="exact"/>
        <w:jc w:val="center"/>
        <w:textAlignment w:val="auto"/>
        <w:outlineLvl w:val="2"/>
        <w:rPr>
          <w:rFonts w:hint="eastAsia" w:ascii="宋体" w:hAnsi="宋体" w:eastAsia="宋体" w:cs="宋体"/>
          <w:sz w:val="24"/>
          <w:szCs w:val="24"/>
        </w:rPr>
      </w:pPr>
      <w:r>
        <w:rPr>
          <w:rFonts w:hint="eastAsia" w:ascii="宋体" w:hAnsi="宋体" w:eastAsia="宋体" w:cs="宋体"/>
          <w:b/>
          <w:sz w:val="24"/>
          <w:szCs w:val="24"/>
        </w:rPr>
        <w:t>投标人：（填写“全称”）</w:t>
      </w:r>
    </w:p>
    <w:p w14:paraId="400C777C">
      <w:pPr>
        <w:pStyle w:val="6"/>
        <w:keepNext w:val="0"/>
        <w:keepLines w:val="0"/>
        <w:pageBreakBefore w:val="0"/>
        <w:kinsoku/>
        <w:wordWrap/>
        <w:overflowPunct/>
        <w:topLinePunct w:val="0"/>
        <w:autoSpaceDE/>
        <w:autoSpaceDN/>
        <w:bidi w:val="0"/>
        <w:adjustRightInd/>
        <w:snapToGrid/>
        <w:spacing w:line="500" w:lineRule="exact"/>
        <w:jc w:val="center"/>
        <w:textAlignment w:val="auto"/>
        <w:outlineLvl w:val="2"/>
        <w:rPr>
          <w:rFonts w:hint="eastAsia" w:ascii="宋体" w:hAnsi="宋体" w:eastAsia="宋体" w:cs="宋体"/>
          <w:sz w:val="24"/>
          <w:szCs w:val="24"/>
        </w:rPr>
      </w:pPr>
      <w:r>
        <w:rPr>
          <w:rFonts w:hint="eastAsia" w:ascii="宋体" w:hAnsi="宋体" w:eastAsia="宋体" w:cs="宋体"/>
          <w:b/>
          <w:sz w:val="24"/>
          <w:szCs w:val="24"/>
        </w:rPr>
        <w:t>（由投标人填写）年（由投标人填写）月</w:t>
      </w:r>
    </w:p>
    <w:p w14:paraId="1F6FB11C">
      <w:pPr>
        <w:pStyle w:val="6"/>
        <w:keepNext w:val="0"/>
        <w:keepLines w:val="0"/>
        <w:pageBreakBefore w:val="0"/>
        <w:kinsoku/>
        <w:wordWrap/>
        <w:overflowPunct/>
        <w:topLinePunct w:val="0"/>
        <w:autoSpaceDE/>
        <w:autoSpaceDN/>
        <w:bidi w:val="0"/>
        <w:adjustRightInd/>
        <w:snapToGrid/>
        <w:spacing w:line="500" w:lineRule="exact"/>
        <w:textAlignment w:val="auto"/>
        <w:rPr>
          <w:rFonts w:hint="eastAsia" w:ascii="宋体" w:hAnsi="宋体" w:eastAsia="宋体" w:cs="宋体"/>
          <w:sz w:val="24"/>
          <w:szCs w:val="24"/>
        </w:rPr>
      </w:pPr>
      <w:r>
        <w:rPr>
          <w:rFonts w:hint="eastAsia" w:ascii="宋体" w:hAnsi="宋体" w:eastAsia="宋体" w:cs="宋体"/>
          <w:sz w:val="24"/>
          <w:szCs w:val="24"/>
        </w:rPr>
        <w:t xml:space="preserve"> </w:t>
      </w:r>
      <w:r>
        <w:rPr>
          <w:rFonts w:hint="eastAsia" w:ascii="宋体" w:hAnsi="宋体" w:eastAsia="宋体" w:cs="宋体"/>
          <w:sz w:val="24"/>
          <w:szCs w:val="24"/>
        </w:rPr>
        <w:br w:type="textWrapping"/>
      </w:r>
      <w:r>
        <w:rPr>
          <w:rFonts w:hint="eastAsia" w:ascii="宋体" w:hAnsi="宋体" w:eastAsia="宋体" w:cs="宋体"/>
          <w:sz w:val="24"/>
          <w:szCs w:val="24"/>
        </w:rPr>
        <w:br w:type="page"/>
      </w:r>
    </w:p>
    <w:p w14:paraId="67011201">
      <w:pPr>
        <w:pStyle w:val="6"/>
        <w:keepNext w:val="0"/>
        <w:keepLines w:val="0"/>
        <w:pageBreakBefore w:val="0"/>
        <w:kinsoku/>
        <w:wordWrap/>
        <w:overflowPunct/>
        <w:topLinePunct w:val="0"/>
        <w:autoSpaceDE/>
        <w:autoSpaceDN/>
        <w:bidi w:val="0"/>
        <w:adjustRightInd/>
        <w:snapToGrid/>
        <w:spacing w:line="500" w:lineRule="exact"/>
        <w:jc w:val="center"/>
        <w:textAlignment w:val="auto"/>
        <w:outlineLvl w:val="2"/>
        <w:rPr>
          <w:rFonts w:hint="eastAsia" w:ascii="宋体" w:hAnsi="宋体" w:eastAsia="宋体" w:cs="宋体"/>
          <w:sz w:val="24"/>
          <w:szCs w:val="24"/>
        </w:rPr>
      </w:pPr>
      <w:r>
        <w:rPr>
          <w:rFonts w:hint="eastAsia" w:ascii="宋体" w:hAnsi="宋体" w:eastAsia="宋体" w:cs="宋体"/>
          <w:b/>
          <w:sz w:val="24"/>
          <w:szCs w:val="24"/>
        </w:rPr>
        <w:t>索引</w:t>
      </w:r>
    </w:p>
    <w:p w14:paraId="371EE8A0">
      <w:pPr>
        <w:pStyle w:val="6"/>
        <w:keepNext w:val="0"/>
        <w:keepLines w:val="0"/>
        <w:pageBreakBefore w:val="0"/>
        <w:kinsoku/>
        <w:wordWrap/>
        <w:overflowPunct/>
        <w:topLinePunct w:val="0"/>
        <w:autoSpaceDE/>
        <w:autoSpaceDN/>
        <w:bidi w:val="0"/>
        <w:adjustRightInd/>
        <w:snapToGrid/>
        <w:spacing w:line="500" w:lineRule="exact"/>
        <w:ind w:firstLine="480"/>
        <w:jc w:val="left"/>
        <w:textAlignment w:val="auto"/>
        <w:rPr>
          <w:rFonts w:hint="eastAsia" w:ascii="宋体" w:hAnsi="宋体" w:eastAsia="宋体" w:cs="宋体"/>
          <w:sz w:val="24"/>
          <w:szCs w:val="24"/>
        </w:rPr>
      </w:pPr>
      <w:r>
        <w:rPr>
          <w:rFonts w:hint="eastAsia" w:ascii="宋体" w:hAnsi="宋体" w:eastAsia="宋体" w:cs="宋体"/>
          <w:sz w:val="24"/>
          <w:szCs w:val="24"/>
        </w:rPr>
        <w:t>一、标的说明一览表</w:t>
      </w:r>
    </w:p>
    <w:p w14:paraId="5F46AC75">
      <w:pPr>
        <w:pStyle w:val="6"/>
        <w:keepNext w:val="0"/>
        <w:keepLines w:val="0"/>
        <w:pageBreakBefore w:val="0"/>
        <w:kinsoku/>
        <w:wordWrap/>
        <w:overflowPunct/>
        <w:topLinePunct w:val="0"/>
        <w:autoSpaceDE/>
        <w:autoSpaceDN/>
        <w:bidi w:val="0"/>
        <w:adjustRightInd/>
        <w:snapToGrid/>
        <w:spacing w:line="500" w:lineRule="exact"/>
        <w:ind w:firstLine="480"/>
        <w:jc w:val="left"/>
        <w:textAlignment w:val="auto"/>
        <w:rPr>
          <w:rFonts w:hint="eastAsia" w:ascii="宋体" w:hAnsi="宋体" w:eastAsia="宋体" w:cs="宋体"/>
          <w:sz w:val="24"/>
          <w:szCs w:val="24"/>
        </w:rPr>
      </w:pPr>
      <w:r>
        <w:rPr>
          <w:rFonts w:hint="eastAsia" w:ascii="宋体" w:hAnsi="宋体" w:eastAsia="宋体" w:cs="宋体"/>
          <w:sz w:val="24"/>
          <w:szCs w:val="24"/>
        </w:rPr>
        <w:t>二、技术和服务要求响应表</w:t>
      </w:r>
    </w:p>
    <w:p w14:paraId="5043BFD1">
      <w:pPr>
        <w:pStyle w:val="6"/>
        <w:keepNext w:val="0"/>
        <w:keepLines w:val="0"/>
        <w:pageBreakBefore w:val="0"/>
        <w:kinsoku/>
        <w:wordWrap/>
        <w:overflowPunct/>
        <w:topLinePunct w:val="0"/>
        <w:autoSpaceDE/>
        <w:autoSpaceDN/>
        <w:bidi w:val="0"/>
        <w:adjustRightInd/>
        <w:snapToGrid/>
        <w:spacing w:line="500" w:lineRule="exact"/>
        <w:ind w:firstLine="480"/>
        <w:jc w:val="left"/>
        <w:textAlignment w:val="auto"/>
        <w:rPr>
          <w:rFonts w:hint="eastAsia" w:ascii="宋体" w:hAnsi="宋体" w:eastAsia="宋体" w:cs="宋体"/>
          <w:sz w:val="24"/>
          <w:szCs w:val="24"/>
        </w:rPr>
      </w:pPr>
      <w:r>
        <w:rPr>
          <w:rFonts w:hint="eastAsia" w:ascii="宋体" w:hAnsi="宋体" w:eastAsia="宋体" w:cs="宋体"/>
          <w:sz w:val="24"/>
          <w:szCs w:val="24"/>
        </w:rPr>
        <w:t>三、商务条件响应表</w:t>
      </w:r>
    </w:p>
    <w:p w14:paraId="603D3118">
      <w:pPr>
        <w:pStyle w:val="6"/>
        <w:keepNext w:val="0"/>
        <w:keepLines w:val="0"/>
        <w:pageBreakBefore w:val="0"/>
        <w:kinsoku/>
        <w:wordWrap/>
        <w:overflowPunct/>
        <w:topLinePunct w:val="0"/>
        <w:autoSpaceDE/>
        <w:autoSpaceDN/>
        <w:bidi w:val="0"/>
        <w:adjustRightInd/>
        <w:snapToGrid/>
        <w:spacing w:line="500" w:lineRule="exact"/>
        <w:ind w:firstLine="480"/>
        <w:jc w:val="left"/>
        <w:textAlignment w:val="auto"/>
        <w:rPr>
          <w:rFonts w:hint="eastAsia" w:ascii="宋体" w:hAnsi="宋体" w:eastAsia="宋体" w:cs="宋体"/>
          <w:sz w:val="24"/>
          <w:szCs w:val="24"/>
        </w:rPr>
      </w:pPr>
      <w:r>
        <w:rPr>
          <w:rFonts w:hint="eastAsia" w:ascii="宋体" w:hAnsi="宋体" w:eastAsia="宋体" w:cs="宋体"/>
          <w:sz w:val="24"/>
          <w:szCs w:val="24"/>
        </w:rPr>
        <w:t>四、投标人提交的其他资料（若有）</w:t>
      </w:r>
    </w:p>
    <w:p w14:paraId="74843A3A">
      <w:pPr>
        <w:pStyle w:val="6"/>
        <w:keepNext w:val="0"/>
        <w:keepLines w:val="0"/>
        <w:pageBreakBefore w:val="0"/>
        <w:kinsoku/>
        <w:wordWrap/>
        <w:overflowPunct/>
        <w:topLinePunct w:val="0"/>
        <w:autoSpaceDE/>
        <w:autoSpaceDN/>
        <w:bidi w:val="0"/>
        <w:adjustRightInd/>
        <w:snapToGrid/>
        <w:spacing w:line="500" w:lineRule="exact"/>
        <w:ind w:firstLine="480"/>
        <w:jc w:val="left"/>
        <w:textAlignment w:val="auto"/>
        <w:rPr>
          <w:rFonts w:hint="eastAsia" w:ascii="宋体" w:hAnsi="宋体" w:eastAsia="宋体" w:cs="宋体"/>
          <w:sz w:val="24"/>
          <w:szCs w:val="24"/>
        </w:rPr>
      </w:pPr>
      <w:r>
        <w:rPr>
          <w:rFonts w:hint="eastAsia" w:ascii="宋体" w:hAnsi="宋体" w:eastAsia="宋体" w:cs="宋体"/>
          <w:sz w:val="24"/>
          <w:szCs w:val="24"/>
        </w:rPr>
        <w:t>※注意</w:t>
      </w:r>
    </w:p>
    <w:p w14:paraId="1CFC042F">
      <w:pPr>
        <w:pStyle w:val="6"/>
        <w:keepNext w:val="0"/>
        <w:keepLines w:val="0"/>
        <w:pageBreakBefore w:val="0"/>
        <w:kinsoku/>
        <w:wordWrap/>
        <w:overflowPunct/>
        <w:topLinePunct w:val="0"/>
        <w:autoSpaceDE/>
        <w:autoSpaceDN/>
        <w:bidi w:val="0"/>
        <w:adjustRightInd/>
        <w:snapToGrid/>
        <w:spacing w:line="500" w:lineRule="exact"/>
        <w:ind w:firstLine="480"/>
        <w:jc w:val="left"/>
        <w:textAlignment w:val="auto"/>
        <w:rPr>
          <w:rFonts w:hint="eastAsia" w:ascii="宋体" w:hAnsi="宋体" w:eastAsia="宋体" w:cs="宋体"/>
          <w:sz w:val="24"/>
          <w:szCs w:val="24"/>
        </w:rPr>
      </w:pPr>
      <w:r>
        <w:rPr>
          <w:rFonts w:hint="eastAsia" w:ascii="宋体" w:hAnsi="宋体" w:eastAsia="宋体" w:cs="宋体"/>
          <w:sz w:val="24"/>
          <w:szCs w:val="24"/>
        </w:rPr>
        <w:t>技术商务部分中不得出现报价部分的全部或部分的投标报价信息（或组成资料），否则符合性审查不合格。</w:t>
      </w:r>
    </w:p>
    <w:p w14:paraId="0151BEE7">
      <w:pPr>
        <w:pStyle w:val="6"/>
        <w:keepNext w:val="0"/>
        <w:keepLines w:val="0"/>
        <w:pageBreakBefore w:val="0"/>
        <w:kinsoku/>
        <w:wordWrap/>
        <w:overflowPunct/>
        <w:topLinePunct w:val="0"/>
        <w:autoSpaceDE/>
        <w:autoSpaceDN/>
        <w:bidi w:val="0"/>
        <w:adjustRightInd/>
        <w:snapToGrid/>
        <w:spacing w:line="500" w:lineRule="exact"/>
        <w:textAlignment w:val="auto"/>
        <w:rPr>
          <w:rFonts w:hint="eastAsia" w:ascii="宋体" w:hAnsi="宋体" w:eastAsia="宋体" w:cs="宋体"/>
          <w:sz w:val="24"/>
          <w:szCs w:val="24"/>
        </w:rPr>
      </w:pPr>
      <w:r>
        <w:rPr>
          <w:rFonts w:hint="eastAsia" w:ascii="宋体" w:hAnsi="宋体" w:eastAsia="宋体" w:cs="宋体"/>
          <w:sz w:val="24"/>
          <w:szCs w:val="24"/>
        </w:rPr>
        <w:t xml:space="preserve"> </w:t>
      </w:r>
      <w:r>
        <w:rPr>
          <w:rFonts w:hint="eastAsia" w:ascii="宋体" w:hAnsi="宋体" w:eastAsia="宋体" w:cs="宋体"/>
          <w:sz w:val="24"/>
          <w:szCs w:val="24"/>
        </w:rPr>
        <w:br w:type="textWrapping"/>
      </w:r>
      <w:r>
        <w:rPr>
          <w:rFonts w:hint="eastAsia" w:ascii="宋体" w:hAnsi="宋体" w:eastAsia="宋体" w:cs="宋体"/>
          <w:sz w:val="24"/>
          <w:szCs w:val="24"/>
        </w:rPr>
        <w:br w:type="page"/>
      </w:r>
    </w:p>
    <w:p w14:paraId="3B6F6AEC">
      <w:pPr>
        <w:pStyle w:val="6"/>
        <w:keepNext w:val="0"/>
        <w:keepLines w:val="0"/>
        <w:pageBreakBefore w:val="0"/>
        <w:kinsoku/>
        <w:wordWrap/>
        <w:overflowPunct/>
        <w:topLinePunct w:val="0"/>
        <w:autoSpaceDE/>
        <w:autoSpaceDN/>
        <w:bidi w:val="0"/>
        <w:adjustRightInd/>
        <w:snapToGrid/>
        <w:spacing w:line="500" w:lineRule="exact"/>
        <w:jc w:val="center"/>
        <w:textAlignment w:val="auto"/>
        <w:outlineLvl w:val="2"/>
        <w:rPr>
          <w:rFonts w:hint="eastAsia" w:ascii="宋体" w:hAnsi="宋体" w:eastAsia="宋体" w:cs="宋体"/>
          <w:sz w:val="24"/>
          <w:szCs w:val="24"/>
        </w:rPr>
      </w:pPr>
      <w:r>
        <w:rPr>
          <w:rFonts w:hint="eastAsia" w:ascii="宋体" w:hAnsi="宋体" w:eastAsia="宋体" w:cs="宋体"/>
          <w:b/>
          <w:sz w:val="24"/>
          <w:szCs w:val="24"/>
        </w:rPr>
        <w:t>一、标的说明一览表</w:t>
      </w:r>
    </w:p>
    <w:p w14:paraId="4A08CED9">
      <w:pPr>
        <w:pStyle w:val="6"/>
        <w:keepNext w:val="0"/>
        <w:keepLines w:val="0"/>
        <w:pageBreakBefore w:val="0"/>
        <w:kinsoku/>
        <w:wordWrap/>
        <w:overflowPunct/>
        <w:topLinePunct w:val="0"/>
        <w:autoSpaceDE/>
        <w:autoSpaceDN/>
        <w:bidi w:val="0"/>
        <w:adjustRightInd/>
        <w:snapToGrid/>
        <w:spacing w:line="500" w:lineRule="exact"/>
        <w:ind w:firstLine="480"/>
        <w:jc w:val="left"/>
        <w:textAlignment w:val="auto"/>
        <w:rPr>
          <w:rFonts w:hint="eastAsia" w:ascii="宋体" w:hAnsi="宋体" w:eastAsia="宋体" w:cs="宋体"/>
          <w:sz w:val="24"/>
          <w:szCs w:val="24"/>
        </w:rPr>
      </w:pPr>
      <w:r>
        <w:rPr>
          <w:rFonts w:hint="eastAsia" w:ascii="宋体" w:hAnsi="宋体" w:eastAsia="宋体" w:cs="宋体"/>
          <w:sz w:val="24"/>
          <w:szCs w:val="24"/>
        </w:rPr>
        <w:t>项目编号：</w:t>
      </w:r>
      <w:r>
        <w:rPr>
          <w:rFonts w:hint="eastAsia" w:ascii="宋体" w:hAnsi="宋体" w:eastAsia="宋体" w:cs="宋体"/>
          <w:sz w:val="24"/>
          <w:szCs w:val="24"/>
          <w:u w:val="single"/>
        </w:rPr>
        <w:t>　　　　　　　　</w:t>
      </w:r>
    </w:p>
    <w:tbl>
      <w:tblPr>
        <w:tblStyle w:val="4"/>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187"/>
        <w:gridCol w:w="1187"/>
        <w:gridCol w:w="1187"/>
        <w:gridCol w:w="1187"/>
        <w:gridCol w:w="1187"/>
        <w:gridCol w:w="1187"/>
        <w:gridCol w:w="1187"/>
      </w:tblGrid>
      <w:tr w14:paraId="0F4232F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87" w:type="dxa"/>
          </w:tcPr>
          <w:p w14:paraId="7C83924A">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采购包</w:t>
            </w:r>
          </w:p>
        </w:tc>
        <w:tc>
          <w:tcPr>
            <w:tcW w:w="1187" w:type="dxa"/>
          </w:tcPr>
          <w:p w14:paraId="454761D6">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品目号</w:t>
            </w:r>
          </w:p>
        </w:tc>
        <w:tc>
          <w:tcPr>
            <w:tcW w:w="1187" w:type="dxa"/>
          </w:tcPr>
          <w:p w14:paraId="2A197FED">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投标标的</w:t>
            </w:r>
          </w:p>
        </w:tc>
        <w:tc>
          <w:tcPr>
            <w:tcW w:w="1187" w:type="dxa"/>
          </w:tcPr>
          <w:p w14:paraId="4A53D2D9">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数量</w:t>
            </w:r>
          </w:p>
        </w:tc>
        <w:tc>
          <w:tcPr>
            <w:tcW w:w="1187" w:type="dxa"/>
          </w:tcPr>
          <w:p w14:paraId="4462E201">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规格</w:t>
            </w:r>
          </w:p>
        </w:tc>
        <w:tc>
          <w:tcPr>
            <w:tcW w:w="1187" w:type="dxa"/>
          </w:tcPr>
          <w:p w14:paraId="162BA18E">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来源地</w:t>
            </w:r>
          </w:p>
        </w:tc>
        <w:tc>
          <w:tcPr>
            <w:tcW w:w="1187" w:type="dxa"/>
          </w:tcPr>
          <w:p w14:paraId="4F59C05C">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备注</w:t>
            </w:r>
          </w:p>
        </w:tc>
      </w:tr>
      <w:tr w14:paraId="3413AD8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gridAfter w:val="1"/>
          <w:wAfter w:w="1187" w:type="dxa"/>
        </w:trPr>
        <w:tc>
          <w:tcPr>
            <w:tcW w:w="1187" w:type="dxa"/>
            <w:vMerge w:val="restart"/>
          </w:tcPr>
          <w:p w14:paraId="09A11CF9">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w:t>
            </w:r>
          </w:p>
        </w:tc>
        <w:tc>
          <w:tcPr>
            <w:tcW w:w="1187" w:type="dxa"/>
          </w:tcPr>
          <w:p w14:paraId="5279893C">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*-1</w:t>
            </w:r>
          </w:p>
        </w:tc>
        <w:tc>
          <w:tcPr>
            <w:tcW w:w="1187" w:type="dxa"/>
          </w:tcPr>
          <w:p w14:paraId="730F64F5">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hAnsi="宋体" w:eastAsia="宋体" w:cs="宋体"/>
                <w:sz w:val="24"/>
                <w:szCs w:val="24"/>
              </w:rPr>
            </w:pPr>
          </w:p>
        </w:tc>
        <w:tc>
          <w:tcPr>
            <w:tcW w:w="1187" w:type="dxa"/>
          </w:tcPr>
          <w:p w14:paraId="2582B500">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hAnsi="宋体" w:eastAsia="宋体" w:cs="宋体"/>
                <w:sz w:val="24"/>
                <w:szCs w:val="24"/>
              </w:rPr>
            </w:pPr>
          </w:p>
        </w:tc>
        <w:tc>
          <w:tcPr>
            <w:tcW w:w="1187" w:type="dxa"/>
          </w:tcPr>
          <w:p w14:paraId="3576265F">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hAnsi="宋体" w:eastAsia="宋体" w:cs="宋体"/>
                <w:sz w:val="24"/>
                <w:szCs w:val="24"/>
              </w:rPr>
            </w:pPr>
          </w:p>
        </w:tc>
        <w:tc>
          <w:tcPr>
            <w:tcW w:w="1187" w:type="dxa"/>
          </w:tcPr>
          <w:p w14:paraId="1CC29ADC">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hAnsi="宋体" w:eastAsia="宋体" w:cs="宋体"/>
                <w:sz w:val="24"/>
                <w:szCs w:val="24"/>
              </w:rPr>
            </w:pPr>
          </w:p>
        </w:tc>
      </w:tr>
      <w:tr w14:paraId="3A4179F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gridAfter w:val="1"/>
          <w:wAfter w:w="1187" w:type="dxa"/>
        </w:trPr>
        <w:tc>
          <w:tcPr>
            <w:tcW w:w="1187" w:type="dxa"/>
            <w:vMerge w:val="continue"/>
          </w:tcPr>
          <w:p w14:paraId="280242DB">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hAnsi="宋体" w:eastAsia="宋体" w:cs="宋体"/>
                <w:sz w:val="24"/>
                <w:szCs w:val="24"/>
              </w:rPr>
            </w:pPr>
          </w:p>
        </w:tc>
        <w:tc>
          <w:tcPr>
            <w:tcW w:w="1187" w:type="dxa"/>
          </w:tcPr>
          <w:p w14:paraId="4CA02D53">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w:t>
            </w:r>
          </w:p>
        </w:tc>
        <w:tc>
          <w:tcPr>
            <w:tcW w:w="1187" w:type="dxa"/>
          </w:tcPr>
          <w:p w14:paraId="472AADD0">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hAnsi="宋体" w:eastAsia="宋体" w:cs="宋体"/>
                <w:sz w:val="24"/>
                <w:szCs w:val="24"/>
              </w:rPr>
            </w:pPr>
          </w:p>
        </w:tc>
        <w:tc>
          <w:tcPr>
            <w:tcW w:w="1187" w:type="dxa"/>
          </w:tcPr>
          <w:p w14:paraId="1B566FE7">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hAnsi="宋体" w:eastAsia="宋体" w:cs="宋体"/>
                <w:sz w:val="24"/>
                <w:szCs w:val="24"/>
              </w:rPr>
            </w:pPr>
          </w:p>
        </w:tc>
        <w:tc>
          <w:tcPr>
            <w:tcW w:w="1187" w:type="dxa"/>
          </w:tcPr>
          <w:p w14:paraId="5D6EFBC2">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hAnsi="宋体" w:eastAsia="宋体" w:cs="宋体"/>
                <w:sz w:val="24"/>
                <w:szCs w:val="24"/>
              </w:rPr>
            </w:pPr>
          </w:p>
        </w:tc>
        <w:tc>
          <w:tcPr>
            <w:tcW w:w="1187" w:type="dxa"/>
          </w:tcPr>
          <w:p w14:paraId="38F46305">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hAnsi="宋体" w:eastAsia="宋体" w:cs="宋体"/>
                <w:sz w:val="24"/>
                <w:szCs w:val="24"/>
              </w:rPr>
            </w:pPr>
          </w:p>
        </w:tc>
      </w:tr>
      <w:tr w14:paraId="09E8703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gridAfter w:val="1"/>
          <w:wAfter w:w="1187" w:type="dxa"/>
        </w:trPr>
        <w:tc>
          <w:tcPr>
            <w:tcW w:w="1187" w:type="dxa"/>
          </w:tcPr>
          <w:p w14:paraId="15724D86">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w:t>
            </w:r>
          </w:p>
        </w:tc>
        <w:tc>
          <w:tcPr>
            <w:tcW w:w="1187" w:type="dxa"/>
          </w:tcPr>
          <w:p w14:paraId="5E41F4F7">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hAnsi="宋体" w:eastAsia="宋体" w:cs="宋体"/>
                <w:sz w:val="24"/>
                <w:szCs w:val="24"/>
              </w:rPr>
            </w:pPr>
          </w:p>
        </w:tc>
        <w:tc>
          <w:tcPr>
            <w:tcW w:w="1187" w:type="dxa"/>
          </w:tcPr>
          <w:p w14:paraId="772303AE">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hAnsi="宋体" w:eastAsia="宋体" w:cs="宋体"/>
                <w:sz w:val="24"/>
                <w:szCs w:val="24"/>
              </w:rPr>
            </w:pPr>
          </w:p>
        </w:tc>
        <w:tc>
          <w:tcPr>
            <w:tcW w:w="1187" w:type="dxa"/>
          </w:tcPr>
          <w:p w14:paraId="76FF66F5">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hAnsi="宋体" w:eastAsia="宋体" w:cs="宋体"/>
                <w:sz w:val="24"/>
                <w:szCs w:val="24"/>
              </w:rPr>
            </w:pPr>
          </w:p>
        </w:tc>
        <w:tc>
          <w:tcPr>
            <w:tcW w:w="1187" w:type="dxa"/>
          </w:tcPr>
          <w:p w14:paraId="3600839A">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hAnsi="宋体" w:eastAsia="宋体" w:cs="宋体"/>
                <w:sz w:val="24"/>
                <w:szCs w:val="24"/>
              </w:rPr>
            </w:pPr>
          </w:p>
        </w:tc>
        <w:tc>
          <w:tcPr>
            <w:tcW w:w="1187" w:type="dxa"/>
          </w:tcPr>
          <w:p w14:paraId="3F4A13E9">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hAnsi="宋体" w:eastAsia="宋体" w:cs="宋体"/>
                <w:sz w:val="24"/>
                <w:szCs w:val="24"/>
              </w:rPr>
            </w:pPr>
          </w:p>
        </w:tc>
      </w:tr>
    </w:tbl>
    <w:p w14:paraId="20B88203">
      <w:pPr>
        <w:pStyle w:val="6"/>
        <w:keepNext w:val="0"/>
        <w:keepLines w:val="0"/>
        <w:pageBreakBefore w:val="0"/>
        <w:kinsoku/>
        <w:wordWrap/>
        <w:overflowPunct/>
        <w:topLinePunct w:val="0"/>
        <w:autoSpaceDE/>
        <w:autoSpaceDN/>
        <w:bidi w:val="0"/>
        <w:adjustRightInd/>
        <w:snapToGrid/>
        <w:spacing w:line="500" w:lineRule="exact"/>
        <w:ind w:firstLine="480"/>
        <w:jc w:val="left"/>
        <w:textAlignment w:val="auto"/>
        <w:rPr>
          <w:rFonts w:hint="eastAsia" w:ascii="宋体" w:hAnsi="宋体" w:eastAsia="宋体" w:cs="宋体"/>
          <w:sz w:val="24"/>
          <w:szCs w:val="24"/>
        </w:rPr>
      </w:pPr>
      <w:r>
        <w:rPr>
          <w:rFonts w:hint="eastAsia" w:ascii="宋体" w:hAnsi="宋体" w:eastAsia="宋体" w:cs="宋体"/>
          <w:sz w:val="24"/>
          <w:szCs w:val="24"/>
        </w:rPr>
        <w:t>※注意：</w:t>
      </w:r>
    </w:p>
    <w:p w14:paraId="2D32C731">
      <w:pPr>
        <w:pStyle w:val="6"/>
        <w:keepNext w:val="0"/>
        <w:keepLines w:val="0"/>
        <w:pageBreakBefore w:val="0"/>
        <w:kinsoku/>
        <w:wordWrap/>
        <w:overflowPunct/>
        <w:topLinePunct w:val="0"/>
        <w:autoSpaceDE/>
        <w:autoSpaceDN/>
        <w:bidi w:val="0"/>
        <w:adjustRightInd/>
        <w:snapToGrid/>
        <w:spacing w:line="500" w:lineRule="exact"/>
        <w:ind w:firstLine="480"/>
        <w:jc w:val="left"/>
        <w:textAlignment w:val="auto"/>
        <w:rPr>
          <w:rFonts w:hint="eastAsia" w:ascii="宋体" w:hAnsi="宋体" w:eastAsia="宋体" w:cs="宋体"/>
          <w:sz w:val="24"/>
          <w:szCs w:val="24"/>
        </w:rPr>
      </w:pPr>
      <w:r>
        <w:rPr>
          <w:rFonts w:hint="eastAsia" w:ascii="宋体" w:hAnsi="宋体" w:eastAsia="宋体" w:cs="宋体"/>
          <w:sz w:val="24"/>
          <w:szCs w:val="24"/>
        </w:rPr>
        <w:t>1、本表应按照下列规定填写：</w:t>
      </w:r>
    </w:p>
    <w:p w14:paraId="27740459">
      <w:pPr>
        <w:pStyle w:val="6"/>
        <w:keepNext w:val="0"/>
        <w:keepLines w:val="0"/>
        <w:pageBreakBefore w:val="0"/>
        <w:kinsoku/>
        <w:wordWrap/>
        <w:overflowPunct/>
        <w:topLinePunct w:val="0"/>
        <w:autoSpaceDE/>
        <w:autoSpaceDN/>
        <w:bidi w:val="0"/>
        <w:adjustRightInd/>
        <w:snapToGrid/>
        <w:spacing w:line="500" w:lineRule="exact"/>
        <w:ind w:firstLine="480"/>
        <w:jc w:val="left"/>
        <w:textAlignment w:val="auto"/>
        <w:rPr>
          <w:rFonts w:hint="eastAsia" w:ascii="宋体" w:hAnsi="宋体" w:eastAsia="宋体" w:cs="宋体"/>
          <w:sz w:val="24"/>
          <w:szCs w:val="24"/>
        </w:rPr>
      </w:pPr>
      <w:r>
        <w:rPr>
          <w:rFonts w:hint="eastAsia" w:ascii="宋体" w:hAnsi="宋体" w:eastAsia="宋体" w:cs="宋体"/>
          <w:sz w:val="24"/>
          <w:szCs w:val="24"/>
        </w:rPr>
        <w:t>1.1“采购包”、“品目号”、“投标标的”及“数量”应与招标文件《采购标的一览表》中的有关内容（“采购包”、“品目号”、“采购标的”及“数量”）保持一致。</w:t>
      </w:r>
    </w:p>
    <w:p w14:paraId="5C7814AE">
      <w:pPr>
        <w:pStyle w:val="6"/>
        <w:keepNext w:val="0"/>
        <w:keepLines w:val="0"/>
        <w:pageBreakBefore w:val="0"/>
        <w:kinsoku/>
        <w:wordWrap/>
        <w:overflowPunct/>
        <w:topLinePunct w:val="0"/>
        <w:autoSpaceDE/>
        <w:autoSpaceDN/>
        <w:bidi w:val="0"/>
        <w:adjustRightInd/>
        <w:snapToGrid/>
        <w:spacing w:line="500" w:lineRule="exact"/>
        <w:ind w:firstLine="480"/>
        <w:jc w:val="left"/>
        <w:textAlignment w:val="auto"/>
        <w:rPr>
          <w:rFonts w:hint="eastAsia" w:ascii="宋体" w:hAnsi="宋体" w:eastAsia="宋体" w:cs="宋体"/>
          <w:sz w:val="24"/>
          <w:szCs w:val="24"/>
        </w:rPr>
      </w:pPr>
      <w:r>
        <w:rPr>
          <w:rFonts w:hint="eastAsia" w:ascii="宋体" w:hAnsi="宋体" w:eastAsia="宋体" w:cs="宋体"/>
          <w:sz w:val="24"/>
          <w:szCs w:val="24"/>
        </w:rPr>
        <w:t>1.2“投标标的”为货物的：“规格”项下应填写货物制造厂商赋予的品牌（属于节能、环保清单产品的货物，填写的品牌名称应与清单载明的品牌名称保持一致）及具体型号。“来源地”应填写货物的原产地。“备注”项下应填写货物的详细性能说明及供货范围清单（若有），其中供货范围清单包括但不限于：组成货物的主要件和关键件的名称、数量、原产地，专用工具（若有）的名称、数量、原产地，备品备件（若有）的名称、数量、原产地等。</w:t>
      </w:r>
    </w:p>
    <w:p w14:paraId="504F4987">
      <w:pPr>
        <w:pStyle w:val="6"/>
        <w:keepNext w:val="0"/>
        <w:keepLines w:val="0"/>
        <w:pageBreakBefore w:val="0"/>
        <w:kinsoku/>
        <w:wordWrap/>
        <w:overflowPunct/>
        <w:topLinePunct w:val="0"/>
        <w:autoSpaceDE/>
        <w:autoSpaceDN/>
        <w:bidi w:val="0"/>
        <w:adjustRightInd/>
        <w:snapToGrid/>
        <w:spacing w:line="500" w:lineRule="exact"/>
        <w:ind w:firstLine="480"/>
        <w:jc w:val="left"/>
        <w:textAlignment w:val="auto"/>
        <w:rPr>
          <w:rFonts w:hint="eastAsia" w:ascii="宋体" w:hAnsi="宋体" w:eastAsia="宋体" w:cs="宋体"/>
          <w:sz w:val="24"/>
          <w:szCs w:val="24"/>
        </w:rPr>
      </w:pPr>
      <w:r>
        <w:rPr>
          <w:rFonts w:hint="eastAsia" w:ascii="宋体" w:hAnsi="宋体" w:eastAsia="宋体" w:cs="宋体"/>
          <w:sz w:val="24"/>
          <w:szCs w:val="24"/>
        </w:rPr>
        <w:t>1.3“投标标的”为服务的：“规格”项下应填写服务提供者提供的服务标准及品牌（若有）。“来源地”应填写服务提供者的所在地。“备注”项下应填写关于服务标准所涵盖的具体项目或内容的说明等。</w:t>
      </w:r>
    </w:p>
    <w:p w14:paraId="7B2E3E90">
      <w:pPr>
        <w:pStyle w:val="6"/>
        <w:keepNext w:val="0"/>
        <w:keepLines w:val="0"/>
        <w:pageBreakBefore w:val="0"/>
        <w:kinsoku/>
        <w:wordWrap/>
        <w:overflowPunct/>
        <w:topLinePunct w:val="0"/>
        <w:autoSpaceDE/>
        <w:autoSpaceDN/>
        <w:bidi w:val="0"/>
        <w:adjustRightInd/>
        <w:snapToGrid/>
        <w:spacing w:line="500" w:lineRule="exact"/>
        <w:ind w:firstLine="480"/>
        <w:jc w:val="left"/>
        <w:textAlignment w:val="auto"/>
        <w:rPr>
          <w:rFonts w:hint="eastAsia" w:ascii="宋体" w:hAnsi="宋体" w:eastAsia="宋体" w:cs="宋体"/>
          <w:sz w:val="24"/>
          <w:szCs w:val="24"/>
        </w:rPr>
      </w:pPr>
      <w:r>
        <w:rPr>
          <w:rFonts w:hint="eastAsia" w:ascii="宋体" w:hAnsi="宋体" w:eastAsia="宋体" w:cs="宋体"/>
          <w:sz w:val="24"/>
          <w:szCs w:val="24"/>
        </w:rPr>
        <w:t>2、投标人需要说明的内容若需特殊表达，应先在本表中进行相应说明，再另页应答，但应做好标注说明，方便评委查阅评审。未标注说明可能导致的不利的评审后果由投标人自行承担。</w:t>
      </w:r>
    </w:p>
    <w:p w14:paraId="0C3456A6">
      <w:pPr>
        <w:pStyle w:val="6"/>
        <w:keepNext w:val="0"/>
        <w:keepLines w:val="0"/>
        <w:pageBreakBefore w:val="0"/>
        <w:kinsoku/>
        <w:wordWrap/>
        <w:overflowPunct/>
        <w:topLinePunct w:val="0"/>
        <w:autoSpaceDE/>
        <w:autoSpaceDN/>
        <w:bidi w:val="0"/>
        <w:adjustRightInd/>
        <w:snapToGrid/>
        <w:spacing w:line="500" w:lineRule="exact"/>
        <w:ind w:firstLine="480"/>
        <w:jc w:val="left"/>
        <w:textAlignment w:val="auto"/>
        <w:rPr>
          <w:rFonts w:hint="eastAsia" w:ascii="宋体" w:hAnsi="宋体" w:eastAsia="宋体" w:cs="宋体"/>
          <w:sz w:val="24"/>
          <w:szCs w:val="24"/>
        </w:rPr>
      </w:pPr>
      <w:r>
        <w:rPr>
          <w:rFonts w:hint="eastAsia" w:ascii="宋体" w:hAnsi="宋体" w:eastAsia="宋体" w:cs="宋体"/>
          <w:sz w:val="24"/>
          <w:szCs w:val="24"/>
        </w:rPr>
        <w:t>3、电子投标文件中涉及“投标标的”、“数量”、“规格”、“来源地”的内容若不一致，以投标客户端的投标（响应）报价明细表为准。</w:t>
      </w:r>
    </w:p>
    <w:p w14:paraId="419E41A8">
      <w:pPr>
        <w:pStyle w:val="6"/>
        <w:keepNext w:val="0"/>
        <w:keepLines w:val="0"/>
        <w:pageBreakBefore w:val="0"/>
        <w:kinsoku/>
        <w:wordWrap/>
        <w:overflowPunct/>
        <w:topLinePunct w:val="0"/>
        <w:autoSpaceDE/>
        <w:autoSpaceDN/>
        <w:bidi w:val="0"/>
        <w:adjustRightInd/>
        <w:snapToGrid/>
        <w:spacing w:line="500" w:lineRule="exact"/>
        <w:ind w:firstLine="480"/>
        <w:jc w:val="right"/>
        <w:textAlignment w:val="auto"/>
        <w:rPr>
          <w:rFonts w:hint="eastAsia" w:ascii="宋体" w:hAnsi="宋体" w:eastAsia="宋体" w:cs="宋体"/>
          <w:sz w:val="24"/>
          <w:szCs w:val="24"/>
        </w:rPr>
      </w:pPr>
      <w:r>
        <w:rPr>
          <w:rFonts w:hint="eastAsia" w:ascii="宋体" w:hAnsi="宋体" w:eastAsia="宋体" w:cs="宋体"/>
          <w:sz w:val="24"/>
          <w:szCs w:val="24"/>
        </w:rPr>
        <w:t>投标人：</w:t>
      </w:r>
      <w:r>
        <w:rPr>
          <w:rFonts w:hint="eastAsia" w:ascii="宋体" w:hAnsi="宋体" w:eastAsia="宋体" w:cs="宋体"/>
          <w:sz w:val="24"/>
          <w:szCs w:val="24"/>
          <w:u w:val="single"/>
        </w:rPr>
        <w:t>（全称并加盖单位公章）</w:t>
      </w:r>
    </w:p>
    <w:p w14:paraId="5B067991">
      <w:pPr>
        <w:pStyle w:val="6"/>
        <w:keepNext w:val="0"/>
        <w:keepLines w:val="0"/>
        <w:pageBreakBefore w:val="0"/>
        <w:kinsoku/>
        <w:wordWrap/>
        <w:overflowPunct/>
        <w:topLinePunct w:val="0"/>
        <w:autoSpaceDE/>
        <w:autoSpaceDN/>
        <w:bidi w:val="0"/>
        <w:adjustRightInd/>
        <w:snapToGrid/>
        <w:spacing w:line="500" w:lineRule="exact"/>
        <w:ind w:firstLine="480"/>
        <w:jc w:val="right"/>
        <w:textAlignment w:val="auto"/>
        <w:rPr>
          <w:rFonts w:hint="eastAsia" w:ascii="宋体" w:hAnsi="宋体" w:eastAsia="宋体" w:cs="宋体"/>
          <w:sz w:val="24"/>
          <w:szCs w:val="24"/>
        </w:rPr>
      </w:pPr>
      <w:r>
        <w:rPr>
          <w:rFonts w:hint="eastAsia" w:ascii="宋体" w:hAnsi="宋体" w:eastAsia="宋体" w:cs="宋体"/>
          <w:sz w:val="24"/>
          <w:szCs w:val="24"/>
        </w:rPr>
        <w:t>日期：</w:t>
      </w:r>
      <w:r>
        <w:rPr>
          <w:rFonts w:hint="eastAsia" w:ascii="宋体" w:hAnsi="宋体" w:eastAsia="宋体" w:cs="宋体"/>
          <w:sz w:val="24"/>
          <w:szCs w:val="24"/>
          <w:u w:val="single"/>
        </w:rPr>
        <w:t>　　年　　月　　日</w:t>
      </w:r>
    </w:p>
    <w:p w14:paraId="3ABAB077">
      <w:pPr>
        <w:pStyle w:val="6"/>
        <w:keepNext w:val="0"/>
        <w:keepLines w:val="0"/>
        <w:pageBreakBefore w:val="0"/>
        <w:kinsoku/>
        <w:wordWrap/>
        <w:overflowPunct/>
        <w:topLinePunct w:val="0"/>
        <w:autoSpaceDE/>
        <w:autoSpaceDN/>
        <w:bidi w:val="0"/>
        <w:adjustRightInd/>
        <w:snapToGrid/>
        <w:spacing w:line="500" w:lineRule="exact"/>
        <w:textAlignment w:val="auto"/>
        <w:rPr>
          <w:rFonts w:hint="eastAsia" w:ascii="宋体" w:hAnsi="宋体" w:eastAsia="宋体" w:cs="宋体"/>
          <w:sz w:val="24"/>
          <w:szCs w:val="24"/>
        </w:rPr>
      </w:pPr>
      <w:r>
        <w:rPr>
          <w:rFonts w:hint="eastAsia" w:ascii="宋体" w:hAnsi="宋体" w:eastAsia="宋体" w:cs="宋体"/>
          <w:sz w:val="24"/>
          <w:szCs w:val="24"/>
        </w:rPr>
        <w:t xml:space="preserve"> </w:t>
      </w:r>
      <w:r>
        <w:rPr>
          <w:rFonts w:hint="eastAsia" w:ascii="宋体" w:hAnsi="宋体" w:eastAsia="宋体" w:cs="宋体"/>
          <w:sz w:val="24"/>
          <w:szCs w:val="24"/>
        </w:rPr>
        <w:br w:type="textWrapping"/>
      </w:r>
      <w:r>
        <w:rPr>
          <w:rFonts w:hint="eastAsia" w:ascii="宋体" w:hAnsi="宋体" w:eastAsia="宋体" w:cs="宋体"/>
          <w:sz w:val="24"/>
          <w:szCs w:val="24"/>
        </w:rPr>
        <w:br w:type="page"/>
      </w:r>
    </w:p>
    <w:p w14:paraId="67B63DEF">
      <w:pPr>
        <w:pStyle w:val="6"/>
        <w:keepNext w:val="0"/>
        <w:keepLines w:val="0"/>
        <w:pageBreakBefore w:val="0"/>
        <w:kinsoku/>
        <w:wordWrap/>
        <w:overflowPunct/>
        <w:topLinePunct w:val="0"/>
        <w:autoSpaceDE/>
        <w:autoSpaceDN/>
        <w:bidi w:val="0"/>
        <w:adjustRightInd/>
        <w:snapToGrid/>
        <w:spacing w:line="500" w:lineRule="exact"/>
        <w:jc w:val="center"/>
        <w:textAlignment w:val="auto"/>
        <w:outlineLvl w:val="2"/>
        <w:rPr>
          <w:rFonts w:hint="eastAsia" w:ascii="宋体" w:hAnsi="宋体" w:eastAsia="宋体" w:cs="宋体"/>
          <w:sz w:val="24"/>
          <w:szCs w:val="24"/>
        </w:rPr>
      </w:pPr>
      <w:r>
        <w:rPr>
          <w:rFonts w:hint="eastAsia" w:ascii="宋体" w:hAnsi="宋体" w:eastAsia="宋体" w:cs="宋体"/>
          <w:b/>
          <w:sz w:val="24"/>
          <w:szCs w:val="24"/>
        </w:rPr>
        <w:t>二、技术和服务要求响应表</w:t>
      </w:r>
    </w:p>
    <w:p w14:paraId="07CD6ACC">
      <w:pPr>
        <w:pStyle w:val="6"/>
        <w:keepNext w:val="0"/>
        <w:keepLines w:val="0"/>
        <w:pageBreakBefore w:val="0"/>
        <w:kinsoku/>
        <w:wordWrap/>
        <w:overflowPunct/>
        <w:topLinePunct w:val="0"/>
        <w:autoSpaceDE/>
        <w:autoSpaceDN/>
        <w:bidi w:val="0"/>
        <w:adjustRightInd/>
        <w:snapToGrid/>
        <w:spacing w:line="500" w:lineRule="exact"/>
        <w:ind w:firstLine="480"/>
        <w:jc w:val="left"/>
        <w:textAlignment w:val="auto"/>
        <w:rPr>
          <w:rFonts w:hint="eastAsia" w:ascii="宋体" w:hAnsi="宋体" w:eastAsia="宋体" w:cs="宋体"/>
          <w:sz w:val="24"/>
          <w:szCs w:val="24"/>
        </w:rPr>
      </w:pPr>
      <w:r>
        <w:rPr>
          <w:rFonts w:hint="eastAsia" w:ascii="宋体" w:hAnsi="宋体" w:eastAsia="宋体" w:cs="宋体"/>
          <w:sz w:val="24"/>
          <w:szCs w:val="24"/>
        </w:rPr>
        <w:t>项目编号：</w:t>
      </w:r>
      <w:r>
        <w:rPr>
          <w:rFonts w:hint="eastAsia" w:ascii="宋体" w:hAnsi="宋体" w:eastAsia="宋体" w:cs="宋体"/>
          <w:sz w:val="24"/>
          <w:szCs w:val="24"/>
          <w:u w:val="single"/>
        </w:rPr>
        <w:t>　　　　　　　　</w:t>
      </w:r>
    </w:p>
    <w:tbl>
      <w:tblPr>
        <w:tblStyle w:val="4"/>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661"/>
        <w:gridCol w:w="1661"/>
        <w:gridCol w:w="1661"/>
        <w:gridCol w:w="1661"/>
        <w:gridCol w:w="1661"/>
      </w:tblGrid>
      <w:tr w14:paraId="52ECDD1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1" w:type="dxa"/>
          </w:tcPr>
          <w:p w14:paraId="2613A1AA">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采购包</w:t>
            </w:r>
          </w:p>
        </w:tc>
        <w:tc>
          <w:tcPr>
            <w:tcW w:w="1661" w:type="dxa"/>
          </w:tcPr>
          <w:p w14:paraId="189437B7">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品目号</w:t>
            </w:r>
          </w:p>
        </w:tc>
        <w:tc>
          <w:tcPr>
            <w:tcW w:w="1661" w:type="dxa"/>
          </w:tcPr>
          <w:p w14:paraId="2664339D">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技术和服务要求</w:t>
            </w:r>
          </w:p>
        </w:tc>
        <w:tc>
          <w:tcPr>
            <w:tcW w:w="1661" w:type="dxa"/>
          </w:tcPr>
          <w:p w14:paraId="117BAFF3">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投标响应</w:t>
            </w:r>
          </w:p>
        </w:tc>
        <w:tc>
          <w:tcPr>
            <w:tcW w:w="1661" w:type="dxa"/>
          </w:tcPr>
          <w:p w14:paraId="29AC57EC">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是否偏离及说明</w:t>
            </w:r>
          </w:p>
        </w:tc>
      </w:tr>
      <w:tr w14:paraId="675AB1C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1" w:type="dxa"/>
            <w:vMerge w:val="restart"/>
          </w:tcPr>
          <w:p w14:paraId="2608968A">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w:t>
            </w:r>
          </w:p>
        </w:tc>
        <w:tc>
          <w:tcPr>
            <w:tcW w:w="1661" w:type="dxa"/>
          </w:tcPr>
          <w:p w14:paraId="412AF45F">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*-1</w:t>
            </w:r>
          </w:p>
        </w:tc>
        <w:tc>
          <w:tcPr>
            <w:tcW w:w="1661" w:type="dxa"/>
          </w:tcPr>
          <w:p w14:paraId="52159D06">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hAnsi="宋体" w:eastAsia="宋体" w:cs="宋体"/>
                <w:sz w:val="24"/>
                <w:szCs w:val="24"/>
              </w:rPr>
            </w:pPr>
          </w:p>
        </w:tc>
        <w:tc>
          <w:tcPr>
            <w:tcW w:w="1661" w:type="dxa"/>
          </w:tcPr>
          <w:p w14:paraId="121B8B01">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hAnsi="宋体" w:eastAsia="宋体" w:cs="宋体"/>
                <w:sz w:val="24"/>
                <w:szCs w:val="24"/>
              </w:rPr>
            </w:pPr>
          </w:p>
        </w:tc>
        <w:tc>
          <w:tcPr>
            <w:tcW w:w="1661" w:type="dxa"/>
          </w:tcPr>
          <w:p w14:paraId="40184F29">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hAnsi="宋体" w:eastAsia="宋体" w:cs="宋体"/>
                <w:sz w:val="24"/>
                <w:szCs w:val="24"/>
              </w:rPr>
            </w:pPr>
          </w:p>
        </w:tc>
      </w:tr>
      <w:tr w14:paraId="11CAB3D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1" w:type="dxa"/>
            <w:vMerge w:val="continue"/>
          </w:tcPr>
          <w:p w14:paraId="66CDA517">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hAnsi="宋体" w:eastAsia="宋体" w:cs="宋体"/>
                <w:sz w:val="24"/>
                <w:szCs w:val="24"/>
              </w:rPr>
            </w:pPr>
          </w:p>
        </w:tc>
        <w:tc>
          <w:tcPr>
            <w:tcW w:w="1661" w:type="dxa"/>
          </w:tcPr>
          <w:p w14:paraId="1FA906AC">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w:t>
            </w:r>
          </w:p>
        </w:tc>
        <w:tc>
          <w:tcPr>
            <w:tcW w:w="1661" w:type="dxa"/>
          </w:tcPr>
          <w:p w14:paraId="253B6EFE">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hAnsi="宋体" w:eastAsia="宋体" w:cs="宋体"/>
                <w:sz w:val="24"/>
                <w:szCs w:val="24"/>
              </w:rPr>
            </w:pPr>
          </w:p>
        </w:tc>
        <w:tc>
          <w:tcPr>
            <w:tcW w:w="1661" w:type="dxa"/>
          </w:tcPr>
          <w:p w14:paraId="79E06542">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hAnsi="宋体" w:eastAsia="宋体" w:cs="宋体"/>
                <w:sz w:val="24"/>
                <w:szCs w:val="24"/>
              </w:rPr>
            </w:pPr>
          </w:p>
        </w:tc>
        <w:tc>
          <w:tcPr>
            <w:tcW w:w="1661" w:type="dxa"/>
          </w:tcPr>
          <w:p w14:paraId="2BB443A4">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hAnsi="宋体" w:eastAsia="宋体" w:cs="宋体"/>
                <w:sz w:val="24"/>
                <w:szCs w:val="24"/>
              </w:rPr>
            </w:pPr>
          </w:p>
        </w:tc>
      </w:tr>
      <w:tr w14:paraId="405F063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1" w:type="dxa"/>
          </w:tcPr>
          <w:p w14:paraId="2363B61A">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w:t>
            </w:r>
          </w:p>
        </w:tc>
        <w:tc>
          <w:tcPr>
            <w:tcW w:w="1661" w:type="dxa"/>
          </w:tcPr>
          <w:p w14:paraId="7441A02E">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hAnsi="宋体" w:eastAsia="宋体" w:cs="宋体"/>
                <w:sz w:val="24"/>
                <w:szCs w:val="24"/>
              </w:rPr>
            </w:pPr>
          </w:p>
        </w:tc>
        <w:tc>
          <w:tcPr>
            <w:tcW w:w="1661" w:type="dxa"/>
          </w:tcPr>
          <w:p w14:paraId="682F879D">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hAnsi="宋体" w:eastAsia="宋体" w:cs="宋体"/>
                <w:sz w:val="24"/>
                <w:szCs w:val="24"/>
              </w:rPr>
            </w:pPr>
          </w:p>
        </w:tc>
        <w:tc>
          <w:tcPr>
            <w:tcW w:w="1661" w:type="dxa"/>
          </w:tcPr>
          <w:p w14:paraId="0F40FD27">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hAnsi="宋体" w:eastAsia="宋体" w:cs="宋体"/>
                <w:sz w:val="24"/>
                <w:szCs w:val="24"/>
              </w:rPr>
            </w:pPr>
          </w:p>
        </w:tc>
        <w:tc>
          <w:tcPr>
            <w:tcW w:w="1661" w:type="dxa"/>
          </w:tcPr>
          <w:p w14:paraId="1112F4EB">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hAnsi="宋体" w:eastAsia="宋体" w:cs="宋体"/>
                <w:sz w:val="24"/>
                <w:szCs w:val="24"/>
              </w:rPr>
            </w:pPr>
          </w:p>
        </w:tc>
      </w:tr>
    </w:tbl>
    <w:p w14:paraId="1D1DE910">
      <w:pPr>
        <w:pStyle w:val="6"/>
        <w:keepNext w:val="0"/>
        <w:keepLines w:val="0"/>
        <w:pageBreakBefore w:val="0"/>
        <w:kinsoku/>
        <w:wordWrap/>
        <w:overflowPunct/>
        <w:topLinePunct w:val="0"/>
        <w:autoSpaceDE/>
        <w:autoSpaceDN/>
        <w:bidi w:val="0"/>
        <w:adjustRightInd/>
        <w:snapToGrid/>
        <w:spacing w:line="500" w:lineRule="exact"/>
        <w:ind w:firstLine="480"/>
        <w:jc w:val="left"/>
        <w:textAlignment w:val="auto"/>
        <w:rPr>
          <w:rFonts w:hint="eastAsia" w:ascii="宋体" w:hAnsi="宋体" w:eastAsia="宋体" w:cs="宋体"/>
          <w:sz w:val="24"/>
          <w:szCs w:val="24"/>
        </w:rPr>
      </w:pPr>
      <w:r>
        <w:rPr>
          <w:rFonts w:hint="eastAsia" w:ascii="宋体" w:hAnsi="宋体" w:eastAsia="宋体" w:cs="宋体"/>
          <w:sz w:val="24"/>
          <w:szCs w:val="24"/>
        </w:rPr>
        <w:t>※注意：</w:t>
      </w:r>
    </w:p>
    <w:p w14:paraId="6A6EF629">
      <w:pPr>
        <w:pStyle w:val="6"/>
        <w:keepNext w:val="0"/>
        <w:keepLines w:val="0"/>
        <w:pageBreakBefore w:val="0"/>
        <w:kinsoku/>
        <w:wordWrap/>
        <w:overflowPunct/>
        <w:topLinePunct w:val="0"/>
        <w:autoSpaceDE/>
        <w:autoSpaceDN/>
        <w:bidi w:val="0"/>
        <w:adjustRightInd/>
        <w:snapToGrid/>
        <w:spacing w:line="500" w:lineRule="exact"/>
        <w:ind w:firstLine="480"/>
        <w:jc w:val="left"/>
        <w:textAlignment w:val="auto"/>
        <w:rPr>
          <w:rFonts w:hint="eastAsia" w:ascii="宋体" w:hAnsi="宋体" w:eastAsia="宋体" w:cs="宋体"/>
          <w:sz w:val="24"/>
          <w:szCs w:val="24"/>
        </w:rPr>
      </w:pPr>
      <w:r>
        <w:rPr>
          <w:rFonts w:hint="eastAsia" w:ascii="宋体" w:hAnsi="宋体" w:eastAsia="宋体" w:cs="宋体"/>
          <w:sz w:val="24"/>
          <w:szCs w:val="24"/>
        </w:rPr>
        <w:t>1、本表应按照下列规定填写：</w:t>
      </w:r>
    </w:p>
    <w:p w14:paraId="0106B504">
      <w:pPr>
        <w:pStyle w:val="6"/>
        <w:keepNext w:val="0"/>
        <w:keepLines w:val="0"/>
        <w:pageBreakBefore w:val="0"/>
        <w:kinsoku/>
        <w:wordWrap/>
        <w:overflowPunct/>
        <w:topLinePunct w:val="0"/>
        <w:autoSpaceDE/>
        <w:autoSpaceDN/>
        <w:bidi w:val="0"/>
        <w:adjustRightInd/>
        <w:snapToGrid/>
        <w:spacing w:line="500" w:lineRule="exact"/>
        <w:ind w:firstLine="480"/>
        <w:jc w:val="left"/>
        <w:textAlignment w:val="auto"/>
        <w:rPr>
          <w:rFonts w:hint="eastAsia" w:ascii="宋体" w:hAnsi="宋体" w:eastAsia="宋体" w:cs="宋体"/>
          <w:sz w:val="24"/>
          <w:szCs w:val="24"/>
        </w:rPr>
      </w:pPr>
      <w:r>
        <w:rPr>
          <w:rFonts w:hint="eastAsia" w:ascii="宋体" w:hAnsi="宋体" w:eastAsia="宋体" w:cs="宋体"/>
          <w:sz w:val="24"/>
          <w:szCs w:val="24"/>
        </w:rPr>
        <w:t>1.1“技术和服务要求”项下填写的内容应与招标文件第五章“技术和服务要求”的内容保持一致。</w:t>
      </w:r>
    </w:p>
    <w:p w14:paraId="6E68D79E">
      <w:pPr>
        <w:pStyle w:val="6"/>
        <w:keepNext w:val="0"/>
        <w:keepLines w:val="0"/>
        <w:pageBreakBefore w:val="0"/>
        <w:kinsoku/>
        <w:wordWrap/>
        <w:overflowPunct/>
        <w:topLinePunct w:val="0"/>
        <w:autoSpaceDE/>
        <w:autoSpaceDN/>
        <w:bidi w:val="0"/>
        <w:adjustRightInd/>
        <w:snapToGrid/>
        <w:spacing w:line="500" w:lineRule="exact"/>
        <w:ind w:firstLine="480"/>
        <w:jc w:val="left"/>
        <w:textAlignment w:val="auto"/>
        <w:rPr>
          <w:rFonts w:hint="eastAsia" w:ascii="宋体" w:hAnsi="宋体" w:eastAsia="宋体" w:cs="宋体"/>
          <w:sz w:val="24"/>
          <w:szCs w:val="24"/>
        </w:rPr>
      </w:pPr>
      <w:r>
        <w:rPr>
          <w:rFonts w:hint="eastAsia" w:ascii="宋体" w:hAnsi="宋体" w:eastAsia="宋体" w:cs="宋体"/>
          <w:sz w:val="24"/>
          <w:szCs w:val="24"/>
        </w:rPr>
        <w:t>1.2“投标响应”项下应填写具体的响应内容并与“技术和服务要求”项下填写的内容逐项对应；对招标文件“技术和服务要求”项下涉及“≥或＞”、“≤或＜”及某个区间值范围内的内容，投标响应应填写具体的数值，但技术指标只能以范围作响应的除外。</w:t>
      </w:r>
    </w:p>
    <w:p w14:paraId="48834537">
      <w:pPr>
        <w:pStyle w:val="6"/>
        <w:keepNext w:val="0"/>
        <w:keepLines w:val="0"/>
        <w:pageBreakBefore w:val="0"/>
        <w:kinsoku/>
        <w:wordWrap/>
        <w:overflowPunct/>
        <w:topLinePunct w:val="0"/>
        <w:autoSpaceDE/>
        <w:autoSpaceDN/>
        <w:bidi w:val="0"/>
        <w:adjustRightInd/>
        <w:snapToGrid/>
        <w:spacing w:line="500" w:lineRule="exact"/>
        <w:ind w:firstLine="480"/>
        <w:jc w:val="left"/>
        <w:textAlignment w:val="auto"/>
        <w:rPr>
          <w:rFonts w:hint="eastAsia" w:ascii="宋体" w:hAnsi="宋体" w:eastAsia="宋体" w:cs="宋体"/>
          <w:sz w:val="24"/>
          <w:szCs w:val="24"/>
        </w:rPr>
      </w:pPr>
      <w:r>
        <w:rPr>
          <w:rFonts w:hint="eastAsia" w:ascii="宋体" w:hAnsi="宋体" w:eastAsia="宋体" w:cs="宋体"/>
          <w:sz w:val="24"/>
          <w:szCs w:val="24"/>
        </w:rPr>
        <w:t>1.3“是否偏离及说明”项下应按下列规定填写：优于的，填写“正偏离”；符合的，填写“无偏离”；低于的，填写“负偏离”。</w:t>
      </w:r>
    </w:p>
    <w:p w14:paraId="4F90679B">
      <w:pPr>
        <w:pStyle w:val="6"/>
        <w:keepNext w:val="0"/>
        <w:keepLines w:val="0"/>
        <w:pageBreakBefore w:val="0"/>
        <w:kinsoku/>
        <w:wordWrap/>
        <w:overflowPunct/>
        <w:topLinePunct w:val="0"/>
        <w:autoSpaceDE/>
        <w:autoSpaceDN/>
        <w:bidi w:val="0"/>
        <w:adjustRightInd/>
        <w:snapToGrid/>
        <w:spacing w:line="500" w:lineRule="exact"/>
        <w:ind w:firstLine="480"/>
        <w:jc w:val="left"/>
        <w:textAlignment w:val="auto"/>
        <w:rPr>
          <w:rFonts w:hint="eastAsia" w:ascii="宋体" w:hAnsi="宋体" w:eastAsia="宋体" w:cs="宋体"/>
          <w:sz w:val="24"/>
          <w:szCs w:val="24"/>
        </w:rPr>
      </w:pPr>
      <w:r>
        <w:rPr>
          <w:rFonts w:hint="eastAsia" w:ascii="宋体" w:hAnsi="宋体" w:eastAsia="宋体" w:cs="宋体"/>
          <w:sz w:val="24"/>
          <w:szCs w:val="24"/>
        </w:rPr>
        <w:t>2、投标人需要说明的内容若需特殊表达，应先在本表中进行相应说明，再另页应答，但应做好标注说明，方便评委查阅评审。未标注说明可能导致的不利的评审后果由投标人自行承担。</w:t>
      </w:r>
    </w:p>
    <w:p w14:paraId="1BF99DC1">
      <w:pPr>
        <w:pStyle w:val="6"/>
        <w:keepNext w:val="0"/>
        <w:keepLines w:val="0"/>
        <w:pageBreakBefore w:val="0"/>
        <w:kinsoku/>
        <w:wordWrap/>
        <w:overflowPunct/>
        <w:topLinePunct w:val="0"/>
        <w:autoSpaceDE/>
        <w:autoSpaceDN/>
        <w:bidi w:val="0"/>
        <w:adjustRightInd/>
        <w:snapToGrid/>
        <w:spacing w:line="500" w:lineRule="exact"/>
        <w:ind w:firstLine="480"/>
        <w:jc w:val="right"/>
        <w:textAlignment w:val="auto"/>
        <w:rPr>
          <w:rFonts w:hint="eastAsia" w:ascii="宋体" w:hAnsi="宋体" w:eastAsia="宋体" w:cs="宋体"/>
          <w:sz w:val="24"/>
          <w:szCs w:val="24"/>
        </w:rPr>
      </w:pPr>
      <w:r>
        <w:rPr>
          <w:rFonts w:hint="eastAsia" w:ascii="宋体" w:hAnsi="宋体" w:eastAsia="宋体" w:cs="宋体"/>
          <w:sz w:val="24"/>
          <w:szCs w:val="24"/>
        </w:rPr>
        <w:t>投标人：</w:t>
      </w:r>
      <w:r>
        <w:rPr>
          <w:rFonts w:hint="eastAsia" w:ascii="宋体" w:hAnsi="宋体" w:eastAsia="宋体" w:cs="宋体"/>
          <w:sz w:val="24"/>
          <w:szCs w:val="24"/>
          <w:u w:val="single"/>
        </w:rPr>
        <w:t>（全称并加盖单位公章）</w:t>
      </w:r>
    </w:p>
    <w:p w14:paraId="10338277">
      <w:pPr>
        <w:pStyle w:val="6"/>
        <w:keepNext w:val="0"/>
        <w:keepLines w:val="0"/>
        <w:pageBreakBefore w:val="0"/>
        <w:kinsoku/>
        <w:wordWrap/>
        <w:overflowPunct/>
        <w:topLinePunct w:val="0"/>
        <w:autoSpaceDE/>
        <w:autoSpaceDN/>
        <w:bidi w:val="0"/>
        <w:adjustRightInd/>
        <w:snapToGrid/>
        <w:spacing w:line="500" w:lineRule="exact"/>
        <w:ind w:firstLine="480"/>
        <w:jc w:val="right"/>
        <w:textAlignment w:val="auto"/>
        <w:rPr>
          <w:rFonts w:hint="eastAsia" w:ascii="宋体" w:hAnsi="宋体" w:eastAsia="宋体" w:cs="宋体"/>
          <w:sz w:val="24"/>
          <w:szCs w:val="24"/>
        </w:rPr>
      </w:pPr>
      <w:r>
        <w:rPr>
          <w:rFonts w:hint="eastAsia" w:ascii="宋体" w:hAnsi="宋体" w:eastAsia="宋体" w:cs="宋体"/>
          <w:sz w:val="24"/>
          <w:szCs w:val="24"/>
        </w:rPr>
        <w:t>日期：</w:t>
      </w:r>
      <w:r>
        <w:rPr>
          <w:rFonts w:hint="eastAsia" w:ascii="宋体" w:hAnsi="宋体" w:eastAsia="宋体" w:cs="宋体"/>
          <w:sz w:val="24"/>
          <w:szCs w:val="24"/>
          <w:u w:val="single"/>
        </w:rPr>
        <w:t>　　年　　月　　日</w:t>
      </w:r>
    </w:p>
    <w:p w14:paraId="5C1CBC1E">
      <w:pPr>
        <w:pStyle w:val="6"/>
        <w:keepNext w:val="0"/>
        <w:keepLines w:val="0"/>
        <w:pageBreakBefore w:val="0"/>
        <w:kinsoku/>
        <w:wordWrap/>
        <w:overflowPunct/>
        <w:topLinePunct w:val="0"/>
        <w:autoSpaceDE/>
        <w:autoSpaceDN/>
        <w:bidi w:val="0"/>
        <w:adjustRightInd/>
        <w:snapToGrid/>
        <w:spacing w:line="500" w:lineRule="exact"/>
        <w:textAlignment w:val="auto"/>
        <w:rPr>
          <w:rFonts w:hint="eastAsia" w:ascii="宋体" w:hAnsi="宋体" w:eastAsia="宋体" w:cs="宋体"/>
          <w:sz w:val="24"/>
          <w:szCs w:val="24"/>
        </w:rPr>
      </w:pPr>
      <w:r>
        <w:rPr>
          <w:rFonts w:hint="eastAsia" w:ascii="宋体" w:hAnsi="宋体" w:eastAsia="宋体" w:cs="宋体"/>
          <w:sz w:val="24"/>
          <w:szCs w:val="24"/>
        </w:rPr>
        <w:t xml:space="preserve"> </w:t>
      </w:r>
      <w:r>
        <w:rPr>
          <w:rFonts w:hint="eastAsia" w:ascii="宋体" w:hAnsi="宋体" w:eastAsia="宋体" w:cs="宋体"/>
          <w:sz w:val="24"/>
          <w:szCs w:val="24"/>
        </w:rPr>
        <w:br w:type="textWrapping"/>
      </w:r>
      <w:r>
        <w:rPr>
          <w:rFonts w:hint="eastAsia" w:ascii="宋体" w:hAnsi="宋体" w:eastAsia="宋体" w:cs="宋体"/>
          <w:sz w:val="24"/>
          <w:szCs w:val="24"/>
        </w:rPr>
        <w:br w:type="page"/>
      </w:r>
    </w:p>
    <w:p w14:paraId="738FA2FA">
      <w:pPr>
        <w:pStyle w:val="6"/>
        <w:keepNext w:val="0"/>
        <w:keepLines w:val="0"/>
        <w:pageBreakBefore w:val="0"/>
        <w:kinsoku/>
        <w:wordWrap/>
        <w:overflowPunct/>
        <w:topLinePunct w:val="0"/>
        <w:autoSpaceDE/>
        <w:autoSpaceDN/>
        <w:bidi w:val="0"/>
        <w:adjustRightInd/>
        <w:snapToGrid/>
        <w:spacing w:line="500" w:lineRule="exact"/>
        <w:jc w:val="center"/>
        <w:textAlignment w:val="auto"/>
        <w:outlineLvl w:val="2"/>
        <w:rPr>
          <w:rFonts w:hint="eastAsia" w:ascii="宋体" w:hAnsi="宋体" w:eastAsia="宋体" w:cs="宋体"/>
          <w:sz w:val="24"/>
          <w:szCs w:val="24"/>
        </w:rPr>
      </w:pPr>
      <w:r>
        <w:rPr>
          <w:rFonts w:hint="eastAsia" w:ascii="宋体" w:hAnsi="宋体" w:eastAsia="宋体" w:cs="宋体"/>
          <w:b/>
          <w:sz w:val="24"/>
          <w:szCs w:val="24"/>
        </w:rPr>
        <w:t>三、商务条件响应表</w:t>
      </w:r>
    </w:p>
    <w:p w14:paraId="570C2C8A">
      <w:pPr>
        <w:pStyle w:val="6"/>
        <w:keepNext w:val="0"/>
        <w:keepLines w:val="0"/>
        <w:pageBreakBefore w:val="0"/>
        <w:kinsoku/>
        <w:wordWrap/>
        <w:overflowPunct/>
        <w:topLinePunct w:val="0"/>
        <w:autoSpaceDE/>
        <w:autoSpaceDN/>
        <w:bidi w:val="0"/>
        <w:adjustRightInd/>
        <w:snapToGrid/>
        <w:spacing w:line="500" w:lineRule="exact"/>
        <w:ind w:firstLine="480"/>
        <w:jc w:val="left"/>
        <w:textAlignment w:val="auto"/>
        <w:rPr>
          <w:rFonts w:hint="eastAsia" w:ascii="宋体" w:hAnsi="宋体" w:eastAsia="宋体" w:cs="宋体"/>
          <w:sz w:val="24"/>
          <w:szCs w:val="24"/>
        </w:rPr>
      </w:pPr>
      <w:r>
        <w:rPr>
          <w:rFonts w:hint="eastAsia" w:ascii="宋体" w:hAnsi="宋体" w:eastAsia="宋体" w:cs="宋体"/>
          <w:sz w:val="24"/>
          <w:szCs w:val="24"/>
        </w:rPr>
        <w:t>项目编号：</w:t>
      </w:r>
      <w:r>
        <w:rPr>
          <w:rFonts w:hint="eastAsia" w:ascii="宋体" w:hAnsi="宋体" w:eastAsia="宋体" w:cs="宋体"/>
          <w:sz w:val="24"/>
          <w:szCs w:val="24"/>
          <w:u w:val="single"/>
        </w:rPr>
        <w:t>　　　　　　　　</w:t>
      </w:r>
    </w:p>
    <w:tbl>
      <w:tblPr>
        <w:tblStyle w:val="4"/>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661"/>
        <w:gridCol w:w="1661"/>
        <w:gridCol w:w="1661"/>
        <w:gridCol w:w="1661"/>
        <w:gridCol w:w="1661"/>
      </w:tblGrid>
      <w:tr w14:paraId="790FECA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1" w:type="dxa"/>
          </w:tcPr>
          <w:p w14:paraId="6D4E13C5">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采购包</w:t>
            </w:r>
          </w:p>
        </w:tc>
        <w:tc>
          <w:tcPr>
            <w:tcW w:w="1661" w:type="dxa"/>
          </w:tcPr>
          <w:p w14:paraId="3A053CC7">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品目号</w:t>
            </w:r>
          </w:p>
        </w:tc>
        <w:tc>
          <w:tcPr>
            <w:tcW w:w="1661" w:type="dxa"/>
          </w:tcPr>
          <w:p w14:paraId="4C74F016">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商务条件</w:t>
            </w:r>
          </w:p>
        </w:tc>
        <w:tc>
          <w:tcPr>
            <w:tcW w:w="1661" w:type="dxa"/>
          </w:tcPr>
          <w:p w14:paraId="20613AC1">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投标响应</w:t>
            </w:r>
          </w:p>
        </w:tc>
        <w:tc>
          <w:tcPr>
            <w:tcW w:w="1661" w:type="dxa"/>
          </w:tcPr>
          <w:p w14:paraId="0BFA2A0E">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是否偏离及说明</w:t>
            </w:r>
          </w:p>
        </w:tc>
      </w:tr>
      <w:tr w14:paraId="370BA39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1" w:type="dxa"/>
            <w:vMerge w:val="restart"/>
          </w:tcPr>
          <w:p w14:paraId="2B6E4D99">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w:t>
            </w:r>
          </w:p>
        </w:tc>
        <w:tc>
          <w:tcPr>
            <w:tcW w:w="1661" w:type="dxa"/>
          </w:tcPr>
          <w:p w14:paraId="58B61E80">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*-1</w:t>
            </w:r>
          </w:p>
        </w:tc>
        <w:tc>
          <w:tcPr>
            <w:tcW w:w="1661" w:type="dxa"/>
          </w:tcPr>
          <w:p w14:paraId="169BD4ED">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hAnsi="宋体" w:eastAsia="宋体" w:cs="宋体"/>
                <w:sz w:val="24"/>
                <w:szCs w:val="24"/>
              </w:rPr>
            </w:pPr>
          </w:p>
        </w:tc>
        <w:tc>
          <w:tcPr>
            <w:tcW w:w="1661" w:type="dxa"/>
          </w:tcPr>
          <w:p w14:paraId="143E73B6">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hAnsi="宋体" w:eastAsia="宋体" w:cs="宋体"/>
                <w:sz w:val="24"/>
                <w:szCs w:val="24"/>
              </w:rPr>
            </w:pPr>
          </w:p>
        </w:tc>
        <w:tc>
          <w:tcPr>
            <w:tcW w:w="1661" w:type="dxa"/>
          </w:tcPr>
          <w:p w14:paraId="5649A0A2">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hAnsi="宋体" w:eastAsia="宋体" w:cs="宋体"/>
                <w:sz w:val="24"/>
                <w:szCs w:val="24"/>
              </w:rPr>
            </w:pPr>
          </w:p>
        </w:tc>
      </w:tr>
      <w:tr w14:paraId="2C1C370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1" w:type="dxa"/>
            <w:vMerge w:val="continue"/>
          </w:tcPr>
          <w:p w14:paraId="075CE760">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hAnsi="宋体" w:eastAsia="宋体" w:cs="宋体"/>
                <w:sz w:val="24"/>
                <w:szCs w:val="24"/>
              </w:rPr>
            </w:pPr>
          </w:p>
        </w:tc>
        <w:tc>
          <w:tcPr>
            <w:tcW w:w="1661" w:type="dxa"/>
          </w:tcPr>
          <w:p w14:paraId="12B5594C">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w:t>
            </w:r>
          </w:p>
        </w:tc>
        <w:tc>
          <w:tcPr>
            <w:tcW w:w="1661" w:type="dxa"/>
          </w:tcPr>
          <w:p w14:paraId="2EBDFEF5">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hAnsi="宋体" w:eastAsia="宋体" w:cs="宋体"/>
                <w:sz w:val="24"/>
                <w:szCs w:val="24"/>
              </w:rPr>
            </w:pPr>
          </w:p>
        </w:tc>
        <w:tc>
          <w:tcPr>
            <w:tcW w:w="1661" w:type="dxa"/>
          </w:tcPr>
          <w:p w14:paraId="3FB9A314">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hAnsi="宋体" w:eastAsia="宋体" w:cs="宋体"/>
                <w:sz w:val="24"/>
                <w:szCs w:val="24"/>
              </w:rPr>
            </w:pPr>
          </w:p>
        </w:tc>
        <w:tc>
          <w:tcPr>
            <w:tcW w:w="1661" w:type="dxa"/>
          </w:tcPr>
          <w:p w14:paraId="379D68D6">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hAnsi="宋体" w:eastAsia="宋体" w:cs="宋体"/>
                <w:sz w:val="24"/>
                <w:szCs w:val="24"/>
              </w:rPr>
            </w:pPr>
          </w:p>
        </w:tc>
      </w:tr>
      <w:tr w14:paraId="311DF54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1" w:type="dxa"/>
          </w:tcPr>
          <w:p w14:paraId="0FCCDED9">
            <w:pPr>
              <w:pStyle w:val="6"/>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w:t>
            </w:r>
          </w:p>
        </w:tc>
        <w:tc>
          <w:tcPr>
            <w:tcW w:w="1661" w:type="dxa"/>
          </w:tcPr>
          <w:p w14:paraId="70DFD32B">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hAnsi="宋体" w:eastAsia="宋体" w:cs="宋体"/>
                <w:sz w:val="24"/>
                <w:szCs w:val="24"/>
              </w:rPr>
            </w:pPr>
          </w:p>
        </w:tc>
        <w:tc>
          <w:tcPr>
            <w:tcW w:w="1661" w:type="dxa"/>
          </w:tcPr>
          <w:p w14:paraId="4EFFA760">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hAnsi="宋体" w:eastAsia="宋体" w:cs="宋体"/>
                <w:sz w:val="24"/>
                <w:szCs w:val="24"/>
              </w:rPr>
            </w:pPr>
          </w:p>
        </w:tc>
        <w:tc>
          <w:tcPr>
            <w:tcW w:w="1661" w:type="dxa"/>
          </w:tcPr>
          <w:p w14:paraId="745035D2">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hAnsi="宋体" w:eastAsia="宋体" w:cs="宋体"/>
                <w:sz w:val="24"/>
                <w:szCs w:val="24"/>
              </w:rPr>
            </w:pPr>
          </w:p>
        </w:tc>
        <w:tc>
          <w:tcPr>
            <w:tcW w:w="1661" w:type="dxa"/>
          </w:tcPr>
          <w:p w14:paraId="353D32B7">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hAnsi="宋体" w:eastAsia="宋体" w:cs="宋体"/>
                <w:sz w:val="24"/>
                <w:szCs w:val="24"/>
              </w:rPr>
            </w:pPr>
          </w:p>
        </w:tc>
      </w:tr>
    </w:tbl>
    <w:p w14:paraId="2A72A265">
      <w:pPr>
        <w:pStyle w:val="6"/>
        <w:keepNext w:val="0"/>
        <w:keepLines w:val="0"/>
        <w:pageBreakBefore w:val="0"/>
        <w:kinsoku/>
        <w:wordWrap/>
        <w:overflowPunct/>
        <w:topLinePunct w:val="0"/>
        <w:autoSpaceDE/>
        <w:autoSpaceDN/>
        <w:bidi w:val="0"/>
        <w:adjustRightInd/>
        <w:snapToGrid/>
        <w:spacing w:line="500" w:lineRule="exact"/>
        <w:ind w:firstLine="480"/>
        <w:jc w:val="left"/>
        <w:textAlignment w:val="auto"/>
        <w:rPr>
          <w:rFonts w:hint="eastAsia" w:ascii="宋体" w:hAnsi="宋体" w:eastAsia="宋体" w:cs="宋体"/>
          <w:sz w:val="24"/>
          <w:szCs w:val="24"/>
        </w:rPr>
      </w:pPr>
      <w:r>
        <w:rPr>
          <w:rFonts w:hint="eastAsia" w:ascii="宋体" w:hAnsi="宋体" w:eastAsia="宋体" w:cs="宋体"/>
          <w:sz w:val="24"/>
          <w:szCs w:val="24"/>
        </w:rPr>
        <w:t>※注意：</w:t>
      </w:r>
    </w:p>
    <w:p w14:paraId="674DE12C">
      <w:pPr>
        <w:pStyle w:val="6"/>
        <w:keepNext w:val="0"/>
        <w:keepLines w:val="0"/>
        <w:pageBreakBefore w:val="0"/>
        <w:kinsoku/>
        <w:wordWrap/>
        <w:overflowPunct/>
        <w:topLinePunct w:val="0"/>
        <w:autoSpaceDE/>
        <w:autoSpaceDN/>
        <w:bidi w:val="0"/>
        <w:adjustRightInd/>
        <w:snapToGrid/>
        <w:spacing w:line="500" w:lineRule="exact"/>
        <w:ind w:firstLine="480"/>
        <w:jc w:val="left"/>
        <w:textAlignment w:val="auto"/>
        <w:rPr>
          <w:rFonts w:hint="eastAsia" w:ascii="宋体" w:hAnsi="宋体" w:eastAsia="宋体" w:cs="宋体"/>
          <w:sz w:val="24"/>
          <w:szCs w:val="24"/>
        </w:rPr>
      </w:pPr>
      <w:r>
        <w:rPr>
          <w:rFonts w:hint="eastAsia" w:ascii="宋体" w:hAnsi="宋体" w:eastAsia="宋体" w:cs="宋体"/>
          <w:sz w:val="24"/>
          <w:szCs w:val="24"/>
        </w:rPr>
        <w:t>1、本表应按照下列规定填写：</w:t>
      </w:r>
    </w:p>
    <w:p w14:paraId="6CF515A0">
      <w:pPr>
        <w:pStyle w:val="6"/>
        <w:keepNext w:val="0"/>
        <w:keepLines w:val="0"/>
        <w:pageBreakBefore w:val="0"/>
        <w:kinsoku/>
        <w:wordWrap/>
        <w:overflowPunct/>
        <w:topLinePunct w:val="0"/>
        <w:autoSpaceDE/>
        <w:autoSpaceDN/>
        <w:bidi w:val="0"/>
        <w:adjustRightInd/>
        <w:snapToGrid/>
        <w:spacing w:line="500" w:lineRule="exact"/>
        <w:ind w:firstLine="480"/>
        <w:jc w:val="left"/>
        <w:textAlignment w:val="auto"/>
        <w:rPr>
          <w:rFonts w:hint="eastAsia" w:ascii="宋体" w:hAnsi="宋体" w:eastAsia="宋体" w:cs="宋体"/>
          <w:sz w:val="24"/>
          <w:szCs w:val="24"/>
        </w:rPr>
      </w:pPr>
      <w:r>
        <w:rPr>
          <w:rFonts w:hint="eastAsia" w:ascii="宋体" w:hAnsi="宋体" w:eastAsia="宋体" w:cs="宋体"/>
          <w:sz w:val="24"/>
          <w:szCs w:val="24"/>
        </w:rPr>
        <w:t>1.1“商务条件”项下填写的内容应与招标文件第五章“商务条件”的内容保持一致。</w:t>
      </w:r>
    </w:p>
    <w:p w14:paraId="2350A451">
      <w:pPr>
        <w:pStyle w:val="6"/>
        <w:keepNext w:val="0"/>
        <w:keepLines w:val="0"/>
        <w:pageBreakBefore w:val="0"/>
        <w:kinsoku/>
        <w:wordWrap/>
        <w:overflowPunct/>
        <w:topLinePunct w:val="0"/>
        <w:autoSpaceDE/>
        <w:autoSpaceDN/>
        <w:bidi w:val="0"/>
        <w:adjustRightInd/>
        <w:snapToGrid/>
        <w:spacing w:line="500" w:lineRule="exact"/>
        <w:ind w:firstLine="480"/>
        <w:jc w:val="left"/>
        <w:textAlignment w:val="auto"/>
        <w:rPr>
          <w:rFonts w:hint="eastAsia" w:ascii="宋体" w:hAnsi="宋体" w:eastAsia="宋体" w:cs="宋体"/>
          <w:sz w:val="24"/>
          <w:szCs w:val="24"/>
        </w:rPr>
      </w:pPr>
      <w:r>
        <w:rPr>
          <w:rFonts w:hint="eastAsia" w:ascii="宋体" w:hAnsi="宋体" w:eastAsia="宋体" w:cs="宋体"/>
          <w:sz w:val="24"/>
          <w:szCs w:val="24"/>
        </w:rPr>
        <w:t>1.2“投标响应”项下应填写具体的响应内容并与“商务条件”项下填写的内容逐项对应；对“商务条件”项下涉及“≥或＞”、“≤或＜”及某个区间值范围内的内容，应填写具体的数值。</w:t>
      </w:r>
    </w:p>
    <w:p w14:paraId="3E726025">
      <w:pPr>
        <w:pStyle w:val="6"/>
        <w:keepNext w:val="0"/>
        <w:keepLines w:val="0"/>
        <w:pageBreakBefore w:val="0"/>
        <w:kinsoku/>
        <w:wordWrap/>
        <w:overflowPunct/>
        <w:topLinePunct w:val="0"/>
        <w:autoSpaceDE/>
        <w:autoSpaceDN/>
        <w:bidi w:val="0"/>
        <w:adjustRightInd/>
        <w:snapToGrid/>
        <w:spacing w:line="500" w:lineRule="exact"/>
        <w:ind w:firstLine="480"/>
        <w:jc w:val="left"/>
        <w:textAlignment w:val="auto"/>
        <w:rPr>
          <w:rFonts w:hint="eastAsia" w:ascii="宋体" w:hAnsi="宋体" w:eastAsia="宋体" w:cs="宋体"/>
          <w:sz w:val="24"/>
          <w:szCs w:val="24"/>
        </w:rPr>
      </w:pPr>
      <w:r>
        <w:rPr>
          <w:rFonts w:hint="eastAsia" w:ascii="宋体" w:hAnsi="宋体" w:eastAsia="宋体" w:cs="宋体"/>
          <w:sz w:val="24"/>
          <w:szCs w:val="24"/>
        </w:rPr>
        <w:t>1.3“是否偏离及说明”项下应按下列规定填写：优于的，填写“正偏离”；符合的，填写“无偏离”；低于的，填写“负偏离”。</w:t>
      </w:r>
    </w:p>
    <w:p w14:paraId="0706AB98">
      <w:pPr>
        <w:pStyle w:val="6"/>
        <w:keepNext w:val="0"/>
        <w:keepLines w:val="0"/>
        <w:pageBreakBefore w:val="0"/>
        <w:kinsoku/>
        <w:wordWrap/>
        <w:overflowPunct/>
        <w:topLinePunct w:val="0"/>
        <w:autoSpaceDE/>
        <w:autoSpaceDN/>
        <w:bidi w:val="0"/>
        <w:adjustRightInd/>
        <w:snapToGrid/>
        <w:spacing w:line="500" w:lineRule="exact"/>
        <w:ind w:firstLine="480"/>
        <w:jc w:val="left"/>
        <w:textAlignment w:val="auto"/>
        <w:rPr>
          <w:rFonts w:hint="eastAsia" w:ascii="宋体" w:hAnsi="宋体" w:eastAsia="宋体" w:cs="宋体"/>
          <w:sz w:val="24"/>
          <w:szCs w:val="24"/>
        </w:rPr>
      </w:pPr>
      <w:r>
        <w:rPr>
          <w:rFonts w:hint="eastAsia" w:ascii="宋体" w:hAnsi="宋体" w:eastAsia="宋体" w:cs="宋体"/>
          <w:sz w:val="24"/>
          <w:szCs w:val="24"/>
        </w:rPr>
        <w:t>2、投标人需要说明的内容若需特殊表达，应先在本表中进行相应说明，再另页应答，但应做好标注说明，方便评委查阅评审。未标注说明可能导致的不利的评审后果由投标人自行承担。</w:t>
      </w:r>
    </w:p>
    <w:p w14:paraId="18373EEA">
      <w:pPr>
        <w:pStyle w:val="6"/>
        <w:keepNext w:val="0"/>
        <w:keepLines w:val="0"/>
        <w:pageBreakBefore w:val="0"/>
        <w:kinsoku/>
        <w:wordWrap/>
        <w:overflowPunct/>
        <w:topLinePunct w:val="0"/>
        <w:autoSpaceDE/>
        <w:autoSpaceDN/>
        <w:bidi w:val="0"/>
        <w:adjustRightInd/>
        <w:snapToGrid/>
        <w:spacing w:line="500" w:lineRule="exact"/>
        <w:ind w:firstLine="480"/>
        <w:jc w:val="right"/>
        <w:textAlignment w:val="auto"/>
        <w:rPr>
          <w:rFonts w:hint="eastAsia" w:ascii="宋体" w:hAnsi="宋体" w:eastAsia="宋体" w:cs="宋体"/>
          <w:sz w:val="24"/>
          <w:szCs w:val="24"/>
        </w:rPr>
      </w:pPr>
      <w:r>
        <w:rPr>
          <w:rFonts w:hint="eastAsia" w:ascii="宋体" w:hAnsi="宋体" w:eastAsia="宋体" w:cs="宋体"/>
          <w:sz w:val="24"/>
          <w:szCs w:val="24"/>
        </w:rPr>
        <w:t>投标人：</w:t>
      </w:r>
      <w:r>
        <w:rPr>
          <w:rFonts w:hint="eastAsia" w:ascii="宋体" w:hAnsi="宋体" w:eastAsia="宋体" w:cs="宋体"/>
          <w:sz w:val="24"/>
          <w:szCs w:val="24"/>
          <w:u w:val="single"/>
        </w:rPr>
        <w:t>（全称并加盖单位公章）</w:t>
      </w:r>
    </w:p>
    <w:p w14:paraId="21D189BD">
      <w:pPr>
        <w:pStyle w:val="6"/>
        <w:keepNext w:val="0"/>
        <w:keepLines w:val="0"/>
        <w:pageBreakBefore w:val="0"/>
        <w:kinsoku/>
        <w:wordWrap/>
        <w:overflowPunct/>
        <w:topLinePunct w:val="0"/>
        <w:autoSpaceDE/>
        <w:autoSpaceDN/>
        <w:bidi w:val="0"/>
        <w:adjustRightInd/>
        <w:snapToGrid/>
        <w:spacing w:line="500" w:lineRule="exact"/>
        <w:ind w:firstLine="480"/>
        <w:jc w:val="right"/>
        <w:textAlignment w:val="auto"/>
        <w:rPr>
          <w:rFonts w:hint="eastAsia" w:ascii="宋体" w:hAnsi="宋体" w:eastAsia="宋体" w:cs="宋体"/>
          <w:sz w:val="24"/>
          <w:szCs w:val="24"/>
        </w:rPr>
      </w:pPr>
      <w:r>
        <w:rPr>
          <w:rFonts w:hint="eastAsia" w:ascii="宋体" w:hAnsi="宋体" w:eastAsia="宋体" w:cs="宋体"/>
          <w:sz w:val="24"/>
          <w:szCs w:val="24"/>
        </w:rPr>
        <w:t>日期：</w:t>
      </w:r>
      <w:r>
        <w:rPr>
          <w:rFonts w:hint="eastAsia" w:ascii="宋体" w:hAnsi="宋体" w:eastAsia="宋体" w:cs="宋体"/>
          <w:sz w:val="24"/>
          <w:szCs w:val="24"/>
          <w:u w:val="single"/>
        </w:rPr>
        <w:t>　　年　　月　　日</w:t>
      </w:r>
    </w:p>
    <w:p w14:paraId="3C3A68F5">
      <w:pPr>
        <w:pStyle w:val="6"/>
        <w:keepNext w:val="0"/>
        <w:keepLines w:val="0"/>
        <w:pageBreakBefore w:val="0"/>
        <w:kinsoku/>
        <w:wordWrap/>
        <w:overflowPunct/>
        <w:topLinePunct w:val="0"/>
        <w:autoSpaceDE/>
        <w:autoSpaceDN/>
        <w:bidi w:val="0"/>
        <w:adjustRightInd/>
        <w:snapToGrid/>
        <w:spacing w:line="500" w:lineRule="exact"/>
        <w:textAlignment w:val="auto"/>
        <w:rPr>
          <w:rFonts w:hint="eastAsia" w:ascii="宋体" w:hAnsi="宋体" w:eastAsia="宋体" w:cs="宋体"/>
          <w:sz w:val="24"/>
          <w:szCs w:val="24"/>
        </w:rPr>
      </w:pPr>
      <w:r>
        <w:rPr>
          <w:rFonts w:hint="eastAsia" w:ascii="宋体" w:hAnsi="宋体" w:eastAsia="宋体" w:cs="宋体"/>
          <w:sz w:val="24"/>
          <w:szCs w:val="24"/>
        </w:rPr>
        <w:t xml:space="preserve"> </w:t>
      </w:r>
      <w:r>
        <w:rPr>
          <w:rFonts w:hint="eastAsia" w:ascii="宋体" w:hAnsi="宋体" w:eastAsia="宋体" w:cs="宋体"/>
          <w:sz w:val="24"/>
          <w:szCs w:val="24"/>
        </w:rPr>
        <w:br w:type="textWrapping"/>
      </w:r>
      <w:r>
        <w:rPr>
          <w:rFonts w:hint="eastAsia" w:ascii="宋体" w:hAnsi="宋体" w:eastAsia="宋体" w:cs="宋体"/>
          <w:sz w:val="24"/>
          <w:szCs w:val="24"/>
        </w:rPr>
        <w:br w:type="page"/>
      </w:r>
    </w:p>
    <w:p w14:paraId="61398432">
      <w:pPr>
        <w:pStyle w:val="6"/>
        <w:keepNext w:val="0"/>
        <w:keepLines w:val="0"/>
        <w:pageBreakBefore w:val="0"/>
        <w:kinsoku/>
        <w:wordWrap/>
        <w:overflowPunct/>
        <w:topLinePunct w:val="0"/>
        <w:autoSpaceDE/>
        <w:autoSpaceDN/>
        <w:bidi w:val="0"/>
        <w:adjustRightInd/>
        <w:snapToGrid/>
        <w:spacing w:line="500" w:lineRule="exact"/>
        <w:jc w:val="center"/>
        <w:textAlignment w:val="auto"/>
        <w:outlineLvl w:val="2"/>
        <w:rPr>
          <w:rFonts w:hint="eastAsia" w:ascii="宋体" w:hAnsi="宋体" w:eastAsia="宋体" w:cs="宋体"/>
          <w:sz w:val="24"/>
          <w:szCs w:val="24"/>
        </w:rPr>
      </w:pPr>
      <w:r>
        <w:rPr>
          <w:rFonts w:hint="eastAsia" w:ascii="宋体" w:hAnsi="宋体" w:eastAsia="宋体" w:cs="宋体"/>
          <w:b/>
          <w:sz w:val="24"/>
          <w:szCs w:val="24"/>
        </w:rPr>
        <w:t>四、投标人提交的其他资料（若有）</w:t>
      </w:r>
    </w:p>
    <w:p w14:paraId="4A47295B">
      <w:pPr>
        <w:pStyle w:val="6"/>
        <w:keepNext w:val="0"/>
        <w:keepLines w:val="0"/>
        <w:pageBreakBefore w:val="0"/>
        <w:kinsoku/>
        <w:wordWrap/>
        <w:overflowPunct/>
        <w:topLinePunct w:val="0"/>
        <w:autoSpaceDE/>
        <w:autoSpaceDN/>
        <w:bidi w:val="0"/>
        <w:adjustRightInd/>
        <w:snapToGrid/>
        <w:spacing w:line="500" w:lineRule="exact"/>
        <w:ind w:firstLine="480"/>
        <w:jc w:val="center"/>
        <w:textAlignment w:val="auto"/>
        <w:rPr>
          <w:rFonts w:hint="eastAsia" w:ascii="宋体" w:hAnsi="宋体" w:eastAsia="宋体" w:cs="宋体"/>
          <w:sz w:val="24"/>
          <w:szCs w:val="24"/>
        </w:rPr>
      </w:pPr>
      <w:r>
        <w:rPr>
          <w:rFonts w:hint="eastAsia" w:ascii="宋体" w:hAnsi="宋体" w:eastAsia="宋体" w:cs="宋体"/>
          <w:sz w:val="24"/>
          <w:szCs w:val="24"/>
        </w:rPr>
        <w:t>编制说明</w:t>
      </w:r>
    </w:p>
    <w:p w14:paraId="3D9256A7">
      <w:pPr>
        <w:pStyle w:val="6"/>
        <w:keepNext w:val="0"/>
        <w:keepLines w:val="0"/>
        <w:pageBreakBefore w:val="0"/>
        <w:kinsoku/>
        <w:wordWrap/>
        <w:overflowPunct/>
        <w:topLinePunct w:val="0"/>
        <w:autoSpaceDE/>
        <w:autoSpaceDN/>
        <w:bidi w:val="0"/>
        <w:adjustRightInd/>
        <w:snapToGrid/>
        <w:spacing w:line="500" w:lineRule="exact"/>
        <w:ind w:firstLine="480"/>
        <w:jc w:val="left"/>
        <w:textAlignment w:val="auto"/>
        <w:rPr>
          <w:rFonts w:hint="eastAsia" w:ascii="宋体" w:hAnsi="宋体" w:eastAsia="宋体" w:cs="宋体"/>
          <w:sz w:val="24"/>
          <w:szCs w:val="24"/>
        </w:rPr>
      </w:pPr>
      <w:r>
        <w:rPr>
          <w:rFonts w:hint="eastAsia" w:ascii="宋体" w:hAnsi="宋体" w:eastAsia="宋体" w:cs="宋体"/>
          <w:sz w:val="24"/>
          <w:szCs w:val="24"/>
        </w:rPr>
        <w:t>1、招标文件要求提交的除“资格及资信证明部分”、“报价部分”外的其他证明材料或资料加盖投标人的单位公章后应在此项下提交。</w:t>
      </w:r>
    </w:p>
    <w:p w14:paraId="499DF9FE">
      <w:pPr>
        <w:pStyle w:val="6"/>
        <w:keepNext w:val="0"/>
        <w:keepLines w:val="0"/>
        <w:pageBreakBefore w:val="0"/>
        <w:kinsoku/>
        <w:wordWrap/>
        <w:overflowPunct/>
        <w:topLinePunct w:val="0"/>
        <w:autoSpaceDE/>
        <w:autoSpaceDN/>
        <w:bidi w:val="0"/>
        <w:adjustRightInd/>
        <w:snapToGrid/>
        <w:spacing w:line="500" w:lineRule="exact"/>
        <w:ind w:firstLine="480"/>
        <w:jc w:val="left"/>
        <w:textAlignment w:val="auto"/>
        <w:rPr>
          <w:rFonts w:hint="eastAsia" w:ascii="宋体" w:hAnsi="宋体" w:eastAsia="宋体" w:cs="宋体"/>
          <w:sz w:val="24"/>
          <w:szCs w:val="24"/>
        </w:rPr>
      </w:pPr>
      <w:r>
        <w:rPr>
          <w:rFonts w:hint="eastAsia" w:ascii="宋体" w:hAnsi="宋体" w:eastAsia="宋体" w:cs="宋体"/>
          <w:sz w:val="24"/>
          <w:szCs w:val="24"/>
        </w:rPr>
        <w:t>2、招标文件要求投标人提供方案（包括但不限于：组织、实施、技术、服务方案等）的，投标人应在此项下提交。</w:t>
      </w:r>
    </w:p>
    <w:p w14:paraId="3BC791BA">
      <w:pPr>
        <w:pStyle w:val="6"/>
        <w:keepNext w:val="0"/>
        <w:keepLines w:val="0"/>
        <w:pageBreakBefore w:val="0"/>
        <w:kinsoku/>
        <w:wordWrap/>
        <w:overflowPunct/>
        <w:topLinePunct w:val="0"/>
        <w:autoSpaceDE/>
        <w:autoSpaceDN/>
        <w:bidi w:val="0"/>
        <w:adjustRightInd/>
        <w:snapToGrid/>
        <w:spacing w:line="500" w:lineRule="exact"/>
        <w:ind w:firstLine="480"/>
        <w:jc w:val="left"/>
        <w:textAlignment w:val="auto"/>
        <w:rPr>
          <w:rFonts w:hint="eastAsia" w:ascii="宋体" w:hAnsi="宋体" w:eastAsia="宋体" w:cs="宋体"/>
          <w:sz w:val="24"/>
          <w:szCs w:val="24"/>
        </w:rPr>
      </w:pPr>
      <w:r>
        <w:rPr>
          <w:rFonts w:hint="eastAsia" w:ascii="宋体" w:hAnsi="宋体" w:eastAsia="宋体" w:cs="宋体"/>
          <w:sz w:val="24"/>
          <w:szCs w:val="24"/>
        </w:rPr>
        <w:t>3、除招标文件另有规定外，投标人认为需要提交的其他证明材料或资料加盖投标人的单位公章后应在此项下提交。</w:t>
      </w:r>
    </w:p>
    <w:p w14:paraId="0F4B8D72">
      <w:pPr>
        <w:pStyle w:val="6"/>
        <w:keepNext w:val="0"/>
        <w:keepLines w:val="0"/>
        <w:pageBreakBefore w:val="0"/>
        <w:kinsoku/>
        <w:wordWrap/>
        <w:overflowPunct/>
        <w:topLinePunct w:val="0"/>
        <w:autoSpaceDE/>
        <w:autoSpaceDN/>
        <w:bidi w:val="0"/>
        <w:adjustRightInd/>
        <w:snapToGrid/>
        <w:spacing w:line="500" w:lineRule="exact"/>
        <w:textAlignment w:val="auto"/>
        <w:rPr>
          <w:rFonts w:hint="eastAsia" w:ascii="宋体" w:hAnsi="宋体" w:eastAsia="宋体" w:cs="宋体"/>
          <w:sz w:val="24"/>
          <w:szCs w:val="24"/>
          <w:lang w:val="en-US" w:eastAsia="zh-Hans"/>
        </w:rPr>
      </w:pP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495BC7">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F0AFE92">
                          <w:pPr>
                            <w:pStyle w:val="2"/>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5F0AFE92">
                    <w:pPr>
                      <w:pStyle w:val="2"/>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F092B84"/>
    <w:multiLevelType w:val="singleLevel"/>
    <w:tmpl w:val="CF092B84"/>
    <w:lvl w:ilvl="0" w:tentative="0">
      <w:start w:val="1"/>
      <w:numFmt w:val="decimal"/>
      <w:lvlText w:val="%1."/>
      <w:lvlJc w:val="left"/>
      <w:pPr>
        <w:ind w:left="0"/>
      </w:pPr>
    </w:lvl>
  </w:abstractNum>
  <w:abstractNum w:abstractNumId="1">
    <w:nsid w:val="0053208E"/>
    <w:multiLevelType w:val="singleLevel"/>
    <w:tmpl w:val="0053208E"/>
    <w:lvl w:ilvl="0" w:tentative="0">
      <w:start w:val="1"/>
      <w:numFmt w:val="bullet"/>
      <w:lvlText w:val=""/>
      <w:lvlJc w:val="left"/>
      <w:pPr>
        <w:ind w:left="0"/>
      </w:pPr>
      <w:rPr>
        <w:rFonts w:hint="default" w:ascii="Wingdings" w:hAnsi="Wingdings"/>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A0MTQwMTcxOWEwMDI2YWVhYWYyN2E0YjJiYzk5MjgifQ=="/>
  </w:docVars>
  <w:rsids>
    <w:rsidRoot w:val="53B52B8D"/>
    <w:rsid w:val="11DC1884"/>
    <w:rsid w:val="177F50ED"/>
    <w:rsid w:val="21A520FD"/>
    <w:rsid w:val="384F0C8B"/>
    <w:rsid w:val="53B52B8D"/>
    <w:rsid w:val="5C6862AC"/>
    <w:rsid w:val="5C9D6D88"/>
    <w:rsid w:val="60D145F8"/>
    <w:rsid w:val="6DC96C4D"/>
    <w:rsid w:val="77F79321"/>
    <w:rsid w:val="BBBF777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autoRedefine/>
    <w:semiHidden/>
    <w:qFormat/>
    <w:uiPriority w:val="0"/>
  </w:style>
  <w:style w:type="table" w:default="1" w:styleId="4">
    <w:name w:val="Normal Table"/>
    <w:autoRedefin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customStyle="1" w:styleId="6">
    <w:name w:val="null3"/>
    <w:hidden/>
    <w:qFormat/>
    <w:uiPriority w:val="0"/>
    <w:rPr>
      <w:rFonts w:hint="eastAsia" w:asciiTheme="minorHAnsi" w:hAnsiTheme="minorHAnsi" w:eastAsiaTheme="minorEastAsia" w:cstheme="minorBidi"/>
      <w:lang w:val="en-US" w:eastAsia="zh-Hans"/>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453</Pages>
  <Words>2017</Words>
  <Characters>2306</Characters>
  <Lines>0</Lines>
  <Paragraphs>0</Paragraphs>
  <TotalTime>6</TotalTime>
  <ScaleCrop>false</ScaleCrop>
  <LinksUpToDate>false</LinksUpToDate>
  <CharactersWithSpaces>2341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2022-04-08T19:57:00Z</dcterms:created>
  <dc:creator>administrator</dc:creator>
  <cp:lastModifiedBy>微生凉</cp:lastModifiedBy>
  <dcterms:modified xsi:type="dcterms:W3CDTF">2026-09-22T01:03:27Z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1DF11BE3B0614F7593793AC4C15C213C_12</vt:lpwstr>
  </property>
  <property fmtid="{D5CDD505-2E9C-101B-9397-08002B2CF9AE}" pid="4" name="KSOTemplateDocerSaveRecord">
    <vt:lpwstr>eyJoZGlkIjoiMDg3Y2QyYWNlODIxOWVkMzE2ZmE4ZDA5NDhlMzllOWUiLCJ1c2VySWQiOiIxOTc3OTY3OTUifQ==</vt:lpwstr>
  </property>
</Properties>
</file>