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customXml/itemProps1.xml" ContentType="application/vnd.openxmlformats-officedocument.customXmlPropertie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docProps/custom.xml" ContentType="application/vnd.openxmlformats-officedocument.custom-propertie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58C8FA1A">
      <w:pPr>
        <w:pStyle w:val="921"/>
        <w:pBdr/>
        <w:spacing/>
        <w:ind w:left="0"/>
        <w:rPr>
          <w:bCs w:val="0"/>
          <w:sz w:val="28"/>
          <w:szCs w:val="28"/>
        </w:rPr>
      </w:pPr>
      <w:r>
        <w:rPr>
          <w:rFonts w:hint="eastAsia"/>
          <w:bCs w:val="0"/>
          <w:sz w:val="28"/>
          <w:szCs w:val="28"/>
        </w:rPr>
        <w:t xml:space="preserve">附件：技术参数</w:t>
      </w:r>
      <w:r>
        <w:rPr>
          <w:bCs w:val="0"/>
          <w:sz w:val="28"/>
          <w:szCs w:val="28"/>
        </w:rPr>
      </w:r>
      <w:r>
        <w:rPr>
          <w:bCs w:val="0"/>
          <w:sz w:val="28"/>
          <w:szCs w:val="28"/>
        </w:rPr>
      </w:r>
    </w:p>
    <w:tbl>
      <w:tblPr>
        <w:tblStyle w:val="924"/>
        <w:tblInd w:w="0" w:type="dxa"/>
        <w:tblW w:w="9268" w:type="dxa"/>
        <w:tblCellMar>
          <w:left w:w="108" w:type="dxa"/>
          <w:top w:w="0" w:type="dxa"/>
          <w:right w:w="108" w:type="dxa"/>
          <w:bottom w:w="0" w:type="dxa"/>
        </w:tblCellMar>
        <w:tblBorders/>
        <w:tblLayout w:type="fixed"/>
        <w:tblpPr w:horzAnchor="margin" w:tblpXSpec="center" w:vertAnchor="text" w:tblpY="391" w:leftFromText="180" w:topFromText="0" w:rightFromText="180" w:bottomFromText="0"/>
        <w:tblLook w:val="04A0" w:firstRow="1" w:lastRow="0" w:firstColumn="1" w:lastColumn="0" w:noHBand="0" w:noVBand="1"/>
      </w:tblPr>
      <w:tblGrid>
        <w:gridCol w:w="673"/>
        <w:gridCol w:w="1069"/>
        <w:gridCol w:w="7526"/>
      </w:tblGrid>
      <w:tr>
        <w:trPr>
          <w:trHeight w:val="600"/>
        </w:trPr>
        <w:tc>
          <w:tcPr>
            <w:tcBorders>
              <w:top w:val="single" w:color="auto" w:sz="4" w:space="0"/>
              <w:left w:val="single" w:color="auto" w:sz="4" w:space="0"/>
              <w:bottom w:val="single" w:color="auto" w:sz="4" w:space="0"/>
              <w:right w:val="single" w:color="auto" w:sz="4" w:space="0"/>
            </w:tcBorders>
            <w:tcW w:w="673" w:type="dxa"/>
            <w:vAlign w:val="center"/>
            <w:textDirection w:val="lrTb"/>
            <w:noWrap w:val="false"/>
          </w:tcPr>
          <w:p w14:paraId="3CCFCA9A">
            <w:pPr>
              <w:widowControl w:val="true"/>
              <w:pBdr/>
              <w:spacing/>
              <w:ind/>
              <w:jc w:val="center"/>
              <w:rPr>
                <w:rFonts w:ascii="宋体" w:hAnsi="宋体" w:cs="宋体"/>
                <w:b/>
                <w:bCs/>
                <w:sz w:val="24"/>
              </w:rPr>
            </w:pPr>
            <w:r>
              <w:rPr>
                <w:rFonts w:hint="eastAsia" w:ascii="宋体" w:hAnsi="宋体" w:cs="宋体"/>
                <w:b/>
                <w:bCs/>
                <w:sz w:val="24"/>
              </w:rPr>
              <w:t xml:space="preserve">序号</w:t>
            </w:r>
            <w:r>
              <w:rPr>
                <w:rFonts w:ascii="宋体" w:hAnsi="宋体" w:cs="宋体"/>
                <w:b/>
                <w:bCs/>
                <w:sz w:val="24"/>
              </w:rPr>
            </w:r>
            <w:r>
              <w:rPr>
                <w:rFonts w:ascii="宋体" w:hAnsi="宋体" w:cs="宋体"/>
                <w:b/>
                <w:bCs/>
                <w:sz w:val="24"/>
              </w:rPr>
            </w:r>
          </w:p>
        </w:tc>
        <w:tc>
          <w:tcPr>
            <w:tcBorders>
              <w:top w:val="single" w:color="auto" w:sz="4" w:space="0"/>
              <w:left w:val="none" w:color="000000" w:sz="4" w:space="0"/>
              <w:bottom w:val="single" w:color="auto" w:sz="4" w:space="0"/>
              <w:right w:val="single" w:color="auto" w:sz="4" w:space="0"/>
            </w:tcBorders>
            <w:tcW w:w="1069" w:type="dxa"/>
            <w:vAlign w:val="center"/>
            <w:textDirection w:val="lrTb"/>
            <w:noWrap w:val="false"/>
          </w:tcPr>
          <w:p w14:paraId="049BE0BF">
            <w:pPr>
              <w:widowControl w:val="true"/>
              <w:pBdr/>
              <w:spacing/>
              <w:ind/>
              <w:jc w:val="center"/>
              <w:rPr>
                <w:rFonts w:ascii="宋体" w:hAnsi="宋体" w:cs="宋体"/>
                <w:b/>
                <w:bCs/>
                <w:sz w:val="24"/>
              </w:rPr>
            </w:pPr>
            <w:r>
              <w:rPr>
                <w:rFonts w:hint="eastAsia" w:ascii="宋体" w:hAnsi="宋体" w:cs="宋体"/>
                <w:b/>
                <w:bCs/>
                <w:sz w:val="24"/>
              </w:rPr>
              <w:t xml:space="preserve">设备名称</w:t>
            </w:r>
            <w:r>
              <w:rPr>
                <w:rFonts w:ascii="宋体" w:hAnsi="宋体" w:cs="宋体"/>
                <w:b/>
                <w:bCs/>
                <w:sz w:val="24"/>
              </w:rPr>
            </w:r>
            <w:r>
              <w:rPr>
                <w:rFonts w:ascii="宋体" w:hAnsi="宋体" w:cs="宋体"/>
                <w:b/>
                <w:bCs/>
                <w:sz w:val="24"/>
              </w:rPr>
            </w:r>
          </w:p>
        </w:tc>
        <w:tc>
          <w:tcPr>
            <w:tcBorders>
              <w:top w:val="single" w:color="auto" w:sz="4" w:space="0"/>
              <w:left w:val="none" w:color="000000" w:sz="4" w:space="0"/>
              <w:bottom w:val="single" w:color="auto" w:sz="4" w:space="0"/>
              <w:right w:val="single" w:color="auto" w:sz="4" w:space="0"/>
            </w:tcBorders>
            <w:tcW w:w="7526" w:type="dxa"/>
            <w:vAlign w:val="center"/>
            <w:textDirection w:val="lrTb"/>
            <w:noWrap w:val="false"/>
          </w:tcPr>
          <w:p w14:paraId="00D29335">
            <w:pPr>
              <w:widowControl w:val="true"/>
              <w:pBdr/>
              <w:spacing/>
              <w:ind/>
              <w:jc w:val="center"/>
              <w:rPr>
                <w:rFonts w:ascii="宋体" w:hAnsi="宋体" w:cs="宋体"/>
                <w:b/>
                <w:bCs/>
                <w:sz w:val="24"/>
              </w:rPr>
            </w:pPr>
            <w:r>
              <w:rPr>
                <w:rFonts w:hint="eastAsia" w:ascii="宋体" w:hAnsi="宋体" w:cs="宋体"/>
                <w:b/>
                <w:bCs/>
                <w:sz w:val="24"/>
              </w:rPr>
              <w:t xml:space="preserve">规格参数</w:t>
            </w:r>
            <w:r>
              <w:rPr>
                <w:rFonts w:ascii="宋体" w:hAnsi="宋体" w:cs="宋体"/>
                <w:b/>
                <w:bCs/>
                <w:sz w:val="24"/>
              </w:rPr>
            </w:r>
            <w:r>
              <w:rPr>
                <w:rFonts w:ascii="宋体" w:hAnsi="宋体" w:cs="宋体"/>
                <w:b/>
                <w:bCs/>
                <w:sz w:val="24"/>
              </w:rPr>
            </w:r>
          </w:p>
        </w:tc>
      </w:tr>
      <w:tr>
        <w:trPr>
          <w:trHeight w:val="1030"/>
        </w:trPr>
        <w:tc>
          <w:tcPr>
            <w:shd w:val="clear" w:color="auto" w:fill="auto"/>
            <w:tcBorders>
              <w:top w:val="single" w:color="auto" w:sz="4" w:space="0"/>
              <w:left w:val="single" w:color="auto" w:sz="4" w:space="0"/>
              <w:bottom w:val="single" w:color="auto" w:sz="4" w:space="0"/>
              <w:right w:val="single" w:color="auto" w:sz="4" w:space="0"/>
            </w:tcBorders>
            <w:tcW w:w="673" w:type="dxa"/>
            <w:vAlign w:val="center"/>
            <w:textDirection w:val="lrTb"/>
            <w:noWrap w:val="false"/>
          </w:tcPr>
          <w:p w14:paraId="2CAD741D">
            <w:pPr>
              <w:widowControl w:val="true"/>
              <w:pBdr/>
              <w:spacing/>
              <w:ind/>
              <w:jc w:val="center"/>
              <w:rPr>
                <w:rFonts w:hint="eastAsia" w:ascii="宋体" w:hAnsi="宋体" w:eastAsia="宋体" w:cs="宋体"/>
                <w:sz w:val="24"/>
                <w:lang w:val="en-US" w:eastAsia="zh-CN"/>
              </w:rPr>
            </w:pPr>
            <w:r>
              <w:rPr>
                <w:rFonts w:hint="eastAsia" w:ascii="宋体" w:hAnsi="宋体" w:cs="宋体"/>
                <w:sz w:val="24"/>
                <w:lang w:val="en-US" w:eastAsia="zh-CN"/>
              </w:rPr>
              <w:t xml:space="preserve">1</w:t>
            </w:r>
            <w:r>
              <w:rPr>
                <w:rFonts w:hint="eastAsia" w:ascii="宋体" w:hAnsi="宋体" w:eastAsia="宋体" w:cs="宋体"/>
                <w:sz w:val="24"/>
                <w:lang w:val="en-US" w:eastAsia="zh-CN"/>
              </w:rPr>
            </w:r>
            <w:r>
              <w:rPr>
                <w:rFonts w:hint="eastAsia" w:ascii="宋体" w:hAnsi="宋体" w:eastAsia="宋体" w:cs="宋体"/>
                <w:sz w:val="24"/>
                <w:lang w:val="en-US" w:eastAsia="zh-CN"/>
              </w:rPr>
            </w:r>
          </w:p>
        </w:tc>
        <w:tc>
          <w:tcPr>
            <w:shd w:val="clear" w:color="000000" w:fill="ffffff"/>
            <w:tcBorders>
              <w:top w:val="single" w:color="auto" w:sz="4" w:space="0"/>
              <w:left w:val="single" w:color="auto" w:sz="4" w:space="0"/>
              <w:bottom w:val="single" w:color="auto" w:sz="4" w:space="0"/>
              <w:right w:val="single" w:color="auto" w:sz="4" w:space="0"/>
            </w:tcBorders>
            <w:tcW w:w="1069" w:type="dxa"/>
            <w:vAlign w:val="center"/>
            <w:textDirection w:val="lrTb"/>
            <w:noWrap w:val="false"/>
          </w:tcPr>
          <w:p w14:paraId="703DC1EA">
            <w:pPr>
              <w:keepNext w:val="false"/>
              <w:keepLines w:val="false"/>
              <w:pageBreakBefore w:val="false"/>
              <w:widowControl w:val="false"/>
              <w:pBdr/>
              <w:bidi w:val="false"/>
              <w:spacing w:line="312" w:lineRule="auto"/>
              <w:ind w:firstLine="0"/>
              <w:rPr>
                <w:rFonts w:hint="eastAsia" w:ascii="宋体" w:hAnsi="宋体" w:eastAsia="宋体" w:cs="宋体"/>
                <w:sz w:val="24"/>
                <w:szCs w:val="24"/>
                <w:highlight w:val="none"/>
                <w:lang w:val="en-US" w:eastAsia="zh-CN"/>
              </w:rPr>
            </w:pPr>
            <w:r>
              <w:rPr>
                <w:rFonts w:hint="eastAsia" w:ascii="宋体" w:hAnsi="宋体" w:eastAsia="宋体" w:cs="宋体"/>
                <w:sz w:val="24"/>
                <w:lang w:val="en-US" w:eastAsia="zh-CN"/>
              </w:rPr>
              <w:t xml:space="preserve">智能传感器实训装置</w:t>
            </w:r>
            <w:r>
              <w:rPr>
                <w:rFonts w:hint="eastAsia" w:ascii="宋体" w:hAnsi="宋体" w:eastAsia="宋体" w:cs="宋体"/>
                <w:sz w:val="24"/>
                <w:szCs w:val="24"/>
                <w:highlight w:val="none"/>
                <w:lang w:val="en-US" w:eastAsia="zh-CN"/>
              </w:rPr>
            </w:r>
            <w:r>
              <w:rPr>
                <w:rFonts w:hint="eastAsia" w:ascii="宋体" w:hAnsi="宋体" w:eastAsia="宋体" w:cs="宋体"/>
                <w:sz w:val="24"/>
                <w:szCs w:val="24"/>
                <w:highlight w:val="none"/>
                <w:lang w:val="en-US" w:eastAsia="zh-CN"/>
              </w:rPr>
            </w:r>
          </w:p>
        </w:tc>
        <w:tc>
          <w:tcPr>
            <w:shd w:val="clear" w:color="auto" w:fill="auto"/>
            <w:tcBorders>
              <w:top w:val="single" w:color="auto" w:sz="4" w:space="0"/>
              <w:left w:val="single" w:color="auto" w:sz="4" w:space="0"/>
              <w:bottom w:val="single" w:color="auto" w:sz="4" w:space="0"/>
              <w:right w:val="single" w:color="auto" w:sz="4" w:space="0"/>
            </w:tcBorders>
            <w:tcW w:w="7526" w:type="dxa"/>
            <w:vAlign w:val="center"/>
            <w:textDirection w:val="lrTb"/>
            <w:noWrap w:val="false"/>
          </w:tcPr>
          <w:p w14:paraId="6DEEDF64">
            <w:pPr>
              <w:keepNext w:val="false"/>
              <w:keepLines w:val="false"/>
              <w:pageBreakBefore w:val="false"/>
              <w:widowControl w:val="false"/>
              <w:pBdr/>
              <w:bidi w:val="false"/>
              <w:spacing w:line="304" w:lineRule="exact"/>
              <w:ind w:firstLine="0"/>
              <w:rPr>
                <w:rFonts w:hint="eastAsia" w:ascii="宋体" w:hAnsi="宋体" w:cs="宋体"/>
                <w:b/>
                <w:bCs/>
                <w:sz w:val="24"/>
                <w:szCs w:val="24"/>
                <w:highlight w:val="none"/>
                <w:lang w:val="en-US" w:eastAsia="zh-CN"/>
              </w:rPr>
            </w:pPr>
            <w:r>
              <w:rPr>
                <w:rFonts w:hint="eastAsia" w:ascii="宋体" w:hAnsi="宋体" w:cs="宋体"/>
                <w:b/>
                <w:bCs/>
                <w:sz w:val="24"/>
                <w:szCs w:val="24"/>
                <w:highlight w:val="none"/>
                <w:lang w:val="en-US" w:eastAsia="zh-CN"/>
              </w:rPr>
              <w:t xml:space="preserve">一、实训台技术参数</w:t>
            </w:r>
            <w:r>
              <w:rPr>
                <w:rFonts w:hint="eastAsia" w:ascii="宋体" w:hAnsi="宋体" w:cs="宋体"/>
                <w:b/>
                <w:bCs/>
                <w:sz w:val="24"/>
                <w:szCs w:val="24"/>
                <w:highlight w:val="none"/>
                <w:lang w:val="en-US" w:eastAsia="zh-CN"/>
              </w:rPr>
            </w:r>
            <w:r>
              <w:rPr>
                <w:rFonts w:hint="eastAsia" w:ascii="宋体" w:hAnsi="宋体" w:cs="宋体"/>
                <w:b/>
                <w:bCs/>
                <w:sz w:val="24"/>
                <w:szCs w:val="24"/>
                <w:highlight w:val="none"/>
                <w:lang w:val="en-US" w:eastAsia="zh-CN"/>
              </w:rPr>
            </w:r>
          </w:p>
          <w:p w14:paraId="33333E80">
            <w:pPr>
              <w:keepNext w:val="false"/>
              <w:keepLines w:val="false"/>
              <w:pageBreakBefore w:val="false"/>
              <w:widowControl w:val="false"/>
              <w:pBdr/>
              <w:bidi w:val="false"/>
              <w:spacing w:line="304" w:lineRule="exact"/>
              <w:ind w:firstLine="0"/>
              <w:rPr>
                <w:rFonts w:hint="default" w:ascii="宋体" w:hAnsi="宋体" w:eastAsia="宋体" w:cs="宋体"/>
                <w:sz w:val="24"/>
                <w:szCs w:val="24"/>
                <w:highlight w:val="none"/>
                <w:lang w:val="en-US" w:eastAsia="zh-CN"/>
              </w:rPr>
            </w:pPr>
            <w:r>
              <w:rPr>
                <w:rFonts w:hint="default" w:ascii="宋体" w:hAnsi="宋体" w:eastAsia="宋体" w:cs="宋体"/>
                <w:sz w:val="24"/>
                <w:szCs w:val="24"/>
                <w:highlight w:val="none"/>
                <w:lang w:val="en-US" w:eastAsia="zh-CN"/>
              </w:rPr>
              <w:t xml:space="preserve">1.交流电源：AC220±10﹪，50Hz；</w:t>
            </w:r>
            <w:r>
              <w:rPr>
                <w:rFonts w:hint="default" w:ascii="宋体" w:hAnsi="宋体" w:eastAsia="宋体" w:cs="宋体"/>
                <w:sz w:val="24"/>
                <w:szCs w:val="24"/>
                <w:highlight w:val="none"/>
                <w:lang w:val="en-US" w:eastAsia="zh-CN"/>
              </w:rPr>
            </w:r>
            <w:r>
              <w:rPr>
                <w:rFonts w:hint="default" w:ascii="宋体" w:hAnsi="宋体" w:eastAsia="宋体" w:cs="宋体"/>
                <w:sz w:val="24"/>
                <w:szCs w:val="24"/>
                <w:highlight w:val="none"/>
                <w:lang w:val="en-US" w:eastAsia="zh-CN"/>
              </w:rPr>
            </w:r>
          </w:p>
          <w:p w14:paraId="43AB9B45">
            <w:pPr>
              <w:keepNext w:val="false"/>
              <w:keepLines w:val="false"/>
              <w:pageBreakBefore w:val="false"/>
              <w:widowControl w:val="false"/>
              <w:pBdr/>
              <w:bidi w:val="false"/>
              <w:spacing w:line="304" w:lineRule="exact"/>
              <w:ind w:firstLine="0"/>
              <w:rPr>
                <w:rFonts w:hint="default" w:ascii="宋体" w:hAnsi="宋体" w:eastAsia="宋体" w:cs="宋体"/>
                <w:sz w:val="24"/>
                <w:szCs w:val="24"/>
                <w:highlight w:val="none"/>
                <w:lang w:val="en-US" w:eastAsia="zh-CN"/>
              </w:rPr>
            </w:pPr>
            <w:r>
              <w:rPr>
                <w:rFonts w:hint="default" w:ascii="宋体" w:hAnsi="宋体" w:eastAsia="宋体" w:cs="宋体"/>
                <w:sz w:val="24"/>
                <w:szCs w:val="24"/>
                <w:highlight w:val="none"/>
                <w:lang w:val="en-US" w:eastAsia="zh-CN"/>
              </w:rPr>
              <w:t xml:space="preserve">2.</w:t>
            </w:r>
            <w:r>
              <w:rPr>
                <w:rFonts w:hint="eastAsia" w:ascii="宋体" w:hAnsi="宋体" w:cs="宋体"/>
                <w:color w:val="auto"/>
                <w:sz w:val="24"/>
                <w:szCs w:val="24"/>
                <w:highlight w:val="none"/>
                <w:lang w:val="en-US" w:eastAsia="zh-CN"/>
              </w:rPr>
              <w:t xml:space="preserve">温</w:t>
            </w:r>
            <w:r>
              <w:rPr>
                <w:rFonts w:hint="default" w:ascii="宋体" w:hAnsi="宋体" w:eastAsia="宋体" w:cs="宋体"/>
                <w:sz w:val="24"/>
                <w:szCs w:val="24"/>
                <w:highlight w:val="none"/>
                <w:lang w:val="en-US" w:eastAsia="zh-CN"/>
              </w:rPr>
              <w:t xml:space="preserve">度：-10～40℃；环境</w:t>
            </w:r>
            <w:r>
              <w:rPr>
                <w:rFonts w:hint="default" w:ascii="宋体" w:hAnsi="宋体" w:eastAsia="宋体" w:cs="宋体"/>
                <w:color w:val="auto"/>
                <w:sz w:val="24"/>
                <w:szCs w:val="24"/>
                <w:highlight w:val="none"/>
                <w:lang w:val="en-US" w:eastAsia="zh-CN"/>
              </w:rPr>
              <w:t xml:space="preserve">湿</w:t>
            </w:r>
            <w:r>
              <w:rPr>
                <w:rFonts w:hint="default" w:ascii="宋体" w:hAnsi="宋体" w:eastAsia="宋体" w:cs="宋体"/>
                <w:sz w:val="24"/>
                <w:szCs w:val="24"/>
                <w:highlight w:val="none"/>
                <w:lang w:val="en-US" w:eastAsia="zh-CN"/>
              </w:rPr>
              <w:t xml:space="preserve">度：≤90﹪（25℃）；</w:t>
            </w:r>
            <w:r>
              <w:rPr>
                <w:rFonts w:hint="default" w:ascii="宋体" w:hAnsi="宋体" w:eastAsia="宋体" w:cs="宋体"/>
                <w:sz w:val="24"/>
                <w:szCs w:val="24"/>
                <w:highlight w:val="none"/>
                <w:lang w:val="en-US" w:eastAsia="zh-CN"/>
              </w:rPr>
            </w:r>
            <w:r>
              <w:rPr>
                <w:rFonts w:hint="default" w:ascii="宋体" w:hAnsi="宋体" w:eastAsia="宋体" w:cs="宋体"/>
                <w:sz w:val="24"/>
                <w:szCs w:val="24"/>
                <w:highlight w:val="none"/>
                <w:lang w:val="en-US" w:eastAsia="zh-CN"/>
              </w:rPr>
            </w:r>
          </w:p>
          <w:p w14:paraId="5CB2B34A">
            <w:pPr>
              <w:keepNext w:val="false"/>
              <w:keepLines w:val="false"/>
              <w:pageBreakBefore w:val="false"/>
              <w:widowControl w:val="false"/>
              <w:pBdr/>
              <w:bidi w:val="false"/>
              <w:spacing w:line="304" w:lineRule="exact"/>
              <w:ind w:firstLine="0"/>
              <w:rPr>
                <w:rFonts w:hint="default" w:ascii="宋体" w:hAnsi="宋体" w:eastAsia="宋体" w:cs="宋体"/>
                <w:sz w:val="24"/>
                <w:szCs w:val="24"/>
                <w:highlight w:val="none"/>
                <w:lang w:val="en-US" w:eastAsia="zh-CN"/>
              </w:rPr>
            </w:pPr>
            <w:r>
              <w:rPr>
                <w:rFonts w:hint="default" w:ascii="宋体" w:hAnsi="宋体" w:eastAsia="宋体" w:cs="宋体"/>
                <w:sz w:val="24"/>
                <w:szCs w:val="24"/>
                <w:highlight w:val="none"/>
                <w:lang w:val="en-US" w:eastAsia="zh-CN"/>
              </w:rPr>
              <w:t xml:space="preserve">3.参考外形尺寸：长×宽×高＝1600*750*1295mm，允许偏差＜5%</w:t>
            </w:r>
            <w:r>
              <w:rPr>
                <w:rFonts w:hint="default" w:ascii="宋体" w:hAnsi="宋体" w:eastAsia="宋体" w:cs="宋体"/>
                <w:sz w:val="24"/>
                <w:szCs w:val="24"/>
                <w:highlight w:val="none"/>
                <w:lang w:val="en-US" w:eastAsia="zh-CN"/>
              </w:rPr>
            </w:r>
            <w:r>
              <w:rPr>
                <w:rFonts w:hint="default" w:ascii="宋体" w:hAnsi="宋体" w:eastAsia="宋体" w:cs="宋体"/>
                <w:sz w:val="24"/>
                <w:szCs w:val="24"/>
                <w:highlight w:val="none"/>
                <w:lang w:val="en-US" w:eastAsia="zh-CN"/>
              </w:rPr>
            </w:r>
          </w:p>
          <w:p w14:paraId="70FDC787">
            <w:pPr>
              <w:keepNext w:val="false"/>
              <w:keepLines w:val="false"/>
              <w:pageBreakBefore w:val="false"/>
              <w:widowControl w:val="false"/>
              <w:pBdr/>
              <w:bidi w:val="false"/>
              <w:spacing w:line="304" w:lineRule="exact"/>
              <w:ind w:firstLine="0"/>
              <w:rPr>
                <w:rFonts w:hint="default" w:ascii="宋体" w:hAnsi="宋体" w:eastAsia="宋体" w:cs="宋体"/>
                <w:sz w:val="24"/>
                <w:szCs w:val="24"/>
                <w:highlight w:val="none"/>
                <w:lang w:val="en-US" w:eastAsia="zh-CN"/>
              </w:rPr>
            </w:pPr>
            <w:r>
              <w:rPr>
                <w:rFonts w:hint="default" w:ascii="宋体" w:hAnsi="宋体" w:eastAsia="宋体" w:cs="宋体"/>
                <w:sz w:val="24"/>
                <w:szCs w:val="24"/>
                <w:highlight w:val="none"/>
                <w:lang w:val="en-US" w:eastAsia="zh-CN"/>
              </w:rPr>
              <w:t xml:space="preserve">4.整机功耗：≤0.5KVA；</w:t>
            </w:r>
            <w:r>
              <w:rPr>
                <w:rFonts w:hint="default" w:ascii="宋体" w:hAnsi="宋体" w:eastAsia="宋体" w:cs="宋体"/>
                <w:sz w:val="24"/>
                <w:szCs w:val="24"/>
                <w:highlight w:val="none"/>
                <w:lang w:val="en-US" w:eastAsia="zh-CN"/>
              </w:rPr>
            </w:r>
            <w:r>
              <w:rPr>
                <w:rFonts w:hint="default" w:ascii="宋体" w:hAnsi="宋体" w:eastAsia="宋体" w:cs="宋体"/>
                <w:sz w:val="24"/>
                <w:szCs w:val="24"/>
                <w:highlight w:val="none"/>
                <w:lang w:val="en-US" w:eastAsia="zh-CN"/>
              </w:rPr>
            </w:r>
          </w:p>
          <w:p w14:paraId="447C8831">
            <w:pPr>
              <w:keepNext w:val="false"/>
              <w:keepLines w:val="false"/>
              <w:pageBreakBefore w:val="false"/>
              <w:widowControl w:val="false"/>
              <w:pBdr/>
              <w:bidi w:val="false"/>
              <w:spacing w:line="304" w:lineRule="exact"/>
              <w:ind w:firstLine="0"/>
              <w:rPr>
                <w:rFonts w:hint="default" w:ascii="宋体" w:hAnsi="宋体" w:eastAsia="宋体" w:cs="宋体"/>
                <w:sz w:val="24"/>
                <w:szCs w:val="24"/>
                <w:highlight w:val="none"/>
                <w:lang w:val="en-US" w:eastAsia="zh-CN"/>
              </w:rPr>
            </w:pPr>
            <w:r>
              <w:rPr>
                <w:rFonts w:hint="default" w:ascii="宋体" w:hAnsi="宋体" w:eastAsia="宋体" w:cs="宋体"/>
                <w:sz w:val="24"/>
                <w:szCs w:val="24"/>
                <w:highlight w:val="none"/>
                <w:lang w:val="en-US" w:eastAsia="zh-CN"/>
              </w:rPr>
              <w:t xml:space="preserve">5.安全保护实施：具有接地保护、漏电保护功能、安全性符合相关的国家标准。采用高绝缘的安全型插座及带绝缘护套的高强度安全型实验导线。</w:t>
            </w:r>
            <w:r>
              <w:rPr>
                <w:rFonts w:hint="default" w:ascii="宋体" w:hAnsi="宋体" w:eastAsia="宋体" w:cs="宋体"/>
                <w:sz w:val="24"/>
                <w:szCs w:val="24"/>
                <w:highlight w:val="none"/>
                <w:lang w:val="en-US" w:eastAsia="zh-CN"/>
              </w:rPr>
            </w:r>
            <w:r>
              <w:rPr>
                <w:rFonts w:hint="default" w:ascii="宋体" w:hAnsi="宋体" w:eastAsia="宋体" w:cs="宋体"/>
                <w:sz w:val="24"/>
                <w:szCs w:val="24"/>
                <w:highlight w:val="none"/>
                <w:lang w:val="en-US" w:eastAsia="zh-CN"/>
              </w:rPr>
            </w:r>
          </w:p>
          <w:p w14:paraId="3FE3BD01">
            <w:pPr>
              <w:keepNext w:val="false"/>
              <w:keepLines w:val="false"/>
              <w:pageBreakBefore w:val="false"/>
              <w:widowControl w:val="false"/>
              <w:pBdr/>
              <w:bidi w:val="false"/>
              <w:spacing w:line="304" w:lineRule="exact"/>
              <w:ind w:firstLine="0"/>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 xml:space="preserve">6</w:t>
            </w:r>
            <w:r>
              <w:rPr>
                <w:rFonts w:hint="default" w:ascii="宋体" w:hAnsi="宋体" w:eastAsia="宋体" w:cs="宋体"/>
                <w:sz w:val="24"/>
                <w:szCs w:val="24"/>
                <w:highlight w:val="none"/>
                <w:lang w:val="en-US" w:eastAsia="zh-CN"/>
              </w:rPr>
              <w:t xml:space="preserve">.桌面为防火、防水、耐磨高密度板，结构坚固台面厚度约25mm，采用四个工业铝型材立柱为支撑，台面高度约800mm（±1），桌面板下设支撑框架，截面尺寸为40×40mm（±1）。</w:t>
            </w:r>
            <w:r>
              <w:rPr>
                <w:rFonts w:hint="default" w:ascii="宋体" w:hAnsi="宋体" w:eastAsia="宋体" w:cs="宋体"/>
                <w:sz w:val="24"/>
                <w:szCs w:val="24"/>
                <w:highlight w:val="none"/>
                <w:lang w:val="en-US" w:eastAsia="zh-CN"/>
              </w:rPr>
            </w:r>
            <w:r>
              <w:rPr>
                <w:rFonts w:hint="default" w:ascii="宋体" w:hAnsi="宋体" w:eastAsia="宋体" w:cs="宋体"/>
                <w:sz w:val="24"/>
                <w:szCs w:val="24"/>
                <w:highlight w:val="none"/>
                <w:lang w:val="en-US" w:eastAsia="zh-CN"/>
              </w:rPr>
            </w:r>
          </w:p>
          <w:p w14:paraId="4B730876">
            <w:pPr>
              <w:keepNext w:val="false"/>
              <w:keepLines w:val="false"/>
              <w:pageBreakBefore w:val="false"/>
              <w:widowControl w:val="false"/>
              <w:pBdr/>
              <w:bidi w:val="false"/>
              <w:spacing w:line="304" w:lineRule="exact"/>
              <w:ind w:firstLine="0"/>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 xml:space="preserve">7</w:t>
            </w:r>
            <w:r>
              <w:rPr>
                <w:rFonts w:hint="default" w:ascii="宋体" w:hAnsi="宋体" w:eastAsia="宋体" w:cs="宋体"/>
                <w:sz w:val="24"/>
                <w:szCs w:val="24"/>
                <w:highlight w:val="none"/>
                <w:lang w:val="en-US" w:eastAsia="zh-CN"/>
              </w:rPr>
              <w:t xml:space="preserve">.立柱采用工业铝型材成型工艺，表面氧化喷细沙处理，截面尺寸≥80×80mm，四面带槽，槽宽约8mm，端部配套塑料堵头，槽内适用工业铝型材通配螺母及配件。</w:t>
            </w:r>
            <w:r>
              <w:rPr>
                <w:rFonts w:hint="default" w:ascii="宋体" w:hAnsi="宋体" w:eastAsia="宋体" w:cs="宋体"/>
                <w:sz w:val="24"/>
                <w:szCs w:val="24"/>
                <w:highlight w:val="none"/>
                <w:lang w:val="en-US" w:eastAsia="zh-CN"/>
              </w:rPr>
            </w:r>
            <w:r>
              <w:rPr>
                <w:rFonts w:hint="default" w:ascii="宋体" w:hAnsi="宋体" w:eastAsia="宋体" w:cs="宋体"/>
                <w:sz w:val="24"/>
                <w:szCs w:val="24"/>
                <w:highlight w:val="none"/>
                <w:lang w:val="en-US" w:eastAsia="zh-CN"/>
              </w:rPr>
            </w:r>
          </w:p>
          <w:p w14:paraId="2DD0F811">
            <w:pPr>
              <w:keepNext w:val="false"/>
              <w:keepLines w:val="false"/>
              <w:pageBreakBefore w:val="false"/>
              <w:widowControl w:val="false"/>
              <w:pBdr/>
              <w:bidi w:val="false"/>
              <w:spacing w:line="304" w:lineRule="exact"/>
              <w:ind w:firstLine="0"/>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 xml:space="preserve">8</w:t>
            </w:r>
            <w:r>
              <w:rPr>
                <w:rFonts w:hint="default" w:ascii="宋体" w:hAnsi="宋体" w:eastAsia="宋体" w:cs="宋体"/>
                <w:sz w:val="24"/>
                <w:szCs w:val="24"/>
                <w:highlight w:val="none"/>
                <w:lang w:val="en-US" w:eastAsia="zh-CN"/>
              </w:rPr>
              <w:t xml:space="preserve">.下方装有四个带刹车的万向轮，可以随意固定和移动。桌子配有吊柜，该吊柜采用优质冷轧钢板焊接而成，表面静电喷塑</w:t>
            </w:r>
            <w:r>
              <w:rPr>
                <w:rFonts w:hint="eastAsia" w:ascii="宋体" w:hAnsi="宋体" w:cs="宋体"/>
                <w:sz w:val="24"/>
                <w:szCs w:val="24"/>
                <w:highlight w:val="none"/>
                <w:lang w:val="en-US" w:eastAsia="zh-CN"/>
              </w:rPr>
              <w:t xml:space="preserve">，</w:t>
            </w:r>
            <w:r>
              <w:rPr>
                <w:rFonts w:hint="default" w:ascii="宋体" w:hAnsi="宋体" w:eastAsia="宋体" w:cs="宋体"/>
                <w:sz w:val="24"/>
                <w:szCs w:val="24"/>
                <w:highlight w:val="none"/>
                <w:lang w:val="en-US" w:eastAsia="zh-CN"/>
              </w:rPr>
              <w:t xml:space="preserve">可用于存放实验模块。</w:t>
            </w:r>
            <w:r>
              <w:rPr>
                <w:rFonts w:hint="default" w:ascii="宋体" w:hAnsi="宋体" w:eastAsia="宋体" w:cs="宋体"/>
                <w:sz w:val="24"/>
                <w:szCs w:val="24"/>
                <w:highlight w:val="none"/>
                <w:lang w:val="en-US" w:eastAsia="zh-CN"/>
              </w:rPr>
            </w:r>
            <w:r>
              <w:rPr>
                <w:rFonts w:hint="default" w:ascii="宋体" w:hAnsi="宋体" w:eastAsia="宋体" w:cs="宋体"/>
                <w:sz w:val="24"/>
                <w:szCs w:val="24"/>
                <w:highlight w:val="none"/>
                <w:lang w:val="en-US" w:eastAsia="zh-CN"/>
              </w:rPr>
            </w:r>
          </w:p>
          <w:p w14:paraId="3BFE98E1">
            <w:pPr>
              <w:keepNext w:val="false"/>
              <w:keepLines w:val="false"/>
              <w:pageBreakBefore w:val="false"/>
              <w:widowControl w:val="false"/>
              <w:pBdr/>
              <w:bidi w:val="false"/>
              <w:spacing w:line="304" w:lineRule="exact"/>
              <w:ind w:firstLine="0"/>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 xml:space="preserve">9</w:t>
            </w:r>
            <w:r>
              <w:rPr>
                <w:rFonts w:hint="default" w:ascii="宋体" w:hAnsi="宋体" w:eastAsia="宋体" w:cs="宋体"/>
                <w:sz w:val="24"/>
                <w:szCs w:val="24"/>
                <w:highlight w:val="none"/>
                <w:lang w:val="en-US" w:eastAsia="zh-CN"/>
              </w:rPr>
              <w:t xml:space="preserve">.配有电脑主机托盘。</w:t>
            </w:r>
            <w:r>
              <w:rPr>
                <w:rFonts w:hint="default" w:ascii="宋体" w:hAnsi="宋体" w:eastAsia="宋体" w:cs="宋体"/>
                <w:sz w:val="24"/>
                <w:szCs w:val="24"/>
                <w:highlight w:val="none"/>
                <w:lang w:val="en-US" w:eastAsia="zh-CN"/>
              </w:rPr>
            </w:r>
            <w:r>
              <w:rPr>
                <w:rFonts w:hint="default" w:ascii="宋体" w:hAnsi="宋体" w:eastAsia="宋体" w:cs="宋体"/>
                <w:sz w:val="24"/>
                <w:szCs w:val="24"/>
                <w:highlight w:val="none"/>
                <w:lang w:val="en-US" w:eastAsia="zh-CN"/>
              </w:rPr>
            </w:r>
          </w:p>
          <w:p w14:paraId="60263A15">
            <w:pPr>
              <w:keepNext w:val="false"/>
              <w:keepLines w:val="false"/>
              <w:pageBreakBefore w:val="false"/>
              <w:widowControl w:val="false"/>
              <w:pBdr/>
              <w:bidi w:val="false"/>
              <w:spacing w:line="304" w:lineRule="exact"/>
              <w:ind w:firstLine="0"/>
              <w:rPr>
                <w:rFonts w:hint="eastAsia" w:ascii="宋体" w:hAnsi="宋体" w:cs="宋体"/>
                <w:b/>
                <w:bCs/>
                <w:sz w:val="24"/>
                <w:szCs w:val="24"/>
                <w:highlight w:val="none"/>
                <w:lang w:val="en-US" w:eastAsia="zh-CN"/>
              </w:rPr>
            </w:pPr>
            <w:r>
              <w:rPr>
                <w:rFonts w:hint="eastAsia" w:ascii="宋体" w:hAnsi="宋体" w:cs="宋体"/>
                <w:b/>
                <w:bCs/>
                <w:sz w:val="24"/>
                <w:szCs w:val="24"/>
                <w:highlight w:val="none"/>
                <w:lang w:val="en-US" w:eastAsia="zh-CN"/>
              </w:rPr>
              <w:t xml:space="preserve">二、</w:t>
            </w:r>
            <w:r>
              <w:rPr>
                <w:rFonts w:hint="default" w:ascii="宋体" w:hAnsi="宋体" w:eastAsia="宋体" w:cs="宋体"/>
                <w:b/>
                <w:bCs/>
                <w:sz w:val="24"/>
                <w:szCs w:val="24"/>
                <w:highlight w:val="none"/>
                <w:lang w:val="en-US" w:eastAsia="zh-CN"/>
              </w:rPr>
              <w:t xml:space="preserve">控制屏</w:t>
            </w:r>
            <w:r>
              <w:rPr>
                <w:rFonts w:hint="eastAsia" w:ascii="宋体" w:hAnsi="宋体" w:cs="宋体"/>
                <w:b/>
                <w:bCs/>
                <w:sz w:val="24"/>
                <w:szCs w:val="24"/>
                <w:highlight w:val="none"/>
                <w:lang w:val="en-US" w:eastAsia="zh-CN"/>
              </w:rPr>
              <w:t xml:space="preserve">技术参数</w:t>
            </w:r>
            <w:r>
              <w:rPr>
                <w:rFonts w:hint="eastAsia" w:ascii="宋体" w:hAnsi="宋体" w:cs="宋体"/>
                <w:b/>
                <w:bCs/>
                <w:sz w:val="24"/>
                <w:szCs w:val="24"/>
                <w:highlight w:val="none"/>
                <w:lang w:val="en-US" w:eastAsia="zh-CN"/>
              </w:rPr>
            </w:r>
            <w:r>
              <w:rPr>
                <w:rFonts w:hint="eastAsia" w:ascii="宋体" w:hAnsi="宋体" w:cs="宋体"/>
                <w:b/>
                <w:bCs/>
                <w:sz w:val="24"/>
                <w:szCs w:val="24"/>
                <w:highlight w:val="none"/>
                <w:lang w:val="en-US" w:eastAsia="zh-CN"/>
              </w:rPr>
            </w:r>
          </w:p>
          <w:p w14:paraId="6D214680">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1.直流稳压电源：+24V、±15V、±5V、±2～±10V分五档输出、2～24V可调，有短路保护功能；</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23C0FA8E">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2.信号发生器：1k～10kHz 音频信号；Vp-p=0～17V连续可调；</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27BF087C">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3.恒流源：0～20mA连续可调，最大输出电压12V；</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265E5F01">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4.电压表量程0～20V，输入阻抗为10MΩ，精度0.5级；</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26E906B2">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5.电流表量程0～20mA，精度0.5级，有内测外测功能；</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43915183">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6.频率/转速表：频率测量范围1～9999Hz，转速测量范围1～9999rpm；</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2871ECC0">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7.计时器：0～9999s，精确到0.1s；</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0C78B3CC">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8.高精度温度调节仪：多种输入输出规格，人工智能调节以及参数自整定功能，先进控制算法，温度控制精度±0.5℃</w:t>
            </w:r>
            <w:r>
              <w:rPr>
                <w:rFonts w:hint="eastAsia" w:ascii="宋体" w:hAnsi="宋体" w:cs="宋体"/>
                <w:sz w:val="24"/>
                <w:szCs w:val="24"/>
                <w:highlight w:val="none"/>
                <w:lang w:val="en-US" w:eastAsia="zh-CN"/>
              </w:rPr>
              <w:t xml:space="preserve">。</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115D4806">
            <w:pPr>
              <w:keepNext w:val="false"/>
              <w:keepLines w:val="false"/>
              <w:pageBreakBefore w:val="false"/>
              <w:widowControl w:val="false"/>
              <w:pBdr/>
              <w:bidi w:val="false"/>
              <w:spacing w:line="304" w:lineRule="exact"/>
              <w:ind w:firstLine="0"/>
              <w:rPr>
                <w:rFonts w:hint="eastAsia" w:ascii="宋体" w:hAnsi="宋体" w:cs="宋体"/>
                <w:b/>
                <w:bCs/>
                <w:sz w:val="24"/>
                <w:szCs w:val="24"/>
                <w:highlight w:val="none"/>
                <w:lang w:val="en-US" w:eastAsia="zh-CN"/>
              </w:rPr>
            </w:pPr>
            <w:r>
              <w:rPr>
                <w:rFonts w:hint="eastAsia" w:ascii="宋体" w:hAnsi="宋体" w:cs="宋体"/>
                <w:b/>
                <w:bCs/>
                <w:sz w:val="24"/>
                <w:szCs w:val="24"/>
                <w:highlight w:val="none"/>
                <w:lang w:val="en-US" w:eastAsia="zh-CN"/>
              </w:rPr>
              <w:t xml:space="preserve">三、</w:t>
            </w:r>
            <w:r>
              <w:rPr>
                <w:rFonts w:hint="default" w:ascii="宋体" w:hAnsi="宋体" w:cs="宋体"/>
                <w:b/>
                <w:bCs/>
                <w:sz w:val="24"/>
                <w:szCs w:val="24"/>
                <w:highlight w:val="none"/>
                <w:lang w:val="en-US" w:eastAsia="zh-CN"/>
              </w:rPr>
              <w:t xml:space="preserve">检测源</w:t>
            </w:r>
            <w:r>
              <w:rPr>
                <w:rFonts w:hint="eastAsia" w:ascii="宋体" w:hAnsi="宋体" w:cs="宋体"/>
                <w:b/>
                <w:bCs/>
                <w:sz w:val="24"/>
                <w:szCs w:val="24"/>
                <w:highlight w:val="none"/>
                <w:lang w:val="en-US" w:eastAsia="zh-CN"/>
              </w:rPr>
              <w:t xml:space="preserve">技术参数</w:t>
            </w:r>
            <w:r>
              <w:rPr>
                <w:rFonts w:hint="eastAsia" w:ascii="宋体" w:hAnsi="宋体" w:cs="宋体"/>
                <w:b/>
                <w:bCs/>
                <w:sz w:val="24"/>
                <w:szCs w:val="24"/>
                <w:highlight w:val="none"/>
                <w:lang w:val="en-US" w:eastAsia="zh-CN"/>
              </w:rPr>
            </w:r>
            <w:r>
              <w:rPr>
                <w:rFonts w:hint="eastAsia" w:ascii="宋体" w:hAnsi="宋体" w:cs="宋体"/>
                <w:b/>
                <w:bCs/>
                <w:sz w:val="24"/>
                <w:szCs w:val="24"/>
                <w:highlight w:val="none"/>
                <w:lang w:val="en-US" w:eastAsia="zh-CN"/>
              </w:rPr>
            </w:r>
          </w:p>
          <w:p w14:paraId="67BAD721">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1.温度源：0～220V交流电源加热，温度可控制在室温～200℃；</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0184CEE6">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2.转动源：2～24V直流电源驱动，转速可调在0～3000rpm；</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71C5F6F4">
            <w:pPr>
              <w:keepNext w:val="false"/>
              <w:keepLines w:val="false"/>
              <w:pageBreakBefore w:val="false"/>
              <w:widowControl w:val="false"/>
              <w:pBdr/>
              <w:bidi w:val="false"/>
              <w:spacing w:line="304" w:lineRule="exact"/>
              <w:ind w:firstLine="0"/>
              <w:rPr>
                <w:rFonts w:hint="eastAsia"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3.振动源：振动频率1Hz～30Hz（可调），共振频率12Hz左右</w:t>
            </w:r>
            <w:r>
              <w:rPr>
                <w:rFonts w:hint="eastAsia" w:ascii="宋体" w:hAnsi="宋体" w:cs="宋体"/>
                <w:sz w:val="24"/>
                <w:szCs w:val="24"/>
                <w:highlight w:val="none"/>
                <w:lang w:val="en-US" w:eastAsia="zh-CN"/>
              </w:rPr>
              <w:t xml:space="preserve">。</w:t>
            </w:r>
            <w:r>
              <w:rPr>
                <w:rFonts w:hint="eastAsia" w:ascii="宋体" w:hAnsi="宋体" w:cs="宋体"/>
                <w:sz w:val="24"/>
                <w:szCs w:val="24"/>
                <w:highlight w:val="none"/>
                <w:lang w:val="en-US" w:eastAsia="zh-CN"/>
              </w:rPr>
            </w:r>
            <w:r>
              <w:rPr>
                <w:rFonts w:hint="eastAsia" w:ascii="宋体" w:hAnsi="宋体" w:cs="宋体"/>
                <w:sz w:val="24"/>
                <w:szCs w:val="24"/>
                <w:highlight w:val="none"/>
                <w:lang w:val="en-US" w:eastAsia="zh-CN"/>
              </w:rPr>
            </w:r>
          </w:p>
          <w:p w14:paraId="718D58C5">
            <w:pPr>
              <w:keepNext w:val="false"/>
              <w:keepLines w:val="false"/>
              <w:pageBreakBefore w:val="false"/>
              <w:widowControl w:val="false"/>
              <w:pBdr/>
              <w:bidi w:val="false"/>
              <w:spacing w:line="304" w:lineRule="exact"/>
              <w:ind w:firstLine="0"/>
              <w:rPr>
                <w:rFonts w:hint="eastAsia" w:ascii="宋体" w:hAnsi="宋体" w:cs="宋体"/>
                <w:b/>
                <w:bCs/>
                <w:sz w:val="24"/>
                <w:szCs w:val="24"/>
                <w:highlight w:val="none"/>
                <w:lang w:val="en-US" w:eastAsia="zh-CN"/>
              </w:rPr>
            </w:pPr>
            <w:r>
              <w:rPr>
                <w:rFonts w:hint="eastAsia" w:ascii="宋体" w:hAnsi="宋体" w:cs="宋体"/>
                <w:b/>
                <w:bCs/>
                <w:sz w:val="24"/>
                <w:szCs w:val="24"/>
                <w:highlight w:val="none"/>
                <w:lang w:val="en-US" w:eastAsia="zh-CN"/>
              </w:rPr>
              <w:t xml:space="preserve">四、</w:t>
            </w:r>
            <w:r>
              <w:rPr>
                <w:rFonts w:hint="default" w:ascii="宋体" w:hAnsi="宋体" w:cs="宋体"/>
                <w:b/>
                <w:bCs/>
                <w:sz w:val="24"/>
                <w:szCs w:val="24"/>
                <w:highlight w:val="none"/>
                <w:lang w:val="en-US" w:eastAsia="zh-CN"/>
              </w:rPr>
              <w:t xml:space="preserve">传感器</w:t>
            </w:r>
            <w:r>
              <w:rPr>
                <w:rFonts w:hint="eastAsia" w:ascii="宋体" w:hAnsi="宋体" w:cs="宋体"/>
                <w:b/>
                <w:bCs/>
                <w:sz w:val="24"/>
                <w:szCs w:val="24"/>
                <w:highlight w:val="none"/>
                <w:lang w:val="en-US" w:eastAsia="zh-CN"/>
              </w:rPr>
              <w:t xml:space="preserve">技术参数</w:t>
            </w:r>
            <w:r>
              <w:rPr>
                <w:rFonts w:hint="eastAsia" w:ascii="宋体" w:hAnsi="宋体" w:cs="宋体"/>
                <w:b/>
                <w:bCs/>
                <w:sz w:val="24"/>
                <w:szCs w:val="24"/>
                <w:highlight w:val="none"/>
                <w:lang w:val="en-US" w:eastAsia="zh-CN"/>
              </w:rPr>
            </w:r>
            <w:r>
              <w:rPr>
                <w:rFonts w:hint="eastAsia" w:ascii="宋体" w:hAnsi="宋体" w:cs="宋体"/>
                <w:b/>
                <w:bCs/>
                <w:sz w:val="24"/>
                <w:szCs w:val="24"/>
                <w:highlight w:val="none"/>
                <w:lang w:val="en-US" w:eastAsia="zh-CN"/>
              </w:rPr>
            </w:r>
          </w:p>
          <w:p w14:paraId="6520C200">
            <w:pPr>
              <w:keepNext w:val="false"/>
              <w:keepLines w:val="false"/>
              <w:pageBreakBefore w:val="false"/>
              <w:widowControl w:val="false"/>
              <w:pBdr/>
              <w:bidi w:val="false"/>
              <w:spacing w:line="304" w:lineRule="exact"/>
              <w:ind w:firstLine="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传感器外壳采用透明有机玻璃与硬聚氯制作，内部装置各种精密传感器。每种传感器每个独立，配套一种调理电路模块，传感器与模块相互独立，传感器通过9芯注塑开模航空插座套件与其对应的调理电路模块连接。</w:t>
            </w:r>
            <w:r>
              <w:rPr>
                <w:rFonts w:hint="eastAsia" w:ascii="宋体" w:hAnsi="宋体" w:cs="宋体"/>
                <w:sz w:val="24"/>
                <w:szCs w:val="24"/>
                <w:highlight w:val="none"/>
                <w:lang w:val="en-US" w:eastAsia="zh-CN"/>
              </w:rPr>
            </w:r>
            <w:r>
              <w:rPr>
                <w:rFonts w:hint="eastAsia" w:ascii="宋体" w:hAnsi="宋体" w:cs="宋体"/>
                <w:sz w:val="24"/>
                <w:szCs w:val="24"/>
                <w:highlight w:val="none"/>
                <w:lang w:val="en-US" w:eastAsia="zh-CN"/>
              </w:rPr>
            </w:r>
          </w:p>
          <w:p w14:paraId="27F87CDC">
            <w:pPr>
              <w:keepNext w:val="false"/>
              <w:keepLines w:val="false"/>
              <w:pageBreakBefore w:val="false"/>
              <w:widowControl w:val="false"/>
              <w:pBdr/>
              <w:bidi w:val="false"/>
              <w:spacing w:line="304" w:lineRule="exact"/>
              <w:ind w:firstLine="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1.应变传感器：金属应变传感器，量程0～1kg，应变片阻值350Ω×4</w:t>
            </w:r>
            <w:r>
              <w:rPr>
                <w:rFonts w:hint="eastAsia" w:ascii="宋体" w:hAnsi="宋体" w:cs="宋体"/>
                <w:sz w:val="24"/>
                <w:szCs w:val="24"/>
                <w:highlight w:val="none"/>
                <w:lang w:val="en-US" w:eastAsia="zh-CN"/>
              </w:rPr>
            </w:r>
            <w:r>
              <w:rPr>
                <w:rFonts w:hint="eastAsia" w:ascii="宋体" w:hAnsi="宋体" w:cs="宋体"/>
                <w:sz w:val="24"/>
                <w:szCs w:val="24"/>
                <w:highlight w:val="none"/>
                <w:lang w:val="en-US" w:eastAsia="zh-CN"/>
              </w:rPr>
            </w:r>
          </w:p>
          <w:p w14:paraId="798389F8">
            <w:pPr>
              <w:keepNext w:val="false"/>
              <w:keepLines w:val="false"/>
              <w:pageBreakBefore w:val="false"/>
              <w:widowControl w:val="false"/>
              <w:pBdr/>
              <w:bidi w:val="false"/>
              <w:spacing w:line="304" w:lineRule="exact"/>
              <w:ind w:firstLine="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2.差动变压器：铁芯、初级线圈和次级线圈构成，量程≥5mm</w:t>
            </w:r>
            <w:r>
              <w:rPr>
                <w:rFonts w:hint="eastAsia" w:ascii="宋体" w:hAnsi="宋体" w:cs="宋体"/>
                <w:sz w:val="24"/>
                <w:szCs w:val="24"/>
                <w:highlight w:val="none"/>
                <w:lang w:val="en-US" w:eastAsia="zh-CN"/>
              </w:rPr>
            </w:r>
            <w:r>
              <w:rPr>
                <w:rFonts w:hint="eastAsia" w:ascii="宋体" w:hAnsi="宋体" w:cs="宋体"/>
                <w:sz w:val="24"/>
                <w:szCs w:val="24"/>
                <w:highlight w:val="none"/>
                <w:lang w:val="en-US" w:eastAsia="zh-CN"/>
              </w:rPr>
            </w:r>
          </w:p>
          <w:p w14:paraId="16B0BC85">
            <w:pPr>
              <w:keepNext w:val="false"/>
              <w:keepLines w:val="false"/>
              <w:pageBreakBefore w:val="false"/>
              <w:widowControl w:val="false"/>
              <w:pBdr/>
              <w:bidi w:val="false"/>
              <w:spacing w:line="304" w:lineRule="exact"/>
              <w:ind w:firstLine="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3.差动电容传感器：两组定片和一组动片构成，量程≥5mm</w:t>
            </w:r>
            <w:r>
              <w:rPr>
                <w:rFonts w:hint="eastAsia" w:ascii="宋体" w:hAnsi="宋体" w:cs="宋体"/>
                <w:sz w:val="24"/>
                <w:szCs w:val="24"/>
                <w:highlight w:val="none"/>
                <w:lang w:val="en-US" w:eastAsia="zh-CN"/>
              </w:rPr>
            </w:r>
            <w:r>
              <w:rPr>
                <w:rFonts w:hint="eastAsia" w:ascii="宋体" w:hAnsi="宋体" w:cs="宋体"/>
                <w:sz w:val="24"/>
                <w:szCs w:val="24"/>
                <w:highlight w:val="none"/>
                <w:lang w:val="en-US" w:eastAsia="zh-CN"/>
              </w:rPr>
            </w:r>
          </w:p>
          <w:p w14:paraId="1D7AE6CE">
            <w:pPr>
              <w:keepNext w:val="false"/>
              <w:keepLines w:val="false"/>
              <w:pageBreakBefore w:val="false"/>
              <w:widowControl w:val="false"/>
              <w:pBdr/>
              <w:bidi w:val="false"/>
              <w:spacing w:line="304" w:lineRule="exact"/>
              <w:ind w:firstLine="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4.霍尔位移传感器：线性霍尔片置于梯度磁场中，量程≥3mm</w:t>
            </w:r>
            <w:r>
              <w:rPr>
                <w:rFonts w:hint="eastAsia" w:ascii="宋体" w:hAnsi="宋体" w:cs="宋体"/>
                <w:sz w:val="24"/>
                <w:szCs w:val="24"/>
                <w:highlight w:val="none"/>
                <w:lang w:val="en-US" w:eastAsia="zh-CN"/>
              </w:rPr>
            </w:r>
            <w:r>
              <w:rPr>
                <w:rFonts w:hint="eastAsia" w:ascii="宋体" w:hAnsi="宋体" w:cs="宋体"/>
                <w:sz w:val="24"/>
                <w:szCs w:val="24"/>
                <w:highlight w:val="none"/>
                <w:lang w:val="en-US" w:eastAsia="zh-CN"/>
              </w:rPr>
            </w:r>
          </w:p>
          <w:p w14:paraId="732471A8">
            <w:pPr>
              <w:keepNext w:val="false"/>
              <w:keepLines w:val="false"/>
              <w:pageBreakBefore w:val="false"/>
              <w:widowControl w:val="false"/>
              <w:pBdr/>
              <w:bidi w:val="false"/>
              <w:spacing w:line="304" w:lineRule="exact"/>
              <w:ind w:firstLine="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5.扩散硅压力传感器：集成扩散硅压力传感器，量程20kPa，极限压力100kPa</w:t>
            </w:r>
            <w:r>
              <w:rPr>
                <w:rFonts w:hint="eastAsia" w:ascii="宋体" w:hAnsi="宋体" w:cs="宋体"/>
                <w:sz w:val="24"/>
                <w:szCs w:val="24"/>
                <w:highlight w:val="none"/>
                <w:lang w:val="en-US" w:eastAsia="zh-CN"/>
              </w:rPr>
            </w:r>
            <w:r>
              <w:rPr>
                <w:rFonts w:hint="eastAsia" w:ascii="宋体" w:hAnsi="宋体" w:cs="宋体"/>
                <w:sz w:val="24"/>
                <w:szCs w:val="24"/>
                <w:highlight w:val="none"/>
                <w:lang w:val="en-US" w:eastAsia="zh-CN"/>
              </w:rPr>
            </w:r>
          </w:p>
          <w:p w14:paraId="542F7827">
            <w:pPr>
              <w:keepNext w:val="false"/>
              <w:keepLines w:val="false"/>
              <w:pageBreakBefore w:val="false"/>
              <w:widowControl w:val="false"/>
              <w:pBdr/>
              <w:bidi w:val="false"/>
              <w:spacing w:line="304" w:lineRule="exact"/>
              <w:ind w:firstLine="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6.光纤位移传感器；Y形导光型传感器</w:t>
            </w:r>
            <w:r>
              <w:rPr>
                <w:rFonts w:hint="eastAsia" w:ascii="宋体" w:hAnsi="宋体" w:cs="宋体"/>
                <w:sz w:val="24"/>
                <w:szCs w:val="24"/>
                <w:highlight w:val="none"/>
                <w:lang w:val="en-US" w:eastAsia="zh-CN"/>
              </w:rPr>
            </w:r>
            <w:r>
              <w:rPr>
                <w:rFonts w:hint="eastAsia" w:ascii="宋体" w:hAnsi="宋体" w:cs="宋体"/>
                <w:sz w:val="24"/>
                <w:szCs w:val="24"/>
                <w:highlight w:val="none"/>
                <w:lang w:val="en-US" w:eastAsia="zh-CN"/>
              </w:rPr>
            </w:r>
          </w:p>
          <w:p w14:paraId="655C7984">
            <w:pPr>
              <w:keepNext w:val="false"/>
              <w:keepLines w:val="false"/>
              <w:pageBreakBefore w:val="false"/>
              <w:widowControl w:val="false"/>
              <w:pBdr/>
              <w:bidi w:val="false"/>
              <w:spacing w:line="304" w:lineRule="exact"/>
              <w:ind w:firstLine="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7.电涡流传感器：多股漆包线与金属涡流片组成，量程≥3mm</w:t>
            </w:r>
            <w:r>
              <w:rPr>
                <w:rFonts w:hint="eastAsia" w:ascii="宋体" w:hAnsi="宋体" w:cs="宋体"/>
                <w:sz w:val="24"/>
                <w:szCs w:val="24"/>
                <w:highlight w:val="none"/>
                <w:lang w:val="en-US" w:eastAsia="zh-CN"/>
              </w:rPr>
            </w:r>
            <w:r>
              <w:rPr>
                <w:rFonts w:hint="eastAsia" w:ascii="宋体" w:hAnsi="宋体" w:cs="宋体"/>
                <w:sz w:val="24"/>
                <w:szCs w:val="24"/>
                <w:highlight w:val="none"/>
                <w:lang w:val="en-US" w:eastAsia="zh-CN"/>
              </w:rPr>
            </w:r>
          </w:p>
          <w:p w14:paraId="1CFABEBE">
            <w:pPr>
              <w:keepNext w:val="false"/>
              <w:keepLines w:val="false"/>
              <w:pageBreakBefore w:val="false"/>
              <w:widowControl w:val="false"/>
              <w:pBdr/>
              <w:bidi w:val="false"/>
              <w:spacing w:line="304" w:lineRule="exact"/>
              <w:ind w:firstLine="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8.压电加速度传感器：双片压电晶体和铜质量块构成，谐振频率&gt;10kHz</w:t>
            </w:r>
            <w:r>
              <w:rPr>
                <w:rFonts w:hint="eastAsia" w:ascii="宋体" w:hAnsi="宋体" w:cs="宋体"/>
                <w:sz w:val="24"/>
                <w:szCs w:val="24"/>
                <w:highlight w:val="none"/>
                <w:lang w:val="en-US" w:eastAsia="zh-CN"/>
              </w:rPr>
            </w:r>
            <w:r>
              <w:rPr>
                <w:rFonts w:hint="eastAsia" w:ascii="宋体" w:hAnsi="宋体" w:cs="宋体"/>
                <w:sz w:val="24"/>
                <w:szCs w:val="24"/>
                <w:highlight w:val="none"/>
                <w:lang w:val="en-US" w:eastAsia="zh-CN"/>
              </w:rPr>
            </w:r>
          </w:p>
          <w:p w14:paraId="7C46948D">
            <w:pPr>
              <w:keepNext w:val="false"/>
              <w:keepLines w:val="false"/>
              <w:pageBreakBefore w:val="false"/>
              <w:widowControl w:val="false"/>
              <w:pBdr/>
              <w:bidi w:val="false"/>
              <w:spacing w:line="304" w:lineRule="exact"/>
              <w:ind w:firstLine="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9.磁电传感器；线圈和永久磁钢构成，灵敏度0.5v/m/s</w:t>
            </w:r>
            <w:r>
              <w:rPr>
                <w:rFonts w:hint="eastAsia" w:ascii="宋体" w:hAnsi="宋体" w:cs="宋体"/>
                <w:sz w:val="24"/>
                <w:szCs w:val="24"/>
                <w:highlight w:val="none"/>
                <w:lang w:val="en-US" w:eastAsia="zh-CN"/>
              </w:rPr>
            </w:r>
            <w:r>
              <w:rPr>
                <w:rFonts w:hint="eastAsia" w:ascii="宋体" w:hAnsi="宋体" w:cs="宋体"/>
                <w:sz w:val="24"/>
                <w:szCs w:val="24"/>
                <w:highlight w:val="none"/>
                <w:lang w:val="en-US" w:eastAsia="zh-CN"/>
              </w:rPr>
            </w:r>
          </w:p>
          <w:p w14:paraId="1A88551E">
            <w:pPr>
              <w:keepNext w:val="false"/>
              <w:keepLines w:val="false"/>
              <w:pageBreakBefore w:val="false"/>
              <w:widowControl w:val="false"/>
              <w:pBdr/>
              <w:bidi w:val="false"/>
              <w:spacing w:line="304" w:lineRule="exact"/>
              <w:ind w:firstLine="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10.PT100：金属铂电阻传感器，0℃电阻值100Ω，测温范围-20℃～200℃</w:t>
            </w:r>
            <w:r>
              <w:rPr>
                <w:rFonts w:hint="eastAsia" w:ascii="宋体" w:hAnsi="宋体" w:cs="宋体"/>
                <w:sz w:val="24"/>
                <w:szCs w:val="24"/>
                <w:highlight w:val="none"/>
                <w:lang w:val="en-US" w:eastAsia="zh-CN"/>
              </w:rPr>
            </w:r>
            <w:r>
              <w:rPr>
                <w:rFonts w:hint="eastAsia" w:ascii="宋体" w:hAnsi="宋体" w:cs="宋体"/>
                <w:sz w:val="24"/>
                <w:szCs w:val="24"/>
                <w:highlight w:val="none"/>
                <w:lang w:val="en-US" w:eastAsia="zh-CN"/>
              </w:rPr>
            </w:r>
          </w:p>
          <w:p w14:paraId="7451DE8B">
            <w:pPr>
              <w:keepNext w:val="false"/>
              <w:keepLines w:val="false"/>
              <w:pageBreakBefore w:val="false"/>
              <w:widowControl w:val="false"/>
              <w:pBdr/>
              <w:bidi w:val="false"/>
              <w:spacing w:line="304" w:lineRule="exact"/>
              <w:ind w:firstLine="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11.AD590：电流输出型集成温度传感器，测温范围-55℃～155℃，灵敏度1uA/℃</w:t>
            </w:r>
            <w:r>
              <w:rPr>
                <w:rFonts w:hint="eastAsia" w:ascii="宋体" w:hAnsi="宋体" w:cs="宋体"/>
                <w:sz w:val="24"/>
                <w:szCs w:val="24"/>
                <w:highlight w:val="none"/>
                <w:lang w:val="en-US" w:eastAsia="zh-CN"/>
              </w:rPr>
            </w:r>
            <w:r>
              <w:rPr>
                <w:rFonts w:hint="eastAsia" w:ascii="宋体" w:hAnsi="宋体" w:cs="宋体"/>
                <w:sz w:val="24"/>
                <w:szCs w:val="24"/>
                <w:highlight w:val="none"/>
                <w:lang w:val="en-US" w:eastAsia="zh-CN"/>
              </w:rPr>
            </w:r>
          </w:p>
          <w:p w14:paraId="6CC68DA4">
            <w:pPr>
              <w:keepNext w:val="false"/>
              <w:keepLines w:val="false"/>
              <w:pageBreakBefore w:val="false"/>
              <w:widowControl w:val="false"/>
              <w:pBdr/>
              <w:bidi w:val="false"/>
              <w:spacing w:line="304" w:lineRule="exact"/>
              <w:ind w:firstLine="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12.LM35：电压输出型集成温度传感器，测温范围-55℃～150℃，灵敏度10mV/℃</w:t>
            </w:r>
            <w:r>
              <w:rPr>
                <w:rFonts w:hint="eastAsia" w:ascii="宋体" w:hAnsi="宋体" w:cs="宋体"/>
                <w:sz w:val="24"/>
                <w:szCs w:val="24"/>
                <w:highlight w:val="none"/>
                <w:lang w:val="en-US" w:eastAsia="zh-CN"/>
              </w:rPr>
            </w:r>
            <w:r>
              <w:rPr>
                <w:rFonts w:hint="eastAsia" w:ascii="宋体" w:hAnsi="宋体" w:cs="宋体"/>
                <w:sz w:val="24"/>
                <w:szCs w:val="24"/>
                <w:highlight w:val="none"/>
                <w:lang w:val="en-US" w:eastAsia="zh-CN"/>
              </w:rPr>
            </w:r>
          </w:p>
          <w:p w14:paraId="20B2E8F9">
            <w:pPr>
              <w:keepNext w:val="false"/>
              <w:keepLines w:val="false"/>
              <w:pageBreakBefore w:val="false"/>
              <w:widowControl w:val="false"/>
              <w:pBdr/>
              <w:bidi w:val="false"/>
              <w:spacing w:line="304" w:lineRule="exact"/>
              <w:ind w:firstLine="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13.K型热电偶：镍铬－镍硅热电偶.测温范围-50℃～150℃</w:t>
            </w:r>
            <w:r>
              <w:rPr>
                <w:rFonts w:hint="eastAsia" w:ascii="宋体" w:hAnsi="宋体" w:cs="宋体"/>
                <w:sz w:val="24"/>
                <w:szCs w:val="24"/>
                <w:highlight w:val="none"/>
                <w:lang w:val="en-US" w:eastAsia="zh-CN"/>
              </w:rPr>
            </w:r>
            <w:r>
              <w:rPr>
                <w:rFonts w:hint="eastAsia" w:ascii="宋体" w:hAnsi="宋体" w:cs="宋体"/>
                <w:sz w:val="24"/>
                <w:szCs w:val="24"/>
                <w:highlight w:val="none"/>
                <w:lang w:val="en-US" w:eastAsia="zh-CN"/>
              </w:rPr>
            </w:r>
          </w:p>
          <w:p w14:paraId="715A239F">
            <w:pPr>
              <w:keepNext w:val="false"/>
              <w:keepLines w:val="false"/>
              <w:pageBreakBefore w:val="false"/>
              <w:widowControl w:val="false"/>
              <w:pBdr/>
              <w:bidi w:val="false"/>
              <w:spacing w:line="304" w:lineRule="exact"/>
              <w:ind w:firstLine="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14.E型热电偶：镍铬－康铜热电偶，测温范围-100℃～150℃</w:t>
            </w:r>
            <w:r>
              <w:rPr>
                <w:rFonts w:hint="eastAsia" w:ascii="宋体" w:hAnsi="宋体" w:cs="宋体"/>
                <w:sz w:val="24"/>
                <w:szCs w:val="24"/>
                <w:highlight w:val="none"/>
                <w:lang w:val="en-US" w:eastAsia="zh-CN"/>
              </w:rPr>
            </w:r>
            <w:r>
              <w:rPr>
                <w:rFonts w:hint="eastAsia" w:ascii="宋体" w:hAnsi="宋体" w:cs="宋体"/>
                <w:sz w:val="24"/>
                <w:szCs w:val="24"/>
                <w:highlight w:val="none"/>
                <w:lang w:val="en-US" w:eastAsia="zh-CN"/>
              </w:rPr>
            </w:r>
          </w:p>
          <w:p w14:paraId="211D003B">
            <w:pPr>
              <w:keepNext w:val="false"/>
              <w:keepLines w:val="false"/>
              <w:pageBreakBefore w:val="false"/>
              <w:widowControl w:val="false"/>
              <w:pBdr/>
              <w:bidi w:val="false"/>
              <w:spacing w:line="304" w:lineRule="exact"/>
              <w:ind w:firstLine="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15.Cu50：铜热电阻，0℃电阻值50Ω，测温范围-50℃～120℃</w:t>
            </w:r>
            <w:r>
              <w:rPr>
                <w:rFonts w:hint="eastAsia" w:ascii="宋体" w:hAnsi="宋体" w:cs="宋体"/>
                <w:sz w:val="24"/>
                <w:szCs w:val="24"/>
                <w:highlight w:val="none"/>
                <w:lang w:val="en-US" w:eastAsia="zh-CN"/>
              </w:rPr>
            </w:r>
            <w:r>
              <w:rPr>
                <w:rFonts w:hint="eastAsia" w:ascii="宋体" w:hAnsi="宋体" w:cs="宋体"/>
                <w:sz w:val="24"/>
                <w:szCs w:val="24"/>
                <w:highlight w:val="none"/>
                <w:lang w:val="en-US" w:eastAsia="zh-CN"/>
              </w:rPr>
            </w:r>
          </w:p>
          <w:p w14:paraId="299C6411">
            <w:pPr>
              <w:keepNext w:val="false"/>
              <w:keepLines w:val="false"/>
              <w:pageBreakBefore w:val="false"/>
              <w:widowControl w:val="false"/>
              <w:pBdr/>
              <w:bidi w:val="false"/>
              <w:spacing w:line="304" w:lineRule="exact"/>
              <w:ind w:firstLine="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16.PN结温度传感器：测温范围-100℃～150℃，灵敏度2.2mV/℃，线性误差1％</w:t>
            </w:r>
            <w:r>
              <w:rPr>
                <w:rFonts w:hint="eastAsia" w:ascii="宋体" w:hAnsi="宋体" w:cs="宋体"/>
                <w:sz w:val="24"/>
                <w:szCs w:val="24"/>
                <w:highlight w:val="none"/>
                <w:lang w:val="en-US" w:eastAsia="zh-CN"/>
              </w:rPr>
            </w:r>
            <w:r>
              <w:rPr>
                <w:rFonts w:hint="eastAsia" w:ascii="宋体" w:hAnsi="宋体" w:cs="宋体"/>
                <w:sz w:val="24"/>
                <w:szCs w:val="24"/>
                <w:highlight w:val="none"/>
                <w:lang w:val="en-US" w:eastAsia="zh-CN"/>
              </w:rPr>
            </w:r>
          </w:p>
          <w:p w14:paraId="4D94640A">
            <w:pPr>
              <w:keepNext w:val="false"/>
              <w:keepLines w:val="false"/>
              <w:pageBreakBefore w:val="false"/>
              <w:widowControl w:val="false"/>
              <w:pBdr/>
              <w:bidi w:val="false"/>
              <w:spacing w:line="304" w:lineRule="exact"/>
              <w:ind w:firstLine="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17.NTC：负温度系数半导体热敏电阻，测温范围-50℃～350℃</w:t>
            </w:r>
            <w:r>
              <w:rPr>
                <w:rFonts w:hint="eastAsia" w:ascii="宋体" w:hAnsi="宋体" w:cs="宋体"/>
                <w:sz w:val="24"/>
                <w:szCs w:val="24"/>
                <w:highlight w:val="none"/>
                <w:lang w:val="en-US" w:eastAsia="zh-CN"/>
              </w:rPr>
            </w:r>
            <w:r>
              <w:rPr>
                <w:rFonts w:hint="eastAsia" w:ascii="宋体" w:hAnsi="宋体" w:cs="宋体"/>
                <w:sz w:val="24"/>
                <w:szCs w:val="24"/>
                <w:highlight w:val="none"/>
                <w:lang w:val="en-US" w:eastAsia="zh-CN"/>
              </w:rPr>
            </w:r>
          </w:p>
          <w:p w14:paraId="2457483C">
            <w:pPr>
              <w:keepNext w:val="false"/>
              <w:keepLines w:val="false"/>
              <w:pageBreakBefore w:val="false"/>
              <w:widowControl w:val="false"/>
              <w:pBdr/>
              <w:bidi w:val="false"/>
              <w:spacing w:line="304" w:lineRule="exact"/>
              <w:ind w:firstLine="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18.PTC；正温度系数半导体热敏电阻，测温范围-50℃～150℃</w:t>
            </w:r>
            <w:r>
              <w:rPr>
                <w:rFonts w:hint="eastAsia" w:ascii="宋体" w:hAnsi="宋体" w:cs="宋体"/>
                <w:sz w:val="24"/>
                <w:szCs w:val="24"/>
                <w:highlight w:val="none"/>
                <w:lang w:val="en-US" w:eastAsia="zh-CN"/>
              </w:rPr>
            </w:r>
            <w:r>
              <w:rPr>
                <w:rFonts w:hint="eastAsia" w:ascii="宋体" w:hAnsi="宋体" w:cs="宋体"/>
                <w:sz w:val="24"/>
                <w:szCs w:val="24"/>
                <w:highlight w:val="none"/>
                <w:lang w:val="en-US" w:eastAsia="zh-CN"/>
              </w:rPr>
            </w:r>
          </w:p>
          <w:p w14:paraId="70A53937">
            <w:pPr>
              <w:keepNext w:val="false"/>
              <w:keepLines w:val="false"/>
              <w:pageBreakBefore w:val="false"/>
              <w:widowControl w:val="false"/>
              <w:pBdr/>
              <w:bidi w:val="false"/>
              <w:spacing w:line="304" w:lineRule="exact"/>
              <w:ind w:firstLine="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19.气敏传感器：酒精敏感，测量范围：50～2000ppm</w:t>
            </w:r>
            <w:r>
              <w:rPr>
                <w:rFonts w:hint="eastAsia" w:ascii="宋体" w:hAnsi="宋体" w:cs="宋体"/>
                <w:sz w:val="24"/>
                <w:szCs w:val="24"/>
                <w:highlight w:val="none"/>
                <w:lang w:val="en-US" w:eastAsia="zh-CN"/>
              </w:rPr>
            </w:r>
            <w:r>
              <w:rPr>
                <w:rFonts w:hint="eastAsia" w:ascii="宋体" w:hAnsi="宋体" w:cs="宋体"/>
                <w:sz w:val="24"/>
                <w:szCs w:val="24"/>
                <w:highlight w:val="none"/>
                <w:lang w:val="en-US" w:eastAsia="zh-CN"/>
              </w:rPr>
            </w:r>
          </w:p>
          <w:p w14:paraId="351048BA">
            <w:pPr>
              <w:keepNext w:val="false"/>
              <w:keepLines w:val="false"/>
              <w:pageBreakBefore w:val="false"/>
              <w:widowControl w:val="false"/>
              <w:pBdr/>
              <w:bidi w:val="false"/>
              <w:spacing w:line="304" w:lineRule="exact"/>
              <w:ind w:firstLine="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20.湿敏传感器：电容型湿度传感器，测量范围1～99%RH</w:t>
            </w:r>
            <w:r>
              <w:rPr>
                <w:rFonts w:hint="eastAsia" w:ascii="宋体" w:hAnsi="宋体" w:cs="宋体"/>
                <w:sz w:val="24"/>
                <w:szCs w:val="24"/>
                <w:highlight w:val="none"/>
                <w:lang w:val="en-US" w:eastAsia="zh-CN"/>
              </w:rPr>
            </w:r>
            <w:r>
              <w:rPr>
                <w:rFonts w:hint="eastAsia" w:ascii="宋体" w:hAnsi="宋体" w:cs="宋体"/>
                <w:sz w:val="24"/>
                <w:szCs w:val="24"/>
                <w:highlight w:val="none"/>
                <w:lang w:val="en-US" w:eastAsia="zh-CN"/>
              </w:rPr>
            </w:r>
          </w:p>
          <w:p w14:paraId="6DB4F82A">
            <w:pPr>
              <w:keepNext w:val="false"/>
              <w:keepLines w:val="false"/>
              <w:pageBreakBefore w:val="false"/>
              <w:widowControl w:val="false"/>
              <w:pBdr/>
              <w:bidi w:val="false"/>
              <w:spacing w:line="304" w:lineRule="exact"/>
              <w:ind w:firstLine="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21.可燃气体检测传感器：对一氧化碳，甲烷有很好的灵敏度，探测范围：100～1000ppm可燃气体 </w:t>
            </w:r>
            <w:r>
              <w:rPr>
                <w:rFonts w:hint="eastAsia" w:ascii="宋体" w:hAnsi="宋体" w:cs="宋体"/>
                <w:sz w:val="24"/>
                <w:szCs w:val="24"/>
                <w:highlight w:val="none"/>
                <w:lang w:val="en-US" w:eastAsia="zh-CN"/>
              </w:rPr>
            </w:r>
            <w:r>
              <w:rPr>
                <w:rFonts w:hint="eastAsia" w:ascii="宋体" w:hAnsi="宋体" w:cs="宋体"/>
                <w:sz w:val="24"/>
                <w:szCs w:val="24"/>
                <w:highlight w:val="none"/>
                <w:lang w:val="en-US" w:eastAsia="zh-CN"/>
              </w:rPr>
            </w:r>
          </w:p>
          <w:p w14:paraId="32FF59C8">
            <w:pPr>
              <w:keepNext w:val="false"/>
              <w:keepLines w:val="false"/>
              <w:pageBreakBefore w:val="false"/>
              <w:widowControl w:val="false"/>
              <w:pBdr/>
              <w:bidi w:val="false"/>
              <w:spacing w:line="304" w:lineRule="exact"/>
              <w:ind w:firstLine="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22.光敏电阻：硫化镉(CdS)材料，暗阻≥5MΩ，亮阻≤2kΩ</w:t>
            </w:r>
            <w:r>
              <w:rPr>
                <w:rFonts w:hint="eastAsia" w:ascii="宋体" w:hAnsi="宋体" w:cs="宋体"/>
                <w:sz w:val="24"/>
                <w:szCs w:val="24"/>
                <w:highlight w:val="none"/>
                <w:lang w:val="en-US" w:eastAsia="zh-CN"/>
              </w:rPr>
            </w:r>
            <w:r>
              <w:rPr>
                <w:rFonts w:hint="eastAsia" w:ascii="宋体" w:hAnsi="宋体" w:cs="宋体"/>
                <w:sz w:val="24"/>
                <w:szCs w:val="24"/>
                <w:highlight w:val="none"/>
                <w:lang w:val="en-US" w:eastAsia="zh-CN"/>
              </w:rPr>
            </w:r>
          </w:p>
          <w:p w14:paraId="6BBD85C5">
            <w:pPr>
              <w:keepNext w:val="false"/>
              <w:keepLines w:val="false"/>
              <w:pageBreakBefore w:val="false"/>
              <w:widowControl w:val="false"/>
              <w:pBdr/>
              <w:bidi w:val="false"/>
              <w:spacing w:line="304" w:lineRule="exact"/>
              <w:ind w:firstLine="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23.硅光电池：光谱响应420～675nm，光敏区7.34mm</w:t>
            </w:r>
            <w:r>
              <w:rPr>
                <w:rFonts w:hint="eastAsia" w:ascii="宋体" w:hAnsi="宋体" w:cs="宋体"/>
                <w:sz w:val="24"/>
                <w:szCs w:val="24"/>
                <w:highlight w:val="none"/>
                <w:vertAlign w:val="superscript"/>
                <w:lang w:val="en-US" w:eastAsia="zh-CN"/>
              </w:rPr>
              <w:t xml:space="preserve">2</w:t>
            </w:r>
            <w:r>
              <w:rPr>
                <w:rFonts w:hint="eastAsia" w:ascii="宋体" w:hAnsi="宋体" w:cs="宋体"/>
                <w:sz w:val="24"/>
                <w:szCs w:val="24"/>
                <w:highlight w:val="none"/>
                <w:lang w:val="en-US" w:eastAsia="zh-CN"/>
              </w:rPr>
            </w:r>
            <w:r>
              <w:rPr>
                <w:rFonts w:hint="eastAsia" w:ascii="宋体" w:hAnsi="宋体" w:cs="宋体"/>
                <w:sz w:val="24"/>
                <w:szCs w:val="24"/>
                <w:highlight w:val="none"/>
                <w:lang w:val="en-US" w:eastAsia="zh-CN"/>
              </w:rPr>
            </w:r>
          </w:p>
          <w:p w14:paraId="5F2E6A1D">
            <w:pPr>
              <w:keepNext w:val="false"/>
              <w:keepLines w:val="false"/>
              <w:pageBreakBefore w:val="false"/>
              <w:widowControl w:val="false"/>
              <w:pBdr/>
              <w:bidi w:val="false"/>
              <w:spacing w:line="304" w:lineRule="exact"/>
              <w:ind w:firstLine="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24.声电传感器：驻极体电容式，频响20～20kHz，灵敏度-27dB</w:t>
            </w:r>
            <w:r>
              <w:rPr>
                <w:rFonts w:hint="eastAsia" w:ascii="宋体" w:hAnsi="宋体" w:cs="宋体"/>
                <w:sz w:val="24"/>
                <w:szCs w:val="24"/>
                <w:highlight w:val="none"/>
                <w:lang w:val="en-US" w:eastAsia="zh-CN"/>
              </w:rPr>
            </w:r>
            <w:r>
              <w:rPr>
                <w:rFonts w:hint="eastAsia" w:ascii="宋体" w:hAnsi="宋体" w:cs="宋体"/>
                <w:sz w:val="24"/>
                <w:szCs w:val="24"/>
                <w:highlight w:val="none"/>
                <w:lang w:val="en-US" w:eastAsia="zh-CN"/>
              </w:rPr>
            </w:r>
          </w:p>
          <w:p w14:paraId="27B739E6">
            <w:pPr>
              <w:keepNext w:val="false"/>
              <w:keepLines w:val="false"/>
              <w:pageBreakBefore w:val="false"/>
              <w:widowControl w:val="false"/>
              <w:pBdr/>
              <w:bidi w:val="false"/>
              <w:spacing w:line="304" w:lineRule="exact"/>
              <w:ind w:firstLine="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25.红外传感器：红外热释电传感器，检测距离0.1～5m </w:t>
            </w:r>
            <w:r>
              <w:rPr>
                <w:rFonts w:hint="eastAsia" w:ascii="宋体" w:hAnsi="宋体" w:cs="宋体"/>
                <w:sz w:val="24"/>
                <w:szCs w:val="24"/>
                <w:highlight w:val="none"/>
                <w:lang w:val="en-US" w:eastAsia="zh-CN"/>
              </w:rPr>
            </w:r>
            <w:r>
              <w:rPr>
                <w:rFonts w:hint="eastAsia" w:ascii="宋体" w:hAnsi="宋体" w:cs="宋体"/>
                <w:sz w:val="24"/>
                <w:szCs w:val="24"/>
                <w:highlight w:val="none"/>
                <w:lang w:val="en-US" w:eastAsia="zh-CN"/>
              </w:rPr>
            </w:r>
          </w:p>
          <w:p w14:paraId="7705EEDC">
            <w:pPr>
              <w:keepNext w:val="false"/>
              <w:keepLines w:val="false"/>
              <w:pageBreakBefore w:val="false"/>
              <w:widowControl w:val="false"/>
              <w:pBdr/>
              <w:bidi w:val="false"/>
              <w:spacing w:line="304" w:lineRule="exact"/>
              <w:ind w:firstLine="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26.磁阻传感器：锑化铟（InSb）差分磁敏电阻传感器</w:t>
            </w:r>
            <w:r>
              <w:rPr>
                <w:rFonts w:hint="eastAsia" w:ascii="宋体" w:hAnsi="宋体" w:cs="宋体"/>
                <w:sz w:val="24"/>
                <w:szCs w:val="24"/>
                <w:highlight w:val="none"/>
                <w:lang w:val="en-US" w:eastAsia="zh-CN"/>
              </w:rPr>
            </w:r>
            <w:r>
              <w:rPr>
                <w:rFonts w:hint="eastAsia" w:ascii="宋体" w:hAnsi="宋体" w:cs="宋体"/>
                <w:sz w:val="24"/>
                <w:szCs w:val="24"/>
                <w:highlight w:val="none"/>
                <w:lang w:val="en-US" w:eastAsia="zh-CN"/>
              </w:rPr>
            </w:r>
          </w:p>
          <w:p w14:paraId="20098C45">
            <w:pPr>
              <w:keepNext w:val="false"/>
              <w:keepLines w:val="false"/>
              <w:pageBreakBefore w:val="false"/>
              <w:widowControl w:val="false"/>
              <w:pBdr/>
              <w:bidi w:val="false"/>
              <w:spacing w:line="304" w:lineRule="exact"/>
              <w:ind w:firstLine="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27.光电开关传感器：射式光电开关：包含光轴相对放置的发射器和接收器</w:t>
            </w:r>
            <w:r>
              <w:rPr>
                <w:rFonts w:hint="eastAsia" w:ascii="宋体" w:hAnsi="宋体" w:cs="宋体"/>
                <w:sz w:val="24"/>
                <w:szCs w:val="24"/>
                <w:highlight w:val="none"/>
                <w:lang w:val="en-US" w:eastAsia="zh-CN"/>
              </w:rPr>
            </w:r>
            <w:r>
              <w:rPr>
                <w:rFonts w:hint="eastAsia" w:ascii="宋体" w:hAnsi="宋体" w:cs="宋体"/>
                <w:sz w:val="24"/>
                <w:szCs w:val="24"/>
                <w:highlight w:val="none"/>
                <w:lang w:val="en-US" w:eastAsia="zh-CN"/>
              </w:rPr>
            </w:r>
          </w:p>
          <w:p w14:paraId="2CB5A831">
            <w:pPr>
              <w:keepNext w:val="false"/>
              <w:keepLines w:val="false"/>
              <w:pageBreakBefore w:val="false"/>
              <w:widowControl w:val="false"/>
              <w:pBdr/>
              <w:bidi w:val="false"/>
              <w:spacing w:line="304" w:lineRule="exact"/>
              <w:ind w:firstLine="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28.霍尔开关传感器：集成霍尔开关传感器，工作电压DC5V</w:t>
            </w:r>
            <w:r>
              <w:rPr>
                <w:rFonts w:hint="eastAsia" w:ascii="宋体" w:hAnsi="宋体" w:cs="宋体"/>
                <w:sz w:val="24"/>
                <w:szCs w:val="24"/>
                <w:highlight w:val="none"/>
                <w:lang w:val="en-US" w:eastAsia="zh-CN"/>
              </w:rPr>
            </w:r>
            <w:r>
              <w:rPr>
                <w:rFonts w:hint="eastAsia" w:ascii="宋体" w:hAnsi="宋体" w:cs="宋体"/>
                <w:sz w:val="24"/>
                <w:szCs w:val="24"/>
                <w:highlight w:val="none"/>
                <w:lang w:val="en-US" w:eastAsia="zh-CN"/>
              </w:rPr>
            </w:r>
          </w:p>
          <w:p w14:paraId="2D4DE029">
            <w:pPr>
              <w:keepNext w:val="false"/>
              <w:keepLines w:val="false"/>
              <w:pageBreakBefore w:val="false"/>
              <w:widowControl w:val="false"/>
              <w:pBdr/>
              <w:bidi w:val="false"/>
              <w:spacing w:line="304" w:lineRule="exact"/>
              <w:ind w:firstLine="0"/>
              <w:rPr>
                <w:rFonts w:hint="eastAsia" w:ascii="宋体" w:hAnsi="宋体" w:cs="宋体"/>
                <w:b/>
                <w:bCs/>
                <w:sz w:val="24"/>
                <w:szCs w:val="24"/>
                <w:highlight w:val="none"/>
                <w:lang w:val="en-US" w:eastAsia="zh-CN"/>
              </w:rPr>
            </w:pPr>
            <w:r>
              <w:rPr>
                <w:rFonts w:hint="eastAsia" w:ascii="宋体" w:hAnsi="宋体" w:cs="宋体"/>
                <w:b/>
                <w:bCs/>
                <w:sz w:val="24"/>
                <w:szCs w:val="24"/>
                <w:highlight w:val="none"/>
                <w:lang w:val="en-US" w:eastAsia="zh-CN"/>
              </w:rPr>
              <w:t xml:space="preserve">五、实验模块技术参数</w:t>
            </w:r>
            <w:r>
              <w:rPr>
                <w:rFonts w:hint="eastAsia" w:ascii="宋体" w:hAnsi="宋体" w:cs="宋体"/>
                <w:b/>
                <w:bCs/>
                <w:sz w:val="24"/>
                <w:szCs w:val="24"/>
                <w:highlight w:val="none"/>
                <w:lang w:val="en-US" w:eastAsia="zh-CN"/>
              </w:rPr>
            </w:r>
            <w:r>
              <w:rPr>
                <w:rFonts w:hint="eastAsia" w:ascii="宋体" w:hAnsi="宋体" w:cs="宋体"/>
                <w:b/>
                <w:bCs/>
                <w:sz w:val="24"/>
                <w:szCs w:val="24"/>
                <w:highlight w:val="none"/>
                <w:lang w:val="en-US" w:eastAsia="zh-CN"/>
              </w:rPr>
            </w:r>
          </w:p>
          <w:p w14:paraId="2C903DD4">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1.应变传感器实验模块</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099047C6">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（1）模块由直流电桥、交流电桥、应变传感器、仪表放大器、调零电路、取样电路、托盘、砝码组成，可组装成电子秤，具有调零和校准功能</w:t>
            </w:r>
            <w:r>
              <w:rPr>
                <w:rFonts w:hint="eastAsia" w:ascii="宋体" w:hAnsi="宋体" w:cs="宋体"/>
                <w:sz w:val="24"/>
                <w:szCs w:val="24"/>
                <w:highlight w:val="none"/>
                <w:lang w:val="en-US" w:eastAsia="zh-CN"/>
              </w:rPr>
              <w:t xml:space="preserve">。</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4E907FFE">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w:t>
            </w:r>
            <w:r>
              <w:rPr>
                <w:rFonts w:hint="eastAsia" w:ascii="宋体" w:hAnsi="宋体" w:cs="宋体"/>
                <w:sz w:val="24"/>
                <w:szCs w:val="24"/>
                <w:highlight w:val="none"/>
                <w:lang w:val="en-US" w:eastAsia="zh-CN"/>
              </w:rPr>
              <w:t xml:space="preserve">2</w:t>
            </w:r>
            <w:r>
              <w:rPr>
                <w:rFonts w:hint="default" w:ascii="宋体" w:hAnsi="宋体" w:cs="宋体"/>
                <w:sz w:val="24"/>
                <w:szCs w:val="24"/>
                <w:highlight w:val="none"/>
                <w:lang w:val="en-US" w:eastAsia="zh-CN"/>
              </w:rPr>
              <w:t xml:space="preserve">）应变传感器：量程1kg，灵敏度1mV/V/Kg，电阻350欧，非线性0.02%FS，传感器安装在模块上</w:t>
            </w:r>
            <w:r>
              <w:rPr>
                <w:rFonts w:hint="eastAsia" w:ascii="宋体" w:hAnsi="宋体" w:cs="宋体"/>
                <w:sz w:val="24"/>
                <w:szCs w:val="24"/>
                <w:highlight w:val="none"/>
                <w:lang w:val="en-US" w:eastAsia="zh-CN"/>
              </w:rPr>
              <w:t xml:space="preserve">。</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2AF10499">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w:t>
            </w:r>
            <w:r>
              <w:rPr>
                <w:rFonts w:hint="eastAsia" w:ascii="宋体" w:hAnsi="宋体" w:cs="宋体"/>
                <w:sz w:val="24"/>
                <w:szCs w:val="24"/>
                <w:highlight w:val="none"/>
                <w:lang w:val="en-US" w:eastAsia="zh-CN"/>
              </w:rPr>
              <w:t xml:space="preserve">3</w:t>
            </w:r>
            <w:r>
              <w:rPr>
                <w:rFonts w:hint="default" w:ascii="宋体" w:hAnsi="宋体" w:cs="宋体"/>
                <w:sz w:val="24"/>
                <w:szCs w:val="24"/>
                <w:highlight w:val="none"/>
                <w:lang w:val="en-US" w:eastAsia="zh-CN"/>
              </w:rPr>
              <w:t xml:space="preserve">）仪表放大器：由3个OP07运放组成，放大倍率-414</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61B77C21">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w:t>
            </w:r>
            <w:r>
              <w:rPr>
                <w:rFonts w:hint="eastAsia" w:ascii="宋体" w:hAnsi="宋体" w:cs="宋体"/>
                <w:sz w:val="24"/>
                <w:szCs w:val="24"/>
                <w:highlight w:val="none"/>
                <w:lang w:val="en-US" w:eastAsia="zh-CN"/>
              </w:rPr>
              <w:t xml:space="preserve">4</w:t>
            </w:r>
            <w:r>
              <w:rPr>
                <w:rFonts w:hint="default" w:ascii="宋体" w:hAnsi="宋体" w:cs="宋体"/>
                <w:sz w:val="24"/>
                <w:szCs w:val="24"/>
                <w:highlight w:val="none"/>
                <w:lang w:val="en-US" w:eastAsia="zh-CN"/>
              </w:rPr>
              <w:t xml:space="preserve">）调零电路：有1个OP07运放组成反向放大器，放大倍数-4.7，并采用外部调零。</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61DA87AB">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w:t>
            </w:r>
            <w:r>
              <w:rPr>
                <w:rFonts w:hint="eastAsia" w:ascii="宋体" w:hAnsi="宋体" w:cs="宋体"/>
                <w:sz w:val="24"/>
                <w:szCs w:val="24"/>
                <w:highlight w:val="none"/>
                <w:lang w:val="en-US" w:eastAsia="zh-CN"/>
              </w:rPr>
              <w:t xml:space="preserve">5</w:t>
            </w:r>
            <w:r>
              <w:rPr>
                <w:rFonts w:hint="default" w:ascii="宋体" w:hAnsi="宋体" w:cs="宋体"/>
                <w:sz w:val="24"/>
                <w:szCs w:val="24"/>
                <w:highlight w:val="none"/>
                <w:lang w:val="en-US" w:eastAsia="zh-CN"/>
              </w:rPr>
              <w:t xml:space="preserve">）取样电路：由分压电路和跟随器组成</w:t>
            </w:r>
            <w:r>
              <w:rPr>
                <w:rFonts w:hint="eastAsia" w:ascii="宋体" w:hAnsi="宋体" w:cs="宋体"/>
                <w:sz w:val="24"/>
                <w:szCs w:val="24"/>
                <w:highlight w:val="none"/>
                <w:lang w:val="en-US" w:eastAsia="zh-CN"/>
              </w:rPr>
              <w:t xml:space="preserve">。</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10016B1E">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2.压力传感器实验模块</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7D36481F">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（1）模块由气压传感器、仪表放大器、调零电路、取样电路、气室2个、压力调节机构2个、压力表2个组成，可组装成气压计，具有调零和校准功能</w:t>
            </w:r>
            <w:r>
              <w:rPr>
                <w:rFonts w:hint="eastAsia" w:ascii="宋体" w:hAnsi="宋体" w:cs="宋体"/>
                <w:sz w:val="24"/>
                <w:szCs w:val="24"/>
                <w:highlight w:val="none"/>
                <w:lang w:val="en-US" w:eastAsia="zh-CN"/>
              </w:rPr>
              <w:t xml:space="preserve">。</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396F28C5">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w:t>
            </w:r>
            <w:r>
              <w:rPr>
                <w:rFonts w:hint="eastAsia" w:ascii="宋体" w:hAnsi="宋体" w:cs="宋体"/>
                <w:sz w:val="24"/>
                <w:szCs w:val="24"/>
                <w:highlight w:val="none"/>
                <w:lang w:val="en-US" w:eastAsia="zh-CN"/>
              </w:rPr>
              <w:t xml:space="preserve">2</w:t>
            </w:r>
            <w:r>
              <w:rPr>
                <w:rFonts w:hint="default" w:ascii="宋体" w:hAnsi="宋体" w:cs="宋体"/>
                <w:sz w:val="24"/>
                <w:szCs w:val="24"/>
                <w:highlight w:val="none"/>
                <w:lang w:val="en-US" w:eastAsia="zh-CN"/>
              </w:rPr>
              <w:t xml:space="preserve">）压力传感器：量程10kPa，灵敏度3.5mV/kPa，非线性1%FS，传感器安装在模块上</w:t>
            </w:r>
            <w:r>
              <w:rPr>
                <w:rFonts w:hint="eastAsia" w:ascii="宋体" w:hAnsi="宋体" w:cs="宋体"/>
                <w:sz w:val="24"/>
                <w:szCs w:val="24"/>
                <w:highlight w:val="none"/>
                <w:lang w:val="en-US" w:eastAsia="zh-CN"/>
              </w:rPr>
              <w:t xml:space="preserve">。</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5C0F4243">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w:t>
            </w:r>
            <w:r>
              <w:rPr>
                <w:rFonts w:hint="eastAsia" w:ascii="宋体" w:hAnsi="宋体" w:cs="宋体"/>
                <w:sz w:val="24"/>
                <w:szCs w:val="24"/>
                <w:highlight w:val="none"/>
                <w:lang w:val="en-US" w:eastAsia="zh-CN"/>
              </w:rPr>
              <w:t xml:space="preserve">3</w:t>
            </w:r>
            <w:r>
              <w:rPr>
                <w:rFonts w:hint="default" w:ascii="宋体" w:hAnsi="宋体" w:cs="宋体"/>
                <w:sz w:val="24"/>
                <w:szCs w:val="24"/>
                <w:highlight w:val="none"/>
                <w:lang w:val="en-US" w:eastAsia="zh-CN"/>
              </w:rPr>
              <w:t xml:space="preserve">）仪表放大器：由3个OP07运放组成，放大倍率-10</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19A9D997">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w:t>
            </w:r>
            <w:r>
              <w:rPr>
                <w:rFonts w:hint="eastAsia" w:ascii="宋体" w:hAnsi="宋体" w:cs="宋体"/>
                <w:sz w:val="24"/>
                <w:szCs w:val="24"/>
                <w:highlight w:val="none"/>
                <w:lang w:val="en-US" w:eastAsia="zh-CN"/>
              </w:rPr>
              <w:t xml:space="preserve">4</w:t>
            </w:r>
            <w:r>
              <w:rPr>
                <w:rFonts w:hint="default" w:ascii="宋体" w:hAnsi="宋体" w:cs="宋体"/>
                <w:sz w:val="24"/>
                <w:szCs w:val="24"/>
                <w:highlight w:val="none"/>
                <w:lang w:val="en-US" w:eastAsia="zh-CN"/>
              </w:rPr>
              <w:t xml:space="preserve">）调零电路：有1个OP07运放组成反向放大器，放大倍数-1，并采用外部调零。</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2D26578A">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w:t>
            </w:r>
            <w:r>
              <w:rPr>
                <w:rFonts w:hint="eastAsia" w:ascii="宋体" w:hAnsi="宋体" w:cs="宋体"/>
                <w:sz w:val="24"/>
                <w:szCs w:val="24"/>
                <w:highlight w:val="none"/>
                <w:lang w:val="en-US" w:eastAsia="zh-CN"/>
              </w:rPr>
              <w:t xml:space="preserve">5</w:t>
            </w:r>
            <w:r>
              <w:rPr>
                <w:rFonts w:hint="default" w:ascii="宋体" w:hAnsi="宋体" w:cs="宋体"/>
                <w:sz w:val="24"/>
                <w:szCs w:val="24"/>
                <w:highlight w:val="none"/>
                <w:lang w:val="en-US" w:eastAsia="zh-CN"/>
              </w:rPr>
              <w:t xml:space="preserve">）取样电路：由分压电路和跟随器组成</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13482024">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w:t>
            </w:r>
            <w:r>
              <w:rPr>
                <w:rFonts w:hint="eastAsia" w:ascii="宋体" w:hAnsi="宋体" w:cs="宋体"/>
                <w:sz w:val="24"/>
                <w:szCs w:val="24"/>
                <w:highlight w:val="none"/>
                <w:lang w:val="en-US" w:eastAsia="zh-CN"/>
              </w:rPr>
              <w:t xml:space="preserve">6</w:t>
            </w:r>
            <w:r>
              <w:rPr>
                <w:rFonts w:hint="default" w:ascii="宋体" w:hAnsi="宋体" w:cs="宋体"/>
                <w:sz w:val="24"/>
                <w:szCs w:val="24"/>
                <w:highlight w:val="none"/>
                <w:lang w:val="en-US" w:eastAsia="zh-CN"/>
              </w:rPr>
              <w:t xml:space="preserve">）压力表：量程0.1MPa，精度2.5级</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50024FA3">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w:t>
            </w:r>
            <w:r>
              <w:rPr>
                <w:rFonts w:hint="eastAsia" w:ascii="宋体" w:hAnsi="宋体" w:cs="宋体"/>
                <w:sz w:val="24"/>
                <w:szCs w:val="24"/>
                <w:highlight w:val="none"/>
                <w:lang w:val="en-US" w:eastAsia="zh-CN"/>
              </w:rPr>
              <w:t xml:space="preserve">7</w:t>
            </w:r>
            <w:r>
              <w:rPr>
                <w:rFonts w:hint="default" w:ascii="宋体" w:hAnsi="宋体" w:cs="宋体"/>
                <w:sz w:val="24"/>
                <w:szCs w:val="24"/>
                <w:highlight w:val="none"/>
                <w:lang w:val="en-US" w:eastAsia="zh-CN"/>
              </w:rPr>
              <w:t xml:space="preserve">）压力调节机构：手动调节，行程不小于35mm，压力调节范围大于0.1MPa</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72D93DCC">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3.差动变压器实验模块</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3DCCC437">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（1）模块由激励电压、信号放大电路、位移传感器支架组成，可组装成差动变压器式位移传感器。</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39DECCDC">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w:t>
            </w:r>
            <w:r>
              <w:rPr>
                <w:rFonts w:hint="eastAsia" w:ascii="宋体" w:hAnsi="宋体" w:cs="宋体"/>
                <w:sz w:val="24"/>
                <w:szCs w:val="24"/>
                <w:highlight w:val="none"/>
                <w:lang w:val="en-US" w:eastAsia="zh-CN"/>
              </w:rPr>
              <w:t xml:space="preserve">2</w:t>
            </w:r>
            <w:r>
              <w:rPr>
                <w:rFonts w:hint="default" w:ascii="宋体" w:hAnsi="宋体" w:cs="宋体"/>
                <w:sz w:val="24"/>
                <w:szCs w:val="24"/>
                <w:highlight w:val="none"/>
                <w:lang w:val="en-US" w:eastAsia="zh-CN"/>
              </w:rPr>
              <w:t xml:space="preserve">）信号放大电路：由1个OP07运放组成反向放大器，放大倍率-30</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6D2117FD">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w:t>
            </w:r>
            <w:r>
              <w:rPr>
                <w:rFonts w:hint="eastAsia" w:ascii="宋体" w:hAnsi="宋体" w:cs="宋体"/>
                <w:sz w:val="24"/>
                <w:szCs w:val="24"/>
                <w:highlight w:val="none"/>
                <w:lang w:val="en-US" w:eastAsia="zh-CN"/>
              </w:rPr>
              <w:t xml:space="preserve">3</w:t>
            </w:r>
            <w:r>
              <w:rPr>
                <w:rFonts w:hint="default" w:ascii="宋体" w:hAnsi="宋体" w:cs="宋体"/>
                <w:sz w:val="24"/>
                <w:szCs w:val="24"/>
                <w:highlight w:val="none"/>
                <w:lang w:val="en-US" w:eastAsia="zh-CN"/>
              </w:rPr>
              <w:t xml:space="preserve">）位移传感器支架：采用注塑一次成型，可安装传感器和螺旋测微器</w:t>
            </w:r>
            <w:r>
              <w:rPr>
                <w:rFonts w:hint="eastAsia" w:ascii="宋体" w:hAnsi="宋体" w:cs="宋体"/>
                <w:sz w:val="24"/>
                <w:szCs w:val="24"/>
                <w:highlight w:val="none"/>
                <w:lang w:val="en-US" w:eastAsia="zh-CN"/>
              </w:rPr>
              <w:t xml:space="preserve">。</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4656858B">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4.电容传感器实验模块</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1165EE5C">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（1）模块由方波信号发生器、交流电桥、信号放大电路、位移传感器支架、测微头绝缘套组成，可组装成电容位移传感器</w:t>
            </w:r>
            <w:r>
              <w:rPr>
                <w:rFonts w:hint="eastAsia" w:ascii="宋体" w:hAnsi="宋体" w:cs="宋体"/>
                <w:sz w:val="24"/>
                <w:szCs w:val="24"/>
                <w:highlight w:val="none"/>
                <w:lang w:val="en-US" w:eastAsia="zh-CN"/>
              </w:rPr>
              <w:t xml:space="preserve">。</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13923380">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w:t>
            </w:r>
            <w:r>
              <w:rPr>
                <w:rFonts w:hint="eastAsia" w:ascii="宋体" w:hAnsi="宋体" w:cs="宋体"/>
                <w:sz w:val="24"/>
                <w:szCs w:val="24"/>
                <w:highlight w:val="none"/>
                <w:lang w:val="en-US" w:eastAsia="zh-CN"/>
              </w:rPr>
              <w:t xml:space="preserve">2</w:t>
            </w:r>
            <w:r>
              <w:rPr>
                <w:rFonts w:hint="default" w:ascii="宋体" w:hAnsi="宋体" w:cs="宋体"/>
                <w:sz w:val="24"/>
                <w:szCs w:val="24"/>
                <w:highlight w:val="none"/>
                <w:lang w:val="en-US" w:eastAsia="zh-CN"/>
              </w:rPr>
              <w:t xml:space="preserve">）信号放大电路：由1个17741运放组成反向放大器，放大倍率-15.5</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47C16D6B">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w:t>
            </w:r>
            <w:r>
              <w:rPr>
                <w:rFonts w:hint="eastAsia" w:ascii="宋体" w:hAnsi="宋体" w:cs="宋体"/>
                <w:sz w:val="24"/>
                <w:szCs w:val="24"/>
                <w:highlight w:val="none"/>
                <w:lang w:val="en-US" w:eastAsia="zh-CN"/>
              </w:rPr>
              <w:t xml:space="preserve">3</w:t>
            </w:r>
            <w:r>
              <w:rPr>
                <w:rFonts w:hint="default" w:ascii="宋体" w:hAnsi="宋体" w:cs="宋体"/>
                <w:sz w:val="24"/>
                <w:szCs w:val="24"/>
                <w:highlight w:val="none"/>
                <w:lang w:val="en-US" w:eastAsia="zh-CN"/>
              </w:rPr>
              <w:t xml:space="preserve">）位移传感器支架：采用注塑一次成型，可安装传感器和螺旋测微器</w:t>
            </w:r>
            <w:r>
              <w:rPr>
                <w:rFonts w:hint="eastAsia" w:ascii="宋体" w:hAnsi="宋体" w:cs="宋体"/>
                <w:sz w:val="24"/>
                <w:szCs w:val="24"/>
                <w:highlight w:val="none"/>
                <w:lang w:val="en-US" w:eastAsia="zh-CN"/>
              </w:rPr>
              <w:t xml:space="preserve">。</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3AE8A1E2">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5.霍尔传感器实验模块</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73D85F6C">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（1）模块由直流激励、交流激励、信号放大电路、位移传感器支架组成，可组装成霍尔位移传感器</w:t>
            </w:r>
            <w:r>
              <w:rPr>
                <w:rFonts w:hint="eastAsia" w:ascii="宋体" w:hAnsi="宋体" w:cs="宋体"/>
                <w:sz w:val="24"/>
                <w:szCs w:val="24"/>
                <w:highlight w:val="none"/>
                <w:lang w:val="en-US" w:eastAsia="zh-CN"/>
              </w:rPr>
              <w:t xml:space="preserve">。</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1FE68358">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w:t>
            </w:r>
            <w:r>
              <w:rPr>
                <w:rFonts w:hint="eastAsia" w:ascii="宋体" w:hAnsi="宋体" w:cs="宋体"/>
                <w:sz w:val="24"/>
                <w:szCs w:val="24"/>
                <w:highlight w:val="none"/>
                <w:lang w:val="en-US" w:eastAsia="zh-CN"/>
              </w:rPr>
              <w:t xml:space="preserve">2</w:t>
            </w:r>
            <w:r>
              <w:rPr>
                <w:rFonts w:hint="default" w:ascii="宋体" w:hAnsi="宋体" w:cs="宋体"/>
                <w:sz w:val="24"/>
                <w:szCs w:val="24"/>
                <w:highlight w:val="none"/>
                <w:lang w:val="en-US" w:eastAsia="zh-CN"/>
              </w:rPr>
              <w:t xml:space="preserve">）信号放大电路：由1个OP07运放组成反向放大器，放大倍率-2</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7BD7B880">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w:t>
            </w:r>
            <w:r>
              <w:rPr>
                <w:rFonts w:hint="eastAsia" w:ascii="宋体" w:hAnsi="宋体" w:cs="宋体"/>
                <w:sz w:val="24"/>
                <w:szCs w:val="24"/>
                <w:highlight w:val="none"/>
                <w:lang w:val="en-US" w:eastAsia="zh-CN"/>
              </w:rPr>
              <w:t xml:space="preserve">3</w:t>
            </w:r>
            <w:r>
              <w:rPr>
                <w:rFonts w:hint="default" w:ascii="宋体" w:hAnsi="宋体" w:cs="宋体"/>
                <w:sz w:val="24"/>
                <w:szCs w:val="24"/>
                <w:highlight w:val="none"/>
                <w:lang w:val="en-US" w:eastAsia="zh-CN"/>
              </w:rPr>
              <w:t xml:space="preserve">）位移传感器支架：采用注塑一次成型，可安装传感器和螺旋测微器</w:t>
            </w:r>
            <w:r>
              <w:rPr>
                <w:rFonts w:hint="eastAsia" w:ascii="宋体" w:hAnsi="宋体" w:cs="宋体"/>
                <w:sz w:val="24"/>
                <w:szCs w:val="24"/>
                <w:highlight w:val="none"/>
                <w:lang w:val="en-US" w:eastAsia="zh-CN"/>
              </w:rPr>
              <w:t xml:space="preserve">。</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153D801E">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6.光纤传感器实验模块</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2BE783E6">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（1）模块由光发射电路、光接收电路、信号放大电路、位移传感器支架、反射镜面组成，可组装成光纤位移传感器，具有调零功能</w:t>
            </w:r>
            <w:r>
              <w:rPr>
                <w:rFonts w:hint="eastAsia" w:ascii="宋体" w:hAnsi="宋体" w:cs="宋体"/>
                <w:sz w:val="24"/>
                <w:szCs w:val="24"/>
                <w:highlight w:val="none"/>
                <w:lang w:val="en-US" w:eastAsia="zh-CN"/>
              </w:rPr>
              <w:t xml:space="preserve">。</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26EDEBE7">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w:t>
            </w:r>
            <w:r>
              <w:rPr>
                <w:rFonts w:hint="eastAsia" w:ascii="宋体" w:hAnsi="宋体" w:cs="宋体"/>
                <w:sz w:val="24"/>
                <w:szCs w:val="24"/>
                <w:highlight w:val="none"/>
                <w:lang w:val="en-US" w:eastAsia="zh-CN"/>
              </w:rPr>
              <w:t xml:space="preserve">2</w:t>
            </w:r>
            <w:r>
              <w:rPr>
                <w:rFonts w:hint="default" w:ascii="宋体" w:hAnsi="宋体" w:cs="宋体"/>
                <w:sz w:val="24"/>
                <w:szCs w:val="24"/>
                <w:highlight w:val="none"/>
                <w:lang w:val="en-US" w:eastAsia="zh-CN"/>
              </w:rPr>
              <w:t xml:space="preserve">）信号放大电路：由1个OP07运放组成反向放大器，放大倍率-3.9</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2EE3D80C">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w:t>
            </w:r>
            <w:r>
              <w:rPr>
                <w:rFonts w:hint="eastAsia" w:ascii="宋体" w:hAnsi="宋体" w:cs="宋体"/>
                <w:sz w:val="24"/>
                <w:szCs w:val="24"/>
                <w:highlight w:val="none"/>
                <w:lang w:val="en-US" w:eastAsia="zh-CN"/>
              </w:rPr>
              <w:t xml:space="preserve">3</w:t>
            </w:r>
            <w:r>
              <w:rPr>
                <w:rFonts w:hint="default" w:ascii="宋体" w:hAnsi="宋体" w:cs="宋体"/>
                <w:sz w:val="24"/>
                <w:szCs w:val="24"/>
                <w:highlight w:val="none"/>
                <w:lang w:val="en-US" w:eastAsia="zh-CN"/>
              </w:rPr>
              <w:t xml:space="preserve">）调零电路：由1个OP07运放组成，外置调零，放大倍率-10</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6AF8D626">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w:t>
            </w:r>
            <w:r>
              <w:rPr>
                <w:rFonts w:hint="eastAsia" w:ascii="宋体" w:hAnsi="宋体" w:cs="宋体"/>
                <w:sz w:val="24"/>
                <w:szCs w:val="24"/>
                <w:highlight w:val="none"/>
                <w:lang w:val="en-US" w:eastAsia="zh-CN"/>
              </w:rPr>
              <w:t xml:space="preserve">4</w:t>
            </w:r>
            <w:r>
              <w:rPr>
                <w:rFonts w:hint="default" w:ascii="宋体" w:hAnsi="宋体" w:cs="宋体"/>
                <w:sz w:val="24"/>
                <w:szCs w:val="24"/>
                <w:highlight w:val="none"/>
                <w:lang w:val="en-US" w:eastAsia="zh-CN"/>
              </w:rPr>
              <w:t xml:space="preserve">）面板上安装有光纤传感器支架，内部安装有红外发射器和接收器</w:t>
            </w:r>
            <w:r>
              <w:rPr>
                <w:rFonts w:hint="eastAsia" w:ascii="宋体" w:hAnsi="宋体" w:cs="宋体"/>
                <w:sz w:val="24"/>
                <w:szCs w:val="24"/>
                <w:highlight w:val="none"/>
                <w:lang w:val="en-US" w:eastAsia="zh-CN"/>
              </w:rPr>
              <w:t xml:space="preserve">。</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0366C360">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w:t>
            </w:r>
            <w:r>
              <w:rPr>
                <w:rFonts w:hint="eastAsia" w:ascii="宋体" w:hAnsi="宋体" w:cs="宋体"/>
                <w:sz w:val="24"/>
                <w:szCs w:val="24"/>
                <w:highlight w:val="none"/>
                <w:lang w:val="en-US" w:eastAsia="zh-CN"/>
              </w:rPr>
              <w:t xml:space="preserve">5</w:t>
            </w:r>
            <w:r>
              <w:rPr>
                <w:rFonts w:hint="default" w:ascii="宋体" w:hAnsi="宋体" w:cs="宋体"/>
                <w:sz w:val="24"/>
                <w:szCs w:val="24"/>
                <w:highlight w:val="none"/>
                <w:lang w:val="en-US" w:eastAsia="zh-CN"/>
              </w:rPr>
              <w:t xml:space="preserve">）位移传感器支架：采用注塑一次成型，可安装传感器和螺旋测微器</w:t>
            </w:r>
            <w:r>
              <w:rPr>
                <w:rFonts w:hint="eastAsia" w:ascii="宋体" w:hAnsi="宋体" w:cs="宋体"/>
                <w:sz w:val="24"/>
                <w:szCs w:val="24"/>
                <w:highlight w:val="none"/>
                <w:lang w:val="en-US" w:eastAsia="zh-CN"/>
              </w:rPr>
              <w:t xml:space="preserve">。</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085581C2">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7.电涡流位移传感器实验模块</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709EF2B9">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（1）模块由高频信号发生器、滤波器、信号放大电路、位移传感器支架、金属探测物组成，可组装成电涡流位移传感器</w:t>
            </w:r>
            <w:r>
              <w:rPr>
                <w:rFonts w:hint="eastAsia" w:ascii="宋体" w:hAnsi="宋体" w:cs="宋体"/>
                <w:sz w:val="24"/>
                <w:szCs w:val="24"/>
                <w:highlight w:val="none"/>
                <w:lang w:val="en-US" w:eastAsia="zh-CN"/>
              </w:rPr>
              <w:t xml:space="preserve">。</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60690F47">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w:t>
            </w:r>
            <w:r>
              <w:rPr>
                <w:rFonts w:hint="eastAsia" w:ascii="宋体" w:hAnsi="宋体" w:cs="宋体"/>
                <w:sz w:val="24"/>
                <w:szCs w:val="24"/>
                <w:highlight w:val="none"/>
                <w:lang w:val="en-US" w:eastAsia="zh-CN"/>
              </w:rPr>
              <w:t xml:space="preserve">2</w:t>
            </w:r>
            <w:r>
              <w:rPr>
                <w:rFonts w:hint="default" w:ascii="宋体" w:hAnsi="宋体" w:cs="宋体"/>
                <w:sz w:val="24"/>
                <w:szCs w:val="24"/>
                <w:highlight w:val="none"/>
                <w:lang w:val="en-US" w:eastAsia="zh-CN"/>
              </w:rPr>
              <w:t xml:space="preserve">）位移传感器支架：采用注塑一次成型，可安装传感器和螺旋测微器</w:t>
            </w:r>
            <w:r>
              <w:rPr>
                <w:rFonts w:hint="eastAsia" w:ascii="宋体" w:hAnsi="宋体" w:cs="宋体"/>
                <w:sz w:val="24"/>
                <w:szCs w:val="24"/>
                <w:highlight w:val="none"/>
                <w:lang w:val="en-US" w:eastAsia="zh-CN"/>
              </w:rPr>
              <w:t xml:space="preserve">。</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57202044">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8.压电传感器实验模块</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2082FFA0">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（1）模块由电容反馈性放大器和二阶低通滤波器组成</w:t>
            </w:r>
            <w:r>
              <w:rPr>
                <w:rFonts w:hint="eastAsia" w:ascii="宋体" w:hAnsi="宋体" w:cs="宋体"/>
                <w:sz w:val="24"/>
                <w:szCs w:val="24"/>
                <w:highlight w:val="none"/>
                <w:lang w:val="en-US" w:eastAsia="zh-CN"/>
              </w:rPr>
              <w:t xml:space="preserve">。</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30A7F7EB">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9.温度传感器实验模块</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4E37FAD4">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（1）模块由电桥、仪表放大器、调零、取样电路组成，可组装成温度计，具有调零和校准功能</w:t>
            </w:r>
            <w:r>
              <w:rPr>
                <w:rFonts w:hint="eastAsia" w:ascii="宋体" w:hAnsi="宋体" w:cs="宋体"/>
                <w:sz w:val="24"/>
                <w:szCs w:val="24"/>
                <w:highlight w:val="none"/>
                <w:lang w:val="en-US" w:eastAsia="zh-CN"/>
              </w:rPr>
              <w:t xml:space="preserve">。</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4B242B2B">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w:t>
            </w:r>
            <w:r>
              <w:rPr>
                <w:rFonts w:hint="eastAsia" w:ascii="宋体" w:hAnsi="宋体" w:cs="宋体"/>
                <w:sz w:val="24"/>
                <w:szCs w:val="24"/>
                <w:highlight w:val="none"/>
                <w:lang w:val="en-US" w:eastAsia="zh-CN"/>
              </w:rPr>
              <w:t xml:space="preserve">2</w:t>
            </w:r>
            <w:r>
              <w:rPr>
                <w:rFonts w:hint="default" w:ascii="宋体" w:hAnsi="宋体" w:cs="宋体"/>
                <w:sz w:val="24"/>
                <w:szCs w:val="24"/>
                <w:highlight w:val="none"/>
                <w:lang w:val="en-US" w:eastAsia="zh-CN"/>
              </w:rPr>
              <w:t xml:space="preserve">）仪表放大器：由3个OP07运放组成，放大倍率-10</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66BF3DA5">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w:t>
            </w:r>
            <w:r>
              <w:rPr>
                <w:rFonts w:hint="eastAsia" w:ascii="宋体" w:hAnsi="宋体" w:cs="宋体"/>
                <w:sz w:val="24"/>
                <w:szCs w:val="24"/>
                <w:highlight w:val="none"/>
                <w:lang w:val="en-US" w:eastAsia="zh-CN"/>
              </w:rPr>
              <w:t xml:space="preserve">3</w:t>
            </w:r>
            <w:r>
              <w:rPr>
                <w:rFonts w:hint="default" w:ascii="宋体" w:hAnsi="宋体" w:cs="宋体"/>
                <w:sz w:val="24"/>
                <w:szCs w:val="24"/>
                <w:highlight w:val="none"/>
                <w:lang w:val="en-US" w:eastAsia="zh-CN"/>
              </w:rPr>
              <w:t xml:space="preserve">）调零电路：有1个OP07运放组成反向放大器，放大倍数-1，并采用外部调零。</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51BB66A9">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（6）取样电路：由分压电路和跟随器组成</w:t>
            </w:r>
            <w:r>
              <w:rPr>
                <w:rFonts w:hint="eastAsia" w:ascii="宋体" w:hAnsi="宋体" w:cs="宋体"/>
                <w:sz w:val="24"/>
                <w:szCs w:val="24"/>
                <w:highlight w:val="none"/>
                <w:lang w:val="en-US" w:eastAsia="zh-CN"/>
              </w:rPr>
              <w:t xml:space="preserve">。</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1AEBFB17">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10.相敏检波实验模块</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7607CA7A">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由移相、检波、滤波电路组成，具有移相、检波、滤波功能。</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28825B28">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11.信号转换实验模块</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17F7119E">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具有电流电压转换、频率电压转化功能。</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1AD20E2D">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（1）电流电压转换电路：输入0mA～20mA，输出0V～5V</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0AB5087D">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（2）频率电压转换电路：输入10Hz～10kHz方波信号，输出0.01V～10V</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36CE78E3">
            <w:pPr>
              <w:keepNext w:val="false"/>
              <w:keepLines w:val="false"/>
              <w:pageBreakBefore w:val="false"/>
              <w:widowControl w:val="false"/>
              <w:pBdr/>
              <w:bidi w:val="false"/>
              <w:spacing w:line="304" w:lineRule="exact"/>
              <w:ind w:firstLine="0"/>
              <w:rPr>
                <w:rFonts w:hint="eastAsia" w:ascii="宋体" w:hAnsi="宋体" w:cs="宋体"/>
                <w:b/>
                <w:bCs/>
                <w:sz w:val="24"/>
                <w:szCs w:val="24"/>
                <w:highlight w:val="none"/>
                <w:lang w:val="en-US" w:eastAsia="zh-CN"/>
              </w:rPr>
            </w:pPr>
            <w:r>
              <w:rPr>
                <w:rFonts w:hint="eastAsia" w:ascii="宋体" w:hAnsi="宋体" w:cs="宋体"/>
                <w:b/>
                <w:bCs/>
                <w:sz w:val="24"/>
                <w:szCs w:val="24"/>
                <w:highlight w:val="none"/>
                <w:lang w:val="en-US" w:eastAsia="zh-CN"/>
              </w:rPr>
              <w:t xml:space="preserve">六、</w:t>
            </w:r>
            <w:r>
              <w:rPr>
                <w:rFonts w:hint="default" w:ascii="宋体" w:hAnsi="宋体" w:cs="宋体"/>
                <w:b/>
                <w:bCs/>
                <w:sz w:val="24"/>
                <w:szCs w:val="24"/>
                <w:highlight w:val="none"/>
                <w:lang w:val="en-US" w:eastAsia="zh-CN"/>
              </w:rPr>
              <w:t xml:space="preserve">数据采集卡</w:t>
            </w:r>
            <w:r>
              <w:rPr>
                <w:rFonts w:hint="eastAsia" w:ascii="宋体" w:hAnsi="宋体" w:cs="宋体"/>
                <w:b/>
                <w:bCs/>
                <w:sz w:val="24"/>
                <w:szCs w:val="24"/>
                <w:highlight w:val="none"/>
                <w:lang w:val="en-US" w:eastAsia="zh-CN"/>
              </w:rPr>
              <w:t xml:space="preserve">技术参数</w:t>
            </w:r>
            <w:r>
              <w:rPr>
                <w:rFonts w:hint="eastAsia" w:ascii="宋体" w:hAnsi="宋体" w:cs="宋体"/>
                <w:b/>
                <w:bCs/>
                <w:sz w:val="24"/>
                <w:szCs w:val="24"/>
                <w:highlight w:val="none"/>
                <w:lang w:val="en-US" w:eastAsia="zh-CN"/>
              </w:rPr>
            </w:r>
            <w:r>
              <w:rPr>
                <w:rFonts w:hint="eastAsia" w:ascii="宋体" w:hAnsi="宋体" w:cs="宋体"/>
                <w:b/>
                <w:bCs/>
                <w:sz w:val="24"/>
                <w:szCs w:val="24"/>
                <w:highlight w:val="none"/>
                <w:lang w:val="en-US" w:eastAsia="zh-CN"/>
              </w:rPr>
            </w:r>
          </w:p>
          <w:p w14:paraId="469795DA">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1.高速USB2.0接口</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572133CB">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2.模拟输入</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4E509AB2">
            <w:pPr>
              <w:keepNext w:val="false"/>
              <w:keepLines w:val="false"/>
              <w:pageBreakBefore w:val="false"/>
              <w:widowControl w:val="false"/>
              <w:pBdr/>
              <w:bidi w:val="false"/>
              <w:spacing w:line="304" w:lineRule="exact"/>
              <w:ind w:firstLine="48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8路单端模拟信号输入</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3330F077">
            <w:pPr>
              <w:keepNext w:val="false"/>
              <w:keepLines w:val="false"/>
              <w:pageBreakBefore w:val="false"/>
              <w:widowControl w:val="false"/>
              <w:pBdr/>
              <w:bidi w:val="false"/>
              <w:spacing w:line="304" w:lineRule="exact"/>
              <w:ind w:firstLine="48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模拟电压输入范围：±10V</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2F69B59B">
            <w:pPr>
              <w:keepNext w:val="false"/>
              <w:keepLines w:val="false"/>
              <w:pageBreakBefore w:val="false"/>
              <w:widowControl w:val="false"/>
              <w:pBdr/>
              <w:bidi w:val="false"/>
              <w:spacing w:line="304" w:lineRule="exact"/>
              <w:ind w:firstLine="48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最大采样速率单通道：400k</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24FDE2C4">
            <w:pPr>
              <w:keepNext w:val="false"/>
              <w:keepLines w:val="false"/>
              <w:pageBreakBefore w:val="false"/>
              <w:widowControl w:val="false"/>
              <w:pBdr/>
              <w:bidi w:val="false"/>
              <w:spacing w:line="304" w:lineRule="exact"/>
              <w:ind w:firstLine="48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输入阻抗：≥200kΩ</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476130D5">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3. 开关量输入输出</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6BB30EB4">
            <w:pPr>
              <w:keepNext w:val="false"/>
              <w:keepLines w:val="false"/>
              <w:pageBreakBefore w:val="false"/>
              <w:widowControl w:val="false"/>
              <w:pBdr/>
              <w:bidi w:val="false"/>
              <w:spacing w:line="304" w:lineRule="exact"/>
              <w:ind w:firstLine="24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8路数字量输入、5路数字量输出；数字端口满足标准TTL电气特性</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0BC19DE0">
            <w:pPr>
              <w:keepNext w:val="false"/>
              <w:keepLines w:val="false"/>
              <w:pageBreakBefore w:val="false"/>
              <w:widowControl w:val="false"/>
              <w:pBdr/>
              <w:bidi w:val="false"/>
              <w:spacing w:line="304" w:lineRule="exact"/>
              <w:ind w:firstLine="24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数字量输入高电平（即“1”）的最低电压：2.7V</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19C5951E">
            <w:pPr>
              <w:keepNext w:val="false"/>
              <w:keepLines w:val="false"/>
              <w:pageBreakBefore w:val="false"/>
              <w:widowControl w:val="false"/>
              <w:pBdr/>
              <w:bidi w:val="false"/>
              <w:spacing w:line="304" w:lineRule="exact"/>
              <w:ind w:firstLine="24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数字量输入低电平（即“0”）的最高电压：2.4V</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5658A334">
            <w:pPr>
              <w:keepNext w:val="false"/>
              <w:keepLines w:val="false"/>
              <w:pageBreakBefore w:val="false"/>
              <w:widowControl w:val="false"/>
              <w:pBdr/>
              <w:bidi w:val="false"/>
              <w:spacing w:line="304" w:lineRule="exact"/>
              <w:ind w:firstLine="24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数字量输出高电平（即“1”）的最低电压：3.4V</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70BA71CC">
            <w:pPr>
              <w:keepNext w:val="false"/>
              <w:keepLines w:val="false"/>
              <w:pageBreakBefore w:val="false"/>
              <w:widowControl w:val="false"/>
              <w:pBdr/>
              <w:bidi w:val="false"/>
              <w:spacing w:line="304" w:lineRule="exact"/>
              <w:ind w:firstLine="24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数字量输出低电平（即“0”）的最高电压：0.5V</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095188CA">
            <w:pPr>
              <w:keepNext w:val="false"/>
              <w:keepLines w:val="false"/>
              <w:pageBreakBefore w:val="false"/>
              <w:widowControl w:val="false"/>
              <w:pBdr/>
              <w:bidi w:val="false"/>
              <w:spacing w:line="304" w:lineRule="exact"/>
              <w:ind w:firstLine="0"/>
              <w:rPr>
                <w:rFonts w:hint="eastAsia"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4.配套软件具有：实时采集实验数据，对数据进行动态或静态处理和分析，带有传感器虚拟仿真、双通道虚拟示波器、电机控制等功能</w:t>
            </w:r>
            <w:r>
              <w:rPr>
                <w:rFonts w:hint="eastAsia" w:ascii="宋体" w:hAnsi="宋体" w:cs="宋体"/>
                <w:sz w:val="24"/>
                <w:szCs w:val="24"/>
                <w:highlight w:val="none"/>
                <w:lang w:val="en-US" w:eastAsia="zh-CN"/>
              </w:rPr>
              <w:t xml:space="preserve">。</w:t>
            </w:r>
            <w:r>
              <w:rPr>
                <w:rFonts w:hint="eastAsia" w:ascii="宋体" w:hAnsi="宋体" w:cs="宋体"/>
                <w:sz w:val="24"/>
                <w:szCs w:val="24"/>
                <w:highlight w:val="none"/>
                <w:lang w:val="en-US" w:eastAsia="zh-CN"/>
              </w:rPr>
            </w:r>
            <w:r>
              <w:rPr>
                <w:rFonts w:hint="eastAsia" w:ascii="宋体" w:hAnsi="宋体" w:cs="宋体"/>
                <w:sz w:val="24"/>
                <w:szCs w:val="24"/>
                <w:highlight w:val="none"/>
                <w:lang w:val="en-US" w:eastAsia="zh-CN"/>
              </w:rPr>
            </w:r>
          </w:p>
          <w:p w14:paraId="6010808D">
            <w:pPr>
              <w:keepNext w:val="false"/>
              <w:keepLines w:val="false"/>
              <w:pageBreakBefore w:val="false"/>
              <w:widowControl w:val="false"/>
              <w:pBdr/>
              <w:bidi w:val="false"/>
              <w:spacing w:line="304" w:lineRule="exact"/>
              <w:ind w:firstLine="0"/>
              <w:rPr>
                <w:rFonts w:hint="eastAsia" w:ascii="宋体" w:hAnsi="宋体" w:cs="宋体"/>
                <w:b/>
                <w:bCs/>
                <w:sz w:val="24"/>
                <w:szCs w:val="24"/>
                <w:highlight w:val="none"/>
                <w:lang w:val="en-US" w:eastAsia="zh-CN"/>
              </w:rPr>
            </w:pPr>
            <w:r>
              <w:rPr>
                <w:rFonts w:hint="eastAsia" w:ascii="宋体" w:hAnsi="宋体" w:cs="宋体"/>
                <w:b/>
                <w:bCs/>
                <w:sz w:val="24"/>
                <w:szCs w:val="24"/>
                <w:highlight w:val="none"/>
                <w:lang w:val="en-US" w:eastAsia="zh-CN"/>
              </w:rPr>
              <w:t xml:space="preserve">七、</w:t>
            </w:r>
            <w:r>
              <w:rPr>
                <w:rFonts w:hint="default" w:ascii="宋体" w:hAnsi="宋体" w:cs="宋体"/>
                <w:b/>
                <w:bCs/>
                <w:sz w:val="24"/>
                <w:szCs w:val="24"/>
                <w:highlight w:val="none"/>
                <w:lang w:val="en-US" w:eastAsia="zh-CN"/>
              </w:rPr>
              <w:t xml:space="preserve">实训控制终端</w:t>
            </w:r>
            <w:r>
              <w:rPr>
                <w:rFonts w:hint="eastAsia" w:ascii="宋体" w:hAnsi="宋体" w:cs="宋体"/>
                <w:b/>
                <w:bCs/>
                <w:sz w:val="24"/>
                <w:szCs w:val="24"/>
                <w:highlight w:val="none"/>
                <w:lang w:val="en-US" w:eastAsia="zh-CN"/>
              </w:rPr>
              <w:t xml:space="preserve">技术参数</w:t>
            </w:r>
            <w:r>
              <w:rPr>
                <w:rFonts w:hint="eastAsia" w:ascii="宋体" w:hAnsi="宋体" w:cs="宋体"/>
                <w:b/>
                <w:bCs/>
                <w:sz w:val="24"/>
                <w:szCs w:val="24"/>
                <w:highlight w:val="none"/>
                <w:lang w:val="en-US" w:eastAsia="zh-CN"/>
              </w:rPr>
            </w:r>
            <w:r>
              <w:rPr>
                <w:rFonts w:hint="eastAsia" w:ascii="宋体" w:hAnsi="宋体" w:cs="宋体"/>
                <w:b/>
                <w:bCs/>
                <w:sz w:val="24"/>
                <w:szCs w:val="24"/>
                <w:highlight w:val="none"/>
                <w:lang w:val="en-US" w:eastAsia="zh-CN"/>
              </w:rPr>
            </w:r>
          </w:p>
          <w:p w14:paraId="385BF1EB">
            <w:pPr>
              <w:keepNext w:val="false"/>
              <w:keepLines w:val="false"/>
              <w:pageBreakBefore w:val="false"/>
              <w:widowControl w:val="false"/>
              <w:pBdr/>
              <w:bidi w:val="false"/>
              <w:spacing w:line="304" w:lineRule="exact"/>
              <w:ind w:firstLine="48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不低于12核心/20线程（6性能核+8能效核）、内存不低于16GB DDR4-3200，最大支持64G</w:t>
            </w:r>
            <w:r>
              <w:rPr>
                <w:rFonts w:hint="eastAsia" w:ascii="宋体" w:hAnsi="宋体" w:cs="宋体"/>
                <w:sz w:val="24"/>
                <w:szCs w:val="24"/>
                <w:highlight w:val="none"/>
                <w:lang w:val="en-US" w:eastAsia="zh-CN"/>
              </w:rPr>
              <w:t xml:space="preserve">，</w:t>
            </w:r>
            <w:r>
              <w:rPr>
                <w:rFonts w:hint="default" w:ascii="宋体" w:hAnsi="宋体" w:cs="宋体"/>
                <w:sz w:val="24"/>
                <w:szCs w:val="24"/>
                <w:highlight w:val="none"/>
                <w:lang w:val="en-US" w:eastAsia="zh-CN"/>
              </w:rPr>
              <w:t xml:space="preserve">存储不低于512G固态 +1TB机械硬盘组合，显示器不低于23.8"，不低于1080P分辩率。</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6BC909DD">
            <w:pPr>
              <w:keepNext w:val="false"/>
              <w:keepLines w:val="false"/>
              <w:pageBreakBefore w:val="false"/>
              <w:widowControl w:val="false"/>
              <w:pBdr/>
              <w:bidi w:val="false"/>
              <w:spacing w:line="304" w:lineRule="exact"/>
              <w:ind w:firstLine="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r>
            <w:r>
              <w:rPr>
                <w:rFonts w:hint="eastAsia" w:ascii="宋体" w:hAnsi="宋体" w:cs="宋体"/>
                <w:sz w:val="24"/>
                <w:szCs w:val="24"/>
                <w:highlight w:val="none"/>
                <w:lang w:val="en-US" w:eastAsia="zh-CN"/>
              </w:rPr>
            </w:r>
            <w:r>
              <w:rPr>
                <w:rFonts w:hint="eastAsia" w:ascii="宋体" w:hAnsi="宋体" w:cs="宋体"/>
                <w:sz w:val="24"/>
                <w:szCs w:val="24"/>
                <w:highlight w:val="none"/>
                <w:lang w:val="en-US" w:eastAsia="zh-CN"/>
              </w:rPr>
            </w:r>
          </w:p>
          <w:p w14:paraId="7DFBE90E">
            <w:pPr>
              <w:keepNext w:val="false"/>
              <w:keepLines w:val="false"/>
              <w:pageBreakBefore w:val="false"/>
              <w:widowControl w:val="false"/>
              <w:pBdr/>
              <w:bidi w:val="false"/>
              <w:spacing w:line="304" w:lineRule="exact"/>
              <w:ind w:firstLine="0"/>
              <w:rPr>
                <w:rFonts w:hint="default" w:ascii="宋体" w:hAnsi="宋体" w:cs="宋体"/>
                <w:b/>
                <w:bCs/>
                <w:sz w:val="24"/>
                <w:szCs w:val="24"/>
                <w:highlight w:val="none"/>
                <w:lang w:val="en-US" w:eastAsia="zh-CN"/>
              </w:rPr>
            </w:pPr>
            <w:r>
              <w:rPr>
                <w:rFonts w:hint="eastAsia" w:ascii="宋体" w:hAnsi="宋体" w:cs="宋体"/>
                <w:b/>
                <w:bCs/>
                <w:sz w:val="24"/>
                <w:szCs w:val="24"/>
                <w:highlight w:val="none"/>
                <w:lang w:val="en-US" w:eastAsia="zh-CN"/>
              </w:rPr>
              <w:t xml:space="preserve">八、其它</w:t>
            </w:r>
            <w:r>
              <w:rPr>
                <w:rFonts w:hint="default" w:ascii="宋体" w:hAnsi="宋体" w:cs="宋体"/>
                <w:b/>
                <w:bCs/>
                <w:sz w:val="24"/>
                <w:szCs w:val="24"/>
                <w:highlight w:val="none"/>
                <w:lang w:val="en-US" w:eastAsia="zh-CN"/>
              </w:rPr>
            </w:r>
            <w:r>
              <w:rPr>
                <w:rFonts w:hint="default" w:ascii="宋体" w:hAnsi="宋体" w:cs="宋体"/>
                <w:b/>
                <w:bCs/>
                <w:sz w:val="24"/>
                <w:szCs w:val="24"/>
                <w:highlight w:val="none"/>
                <w:lang w:val="en-US" w:eastAsia="zh-CN"/>
              </w:rPr>
            </w:r>
          </w:p>
          <w:p w14:paraId="13E8671E">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1.</w:t>
            </w:r>
            <w:r>
              <w:rPr>
                <w:rFonts w:hint="default" w:ascii="宋体" w:hAnsi="宋体" w:cs="宋体"/>
                <w:sz w:val="24"/>
                <w:szCs w:val="24"/>
                <w:highlight w:val="none"/>
                <w:lang w:val="en-US" w:eastAsia="zh-CN"/>
              </w:rPr>
              <w:t xml:space="preserve">超声波测距创新实验套件（整个实验室配</w:t>
            </w:r>
            <w:r>
              <w:rPr>
                <w:rFonts w:hint="eastAsia" w:ascii="宋体" w:hAnsi="宋体" w:cs="宋体"/>
                <w:sz w:val="24"/>
                <w:szCs w:val="24"/>
                <w:highlight w:val="none"/>
                <w:lang w:val="en-US" w:eastAsia="zh-CN"/>
              </w:rPr>
              <w:t xml:space="preserve">1</w:t>
            </w:r>
            <w:r>
              <w:rPr>
                <w:rFonts w:hint="default" w:ascii="宋体" w:hAnsi="宋体" w:cs="宋体"/>
                <w:sz w:val="24"/>
                <w:szCs w:val="24"/>
                <w:highlight w:val="none"/>
                <w:lang w:val="en-US" w:eastAsia="zh-CN"/>
              </w:rPr>
              <w:t xml:space="preserve">套，投标时提供产品截图）</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20E341E3">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（1）超声波传感器和处理电路采用分体式结构，包括：超声波发射接收器、处理电路、反射板三部分；</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1242D396">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（2）量程30～200cm，测量精度±1%，显示精度1mm，1602液晶屏显示，工作电压DC5V，带有“启动/停止”和“复位”两个按键；</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538DAA4D">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（3）燕尾槽导轨，铝制材料，表面黑色氧化处理，可放置超声波传感器和反射板，能连续改变反射板（目标物）的位置。</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002DB0BD">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2.</w:t>
            </w:r>
            <w:r>
              <w:rPr>
                <w:rFonts w:hint="default" w:ascii="宋体" w:hAnsi="宋体" w:cs="宋体"/>
                <w:sz w:val="24"/>
                <w:szCs w:val="24"/>
                <w:highlight w:val="none"/>
                <w:lang w:val="en-US" w:eastAsia="zh-CN"/>
              </w:rPr>
              <w:t xml:space="preserve">传感器创新实验平台（一）（整个实验室配</w:t>
            </w:r>
            <w:r>
              <w:rPr>
                <w:rFonts w:hint="eastAsia" w:ascii="宋体" w:hAnsi="宋体" w:cs="宋体"/>
                <w:sz w:val="24"/>
                <w:szCs w:val="24"/>
                <w:highlight w:val="none"/>
                <w:lang w:val="en-US" w:eastAsia="zh-CN"/>
              </w:rPr>
              <w:t xml:space="preserve">1</w:t>
            </w:r>
            <w:r>
              <w:rPr>
                <w:rFonts w:hint="default" w:ascii="宋体" w:hAnsi="宋体" w:cs="宋体"/>
                <w:sz w:val="24"/>
                <w:szCs w:val="24"/>
                <w:highlight w:val="none"/>
                <w:lang w:val="en-US" w:eastAsia="zh-CN"/>
              </w:rPr>
              <w:t xml:space="preserve">套，投标时提供产品截图）</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34F15198">
            <w:pPr>
              <w:keepNext w:val="false"/>
              <w:keepLines w:val="false"/>
              <w:pageBreakBefore w:val="false"/>
              <w:widowControl w:val="false"/>
              <w:pBdr/>
              <w:bidi w:val="false"/>
              <w:spacing w:line="304" w:lineRule="exact"/>
              <w:ind w:firstLine="48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本实验系统是一个典型的吸浮式悬浮系统。用本实验系统进行综合实验后可掌握以下内容：控制对象的运动方程；磁悬浮系统的电磁力模型；电磁铁中控制电压与电流的模型；电磁铁绕组上的瞬时电感与气隙间的关系；球体平衡时的边界条件；系统数学模型的建立；MATLAB下数学模型的建立；Simulink仿真；电涡流位移传感器的输出特性测试；钢球平衡特性测试；PID控制特性测试；悬浮高度自动控制演示实验；异型物体悬浮演示实验。</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069C4324">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1）磁悬浮实验对象：尺寸为：270*180*370mm，整体结构除传感器保护罩和测试材料调节组件采用透明淡蓝色有机玻璃外，其余结构采用黑色氧化铝板搭建而成，其中底板（配有四个底座调节螺栓和锁紧螺母用于调节设备水平状态）和电磁铁支撑梁采用厚度不小于12mm的铝板、传感器底板通过旋钮和滑轨可实现升降调节（可调节范围不小于65mm，可通过指针查看底板所处位置），两侧立柱（内测标尺）采用不小于10mm铝板，整体不但结实耐用，而且美观大气。</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734DC3A4">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（2）电磁铁：用于对磁浮球产生吸力，实现磁浮材料的吸浮，由线圈支撑座（四周开有六个散热孔）、霍尔模块罩子、铁芯、压盖、线圈架和圆螺母组成。</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5B5D9882">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（3）电涡流位移传感器：能够稳定检测磁浮材料底面到位移传感器探头表面的距离，供电电源：DC24V,输出电压0～5V，线性度≤1%FS。</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147A8CA2">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（4）被测材料：由直径25mm圆球2个、导磁圆环1个、导磁螺钉1个、铜块1个及铝块1个,用于研究不同材质的涡流效应和磁效应。</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3D93FC84">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（5）霍尔传感器模块：体积小巧（0.16x0.118″）低功耗；工作温度范围-40～+150；内含激光修正的薄膜电阻提供精确的灵敏度和温暖度补偿；线性输出（与磁场强度是正比关系）；可反应于正或负的磁场；</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048ADB48">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6）磁悬浮控制箱：尺寸为≤365*255*145mm，实验箱为铝合金机箱，内部采用环氧树脂线路板、线圈驱动电路、散热扇、控制板和铝面板构成。铝面板上装有示波器、直流电流表、液晶显示屏、控制按键、霍尔输出端口、直流稳压电源端口、驱动电路接口、电源按钮和控制器端口等，方便用户对设备进行拓展（如可配采集卡对设备进行控制）设计和进行二次开发。该控制箱采用嵌入式控制器，通过液晶屏和控制按键可以调节控制器的状态（手动/自动）、设定值、PID参数、输出值（OP）,所有参数可精确到小数点后四位。</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243BAB0F">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3.</w:t>
            </w:r>
            <w:r>
              <w:rPr>
                <w:rFonts w:hint="default" w:ascii="宋体" w:hAnsi="宋体" w:cs="宋体"/>
                <w:sz w:val="24"/>
                <w:szCs w:val="24"/>
                <w:highlight w:val="none"/>
                <w:lang w:val="en-US" w:eastAsia="zh-CN"/>
              </w:rPr>
              <w:t xml:space="preserve">传感器创新实验平台（二）（整个实验室配</w:t>
            </w:r>
            <w:r>
              <w:rPr>
                <w:rFonts w:hint="eastAsia" w:ascii="宋体" w:hAnsi="宋体" w:cs="宋体"/>
                <w:sz w:val="24"/>
                <w:szCs w:val="24"/>
                <w:highlight w:val="none"/>
                <w:lang w:val="en-US" w:eastAsia="zh-CN"/>
              </w:rPr>
              <w:t xml:space="preserve">1</w:t>
            </w:r>
            <w:r>
              <w:rPr>
                <w:rFonts w:hint="default" w:ascii="宋体" w:hAnsi="宋体" w:cs="宋体"/>
                <w:sz w:val="24"/>
                <w:szCs w:val="24"/>
                <w:highlight w:val="none"/>
                <w:lang w:val="en-US" w:eastAsia="zh-CN"/>
              </w:rPr>
              <w:t xml:space="preserve">套，提供产品演示视频）</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0EA7536B">
            <w:pPr>
              <w:keepNext w:val="false"/>
              <w:keepLines w:val="false"/>
              <w:pageBreakBefore w:val="false"/>
              <w:widowControl w:val="false"/>
              <w:pBdr/>
              <w:bidi w:val="false"/>
              <w:spacing w:line="304" w:lineRule="exact"/>
              <w:ind w:firstLine="48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本平台是基于光电无线音频传输装置，通过手电的</w:t>
            </w:r>
            <w:r>
              <w:rPr>
                <w:rFonts w:hint="default" w:ascii="宋体" w:hAnsi="宋体" w:cs="宋体"/>
                <w:sz w:val="24"/>
                <w:szCs w:val="24"/>
                <w:highlight w:val="none"/>
                <w:lang w:val="en-US" w:eastAsia="zh-CN"/>
              </w:rPr>
              <w:t xml:space="preserve">光线传递音乐信号，实现光影与声音的互动。发射端采用PWM/AM调制技术，将音频信号加载到LED光源上，使光线随音乐节奏变化。接收端利用太阳能板接收光信号，经光伏效应转换为电信号，再通过低噪声放大、带通滤波和MCU数字处理，还原出高保真音频。系统支持内置音乐和外接音源切换，并具备动态增益调节功能，确保信号稳定。当手电靠近或远离太阳能板时，音乐音量会随光强实时变化，形成“渐隐渐现”的听觉效果，直观展示光电原理。该设计融合了光电转换、信号调制解调和智能控制技术，兼具科学性与趣味性，可应用于教学演示或创意互动场景。</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76FE6EFE">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4.</w:t>
            </w:r>
            <w:r>
              <w:rPr>
                <w:rFonts w:hint="default" w:ascii="宋体" w:hAnsi="宋体" w:cs="宋体"/>
                <w:sz w:val="24"/>
                <w:szCs w:val="24"/>
                <w:highlight w:val="none"/>
                <w:lang w:val="en-US" w:eastAsia="zh-CN"/>
              </w:rPr>
              <w:t xml:space="preserve">智能无线传感监测模块（整个实验室配一套，提供产品截图）</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71BBB99E">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1）模块由ARM处理器、WiFi通信、温湿度传感器、压强传感器及工业外壳组成，实时采集当前环境中的温度、湿度和大气压强数据，并实时上传到云平台服务器，实现数据的可视化操作。云平台,采用账户和密码登录方式，具有Web页面和手机APP应用界面，支持二次开发应用界面，图形化开发，拖拽式操作，应用界面功能具有数字、表盘、折线、柱状、数码管等多种显示方式，实时查看设备在线状态，支持实时数据显示和历史数据查询。</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0F93D170">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（2）处理器采用ARM 32位Cortex处理器，128KB Flash，36K RAM。WiFi通信：IEEE 802.11 b/g/n协议，支持TCP、UDP、HTTP、FTP；WiFi@2.4GHz，</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7C5645B3">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（3）支持WPA/WPA2安全模式；支持Station/SoftAP/SoftAP+Station无线网络模式；支持物联网轻量级MQTT数据通信；</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176AC638">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（4）温湿度传感器：采用DHT11传感器，温度量程0～50℃，精度±2℃；</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6E21D757">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（5）湿度量程20～90%RH，精度±5%RH；</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4DAA761A">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（6）压强传感器：采用HP203B压强传感器，气压范围300hpa～1200hpa；采用白色ABS塑胶工业外壳，直径90mm，高34mm，卡扣式安装或放桌面使用；具有USB Type-C接口，USB接口提供电源和一键程序下载功能。</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7478C091">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5.</w:t>
            </w:r>
            <w:r>
              <w:rPr>
                <w:rFonts w:hint="default" w:ascii="宋体" w:hAnsi="宋体" w:cs="宋体"/>
                <w:sz w:val="24"/>
                <w:szCs w:val="24"/>
                <w:highlight w:val="none"/>
                <w:lang w:val="en-US" w:eastAsia="zh-CN"/>
              </w:rPr>
              <w:t xml:space="preserve">竞赛实训智能小车（整个实验室配2套，提供产品截图）</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2928CFC8">
            <w:pPr>
              <w:keepNext w:val="false"/>
              <w:keepLines w:val="false"/>
              <w:pageBreakBefore w:val="false"/>
              <w:widowControl w:val="false"/>
              <w:pBdr/>
              <w:bidi w:val="false"/>
              <w:spacing w:line="304" w:lineRule="exact"/>
              <w:ind/>
              <w:rPr>
                <w:rFonts w:hint="eastAsia"/>
              </w:rPr>
            </w:pPr>
            <w:r>
              <w:rPr>
                <w:rFonts w:hint="eastAsia" w:ascii="宋体" w:hAnsi="宋体" w:cs="宋体"/>
                <w:sz w:val="24"/>
                <w:szCs w:val="24"/>
                <w:highlight w:val="none"/>
                <w:lang w:val="en-US" w:eastAsia="zh-CN"/>
              </w:rPr>
              <w:t xml:space="preserve">（1）功能要求</w:t>
            </w:r>
            <w:r>
              <w:rPr>
                <w:rFonts w:hint="eastAsia"/>
              </w:rPr>
            </w:r>
            <w:r>
              <w:rPr>
                <w:rFonts w:hint="eastAsia"/>
              </w:rPr>
            </w:r>
          </w:p>
          <w:p w14:paraId="29020D0A">
            <w:pPr>
              <w:keepNext w:val="false"/>
              <w:keepLines w:val="false"/>
              <w:pageBreakBefore w:val="false"/>
              <w:widowControl w:val="false"/>
              <w:pBdr/>
              <w:bidi w:val="false"/>
              <w:spacing w:line="304" w:lineRule="exact"/>
              <w:ind w:firstLine="480"/>
              <w:rPr>
                <w:rFonts w:hint="eastAsia"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智能小车</w:t>
            </w:r>
            <w:r>
              <w:rPr>
                <w:rFonts w:hint="eastAsia" w:ascii="宋体" w:hAnsi="宋体" w:cs="宋体"/>
                <w:sz w:val="24"/>
                <w:szCs w:val="24"/>
                <w:highlight w:val="none"/>
                <w:lang w:val="en-US" w:eastAsia="zh-CN"/>
              </w:rPr>
              <w:t xml:space="preserve">是传感器技术结合后续课程单片机应用技术的综合应用平台，是一款多功能实用型智能小车机器人。利用小车搭载的多种传感器和相关的执行器，可实现多种竞赛题目或实训项目，例如智能配送小车、智能送药机器人、迷宫挑战等，还能进行更多扩展实训，让学生在相关项目中提升动手实践能力。</w:t>
            </w:r>
            <w:r>
              <w:rPr>
                <w:rFonts w:hint="eastAsia" w:ascii="宋体" w:hAnsi="宋体" w:cs="宋体"/>
                <w:sz w:val="24"/>
                <w:szCs w:val="24"/>
                <w:highlight w:val="none"/>
                <w:lang w:val="en-US" w:eastAsia="zh-CN"/>
              </w:rPr>
            </w:r>
            <w:r>
              <w:rPr>
                <w:rFonts w:hint="eastAsia" w:ascii="宋体" w:hAnsi="宋体" w:cs="宋体"/>
                <w:sz w:val="24"/>
                <w:szCs w:val="24"/>
                <w:highlight w:val="none"/>
                <w:lang w:val="en-US" w:eastAsia="zh-CN"/>
              </w:rPr>
            </w:r>
          </w:p>
          <w:p w14:paraId="753928E9">
            <w:pPr>
              <w:keepNext w:val="false"/>
              <w:keepLines w:val="false"/>
              <w:pageBreakBefore w:val="false"/>
              <w:widowControl w:val="false"/>
              <w:pBdr/>
              <w:bidi w:val="false"/>
              <w:spacing w:line="304" w:lineRule="exact"/>
              <w:ind/>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（2）系统组成</w:t>
            </w:r>
            <w:r>
              <w:rPr>
                <w:rFonts w:hint="eastAsia" w:ascii="宋体" w:hAnsi="宋体" w:cs="宋体"/>
                <w:sz w:val="24"/>
                <w:szCs w:val="24"/>
                <w:highlight w:val="none"/>
                <w:lang w:val="en-US" w:eastAsia="zh-CN"/>
              </w:rPr>
            </w:r>
            <w:r>
              <w:rPr>
                <w:rFonts w:hint="eastAsia" w:ascii="宋体" w:hAnsi="宋体" w:cs="宋体"/>
                <w:sz w:val="24"/>
                <w:szCs w:val="24"/>
                <w:highlight w:val="none"/>
                <w:lang w:val="en-US" w:eastAsia="zh-CN"/>
              </w:rPr>
            </w:r>
          </w:p>
          <w:p w14:paraId="7BC6F550">
            <w:pPr>
              <w:keepNext w:val="false"/>
              <w:keepLines w:val="false"/>
              <w:pageBreakBefore w:val="false"/>
              <w:widowControl w:val="false"/>
              <w:pBdr/>
              <w:bidi w:val="false"/>
              <w:spacing w:line="304" w:lineRule="exact"/>
              <w:ind w:firstLine="48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智能小车由核心板、功能板和小车底盘驱动板组成。核心板：支持STC15或STM32微控制器替换。功能板包含：颜色识别传感器、按键控制模块、超声波测距传感器、OLED显示模块、电源模块、数码管显示模块、声光报警器、核心板插接座。小车底盘驱动板包含：RFID传感器、寻迹传感器、电机驱动模块、电源模块。</w:t>
            </w:r>
            <w:r>
              <w:rPr>
                <w:rFonts w:hint="eastAsia" w:ascii="宋体" w:hAnsi="宋体" w:cs="宋体"/>
                <w:sz w:val="24"/>
                <w:szCs w:val="24"/>
                <w:highlight w:val="none"/>
                <w:lang w:val="en-US" w:eastAsia="zh-CN"/>
              </w:rPr>
            </w:r>
            <w:r>
              <w:rPr>
                <w:rFonts w:hint="eastAsia" w:ascii="宋体" w:hAnsi="宋体" w:cs="宋体"/>
                <w:sz w:val="24"/>
                <w:szCs w:val="24"/>
                <w:highlight w:val="none"/>
                <w:lang w:val="en-US" w:eastAsia="zh-CN"/>
              </w:rPr>
            </w:r>
          </w:p>
          <w:p w14:paraId="1AB3897A">
            <w:pPr>
              <w:keepNext w:val="false"/>
              <w:keepLines w:val="false"/>
              <w:pageBreakBefore w:val="false"/>
              <w:widowControl w:val="false"/>
              <w:numPr>
                <w:ilvl w:val="0"/>
                <w:numId w:val="2"/>
              </w:numPr>
              <w:pBdr/>
              <w:bidi w:val="false"/>
              <w:spacing w:line="304" w:lineRule="exact"/>
              <w:ind/>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系统特点</w:t>
            </w:r>
            <w:r>
              <w:rPr>
                <w:rFonts w:hint="eastAsia" w:ascii="宋体" w:hAnsi="宋体" w:cs="宋体"/>
                <w:sz w:val="24"/>
                <w:szCs w:val="24"/>
                <w:highlight w:val="none"/>
                <w:lang w:val="en-US" w:eastAsia="zh-CN"/>
              </w:rPr>
            </w:r>
            <w:r>
              <w:rPr>
                <w:rFonts w:hint="eastAsia" w:ascii="宋体" w:hAnsi="宋体" w:cs="宋体"/>
                <w:sz w:val="24"/>
                <w:szCs w:val="24"/>
                <w:highlight w:val="none"/>
                <w:lang w:val="en-US" w:eastAsia="zh-CN"/>
              </w:rPr>
            </w:r>
          </w:p>
          <w:p w14:paraId="129B8F5F">
            <w:pPr>
              <w:keepNext w:val="false"/>
              <w:keepLines w:val="false"/>
              <w:pageBreakBefore w:val="false"/>
              <w:widowControl w:val="false"/>
              <w:numPr>
                <w:ilvl w:val="0"/>
                <w:numId w:val="0"/>
              </w:numPr>
              <w:pBdr/>
              <w:bidi w:val="false"/>
              <w:spacing w:line="304" w:lineRule="exact"/>
              <w:ind w:firstLine="48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竞赛小车是针对机电类专业的实验实训、竞赛需求而研发;</w:t>
            </w:r>
            <w:r>
              <w:rPr>
                <w:rFonts w:hint="eastAsia" w:ascii="宋体" w:hAnsi="宋体" w:cs="宋体"/>
                <w:sz w:val="24"/>
                <w:szCs w:val="24"/>
                <w:highlight w:val="none"/>
                <w:lang w:val="en-US" w:eastAsia="zh-CN"/>
              </w:rPr>
            </w:r>
            <w:r>
              <w:rPr>
                <w:rFonts w:hint="eastAsia" w:ascii="宋体" w:hAnsi="宋体" w:cs="宋体"/>
                <w:sz w:val="24"/>
                <w:szCs w:val="24"/>
                <w:highlight w:val="none"/>
                <w:lang w:val="en-US" w:eastAsia="zh-CN"/>
              </w:rPr>
            </w:r>
          </w:p>
          <w:p w14:paraId="77C8C153">
            <w:pPr>
              <w:keepNext w:val="false"/>
              <w:keepLines w:val="false"/>
              <w:pageBreakBefore w:val="false"/>
              <w:widowControl w:val="false"/>
              <w:pBdr/>
              <w:bidi w:val="false"/>
              <w:spacing w:line="304" w:lineRule="exact"/>
              <w:ind/>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支持多核心板切换，满足各种实验实训课程和竞赛，支持STM32核心板和STC15核心板;提供整机或套件形式，接口开放，接线灵活;有完整的实验实训资料和现成的比赛方案可以参考。</w:t>
            </w:r>
            <w:r>
              <w:rPr>
                <w:rFonts w:hint="eastAsia" w:ascii="宋体" w:hAnsi="宋体" w:cs="宋体"/>
                <w:sz w:val="24"/>
                <w:szCs w:val="24"/>
                <w:highlight w:val="none"/>
                <w:lang w:val="en-US" w:eastAsia="zh-CN"/>
              </w:rPr>
            </w:r>
            <w:r>
              <w:rPr>
                <w:rFonts w:hint="eastAsia" w:ascii="宋体" w:hAnsi="宋体" w:cs="宋体"/>
                <w:sz w:val="24"/>
                <w:szCs w:val="24"/>
                <w:highlight w:val="none"/>
                <w:lang w:val="en-US" w:eastAsia="zh-CN"/>
              </w:rPr>
            </w:r>
          </w:p>
          <w:p w14:paraId="7A0F4BF5">
            <w:pPr>
              <w:keepNext w:val="false"/>
              <w:keepLines w:val="false"/>
              <w:pageBreakBefore w:val="false"/>
              <w:widowControl w:val="false"/>
              <w:numPr>
                <w:ilvl w:val="0"/>
                <w:numId w:val="2"/>
              </w:numPr>
              <w:pBdr/>
              <w:bidi w:val="false"/>
              <w:spacing w:line="304" w:lineRule="exact"/>
              <w:ind w:firstLine="0" w:left="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实验项目</w:t>
            </w:r>
            <w:r>
              <w:rPr>
                <w:rFonts w:hint="eastAsia" w:ascii="宋体" w:hAnsi="宋体" w:cs="宋体"/>
                <w:sz w:val="24"/>
                <w:szCs w:val="24"/>
                <w:highlight w:val="none"/>
                <w:lang w:val="en-US" w:eastAsia="zh-CN"/>
              </w:rPr>
            </w:r>
            <w:r>
              <w:rPr>
                <w:rFonts w:hint="eastAsia" w:ascii="宋体" w:hAnsi="宋体" w:cs="宋体"/>
                <w:sz w:val="24"/>
                <w:szCs w:val="24"/>
                <w:highlight w:val="none"/>
                <w:lang w:val="en-US" w:eastAsia="zh-CN"/>
              </w:rPr>
            </w:r>
          </w:p>
          <w:p w14:paraId="2803E7B4">
            <w:pPr>
              <w:keepNext w:val="false"/>
              <w:keepLines w:val="false"/>
              <w:pageBreakBefore w:val="false"/>
              <w:widowControl w:val="false"/>
              <w:numPr>
                <w:ilvl w:val="0"/>
                <w:numId w:val="0"/>
              </w:numPr>
              <w:pBdr/>
              <w:bidi w:val="false"/>
              <w:spacing w:line="304" w:lineRule="exact"/>
              <w:ind w:firstLine="480"/>
              <w:rPr>
                <w:rFonts w:hint="default"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智能小车适用的</w:t>
            </w:r>
            <w:r>
              <w:rPr>
                <w:rFonts w:hint="default" w:ascii="宋体" w:hAnsi="宋体" w:cs="宋体"/>
                <w:sz w:val="24"/>
                <w:szCs w:val="24"/>
                <w:highlight w:val="none"/>
                <w:lang w:val="en-US" w:eastAsia="zh-CN"/>
              </w:rPr>
              <w:t xml:space="preserve">基础实验</w:t>
            </w:r>
            <w:r>
              <w:rPr>
                <w:rFonts w:hint="eastAsia" w:ascii="宋体" w:hAnsi="宋体" w:cs="宋体"/>
                <w:sz w:val="24"/>
                <w:szCs w:val="24"/>
                <w:highlight w:val="none"/>
                <w:lang w:val="en-US" w:eastAsia="zh-CN"/>
              </w:rPr>
              <w:t xml:space="preserve">包括：</w:t>
            </w:r>
            <w:r>
              <w:rPr>
                <w:rFonts w:hint="default" w:ascii="宋体" w:hAnsi="宋体" w:cs="宋体"/>
                <w:sz w:val="24"/>
                <w:szCs w:val="24"/>
                <w:highlight w:val="none"/>
                <w:lang w:val="en-US" w:eastAsia="zh-CN"/>
              </w:rPr>
              <w:t xml:space="preserve">独立按键实验、超声波传感器测距实验、声光执行器实验、颜色识别传感器实验、电机驱动实验、舵机驱动实验、循迹传感器实验、OLED显示实验</w:t>
            </w:r>
            <w:r>
              <w:rPr>
                <w:rFonts w:hint="eastAsia" w:ascii="宋体" w:hAnsi="宋体" w:cs="宋体"/>
                <w:sz w:val="24"/>
                <w:szCs w:val="24"/>
                <w:highlight w:val="none"/>
                <w:lang w:val="en-US" w:eastAsia="zh-CN"/>
              </w:rPr>
              <w:t xml:space="preserve">。</w:t>
            </w:r>
            <w:r>
              <w:rPr>
                <w:rFonts w:hint="default" w:ascii="宋体" w:hAnsi="宋体" w:cs="宋体"/>
                <w:sz w:val="24"/>
                <w:szCs w:val="24"/>
                <w:highlight w:val="none"/>
                <w:lang w:val="en-US" w:eastAsia="zh-CN"/>
              </w:rPr>
              <w:t xml:space="preserve">综合实验</w:t>
            </w:r>
            <w:r>
              <w:rPr>
                <w:rFonts w:hint="eastAsia" w:ascii="宋体" w:hAnsi="宋体" w:cs="宋体"/>
                <w:sz w:val="24"/>
                <w:szCs w:val="24"/>
                <w:highlight w:val="none"/>
                <w:lang w:val="en-US" w:eastAsia="zh-CN"/>
              </w:rPr>
              <w:t xml:space="preserve">包括：</w:t>
            </w:r>
            <w:r>
              <w:rPr>
                <w:rFonts w:hint="default" w:ascii="宋体" w:hAnsi="宋体" w:cs="宋体"/>
                <w:sz w:val="24"/>
                <w:szCs w:val="24"/>
                <w:highlight w:val="none"/>
                <w:lang w:val="en-US" w:eastAsia="zh-CN"/>
              </w:rPr>
              <w:t xml:space="preserve">小车寻迹实训、送药机器人实训、小车避障实训、迷宫挑战实训</w:t>
            </w:r>
            <w:r>
              <w:rPr>
                <w:rFonts w:hint="eastAsia" w:ascii="宋体" w:hAnsi="宋体" w:cs="宋体"/>
                <w:sz w:val="24"/>
                <w:szCs w:val="24"/>
                <w:highlight w:val="none"/>
                <w:lang w:val="en-US" w:eastAsia="zh-CN"/>
              </w:rPr>
              <w:t xml:space="preserve">。</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0926B6EB">
            <w:pPr>
              <w:keepNext w:val="false"/>
              <w:keepLines w:val="false"/>
              <w:pageBreakBefore w:val="false"/>
              <w:widowControl w:val="false"/>
              <w:pBdr/>
              <w:bidi w:val="false"/>
              <w:spacing w:line="304" w:lineRule="exact"/>
              <w:ind w:firstLine="0"/>
              <w:rPr>
                <w:rFonts w:hint="default" w:ascii="宋体" w:hAnsi="宋体" w:cs="宋体"/>
                <w:b/>
                <w:bCs/>
                <w:sz w:val="24"/>
                <w:szCs w:val="24"/>
                <w:highlight w:val="none"/>
                <w:lang w:val="en-US" w:eastAsia="zh-CN"/>
              </w:rPr>
            </w:pPr>
            <w:r>
              <w:rPr>
                <w:rFonts w:hint="eastAsia" w:ascii="宋体" w:hAnsi="宋体" w:cs="宋体"/>
                <w:b/>
                <w:bCs/>
                <w:sz w:val="24"/>
                <w:szCs w:val="24"/>
                <w:highlight w:val="none"/>
                <w:lang w:val="en-US" w:eastAsia="zh-CN"/>
              </w:rPr>
              <w:t xml:space="preserve">九、配套</w:t>
            </w:r>
            <w:r>
              <w:rPr>
                <w:rFonts w:hint="default" w:ascii="宋体" w:hAnsi="宋体" w:cs="宋体"/>
                <w:b/>
                <w:bCs/>
                <w:sz w:val="24"/>
                <w:szCs w:val="24"/>
                <w:highlight w:val="none"/>
                <w:lang w:val="en-US" w:eastAsia="zh-CN"/>
              </w:rPr>
              <w:t xml:space="preserve">教学资源</w:t>
            </w:r>
            <w:r>
              <w:rPr>
                <w:rFonts w:hint="default" w:ascii="宋体" w:hAnsi="宋体" w:cs="宋体"/>
                <w:b/>
                <w:bCs/>
                <w:sz w:val="24"/>
                <w:szCs w:val="24"/>
                <w:highlight w:val="none"/>
                <w:lang w:val="en-US" w:eastAsia="zh-CN"/>
              </w:rPr>
            </w:r>
            <w:r>
              <w:rPr>
                <w:rFonts w:hint="default" w:ascii="宋体" w:hAnsi="宋体" w:cs="宋体"/>
                <w:b/>
                <w:bCs/>
                <w:sz w:val="24"/>
                <w:szCs w:val="24"/>
                <w:highlight w:val="none"/>
                <w:lang w:val="en-US" w:eastAsia="zh-CN"/>
              </w:rPr>
            </w:r>
          </w:p>
          <w:p w14:paraId="5CD3CF92">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（一）传感器技术AR仿真实训教学APP</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21FB68A0">
            <w:pPr>
              <w:keepNext w:val="false"/>
              <w:keepLines w:val="false"/>
              <w:pageBreakBefore w:val="false"/>
              <w:widowControl w:val="false"/>
              <w:pBdr/>
              <w:bidi w:val="false"/>
              <w:spacing w:line="304" w:lineRule="exact"/>
              <w:ind w:firstLine="48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软件需具有实时交互性，能在手机上打开，将摄像头对准到特性物体上（实物或图片），然后增强现实系统可以在它上面展示出以下功能：</w:t>
            </w:r>
            <w:r>
              <w:rPr>
                <w:rFonts w:hint="default" w:ascii="宋体" w:hAnsi="宋体" w:cs="宋体"/>
                <w:b/>
                <w:bCs/>
                <w:sz w:val="24"/>
                <w:szCs w:val="24"/>
                <w:highlight w:val="none"/>
                <w:lang w:val="en-US" w:eastAsia="zh-CN"/>
              </w:rPr>
              <w:t xml:space="preserve">（投标时须提供以下1、2、3、4项功能的软件视频演示</w:t>
            </w:r>
            <w:r>
              <w:rPr>
                <w:rFonts w:hint="eastAsia" w:ascii="宋体" w:hAnsi="宋体" w:cs="宋体"/>
                <w:b/>
                <w:bCs/>
                <w:sz w:val="24"/>
                <w:szCs w:val="24"/>
                <w:highlight w:val="none"/>
                <w:lang w:val="en-US" w:eastAsia="zh-CN"/>
              </w:rPr>
              <w:t xml:space="preserve">截图</w:t>
            </w:r>
            <w:r>
              <w:rPr>
                <w:rFonts w:hint="default" w:ascii="宋体" w:hAnsi="宋体" w:cs="宋体"/>
                <w:b/>
                <w:bCs/>
                <w:sz w:val="24"/>
                <w:szCs w:val="24"/>
                <w:highlight w:val="none"/>
                <w:lang w:val="en-US" w:eastAsia="zh-CN"/>
              </w:rPr>
              <w:t xml:space="preserve">）</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562933CB">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1.原理展示：通过位移测量、振动测量、转速测量、环境测量等具体应用实例来展示传感器的基本原理，并可动态显示实验结果。</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3A00D2B1">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2.零件展示：单独展示传感器的各个组成元件，</w:t>
            </w:r>
            <w:r>
              <w:rPr>
                <w:rFonts w:hint="eastAsia" w:ascii="宋体" w:hAnsi="宋体" w:cs="宋体"/>
                <w:sz w:val="24"/>
                <w:szCs w:val="24"/>
                <w:highlight w:val="none"/>
                <w:lang w:val="en-US" w:eastAsia="zh-CN"/>
              </w:rPr>
              <w:t xml:space="preserve">便于</w:t>
            </w:r>
            <w:r>
              <w:rPr>
                <w:rFonts w:hint="default" w:ascii="宋体" w:hAnsi="宋体" w:cs="宋体"/>
                <w:sz w:val="24"/>
                <w:szCs w:val="24"/>
                <w:highlight w:val="none"/>
                <w:lang w:val="en-US" w:eastAsia="zh-CN"/>
              </w:rPr>
              <w:t xml:space="preserve">观察零件的结构、材质以及材质类型。</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3E9433F4">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3.装配演示：以3D仿真的形式展示传感器的装配过程，具有快速装配、慢速装配、放大、缩小、旋转视图等功能。</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0A7FC406">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4.支持霍尔位移传感器、霍尔转速传感器、压电传感器、湿敏传感器、气敏传感器、电涡流传感器、磁电传感器、差动电容传感器、差动变压器、金属箔应变传感器、扩散硅压力传感器、光纤位移传感器、光电转速传感器、集成温度传感器、K型热电偶、E型热电偶、PT100铂电阻等不少于17个常用传感器。</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6D9E61E5">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5.内置AI智能语音助手，点击相应位置，自动语音讲解其功能。</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342B643A">
            <w:pPr>
              <w:keepNext w:val="false"/>
              <w:keepLines w:val="false"/>
              <w:pageBreakBefore w:val="false"/>
              <w:widowControl w:val="false"/>
              <w:pBdr/>
              <w:bidi w:val="false"/>
              <w:spacing w:line="304" w:lineRule="exact"/>
              <w:ind w:firstLine="0"/>
              <w:rPr>
                <w:rFonts w:hint="default" w:ascii="宋体" w:hAnsi="宋体" w:cs="宋体"/>
                <w:b/>
                <w:bCs/>
                <w:sz w:val="24"/>
                <w:szCs w:val="24"/>
                <w:highlight w:val="none"/>
                <w:lang w:val="en-US" w:eastAsia="zh-CN"/>
              </w:rPr>
            </w:pPr>
            <w:r>
              <w:rPr>
                <w:rFonts w:hint="default" w:ascii="宋体" w:hAnsi="宋体" w:cs="宋体"/>
                <w:b/>
                <w:bCs/>
                <w:sz w:val="24"/>
                <w:szCs w:val="24"/>
                <w:highlight w:val="none"/>
                <w:lang w:val="en-US" w:eastAsia="zh-CN"/>
              </w:rPr>
              <w:t xml:space="preserve">6.该软件权属清晰、无版权纠纷，使用者无需承担任何版权责任，投标人需提供采购人无需承担任何版权责任声明函并盖公章（格式自拟）</w:t>
            </w:r>
            <w:r>
              <w:rPr>
                <w:rFonts w:hint="default" w:ascii="宋体" w:hAnsi="宋体" w:cs="宋体"/>
                <w:b/>
                <w:bCs/>
                <w:sz w:val="24"/>
                <w:szCs w:val="24"/>
                <w:highlight w:val="none"/>
                <w:lang w:val="en-US" w:eastAsia="zh-CN"/>
              </w:rPr>
            </w:r>
            <w:r>
              <w:rPr>
                <w:rFonts w:hint="default" w:ascii="宋体" w:hAnsi="宋体" w:cs="宋体"/>
                <w:b/>
                <w:bCs/>
                <w:sz w:val="24"/>
                <w:szCs w:val="24"/>
                <w:highlight w:val="none"/>
                <w:lang w:val="en-US" w:eastAsia="zh-CN"/>
              </w:rPr>
            </w:r>
          </w:p>
          <w:p w14:paraId="46320E60">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（二）传感器仿真实训软件</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27620640">
            <w:pPr>
              <w:keepNext w:val="false"/>
              <w:keepLines w:val="false"/>
              <w:pageBreakBefore w:val="false"/>
              <w:widowControl w:val="false"/>
              <w:pBdr/>
              <w:bidi w:val="false"/>
              <w:spacing w:line="304" w:lineRule="exact"/>
              <w:ind w:firstLine="48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软件需包含至少34个实训项目，可对应变传感器、变压器传感器、电容传感器、霍尔位移传感器、扩散硅压力传感器、光纤位移传感器、电涡流传感器、压电加速度传感器、磁电传感器、温度传感器、气敏传感器、湿敏传感器等几十种传感器进行仿真实训，可满足不同层次院校的实训要求。适用于《物理》、《传感器技术》、《工业自动化控制》、《非电测量技术与应用》、《工程检测技术与应用》等课程的实训教学。</w:t>
            </w:r>
            <w:r>
              <w:rPr>
                <w:rFonts w:hint="default" w:ascii="宋体" w:hAnsi="宋体" w:cs="宋体"/>
                <w:b/>
                <w:bCs/>
                <w:sz w:val="24"/>
                <w:szCs w:val="24"/>
                <w:highlight w:val="none"/>
                <w:lang w:val="en-US" w:eastAsia="zh-CN"/>
              </w:rPr>
              <w:t xml:space="preserve">（须在投标文件中提供扩散硅压力传感器、电涡流传感器、压电加速度传感器、磁电传感器、气敏传感器、湿敏传感器等至少6个实训项目的实训截图，并在每张截图旁注明对应传感器类型）</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0C558FB8">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1.软件采用计算机交互技术，需具有虚拟连接导线和信号动态调节功能，例如信号源、示波器、旋钮、智能调节仪等控件都具有调节功能。在模拟实训的过程中，学生可以调节幅值/频率旋钮、测微头旋钮、温度/压力表按钮等来改变输出波形，或者是调节智能调节仪上的控件来改变设定值。</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4A3FB616">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2.软件具有实训结果动态显示功能，实训过程的波形可在虚拟示波器上实时显示，实验结果可以保存或清除。</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53D7BED2">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b/>
                <w:bCs/>
                <w:sz w:val="24"/>
                <w:szCs w:val="24"/>
                <w:highlight w:val="none"/>
                <w:lang w:val="en-US" w:eastAsia="zh-CN"/>
              </w:rPr>
              <w:t xml:space="preserve">3. 该软件权属清晰、无版权纠纷，使用者无需承担任何版权责任，投标人需提供采购人无需承担任何版权责任声明函并盖公章（格式自拟）</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658C0EAA">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(三）互联网+教课软件。</w:t>
            </w:r>
            <w:r>
              <w:rPr>
                <w:rFonts w:hint="default" w:ascii="宋体" w:hAnsi="宋体" w:cs="宋体"/>
                <w:b/>
                <w:bCs/>
                <w:sz w:val="24"/>
                <w:szCs w:val="24"/>
                <w:highlight w:val="none"/>
                <w:lang w:val="en-US" w:eastAsia="zh-CN"/>
              </w:rPr>
              <w:t xml:space="preserve">（须在投标文件中提供</w:t>
            </w:r>
            <w:r>
              <w:rPr>
                <w:rFonts w:hint="default" w:ascii="宋体" w:hAnsi="宋体" w:cs="宋体"/>
                <w:b/>
                <w:bCs/>
                <w:sz w:val="24"/>
                <w:szCs w:val="24"/>
                <w:highlight w:val="none"/>
                <w:lang w:val="zh-CN"/>
              </w:rPr>
              <w:t xml:space="preserve">1</w:t>
            </w:r>
            <w:r>
              <w:rPr>
                <w:rFonts w:hint="default" w:ascii="宋体" w:hAnsi="宋体" w:cs="宋体"/>
                <w:b/>
                <w:bCs/>
                <w:sz w:val="24"/>
                <w:szCs w:val="24"/>
                <w:highlight w:val="none"/>
                <w:lang w:val="zh-CN"/>
              </w:rPr>
              <w:t xml:space="preserve">、</w:t>
            </w:r>
            <w:r>
              <w:rPr>
                <w:rFonts w:hint="default" w:ascii="宋体" w:hAnsi="宋体" w:cs="宋体"/>
                <w:b/>
                <w:bCs/>
                <w:sz w:val="24"/>
                <w:szCs w:val="24"/>
                <w:highlight w:val="none"/>
                <w:lang w:val="zh-CN"/>
              </w:rPr>
              <w:t xml:space="preserve">2</w:t>
            </w:r>
            <w:r>
              <w:rPr>
                <w:rFonts w:hint="default" w:ascii="宋体" w:hAnsi="宋体" w:cs="宋体"/>
                <w:b/>
                <w:bCs/>
                <w:sz w:val="24"/>
                <w:szCs w:val="24"/>
                <w:highlight w:val="none"/>
                <w:lang w:val="en-US" w:eastAsia="zh-CN"/>
              </w:rPr>
              <w:t xml:space="preserve">、</w:t>
            </w:r>
            <w:r>
              <w:rPr>
                <w:rFonts w:hint="default" w:ascii="宋体" w:hAnsi="宋体" w:cs="宋体"/>
                <w:b/>
                <w:bCs/>
                <w:sz w:val="24"/>
                <w:szCs w:val="24"/>
                <w:highlight w:val="none"/>
                <w:lang w:val="en-US" w:eastAsia="zh-CN"/>
              </w:rPr>
              <w:t xml:space="preserve">3</w:t>
            </w:r>
            <w:r>
              <w:rPr>
                <w:rFonts w:hint="default" w:ascii="宋体" w:hAnsi="宋体" w:cs="宋体"/>
                <w:b/>
                <w:bCs/>
                <w:sz w:val="24"/>
                <w:szCs w:val="24"/>
                <w:highlight w:val="none"/>
                <w:lang w:val="zh-CN"/>
              </w:rPr>
              <w:t xml:space="preserve">项</w:t>
            </w:r>
            <w:r>
              <w:rPr>
                <w:rFonts w:hint="default" w:ascii="宋体" w:hAnsi="宋体" w:cs="宋体"/>
                <w:b/>
                <w:bCs/>
                <w:sz w:val="24"/>
                <w:szCs w:val="24"/>
                <w:highlight w:val="none"/>
                <w:lang w:val="en-US" w:eastAsia="zh-CN"/>
              </w:rPr>
              <w:t xml:space="preserve">截图）</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4FE04040">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1.需满足手机扫描二维码可观看实验原理视频</w:t>
            </w:r>
            <w:r>
              <w:rPr>
                <w:rFonts w:hint="eastAsia" w:ascii="宋体" w:hAnsi="宋体" w:cs="宋体"/>
                <w:sz w:val="24"/>
                <w:szCs w:val="24"/>
                <w:highlight w:val="none"/>
                <w:lang w:val="en-US" w:eastAsia="zh-CN"/>
              </w:rPr>
              <w:t xml:space="preserve">。</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50D20109">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2.需满足手机扫描二维码可观看操作步骤视频</w:t>
            </w:r>
            <w:r>
              <w:rPr>
                <w:rFonts w:hint="eastAsia" w:ascii="宋体" w:hAnsi="宋体" w:cs="宋体"/>
                <w:sz w:val="24"/>
                <w:szCs w:val="24"/>
                <w:highlight w:val="none"/>
                <w:lang w:val="en-US" w:eastAsia="zh-CN"/>
              </w:rPr>
              <w:t xml:space="preserve">。</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20C5C5B3">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3.需满足手机扫描二维码可观看实验结果视频</w:t>
            </w:r>
            <w:r>
              <w:rPr>
                <w:rFonts w:hint="eastAsia" w:ascii="宋体" w:hAnsi="宋体" w:cs="宋体"/>
                <w:sz w:val="24"/>
                <w:szCs w:val="24"/>
                <w:highlight w:val="none"/>
                <w:lang w:val="en-US" w:eastAsia="zh-CN"/>
              </w:rPr>
              <w:t xml:space="preserve">。</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6B97444B">
            <w:pPr>
              <w:keepNext w:val="false"/>
              <w:keepLines w:val="false"/>
              <w:pageBreakBefore w:val="false"/>
              <w:widowControl w:val="false"/>
              <w:pBdr/>
              <w:bidi w:val="false"/>
              <w:spacing w:line="304" w:lineRule="exact"/>
              <w:ind w:firstLine="0"/>
              <w:rPr>
                <w:rFonts w:hint="default" w:ascii="宋体" w:hAnsi="宋体" w:cs="宋体"/>
                <w:b/>
                <w:bCs/>
                <w:sz w:val="24"/>
                <w:szCs w:val="24"/>
                <w:highlight w:val="none"/>
                <w:lang w:val="en-US" w:eastAsia="zh-CN"/>
              </w:rPr>
            </w:pPr>
            <w:r>
              <w:rPr>
                <w:rFonts w:hint="eastAsia" w:ascii="宋体" w:hAnsi="宋体" w:cs="宋体"/>
                <w:b/>
                <w:bCs/>
                <w:sz w:val="24"/>
                <w:szCs w:val="24"/>
                <w:highlight w:val="none"/>
                <w:lang w:val="en-US" w:eastAsia="zh-CN"/>
              </w:rPr>
              <w:t xml:space="preserve">十、</w:t>
            </w:r>
            <w:r>
              <w:rPr>
                <w:rFonts w:hint="default" w:ascii="宋体" w:hAnsi="宋体" w:cs="宋体"/>
                <w:b/>
                <w:bCs/>
                <w:sz w:val="24"/>
                <w:szCs w:val="24"/>
                <w:highlight w:val="none"/>
                <w:lang w:val="en-US" w:eastAsia="zh-CN"/>
              </w:rPr>
              <w:t xml:space="preserve">实训凳（一套设备配4条</w:t>
            </w:r>
            <w:r>
              <w:rPr>
                <w:rFonts w:hint="eastAsia" w:ascii="宋体" w:hAnsi="宋体" w:cs="宋体"/>
                <w:b/>
                <w:bCs/>
                <w:sz w:val="24"/>
                <w:szCs w:val="24"/>
                <w:highlight w:val="none"/>
                <w:lang w:val="en-US" w:eastAsia="zh-CN"/>
              </w:rPr>
              <w:t xml:space="preserve">，共48条</w:t>
            </w:r>
            <w:r>
              <w:rPr>
                <w:rFonts w:hint="default" w:ascii="宋体" w:hAnsi="宋体" w:cs="宋体"/>
                <w:b/>
                <w:bCs/>
                <w:sz w:val="24"/>
                <w:szCs w:val="24"/>
                <w:highlight w:val="none"/>
                <w:lang w:val="en-US" w:eastAsia="zh-CN"/>
              </w:rPr>
              <w:t xml:space="preserve">）</w:t>
            </w:r>
            <w:r>
              <w:rPr>
                <w:rFonts w:hint="default" w:ascii="宋体" w:hAnsi="宋体" w:cs="宋体"/>
                <w:b/>
                <w:bCs/>
                <w:sz w:val="24"/>
                <w:szCs w:val="24"/>
                <w:highlight w:val="none"/>
                <w:lang w:val="en-US" w:eastAsia="zh-CN"/>
              </w:rPr>
            </w:r>
            <w:r>
              <w:rPr>
                <w:rFonts w:hint="default" w:ascii="宋体" w:hAnsi="宋体" w:cs="宋体"/>
                <w:b/>
                <w:bCs/>
                <w:sz w:val="24"/>
                <w:szCs w:val="24"/>
                <w:highlight w:val="none"/>
                <w:lang w:val="en-US" w:eastAsia="zh-CN"/>
              </w:rPr>
            </w:r>
          </w:p>
          <w:p w14:paraId="013CADBE">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1. 外形尺寸：长×宽×高=360mm×260mm×450mm（±1%）。</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1FC7F575">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2. 凳框采用1.1mm厚的优质方钢管和冷轧钢板焊接而成。</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7C22AA79">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3. 采用钣金圆弧压边包边木面板工艺。</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515415C2">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4 凳面采用18mm厚的高密度复合板材，表面和边缘高温热压防火PVC。</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3D05FD8F">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5. 为了确保质量及环保要求，投标时提供省级及以上第三方检测机构出具的检测(验)报告，检测(验)内容须包括但不限于金属喷漆(塑)涂层附着力≥2级，木制件表面贴面层耐污染性能（丙酮试验时间16h）≥3级，人造板件封边条表面胶合强度≥0.4MPa）。</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p w14:paraId="3177F146">
            <w:pPr>
              <w:keepNext w:val="false"/>
              <w:keepLines w:val="false"/>
              <w:pageBreakBefore w:val="false"/>
              <w:widowControl w:val="false"/>
              <w:pBdr/>
              <w:bidi w:val="false"/>
              <w:spacing w:line="304" w:lineRule="exact"/>
              <w:ind w:firstLine="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 xml:space="preserve">6. 凳脚安装高分子树脂脚套。</w:t>
            </w:r>
            <w:r>
              <w:rPr>
                <w:rFonts w:hint="default" w:ascii="宋体" w:hAnsi="宋体" w:cs="宋体"/>
                <w:sz w:val="24"/>
                <w:szCs w:val="24"/>
                <w:highlight w:val="none"/>
                <w:lang w:val="en-US" w:eastAsia="zh-CN"/>
              </w:rPr>
            </w:r>
            <w:r>
              <w:rPr>
                <w:rFonts w:hint="default" w:ascii="宋体" w:hAnsi="宋体" w:cs="宋体"/>
                <w:sz w:val="24"/>
                <w:szCs w:val="24"/>
                <w:highlight w:val="none"/>
                <w:lang w:val="en-US" w:eastAsia="zh-CN"/>
              </w:rPr>
            </w:r>
          </w:p>
        </w:tc>
      </w:tr>
    </w:tbl>
    <w:p w14:paraId="2F4AF701">
      <w:pPr>
        <w:numPr>
          <w:ilvl w:val="0"/>
          <w:numId w:val="0"/>
        </w:numPr>
        <w:pBdr/>
        <w:spacing w:line="360" w:lineRule="auto"/>
        <w:ind/>
        <w:rPr>
          <w:rFonts w:hint="eastAsia" w:ascii="宋体" w:hAnsi="宋体" w:cs="宋体"/>
          <w:b/>
          <w:bCs/>
          <w:sz w:val="24"/>
          <w:lang w:val="en-US" w:eastAsia="zh-CN"/>
        </w:rPr>
      </w:pPr>
      <w:r>
        <w:rPr>
          <w:rFonts w:hint="eastAsia" w:ascii="宋体" w:hAnsi="宋体" w:cs="宋体"/>
          <w:b/>
          <w:bCs/>
          <w:sz w:val="24"/>
          <w:lang w:val="en-US" w:eastAsia="zh-CN"/>
        </w:rPr>
      </w:r>
      <w:r>
        <w:rPr>
          <w:rFonts w:hint="eastAsia" w:ascii="宋体" w:hAnsi="宋体" w:cs="宋体"/>
          <w:b/>
          <w:bCs/>
          <w:sz w:val="24"/>
          <w:lang w:val="en-US" w:eastAsia="zh-CN"/>
        </w:rPr>
      </w:r>
      <w:r>
        <w:rPr>
          <w:rFonts w:hint="eastAsia" w:ascii="宋体" w:hAnsi="宋体" w:cs="宋体"/>
          <w:b/>
          <w:bCs/>
          <w:sz w:val="24"/>
          <w:lang w:val="en-US" w:eastAsia="zh-CN"/>
        </w:rPr>
      </w:r>
    </w:p>
    <w:p w14:paraId="734EB804">
      <w:pPr>
        <w:numPr>
          <w:ilvl w:val="0"/>
          <w:numId w:val="0"/>
        </w:numPr>
        <w:pBdr/>
        <w:spacing w:line="360" w:lineRule="auto"/>
        <w:ind/>
        <w:rPr>
          <w:rFonts w:hint="eastAsia" w:ascii="宋体" w:hAnsi="宋体" w:cs="宋体"/>
          <w:b/>
          <w:bCs/>
          <w:sz w:val="24"/>
          <w:lang w:val="en-US" w:eastAsia="zh-CN"/>
        </w:rPr>
      </w:pPr>
      <w:r>
        <w:rPr>
          <w:rFonts w:hint="eastAsia" w:ascii="宋体" w:hAnsi="宋体" w:cs="宋体"/>
          <w:b/>
          <w:bCs/>
          <w:sz w:val="24"/>
          <w:lang w:val="en-US" w:eastAsia="zh-CN"/>
        </w:rPr>
      </w:r>
      <w:r>
        <w:rPr>
          <w:rFonts w:hint="eastAsia" w:ascii="宋体" w:hAnsi="宋体" w:cs="宋体"/>
          <w:b/>
          <w:bCs/>
          <w:sz w:val="24"/>
          <w:lang w:val="en-US" w:eastAsia="zh-CN"/>
        </w:rPr>
      </w:r>
      <w:r>
        <w:rPr>
          <w:rFonts w:hint="eastAsia" w:ascii="宋体" w:hAnsi="宋体" w:cs="宋体"/>
          <w:b/>
          <w:bCs/>
          <w:sz w:val="24"/>
          <w:lang w:val="en-US" w:eastAsia="zh-CN"/>
        </w:rPr>
      </w:r>
    </w:p>
    <w:p w14:paraId="1710C5B2">
      <w:pPr>
        <w:numPr>
          <w:ilvl w:val="0"/>
          <w:numId w:val="0"/>
        </w:numPr>
        <w:pBdr/>
        <w:spacing w:line="360" w:lineRule="auto"/>
        <w:ind/>
        <w:rPr>
          <w:rFonts w:hint="eastAsia" w:ascii="宋体" w:hAnsi="宋体" w:cs="宋体"/>
          <w:b/>
          <w:bCs/>
          <w:sz w:val="24"/>
          <w:lang w:val="en-US" w:eastAsia="zh-CN"/>
        </w:rPr>
      </w:pPr>
      <w:r>
        <w:rPr>
          <w:rFonts w:hint="eastAsia" w:ascii="宋体" w:hAnsi="宋体" w:cs="宋体"/>
          <w:b/>
          <w:bCs/>
          <w:sz w:val="24"/>
          <w:lang w:val="en-US" w:eastAsia="zh-CN"/>
        </w:rPr>
      </w:r>
      <w:r>
        <w:rPr>
          <w:rFonts w:hint="eastAsia" w:ascii="宋体" w:hAnsi="宋体" w:cs="宋体"/>
          <w:b/>
          <w:bCs/>
          <w:sz w:val="24"/>
          <w:lang w:val="en-US" w:eastAsia="zh-CN"/>
        </w:rPr>
      </w:r>
      <w:r>
        <w:rPr>
          <w:rFonts w:hint="eastAsia" w:ascii="宋体" w:hAnsi="宋体" w:cs="宋体"/>
          <w:b/>
          <w:bCs/>
          <w:sz w:val="24"/>
          <w:lang w:val="en-US" w:eastAsia="zh-CN"/>
        </w:rPr>
      </w:r>
    </w:p>
    <w:p w14:paraId="6E6E4B5F">
      <w:pPr>
        <w:numPr>
          <w:ilvl w:val="0"/>
          <w:numId w:val="0"/>
        </w:numPr>
        <w:pBdr/>
        <w:spacing w:line="360" w:lineRule="auto"/>
        <w:ind/>
        <w:rPr>
          <w:rFonts w:hint="eastAsia" w:ascii="宋体" w:hAnsi="宋体" w:cs="宋体"/>
          <w:b/>
          <w:bCs/>
          <w:sz w:val="24"/>
        </w:rPr>
      </w:pPr>
      <w:r>
        <w:rPr>
          <w:rFonts w:hint="eastAsia" w:ascii="宋体" w:hAnsi="宋体" w:cs="宋体"/>
          <w:b/>
          <w:bCs/>
          <w:sz w:val="24"/>
          <w:lang w:val="en-US" w:eastAsia="zh-CN"/>
        </w:rPr>
        <w:t xml:space="preserve">二、</w:t>
      </w:r>
      <w:r>
        <w:rPr>
          <w:rFonts w:hint="eastAsia" w:ascii="宋体" w:hAnsi="宋体" w:cs="宋体"/>
          <w:b/>
          <w:bCs/>
          <w:sz w:val="24"/>
        </w:rPr>
        <w:t xml:space="preserve">商务条款</w:t>
      </w:r>
      <w:r>
        <w:rPr>
          <w:rFonts w:hint="eastAsia" w:ascii="宋体" w:hAnsi="宋体" w:cs="宋体"/>
          <w:b/>
          <w:bCs/>
          <w:sz w:val="24"/>
        </w:rPr>
      </w:r>
      <w:r>
        <w:rPr>
          <w:rFonts w:hint="eastAsia" w:ascii="宋体" w:hAnsi="宋体" w:cs="宋体"/>
          <w:b/>
          <w:bCs/>
          <w:sz w:val="24"/>
        </w:rPr>
      </w:r>
    </w:p>
    <w:tbl>
      <w:tblPr>
        <w:tblStyle w:val="924"/>
        <w:tblInd w:w="401" w:type="dxa"/>
        <w:tblW w:w="8566" w:type="dxa"/>
        <w:tblCellMar>
          <w:left w:w="108" w:type="dxa"/>
          <w:top w:w="0" w:type="dxa"/>
          <w:right w:w="108" w:type="dxa"/>
          <w:bottom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Look w:val="04A0" w:firstRow="1" w:lastRow="0" w:firstColumn="1" w:lastColumn="0" w:noHBand="0" w:noVBand="1"/>
      </w:tblPr>
      <w:tblGrid>
        <w:gridCol w:w="856"/>
        <w:gridCol w:w="1489"/>
        <w:gridCol w:w="6221"/>
      </w:tblGrid>
      <w:tr>
        <w:trPr>
          <w:trHeight w:val="397"/>
        </w:trPr>
        <w:tc>
          <w:tcPr>
            <w:tcBorders/>
            <w:tcW w:w="856" w:type="dxa"/>
            <w:vAlign w:val="center"/>
            <w:textDirection w:val="lrTb"/>
            <w:noWrap w:val="false"/>
          </w:tcPr>
          <w:p w14:paraId="3257E8DE">
            <w:pPr>
              <w:widowControl w:val="true"/>
              <w:pBdr/>
              <w:spacing/>
              <w:ind/>
              <w:jc w:val="left"/>
              <w:rPr>
                <w:rFonts w:hint="eastAsia" w:ascii="宋体" w:hAnsi="宋体" w:cs="宋体"/>
                <w:b/>
                <w:sz w:val="24"/>
              </w:rPr>
            </w:pPr>
            <w:r>
              <w:rPr>
                <w:rFonts w:hint="eastAsia" w:ascii="宋体" w:hAnsi="宋体" w:cs="宋体"/>
                <w:b/>
                <w:sz w:val="24"/>
              </w:rPr>
              <w:t xml:space="preserve">序号</w:t>
            </w:r>
            <w:r>
              <w:rPr>
                <w:rFonts w:hint="eastAsia" w:ascii="宋体" w:hAnsi="宋体" w:cs="宋体"/>
                <w:b/>
                <w:sz w:val="24"/>
              </w:rPr>
            </w:r>
            <w:r>
              <w:rPr>
                <w:rFonts w:hint="eastAsia" w:ascii="宋体" w:hAnsi="宋体" w:cs="宋体"/>
                <w:b/>
                <w:sz w:val="24"/>
              </w:rPr>
            </w:r>
          </w:p>
        </w:tc>
        <w:tc>
          <w:tcPr>
            <w:tcBorders/>
            <w:tcW w:w="1489" w:type="dxa"/>
            <w:vAlign w:val="center"/>
            <w:textDirection w:val="lrTb"/>
            <w:noWrap w:val="false"/>
          </w:tcPr>
          <w:p w14:paraId="37AA35F4">
            <w:pPr>
              <w:widowControl w:val="true"/>
              <w:pBdr/>
              <w:spacing/>
              <w:ind/>
              <w:jc w:val="left"/>
              <w:rPr>
                <w:rFonts w:hint="eastAsia" w:ascii="宋体" w:hAnsi="宋体" w:cs="宋体"/>
                <w:b/>
                <w:sz w:val="24"/>
              </w:rPr>
            </w:pPr>
            <w:r>
              <w:rPr>
                <w:rFonts w:hint="eastAsia" w:ascii="宋体" w:hAnsi="宋体" w:cs="宋体"/>
                <w:b/>
                <w:sz w:val="24"/>
              </w:rPr>
              <w:t xml:space="preserve">目录</w:t>
            </w:r>
            <w:r>
              <w:rPr>
                <w:rFonts w:hint="eastAsia" w:ascii="宋体" w:hAnsi="宋体" w:cs="宋体"/>
                <w:b/>
                <w:sz w:val="24"/>
              </w:rPr>
            </w:r>
            <w:r>
              <w:rPr>
                <w:rFonts w:hint="eastAsia" w:ascii="宋体" w:hAnsi="宋体" w:cs="宋体"/>
                <w:b/>
                <w:sz w:val="24"/>
              </w:rPr>
            </w:r>
          </w:p>
        </w:tc>
        <w:tc>
          <w:tcPr>
            <w:tcBorders/>
            <w:tcW w:w="6221" w:type="dxa"/>
            <w:vAlign w:val="center"/>
            <w:textDirection w:val="lrTb"/>
            <w:noWrap w:val="false"/>
          </w:tcPr>
          <w:p w14:paraId="2F2FE0B1">
            <w:pPr>
              <w:widowControl w:val="true"/>
              <w:pBdr/>
              <w:spacing/>
              <w:ind/>
              <w:jc w:val="left"/>
              <w:rPr>
                <w:rFonts w:hint="eastAsia" w:ascii="宋体" w:hAnsi="宋体" w:cs="宋体"/>
                <w:b/>
                <w:sz w:val="24"/>
              </w:rPr>
            </w:pPr>
            <w:r>
              <w:rPr>
                <w:rFonts w:hint="eastAsia" w:ascii="宋体" w:hAnsi="宋体" w:cs="宋体"/>
                <w:sz w:val="24"/>
              </w:rPr>
              <w:t xml:space="preserve">供应商服务需求</w:t>
            </w:r>
            <w:r>
              <w:rPr>
                <w:rFonts w:hint="eastAsia" w:ascii="宋体" w:hAnsi="宋体" w:cs="宋体"/>
                <w:b/>
                <w:sz w:val="24"/>
              </w:rPr>
            </w:r>
            <w:r>
              <w:rPr>
                <w:rFonts w:hint="eastAsia" w:ascii="宋体" w:hAnsi="宋体" w:cs="宋体"/>
                <w:b/>
                <w:sz w:val="24"/>
              </w:rPr>
            </w:r>
          </w:p>
        </w:tc>
      </w:tr>
      <w:tr>
        <w:trPr>
          <w:trHeight w:val="280"/>
        </w:trPr>
        <w:tc>
          <w:tcPr>
            <w:gridSpan w:val="3"/>
            <w:tcBorders/>
            <w:tcW w:w="8566" w:type="dxa"/>
            <w:vAlign w:val="top"/>
            <w:textDirection w:val="lrTb"/>
            <w:noWrap w:val="false"/>
          </w:tcPr>
          <w:p w14:paraId="3930F07B">
            <w:pPr>
              <w:widowControl w:val="true"/>
              <w:pBdr/>
              <w:spacing/>
              <w:ind/>
              <w:jc w:val="left"/>
              <w:rPr>
                <w:rFonts w:hint="eastAsia" w:ascii="宋体" w:hAnsi="宋体" w:cs="宋体"/>
                <w:b/>
                <w:sz w:val="24"/>
              </w:rPr>
            </w:pPr>
            <w:r>
              <w:rPr>
                <w:rFonts w:hint="eastAsia" w:ascii="宋体" w:hAnsi="宋体" w:cs="宋体"/>
                <w:b/>
                <w:sz w:val="24"/>
              </w:rPr>
              <w:t xml:space="preserve">（一）免费保修期内售后服务要求</w:t>
            </w:r>
            <w:r>
              <w:rPr>
                <w:rFonts w:hint="eastAsia" w:ascii="宋体" w:hAnsi="宋体" w:cs="宋体"/>
                <w:b/>
                <w:sz w:val="24"/>
              </w:rPr>
            </w:r>
            <w:r>
              <w:rPr>
                <w:rFonts w:hint="eastAsia" w:ascii="宋体" w:hAnsi="宋体" w:cs="宋体"/>
                <w:b/>
                <w:sz w:val="24"/>
              </w:rPr>
            </w:r>
          </w:p>
        </w:tc>
      </w:tr>
      <w:tr>
        <w:trPr>
          <w:trHeight w:val="256"/>
        </w:trPr>
        <w:tc>
          <w:tcPr>
            <w:tcBorders/>
            <w:tcW w:w="856" w:type="dxa"/>
            <w:vAlign w:val="center"/>
            <w:textDirection w:val="lrTb"/>
            <w:noWrap w:val="false"/>
          </w:tcPr>
          <w:p w14:paraId="76D55CCB">
            <w:pPr>
              <w:widowControl w:val="true"/>
              <w:pBdr/>
              <w:spacing/>
              <w:ind/>
              <w:jc w:val="center"/>
              <w:rPr>
                <w:rFonts w:hint="eastAsia" w:ascii="宋体" w:hAnsi="宋体" w:cs="宋体"/>
                <w:b/>
                <w:sz w:val="24"/>
              </w:rPr>
            </w:pPr>
            <w:r>
              <w:rPr>
                <w:rFonts w:hint="eastAsia" w:ascii="宋体" w:hAnsi="宋体" w:cs="宋体"/>
                <w:b/>
                <w:sz w:val="24"/>
              </w:rPr>
              <w:t xml:space="preserve">1</w:t>
            </w:r>
            <w:r>
              <w:rPr>
                <w:rFonts w:hint="eastAsia" w:ascii="宋体" w:hAnsi="宋体" w:cs="宋体"/>
                <w:b/>
                <w:sz w:val="24"/>
              </w:rPr>
            </w:r>
            <w:r>
              <w:rPr>
                <w:rFonts w:hint="eastAsia" w:ascii="宋体" w:hAnsi="宋体" w:cs="宋体"/>
                <w:b/>
                <w:sz w:val="24"/>
              </w:rPr>
            </w:r>
          </w:p>
        </w:tc>
        <w:tc>
          <w:tcPr>
            <w:tcBorders/>
            <w:tcW w:w="1489" w:type="dxa"/>
            <w:vAlign w:val="center"/>
            <w:textDirection w:val="lrTb"/>
            <w:noWrap w:val="false"/>
          </w:tcPr>
          <w:p w14:paraId="05AA28F8">
            <w:pPr>
              <w:widowControl w:val="true"/>
              <w:pBdr/>
              <w:spacing/>
              <w:ind/>
              <w:jc w:val="left"/>
              <w:rPr>
                <w:rFonts w:hint="eastAsia" w:ascii="宋体" w:hAnsi="宋体" w:cs="宋体"/>
                <w:sz w:val="24"/>
              </w:rPr>
            </w:pPr>
            <w:r>
              <w:rPr>
                <w:rFonts w:hint="eastAsia" w:ascii="宋体" w:hAnsi="宋体" w:cs="宋体"/>
                <w:sz w:val="24"/>
              </w:rPr>
              <w:t xml:space="preserve">免费保修期</w:t>
            </w:r>
            <w:r>
              <w:rPr>
                <w:rFonts w:hint="eastAsia" w:ascii="宋体" w:hAnsi="宋体" w:cs="宋体"/>
                <w:sz w:val="24"/>
              </w:rPr>
            </w:r>
            <w:r>
              <w:rPr>
                <w:rFonts w:hint="eastAsia" w:ascii="宋体" w:hAnsi="宋体" w:cs="宋体"/>
                <w:sz w:val="24"/>
              </w:rPr>
            </w:r>
          </w:p>
        </w:tc>
        <w:tc>
          <w:tcPr>
            <w:tcBorders/>
            <w:tcW w:w="6221" w:type="dxa"/>
            <w:vAlign w:val="top"/>
            <w:textDirection w:val="lrTb"/>
            <w:noWrap w:val="false"/>
          </w:tcPr>
          <w:p w14:paraId="2F1973BA">
            <w:pPr>
              <w:widowControl w:val="true"/>
              <w:pBdr/>
              <w:spacing/>
              <w:ind/>
              <w:jc w:val="left"/>
              <w:rPr>
                <w:rFonts w:hint="eastAsia" w:ascii="宋体" w:hAnsi="宋体" w:cs="宋体"/>
                <w:b/>
                <w:sz w:val="24"/>
              </w:rPr>
            </w:pPr>
            <w:r>
              <w:rPr>
                <w:rFonts w:hint="eastAsia" w:ascii="宋体" w:hAnsi="宋体" w:cs="宋体"/>
                <w:bCs/>
                <w:sz w:val="24"/>
              </w:rPr>
              <w:t xml:space="preserve">货物免费保修期</w:t>
            </w:r>
            <w:r>
              <w:rPr>
                <w:rFonts w:hint="eastAsia" w:ascii="宋体" w:hAnsi="宋体" w:cs="宋体"/>
                <w:bCs/>
                <w:sz w:val="24"/>
                <w:u w:val="single"/>
                <w:lang w:val="en-US" w:eastAsia="zh-CN"/>
              </w:rPr>
              <w:t xml:space="preserve">3</w:t>
            </w:r>
            <w:r>
              <w:rPr>
                <w:rFonts w:hint="eastAsia" w:ascii="宋体" w:hAnsi="宋体" w:cs="宋体"/>
                <w:bCs/>
                <w:sz w:val="24"/>
                <w:u w:val="single"/>
              </w:rPr>
              <w:t xml:space="preserve"> </w:t>
            </w:r>
            <w:r>
              <w:rPr>
                <w:rFonts w:hint="eastAsia" w:ascii="宋体" w:hAnsi="宋体" w:cs="宋体"/>
                <w:bCs/>
                <w:sz w:val="24"/>
              </w:rPr>
              <w:t xml:space="preserve">年，时间自最终验收合格并交付使用之日起计算。</w:t>
            </w:r>
            <w:r>
              <w:rPr>
                <w:rFonts w:hint="eastAsia" w:ascii="宋体" w:hAnsi="宋体" w:cs="宋体"/>
                <w:b/>
                <w:sz w:val="24"/>
              </w:rPr>
            </w:r>
            <w:r>
              <w:rPr>
                <w:rFonts w:hint="eastAsia" w:ascii="宋体" w:hAnsi="宋体" w:cs="宋体"/>
                <w:b/>
                <w:sz w:val="24"/>
              </w:rPr>
            </w:r>
          </w:p>
        </w:tc>
      </w:tr>
      <w:tr>
        <w:trPr>
          <w:trHeight w:val="320"/>
        </w:trPr>
        <w:tc>
          <w:tcPr>
            <w:tcBorders/>
            <w:tcW w:w="856" w:type="dxa"/>
            <w:vAlign w:val="center"/>
            <w:textDirection w:val="lrTb"/>
            <w:noWrap w:val="false"/>
          </w:tcPr>
          <w:p w14:paraId="40CE4AE8">
            <w:pPr>
              <w:widowControl w:val="true"/>
              <w:pBdr/>
              <w:spacing/>
              <w:ind/>
              <w:jc w:val="center"/>
              <w:rPr>
                <w:rFonts w:hint="eastAsia" w:ascii="宋体" w:hAnsi="宋体" w:cs="宋体"/>
                <w:b/>
                <w:sz w:val="24"/>
              </w:rPr>
            </w:pPr>
            <w:r>
              <w:rPr>
                <w:rFonts w:hint="eastAsia" w:ascii="宋体" w:hAnsi="宋体" w:cs="宋体"/>
                <w:b/>
                <w:sz w:val="24"/>
              </w:rPr>
              <w:t xml:space="preserve">2</w:t>
            </w:r>
            <w:r>
              <w:rPr>
                <w:rFonts w:hint="eastAsia" w:ascii="宋体" w:hAnsi="宋体" w:cs="宋体"/>
                <w:b/>
                <w:sz w:val="24"/>
              </w:rPr>
            </w:r>
            <w:r>
              <w:rPr>
                <w:rFonts w:hint="eastAsia" w:ascii="宋体" w:hAnsi="宋体" w:cs="宋体"/>
                <w:b/>
                <w:sz w:val="24"/>
              </w:rPr>
            </w:r>
          </w:p>
        </w:tc>
        <w:tc>
          <w:tcPr>
            <w:tcBorders/>
            <w:tcW w:w="1489" w:type="dxa"/>
            <w:vAlign w:val="top"/>
            <w:textDirection w:val="lrTb"/>
            <w:noWrap w:val="false"/>
          </w:tcPr>
          <w:p w14:paraId="1FC13029">
            <w:pPr>
              <w:widowControl w:val="true"/>
              <w:pBdr/>
              <w:spacing/>
              <w:ind/>
              <w:jc w:val="left"/>
              <w:rPr>
                <w:rFonts w:hint="eastAsia" w:ascii="宋体" w:hAnsi="宋体" w:cs="宋体"/>
                <w:sz w:val="24"/>
              </w:rPr>
            </w:pPr>
            <w:r>
              <w:rPr>
                <w:rFonts w:hint="eastAsia" w:ascii="宋体" w:hAnsi="宋体" w:cs="宋体"/>
                <w:sz w:val="24"/>
              </w:rPr>
              <w:t xml:space="preserve">维修响应及故障解决时间</w:t>
            </w:r>
            <w:r>
              <w:rPr>
                <w:rFonts w:hint="eastAsia" w:ascii="宋体" w:hAnsi="宋体" w:cs="宋体"/>
                <w:sz w:val="24"/>
              </w:rPr>
            </w:r>
            <w:r>
              <w:rPr>
                <w:rFonts w:hint="eastAsia" w:ascii="宋体" w:hAnsi="宋体" w:cs="宋体"/>
                <w:sz w:val="24"/>
              </w:rPr>
            </w:r>
          </w:p>
        </w:tc>
        <w:tc>
          <w:tcPr>
            <w:tcBorders/>
            <w:tcW w:w="6221" w:type="dxa"/>
            <w:vAlign w:val="top"/>
            <w:textDirection w:val="lrTb"/>
            <w:noWrap w:val="false"/>
          </w:tcPr>
          <w:p w14:paraId="361D84B5">
            <w:pPr>
              <w:widowControl w:val="true"/>
              <w:pBdr/>
              <w:spacing/>
              <w:ind/>
              <w:jc w:val="left"/>
              <w:rPr>
                <w:rFonts w:hint="eastAsia" w:ascii="宋体" w:hAnsi="宋体" w:cs="宋体"/>
                <w:b/>
                <w:sz w:val="24"/>
              </w:rPr>
            </w:pPr>
            <w:r>
              <w:rPr>
                <w:rFonts w:hint="eastAsia" w:ascii="宋体" w:hAnsi="宋体" w:cs="宋体"/>
                <w:bCs/>
                <w:sz w:val="24"/>
              </w:rPr>
              <w:t xml:space="preserve">在保修期内，一旦发生质量问题，投标人保证在接到通知24小时内赶到现场进行修理或更换。</w:t>
            </w:r>
            <w:r>
              <w:rPr>
                <w:rFonts w:hint="eastAsia" w:ascii="宋体" w:hAnsi="宋体" w:cs="宋体"/>
                <w:b/>
                <w:sz w:val="24"/>
              </w:rPr>
            </w:r>
            <w:r>
              <w:rPr>
                <w:rFonts w:hint="eastAsia" w:ascii="宋体" w:hAnsi="宋体" w:cs="宋体"/>
                <w:b/>
                <w:sz w:val="24"/>
              </w:rPr>
            </w:r>
          </w:p>
        </w:tc>
      </w:tr>
      <w:tr>
        <w:trPr>
          <w:trHeight w:val="702"/>
        </w:trPr>
        <w:tc>
          <w:tcPr>
            <w:tcBorders/>
            <w:tcW w:w="856" w:type="dxa"/>
            <w:vAlign w:val="center"/>
            <w:vMerge w:val="restart"/>
            <w:textDirection w:val="lrTb"/>
            <w:noWrap w:val="false"/>
          </w:tcPr>
          <w:p w14:paraId="0EE2DBF6">
            <w:pPr>
              <w:widowControl w:val="true"/>
              <w:pBdr/>
              <w:spacing/>
              <w:ind/>
              <w:jc w:val="center"/>
              <w:rPr>
                <w:rFonts w:hint="eastAsia" w:ascii="宋体" w:hAnsi="宋体" w:eastAsia="宋体" w:cs="宋体"/>
                <w:b/>
                <w:sz w:val="24"/>
                <w:lang w:eastAsia="zh-CN"/>
              </w:rPr>
            </w:pPr>
            <w:r>
              <w:rPr>
                <w:rFonts w:hint="eastAsia" w:ascii="宋体" w:hAnsi="宋体" w:cs="宋体"/>
                <w:b/>
                <w:sz w:val="24"/>
                <w:lang w:val="en-US" w:eastAsia="zh-CN"/>
              </w:rPr>
              <w:t xml:space="preserve">3</w:t>
            </w:r>
            <w:r>
              <w:rPr>
                <w:rFonts w:hint="eastAsia" w:ascii="宋体" w:hAnsi="宋体" w:eastAsia="宋体" w:cs="宋体"/>
                <w:b/>
                <w:sz w:val="24"/>
                <w:lang w:eastAsia="zh-CN"/>
              </w:rPr>
            </w:r>
            <w:r>
              <w:rPr>
                <w:rFonts w:hint="eastAsia" w:ascii="宋体" w:hAnsi="宋体" w:eastAsia="宋体" w:cs="宋体"/>
                <w:b/>
                <w:sz w:val="24"/>
                <w:lang w:eastAsia="zh-CN"/>
              </w:rPr>
            </w:r>
          </w:p>
        </w:tc>
        <w:tc>
          <w:tcPr>
            <w:tcBorders/>
            <w:tcW w:w="1489" w:type="dxa"/>
            <w:vAlign w:val="center"/>
            <w:vMerge w:val="restart"/>
            <w:textDirection w:val="lrTb"/>
            <w:noWrap w:val="false"/>
          </w:tcPr>
          <w:p w14:paraId="39D6FC64">
            <w:pPr>
              <w:widowControl w:val="true"/>
              <w:pBdr/>
              <w:spacing/>
              <w:ind/>
              <w:jc w:val="left"/>
              <w:rPr>
                <w:rFonts w:hint="eastAsia" w:ascii="宋体" w:hAnsi="宋体" w:cs="宋体"/>
                <w:sz w:val="24"/>
              </w:rPr>
            </w:pPr>
            <w:r>
              <w:rPr>
                <w:rFonts w:hint="eastAsia" w:ascii="宋体" w:hAnsi="宋体" w:cs="宋体"/>
                <w:sz w:val="24"/>
              </w:rPr>
              <w:t xml:space="preserve">技术培训服务要求</w:t>
            </w:r>
            <w:r>
              <w:rPr>
                <w:rFonts w:hint="eastAsia" w:ascii="宋体" w:hAnsi="宋体" w:cs="宋体"/>
                <w:sz w:val="24"/>
              </w:rPr>
            </w:r>
            <w:r>
              <w:rPr>
                <w:rFonts w:hint="eastAsia" w:ascii="宋体" w:hAnsi="宋体" w:cs="宋体"/>
                <w:sz w:val="24"/>
              </w:rPr>
            </w:r>
          </w:p>
        </w:tc>
        <w:tc>
          <w:tcPr>
            <w:tcBorders/>
            <w:tcW w:w="6221" w:type="dxa"/>
            <w:vAlign w:val="center"/>
            <w:textDirection w:val="lrTb"/>
            <w:noWrap w:val="false"/>
          </w:tcPr>
          <w:p w14:paraId="42CA60C8">
            <w:pPr>
              <w:widowControl w:val="true"/>
              <w:pBdr/>
              <w:spacing/>
              <w:ind/>
              <w:jc w:val="left"/>
              <w:rPr>
                <w:rFonts w:hint="eastAsia" w:ascii="宋体" w:hAnsi="宋体" w:cs="宋体"/>
                <w:sz w:val="24"/>
              </w:rPr>
            </w:pPr>
            <w:r>
              <w:rPr>
                <w:rFonts w:hint="eastAsia" w:ascii="宋体" w:hAnsi="宋体" w:cs="宋体"/>
                <w:sz w:val="24"/>
              </w:rPr>
              <w:t xml:space="preserve">4.1为了保证所购设备能有效地得到良好应用，供应商应提供至少三个工作日的当地技术培训。</w:t>
            </w:r>
            <w:r>
              <w:rPr>
                <w:rFonts w:hint="eastAsia" w:ascii="宋体" w:hAnsi="宋体" w:cs="宋体"/>
                <w:sz w:val="24"/>
              </w:rPr>
            </w:r>
            <w:r>
              <w:rPr>
                <w:rFonts w:hint="eastAsia" w:ascii="宋体" w:hAnsi="宋体" w:cs="宋体"/>
                <w:sz w:val="24"/>
              </w:rPr>
            </w:r>
          </w:p>
        </w:tc>
      </w:tr>
      <w:tr>
        <w:trPr>
          <w:trHeight w:val="696"/>
        </w:trPr>
        <w:tc>
          <w:tcPr>
            <w:tcBorders/>
            <w:tcW w:w="856" w:type="dxa"/>
            <w:vAlign w:val="center"/>
            <w:vMerge w:val="continue"/>
            <w:textDirection w:val="lrTb"/>
            <w:noWrap w:val="false"/>
          </w:tcPr>
          <w:p w14:paraId="5BBD6673">
            <w:pPr>
              <w:widowControl w:val="true"/>
              <w:pBdr/>
              <w:spacing/>
              <w:ind/>
              <w:jc w:val="left"/>
              <w:rPr>
                <w:rFonts w:hint="eastAsia" w:ascii="宋体" w:hAnsi="宋体" w:cs="宋体"/>
                <w:b/>
                <w:sz w:val="24"/>
              </w:rPr>
            </w:pPr>
            <w:r>
              <w:rPr>
                <w:rFonts w:hint="eastAsia" w:ascii="宋体" w:hAnsi="宋体" w:cs="宋体"/>
                <w:b/>
                <w:sz w:val="24"/>
              </w:rPr>
            </w:r>
            <w:r>
              <w:rPr>
                <w:rFonts w:hint="eastAsia" w:ascii="宋体" w:hAnsi="宋体" w:cs="宋体"/>
                <w:b/>
                <w:sz w:val="24"/>
              </w:rPr>
            </w:r>
            <w:r>
              <w:rPr>
                <w:rFonts w:hint="eastAsia" w:ascii="宋体" w:hAnsi="宋体" w:cs="宋体"/>
                <w:b/>
                <w:sz w:val="24"/>
              </w:rPr>
            </w:r>
          </w:p>
        </w:tc>
        <w:tc>
          <w:tcPr>
            <w:tcBorders/>
            <w:tcW w:w="1489" w:type="dxa"/>
            <w:vAlign w:val="center"/>
            <w:vMerge w:val="continue"/>
            <w:textDirection w:val="lrTb"/>
            <w:noWrap w:val="false"/>
          </w:tcPr>
          <w:p w14:paraId="5D5FB890">
            <w:pPr>
              <w:widowControl w:val="true"/>
              <w:pBdr/>
              <w:spacing/>
              <w:ind/>
              <w:jc w:val="left"/>
              <w:rPr>
                <w:rFonts w:hint="eastAsia" w:ascii="宋体" w:hAnsi="宋体" w:cs="宋体"/>
                <w:sz w:val="24"/>
              </w:rPr>
            </w:pPr>
            <w:r>
              <w:rPr>
                <w:rFonts w:hint="eastAsia" w:ascii="宋体" w:hAnsi="宋体" w:cs="宋体"/>
                <w:sz w:val="24"/>
              </w:rPr>
            </w:r>
            <w:r>
              <w:rPr>
                <w:rFonts w:hint="eastAsia" w:ascii="宋体" w:hAnsi="宋体" w:cs="宋体"/>
                <w:sz w:val="24"/>
              </w:rPr>
            </w:r>
            <w:r>
              <w:rPr>
                <w:rFonts w:hint="eastAsia" w:ascii="宋体" w:hAnsi="宋体" w:cs="宋体"/>
                <w:sz w:val="24"/>
              </w:rPr>
            </w:r>
          </w:p>
        </w:tc>
        <w:tc>
          <w:tcPr>
            <w:tcBorders/>
            <w:tcW w:w="6221" w:type="dxa"/>
            <w:vAlign w:val="center"/>
            <w:textDirection w:val="lrTb"/>
            <w:noWrap w:val="false"/>
          </w:tcPr>
          <w:p w14:paraId="7AEF3104">
            <w:pPr>
              <w:widowControl w:val="true"/>
              <w:pBdr/>
              <w:spacing/>
              <w:ind/>
              <w:jc w:val="left"/>
              <w:rPr>
                <w:rFonts w:hint="eastAsia" w:ascii="宋体" w:hAnsi="宋体" w:cs="宋体"/>
                <w:sz w:val="24"/>
              </w:rPr>
            </w:pPr>
            <w:r>
              <w:rPr>
                <w:rFonts w:hint="eastAsia" w:ascii="宋体" w:hAnsi="宋体" w:cs="宋体"/>
                <w:sz w:val="24"/>
              </w:rPr>
              <w:t xml:space="preserve">4.2当地设备使用培训在用户现场进行，人数不限，供应商保证培训内容的规范性；</w:t>
            </w:r>
            <w:r>
              <w:rPr>
                <w:rFonts w:hint="eastAsia" w:ascii="宋体" w:hAnsi="宋体" w:cs="宋体"/>
                <w:sz w:val="24"/>
              </w:rPr>
            </w:r>
            <w:r>
              <w:rPr>
                <w:rFonts w:hint="eastAsia" w:ascii="宋体" w:hAnsi="宋体" w:cs="宋体"/>
                <w:sz w:val="24"/>
              </w:rPr>
            </w:r>
          </w:p>
        </w:tc>
      </w:tr>
      <w:tr>
        <w:trPr>
          <w:trHeight w:val="934"/>
        </w:trPr>
        <w:tc>
          <w:tcPr>
            <w:tcBorders/>
            <w:tcW w:w="856" w:type="dxa"/>
            <w:vAlign w:val="center"/>
            <w:vMerge w:val="continue"/>
            <w:textDirection w:val="lrTb"/>
            <w:noWrap w:val="false"/>
          </w:tcPr>
          <w:p w14:paraId="7ED88719">
            <w:pPr>
              <w:widowControl w:val="true"/>
              <w:pBdr/>
              <w:spacing/>
              <w:ind/>
              <w:jc w:val="left"/>
              <w:rPr>
                <w:rFonts w:hint="eastAsia" w:ascii="宋体" w:hAnsi="宋体" w:cs="宋体"/>
                <w:b/>
                <w:sz w:val="24"/>
              </w:rPr>
            </w:pPr>
            <w:r>
              <w:rPr>
                <w:rFonts w:hint="eastAsia" w:ascii="宋体" w:hAnsi="宋体" w:cs="宋体"/>
                <w:b/>
                <w:sz w:val="24"/>
              </w:rPr>
            </w:r>
            <w:r>
              <w:rPr>
                <w:rFonts w:hint="eastAsia" w:ascii="宋体" w:hAnsi="宋体" w:cs="宋体"/>
                <w:b/>
                <w:sz w:val="24"/>
              </w:rPr>
            </w:r>
            <w:r>
              <w:rPr>
                <w:rFonts w:hint="eastAsia" w:ascii="宋体" w:hAnsi="宋体" w:cs="宋体"/>
                <w:b/>
                <w:sz w:val="24"/>
              </w:rPr>
            </w:r>
          </w:p>
        </w:tc>
        <w:tc>
          <w:tcPr>
            <w:tcBorders/>
            <w:tcW w:w="1489" w:type="dxa"/>
            <w:vAlign w:val="center"/>
            <w:vMerge w:val="continue"/>
            <w:textDirection w:val="lrTb"/>
            <w:noWrap w:val="false"/>
          </w:tcPr>
          <w:p w14:paraId="1907648B">
            <w:pPr>
              <w:widowControl w:val="true"/>
              <w:pBdr/>
              <w:spacing/>
              <w:ind/>
              <w:jc w:val="left"/>
              <w:rPr>
                <w:rFonts w:hint="eastAsia" w:ascii="宋体" w:hAnsi="宋体" w:cs="宋体"/>
                <w:sz w:val="24"/>
              </w:rPr>
            </w:pPr>
            <w:r>
              <w:rPr>
                <w:rFonts w:hint="eastAsia" w:ascii="宋体" w:hAnsi="宋体" w:cs="宋体"/>
                <w:sz w:val="24"/>
              </w:rPr>
            </w:r>
            <w:r>
              <w:rPr>
                <w:rFonts w:hint="eastAsia" w:ascii="宋体" w:hAnsi="宋体" w:cs="宋体"/>
                <w:sz w:val="24"/>
              </w:rPr>
            </w:r>
            <w:r>
              <w:rPr>
                <w:rFonts w:hint="eastAsia" w:ascii="宋体" w:hAnsi="宋体" w:cs="宋体"/>
                <w:sz w:val="24"/>
              </w:rPr>
            </w:r>
          </w:p>
        </w:tc>
        <w:tc>
          <w:tcPr>
            <w:tcBorders/>
            <w:tcW w:w="6221" w:type="dxa"/>
            <w:vAlign w:val="center"/>
            <w:textDirection w:val="lrTb"/>
            <w:noWrap w:val="false"/>
          </w:tcPr>
          <w:p w14:paraId="454168E4">
            <w:pPr>
              <w:widowControl w:val="true"/>
              <w:pBdr/>
              <w:spacing/>
              <w:ind/>
              <w:jc w:val="left"/>
              <w:rPr>
                <w:rFonts w:hint="eastAsia" w:ascii="宋体" w:hAnsi="宋体" w:cs="宋体"/>
                <w:sz w:val="24"/>
              </w:rPr>
            </w:pPr>
            <w:r>
              <w:rPr>
                <w:rFonts w:hint="eastAsia" w:ascii="宋体" w:hAnsi="宋体" w:cs="宋体"/>
                <w:sz w:val="24"/>
              </w:rPr>
              <w:t xml:space="preserve">4.3所提供的技术培训，一般情况下将在连续工作日内完成。在特殊情况下，可根据用户要求分次完成，双方应首先协商确定培训时间；</w:t>
            </w:r>
            <w:r>
              <w:rPr>
                <w:rFonts w:hint="eastAsia" w:ascii="宋体" w:hAnsi="宋体" w:cs="宋体"/>
                <w:sz w:val="24"/>
              </w:rPr>
            </w:r>
            <w:r>
              <w:rPr>
                <w:rFonts w:hint="eastAsia" w:ascii="宋体" w:hAnsi="宋体" w:cs="宋体"/>
                <w:sz w:val="24"/>
              </w:rPr>
            </w:r>
          </w:p>
        </w:tc>
      </w:tr>
      <w:tr>
        <w:trPr>
          <w:trHeight w:val="350"/>
        </w:trPr>
        <w:tc>
          <w:tcPr>
            <w:gridSpan w:val="3"/>
            <w:tcBorders/>
            <w:tcW w:w="8566" w:type="dxa"/>
            <w:vAlign w:val="top"/>
            <w:textDirection w:val="lrTb"/>
            <w:noWrap w:val="false"/>
          </w:tcPr>
          <w:p w14:paraId="659E98E3">
            <w:pPr>
              <w:widowControl w:val="true"/>
              <w:pBdr/>
              <w:spacing/>
              <w:ind/>
              <w:jc w:val="left"/>
              <w:rPr>
                <w:rFonts w:hint="eastAsia" w:ascii="宋体" w:hAnsi="宋体" w:cs="宋体"/>
                <w:b/>
                <w:sz w:val="24"/>
              </w:rPr>
            </w:pPr>
            <w:r>
              <w:rPr>
                <w:rFonts w:hint="eastAsia" w:ascii="宋体" w:hAnsi="宋体" w:cs="宋体"/>
                <w:b/>
                <w:sz w:val="24"/>
              </w:rPr>
              <w:t xml:space="preserve">（二）其他商务要求</w:t>
            </w:r>
            <w:r>
              <w:rPr>
                <w:rFonts w:hint="eastAsia" w:ascii="宋体" w:hAnsi="宋体" w:cs="宋体"/>
                <w:b/>
                <w:sz w:val="24"/>
              </w:rPr>
            </w:r>
            <w:r>
              <w:rPr>
                <w:rFonts w:hint="eastAsia" w:ascii="宋体" w:hAnsi="宋体" w:cs="宋体"/>
                <w:b/>
                <w:sz w:val="24"/>
              </w:rPr>
            </w:r>
          </w:p>
        </w:tc>
      </w:tr>
      <w:tr>
        <w:trPr>
          <w:trHeight w:val="465"/>
        </w:trPr>
        <w:tc>
          <w:tcPr>
            <w:tcBorders/>
            <w:tcW w:w="856" w:type="dxa"/>
            <w:vAlign w:val="center"/>
            <w:vMerge w:val="restart"/>
            <w:textDirection w:val="lrTb"/>
            <w:noWrap w:val="false"/>
          </w:tcPr>
          <w:p w14:paraId="1D851B87">
            <w:pPr>
              <w:widowControl w:val="true"/>
              <w:pBdr/>
              <w:spacing/>
              <w:ind/>
              <w:jc w:val="center"/>
              <w:rPr>
                <w:rFonts w:hint="eastAsia" w:ascii="宋体" w:hAnsi="宋体" w:eastAsia="宋体" w:cs="宋体"/>
                <w:b/>
                <w:sz w:val="24"/>
                <w:lang w:eastAsia="zh-CN"/>
              </w:rPr>
            </w:pPr>
            <w:r>
              <w:rPr>
                <w:rFonts w:hint="eastAsia" w:ascii="宋体" w:hAnsi="宋体" w:cs="宋体"/>
                <w:b/>
                <w:sz w:val="24"/>
                <w:lang w:val="en-US" w:eastAsia="zh-CN"/>
              </w:rPr>
              <w:t xml:space="preserve">1</w:t>
            </w:r>
            <w:r>
              <w:rPr>
                <w:rFonts w:hint="eastAsia" w:ascii="宋体" w:hAnsi="宋体" w:eastAsia="宋体" w:cs="宋体"/>
                <w:b/>
                <w:sz w:val="24"/>
                <w:lang w:eastAsia="zh-CN"/>
              </w:rPr>
            </w:r>
            <w:r>
              <w:rPr>
                <w:rFonts w:hint="eastAsia" w:ascii="宋体" w:hAnsi="宋体" w:eastAsia="宋体" w:cs="宋体"/>
                <w:b/>
                <w:sz w:val="24"/>
                <w:lang w:eastAsia="zh-CN"/>
              </w:rPr>
            </w:r>
          </w:p>
        </w:tc>
        <w:tc>
          <w:tcPr>
            <w:tcBorders/>
            <w:tcW w:w="1489" w:type="dxa"/>
            <w:vAlign w:val="center"/>
            <w:vMerge w:val="restart"/>
            <w:textDirection w:val="lrTb"/>
            <w:noWrap w:val="false"/>
          </w:tcPr>
          <w:p w14:paraId="32FE0BFE">
            <w:pPr>
              <w:widowControl w:val="true"/>
              <w:pBdr/>
              <w:spacing/>
              <w:ind/>
              <w:jc w:val="left"/>
              <w:rPr>
                <w:rFonts w:hint="eastAsia" w:ascii="宋体" w:hAnsi="宋体" w:cs="宋体"/>
                <w:sz w:val="24"/>
              </w:rPr>
            </w:pPr>
            <w:r>
              <w:rPr>
                <w:rFonts w:hint="eastAsia" w:ascii="宋体" w:hAnsi="宋体" w:cs="宋体"/>
                <w:sz w:val="24"/>
              </w:rPr>
              <w:t xml:space="preserve">关于交货</w:t>
            </w:r>
            <w:r>
              <w:rPr>
                <w:rFonts w:hint="eastAsia" w:ascii="宋体" w:hAnsi="宋体" w:cs="宋体"/>
                <w:sz w:val="24"/>
              </w:rPr>
            </w:r>
            <w:r>
              <w:rPr>
                <w:rFonts w:hint="eastAsia" w:ascii="宋体" w:hAnsi="宋体" w:cs="宋体"/>
                <w:sz w:val="24"/>
              </w:rPr>
            </w:r>
          </w:p>
        </w:tc>
        <w:tc>
          <w:tcPr>
            <w:tcBorders/>
            <w:tcW w:w="6221" w:type="dxa"/>
            <w:vAlign w:val="top"/>
            <w:textDirection w:val="lrTb"/>
            <w:noWrap w:val="false"/>
          </w:tcPr>
          <w:p w14:paraId="6CE459D5">
            <w:pPr>
              <w:widowControl w:val="true"/>
              <w:pBdr/>
              <w:spacing/>
              <w:ind/>
              <w:rPr>
                <w:rFonts w:hint="eastAsia" w:ascii="宋体" w:hAnsi="宋体" w:cs="宋体"/>
                <w:b/>
                <w:sz w:val="24"/>
              </w:rPr>
            </w:pPr>
            <w:r>
              <w:rPr>
                <w:rFonts w:hint="eastAsia" w:ascii="宋体" w:hAnsi="宋体" w:cs="宋体"/>
                <w:bCs/>
                <w:sz w:val="24"/>
                <w:lang w:val="en-US" w:eastAsia="zh-CN"/>
              </w:rPr>
              <w:t xml:space="preserve">1</w:t>
            </w:r>
            <w:r>
              <w:rPr>
                <w:rFonts w:hint="eastAsia" w:ascii="宋体" w:hAnsi="宋体" w:cs="宋体"/>
                <w:bCs/>
                <w:sz w:val="24"/>
              </w:rPr>
              <w:t xml:space="preserve">.1</w:t>
            </w:r>
            <w:r>
              <w:rPr>
                <w:rFonts w:hint="eastAsia" w:ascii="宋体" w:hAnsi="宋体" w:cs="宋体"/>
                <w:sz w:val="24"/>
              </w:rPr>
              <w:t xml:space="preserve">供应商应在采购合同签订之日起</w:t>
            </w:r>
            <w:r>
              <w:rPr>
                <w:rFonts w:hint="eastAsia" w:ascii="宋体" w:hAnsi="宋体" w:cs="宋体"/>
                <w:color w:val="auto"/>
                <w:sz w:val="24"/>
                <w:lang w:val="en-US" w:eastAsia="zh-CN"/>
              </w:rPr>
              <w:t xml:space="preserve">15个工</w:t>
            </w:r>
            <w:r>
              <w:rPr>
                <w:rFonts w:hint="eastAsia" w:ascii="宋体" w:hAnsi="宋体" w:cs="宋体"/>
                <w:sz w:val="24"/>
                <w:lang w:val="en-US" w:eastAsia="zh-CN"/>
              </w:rPr>
              <w:t xml:space="preserve">作</w:t>
            </w:r>
            <w:r>
              <w:rPr>
                <w:rFonts w:hint="eastAsia" w:ascii="宋体" w:hAnsi="宋体" w:cs="宋体"/>
                <w:sz w:val="24"/>
              </w:rPr>
              <w:t xml:space="preserve">日内向采购人完成交货。</w:t>
            </w:r>
            <w:r>
              <w:rPr>
                <w:rFonts w:hint="eastAsia" w:ascii="宋体" w:hAnsi="宋体" w:cs="宋体"/>
                <w:b/>
                <w:sz w:val="24"/>
              </w:rPr>
            </w:r>
            <w:r>
              <w:rPr>
                <w:rFonts w:hint="eastAsia" w:ascii="宋体" w:hAnsi="宋体" w:cs="宋体"/>
                <w:b/>
                <w:sz w:val="24"/>
              </w:rPr>
            </w:r>
          </w:p>
        </w:tc>
      </w:tr>
      <w:tr>
        <w:trPr>
          <w:trHeight w:val="465"/>
        </w:trPr>
        <w:tc>
          <w:tcPr>
            <w:tcBorders/>
            <w:tcW w:w="856" w:type="dxa"/>
            <w:vAlign w:val="center"/>
            <w:vMerge w:val="continue"/>
            <w:textDirection w:val="lrTb"/>
            <w:noWrap w:val="false"/>
          </w:tcPr>
          <w:p w14:paraId="41BBEAAA">
            <w:pPr>
              <w:widowControl w:val="true"/>
              <w:pBdr/>
              <w:spacing/>
              <w:ind/>
              <w:jc w:val="center"/>
              <w:rPr>
                <w:rFonts w:hint="eastAsia" w:ascii="宋体" w:hAnsi="宋体" w:cs="宋体"/>
                <w:b/>
                <w:sz w:val="24"/>
              </w:rPr>
            </w:pPr>
            <w:r>
              <w:rPr>
                <w:rFonts w:hint="eastAsia" w:ascii="宋体" w:hAnsi="宋体" w:cs="宋体"/>
                <w:b/>
                <w:sz w:val="24"/>
              </w:rPr>
            </w:r>
            <w:r>
              <w:rPr>
                <w:rFonts w:hint="eastAsia" w:ascii="宋体" w:hAnsi="宋体" w:cs="宋体"/>
                <w:b/>
                <w:sz w:val="24"/>
              </w:rPr>
            </w:r>
            <w:r>
              <w:rPr>
                <w:rFonts w:hint="eastAsia" w:ascii="宋体" w:hAnsi="宋体" w:cs="宋体"/>
                <w:b/>
                <w:sz w:val="24"/>
              </w:rPr>
            </w:r>
          </w:p>
        </w:tc>
        <w:tc>
          <w:tcPr>
            <w:tcBorders/>
            <w:tcW w:w="1489" w:type="dxa"/>
            <w:vAlign w:val="center"/>
            <w:vMerge w:val="continue"/>
            <w:textDirection w:val="lrTb"/>
            <w:noWrap w:val="false"/>
          </w:tcPr>
          <w:p w14:paraId="51D79C17">
            <w:pPr>
              <w:widowControl w:val="true"/>
              <w:pBdr/>
              <w:spacing/>
              <w:ind/>
              <w:jc w:val="left"/>
              <w:rPr>
                <w:rFonts w:hint="eastAsia" w:ascii="宋体" w:hAnsi="宋体" w:cs="宋体"/>
                <w:sz w:val="24"/>
              </w:rPr>
            </w:pPr>
            <w:r>
              <w:rPr>
                <w:rFonts w:hint="eastAsia" w:ascii="宋体" w:hAnsi="宋体" w:cs="宋体"/>
                <w:sz w:val="24"/>
              </w:rPr>
            </w:r>
            <w:r>
              <w:rPr>
                <w:rFonts w:hint="eastAsia" w:ascii="宋体" w:hAnsi="宋体" w:cs="宋体"/>
                <w:sz w:val="24"/>
              </w:rPr>
            </w:r>
            <w:r>
              <w:rPr>
                <w:rFonts w:hint="eastAsia" w:ascii="宋体" w:hAnsi="宋体" w:cs="宋体"/>
                <w:sz w:val="24"/>
              </w:rPr>
            </w:r>
          </w:p>
        </w:tc>
        <w:tc>
          <w:tcPr>
            <w:tcBorders/>
            <w:tcW w:w="6221" w:type="dxa"/>
            <w:vAlign w:val="top"/>
            <w:textDirection w:val="lrTb"/>
            <w:noWrap w:val="false"/>
          </w:tcPr>
          <w:p w14:paraId="0DA4AF11">
            <w:pPr>
              <w:widowControl w:val="true"/>
              <w:pBdr/>
              <w:spacing/>
              <w:ind/>
              <w:jc w:val="left"/>
              <w:rPr>
                <w:rFonts w:hint="eastAsia" w:ascii="宋体" w:hAnsi="宋体" w:cs="宋体"/>
                <w:bCs/>
                <w:sz w:val="24"/>
              </w:rPr>
            </w:pPr>
            <w:r>
              <w:rPr>
                <w:rFonts w:hint="eastAsia" w:ascii="宋体" w:hAnsi="宋体" w:cs="宋体"/>
                <w:bCs/>
                <w:sz w:val="24"/>
                <w:lang w:val="en-US" w:eastAsia="zh-CN"/>
              </w:rPr>
              <w:t xml:space="preserve">1</w:t>
            </w:r>
            <w:r>
              <w:rPr>
                <w:rFonts w:hint="eastAsia" w:ascii="宋体" w:hAnsi="宋体" w:cs="宋体"/>
                <w:bCs/>
                <w:sz w:val="24"/>
              </w:rPr>
              <w:t xml:space="preserve">.2</w:t>
            </w:r>
            <w:r>
              <w:rPr>
                <w:rFonts w:hint="eastAsia" w:ascii="宋体" w:hAnsi="宋体" w:cs="宋体"/>
                <w:sz w:val="24"/>
              </w:rPr>
              <w:t xml:space="preserve">供应商</w:t>
            </w:r>
            <w:r>
              <w:rPr>
                <w:rFonts w:hint="eastAsia" w:ascii="宋体" w:hAnsi="宋体" w:cs="宋体"/>
                <w:bCs/>
                <w:sz w:val="24"/>
              </w:rPr>
              <w:t xml:space="preserve">需承担设备运输、安装调试、提供设备操作说明书、图纸等义务。</w:t>
            </w:r>
            <w:r>
              <w:rPr>
                <w:rFonts w:hint="eastAsia" w:ascii="宋体" w:hAnsi="宋体" w:cs="宋体"/>
                <w:bCs/>
                <w:sz w:val="24"/>
              </w:rPr>
            </w:r>
            <w:r>
              <w:rPr>
                <w:rFonts w:hint="eastAsia" w:ascii="宋体" w:hAnsi="宋体" w:cs="宋体"/>
                <w:bCs/>
                <w:sz w:val="24"/>
              </w:rPr>
            </w:r>
          </w:p>
        </w:tc>
      </w:tr>
      <w:tr>
        <w:trPr>
          <w:trHeight w:val="230"/>
        </w:trPr>
        <w:tc>
          <w:tcPr>
            <w:tcBorders/>
            <w:tcW w:w="856" w:type="dxa"/>
            <w:vAlign w:val="center"/>
            <w:vMerge w:val="restart"/>
            <w:textDirection w:val="lrTb"/>
            <w:noWrap w:val="false"/>
          </w:tcPr>
          <w:p w14:paraId="7B0E18B4">
            <w:pPr>
              <w:widowControl w:val="true"/>
              <w:pBdr/>
              <w:spacing/>
              <w:ind/>
              <w:jc w:val="center"/>
              <w:rPr>
                <w:rFonts w:hint="eastAsia" w:ascii="宋体" w:hAnsi="宋体" w:eastAsia="宋体" w:cs="宋体"/>
                <w:b/>
                <w:sz w:val="24"/>
                <w:lang w:eastAsia="zh-CN"/>
              </w:rPr>
            </w:pPr>
            <w:r>
              <w:rPr>
                <w:rFonts w:hint="eastAsia" w:ascii="宋体" w:hAnsi="宋体" w:cs="宋体"/>
                <w:b/>
                <w:sz w:val="24"/>
                <w:lang w:val="en-US" w:eastAsia="zh-CN"/>
              </w:rPr>
              <w:t xml:space="preserve">2</w:t>
            </w:r>
            <w:r>
              <w:rPr>
                <w:rFonts w:hint="eastAsia" w:ascii="宋体" w:hAnsi="宋体" w:eastAsia="宋体" w:cs="宋体"/>
                <w:b/>
                <w:sz w:val="24"/>
                <w:lang w:eastAsia="zh-CN"/>
              </w:rPr>
            </w:r>
            <w:r>
              <w:rPr>
                <w:rFonts w:hint="eastAsia" w:ascii="宋体" w:hAnsi="宋体" w:eastAsia="宋体" w:cs="宋体"/>
                <w:b/>
                <w:sz w:val="24"/>
                <w:lang w:eastAsia="zh-CN"/>
              </w:rPr>
            </w:r>
          </w:p>
        </w:tc>
        <w:tc>
          <w:tcPr>
            <w:tcBorders/>
            <w:tcW w:w="1489" w:type="dxa"/>
            <w:vAlign w:val="center"/>
            <w:vMerge w:val="restart"/>
            <w:textDirection w:val="lrTb"/>
            <w:noWrap w:val="false"/>
          </w:tcPr>
          <w:p w14:paraId="6A1EB979">
            <w:pPr>
              <w:widowControl w:val="true"/>
              <w:pBdr/>
              <w:spacing/>
              <w:ind/>
              <w:jc w:val="left"/>
              <w:rPr>
                <w:rFonts w:hint="eastAsia" w:ascii="宋体" w:hAnsi="宋体" w:cs="宋体"/>
                <w:sz w:val="24"/>
              </w:rPr>
            </w:pPr>
            <w:r>
              <w:rPr>
                <w:rFonts w:hint="eastAsia" w:ascii="宋体" w:hAnsi="宋体" w:cs="宋体"/>
                <w:sz w:val="24"/>
              </w:rPr>
              <w:t xml:space="preserve">关于验收</w:t>
            </w:r>
            <w:r>
              <w:rPr>
                <w:rFonts w:hint="eastAsia" w:ascii="宋体" w:hAnsi="宋体" w:cs="宋体"/>
                <w:sz w:val="24"/>
              </w:rPr>
            </w:r>
            <w:r>
              <w:rPr>
                <w:rFonts w:hint="eastAsia" w:ascii="宋体" w:hAnsi="宋体" w:cs="宋体"/>
                <w:sz w:val="24"/>
              </w:rPr>
            </w:r>
          </w:p>
        </w:tc>
        <w:tc>
          <w:tcPr>
            <w:tcBorders/>
            <w:tcW w:w="6221" w:type="dxa"/>
            <w:vAlign w:val="top"/>
            <w:textDirection w:val="lrTb"/>
            <w:noWrap w:val="false"/>
          </w:tcPr>
          <w:p w14:paraId="005DD8C4">
            <w:pPr>
              <w:widowControl w:val="true"/>
              <w:pBdr/>
              <w:spacing/>
              <w:ind/>
              <w:rPr>
                <w:rFonts w:hint="eastAsia" w:ascii="宋体" w:hAnsi="宋体" w:cs="宋体"/>
                <w:bCs/>
                <w:sz w:val="24"/>
              </w:rPr>
            </w:pPr>
            <w:r>
              <w:rPr>
                <w:rFonts w:hint="eastAsia" w:ascii="宋体" w:hAnsi="宋体" w:cs="宋体"/>
                <w:bCs/>
                <w:sz w:val="24"/>
                <w:lang w:val="en-US" w:eastAsia="zh-CN"/>
              </w:rPr>
              <w:t xml:space="preserve">2</w:t>
            </w:r>
            <w:r>
              <w:rPr>
                <w:rFonts w:hint="eastAsia" w:ascii="宋体" w:hAnsi="宋体" w:cs="宋体"/>
                <w:bCs/>
                <w:sz w:val="24"/>
              </w:rPr>
              <w:t xml:space="preserve">.1</w:t>
            </w:r>
            <w:r>
              <w:rPr>
                <w:rFonts w:hint="eastAsia" w:ascii="宋体" w:hAnsi="宋体" w:cs="宋体"/>
                <w:sz w:val="24"/>
              </w:rPr>
              <w:t xml:space="preserve">供应商提供的货物，需经采购人组织验收合格后，签署验收报告。产品保修期自采购人验收合格之日起计算，供应商需向采购人提供产品保修文件。</w:t>
            </w:r>
            <w:r>
              <w:rPr>
                <w:rFonts w:hint="eastAsia" w:ascii="宋体" w:hAnsi="宋体" w:cs="宋体"/>
                <w:bCs/>
                <w:sz w:val="24"/>
              </w:rPr>
            </w:r>
            <w:r>
              <w:rPr>
                <w:rFonts w:hint="eastAsia" w:ascii="宋体" w:hAnsi="宋体" w:cs="宋体"/>
                <w:bCs/>
                <w:sz w:val="24"/>
              </w:rPr>
            </w:r>
          </w:p>
        </w:tc>
      </w:tr>
      <w:tr>
        <w:trPr>
          <w:trHeight w:val="1020"/>
        </w:trPr>
        <w:tc>
          <w:tcPr>
            <w:tcBorders/>
            <w:tcW w:w="856" w:type="dxa"/>
            <w:vAlign w:val="center"/>
            <w:vMerge w:val="continue"/>
            <w:textDirection w:val="lrTb"/>
            <w:noWrap w:val="false"/>
          </w:tcPr>
          <w:p w14:paraId="5741C012">
            <w:pPr>
              <w:widowControl w:val="true"/>
              <w:pBdr/>
              <w:spacing/>
              <w:ind/>
              <w:jc w:val="left"/>
              <w:rPr>
                <w:rFonts w:hint="eastAsia" w:ascii="宋体" w:hAnsi="宋体" w:cs="宋体"/>
                <w:b/>
                <w:sz w:val="24"/>
              </w:rPr>
            </w:pPr>
            <w:r>
              <w:rPr>
                <w:rFonts w:hint="eastAsia" w:ascii="宋体" w:hAnsi="宋体" w:cs="宋体"/>
                <w:b/>
                <w:sz w:val="24"/>
              </w:rPr>
            </w:r>
            <w:r>
              <w:rPr>
                <w:rFonts w:hint="eastAsia" w:ascii="宋体" w:hAnsi="宋体" w:cs="宋体"/>
                <w:b/>
                <w:sz w:val="24"/>
              </w:rPr>
            </w:r>
            <w:r>
              <w:rPr>
                <w:rFonts w:hint="eastAsia" w:ascii="宋体" w:hAnsi="宋体" w:cs="宋体"/>
                <w:b/>
                <w:sz w:val="24"/>
              </w:rPr>
            </w:r>
          </w:p>
        </w:tc>
        <w:tc>
          <w:tcPr>
            <w:tcBorders/>
            <w:tcW w:w="1489" w:type="dxa"/>
            <w:vAlign w:val="center"/>
            <w:vMerge w:val="continue"/>
            <w:textDirection w:val="lrTb"/>
            <w:noWrap w:val="false"/>
          </w:tcPr>
          <w:p w14:paraId="7932320A">
            <w:pPr>
              <w:widowControl w:val="true"/>
              <w:pBdr/>
              <w:spacing/>
              <w:ind/>
              <w:jc w:val="left"/>
              <w:rPr>
                <w:rFonts w:hint="eastAsia" w:ascii="宋体" w:hAnsi="宋体" w:cs="宋体"/>
                <w:sz w:val="24"/>
              </w:rPr>
            </w:pPr>
            <w:r>
              <w:rPr>
                <w:rFonts w:hint="eastAsia" w:ascii="宋体" w:hAnsi="宋体" w:cs="宋体"/>
                <w:sz w:val="24"/>
              </w:rPr>
            </w:r>
            <w:r>
              <w:rPr>
                <w:rFonts w:hint="eastAsia" w:ascii="宋体" w:hAnsi="宋体" w:cs="宋体"/>
                <w:sz w:val="24"/>
              </w:rPr>
            </w:r>
            <w:r>
              <w:rPr>
                <w:rFonts w:hint="eastAsia" w:ascii="宋体" w:hAnsi="宋体" w:cs="宋体"/>
                <w:sz w:val="24"/>
              </w:rPr>
            </w:r>
          </w:p>
        </w:tc>
        <w:tc>
          <w:tcPr>
            <w:tcBorders/>
            <w:tcW w:w="6221" w:type="dxa"/>
            <w:vAlign w:val="top"/>
            <w:textDirection w:val="lrTb"/>
            <w:noWrap w:val="false"/>
          </w:tcPr>
          <w:p w14:paraId="7873CADC">
            <w:pPr>
              <w:widowControl w:val="true"/>
              <w:pBdr/>
              <w:spacing/>
              <w:ind/>
              <w:jc w:val="left"/>
              <w:rPr>
                <w:rFonts w:hint="eastAsia" w:ascii="宋体" w:hAnsi="宋体" w:cs="宋体"/>
                <w:bCs/>
                <w:sz w:val="24"/>
              </w:rPr>
            </w:pPr>
            <w:r>
              <w:rPr>
                <w:rFonts w:hint="eastAsia" w:ascii="宋体" w:hAnsi="宋体" w:cs="宋体"/>
                <w:bCs/>
                <w:sz w:val="24"/>
                <w:lang w:val="en-US" w:eastAsia="zh-CN"/>
              </w:rPr>
              <w:t xml:space="preserve">2</w:t>
            </w:r>
            <w:r>
              <w:rPr>
                <w:rFonts w:hint="eastAsia" w:ascii="宋体" w:hAnsi="宋体" w:cs="宋体"/>
                <w:bCs/>
                <w:sz w:val="24"/>
              </w:rPr>
              <w:t xml:space="preserve">.2当满足以下全部条件时，采购人才向</w:t>
            </w:r>
            <w:r>
              <w:rPr>
                <w:rFonts w:hint="eastAsia" w:ascii="宋体" w:hAnsi="宋体" w:cs="宋体"/>
                <w:sz w:val="24"/>
              </w:rPr>
              <w:t xml:space="preserve">供应商</w:t>
            </w:r>
            <w:r>
              <w:rPr>
                <w:rFonts w:hint="eastAsia" w:ascii="宋体" w:hAnsi="宋体" w:cs="宋体"/>
                <w:bCs/>
                <w:sz w:val="24"/>
              </w:rPr>
              <w:t xml:space="preserve">签发货物验收报告：</w:t>
            </w:r>
            <w:r>
              <w:rPr>
                <w:rFonts w:hint="eastAsia" w:ascii="宋体" w:hAnsi="宋体" w:cs="宋体"/>
                <w:bCs/>
                <w:sz w:val="24"/>
              </w:rPr>
            </w:r>
            <w:r>
              <w:rPr>
                <w:rFonts w:hint="eastAsia" w:ascii="宋体" w:hAnsi="宋体" w:cs="宋体"/>
                <w:bCs/>
                <w:sz w:val="24"/>
              </w:rPr>
            </w:r>
          </w:p>
          <w:p w14:paraId="32F7CB00">
            <w:pPr>
              <w:widowControl w:val="true"/>
              <w:pBdr/>
              <w:spacing/>
              <w:ind/>
              <w:jc w:val="left"/>
              <w:rPr>
                <w:rFonts w:hint="eastAsia" w:ascii="宋体" w:hAnsi="宋体" w:cs="宋体"/>
                <w:bCs/>
                <w:sz w:val="24"/>
              </w:rPr>
            </w:pPr>
            <w:r>
              <w:rPr>
                <w:rFonts w:hint="eastAsia" w:ascii="宋体" w:hAnsi="宋体" w:cs="宋体"/>
                <w:bCs/>
                <w:sz w:val="24"/>
              </w:rPr>
              <w:t xml:space="preserve">a、</w:t>
            </w:r>
            <w:r>
              <w:rPr>
                <w:rFonts w:hint="eastAsia" w:ascii="宋体" w:hAnsi="宋体" w:cs="宋体"/>
                <w:sz w:val="24"/>
              </w:rPr>
              <w:t xml:space="preserve">供应商</w:t>
            </w:r>
            <w:r>
              <w:rPr>
                <w:rFonts w:hint="eastAsia" w:ascii="宋体" w:hAnsi="宋体" w:cs="宋体"/>
                <w:bCs/>
                <w:sz w:val="24"/>
              </w:rPr>
              <w:t xml:space="preserve">已按照合同规定提供了全部产品及完整的技术资料。</w:t>
            </w:r>
            <w:r>
              <w:rPr>
                <w:rFonts w:hint="eastAsia" w:ascii="宋体" w:hAnsi="宋体" w:cs="宋体"/>
                <w:bCs/>
                <w:sz w:val="24"/>
              </w:rPr>
            </w:r>
            <w:r>
              <w:rPr>
                <w:rFonts w:hint="eastAsia" w:ascii="宋体" w:hAnsi="宋体" w:cs="宋体"/>
                <w:bCs/>
                <w:sz w:val="24"/>
              </w:rPr>
            </w:r>
          </w:p>
          <w:p w14:paraId="42CCC434">
            <w:pPr>
              <w:widowControl w:val="true"/>
              <w:pBdr/>
              <w:spacing/>
              <w:ind/>
              <w:jc w:val="left"/>
              <w:rPr>
                <w:rFonts w:hint="eastAsia" w:ascii="宋体" w:hAnsi="宋体" w:cs="宋体"/>
                <w:bCs/>
                <w:sz w:val="24"/>
              </w:rPr>
            </w:pPr>
            <w:r>
              <w:rPr>
                <w:rFonts w:hint="eastAsia" w:ascii="宋体" w:hAnsi="宋体" w:cs="宋体"/>
                <w:bCs/>
                <w:sz w:val="24"/>
              </w:rPr>
              <w:t xml:space="preserve">b、货物符合招标文件技术规格书的要求，性能满足要求。</w:t>
            </w:r>
            <w:r>
              <w:rPr>
                <w:rFonts w:hint="eastAsia" w:ascii="宋体" w:hAnsi="宋体" w:cs="宋体"/>
                <w:bCs/>
                <w:sz w:val="24"/>
              </w:rPr>
            </w:r>
            <w:r>
              <w:rPr>
                <w:rFonts w:hint="eastAsia" w:ascii="宋体" w:hAnsi="宋体" w:cs="宋体"/>
                <w:bCs/>
                <w:sz w:val="24"/>
              </w:rPr>
            </w:r>
          </w:p>
          <w:p w14:paraId="40961C14">
            <w:pPr>
              <w:widowControl w:val="true"/>
              <w:pBdr/>
              <w:spacing/>
              <w:ind/>
              <w:jc w:val="left"/>
              <w:rPr>
                <w:rFonts w:hint="eastAsia" w:ascii="宋体" w:hAnsi="宋体" w:cs="宋体"/>
                <w:bCs/>
                <w:sz w:val="24"/>
              </w:rPr>
            </w:pPr>
            <w:r>
              <w:rPr>
                <w:rFonts w:hint="eastAsia" w:ascii="宋体" w:hAnsi="宋体" w:cs="宋体"/>
                <w:bCs/>
                <w:sz w:val="24"/>
              </w:rPr>
              <w:t xml:space="preserve">c、货物具备产品合格证。</w:t>
            </w:r>
            <w:r>
              <w:rPr>
                <w:rFonts w:hint="eastAsia" w:ascii="宋体" w:hAnsi="宋体" w:cs="宋体"/>
                <w:bCs/>
                <w:sz w:val="24"/>
              </w:rPr>
            </w:r>
            <w:r>
              <w:rPr>
                <w:rFonts w:hint="eastAsia" w:ascii="宋体" w:hAnsi="宋体" w:cs="宋体"/>
                <w:bCs/>
                <w:sz w:val="24"/>
              </w:rPr>
            </w:r>
          </w:p>
        </w:tc>
      </w:tr>
      <w:tr>
        <w:trPr>
          <w:trHeight w:val="315"/>
        </w:trPr>
        <w:tc>
          <w:tcPr>
            <w:tcBorders/>
            <w:tcW w:w="856" w:type="dxa"/>
            <w:vAlign w:val="center"/>
            <w:textDirection w:val="lrTb"/>
            <w:noWrap w:val="false"/>
          </w:tcPr>
          <w:p w14:paraId="5DF76761">
            <w:pPr>
              <w:widowControl w:val="true"/>
              <w:pBdr/>
              <w:spacing/>
              <w:ind/>
              <w:jc w:val="center"/>
              <w:rPr>
                <w:rFonts w:hint="eastAsia" w:ascii="宋体" w:hAnsi="宋体" w:eastAsia="宋体" w:cs="宋体"/>
                <w:sz w:val="24"/>
                <w:lang w:eastAsia="zh-CN"/>
              </w:rPr>
            </w:pPr>
            <w:r>
              <w:rPr>
                <w:rFonts w:hint="eastAsia" w:ascii="宋体" w:hAnsi="宋体" w:cs="宋体"/>
                <w:sz w:val="24"/>
                <w:lang w:val="en-US" w:eastAsia="zh-CN"/>
              </w:rPr>
              <w:t xml:space="preserve">3</w:t>
            </w:r>
            <w:r>
              <w:rPr>
                <w:rFonts w:hint="eastAsia" w:ascii="宋体" w:hAnsi="宋体" w:eastAsia="宋体" w:cs="宋体"/>
                <w:sz w:val="24"/>
                <w:lang w:eastAsia="zh-CN"/>
              </w:rPr>
            </w:r>
            <w:r>
              <w:rPr>
                <w:rFonts w:hint="eastAsia" w:ascii="宋体" w:hAnsi="宋体" w:eastAsia="宋体" w:cs="宋体"/>
                <w:sz w:val="24"/>
                <w:lang w:eastAsia="zh-CN"/>
              </w:rPr>
            </w:r>
          </w:p>
        </w:tc>
        <w:tc>
          <w:tcPr>
            <w:tcBorders/>
            <w:tcW w:w="1489" w:type="dxa"/>
            <w:vAlign w:val="top"/>
            <w:textDirection w:val="lrTb"/>
            <w:noWrap w:val="false"/>
          </w:tcPr>
          <w:p w14:paraId="13D4DE8F">
            <w:pPr>
              <w:widowControl w:val="true"/>
              <w:pBdr/>
              <w:spacing/>
              <w:ind/>
              <w:jc w:val="left"/>
              <w:rPr>
                <w:rFonts w:hint="eastAsia" w:ascii="宋体" w:hAnsi="宋体" w:cs="宋体"/>
                <w:sz w:val="24"/>
              </w:rPr>
            </w:pPr>
            <w:r>
              <w:rPr>
                <w:rFonts w:hint="eastAsia" w:ascii="宋体" w:hAnsi="宋体" w:cs="宋体"/>
                <w:sz w:val="24"/>
              </w:rPr>
              <w:t xml:space="preserve">技术文件清单</w:t>
            </w:r>
            <w:r>
              <w:rPr>
                <w:rFonts w:hint="eastAsia" w:ascii="宋体" w:hAnsi="宋体" w:cs="宋体"/>
                <w:sz w:val="24"/>
              </w:rPr>
            </w:r>
            <w:r>
              <w:rPr>
                <w:rFonts w:hint="eastAsia" w:ascii="宋体" w:hAnsi="宋体" w:cs="宋体"/>
                <w:sz w:val="24"/>
              </w:rPr>
            </w:r>
          </w:p>
        </w:tc>
        <w:tc>
          <w:tcPr>
            <w:tcBorders/>
            <w:tcW w:w="6221" w:type="dxa"/>
            <w:vAlign w:val="top"/>
            <w:textDirection w:val="lrTb"/>
            <w:noWrap w:val="false"/>
          </w:tcPr>
          <w:p w14:paraId="5BB3DBC8">
            <w:pPr>
              <w:widowControl w:val="true"/>
              <w:pBdr/>
              <w:spacing/>
              <w:ind/>
              <w:jc w:val="left"/>
              <w:rPr>
                <w:rFonts w:hint="eastAsia" w:ascii="宋体" w:hAnsi="宋体" w:cs="宋体"/>
                <w:b/>
                <w:sz w:val="24"/>
              </w:rPr>
            </w:pPr>
            <w:r>
              <w:rPr>
                <w:rFonts w:hint="eastAsia" w:ascii="宋体" w:hAnsi="宋体" w:cs="宋体"/>
                <w:sz w:val="24"/>
                <w:lang w:val="en-US" w:eastAsia="zh-CN"/>
              </w:rPr>
              <w:t xml:space="preserve">3</w:t>
            </w:r>
            <w:r>
              <w:rPr>
                <w:rFonts w:hint="eastAsia" w:ascii="宋体" w:hAnsi="宋体" w:cs="宋体"/>
                <w:sz w:val="24"/>
              </w:rPr>
              <w:t xml:space="preserve">.1供应商提供的装箱单；</w:t>
            </w:r>
            <w:r>
              <w:rPr>
                <w:rFonts w:hint="eastAsia" w:ascii="宋体" w:hAnsi="宋体" w:cs="宋体"/>
                <w:b/>
                <w:sz w:val="24"/>
              </w:rPr>
            </w:r>
            <w:r>
              <w:rPr>
                <w:rFonts w:hint="eastAsia" w:ascii="宋体" w:hAnsi="宋体" w:cs="宋体"/>
                <w:b/>
                <w:sz w:val="24"/>
              </w:rPr>
            </w:r>
          </w:p>
        </w:tc>
      </w:tr>
      <w:tr>
        <w:trPr>
          <w:trHeight w:val="350"/>
        </w:trPr>
        <w:tc>
          <w:tcPr>
            <w:tcBorders/>
            <w:tcW w:w="856" w:type="dxa"/>
            <w:vAlign w:val="center"/>
            <w:textDirection w:val="lrTb"/>
            <w:noWrap w:val="false"/>
          </w:tcPr>
          <w:p w14:paraId="4F526520">
            <w:pPr>
              <w:widowControl w:val="true"/>
              <w:pBdr/>
              <w:spacing/>
              <w:ind/>
              <w:jc w:val="center"/>
              <w:rPr>
                <w:rFonts w:hint="eastAsia" w:ascii="宋体" w:hAnsi="宋体" w:eastAsia="宋体" w:cs="宋体"/>
                <w:b/>
                <w:sz w:val="24"/>
                <w:lang w:eastAsia="zh-CN"/>
              </w:rPr>
            </w:pPr>
            <w:r>
              <w:rPr>
                <w:rFonts w:hint="eastAsia" w:ascii="宋体" w:hAnsi="宋体" w:cs="宋体"/>
                <w:b/>
                <w:sz w:val="24"/>
                <w:lang w:val="en-US" w:eastAsia="zh-CN"/>
              </w:rPr>
              <w:t xml:space="preserve">4</w:t>
            </w:r>
            <w:r>
              <w:rPr>
                <w:rFonts w:hint="eastAsia" w:ascii="宋体" w:hAnsi="宋体" w:eastAsia="宋体" w:cs="宋体"/>
                <w:b/>
                <w:sz w:val="24"/>
                <w:lang w:eastAsia="zh-CN"/>
              </w:rPr>
            </w:r>
            <w:r>
              <w:rPr>
                <w:rFonts w:hint="eastAsia" w:ascii="宋体" w:hAnsi="宋体" w:eastAsia="宋体" w:cs="宋体"/>
                <w:b/>
                <w:sz w:val="24"/>
                <w:lang w:eastAsia="zh-CN"/>
              </w:rPr>
            </w:r>
          </w:p>
        </w:tc>
        <w:tc>
          <w:tcPr>
            <w:tcBorders/>
            <w:tcW w:w="1489" w:type="dxa"/>
            <w:vAlign w:val="top"/>
            <w:textDirection w:val="lrTb"/>
            <w:noWrap w:val="false"/>
          </w:tcPr>
          <w:p w14:paraId="2716EE90">
            <w:pPr>
              <w:widowControl w:val="true"/>
              <w:pBdr/>
              <w:spacing/>
              <w:ind/>
              <w:jc w:val="left"/>
              <w:rPr>
                <w:rFonts w:hint="eastAsia" w:ascii="宋体" w:hAnsi="宋体" w:cs="宋体"/>
                <w:sz w:val="24"/>
              </w:rPr>
            </w:pPr>
            <w:r>
              <w:rPr>
                <w:rFonts w:hint="eastAsia" w:ascii="宋体" w:hAnsi="宋体" w:cs="宋体"/>
                <w:sz w:val="24"/>
              </w:rPr>
              <w:t xml:space="preserve">安装、调试和验收程序及期限</w:t>
            </w:r>
            <w:r>
              <w:rPr>
                <w:rFonts w:hint="eastAsia" w:ascii="宋体" w:hAnsi="宋体" w:cs="宋体"/>
                <w:sz w:val="24"/>
              </w:rPr>
            </w:r>
            <w:r>
              <w:rPr>
                <w:rFonts w:hint="eastAsia" w:ascii="宋体" w:hAnsi="宋体" w:cs="宋体"/>
                <w:sz w:val="24"/>
              </w:rPr>
            </w:r>
          </w:p>
        </w:tc>
        <w:tc>
          <w:tcPr>
            <w:tcBorders/>
            <w:tcW w:w="6221" w:type="dxa"/>
            <w:vAlign w:val="top"/>
            <w:textDirection w:val="lrTb"/>
            <w:noWrap w:val="false"/>
          </w:tcPr>
          <w:p w14:paraId="026840BA">
            <w:pPr>
              <w:widowControl w:val="true"/>
              <w:pBdr/>
              <w:spacing/>
              <w:ind/>
              <w:jc w:val="left"/>
              <w:rPr>
                <w:rFonts w:hint="eastAsia" w:ascii="宋体" w:hAnsi="宋体" w:cs="宋体"/>
                <w:sz w:val="24"/>
              </w:rPr>
            </w:pPr>
            <w:r>
              <w:rPr>
                <w:rFonts w:hint="eastAsia" w:ascii="宋体" w:hAnsi="宋体" w:cs="宋体"/>
                <w:sz w:val="24"/>
                <w:lang w:val="en-US" w:eastAsia="zh-CN"/>
              </w:rPr>
              <w:t xml:space="preserve">4</w:t>
            </w:r>
            <w:r>
              <w:rPr>
                <w:rFonts w:hint="eastAsia" w:ascii="宋体" w:hAnsi="宋体" w:cs="宋体"/>
                <w:sz w:val="24"/>
              </w:rPr>
              <w:t xml:space="preserve">.1货物经采购人初步验收合格后，供应商负责货物的现场安装和调试，并提供货物安装、调试和维修所需的专用工具和辅助材料，供应商应在到货后一周内安装调试完毕。</w:t>
            </w:r>
            <w:r>
              <w:rPr>
                <w:rFonts w:hint="eastAsia" w:ascii="宋体" w:hAnsi="宋体" w:cs="宋体"/>
                <w:sz w:val="24"/>
              </w:rPr>
            </w:r>
            <w:r>
              <w:rPr>
                <w:rFonts w:hint="eastAsia" w:ascii="宋体" w:hAnsi="宋体" w:cs="宋体"/>
                <w:sz w:val="24"/>
              </w:rPr>
            </w:r>
          </w:p>
        </w:tc>
      </w:tr>
      <w:tr>
        <w:trPr>
          <w:trHeight w:val="350"/>
        </w:trPr>
        <w:tc>
          <w:tcPr>
            <w:tcBorders/>
            <w:tcW w:w="856" w:type="dxa"/>
            <w:vAlign w:val="center"/>
            <w:textDirection w:val="lrTb"/>
            <w:noWrap w:val="false"/>
          </w:tcPr>
          <w:p w14:paraId="1155AABD">
            <w:pPr>
              <w:widowControl w:val="true"/>
              <w:pBdr/>
              <w:spacing/>
              <w:ind/>
              <w:jc w:val="center"/>
              <w:rPr>
                <w:rFonts w:hint="eastAsia" w:ascii="宋体" w:hAnsi="宋体" w:eastAsia="宋体" w:cs="宋体"/>
                <w:b/>
                <w:sz w:val="24"/>
                <w:lang w:eastAsia="zh-CN"/>
              </w:rPr>
            </w:pPr>
            <w:r>
              <w:rPr>
                <w:rFonts w:hint="eastAsia" w:ascii="宋体" w:hAnsi="宋体" w:cs="宋体"/>
                <w:b/>
                <w:sz w:val="24"/>
                <w:lang w:val="en-US" w:eastAsia="zh-CN"/>
              </w:rPr>
              <w:t xml:space="preserve">5</w:t>
            </w:r>
            <w:r>
              <w:rPr>
                <w:rFonts w:hint="eastAsia" w:ascii="宋体" w:hAnsi="宋体" w:eastAsia="宋体" w:cs="宋体"/>
                <w:b/>
                <w:sz w:val="24"/>
                <w:lang w:eastAsia="zh-CN"/>
              </w:rPr>
            </w:r>
            <w:r>
              <w:rPr>
                <w:rFonts w:hint="eastAsia" w:ascii="宋体" w:hAnsi="宋体" w:eastAsia="宋体" w:cs="宋体"/>
                <w:b/>
                <w:sz w:val="24"/>
                <w:lang w:eastAsia="zh-CN"/>
              </w:rPr>
            </w:r>
          </w:p>
        </w:tc>
        <w:tc>
          <w:tcPr>
            <w:tcBorders/>
            <w:tcW w:w="1489" w:type="dxa"/>
            <w:vAlign w:val="top"/>
            <w:textDirection w:val="lrTb"/>
            <w:noWrap w:val="false"/>
          </w:tcPr>
          <w:p w14:paraId="0EECE808">
            <w:pPr>
              <w:widowControl w:val="true"/>
              <w:pBdr/>
              <w:spacing/>
              <w:ind/>
              <w:jc w:val="left"/>
              <w:rPr>
                <w:rFonts w:hint="eastAsia" w:ascii="宋体" w:hAnsi="宋体" w:cs="宋体"/>
                <w:sz w:val="24"/>
              </w:rPr>
            </w:pPr>
            <w:r>
              <w:rPr>
                <w:rFonts w:hint="eastAsia" w:ascii="宋体" w:hAnsi="宋体" w:cs="宋体"/>
                <w:sz w:val="24"/>
              </w:rPr>
              <w:t xml:space="preserve">付款方式和时间</w:t>
            </w:r>
            <w:r>
              <w:rPr>
                <w:rFonts w:hint="eastAsia" w:ascii="宋体" w:hAnsi="宋体" w:cs="宋体"/>
                <w:sz w:val="24"/>
              </w:rPr>
            </w:r>
            <w:r>
              <w:rPr>
                <w:rFonts w:hint="eastAsia" w:ascii="宋体" w:hAnsi="宋体" w:cs="宋体"/>
                <w:sz w:val="24"/>
              </w:rPr>
            </w:r>
          </w:p>
        </w:tc>
        <w:tc>
          <w:tcPr>
            <w:tcBorders/>
            <w:tcW w:w="6221" w:type="dxa"/>
            <w:vAlign w:val="top"/>
            <w:textDirection w:val="lrTb"/>
            <w:noWrap w:val="false"/>
          </w:tcPr>
          <w:p w14:paraId="7EA02CDD">
            <w:pPr>
              <w:widowControl w:val="true"/>
              <w:pBdr/>
              <w:spacing/>
              <w:ind/>
              <w:jc w:val="left"/>
              <w:rPr>
                <w:rFonts w:hint="eastAsia" w:ascii="宋体" w:hAnsi="宋体" w:cs="宋体"/>
                <w:sz w:val="24"/>
              </w:rPr>
            </w:pPr>
            <w:r>
              <w:rPr>
                <w:rFonts w:hint="eastAsia" w:ascii="宋体" w:hAnsi="宋体" w:cs="宋体"/>
                <w:sz w:val="24"/>
                <w:lang w:val="en-US" w:eastAsia="zh-CN"/>
              </w:rPr>
              <w:t xml:space="preserve">5</w:t>
            </w:r>
            <w:r>
              <w:rPr>
                <w:rFonts w:hint="eastAsia" w:ascii="宋体" w:hAnsi="宋体" w:cs="宋体"/>
                <w:sz w:val="24"/>
              </w:rPr>
              <w:t xml:space="preserve">.1货物经采购人初步验收合格后，供应商提供相对应的合同金额总价发票，采购人在</w:t>
            </w:r>
            <w:r>
              <w:rPr>
                <w:rFonts w:hint="eastAsia" w:ascii="宋体" w:hAnsi="宋体" w:cs="宋体"/>
                <w:sz w:val="24"/>
                <w:lang w:val="en-US" w:eastAsia="zh-CN"/>
              </w:rPr>
              <w:t xml:space="preserve">3</w:t>
            </w:r>
            <w:r>
              <w:rPr>
                <w:rFonts w:hint="eastAsia" w:ascii="宋体" w:hAnsi="宋体" w:cs="宋体"/>
                <w:sz w:val="24"/>
              </w:rPr>
              <w:t xml:space="preserve">0个工作日内进行合同金额全额支付。</w:t>
            </w:r>
            <w:r>
              <w:rPr>
                <w:rFonts w:hint="eastAsia" w:ascii="宋体" w:hAnsi="宋体" w:cs="宋体"/>
                <w:sz w:val="24"/>
              </w:rPr>
            </w:r>
            <w:r>
              <w:rPr>
                <w:rFonts w:hint="eastAsia" w:ascii="宋体" w:hAnsi="宋体" w:cs="宋体"/>
                <w:sz w:val="24"/>
              </w:rPr>
            </w:r>
          </w:p>
        </w:tc>
      </w:tr>
      <w:tr>
        <w:trPr>
          <w:trHeight w:val="350"/>
        </w:trPr>
        <w:tc>
          <w:tcPr>
            <w:tcBorders/>
            <w:tcW w:w="856" w:type="dxa"/>
            <w:vAlign w:val="center"/>
            <w:textDirection w:val="lrTb"/>
            <w:noWrap w:val="false"/>
          </w:tcPr>
          <w:p w14:paraId="230A5F86">
            <w:pPr>
              <w:widowControl w:val="true"/>
              <w:pBdr/>
              <w:spacing/>
              <w:ind/>
              <w:jc w:val="center"/>
              <w:rPr>
                <w:rFonts w:hint="eastAsia" w:ascii="宋体" w:hAnsi="宋体" w:eastAsia="宋体" w:cs="宋体"/>
                <w:b/>
                <w:sz w:val="24"/>
                <w:lang w:val="en-US" w:eastAsia="zh-CN"/>
              </w:rPr>
            </w:pPr>
            <w:r>
              <w:rPr>
                <w:rFonts w:hint="eastAsia" w:ascii="宋体" w:hAnsi="宋体" w:cs="宋体"/>
                <w:b/>
                <w:sz w:val="24"/>
                <w:lang w:val="en-US" w:eastAsia="zh-CN"/>
              </w:rPr>
              <w:t xml:space="preserve">6</w:t>
            </w:r>
            <w:r>
              <w:rPr>
                <w:rFonts w:hint="eastAsia" w:ascii="宋体" w:hAnsi="宋体" w:eastAsia="宋体" w:cs="宋体"/>
                <w:b/>
                <w:sz w:val="24"/>
                <w:lang w:val="en-US" w:eastAsia="zh-CN"/>
              </w:rPr>
            </w:r>
            <w:r>
              <w:rPr>
                <w:rFonts w:hint="eastAsia" w:ascii="宋体" w:hAnsi="宋体" w:eastAsia="宋体" w:cs="宋体"/>
                <w:b/>
                <w:sz w:val="24"/>
                <w:lang w:val="en-US" w:eastAsia="zh-CN"/>
              </w:rPr>
            </w:r>
          </w:p>
        </w:tc>
        <w:tc>
          <w:tcPr>
            <w:tcBorders/>
            <w:tcW w:w="1489" w:type="dxa"/>
            <w:vAlign w:val="top"/>
            <w:textDirection w:val="lrTb"/>
            <w:noWrap w:val="false"/>
          </w:tcPr>
          <w:p w14:paraId="20482068">
            <w:pPr>
              <w:pStyle w:val="926"/>
              <w:keepNext w:val="false"/>
              <w:keepLines w:val="false"/>
              <w:pageBreakBefore w:val="false"/>
              <w:widowControl w:val="false"/>
              <w:pBdr/>
              <w:bidi w:val="false"/>
              <w:spacing w:line="320" w:lineRule="exact"/>
              <w:ind w:firstLine="0"/>
              <w:jc w:val="both"/>
              <w:rPr>
                <w:rFonts w:hint="default"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其它</w:t>
            </w:r>
            <w:r>
              <w:rPr>
                <w:rFonts w:hint="default" w:ascii="宋体" w:hAnsi="宋体" w:eastAsia="宋体" w:cs="宋体"/>
                <w:sz w:val="24"/>
                <w:szCs w:val="24"/>
                <w:lang w:val="en-US" w:eastAsia="zh-CN" w:bidi="ar-SA"/>
              </w:rPr>
            </w:r>
            <w:r>
              <w:rPr>
                <w:rFonts w:hint="default" w:ascii="宋体" w:hAnsi="宋体" w:eastAsia="宋体" w:cs="宋体"/>
                <w:sz w:val="24"/>
                <w:szCs w:val="24"/>
                <w:lang w:val="en-US" w:eastAsia="zh-CN" w:bidi="ar-SA"/>
              </w:rPr>
            </w:r>
          </w:p>
          <w:p w14:paraId="4F411E3B">
            <w:pPr>
              <w:widowControl w:val="true"/>
              <w:pBdr/>
              <w:spacing/>
              <w:ind/>
              <w:jc w:val="left"/>
              <w:rPr>
                <w:rFonts w:hint="eastAsia" w:ascii="宋体" w:hAnsi="宋体" w:cs="宋体"/>
                <w:sz w:val="24"/>
              </w:rPr>
            </w:pPr>
            <w:r>
              <w:rPr>
                <w:rFonts w:hint="eastAsia" w:ascii="宋体" w:hAnsi="宋体" w:cs="宋体"/>
                <w:sz w:val="24"/>
              </w:rPr>
            </w:r>
            <w:r>
              <w:rPr>
                <w:rFonts w:hint="eastAsia" w:ascii="宋体" w:hAnsi="宋体" w:cs="宋体"/>
                <w:sz w:val="24"/>
              </w:rPr>
            </w:r>
            <w:r>
              <w:rPr>
                <w:rFonts w:hint="eastAsia" w:ascii="宋体" w:hAnsi="宋体" w:cs="宋体"/>
                <w:sz w:val="24"/>
              </w:rPr>
            </w:r>
          </w:p>
        </w:tc>
        <w:tc>
          <w:tcPr>
            <w:tcBorders/>
            <w:tcW w:w="6221" w:type="dxa"/>
            <w:vAlign w:val="top"/>
            <w:textDirection w:val="lrTb"/>
            <w:noWrap w:val="false"/>
          </w:tcPr>
          <w:p w14:paraId="02AB9EBD">
            <w:pPr>
              <w:keepNext w:val="false"/>
              <w:keepLines w:val="false"/>
              <w:pageBreakBefore w:val="false"/>
              <w:widowControl w:val="false"/>
              <w:pBdr/>
              <w:bidi w:val="false"/>
              <w:spacing w:line="320" w:lineRule="exact"/>
              <w:ind/>
              <w:rPr>
                <w:rFonts w:hint="eastAsia" w:ascii="宋体" w:hAnsi="宋体" w:cs="宋体"/>
                <w:sz w:val="24"/>
              </w:rPr>
            </w:pPr>
            <w:r>
              <w:rPr>
                <w:rFonts w:hint="eastAsia" w:ascii="宋体" w:hAnsi="宋体" w:eastAsia="宋体" w:cs="宋体"/>
                <w:sz w:val="24"/>
                <w:szCs w:val="24"/>
                <w:lang w:val="en-US" w:eastAsia="zh-CN" w:bidi="ar-SA"/>
              </w:rPr>
              <w:t xml:space="preserve">6.1、卖方应保证买方在使用该货物或其任何一部分时不受第三方提出侵犯专利权、商标权、著作权、工业设计权或其它知识产权起诉的指控。如果任何第三方提出侵权指控或 赔偿要求，卖方须与第三方交涉并承担可能发生的一切损失、费用和法律责任。</w:t>
            </w:r>
            <w:r>
              <w:rPr>
                <w:rFonts w:hint="eastAsia" w:ascii="宋体" w:hAnsi="宋体" w:cs="宋体"/>
                <w:sz w:val="24"/>
              </w:rPr>
            </w:r>
            <w:r>
              <w:rPr>
                <w:rFonts w:hint="eastAsia" w:ascii="宋体" w:hAnsi="宋体" w:cs="宋体"/>
                <w:sz w:val="24"/>
              </w:rPr>
            </w:r>
          </w:p>
        </w:tc>
      </w:tr>
    </w:tbl>
    <w:p w14:paraId="47F70DB2">
      <w:pPr>
        <w:pStyle w:val="928"/>
        <w:pBdr/>
        <w:spacing/>
        <w:ind/>
        <w:rPr>
          <w:b/>
          <w:sz w:val="24"/>
          <w:szCs w:val="24"/>
        </w:rPr>
      </w:pPr>
      <w:r>
        <w:rPr>
          <w:b/>
          <w:sz w:val="24"/>
          <w:szCs w:val="24"/>
        </w:rPr>
      </w:r>
      <w:r>
        <w:rPr>
          <w:b/>
          <w:sz w:val="24"/>
          <w:szCs w:val="24"/>
        </w:rPr>
      </w:r>
      <w:r>
        <w:rPr>
          <w:b/>
          <w:sz w:val="24"/>
          <w:szCs w:val="24"/>
        </w:rPr>
      </w:r>
    </w:p>
    <w:p w14:paraId="4E345FE9">
      <w:pPr>
        <w:pBdr/>
        <w:spacing/>
        <w:ind/>
        <w:rPr/>
      </w:pPr>
      <w:r/>
      <w:r/>
    </w:p>
    <w:p w14:paraId="0546D741">
      <w:pPr>
        <w:pBdr/>
        <w:spacing/>
        <w:ind/>
        <w:rPr/>
      </w:pPr>
      <w:r/>
      <w:r/>
    </w:p>
    <w:sectPr>
      <w:footerReference w:type="default" r:id="rId9"/>
      <w:footnotePr/>
      <w:endnotePr/>
      <w:type w:val="nextPage"/>
      <w:pgSz w:h="16838" w:orient="portrait" w:w="11906"/>
      <w:pgMar w:top="1440" w:right="1800" w:bottom="1440" w:left="1800" w:header="851" w:footer="992"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Courier New">
    <w:panose1 w:val="02070309020205020404"/>
  </w:font>
  <w:font w:name="Arial">
    <w:panose1 w:val="020B0604020202020204"/>
  </w:font>
  <w:font w:name="宋体">
    <w:panose1 w:val="02010600030101010101"/>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75E0967">
    <w:pPr>
      <w:pStyle w:val="925"/>
      <w:pBdr/>
      <w:spacing w:line="14" w:lineRule="auto"/>
      <w:ind/>
      <w:rPr>
        <w:sz w:val="12"/>
      </w:rPr>
    </w:pPr>
    <w: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1" locked="0" layoutInCell="1" allowOverlap="1">
              <wp:simplePos x="0" y="0"/>
              <wp:positionH relativeFrom="page">
                <wp:posOffset>3877945</wp:posOffset>
              </wp:positionH>
              <wp:positionV relativeFrom="page">
                <wp:posOffset>9789795</wp:posOffset>
              </wp:positionV>
              <wp:extent cx="167005" cy="152400"/>
              <wp:effectExtent l="0" t="0" r="0" b="0"/>
              <wp:wrapNone/>
              <wp:docPr id="1" name="文本框 1"/>
              <wp:cNvGraphicFramePr/>
              <a:graphic xmlns:a="http://schemas.openxmlformats.org/drawingml/2006/main">
                <a:graphicData uri="http://schemas.microsoft.com/office/word/2010/wordprocessingShape">
                  <wps:wsp>
                    <wps:cNvPr id="0" name=""/>
                    <wps:cNvSpPr txBox="1"/>
                    <wps:spPr bwMode="auto">
                      <a:xfrm>
                        <a:off x="0" y="0"/>
                        <a:ext cx="167005" cy="152400"/>
                      </a:xfrm>
                      <a:prstGeom prst="rect">
                        <a:avLst/>
                      </a:prstGeom>
                      <a:noFill/>
                      <a:ln>
                        <a:noFill/>
                      </a:ln>
                      <a:effectLst/>
                    </wps:spPr>
                    <wps:txbx>
                      <w:txbxContent>
                        <w:p w14:paraId="1B9DB6B6">
                          <w:pPr>
                            <w:pBdr/>
                            <w:spacing w:before="12"/>
                            <w:ind w:left="40"/>
                            <w:rPr>
                              <w:sz w:val="18"/>
                            </w:rPr>
                          </w:pPr>
                          <w:r>
                            <w:fldChar w:fldCharType="begin"/>
                          </w:r>
                          <w:r>
                            <w:rPr>
                              <w:sz w:val="18"/>
                            </w:rPr>
                            <w:instrText xml:space="preserve"> PAGE </w:instrText>
                          </w:r>
                          <w:r>
                            <w:fldChar w:fldCharType="separate"/>
                          </w:r>
                          <w:r>
                            <w:rPr>
                              <w:sz w:val="18"/>
                            </w:rPr>
                            <w:t xml:space="preserve">46</w:t>
                          </w:r>
                          <w:r>
                            <w:fldChar w:fldCharType="end"/>
                          </w:r>
                          <w:r>
                            <w:rPr>
                              <w:sz w:val="18"/>
                            </w:rPr>
                          </w:r>
                          <w:r>
                            <w:rPr>
                              <w:sz w:val="18"/>
                            </w:rPr>
                          </w:r>
                        </w:p>
                      </w:txbxContent>
                    </wps:txbx>
                    <wps:bodyPr wrap="square" lIns="0" tIns="0" rIns="0" bIns="0" upright="1"/>
                  </wps:wsp>
                </a:graphicData>
              </a:graphic>
            </wp:anchor>
          </w:drawing>
        </mc:Choice>
        <mc:Fallback>
          <w:pict>
            <v:shape id="shape 0" o:spid="_x0000_s0" o:spt="202" type="#_x0000_t202" style="position:absolute;z-index:-251659264;o:allowoverlap:true;o:allowincell:true;mso-position-horizontal-relative:page;margin-left:305.35pt;mso-position-horizontal:absolute;mso-position-vertical-relative:page;margin-top:770.85pt;mso-position-vertical:absolute;width:13.15pt;height:12.00pt;mso-wrap-distance-left:9.00pt;mso-wrap-distance-top:0.00pt;mso-wrap-distance-right:9.00pt;mso-wrap-distance-bottom:0.00pt;visibility:visible;" filled="f" stroked="f">
              <v:textbox inset="0,0,0,0">
                <w:txbxContent>
                  <w:p w14:paraId="1B9DB6B6">
                    <w:pPr>
                      <w:pBdr/>
                      <w:spacing w:before="12"/>
                      <w:ind w:left="40"/>
                      <w:rPr>
                        <w:sz w:val="18"/>
                      </w:rPr>
                    </w:pPr>
                    <w:r>
                      <w:fldChar w:fldCharType="begin"/>
                    </w:r>
                    <w:r>
                      <w:rPr>
                        <w:sz w:val="18"/>
                      </w:rPr>
                      <w:instrText xml:space="preserve"> PAGE </w:instrText>
                    </w:r>
                    <w:r>
                      <w:fldChar w:fldCharType="separate"/>
                    </w:r>
                    <w:r>
                      <w:rPr>
                        <w:sz w:val="18"/>
                      </w:rPr>
                      <w:t xml:space="preserve">46</w:t>
                    </w:r>
                    <w:r>
                      <w:fldChar w:fldCharType="end"/>
                    </w:r>
                    <w:r>
                      <w:rPr>
                        <w:sz w:val="18"/>
                      </w:rPr>
                    </w:r>
                    <w:r>
                      <w:rPr>
                        <w:sz w:val="18"/>
                      </w:rPr>
                    </w:r>
                  </w:p>
                </w:txbxContent>
              </v:textbox>
            </v:shape>
          </w:pict>
        </mc:Fallback>
      </mc:AlternateContent>
    </w:r>
    <w:r>
      <w:rPr>
        <w:sz w:val="12"/>
      </w:rPr>
    </w:r>
    <w:r>
      <w:rPr>
        <w:sz w:val="12"/>
      </w:r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CFE1588"/>
    <w:lvl w:ilvl="0">
      <w:isLgl w:val="false"/>
      <w:lvlJc w:val="left"/>
      <w:lvlText w:val="%1、"/>
      <w:numFmt w:val="chineseCounting"/>
      <w:pPr>
        <w:pBdr/>
        <w:spacing/>
        <w:ind/>
      </w:pPr>
      <w:rPr>
        <w:rFonts w:hint="eastAsia"/>
      </w:rPr>
      <w:start w:val="4"/>
      <w:suff w:val="nothing"/>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1">
    <w:nsid w:val="0944E60A"/>
    <w:lvl w:ilvl="0">
      <w:isLgl w:val="false"/>
      <w:lvlJc w:val="left"/>
      <w:lvlText w:val="（%1）"/>
      <w:numFmt w:val="decimal"/>
      <w:pPr>
        <w:pBdr/>
        <w:spacing/>
        <w:ind/>
      </w:pPr>
      <w:rPr/>
      <w:start w:val="3"/>
      <w:suff w:val="nothing"/>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enforcement="0"/>
  <w:defaultTabStop w:val="4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balanceSingleByteDoubleByteWidth w:val="true"/>
    <w:ulTrailSpace w:val="true"/>
    <w:doNotExpandShiftReturn w:val="true"/>
    <w:useFELayout w:val="tru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imes New Roman" w:hAnsi="Times New Roman" w:eastAsia="宋体" w:cs="Times New Roman"/>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741">
    <w:name w:val="Table Grid Light"/>
    <w:basedOn w:val="92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2">
    <w:name w:val="Plain Table 1"/>
    <w:basedOn w:val="92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3">
    <w:name w:val="Plain Table 2"/>
    <w:basedOn w:val="92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4">
    <w:name w:val="Plain Table 3"/>
    <w:basedOn w:val="92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5">
    <w:name w:val="Plain Table 4"/>
    <w:basedOn w:val="92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6">
    <w:name w:val="Plain Table 5"/>
    <w:basedOn w:val="92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7">
    <w:name w:val="Grid Table 1 Light"/>
    <w:basedOn w:val="92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8">
    <w:name w:val="Grid Table 1 Light - Accent 1"/>
    <w:basedOn w:val="92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9">
    <w:name w:val="Grid Table 1 Light - Accent 2"/>
    <w:basedOn w:val="92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0">
    <w:name w:val="Grid Table 1 Light - Accent 3"/>
    <w:basedOn w:val="92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1">
    <w:name w:val="Grid Table 1 Light - Accent 4"/>
    <w:basedOn w:val="92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2">
    <w:name w:val="Grid Table 1 Light - Accent 5"/>
    <w:basedOn w:val="92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3">
    <w:name w:val="Grid Table 1 Light - Accent 6"/>
    <w:basedOn w:val="92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4">
    <w:name w:val="Grid Table 2"/>
    <w:basedOn w:val="92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5">
    <w:name w:val="Grid Table 2 - Accent 1"/>
    <w:basedOn w:val="92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6">
    <w:name w:val="Grid Table 2 - Accent 2"/>
    <w:basedOn w:val="92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7">
    <w:name w:val="Grid Table 2 - Accent 3"/>
    <w:basedOn w:val="92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8">
    <w:name w:val="Grid Table 2 - Accent 4"/>
    <w:basedOn w:val="92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9">
    <w:name w:val="Grid Table 2 - Accent 5"/>
    <w:basedOn w:val="92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0">
    <w:name w:val="Grid Table 2 - Accent 6"/>
    <w:basedOn w:val="92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1">
    <w:name w:val="Grid Table 3"/>
    <w:basedOn w:val="92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2">
    <w:name w:val="Grid Table 3 - Accent 1"/>
    <w:basedOn w:val="92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3">
    <w:name w:val="Grid Table 3 - Accent 2"/>
    <w:basedOn w:val="92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4">
    <w:name w:val="Grid Table 3 - Accent 3"/>
    <w:basedOn w:val="92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5">
    <w:name w:val="Grid Table 3 - Accent 4"/>
    <w:basedOn w:val="92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6">
    <w:name w:val="Grid Table 3 - Accent 5"/>
    <w:basedOn w:val="92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7">
    <w:name w:val="Grid Table 3 - Accent 6"/>
    <w:basedOn w:val="92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8">
    <w:name w:val="Grid Table 4"/>
    <w:basedOn w:val="92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9">
    <w:name w:val="Grid Table 4 - Accent 1"/>
    <w:basedOn w:val="92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0">
    <w:name w:val="Grid Table 4 - Accent 2"/>
    <w:basedOn w:val="92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1">
    <w:name w:val="Grid Table 4 - Accent 3"/>
    <w:basedOn w:val="92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2">
    <w:name w:val="Grid Table 4 - Accent 4"/>
    <w:basedOn w:val="92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3">
    <w:name w:val="Grid Table 4 - Accent 5"/>
    <w:basedOn w:val="92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4">
    <w:name w:val="Grid Table 4 - Accent 6"/>
    <w:basedOn w:val="92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5">
    <w:name w:val="Grid Table 5 Dark"/>
    <w:basedOn w:val="92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6">
    <w:name w:val="Grid Table 5 Dark- Accent 1"/>
    <w:basedOn w:val="92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7">
    <w:name w:val="Grid Table 5 Dark - Accent 2"/>
    <w:basedOn w:val="92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8">
    <w:name w:val="Grid Table 5 Dark - Accent 3"/>
    <w:basedOn w:val="92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9">
    <w:name w:val="Grid Table 5 Dark- Accent 4"/>
    <w:basedOn w:val="92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0">
    <w:name w:val="Grid Table 5 Dark - Accent 5"/>
    <w:basedOn w:val="92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1">
    <w:name w:val="Grid Table 5 Dark - Accent 6"/>
    <w:basedOn w:val="92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2">
    <w:name w:val="Grid Table 6 Colorful"/>
    <w:basedOn w:val="92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783">
    <w:name w:val="Grid Table 6 Colorful - Accent 1"/>
    <w:basedOn w:val="92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784">
    <w:name w:val="Grid Table 6 Colorful - Accent 2"/>
    <w:basedOn w:val="92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785">
    <w:name w:val="Grid Table 6 Colorful - Accent 3"/>
    <w:basedOn w:val="92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786">
    <w:name w:val="Grid Table 6 Colorful - Accent 4"/>
    <w:basedOn w:val="92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787">
    <w:name w:val="Grid Table 6 Colorful - Accent 5"/>
    <w:basedOn w:val="92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88">
    <w:name w:val="Grid Table 6 Colorful - Accent 6"/>
    <w:basedOn w:val="92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89">
    <w:name w:val="Grid Table 7 Colorful"/>
    <w:basedOn w:val="92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0">
    <w:name w:val="Grid Table 7 Colorful - Accent 1"/>
    <w:basedOn w:val="92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1">
    <w:name w:val="Grid Table 7 Colorful - Accent 2"/>
    <w:basedOn w:val="92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2">
    <w:name w:val="Grid Table 7 Colorful - Accent 3"/>
    <w:basedOn w:val="92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3">
    <w:name w:val="Grid Table 7 Colorful - Accent 4"/>
    <w:basedOn w:val="92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4">
    <w:name w:val="Grid Table 7 Colorful - Accent 5"/>
    <w:basedOn w:val="92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5">
    <w:name w:val="Grid Table 7 Colorful - Accent 6"/>
    <w:basedOn w:val="92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6">
    <w:name w:val="List Table 1 Light"/>
    <w:basedOn w:val="92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name w:val="List Table 1 Light - Accent 1"/>
    <w:basedOn w:val="92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name w:val="List Table 1 Light - Accent 2"/>
    <w:basedOn w:val="92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name w:val="List Table 1 Light - Accent 3"/>
    <w:basedOn w:val="92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0">
    <w:name w:val="List Table 1 Light - Accent 4"/>
    <w:basedOn w:val="92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name w:val="List Table 1 Light - Accent 5"/>
    <w:basedOn w:val="92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name w:val="List Table 1 Light - Accent 6"/>
    <w:basedOn w:val="92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name w:val="List Table 2"/>
    <w:basedOn w:val="92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4">
    <w:name w:val="List Table 2 - Accent 1"/>
    <w:basedOn w:val="92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5">
    <w:name w:val="List Table 2 - Accent 2"/>
    <w:basedOn w:val="92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List Table 2 - Accent 3"/>
    <w:basedOn w:val="92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List Table 2 - Accent 4"/>
    <w:basedOn w:val="92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List Table 2 - Accent 5"/>
    <w:basedOn w:val="92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List Table 2 - Accent 6"/>
    <w:basedOn w:val="92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List Table 3"/>
    <w:basedOn w:val="92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List Table 3 - Accent 1"/>
    <w:basedOn w:val="92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List Table 3 - Accent 2"/>
    <w:basedOn w:val="92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List Table 3 - Accent 3"/>
    <w:basedOn w:val="92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List Table 3 - Accent 4"/>
    <w:basedOn w:val="92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List Table 3 - Accent 5"/>
    <w:basedOn w:val="92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List Table 3 - Accent 6"/>
    <w:basedOn w:val="92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List Table 4"/>
    <w:basedOn w:val="92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List Table 4 - Accent 1"/>
    <w:basedOn w:val="92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List Table 4 - Accent 2"/>
    <w:basedOn w:val="92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List Table 4 - Accent 3"/>
    <w:basedOn w:val="92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List Table 4 - Accent 4"/>
    <w:basedOn w:val="92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List Table 4 - Accent 5"/>
    <w:basedOn w:val="92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List Table 4 - Accent 6"/>
    <w:basedOn w:val="92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List Table 5 Dark"/>
    <w:basedOn w:val="92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25">
    <w:name w:val="List Table 5 Dark - Accent 1"/>
    <w:basedOn w:val="92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26">
    <w:name w:val="List Table 5 Dark - Accent 2"/>
    <w:basedOn w:val="92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27">
    <w:name w:val="List Table 5 Dark - Accent 3"/>
    <w:basedOn w:val="92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28">
    <w:name w:val="List Table 5 Dark - Accent 4"/>
    <w:basedOn w:val="92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29">
    <w:name w:val="List Table 5 Dark - Accent 5"/>
    <w:basedOn w:val="92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30">
    <w:name w:val="List Table 5 Dark - Accent 6"/>
    <w:basedOn w:val="92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31">
    <w:name w:val="List Table 6 Colorful"/>
    <w:basedOn w:val="92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List Table 6 Colorful - Accent 1"/>
    <w:basedOn w:val="92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List Table 6 Colorful - Accent 2"/>
    <w:basedOn w:val="92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List Table 6 Colorful - Accent 3"/>
    <w:basedOn w:val="92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List Table 6 Colorful - Accent 4"/>
    <w:basedOn w:val="92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List Table 6 Colorful - Accent 5"/>
    <w:basedOn w:val="92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List Table 6 Colorful - Accent 6"/>
    <w:basedOn w:val="92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List Table 7 Colorful"/>
    <w:basedOn w:val="92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839">
    <w:name w:val="List Table 7 Colorful - Accent 1"/>
    <w:basedOn w:val="92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840">
    <w:name w:val="List Table 7 Colorful - Accent 2"/>
    <w:basedOn w:val="92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841">
    <w:name w:val="List Table 7 Colorful - Accent 3"/>
    <w:basedOn w:val="92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842">
    <w:name w:val="List Table 7 Colorful - Accent 4"/>
    <w:basedOn w:val="92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843">
    <w:name w:val="List Table 7 Colorful - Accent 5"/>
    <w:basedOn w:val="92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844">
    <w:name w:val="List Table 7 Colorful - Accent 6"/>
    <w:basedOn w:val="92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845">
    <w:name w:val="Lined - Accent"/>
    <w:basedOn w:val="92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Lined - Accent 1"/>
    <w:basedOn w:val="92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Lined - Accent 2"/>
    <w:basedOn w:val="92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Lined - Accent 3"/>
    <w:basedOn w:val="92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Lined - Accent 4"/>
    <w:basedOn w:val="92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Lined - Accent 5"/>
    <w:basedOn w:val="92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Lined - Accent 6"/>
    <w:basedOn w:val="92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Bordered &amp; Lined - Accent"/>
    <w:basedOn w:val="92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Bordered &amp; Lined - Accent 1"/>
    <w:basedOn w:val="92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Bordered &amp; Lined - Accent 2"/>
    <w:basedOn w:val="92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Bordered &amp; Lined - Accent 3"/>
    <w:basedOn w:val="92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Bordered &amp; Lined - Accent 4"/>
    <w:basedOn w:val="92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Bordered &amp; Lined - Accent 5"/>
    <w:basedOn w:val="92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Bordered &amp; Lined - Accent 6"/>
    <w:basedOn w:val="92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Bordered"/>
    <w:basedOn w:val="92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Bordered - Accent 1"/>
    <w:basedOn w:val="92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Bordered - Accent 2"/>
    <w:basedOn w:val="92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Bordered - Accent 3"/>
    <w:basedOn w:val="92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Bordered - Accent 4"/>
    <w:basedOn w:val="92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Bordered - Accent 5"/>
    <w:basedOn w:val="92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Bordered - Accent 6"/>
    <w:basedOn w:val="92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66">
    <w:name w:val="Heading 1"/>
    <w:basedOn w:val="920"/>
    <w:next w:val="920"/>
    <w:link w:val="874"/>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867">
    <w:name w:val="Heading 4"/>
    <w:basedOn w:val="920"/>
    <w:next w:val="920"/>
    <w:link w:val="877"/>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868">
    <w:name w:val="Heading 5"/>
    <w:basedOn w:val="920"/>
    <w:next w:val="920"/>
    <w:link w:val="878"/>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869">
    <w:name w:val="Heading 6"/>
    <w:basedOn w:val="920"/>
    <w:next w:val="920"/>
    <w:link w:val="879"/>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870">
    <w:name w:val="Heading 7"/>
    <w:basedOn w:val="920"/>
    <w:next w:val="920"/>
    <w:link w:val="880"/>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871">
    <w:name w:val="Heading 8"/>
    <w:basedOn w:val="920"/>
    <w:next w:val="920"/>
    <w:link w:val="881"/>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872">
    <w:name w:val="Heading 9"/>
    <w:basedOn w:val="920"/>
    <w:next w:val="920"/>
    <w:link w:val="882"/>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numbering" w:styleId="873" w:default="1">
    <w:name w:val="No List"/>
    <w:uiPriority w:val="99"/>
    <w:semiHidden/>
    <w:unhideWhenUsed/>
    <w:pPr>
      <w:pBdr/>
      <w:spacing/>
      <w:ind/>
    </w:pPr>
  </w:style>
  <w:style w:type="character" w:styleId="874">
    <w:name w:val="Heading 1 Char"/>
    <w:basedOn w:val="923"/>
    <w:link w:val="866"/>
    <w:uiPriority w:val="9"/>
    <w:pPr>
      <w:pBdr/>
      <w:spacing/>
      <w:ind/>
    </w:pPr>
    <w:rPr>
      <w:rFonts w:ascii="Arial" w:hAnsi="Arial" w:eastAsia="Arial" w:cs="Arial"/>
      <w:color w:val="0f4761" w:themeColor="accent1" w:themeShade="BF"/>
      <w:sz w:val="40"/>
      <w:szCs w:val="40"/>
    </w:rPr>
  </w:style>
  <w:style w:type="character" w:styleId="875">
    <w:name w:val="Heading 2 Char"/>
    <w:basedOn w:val="923"/>
    <w:link w:val="921"/>
    <w:uiPriority w:val="9"/>
    <w:pPr>
      <w:pBdr/>
      <w:spacing/>
      <w:ind/>
    </w:pPr>
    <w:rPr>
      <w:rFonts w:ascii="Arial" w:hAnsi="Arial" w:eastAsia="Arial" w:cs="Arial"/>
      <w:color w:val="0f4761" w:themeColor="accent1" w:themeShade="BF"/>
      <w:sz w:val="32"/>
      <w:szCs w:val="32"/>
    </w:rPr>
  </w:style>
  <w:style w:type="character" w:styleId="876">
    <w:name w:val="Heading 3 Char"/>
    <w:basedOn w:val="923"/>
    <w:link w:val="922"/>
    <w:uiPriority w:val="9"/>
    <w:pPr>
      <w:pBdr/>
      <w:spacing/>
      <w:ind/>
    </w:pPr>
    <w:rPr>
      <w:rFonts w:ascii="Arial" w:hAnsi="Arial" w:eastAsia="Arial" w:cs="Arial"/>
      <w:color w:val="0f4761" w:themeColor="accent1" w:themeShade="BF"/>
      <w:sz w:val="28"/>
      <w:szCs w:val="28"/>
    </w:rPr>
  </w:style>
  <w:style w:type="character" w:styleId="877">
    <w:name w:val="Heading 4 Char"/>
    <w:basedOn w:val="923"/>
    <w:link w:val="867"/>
    <w:uiPriority w:val="9"/>
    <w:pPr>
      <w:pBdr/>
      <w:spacing/>
      <w:ind/>
    </w:pPr>
    <w:rPr>
      <w:rFonts w:ascii="Arial" w:hAnsi="Arial" w:eastAsia="Arial" w:cs="Arial"/>
      <w:i/>
      <w:iCs/>
      <w:color w:val="0f4761" w:themeColor="accent1" w:themeShade="BF"/>
    </w:rPr>
  </w:style>
  <w:style w:type="character" w:styleId="878">
    <w:name w:val="Heading 5 Char"/>
    <w:basedOn w:val="923"/>
    <w:link w:val="868"/>
    <w:uiPriority w:val="9"/>
    <w:pPr>
      <w:pBdr/>
      <w:spacing/>
      <w:ind/>
    </w:pPr>
    <w:rPr>
      <w:rFonts w:ascii="Arial" w:hAnsi="Arial" w:eastAsia="Arial" w:cs="Arial"/>
      <w:color w:val="0f4761" w:themeColor="accent1" w:themeShade="BF"/>
    </w:rPr>
  </w:style>
  <w:style w:type="character" w:styleId="879">
    <w:name w:val="Heading 6 Char"/>
    <w:basedOn w:val="923"/>
    <w:link w:val="869"/>
    <w:uiPriority w:val="9"/>
    <w:pPr>
      <w:pBdr/>
      <w:spacing/>
      <w:ind/>
    </w:pPr>
    <w:rPr>
      <w:rFonts w:ascii="Arial" w:hAnsi="Arial" w:eastAsia="Arial" w:cs="Arial"/>
      <w:i/>
      <w:iCs/>
      <w:color w:val="595959" w:themeColor="text1" w:themeTint="A6"/>
    </w:rPr>
  </w:style>
  <w:style w:type="character" w:styleId="880">
    <w:name w:val="Heading 7 Char"/>
    <w:basedOn w:val="923"/>
    <w:link w:val="870"/>
    <w:uiPriority w:val="9"/>
    <w:pPr>
      <w:pBdr/>
      <w:spacing/>
      <w:ind/>
    </w:pPr>
    <w:rPr>
      <w:rFonts w:ascii="Arial" w:hAnsi="Arial" w:eastAsia="Arial" w:cs="Arial"/>
      <w:color w:val="595959" w:themeColor="text1" w:themeTint="A6"/>
    </w:rPr>
  </w:style>
  <w:style w:type="character" w:styleId="881">
    <w:name w:val="Heading 8 Char"/>
    <w:basedOn w:val="923"/>
    <w:link w:val="871"/>
    <w:uiPriority w:val="9"/>
    <w:pPr>
      <w:pBdr/>
      <w:spacing/>
      <w:ind/>
    </w:pPr>
    <w:rPr>
      <w:rFonts w:ascii="Arial" w:hAnsi="Arial" w:eastAsia="Arial" w:cs="Arial"/>
      <w:i/>
      <w:iCs/>
      <w:color w:val="272727" w:themeColor="text1" w:themeTint="D8"/>
    </w:rPr>
  </w:style>
  <w:style w:type="character" w:styleId="882">
    <w:name w:val="Heading 9 Char"/>
    <w:basedOn w:val="923"/>
    <w:link w:val="872"/>
    <w:uiPriority w:val="9"/>
    <w:pPr>
      <w:pBdr/>
      <w:spacing/>
      <w:ind/>
    </w:pPr>
    <w:rPr>
      <w:rFonts w:ascii="Arial" w:hAnsi="Arial" w:eastAsia="Arial" w:cs="Arial"/>
      <w:i/>
      <w:iCs/>
      <w:color w:val="272727" w:themeColor="text1" w:themeTint="D8"/>
    </w:rPr>
  </w:style>
  <w:style w:type="paragraph" w:styleId="883">
    <w:name w:val="Title"/>
    <w:basedOn w:val="920"/>
    <w:next w:val="920"/>
    <w:link w:val="884"/>
    <w:uiPriority w:val="10"/>
    <w:qFormat/>
    <w:pPr>
      <w:pBdr/>
      <w:spacing w:after="80" w:line="240" w:lineRule="auto"/>
      <w:ind/>
      <w:contextualSpacing w:val="true"/>
    </w:pPr>
    <w:rPr>
      <w:rFonts w:ascii="Arial" w:hAnsi="Arial" w:eastAsia="Arial" w:cs="Arial"/>
      <w:spacing w:val="-10"/>
      <w:sz w:val="56"/>
      <w:szCs w:val="56"/>
    </w:rPr>
  </w:style>
  <w:style w:type="character" w:styleId="884">
    <w:name w:val="Title Char"/>
    <w:basedOn w:val="923"/>
    <w:link w:val="883"/>
    <w:uiPriority w:val="10"/>
    <w:pPr>
      <w:pBdr/>
      <w:spacing/>
      <w:ind/>
    </w:pPr>
    <w:rPr>
      <w:rFonts w:ascii="Arial" w:hAnsi="Arial" w:eastAsia="Arial" w:cs="Arial"/>
      <w:spacing w:val="-10"/>
      <w:sz w:val="56"/>
      <w:szCs w:val="56"/>
    </w:rPr>
  </w:style>
  <w:style w:type="paragraph" w:styleId="885">
    <w:name w:val="Subtitle"/>
    <w:basedOn w:val="920"/>
    <w:next w:val="920"/>
    <w:link w:val="886"/>
    <w:uiPriority w:val="11"/>
    <w:qFormat/>
    <w:pPr>
      <w:numPr>
        <w:ilvl w:val="1"/>
      </w:numPr>
      <w:pBdr/>
      <w:spacing/>
      <w:ind/>
    </w:pPr>
    <w:rPr>
      <w:color w:val="595959" w:themeColor="text1" w:themeTint="A6"/>
      <w:spacing w:val="15"/>
      <w:sz w:val="28"/>
      <w:szCs w:val="28"/>
    </w:rPr>
  </w:style>
  <w:style w:type="character" w:styleId="886">
    <w:name w:val="Subtitle Char"/>
    <w:basedOn w:val="923"/>
    <w:link w:val="885"/>
    <w:uiPriority w:val="11"/>
    <w:pPr>
      <w:pBdr/>
      <w:spacing/>
      <w:ind/>
    </w:pPr>
    <w:rPr>
      <w:color w:val="595959" w:themeColor="text1" w:themeTint="A6"/>
      <w:spacing w:val="15"/>
      <w:sz w:val="28"/>
      <w:szCs w:val="28"/>
    </w:rPr>
  </w:style>
  <w:style w:type="paragraph" w:styleId="887">
    <w:name w:val="Quote"/>
    <w:basedOn w:val="920"/>
    <w:next w:val="920"/>
    <w:link w:val="888"/>
    <w:uiPriority w:val="29"/>
    <w:qFormat/>
    <w:pPr>
      <w:pBdr/>
      <w:spacing w:before="160"/>
      <w:ind/>
      <w:jc w:val="center"/>
    </w:pPr>
    <w:rPr>
      <w:i/>
      <w:iCs/>
      <w:color w:val="404040" w:themeColor="text1" w:themeTint="BF"/>
    </w:rPr>
  </w:style>
  <w:style w:type="character" w:styleId="888">
    <w:name w:val="Quote Char"/>
    <w:basedOn w:val="923"/>
    <w:link w:val="887"/>
    <w:uiPriority w:val="29"/>
    <w:pPr>
      <w:pBdr/>
      <w:spacing/>
      <w:ind/>
    </w:pPr>
    <w:rPr>
      <w:i/>
      <w:iCs/>
      <w:color w:val="404040" w:themeColor="text1" w:themeTint="BF"/>
    </w:rPr>
  </w:style>
  <w:style w:type="character" w:styleId="889">
    <w:name w:val="Intense Emphasis"/>
    <w:basedOn w:val="923"/>
    <w:uiPriority w:val="21"/>
    <w:qFormat/>
    <w:pPr>
      <w:pBdr/>
      <w:spacing/>
      <w:ind/>
    </w:pPr>
    <w:rPr>
      <w:i/>
      <w:iCs/>
      <w:color w:val="0f4761" w:themeColor="accent1" w:themeShade="BF"/>
    </w:rPr>
  </w:style>
  <w:style w:type="paragraph" w:styleId="890">
    <w:name w:val="Intense Quote"/>
    <w:basedOn w:val="920"/>
    <w:next w:val="920"/>
    <w:link w:val="891"/>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891">
    <w:name w:val="Intense Quote Char"/>
    <w:basedOn w:val="923"/>
    <w:link w:val="890"/>
    <w:uiPriority w:val="30"/>
    <w:pPr>
      <w:pBdr/>
      <w:spacing/>
      <w:ind/>
    </w:pPr>
    <w:rPr>
      <w:i/>
      <w:iCs/>
      <w:color w:val="0f4761" w:themeColor="accent1" w:themeShade="BF"/>
    </w:rPr>
  </w:style>
  <w:style w:type="character" w:styleId="892">
    <w:name w:val="Intense Reference"/>
    <w:basedOn w:val="923"/>
    <w:uiPriority w:val="32"/>
    <w:qFormat/>
    <w:pPr>
      <w:pBdr/>
      <w:spacing/>
      <w:ind/>
    </w:pPr>
    <w:rPr>
      <w:b/>
      <w:bCs/>
      <w:smallCaps/>
      <w:color w:val="0f4761" w:themeColor="accent1" w:themeShade="BF"/>
      <w:spacing w:val="5"/>
    </w:rPr>
  </w:style>
  <w:style w:type="paragraph" w:styleId="893">
    <w:name w:val="No Spacing"/>
    <w:basedOn w:val="920"/>
    <w:uiPriority w:val="1"/>
    <w:qFormat/>
    <w:pPr>
      <w:pBdr/>
      <w:spacing w:after="0" w:line="240" w:lineRule="auto"/>
      <w:ind/>
    </w:pPr>
  </w:style>
  <w:style w:type="character" w:styleId="894">
    <w:name w:val="Subtle Emphasis"/>
    <w:basedOn w:val="923"/>
    <w:uiPriority w:val="19"/>
    <w:qFormat/>
    <w:pPr>
      <w:pBdr/>
      <w:spacing/>
      <w:ind/>
    </w:pPr>
    <w:rPr>
      <w:i/>
      <w:iCs/>
      <w:color w:val="404040" w:themeColor="text1" w:themeTint="BF"/>
    </w:rPr>
  </w:style>
  <w:style w:type="character" w:styleId="895">
    <w:name w:val="Subtle Reference"/>
    <w:basedOn w:val="923"/>
    <w:uiPriority w:val="31"/>
    <w:qFormat/>
    <w:pPr>
      <w:pBdr/>
      <w:spacing/>
      <w:ind/>
    </w:pPr>
    <w:rPr>
      <w:smallCaps/>
      <w:color w:val="5a5a5a" w:themeColor="text1" w:themeTint="A5"/>
    </w:rPr>
  </w:style>
  <w:style w:type="character" w:styleId="896">
    <w:name w:val="Book Title"/>
    <w:basedOn w:val="923"/>
    <w:uiPriority w:val="33"/>
    <w:qFormat/>
    <w:pPr>
      <w:pBdr/>
      <w:spacing/>
      <w:ind/>
    </w:pPr>
    <w:rPr>
      <w:b/>
      <w:bCs/>
      <w:i/>
      <w:iCs/>
      <w:spacing w:val="5"/>
    </w:rPr>
  </w:style>
  <w:style w:type="character" w:styleId="897">
    <w:name w:val="Header Char"/>
    <w:basedOn w:val="923"/>
    <w:link w:val="929"/>
    <w:uiPriority w:val="99"/>
    <w:pPr>
      <w:pBdr/>
      <w:spacing/>
      <w:ind/>
    </w:pPr>
  </w:style>
  <w:style w:type="character" w:styleId="898">
    <w:name w:val="Footer Char"/>
    <w:basedOn w:val="923"/>
    <w:link w:val="928"/>
    <w:uiPriority w:val="99"/>
    <w:pPr>
      <w:pBdr/>
      <w:spacing/>
      <w:ind/>
    </w:pPr>
  </w:style>
  <w:style w:type="paragraph" w:styleId="899">
    <w:name w:val="Caption"/>
    <w:basedOn w:val="920"/>
    <w:next w:val="920"/>
    <w:uiPriority w:val="35"/>
    <w:unhideWhenUsed/>
    <w:qFormat/>
    <w:pPr>
      <w:pBdr/>
      <w:spacing w:after="200" w:line="240" w:lineRule="auto"/>
      <w:ind/>
    </w:pPr>
    <w:rPr>
      <w:i/>
      <w:iCs/>
      <w:color w:val="0e2841" w:themeColor="text2"/>
      <w:sz w:val="18"/>
      <w:szCs w:val="18"/>
    </w:rPr>
  </w:style>
  <w:style w:type="paragraph" w:styleId="900">
    <w:name w:val="footnote text"/>
    <w:basedOn w:val="920"/>
    <w:link w:val="901"/>
    <w:uiPriority w:val="99"/>
    <w:semiHidden/>
    <w:unhideWhenUsed/>
    <w:pPr>
      <w:pBdr/>
      <w:spacing w:after="0" w:line="240" w:lineRule="auto"/>
      <w:ind/>
    </w:pPr>
    <w:rPr>
      <w:sz w:val="20"/>
      <w:szCs w:val="20"/>
    </w:rPr>
  </w:style>
  <w:style w:type="character" w:styleId="901">
    <w:name w:val="Footnote Text Char"/>
    <w:basedOn w:val="923"/>
    <w:link w:val="900"/>
    <w:uiPriority w:val="99"/>
    <w:semiHidden/>
    <w:pPr>
      <w:pBdr/>
      <w:spacing/>
      <w:ind/>
    </w:pPr>
    <w:rPr>
      <w:sz w:val="20"/>
      <w:szCs w:val="20"/>
    </w:rPr>
  </w:style>
  <w:style w:type="character" w:styleId="902">
    <w:name w:val="footnote reference"/>
    <w:basedOn w:val="923"/>
    <w:uiPriority w:val="99"/>
    <w:semiHidden/>
    <w:unhideWhenUsed/>
    <w:pPr>
      <w:pBdr/>
      <w:spacing/>
      <w:ind/>
    </w:pPr>
    <w:rPr>
      <w:vertAlign w:val="superscript"/>
    </w:rPr>
  </w:style>
  <w:style w:type="paragraph" w:styleId="903">
    <w:name w:val="endnote text"/>
    <w:basedOn w:val="920"/>
    <w:link w:val="904"/>
    <w:uiPriority w:val="99"/>
    <w:semiHidden/>
    <w:unhideWhenUsed/>
    <w:pPr>
      <w:pBdr/>
      <w:spacing w:after="0" w:line="240" w:lineRule="auto"/>
      <w:ind/>
    </w:pPr>
    <w:rPr>
      <w:sz w:val="20"/>
      <w:szCs w:val="20"/>
    </w:rPr>
  </w:style>
  <w:style w:type="character" w:styleId="904">
    <w:name w:val="Endnote Text Char"/>
    <w:basedOn w:val="923"/>
    <w:link w:val="903"/>
    <w:uiPriority w:val="99"/>
    <w:semiHidden/>
    <w:pPr>
      <w:pBdr/>
      <w:spacing/>
      <w:ind/>
    </w:pPr>
    <w:rPr>
      <w:sz w:val="20"/>
      <w:szCs w:val="20"/>
    </w:rPr>
  </w:style>
  <w:style w:type="character" w:styleId="905">
    <w:name w:val="endnote reference"/>
    <w:basedOn w:val="923"/>
    <w:uiPriority w:val="99"/>
    <w:semiHidden/>
    <w:unhideWhenUsed/>
    <w:pPr>
      <w:pBdr/>
      <w:spacing/>
      <w:ind/>
    </w:pPr>
    <w:rPr>
      <w:vertAlign w:val="superscript"/>
    </w:rPr>
  </w:style>
  <w:style w:type="character" w:styleId="906">
    <w:name w:val="Hyperlink"/>
    <w:basedOn w:val="923"/>
    <w:uiPriority w:val="99"/>
    <w:unhideWhenUsed/>
    <w:pPr>
      <w:pBdr/>
      <w:spacing/>
      <w:ind/>
    </w:pPr>
    <w:rPr>
      <w:color w:val="0563c1" w:themeColor="hyperlink"/>
      <w:u w:val="single"/>
    </w:rPr>
  </w:style>
  <w:style w:type="character" w:styleId="907">
    <w:name w:val="FollowedHyperlink"/>
    <w:basedOn w:val="923"/>
    <w:uiPriority w:val="99"/>
    <w:semiHidden/>
    <w:unhideWhenUsed/>
    <w:pPr>
      <w:pBdr/>
      <w:spacing/>
      <w:ind/>
    </w:pPr>
    <w:rPr>
      <w:color w:val="954f72" w:themeColor="followedHyperlink"/>
      <w:u w:val="single"/>
    </w:rPr>
  </w:style>
  <w:style w:type="paragraph" w:styleId="908">
    <w:name w:val="toc 1"/>
    <w:basedOn w:val="920"/>
    <w:next w:val="920"/>
    <w:uiPriority w:val="39"/>
    <w:unhideWhenUsed/>
    <w:pPr>
      <w:pBdr/>
      <w:spacing w:after="100"/>
      <w:ind/>
    </w:pPr>
  </w:style>
  <w:style w:type="paragraph" w:styleId="909">
    <w:name w:val="toc 2"/>
    <w:basedOn w:val="920"/>
    <w:next w:val="920"/>
    <w:uiPriority w:val="39"/>
    <w:unhideWhenUsed/>
    <w:pPr>
      <w:pBdr/>
      <w:spacing w:after="100"/>
      <w:ind w:left="220"/>
    </w:pPr>
  </w:style>
  <w:style w:type="paragraph" w:styleId="910">
    <w:name w:val="toc 3"/>
    <w:basedOn w:val="920"/>
    <w:next w:val="920"/>
    <w:uiPriority w:val="39"/>
    <w:unhideWhenUsed/>
    <w:pPr>
      <w:pBdr/>
      <w:spacing w:after="100"/>
      <w:ind w:left="440"/>
    </w:pPr>
  </w:style>
  <w:style w:type="paragraph" w:styleId="911">
    <w:name w:val="toc 4"/>
    <w:basedOn w:val="920"/>
    <w:next w:val="920"/>
    <w:uiPriority w:val="39"/>
    <w:unhideWhenUsed/>
    <w:pPr>
      <w:pBdr/>
      <w:spacing w:after="100"/>
      <w:ind w:left="660"/>
    </w:pPr>
  </w:style>
  <w:style w:type="paragraph" w:styleId="912">
    <w:name w:val="toc 5"/>
    <w:basedOn w:val="920"/>
    <w:next w:val="920"/>
    <w:uiPriority w:val="39"/>
    <w:unhideWhenUsed/>
    <w:pPr>
      <w:pBdr/>
      <w:spacing w:after="100"/>
      <w:ind w:left="880"/>
    </w:pPr>
  </w:style>
  <w:style w:type="paragraph" w:styleId="913">
    <w:name w:val="toc 6"/>
    <w:basedOn w:val="920"/>
    <w:next w:val="920"/>
    <w:uiPriority w:val="39"/>
    <w:unhideWhenUsed/>
    <w:pPr>
      <w:pBdr/>
      <w:spacing w:after="100"/>
      <w:ind w:left="1100"/>
    </w:pPr>
  </w:style>
  <w:style w:type="paragraph" w:styleId="914">
    <w:name w:val="toc 7"/>
    <w:basedOn w:val="920"/>
    <w:next w:val="920"/>
    <w:uiPriority w:val="39"/>
    <w:unhideWhenUsed/>
    <w:pPr>
      <w:pBdr/>
      <w:spacing w:after="100"/>
      <w:ind w:left="1320"/>
    </w:pPr>
  </w:style>
  <w:style w:type="paragraph" w:styleId="915">
    <w:name w:val="toc 8"/>
    <w:basedOn w:val="920"/>
    <w:next w:val="920"/>
    <w:uiPriority w:val="39"/>
    <w:unhideWhenUsed/>
    <w:pPr>
      <w:pBdr/>
      <w:spacing w:after="100"/>
      <w:ind w:left="1540"/>
    </w:pPr>
  </w:style>
  <w:style w:type="paragraph" w:styleId="916">
    <w:name w:val="toc 9"/>
    <w:basedOn w:val="920"/>
    <w:next w:val="920"/>
    <w:uiPriority w:val="39"/>
    <w:unhideWhenUsed/>
    <w:pPr>
      <w:pBdr/>
      <w:spacing w:after="100"/>
      <w:ind w:left="1760"/>
    </w:pPr>
  </w:style>
  <w:style w:type="character" w:styleId="917">
    <w:name w:val="Placeholder Text"/>
    <w:basedOn w:val="923"/>
    <w:uiPriority w:val="99"/>
    <w:semiHidden/>
    <w:pPr>
      <w:pBdr/>
      <w:spacing/>
      <w:ind/>
    </w:pPr>
    <w:rPr>
      <w:color w:val="666666"/>
    </w:rPr>
  </w:style>
  <w:style w:type="paragraph" w:styleId="918">
    <w:name w:val="TOC Heading"/>
    <w:uiPriority w:val="39"/>
    <w:unhideWhenUsed/>
    <w:pPr>
      <w:pBdr/>
      <w:spacing/>
      <w:ind/>
    </w:pPr>
  </w:style>
  <w:style w:type="paragraph" w:styleId="919">
    <w:name w:val="table of figures"/>
    <w:basedOn w:val="920"/>
    <w:next w:val="920"/>
    <w:uiPriority w:val="99"/>
    <w:unhideWhenUsed/>
    <w:pPr>
      <w:pBdr/>
      <w:spacing w:after="0" w:afterAutospacing="0"/>
      <w:ind/>
    </w:pPr>
  </w:style>
  <w:style w:type="paragraph" w:styleId="920" w:default="1">
    <w:name w:val="Normal"/>
    <w:uiPriority w:val="0"/>
    <w:qFormat/>
    <w:pPr>
      <w:widowControl w:val="false"/>
      <w:pBdr/>
      <w:spacing/>
      <w:ind/>
      <w:jc w:val="both"/>
    </w:pPr>
    <w:rPr>
      <w:rFonts w:ascii="Times New Roman" w:hAnsi="Times New Roman" w:eastAsia="宋体" w:cs="Times New Roman"/>
      <w:sz w:val="21"/>
      <w:szCs w:val="24"/>
      <w:lang w:val="en-US" w:eastAsia="zh-CN" w:bidi="ar-SA"/>
    </w:rPr>
  </w:style>
  <w:style w:type="paragraph" w:styleId="921">
    <w:name w:val="Heading 2"/>
    <w:basedOn w:val="920"/>
    <w:next w:val="920"/>
    <w:uiPriority w:val="1"/>
    <w:qFormat/>
    <w:pPr>
      <w:pBdr/>
      <w:spacing/>
      <w:ind w:left="618"/>
      <w:outlineLvl w:val="1"/>
    </w:pPr>
    <w:rPr>
      <w:b/>
      <w:bCs/>
      <w:sz w:val="24"/>
      <w:szCs w:val="24"/>
    </w:rPr>
  </w:style>
  <w:style w:type="paragraph" w:styleId="922">
    <w:name w:val="Heading 3"/>
    <w:basedOn w:val="920"/>
    <w:next w:val="920"/>
    <w:uiPriority w:val="0"/>
    <w:semiHidden/>
    <w:unhideWhenUsed/>
    <w:qFormat/>
    <w:pPr>
      <w:pBdr/>
      <w:spacing w:after="0" w:afterAutospacing="1" w:before="0" w:beforeAutospacing="1"/>
      <w:ind/>
      <w:jc w:val="left"/>
    </w:pPr>
    <w:rPr>
      <w:rFonts w:hint="eastAsia" w:ascii="宋体" w:hAnsi="宋体" w:eastAsia="宋体" w:cs="宋体"/>
      <w:b/>
      <w:bCs/>
      <w:sz w:val="27"/>
      <w:szCs w:val="27"/>
      <w:lang w:val="en-US" w:eastAsia="zh-CN" w:bidi="ar"/>
    </w:rPr>
  </w:style>
  <w:style w:type="character" w:styleId="923" w:default="1">
    <w:name w:val="Default Paragraph Font"/>
    <w:uiPriority w:val="1"/>
    <w:unhideWhenUsed/>
    <w:qFormat/>
    <w:pPr>
      <w:pBdr/>
      <w:spacing/>
      <w:ind/>
    </w:pPr>
  </w:style>
  <w:style w:type="table" w:styleId="924" w:default="1">
    <w:name w:val="Normal Table"/>
    <w:uiPriority w:val="99"/>
    <w:unhideWhenUsed/>
    <w:qFormat/>
    <w:pPr>
      <w:pBdr/>
      <w:spacing/>
      <w:ind/>
    </w:pPr>
    <w:tblPr>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25">
    <w:name w:val="Body Text"/>
    <w:basedOn w:val="920"/>
    <w:uiPriority w:val="1"/>
    <w:qFormat/>
    <w:pPr>
      <w:pBdr/>
      <w:spacing/>
      <w:ind/>
    </w:pPr>
    <w:rPr>
      <w:sz w:val="24"/>
      <w:szCs w:val="24"/>
    </w:rPr>
  </w:style>
  <w:style w:type="paragraph" w:styleId="926">
    <w:name w:val="Body Text Indent"/>
    <w:basedOn w:val="920"/>
    <w:uiPriority w:val="0"/>
    <w:qFormat/>
    <w:pPr>
      <w:pBdr/>
      <w:spacing w:after="120"/>
      <w:ind w:left="420"/>
    </w:pPr>
  </w:style>
  <w:style w:type="paragraph" w:styleId="927">
    <w:name w:val="Plain Text"/>
    <w:basedOn w:val="920"/>
    <w:link w:val="934"/>
    <w:uiPriority w:val="0"/>
    <w:qFormat/>
    <w:pPr>
      <w:pBdr/>
      <w:spacing/>
      <w:ind/>
    </w:pPr>
    <w:rPr>
      <w:rFonts w:hint="eastAsia" w:ascii="宋体" w:hAnsi="Courier New"/>
      <w:szCs w:val="21"/>
    </w:rPr>
  </w:style>
  <w:style w:type="paragraph" w:styleId="928">
    <w:name w:val="Footer"/>
    <w:basedOn w:val="920"/>
    <w:link w:val="935"/>
    <w:uiPriority w:val="0"/>
    <w:qFormat/>
    <w:pPr>
      <w:pBdr/>
      <w:tabs>
        <w:tab w:val="center" w:leader="none" w:pos="4153"/>
        <w:tab w:val="right" w:leader="none" w:pos="8306"/>
      </w:tabs>
      <w:spacing/>
      <w:ind/>
      <w:jc w:val="left"/>
    </w:pPr>
    <w:rPr>
      <w:sz w:val="18"/>
      <w:szCs w:val="18"/>
    </w:rPr>
  </w:style>
  <w:style w:type="paragraph" w:styleId="929">
    <w:name w:val="Header"/>
    <w:basedOn w:val="920"/>
    <w:link w:val="936"/>
    <w:uiPriority w:val="0"/>
    <w:qFormat/>
    <w:pPr>
      <w:pBdr>
        <w:bottom w:val="single" w:color="000000" w:sz="6" w:space="1"/>
      </w:pBdr>
      <w:tabs>
        <w:tab w:val="center" w:leader="none" w:pos="4153"/>
        <w:tab w:val="right" w:leader="none" w:pos="8306"/>
      </w:tabs>
      <w:spacing/>
      <w:ind/>
      <w:jc w:val="center"/>
    </w:pPr>
    <w:rPr>
      <w:sz w:val="18"/>
      <w:szCs w:val="18"/>
    </w:rPr>
  </w:style>
  <w:style w:type="paragraph" w:styleId="930">
    <w:name w:val="Body Text First Indent 2"/>
    <w:basedOn w:val="926"/>
    <w:uiPriority w:val="0"/>
    <w:qFormat/>
    <w:pPr>
      <w:pBdr/>
      <w:spacing/>
      <w:ind w:firstLine="420"/>
    </w:pPr>
  </w:style>
  <w:style w:type="table" w:styleId="931">
    <w:name w:val="Table Grid"/>
    <w:basedOn w:val="924"/>
    <w:uiPriority w:val="0"/>
    <w:qFormat/>
    <w:pPr>
      <w:widowControl w:val="false"/>
      <w:pBdr/>
      <w:spacing/>
      <w:ind/>
      <w:jc w:val="both"/>
    </w:pPr>
    <w:tblPr>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932">
    <w:name w:val="Strong"/>
    <w:uiPriority w:val="0"/>
    <w:qFormat/>
    <w:pPr>
      <w:pBdr/>
      <w:spacing/>
      <w:ind/>
    </w:pPr>
    <w:rPr>
      <w:b/>
    </w:rPr>
  </w:style>
  <w:style w:type="character" w:styleId="933">
    <w:name w:val="Emphasis"/>
    <w:uiPriority w:val="0"/>
    <w:qFormat/>
    <w:pPr>
      <w:pBdr/>
      <w:spacing/>
      <w:ind/>
    </w:pPr>
    <w:rPr>
      <w:i/>
    </w:rPr>
  </w:style>
  <w:style w:type="character" w:styleId="934" w:customStyle="1">
    <w:name w:val="纯文本 字符"/>
    <w:link w:val="927"/>
    <w:uiPriority w:val="0"/>
    <w:qFormat/>
    <w:pPr>
      <w:pBdr/>
      <w:spacing/>
      <w:ind/>
    </w:pPr>
    <w:rPr>
      <w:rFonts w:ascii="宋体" w:hAnsi="Courier New"/>
      <w:sz w:val="21"/>
      <w:szCs w:val="21"/>
    </w:rPr>
  </w:style>
  <w:style w:type="character" w:styleId="935" w:customStyle="1">
    <w:name w:val="页脚 字符"/>
    <w:link w:val="928"/>
    <w:uiPriority w:val="0"/>
    <w:qFormat/>
    <w:pPr>
      <w:pBdr/>
      <w:spacing/>
      <w:ind/>
    </w:pPr>
    <w:rPr>
      <w:sz w:val="18"/>
      <w:szCs w:val="18"/>
    </w:rPr>
  </w:style>
  <w:style w:type="character" w:styleId="936" w:customStyle="1">
    <w:name w:val="页眉 字符"/>
    <w:link w:val="929"/>
    <w:uiPriority w:val="0"/>
    <w:qFormat/>
    <w:pPr>
      <w:pBdr/>
      <w:spacing/>
      <w:ind/>
    </w:pPr>
    <w:rPr>
      <w:sz w:val="18"/>
      <w:szCs w:val="18"/>
    </w:rPr>
  </w:style>
  <w:style w:type="paragraph" w:styleId="937" w:customStyle="1">
    <w:name w:val="Default"/>
    <w:uiPriority w:val="0"/>
    <w:qFormat/>
    <w:pPr>
      <w:widowControl w:val="false"/>
      <w:pBdr/>
      <w:spacing/>
      <w:ind/>
    </w:pPr>
    <w:rPr>
      <w:rFonts w:ascii="宋体" w:hAnsi="Calibri" w:eastAsia="宋体" w:cs="宋体"/>
      <w:color w:val="000000"/>
      <w:sz w:val="24"/>
      <w:szCs w:val="24"/>
      <w:lang w:val="en-US" w:eastAsia="zh-CN" w:bidi="ar-SA"/>
    </w:rPr>
  </w:style>
  <w:style w:type="paragraph" w:styleId="938">
    <w:name w:val="List Paragraph"/>
    <w:basedOn w:val="920"/>
    <w:uiPriority w:val="99"/>
    <w:qFormat/>
    <w:pPr>
      <w:widowControl w:val="true"/>
      <w:pBdr/>
      <w:spacing w:after="200" w:line="276" w:lineRule="auto"/>
      <w:ind w:left="720"/>
      <w:contextualSpacing w:val="true"/>
      <w:jc w:val="left"/>
    </w:pPr>
    <w:rPr>
      <w:sz w:val="22"/>
      <w:szCs w:val="22"/>
      <w:lang w:eastAsia="en-US" w:bidi="en-US"/>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Application>360AIOffice/1.0.0.0</Application>
  <DocSecurity>0</DocSecurity>
  <ScaleCrop>0</ScaleCrop>
  <HeadingPairs>
    <vt:vector size="0" baseType="variant"/>
  </HeadingPairs>
  <TitlesOfParts>
    <vt:vector size="0" baseType="lpstr"/>
  </TitlesOfParts>
  <Company>Microsoft China</Company>
  <LinksUpToDate>0</LinksUpToD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Billgates</dc:creator>
  <cp:revision>6</cp:revision>
  <dcterms:created xsi:type="dcterms:W3CDTF">2019-03-15T03:08:00Z</dcterms:created>
  <dcterms:modified xsi:type="dcterms:W3CDTF">2026-10-15T01:14:01Z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7C8DA4F56D18422BB72CA8237323F785_13</vt:lpwstr>
  </property>
  <property fmtid="{D5CDD505-2E9C-101B-9397-08002B2CF9AE}" pid="4" name="KSOTemplateDocerSaveRecord">
    <vt:lpwstr>eyJoZGlkIjoiNjcxMzQ5ZDA4NmY1NGY5NjJjNjNmZjU0Yzc1YThlNzAiLCJ1c2VySWQiOiIxNTQ1NDk1NTU4In0=</vt:lpwstr>
  </property>
</Properties>
</file>