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496FB">
      <w:pPr>
        <w:spacing w:line="360" w:lineRule="auto"/>
        <w:jc w:val="center"/>
        <w:outlineLvl w:val="0"/>
        <w:rPr>
          <w:rFonts w:hint="eastAsia" w:asciiTheme="minorEastAsia" w:hAnsiTheme="minorEastAsia" w:eastAsiaTheme="minorEastAsia"/>
          <w:b/>
          <w:color w:val="auto"/>
          <w:sz w:val="28"/>
        </w:rPr>
      </w:pPr>
      <w:r>
        <w:rPr>
          <w:rFonts w:hint="eastAsia" w:asciiTheme="minorEastAsia" w:hAnsiTheme="minorEastAsia" w:eastAsiaTheme="minorEastAsia"/>
          <w:b/>
          <w:color w:val="auto"/>
          <w:sz w:val="28"/>
          <w:lang w:val="en-US" w:eastAsia="zh-CN"/>
        </w:rPr>
        <w:t>第1包</w:t>
      </w:r>
      <w:r>
        <w:rPr>
          <w:rFonts w:hint="eastAsia" w:asciiTheme="minorEastAsia" w:hAnsiTheme="minorEastAsia" w:eastAsiaTheme="minorEastAsia"/>
          <w:b/>
          <w:color w:val="auto"/>
          <w:sz w:val="28"/>
        </w:rPr>
        <w:t>采购需求</w:t>
      </w:r>
    </w:p>
    <w:p w14:paraId="4FFA694C">
      <w:pPr>
        <w:spacing w:line="360" w:lineRule="auto"/>
        <w:rPr>
          <w:rFonts w:hint="eastAsia" w:asciiTheme="minorEastAsia" w:hAnsiTheme="minorEastAsia" w:eastAsiaTheme="minorEastAsia"/>
          <w:b/>
          <w:color w:val="auto"/>
          <w:sz w:val="24"/>
        </w:rPr>
      </w:pPr>
      <w:r>
        <w:rPr>
          <w:rFonts w:hint="eastAsia" w:asciiTheme="minorEastAsia" w:hAnsiTheme="minorEastAsia" w:eastAsiaTheme="minorEastAsia"/>
          <w:b/>
          <w:color w:val="auto"/>
          <w:sz w:val="24"/>
        </w:rPr>
        <w:t>前注：</w:t>
      </w:r>
    </w:p>
    <w:p w14:paraId="1CBBEFAF">
      <w:pPr>
        <w:spacing w:line="360" w:lineRule="auto"/>
        <w:ind w:firstLine="435"/>
        <w:rPr>
          <w:rFonts w:hint="eastAsia" w:ascii="宋体" w:hAnsi="宋体" w:eastAsia="宋体"/>
          <w:color w:val="auto"/>
          <w:sz w:val="24"/>
          <w:szCs w:val="18"/>
        </w:rPr>
      </w:pPr>
      <w:r>
        <w:rPr>
          <w:rFonts w:hint="eastAsia" w:asciiTheme="minorEastAsia" w:hAnsiTheme="minorEastAsia" w:eastAsiaTheme="minorEastAsia"/>
          <w:color w:val="auto"/>
          <w:sz w:val="24"/>
        </w:rPr>
        <w:t>1.</w:t>
      </w:r>
      <w:r>
        <w:rPr>
          <w:rFonts w:ascii="宋体" w:hAnsi="宋体" w:eastAsia="宋体"/>
          <w:color w:val="auto"/>
          <w:sz w:val="24"/>
          <w:szCs w:val="18"/>
        </w:rPr>
        <w:t>根据《</w:t>
      </w:r>
      <w:r>
        <w:rPr>
          <w:rFonts w:hint="eastAsia" w:ascii="宋体" w:hAnsi="宋体" w:eastAsia="宋体"/>
          <w:color w:val="auto"/>
          <w:sz w:val="24"/>
          <w:szCs w:val="18"/>
        </w:rPr>
        <w:t>政府采购进口产品管理办法</w:t>
      </w:r>
      <w:r>
        <w:rPr>
          <w:rFonts w:ascii="宋体" w:hAnsi="宋体" w:eastAsia="宋体"/>
          <w:color w:val="auto"/>
          <w:sz w:val="24"/>
          <w:szCs w:val="18"/>
        </w:rPr>
        <w:t>》及政府采购管理部门的相关规定，下列采购需求中</w:t>
      </w:r>
      <w:r>
        <w:rPr>
          <w:rFonts w:hint="eastAsia" w:ascii="宋体" w:hAnsi="宋体" w:eastAsia="宋体"/>
          <w:color w:val="auto"/>
          <w:sz w:val="24"/>
          <w:szCs w:val="18"/>
        </w:rPr>
        <w:t>标注进口产品的货物均</w:t>
      </w:r>
      <w:r>
        <w:rPr>
          <w:rFonts w:ascii="宋体" w:hAnsi="宋体" w:eastAsia="宋体"/>
          <w:color w:val="auto"/>
          <w:sz w:val="24"/>
          <w:szCs w:val="18"/>
        </w:rPr>
        <w:t>已履行相关论证手续，经核准采购进口</w:t>
      </w:r>
      <w:r>
        <w:rPr>
          <w:rFonts w:hint="eastAsia" w:ascii="宋体" w:hAnsi="宋体" w:eastAsia="宋体"/>
          <w:color w:val="auto"/>
          <w:sz w:val="24"/>
          <w:szCs w:val="18"/>
        </w:rPr>
        <w:t>产品</w:t>
      </w:r>
      <w:r>
        <w:rPr>
          <w:rFonts w:ascii="宋体" w:hAnsi="宋体" w:eastAsia="宋体"/>
          <w:color w:val="auto"/>
          <w:sz w:val="24"/>
          <w:szCs w:val="18"/>
        </w:rPr>
        <w:t>，但不限制满足招标文件要求的国内产品参与竞争</w:t>
      </w:r>
      <w:r>
        <w:rPr>
          <w:rFonts w:hint="eastAsia" w:ascii="宋体" w:hAnsi="宋体" w:eastAsia="宋体"/>
          <w:color w:val="auto"/>
          <w:sz w:val="24"/>
          <w:szCs w:val="18"/>
        </w:rPr>
        <w:t>。未标注进口产品的货物均</w:t>
      </w:r>
      <w:r>
        <w:rPr>
          <w:rFonts w:ascii="宋体" w:hAnsi="宋体" w:eastAsia="宋体"/>
          <w:color w:val="auto"/>
          <w:sz w:val="24"/>
          <w:szCs w:val="18"/>
        </w:rPr>
        <w:t>为拒绝采购进口产品</w:t>
      </w:r>
      <w:r>
        <w:rPr>
          <w:rFonts w:hint="eastAsia" w:ascii="宋体" w:hAnsi="宋体" w:eastAsia="宋体"/>
          <w:color w:val="auto"/>
          <w:sz w:val="24"/>
          <w:szCs w:val="18"/>
        </w:rPr>
        <w:t>。</w:t>
      </w:r>
    </w:p>
    <w:p w14:paraId="44610C78">
      <w:pPr>
        <w:spacing w:line="360" w:lineRule="auto"/>
        <w:ind w:firstLine="435"/>
        <w:rPr>
          <w:rFonts w:hint="eastAsia" w:ascii="宋体" w:hAnsi="宋体" w:eastAsia="宋体"/>
          <w:color w:val="auto"/>
          <w:sz w:val="24"/>
          <w:szCs w:val="18"/>
        </w:rPr>
      </w:pPr>
      <w:r>
        <w:rPr>
          <w:rFonts w:hint="eastAsia" w:ascii="宋体" w:hAnsi="宋体" w:eastAsia="宋体"/>
          <w:color w:val="auto"/>
          <w:sz w:val="24"/>
          <w:szCs w:val="18"/>
        </w:rPr>
        <w:t>2.</w:t>
      </w:r>
      <w:r>
        <w:rPr>
          <w:rFonts w:ascii="宋体" w:hAnsi="宋体" w:eastAsia="宋体" w:cs="宋体"/>
          <w:color w:val="auto"/>
          <w:sz w:val="24"/>
          <w:szCs w:val="24"/>
        </w:rPr>
        <w:t>政府采购政策（包括但不限于下列具体政策要求</w:t>
      </w:r>
      <w:r>
        <w:rPr>
          <w:rFonts w:hint="eastAsia" w:ascii="宋体" w:hAnsi="宋体" w:eastAsia="宋体" w:cs="宋体"/>
          <w:color w:val="auto"/>
          <w:sz w:val="24"/>
          <w:szCs w:val="24"/>
        </w:rPr>
        <w:t>）</w:t>
      </w:r>
      <w:r>
        <w:rPr>
          <w:rFonts w:hint="eastAsia" w:ascii="宋体" w:hAnsi="宋体" w:eastAsia="宋体"/>
          <w:color w:val="auto"/>
          <w:sz w:val="24"/>
          <w:szCs w:val="18"/>
        </w:rPr>
        <w:t>：</w:t>
      </w:r>
    </w:p>
    <w:p w14:paraId="3024058A">
      <w:pPr>
        <w:spacing w:line="360" w:lineRule="auto"/>
        <w:ind w:firstLine="435"/>
        <w:rPr>
          <w:rFonts w:hint="eastAsia" w:ascii="宋体" w:hAnsi="宋体" w:eastAsia="宋体" w:cs="宋体"/>
          <w:color w:val="auto"/>
          <w:sz w:val="24"/>
          <w:szCs w:val="24"/>
        </w:rPr>
      </w:pPr>
      <w:r>
        <w:rPr>
          <w:rFonts w:hint="eastAsia" w:ascii="宋体" w:hAnsi="宋体" w:eastAsia="宋体" w:cs="宋体"/>
          <w:color w:val="auto"/>
          <w:sz w:val="24"/>
          <w:szCs w:val="24"/>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0CD86D03">
      <w:pPr>
        <w:spacing w:line="360" w:lineRule="auto"/>
        <w:ind w:firstLine="435"/>
        <w:rPr>
          <w:rFonts w:hint="eastAsia" w:ascii="宋体" w:hAnsi="宋体" w:eastAsia="宋体" w:cs="宋体"/>
          <w:color w:val="auto"/>
          <w:sz w:val="24"/>
          <w:szCs w:val="24"/>
        </w:rPr>
      </w:pPr>
      <w:r>
        <w:rPr>
          <w:rFonts w:hint="eastAsia" w:ascii="宋体" w:hAnsi="宋体" w:eastAsia="宋体" w:cs="宋体"/>
          <w:color w:val="auto"/>
          <w:sz w:val="24"/>
          <w:szCs w:val="24"/>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7072F9E6">
      <w:pPr>
        <w:spacing w:line="360" w:lineRule="auto"/>
        <w:ind w:firstLine="435"/>
        <w:rPr>
          <w:rFonts w:hint="eastAsia" w:ascii="宋体" w:hAnsi="宋体" w:eastAsia="宋体"/>
          <w:color w:val="auto"/>
          <w:sz w:val="24"/>
          <w:szCs w:val="18"/>
        </w:rPr>
      </w:pPr>
      <w:r>
        <w:rPr>
          <w:rFonts w:hint="eastAsia" w:ascii="宋体" w:hAnsi="宋体" w:eastAsia="宋体" w:cs="宋体"/>
          <w:color w:val="auto"/>
          <w:sz w:val="24"/>
          <w:szCs w:val="24"/>
        </w:rPr>
        <w:t>3.</w:t>
      </w:r>
      <w:r>
        <w:rPr>
          <w:rFonts w:hint="eastAsia" w:ascii="宋体" w:hAnsi="宋体" w:eastAsia="宋体"/>
          <w:color w:val="auto"/>
          <w:sz w:val="24"/>
          <w:szCs w:val="18"/>
        </w:rPr>
        <w:t>如采购人允许采用分包方式履行合同的，应当明确可以分包履行的相关内容。</w:t>
      </w:r>
    </w:p>
    <w:p w14:paraId="5C2AF982">
      <w:pPr>
        <w:spacing w:line="360" w:lineRule="auto"/>
        <w:ind w:firstLine="435"/>
        <w:rPr>
          <w:rFonts w:hint="eastAsia" w:ascii="宋体" w:hAnsi="宋体" w:eastAsia="宋体"/>
          <w:color w:val="auto"/>
          <w:sz w:val="24"/>
          <w:szCs w:val="18"/>
        </w:rPr>
      </w:pPr>
      <w:r>
        <w:rPr>
          <w:rFonts w:hint="eastAsia" w:ascii="宋体" w:hAnsi="宋体" w:eastAsia="宋体"/>
          <w:color w:val="auto"/>
          <w:sz w:val="24"/>
          <w:szCs w:val="18"/>
        </w:rPr>
        <w:t>4.下列采购需求中：标注▲的产品为核心产品（主要中标标的）。</w:t>
      </w:r>
    </w:p>
    <w:p w14:paraId="4BE81B64">
      <w:pPr>
        <w:spacing w:line="360" w:lineRule="auto"/>
        <w:ind w:firstLine="437"/>
        <w:outlineLvl w:val="1"/>
        <w:rPr>
          <w:rFonts w:hint="eastAsia" w:ascii="宋体" w:hAnsi="宋体" w:eastAsia="宋体"/>
          <w:b/>
          <w:color w:val="auto"/>
          <w:sz w:val="24"/>
          <w:szCs w:val="18"/>
        </w:rPr>
      </w:pPr>
      <w:bookmarkStart w:id="0" w:name="_Toc9508"/>
      <w:bookmarkStart w:id="1" w:name="_Toc2554"/>
      <w:bookmarkStart w:id="2" w:name="_Toc32151"/>
      <w:r>
        <w:rPr>
          <w:rFonts w:hint="eastAsia" w:ascii="宋体" w:hAnsi="宋体" w:eastAsia="宋体"/>
          <w:b/>
          <w:color w:val="auto"/>
          <w:sz w:val="24"/>
          <w:szCs w:val="18"/>
        </w:rPr>
        <w:t>一、采购需求前附表</w:t>
      </w:r>
      <w:bookmarkEnd w:id="0"/>
      <w:bookmarkEnd w:id="1"/>
      <w:bookmarkEnd w:id="2"/>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21548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9F64BE2">
            <w:pPr>
              <w:pStyle w:val="7"/>
              <w:pBdr>
                <w:bottom w:val="none" w:color="auto" w:sz="0" w:space="0"/>
              </w:pBdr>
              <w:tabs>
                <w:tab w:val="clear" w:pos="4153"/>
                <w:tab w:val="clear" w:pos="8306"/>
              </w:tabs>
              <w:adjustRightInd/>
              <w:spacing w:line="240" w:lineRule="auto"/>
              <w:textAlignment w:val="auto"/>
              <w:rPr>
                <w:rFonts w:hint="eastAsia" w:ascii="宋体" w:hAnsi="宋体" w:eastAsia="宋体"/>
                <w:b/>
                <w:color w:val="auto"/>
                <w:kern w:val="2"/>
              </w:rPr>
            </w:pPr>
            <w:r>
              <w:rPr>
                <w:rFonts w:hint="eastAsia" w:ascii="宋体" w:hAnsi="宋体" w:eastAsia="宋体"/>
                <w:b/>
                <w:color w:val="auto"/>
                <w:kern w:val="2"/>
              </w:rPr>
              <w:t>序号</w:t>
            </w:r>
          </w:p>
        </w:tc>
        <w:tc>
          <w:tcPr>
            <w:tcW w:w="1192" w:type="pct"/>
            <w:vAlign w:val="center"/>
          </w:tcPr>
          <w:p w14:paraId="18DF5BC6">
            <w:pPr>
              <w:pStyle w:val="8"/>
              <w:widowControl w:val="0"/>
              <w:spacing w:before="0" w:beforeAutospacing="0" w:after="0" w:afterAutospacing="0" w:line="360" w:lineRule="auto"/>
              <w:rPr>
                <w:rFonts w:hint="eastAsia" w:ascii="宋体" w:hAnsi="宋体" w:eastAsia="宋体"/>
                <w:bCs w:val="0"/>
                <w:color w:val="auto"/>
                <w:sz w:val="24"/>
              </w:rPr>
            </w:pPr>
            <w:r>
              <w:rPr>
                <w:rFonts w:hint="eastAsia" w:ascii="宋体" w:hAnsi="宋体" w:eastAsia="宋体"/>
                <w:bCs w:val="0"/>
                <w:color w:val="auto"/>
                <w:sz w:val="24"/>
              </w:rPr>
              <w:t>条款名称</w:t>
            </w:r>
          </w:p>
        </w:tc>
        <w:tc>
          <w:tcPr>
            <w:tcW w:w="3217" w:type="pct"/>
            <w:vAlign w:val="center"/>
          </w:tcPr>
          <w:p w14:paraId="21788E9E">
            <w:pPr>
              <w:pStyle w:val="8"/>
              <w:widowControl w:val="0"/>
              <w:spacing w:before="0" w:beforeAutospacing="0" w:after="0" w:afterAutospacing="0" w:line="360" w:lineRule="auto"/>
              <w:rPr>
                <w:rFonts w:hint="eastAsia" w:ascii="宋体" w:hAnsi="宋体" w:eastAsia="宋体"/>
                <w:bCs w:val="0"/>
                <w:color w:val="auto"/>
                <w:sz w:val="24"/>
              </w:rPr>
            </w:pPr>
            <w:r>
              <w:rPr>
                <w:rFonts w:hint="eastAsia" w:ascii="宋体" w:hAnsi="宋体" w:eastAsia="宋体"/>
                <w:bCs w:val="0"/>
                <w:color w:val="auto"/>
                <w:sz w:val="24"/>
              </w:rPr>
              <w:t>内容、说明与要求</w:t>
            </w:r>
          </w:p>
        </w:tc>
      </w:tr>
      <w:tr w14:paraId="0AB72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7640CE20">
            <w:pPr>
              <w:pStyle w:val="7"/>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rPr>
            </w:pPr>
            <w:r>
              <w:rPr>
                <w:rFonts w:hint="eastAsia" w:ascii="宋体" w:hAnsi="宋体" w:eastAsia="宋体"/>
                <w:bCs/>
                <w:color w:val="auto"/>
                <w:kern w:val="2"/>
              </w:rPr>
              <w:t>1</w:t>
            </w:r>
          </w:p>
        </w:tc>
        <w:tc>
          <w:tcPr>
            <w:tcW w:w="1192" w:type="pct"/>
            <w:vAlign w:val="center"/>
          </w:tcPr>
          <w:p w14:paraId="1E29A840">
            <w:pPr>
              <w:pStyle w:val="8"/>
              <w:widowControl w:val="0"/>
              <w:spacing w:before="0" w:beforeAutospacing="0" w:after="0" w:afterAutospacing="0" w:line="360" w:lineRule="auto"/>
              <w:rPr>
                <w:rFonts w:hint="eastAsia" w:ascii="宋体" w:hAnsi="宋体" w:eastAsia="宋体"/>
                <w:b w:val="0"/>
                <w:color w:val="auto"/>
                <w:sz w:val="24"/>
              </w:rPr>
            </w:pPr>
            <w:r>
              <w:rPr>
                <w:rFonts w:hint="eastAsia" w:ascii="宋体" w:hAnsi="宋体" w:eastAsia="宋体"/>
                <w:b w:val="0"/>
                <w:color w:val="auto"/>
                <w:sz w:val="24"/>
              </w:rPr>
              <w:t>付款方式</w:t>
            </w:r>
          </w:p>
        </w:tc>
        <w:tc>
          <w:tcPr>
            <w:tcW w:w="3217" w:type="pct"/>
            <w:vAlign w:val="center"/>
          </w:tcPr>
          <w:p w14:paraId="7702F8EA">
            <w:pPr>
              <w:pStyle w:val="8"/>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合同签订生效并具备实施条件后支付合同款的</w:t>
            </w:r>
            <w:r>
              <w:rPr>
                <w:rFonts w:hint="eastAsia" w:asciiTheme="minorEastAsia" w:hAnsiTheme="minorEastAsia" w:eastAsiaTheme="minorEastAsia" w:cstheme="minorEastAsia"/>
                <w:b w:val="0"/>
                <w:color w:val="auto"/>
                <w:sz w:val="24"/>
                <w:u w:val="single"/>
                <w:lang w:val="en-US" w:eastAsia="zh-CN"/>
              </w:rPr>
              <w:t>40</w:t>
            </w:r>
            <w:r>
              <w:rPr>
                <w:rFonts w:hint="eastAsia" w:asciiTheme="minorEastAsia" w:hAnsiTheme="minorEastAsia" w:eastAsiaTheme="minorEastAsia" w:cstheme="minorEastAsia"/>
                <w:b w:val="0"/>
                <w:color w:val="auto"/>
                <w:sz w:val="24"/>
              </w:rPr>
              <w:t>%为预付款（中标人须提供等额预付款担保），供货安装调试完成后，经验收合格付清剩余合同款。（供货人须提供增值税专用发票）。</w:t>
            </w:r>
          </w:p>
          <w:p w14:paraId="790A2A4E">
            <w:pPr>
              <w:pStyle w:val="8"/>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注：</w:t>
            </w:r>
          </w:p>
          <w:p w14:paraId="059FD1C6">
            <w:pPr>
              <w:pStyle w:val="8"/>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（1）中标人未按规定提供预付款担保的，视为放弃预付款；</w:t>
            </w:r>
          </w:p>
          <w:p w14:paraId="3A2CD60C">
            <w:pPr>
              <w:pStyle w:val="8"/>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（2）预付款担保要求：如采用银行保函、担保机构出具的保函（担保机构担保）均须满足无条件见索即付条件。</w:t>
            </w:r>
          </w:p>
        </w:tc>
      </w:tr>
      <w:tr w14:paraId="480E1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60998682">
            <w:pPr>
              <w:pStyle w:val="7"/>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rPr>
            </w:pPr>
            <w:r>
              <w:rPr>
                <w:rFonts w:hint="eastAsia" w:ascii="宋体" w:hAnsi="宋体" w:eastAsia="宋体"/>
                <w:bCs/>
                <w:color w:val="auto"/>
                <w:kern w:val="2"/>
              </w:rPr>
              <w:t>2</w:t>
            </w:r>
          </w:p>
        </w:tc>
        <w:tc>
          <w:tcPr>
            <w:tcW w:w="1192" w:type="pct"/>
            <w:vAlign w:val="center"/>
          </w:tcPr>
          <w:p w14:paraId="3B49D082">
            <w:pPr>
              <w:pStyle w:val="8"/>
              <w:widowControl w:val="0"/>
              <w:spacing w:before="0" w:beforeAutospacing="0" w:after="0" w:afterAutospacing="0" w:line="360" w:lineRule="auto"/>
              <w:rPr>
                <w:rFonts w:hint="eastAsia" w:ascii="宋体" w:hAnsi="宋体" w:eastAsia="宋体"/>
                <w:b w:val="0"/>
                <w:color w:val="auto"/>
                <w:sz w:val="24"/>
              </w:rPr>
            </w:pPr>
            <w:r>
              <w:rPr>
                <w:rFonts w:hint="eastAsia" w:ascii="宋体" w:hAnsi="宋体" w:eastAsia="宋体"/>
                <w:b w:val="0"/>
                <w:color w:val="auto"/>
                <w:sz w:val="24"/>
              </w:rPr>
              <w:t>供货及安装地点</w:t>
            </w:r>
          </w:p>
        </w:tc>
        <w:tc>
          <w:tcPr>
            <w:tcW w:w="3217" w:type="pct"/>
            <w:vAlign w:val="center"/>
          </w:tcPr>
          <w:p w14:paraId="1B35A242">
            <w:pPr>
              <w:pStyle w:val="8"/>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安徽理工大学，具体按采购人指定。</w:t>
            </w:r>
          </w:p>
        </w:tc>
      </w:tr>
      <w:tr w14:paraId="677D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1057FB65">
            <w:pPr>
              <w:pStyle w:val="7"/>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rPr>
            </w:pPr>
            <w:r>
              <w:rPr>
                <w:rFonts w:hint="eastAsia" w:ascii="宋体" w:hAnsi="宋体" w:eastAsia="宋体"/>
                <w:bCs/>
                <w:color w:val="auto"/>
                <w:kern w:val="2"/>
              </w:rPr>
              <w:t>3</w:t>
            </w:r>
          </w:p>
        </w:tc>
        <w:tc>
          <w:tcPr>
            <w:tcW w:w="1192" w:type="pct"/>
            <w:vAlign w:val="center"/>
          </w:tcPr>
          <w:p w14:paraId="2C636B46">
            <w:pPr>
              <w:pStyle w:val="8"/>
              <w:widowControl w:val="0"/>
              <w:spacing w:before="0" w:beforeAutospacing="0" w:after="0" w:afterAutospacing="0" w:line="360" w:lineRule="auto"/>
              <w:rPr>
                <w:rFonts w:hint="eastAsia" w:ascii="宋体" w:hAnsi="宋体" w:eastAsia="宋体"/>
                <w:b w:val="0"/>
                <w:color w:val="auto"/>
                <w:sz w:val="24"/>
              </w:rPr>
            </w:pPr>
            <w:r>
              <w:rPr>
                <w:rFonts w:hint="eastAsia" w:ascii="宋体" w:hAnsi="宋体" w:eastAsia="宋体"/>
                <w:b w:val="0"/>
                <w:color w:val="auto"/>
                <w:sz w:val="24"/>
              </w:rPr>
              <w:t>供货及安装期限</w:t>
            </w:r>
          </w:p>
        </w:tc>
        <w:tc>
          <w:tcPr>
            <w:tcW w:w="3217" w:type="pct"/>
            <w:vAlign w:val="center"/>
          </w:tcPr>
          <w:p w14:paraId="51970BAC">
            <w:pPr>
              <w:pStyle w:val="8"/>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合同生效后，60个日历日内完成供货、安装、调试、培训等所有工作内容。</w:t>
            </w:r>
          </w:p>
        </w:tc>
      </w:tr>
      <w:tr w14:paraId="5889A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D04915D">
            <w:pPr>
              <w:pStyle w:val="7"/>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rPr>
            </w:pPr>
            <w:r>
              <w:rPr>
                <w:rFonts w:hint="eastAsia" w:ascii="宋体" w:hAnsi="宋体" w:eastAsia="宋体"/>
                <w:bCs/>
                <w:color w:val="auto"/>
                <w:kern w:val="2"/>
              </w:rPr>
              <w:t>4</w:t>
            </w:r>
          </w:p>
        </w:tc>
        <w:tc>
          <w:tcPr>
            <w:tcW w:w="1192" w:type="pct"/>
            <w:vAlign w:val="center"/>
          </w:tcPr>
          <w:p w14:paraId="116676D9">
            <w:pPr>
              <w:pStyle w:val="8"/>
              <w:widowControl w:val="0"/>
              <w:spacing w:before="0" w:beforeAutospacing="0" w:after="0" w:afterAutospacing="0" w:line="360" w:lineRule="auto"/>
              <w:rPr>
                <w:rFonts w:hint="eastAsia" w:ascii="宋体" w:hAnsi="宋体" w:eastAsia="宋体"/>
                <w:b w:val="0"/>
                <w:color w:val="auto"/>
                <w:sz w:val="24"/>
              </w:rPr>
            </w:pPr>
            <w:r>
              <w:rPr>
                <w:rFonts w:hint="eastAsia" w:ascii="宋体" w:hAnsi="宋体" w:eastAsia="宋体"/>
                <w:b w:val="0"/>
                <w:color w:val="auto"/>
                <w:sz w:val="24"/>
              </w:rPr>
              <w:t>免费质保期</w:t>
            </w:r>
          </w:p>
        </w:tc>
        <w:tc>
          <w:tcPr>
            <w:tcW w:w="3217" w:type="pct"/>
            <w:vAlign w:val="center"/>
          </w:tcPr>
          <w:p w14:paraId="496361B3">
            <w:pPr>
              <w:pStyle w:val="8"/>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自验收合格后，不少于1年。</w:t>
            </w:r>
          </w:p>
          <w:p w14:paraId="70F6EC47">
            <w:pPr>
              <w:pStyle w:val="8"/>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注：免费质保期从验收合格之日起开始计算。货物</w:t>
            </w:r>
          </w:p>
          <w:p w14:paraId="35A97C47">
            <w:pPr>
              <w:pStyle w:val="8"/>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需求表另有规定的，以货物需求表为准。</w:t>
            </w:r>
          </w:p>
        </w:tc>
      </w:tr>
    </w:tbl>
    <w:p w14:paraId="5F1F500C">
      <w:pPr>
        <w:spacing w:line="360" w:lineRule="auto"/>
        <w:ind w:firstLine="437"/>
        <w:outlineLvl w:val="1"/>
        <w:rPr>
          <w:rFonts w:hint="eastAsia" w:ascii="宋体" w:hAnsi="宋体" w:eastAsia="宋体"/>
          <w:b/>
          <w:bCs/>
          <w:color w:val="auto"/>
          <w:sz w:val="24"/>
          <w:szCs w:val="18"/>
        </w:rPr>
      </w:pPr>
      <w:bookmarkStart w:id="3" w:name="_Toc7671"/>
      <w:bookmarkStart w:id="4" w:name="_Toc5944"/>
    </w:p>
    <w:p w14:paraId="5D948DD7">
      <w:pPr>
        <w:spacing w:line="360" w:lineRule="auto"/>
        <w:ind w:firstLine="437"/>
        <w:outlineLvl w:val="1"/>
        <w:rPr>
          <w:rFonts w:hint="eastAsia" w:ascii="宋体" w:hAnsi="宋体" w:eastAsia="宋体"/>
          <w:b/>
          <w:bCs/>
          <w:color w:val="auto"/>
          <w:sz w:val="24"/>
          <w:szCs w:val="18"/>
        </w:rPr>
      </w:pPr>
      <w:bookmarkStart w:id="5" w:name="_Toc3283"/>
      <w:r>
        <w:rPr>
          <w:rFonts w:hint="eastAsia" w:ascii="宋体" w:hAnsi="宋体" w:eastAsia="宋体"/>
          <w:b/>
          <w:bCs/>
          <w:color w:val="auto"/>
          <w:sz w:val="24"/>
          <w:szCs w:val="18"/>
        </w:rPr>
        <w:t>二、</w:t>
      </w:r>
      <w:r>
        <w:rPr>
          <w:rFonts w:hint="eastAsia" w:ascii="宋体" w:hAnsi="宋体" w:eastAsia="宋体"/>
          <w:b/>
          <w:color w:val="auto"/>
          <w:sz w:val="24"/>
          <w:szCs w:val="18"/>
        </w:rPr>
        <w:t>货物</w:t>
      </w:r>
      <w:r>
        <w:rPr>
          <w:rFonts w:hint="eastAsia" w:ascii="宋体" w:hAnsi="宋体" w:eastAsia="宋体"/>
          <w:b/>
          <w:bCs/>
          <w:color w:val="auto"/>
          <w:sz w:val="24"/>
          <w:szCs w:val="18"/>
        </w:rPr>
        <w:t>需求</w:t>
      </w:r>
      <w:bookmarkEnd w:id="3"/>
      <w:bookmarkEnd w:id="4"/>
      <w:bookmarkEnd w:id="5"/>
    </w:p>
    <w:p w14:paraId="0D36B502">
      <w:pPr>
        <w:widowControl/>
        <w:ind w:firstLine="482" w:firstLineChars="200"/>
        <w:outlineLvl w:val="2"/>
        <w:rPr>
          <w:rFonts w:hint="eastAsia" w:ascii="宋体" w:hAnsi="宋体" w:eastAsia="宋体" w:cs="宋体"/>
          <w:b/>
          <w:bCs/>
          <w:color w:val="auto"/>
          <w:sz w:val="24"/>
          <w:szCs w:val="24"/>
        </w:rPr>
      </w:pPr>
      <w:r>
        <w:rPr>
          <w:rFonts w:hint="eastAsia" w:ascii="宋体" w:hAnsi="宋体" w:eastAsia="宋体" w:cs="宋体"/>
          <w:b/>
          <w:bCs/>
          <w:color w:val="auto"/>
          <w:sz w:val="24"/>
          <w:szCs w:val="24"/>
        </w:rPr>
        <w:t>（一）标识符号</w:t>
      </w:r>
    </w:p>
    <w:tbl>
      <w:tblPr>
        <w:tblStyle w:val="5"/>
        <w:tblW w:w="9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6580"/>
      </w:tblGrid>
      <w:tr w14:paraId="51A8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vAlign w:val="center"/>
          </w:tcPr>
          <w:p w14:paraId="288A027A">
            <w:pPr>
              <w:spacing w:line="30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标识类型</w:t>
            </w:r>
          </w:p>
        </w:tc>
        <w:tc>
          <w:tcPr>
            <w:tcW w:w="1365" w:type="dxa"/>
            <w:vAlign w:val="center"/>
          </w:tcPr>
          <w:p w14:paraId="7E42EADD">
            <w:pPr>
              <w:spacing w:line="30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标识符号</w:t>
            </w:r>
          </w:p>
        </w:tc>
        <w:tc>
          <w:tcPr>
            <w:tcW w:w="6580" w:type="dxa"/>
            <w:vAlign w:val="center"/>
          </w:tcPr>
          <w:p w14:paraId="3E47A97B">
            <w:pPr>
              <w:spacing w:line="30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标识符号含义</w:t>
            </w:r>
          </w:p>
        </w:tc>
      </w:tr>
      <w:tr w14:paraId="6D21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vAlign w:val="center"/>
          </w:tcPr>
          <w:p w14:paraId="72222ACB">
            <w:pPr>
              <w:spacing w:line="30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核心指标项</w:t>
            </w:r>
          </w:p>
        </w:tc>
        <w:tc>
          <w:tcPr>
            <w:tcW w:w="1365" w:type="dxa"/>
            <w:vAlign w:val="center"/>
          </w:tcPr>
          <w:p w14:paraId="305B9715">
            <w:pPr>
              <w:wordWrap w:val="0"/>
              <w:adjustRightInd w:val="0"/>
              <w:snapToGrid w:val="0"/>
              <w:spacing w:line="300" w:lineRule="auto"/>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w:t>
            </w:r>
          </w:p>
        </w:tc>
        <w:tc>
          <w:tcPr>
            <w:tcW w:w="6580" w:type="dxa"/>
            <w:vAlign w:val="center"/>
          </w:tcPr>
          <w:p w14:paraId="6C833C4C">
            <w:pPr>
              <w:wordWrap w:val="0"/>
              <w:adjustRightInd w:val="0"/>
              <w:snapToGrid w:val="0"/>
              <w:spacing w:line="300" w:lineRule="auto"/>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符合性审查项，该指标项负偏离或未响应的，</w:t>
            </w:r>
            <w:r>
              <w:rPr>
                <w:rFonts w:hint="eastAsia" w:ascii="宋体" w:hAnsi="宋体" w:eastAsia="宋体" w:cs="宋体"/>
                <w:b/>
                <w:color w:val="auto"/>
                <w:sz w:val="24"/>
                <w:szCs w:val="24"/>
              </w:rPr>
              <w:t>投标无效</w:t>
            </w:r>
            <w:r>
              <w:rPr>
                <w:rFonts w:hint="eastAsia" w:ascii="宋体" w:hAnsi="宋体" w:eastAsia="宋体" w:cs="宋体"/>
                <w:bCs/>
                <w:color w:val="auto"/>
                <w:sz w:val="24"/>
                <w:szCs w:val="24"/>
              </w:rPr>
              <w:t>。</w:t>
            </w:r>
          </w:p>
        </w:tc>
      </w:tr>
      <w:tr w14:paraId="29F1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vAlign w:val="center"/>
          </w:tcPr>
          <w:p w14:paraId="56A2383F">
            <w:pPr>
              <w:spacing w:line="30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重要指标项</w:t>
            </w:r>
          </w:p>
        </w:tc>
        <w:tc>
          <w:tcPr>
            <w:tcW w:w="1365" w:type="dxa"/>
            <w:vAlign w:val="center"/>
          </w:tcPr>
          <w:p w14:paraId="3884B9AF">
            <w:pPr>
              <w:wordWrap w:val="0"/>
              <w:adjustRightInd w:val="0"/>
              <w:snapToGrid w:val="0"/>
              <w:spacing w:line="300" w:lineRule="auto"/>
              <w:jc w:val="center"/>
              <w:rPr>
                <w:rFonts w:hint="eastAsia" w:ascii="宋体" w:hAnsi="宋体" w:eastAsia="宋体" w:cs="宋体"/>
                <w:bCs/>
                <w:color w:val="auto"/>
                <w:sz w:val="24"/>
                <w:szCs w:val="24"/>
              </w:rPr>
            </w:pPr>
            <w:r>
              <w:rPr>
                <w:rFonts w:hint="eastAsia" w:ascii="宋体" w:hAnsi="宋体" w:eastAsia="宋体" w:cs="宋体"/>
                <w:color w:val="auto"/>
                <w:sz w:val="24"/>
                <w:szCs w:val="24"/>
              </w:rPr>
              <w:t>★</w:t>
            </w:r>
          </w:p>
        </w:tc>
        <w:tc>
          <w:tcPr>
            <w:tcW w:w="6580" w:type="dxa"/>
            <w:vAlign w:val="center"/>
          </w:tcPr>
          <w:p w14:paraId="241C2282">
            <w:pPr>
              <w:wordWrap w:val="0"/>
              <w:adjustRightInd w:val="0"/>
              <w:snapToGrid w:val="0"/>
              <w:spacing w:line="300" w:lineRule="auto"/>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评分项，</w:t>
            </w:r>
            <w:r>
              <w:rPr>
                <w:rFonts w:hint="eastAsia" w:ascii="宋体" w:hAnsi="宋体" w:eastAsia="宋体" w:cs="宋体"/>
                <w:color w:val="auto"/>
                <w:sz w:val="24"/>
                <w:szCs w:val="24"/>
                <w:lang w:bidi="ar"/>
              </w:rPr>
              <w:t>详见评标办法和标准。</w:t>
            </w:r>
          </w:p>
        </w:tc>
      </w:tr>
      <w:tr w14:paraId="7545A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794" w:type="dxa"/>
            <w:vAlign w:val="center"/>
          </w:tcPr>
          <w:p w14:paraId="49248013">
            <w:pPr>
              <w:spacing w:line="30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无标识项</w:t>
            </w:r>
          </w:p>
        </w:tc>
        <w:tc>
          <w:tcPr>
            <w:tcW w:w="1365" w:type="dxa"/>
            <w:vAlign w:val="center"/>
          </w:tcPr>
          <w:p w14:paraId="538CCDA7">
            <w:pPr>
              <w:wordWrap w:val="0"/>
              <w:adjustRightInd w:val="0"/>
              <w:snapToGrid w:val="0"/>
              <w:spacing w:line="300" w:lineRule="auto"/>
              <w:jc w:val="center"/>
              <w:rPr>
                <w:rFonts w:hint="eastAsia" w:ascii="宋体" w:hAnsi="宋体" w:eastAsia="宋体" w:cs="宋体"/>
                <w:bCs/>
                <w:color w:val="auto"/>
                <w:sz w:val="24"/>
                <w:szCs w:val="24"/>
              </w:rPr>
            </w:pPr>
          </w:p>
        </w:tc>
        <w:tc>
          <w:tcPr>
            <w:tcW w:w="6580" w:type="dxa"/>
            <w:vAlign w:val="center"/>
          </w:tcPr>
          <w:p w14:paraId="1516CFC3">
            <w:pPr>
              <w:adjustRightInd w:val="0"/>
              <w:snapToGrid w:val="0"/>
              <w:spacing w:line="300" w:lineRule="auto"/>
              <w:jc w:val="left"/>
              <w:rPr>
                <w:rFonts w:hint="eastAsia" w:ascii="宋体" w:hAnsi="宋体" w:eastAsia="宋体" w:cs="宋体"/>
                <w:b/>
                <w:color w:val="auto"/>
                <w:sz w:val="24"/>
                <w:szCs w:val="24"/>
                <w:highlight w:val="yellow"/>
              </w:rPr>
            </w:pPr>
            <w:r>
              <w:rPr>
                <w:rFonts w:hint="eastAsia" w:ascii="宋体" w:hAnsi="宋体" w:eastAsia="宋体" w:cs="宋体"/>
                <w:b/>
                <w:color w:val="auto"/>
                <w:sz w:val="24"/>
                <w:szCs w:val="24"/>
              </w:rPr>
              <w:t>符合性审查项，该指标项最大允许负偏离</w:t>
            </w:r>
            <w:r>
              <w:rPr>
                <w:rFonts w:hint="eastAsia" w:ascii="宋体" w:hAnsi="宋体" w:eastAsia="宋体" w:cs="宋体"/>
                <w:b/>
                <w:color w:val="auto"/>
                <w:sz w:val="24"/>
                <w:szCs w:val="24"/>
                <w:u w:val="single"/>
              </w:rPr>
              <w:t>3</w:t>
            </w:r>
            <w:r>
              <w:rPr>
                <w:rFonts w:hint="eastAsia" w:ascii="宋体" w:hAnsi="宋体" w:eastAsia="宋体" w:cs="宋体"/>
                <w:b/>
                <w:color w:val="auto"/>
                <w:sz w:val="24"/>
                <w:szCs w:val="24"/>
              </w:rPr>
              <w:t>项，超过最大允许负偏离项数的，投标无效。</w:t>
            </w:r>
          </w:p>
        </w:tc>
      </w:tr>
    </w:tbl>
    <w:p w14:paraId="6877A073">
      <w:pPr>
        <w:widowControl/>
        <w:ind w:firstLine="482" w:firstLineChars="200"/>
        <w:outlineLvl w:val="2"/>
        <w:rPr>
          <w:rFonts w:hint="eastAsia" w:ascii="宋体" w:hAnsi="宋体" w:eastAsia="宋体" w:cs="宋体"/>
          <w:b/>
          <w:bCs/>
          <w:color w:val="auto"/>
          <w:sz w:val="24"/>
          <w:szCs w:val="24"/>
        </w:rPr>
      </w:pPr>
    </w:p>
    <w:p w14:paraId="031622EF">
      <w:pPr>
        <w:widowControl/>
        <w:snapToGrid w:val="0"/>
        <w:spacing w:line="360" w:lineRule="auto"/>
        <w:ind w:firstLine="482" w:firstLineChars="200"/>
        <w:outlineLvl w:val="2"/>
        <w:rPr>
          <w:rFonts w:hint="eastAsia" w:ascii="宋体" w:hAnsi="宋体" w:eastAsia="宋体"/>
          <w:b/>
          <w:bCs/>
          <w:color w:val="auto"/>
          <w:sz w:val="24"/>
          <w:szCs w:val="18"/>
        </w:rPr>
      </w:pPr>
      <w:r>
        <w:rPr>
          <w:rFonts w:hint="eastAsia" w:ascii="宋体" w:hAnsi="宋体" w:eastAsia="宋体" w:cs="宋体"/>
          <w:b/>
          <w:bCs/>
          <w:color w:val="auto"/>
          <w:sz w:val="24"/>
          <w:szCs w:val="24"/>
        </w:rPr>
        <w:t>（二）货物需求清单</w:t>
      </w:r>
    </w:p>
    <w:tbl>
      <w:tblPr>
        <w:tblStyle w:val="9"/>
        <w:tblW w:w="608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1281"/>
        <w:gridCol w:w="5924"/>
        <w:gridCol w:w="809"/>
        <w:gridCol w:w="684"/>
        <w:gridCol w:w="943"/>
      </w:tblGrid>
      <w:tr w14:paraId="760D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5000" w:type="pct"/>
            <w:gridSpan w:val="6"/>
            <w:tcBorders>
              <w:top w:val="single" w:color="auto" w:sz="4" w:space="0"/>
              <w:left w:val="single" w:color="auto" w:sz="4" w:space="0"/>
              <w:bottom w:val="single" w:color="auto" w:sz="4" w:space="0"/>
              <w:right w:val="single" w:color="auto" w:sz="4" w:space="0"/>
            </w:tcBorders>
            <w:noWrap/>
            <w:vAlign w:val="center"/>
          </w:tcPr>
          <w:p w14:paraId="7EA8069E">
            <w:pPr>
              <w:widowControl/>
              <w:spacing w:line="300" w:lineRule="auto"/>
              <w:jc w:val="center"/>
              <w:rPr>
                <w:rFonts w:hint="eastAsia" w:asciiTheme="minorEastAsia" w:hAnsiTheme="minorEastAsia" w:eastAsiaTheme="minorEastAsia" w:cstheme="minorEastAsia"/>
                <w:color w:val="auto"/>
                <w:kern w:val="0"/>
                <w:sz w:val="24"/>
                <w:szCs w:val="24"/>
              </w:rPr>
            </w:pPr>
            <w:bookmarkStart w:id="6" w:name="_Toc4843"/>
            <w:bookmarkStart w:id="7" w:name="_Toc28972"/>
            <w:bookmarkStart w:id="8" w:name="_Toc7421"/>
            <w:r>
              <w:rPr>
                <w:rFonts w:hint="eastAsia" w:asciiTheme="minorEastAsia" w:hAnsiTheme="minorEastAsia" w:eastAsiaTheme="minorEastAsia" w:cstheme="minorEastAsia"/>
                <w:b/>
                <w:bCs/>
                <w:color w:val="auto"/>
                <w:kern w:val="0"/>
                <w:sz w:val="24"/>
                <w:szCs w:val="24"/>
              </w:rPr>
              <w:t>一、多媒体实验教学系统</w:t>
            </w:r>
          </w:p>
        </w:tc>
      </w:tr>
      <w:tr w14:paraId="6399E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6771BB2B">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序号</w:t>
            </w:r>
          </w:p>
        </w:tc>
        <w:tc>
          <w:tcPr>
            <w:tcW w:w="617" w:type="pct"/>
            <w:tcBorders>
              <w:top w:val="single" w:color="auto" w:sz="4" w:space="0"/>
              <w:left w:val="single" w:color="auto" w:sz="4" w:space="0"/>
              <w:bottom w:val="single" w:color="auto" w:sz="4" w:space="0"/>
              <w:right w:val="single" w:color="auto" w:sz="4" w:space="0"/>
            </w:tcBorders>
            <w:vAlign w:val="center"/>
          </w:tcPr>
          <w:p w14:paraId="42C8B071">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名称</w:t>
            </w:r>
          </w:p>
        </w:tc>
        <w:tc>
          <w:tcPr>
            <w:tcW w:w="2856" w:type="pct"/>
            <w:tcBorders>
              <w:top w:val="single" w:color="auto" w:sz="4" w:space="0"/>
              <w:left w:val="single" w:color="auto" w:sz="4" w:space="0"/>
              <w:bottom w:val="single" w:color="auto" w:sz="4" w:space="0"/>
              <w:right w:val="single" w:color="auto" w:sz="4" w:space="0"/>
            </w:tcBorders>
            <w:noWrap/>
            <w:vAlign w:val="center"/>
          </w:tcPr>
          <w:p w14:paraId="6F7FCC3F">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技术参数</w:t>
            </w:r>
          </w:p>
        </w:tc>
        <w:tc>
          <w:tcPr>
            <w:tcW w:w="390" w:type="pct"/>
            <w:tcBorders>
              <w:top w:val="single" w:color="auto" w:sz="4" w:space="0"/>
              <w:left w:val="single" w:color="auto" w:sz="4" w:space="0"/>
              <w:bottom w:val="single" w:color="auto" w:sz="4" w:space="0"/>
              <w:right w:val="single" w:color="auto" w:sz="4" w:space="0"/>
            </w:tcBorders>
            <w:vAlign w:val="center"/>
          </w:tcPr>
          <w:p w14:paraId="5BC88EC3">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单位</w:t>
            </w:r>
          </w:p>
        </w:tc>
        <w:tc>
          <w:tcPr>
            <w:tcW w:w="329" w:type="pct"/>
            <w:tcBorders>
              <w:top w:val="single" w:color="auto" w:sz="4" w:space="0"/>
              <w:left w:val="single" w:color="auto" w:sz="4" w:space="0"/>
              <w:bottom w:val="single" w:color="auto" w:sz="4" w:space="0"/>
              <w:right w:val="single" w:color="auto" w:sz="4" w:space="0"/>
            </w:tcBorders>
            <w:vAlign w:val="center"/>
          </w:tcPr>
          <w:p w14:paraId="74118001">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数量</w:t>
            </w:r>
          </w:p>
        </w:tc>
        <w:tc>
          <w:tcPr>
            <w:tcW w:w="454" w:type="pct"/>
            <w:tcBorders>
              <w:top w:val="single" w:color="auto" w:sz="4" w:space="0"/>
              <w:left w:val="single" w:color="auto" w:sz="4" w:space="0"/>
              <w:bottom w:val="single" w:color="auto" w:sz="4" w:space="0"/>
              <w:right w:val="single" w:color="auto" w:sz="4" w:space="0"/>
            </w:tcBorders>
            <w:vAlign w:val="center"/>
          </w:tcPr>
          <w:p w14:paraId="74ABD124">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所属行业</w:t>
            </w:r>
          </w:p>
        </w:tc>
      </w:tr>
      <w:tr w14:paraId="6D9C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0BCA5ED3">
            <w:pPr>
              <w:widowControl/>
              <w:spacing w:line="300" w:lineRule="auto"/>
              <w:jc w:val="right"/>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w:t>
            </w:r>
          </w:p>
        </w:tc>
        <w:tc>
          <w:tcPr>
            <w:tcW w:w="617" w:type="pct"/>
            <w:tcBorders>
              <w:top w:val="single" w:color="auto" w:sz="4" w:space="0"/>
              <w:left w:val="single" w:color="auto" w:sz="4" w:space="0"/>
              <w:bottom w:val="single" w:color="auto" w:sz="4" w:space="0"/>
              <w:right w:val="single" w:color="auto" w:sz="4" w:space="0"/>
            </w:tcBorders>
            <w:vAlign w:val="center"/>
          </w:tcPr>
          <w:p w14:paraId="24B44694">
            <w:pPr>
              <w:widowControl/>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函数信号发生器</w:t>
            </w:r>
          </w:p>
        </w:tc>
        <w:tc>
          <w:tcPr>
            <w:tcW w:w="2856" w:type="pct"/>
            <w:tcBorders>
              <w:top w:val="single" w:color="auto" w:sz="4" w:space="0"/>
              <w:left w:val="single" w:color="auto" w:sz="4" w:space="0"/>
              <w:bottom w:val="single" w:color="auto" w:sz="4" w:space="0"/>
              <w:right w:val="single" w:color="auto" w:sz="4" w:space="0"/>
            </w:tcBorders>
            <w:noWrap/>
            <w:vAlign w:val="center"/>
          </w:tcPr>
          <w:p w14:paraId="76E6397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■1、带宽≥70MHz，不低于双通道输出。</w:t>
            </w:r>
          </w:p>
          <w:p w14:paraId="0BBC2DB9">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■2、采样率≥1.25GSa/s。</w:t>
            </w:r>
          </w:p>
          <w:p w14:paraId="79E7F5D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3、★垂直分辨率≥16bit。</w:t>
            </w:r>
            <w:r>
              <w:rPr>
                <w:rFonts w:hint="eastAsia" w:asciiTheme="minorEastAsia" w:hAnsiTheme="minorEastAsia" w:eastAsiaTheme="minorEastAsia" w:cstheme="minorEastAsia"/>
                <w:b/>
                <w:bCs/>
                <w:color w:val="auto"/>
                <w:sz w:val="24"/>
                <w:szCs w:val="24"/>
              </w:rPr>
              <w:t>投标时提供功能演示。</w:t>
            </w:r>
          </w:p>
          <w:p w14:paraId="1FB2992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4、★输出类型：不低于正弦波、方波、锯齿波、脉冲、噪声、谐波（最高20次谐波发生器）、任意波。</w:t>
            </w:r>
            <w:r>
              <w:rPr>
                <w:rFonts w:hint="eastAsia" w:asciiTheme="minorEastAsia" w:hAnsiTheme="minorEastAsia" w:eastAsiaTheme="minorEastAsia" w:cstheme="minorEastAsia"/>
                <w:b/>
                <w:bCs/>
                <w:color w:val="auto"/>
                <w:sz w:val="24"/>
                <w:szCs w:val="24"/>
              </w:rPr>
              <w:t>投标时提供功能演示。</w:t>
            </w:r>
          </w:p>
          <w:p w14:paraId="5C2ADA6B">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5、频率范围不低于：正弦：1uHz-70M；方波：1uHz-60MHz；脉冲：1uHz-50MHz；锯齿波：1uHz-3MHz；任意波：1uHz-30MHz；谐波 1 mHz~35MHz。</w:t>
            </w:r>
          </w:p>
          <w:p w14:paraId="1CB835D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6、相位噪声：20 MHz: 小于等于-110 dBc/Hz典型值。</w:t>
            </w:r>
          </w:p>
          <w:p w14:paraId="3C609D4D">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7、触发方式：手动，外部或内部</w:t>
            </w:r>
          </w:p>
          <w:p w14:paraId="541E5E8B">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8、方波上升时间≤ 3 ns</w:t>
            </w:r>
          </w:p>
          <w:p w14:paraId="359542E5">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9、脉冲波脉宽：≥9 ns。</w:t>
            </w:r>
          </w:p>
          <w:p w14:paraId="08E5D6B1">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10、脉冲波占空比：0.01%~99.99% </w:t>
            </w:r>
          </w:p>
          <w:p w14:paraId="4214902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11、任意波长度≥16M/CH。</w:t>
            </w:r>
          </w:p>
          <w:p w14:paraId="7CFCA0F9">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12、任意波采样率≥312.5MSa/s</w:t>
            </w:r>
          </w:p>
          <w:p w14:paraId="3E30FA85">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13、幅度范围（50Ω端接）：≤ 50 MHz: 1 mVpp~10 Vpp</w:t>
            </w:r>
          </w:p>
          <w:p w14:paraId="7AF87C85">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100 MHz: 1 mVpp~5 Vpp</w:t>
            </w:r>
          </w:p>
          <w:p w14:paraId="4EDE56E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200 MHz: 1 mVpp~2 Vpp。</w:t>
            </w:r>
          </w:p>
          <w:p w14:paraId="1026BACD">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14、调制类型不低于：AM、FM、PM、ASK、FSK、PSK、PWM、SUM。</w:t>
            </w:r>
          </w:p>
          <w:p w14:paraId="0B9AD236">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15、★内置≥7位频率计，测量频率≥1GHz。</w:t>
            </w:r>
            <w:r>
              <w:rPr>
                <w:rFonts w:hint="eastAsia" w:asciiTheme="minorEastAsia" w:hAnsiTheme="minorEastAsia" w:eastAsiaTheme="minorEastAsia" w:cstheme="minorEastAsia"/>
                <w:b/>
                <w:bCs/>
                <w:color w:val="auto"/>
                <w:sz w:val="24"/>
                <w:szCs w:val="24"/>
              </w:rPr>
              <w:t>投标时提供功能演示。</w:t>
            </w:r>
          </w:p>
          <w:p w14:paraId="6DD2FC2F">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16、★≥7 英寸触摸屏，≥1024 * 600 分辨率。</w:t>
            </w:r>
            <w:r>
              <w:rPr>
                <w:rFonts w:hint="eastAsia" w:asciiTheme="minorEastAsia" w:hAnsiTheme="minorEastAsia" w:eastAsiaTheme="minorEastAsia" w:cstheme="minorEastAsia"/>
                <w:b/>
                <w:bCs/>
                <w:color w:val="auto"/>
                <w:sz w:val="24"/>
                <w:szCs w:val="24"/>
              </w:rPr>
              <w:t>投标文件</w:t>
            </w:r>
            <w:r>
              <w:rPr>
                <w:rFonts w:hint="eastAsia" w:asciiTheme="minorEastAsia" w:hAnsiTheme="minorEastAsia" w:eastAsiaTheme="minorEastAsia" w:cstheme="minorEastAsia"/>
                <w:b/>
                <w:bCs/>
                <w:color w:val="auto"/>
                <w:sz w:val="24"/>
                <w:szCs w:val="24"/>
                <w:lang w:val="en-US" w:eastAsia="zh-CN"/>
              </w:rPr>
              <w:t>中</w:t>
            </w:r>
            <w:r>
              <w:rPr>
                <w:rFonts w:hint="eastAsia" w:asciiTheme="minorEastAsia" w:hAnsiTheme="minorEastAsia" w:eastAsiaTheme="minorEastAsia" w:cstheme="minorEastAsia"/>
                <w:b/>
                <w:bCs/>
                <w:color w:val="auto"/>
                <w:sz w:val="24"/>
                <w:szCs w:val="24"/>
              </w:rPr>
              <w:t>提供产品宣传彩页</w:t>
            </w:r>
            <w:r>
              <w:rPr>
                <w:rFonts w:hint="eastAsia" w:asciiTheme="minorEastAsia" w:hAnsiTheme="minorEastAsia" w:eastAsiaTheme="minorEastAsia" w:cstheme="minorEastAsia"/>
                <w:color w:val="auto"/>
                <w:sz w:val="24"/>
                <w:szCs w:val="24"/>
              </w:rPr>
              <w:t>。</w:t>
            </w:r>
          </w:p>
          <w:p w14:paraId="75B228E3">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17、★支持LAN（符合LXI总线行业标准） 接口、USB Host 、USB Device、支持网络控制功能。</w:t>
            </w:r>
            <w:r>
              <w:rPr>
                <w:rFonts w:hint="eastAsia" w:asciiTheme="minorEastAsia" w:hAnsiTheme="minorEastAsia" w:eastAsiaTheme="minorEastAsia" w:cstheme="minorEastAsia"/>
                <w:b/>
                <w:bCs/>
                <w:color w:val="auto"/>
                <w:sz w:val="24"/>
                <w:szCs w:val="24"/>
              </w:rPr>
              <w:t>投标文件</w:t>
            </w:r>
            <w:r>
              <w:rPr>
                <w:rFonts w:hint="eastAsia" w:asciiTheme="minorEastAsia" w:hAnsiTheme="minorEastAsia" w:eastAsiaTheme="minorEastAsia" w:cstheme="minorEastAsia"/>
                <w:b/>
                <w:bCs/>
                <w:color w:val="auto"/>
                <w:sz w:val="24"/>
                <w:szCs w:val="24"/>
                <w:lang w:val="en-US" w:eastAsia="zh-CN"/>
              </w:rPr>
              <w:t>中</w:t>
            </w:r>
            <w:r>
              <w:rPr>
                <w:rFonts w:hint="eastAsia" w:asciiTheme="minorEastAsia" w:hAnsiTheme="minorEastAsia" w:eastAsiaTheme="minorEastAsia" w:cstheme="minorEastAsia"/>
                <w:b/>
                <w:bCs/>
                <w:color w:val="auto"/>
                <w:sz w:val="24"/>
                <w:szCs w:val="24"/>
              </w:rPr>
              <w:t>提供产品宣传彩页。</w:t>
            </w:r>
          </w:p>
          <w:p w14:paraId="390B7A69">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18、支持移动电源供电</w:t>
            </w:r>
          </w:p>
          <w:p w14:paraId="7A5B5CB3">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19、配置1台精密LCR数字电桥</w:t>
            </w:r>
          </w:p>
          <w:p w14:paraId="4F7617B1">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1）测试频率:20Hz~2Mz，分辨率: ≤10mHz步进</w:t>
            </w:r>
          </w:p>
          <w:p w14:paraId="5EC79D49">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2）基本精度: ≤0.1%</w:t>
            </w:r>
          </w:p>
          <w:p w14:paraId="57AC7781">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3）测量速度: ≥200次/s</w:t>
            </w:r>
          </w:p>
          <w:p w14:paraId="5395CDEF">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4）校准功能：开路 / 短路点频、扫频清零，负载校准</w:t>
            </w:r>
          </w:p>
          <w:p w14:paraId="0ADC9E0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5）压电陶瓷、超声波换能器等器件的阻抗分析与测试</w:t>
            </w:r>
          </w:p>
          <w:p w14:paraId="67A716A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6）具有多参数多频列表扫描功能</w:t>
            </w:r>
          </w:p>
          <w:p w14:paraId="238AE691">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7）测试电平10mv~5v，≥1mv步进</w:t>
            </w:r>
          </w:p>
          <w:p w14:paraId="4C654A50">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8）≥320×240点阵大型图形LCD显示</w:t>
            </w:r>
          </w:p>
          <w:p w14:paraId="05A213F3">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9）不低于五位读数分辨率</w:t>
            </w:r>
          </w:p>
          <w:p w14:paraId="7AE0C632">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10）可测量不少于22种阻抗参数组合</w:t>
            </w:r>
          </w:p>
          <w:p w14:paraId="352FF185">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11）信号源输出阻抗：至少包括10Ω, 30Ω, 50Ω, 100Ω</w:t>
            </w:r>
          </w:p>
          <w:p w14:paraId="4BB1347B">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12）不低于10点列表扫描测试功能</w:t>
            </w:r>
          </w:p>
          <w:p w14:paraId="31D7EE7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13）内部自带直流偏置源</w:t>
            </w:r>
          </w:p>
          <w:p w14:paraId="38337D80">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14）外置偏流源至 40A(可选)</w:t>
            </w:r>
          </w:p>
          <w:p w14:paraId="12A01F35">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15）电压或电流的自动电平调整(ALC)功能</w:t>
            </w:r>
          </w:p>
          <w:p w14:paraId="70570576">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16）v、I测试信号电平监视功能</w:t>
            </w:r>
          </w:p>
          <w:p w14:paraId="128EED0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17）图形扫描分析功能</w:t>
            </w:r>
          </w:p>
          <w:p w14:paraId="4B65C213">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18）≥20组内部仪器设定可供储存/读取</w:t>
            </w:r>
          </w:p>
          <w:p w14:paraId="1380F655">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19）内建比较器，≥10档分选及计数功能</w:t>
            </w:r>
          </w:p>
          <w:p w14:paraId="130E3C71">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20）通讯接口：支持USB DEVICE、USB HOST、LAN、RS232C、HANDLER。</w:t>
            </w:r>
          </w:p>
          <w:p w14:paraId="1D300D4C">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21）中英文可选操作界面。</w:t>
            </w:r>
          </w:p>
          <w:p w14:paraId="5074C91D">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22）可通过USB HST 自动升级仪器工作程序。</w:t>
            </w:r>
          </w:p>
        </w:tc>
        <w:tc>
          <w:tcPr>
            <w:tcW w:w="390" w:type="pct"/>
            <w:tcBorders>
              <w:top w:val="single" w:color="auto" w:sz="4" w:space="0"/>
              <w:left w:val="single" w:color="auto" w:sz="4" w:space="0"/>
              <w:bottom w:val="single" w:color="auto" w:sz="4" w:space="0"/>
              <w:right w:val="single" w:color="auto" w:sz="4" w:space="0"/>
            </w:tcBorders>
            <w:vAlign w:val="center"/>
          </w:tcPr>
          <w:p w14:paraId="09590A52">
            <w:pPr>
              <w:widowControl/>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台</w:t>
            </w:r>
          </w:p>
        </w:tc>
        <w:tc>
          <w:tcPr>
            <w:tcW w:w="329" w:type="pct"/>
            <w:tcBorders>
              <w:top w:val="single" w:color="auto" w:sz="4" w:space="0"/>
              <w:left w:val="single" w:color="auto" w:sz="4" w:space="0"/>
              <w:bottom w:val="single" w:color="auto" w:sz="4" w:space="0"/>
              <w:right w:val="single" w:color="auto" w:sz="4" w:space="0"/>
            </w:tcBorders>
            <w:vAlign w:val="center"/>
          </w:tcPr>
          <w:p w14:paraId="39388297">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72</w:t>
            </w:r>
          </w:p>
        </w:tc>
        <w:tc>
          <w:tcPr>
            <w:tcW w:w="454" w:type="pct"/>
            <w:tcBorders>
              <w:top w:val="single" w:color="auto" w:sz="4" w:space="0"/>
              <w:left w:val="single" w:color="auto" w:sz="4" w:space="0"/>
              <w:bottom w:val="single" w:color="auto" w:sz="4" w:space="0"/>
              <w:right w:val="single" w:color="auto" w:sz="4" w:space="0"/>
            </w:tcBorders>
            <w:vAlign w:val="center"/>
          </w:tcPr>
          <w:p w14:paraId="05BB0373">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工业</w:t>
            </w:r>
          </w:p>
        </w:tc>
      </w:tr>
      <w:tr w14:paraId="3644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5000" w:type="pct"/>
            <w:gridSpan w:val="6"/>
            <w:tcBorders>
              <w:top w:val="single" w:color="auto" w:sz="4" w:space="0"/>
              <w:left w:val="single" w:color="auto" w:sz="4" w:space="0"/>
              <w:bottom w:val="single" w:color="auto" w:sz="4" w:space="0"/>
              <w:right w:val="single" w:color="auto" w:sz="4" w:space="0"/>
            </w:tcBorders>
            <w:noWrap/>
            <w:vAlign w:val="center"/>
          </w:tcPr>
          <w:p w14:paraId="5DB8E074">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二、电子工艺实训系统</w:t>
            </w:r>
          </w:p>
        </w:tc>
      </w:tr>
      <w:tr w14:paraId="45B9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13B31AE0">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序号</w:t>
            </w:r>
          </w:p>
        </w:tc>
        <w:tc>
          <w:tcPr>
            <w:tcW w:w="617" w:type="pct"/>
            <w:tcBorders>
              <w:top w:val="single" w:color="auto" w:sz="4" w:space="0"/>
              <w:left w:val="single" w:color="auto" w:sz="4" w:space="0"/>
              <w:bottom w:val="single" w:color="auto" w:sz="4" w:space="0"/>
              <w:right w:val="single" w:color="auto" w:sz="4" w:space="0"/>
            </w:tcBorders>
            <w:vAlign w:val="center"/>
          </w:tcPr>
          <w:p w14:paraId="643655A8">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名称</w:t>
            </w:r>
          </w:p>
        </w:tc>
        <w:tc>
          <w:tcPr>
            <w:tcW w:w="2856" w:type="pct"/>
            <w:tcBorders>
              <w:top w:val="single" w:color="auto" w:sz="4" w:space="0"/>
              <w:left w:val="single" w:color="auto" w:sz="4" w:space="0"/>
              <w:bottom w:val="single" w:color="auto" w:sz="4" w:space="0"/>
              <w:right w:val="single" w:color="auto" w:sz="4" w:space="0"/>
            </w:tcBorders>
            <w:noWrap/>
            <w:vAlign w:val="center"/>
          </w:tcPr>
          <w:p w14:paraId="3890B029">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技术参数</w:t>
            </w:r>
          </w:p>
        </w:tc>
        <w:tc>
          <w:tcPr>
            <w:tcW w:w="390" w:type="pct"/>
            <w:tcBorders>
              <w:top w:val="single" w:color="auto" w:sz="4" w:space="0"/>
              <w:left w:val="single" w:color="auto" w:sz="4" w:space="0"/>
              <w:bottom w:val="single" w:color="auto" w:sz="4" w:space="0"/>
              <w:right w:val="single" w:color="auto" w:sz="4" w:space="0"/>
            </w:tcBorders>
            <w:vAlign w:val="center"/>
          </w:tcPr>
          <w:p w14:paraId="117E8642">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单位</w:t>
            </w:r>
          </w:p>
        </w:tc>
        <w:tc>
          <w:tcPr>
            <w:tcW w:w="329" w:type="pct"/>
            <w:tcBorders>
              <w:top w:val="single" w:color="auto" w:sz="4" w:space="0"/>
              <w:left w:val="single" w:color="auto" w:sz="4" w:space="0"/>
              <w:bottom w:val="single" w:color="auto" w:sz="4" w:space="0"/>
              <w:right w:val="single" w:color="auto" w:sz="4" w:space="0"/>
            </w:tcBorders>
            <w:vAlign w:val="center"/>
          </w:tcPr>
          <w:p w14:paraId="5EDBE3A4">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数量</w:t>
            </w:r>
          </w:p>
        </w:tc>
        <w:tc>
          <w:tcPr>
            <w:tcW w:w="454" w:type="pct"/>
            <w:tcBorders>
              <w:top w:val="single" w:color="auto" w:sz="4" w:space="0"/>
              <w:left w:val="single" w:color="auto" w:sz="4" w:space="0"/>
              <w:bottom w:val="single" w:color="auto" w:sz="4" w:space="0"/>
              <w:right w:val="single" w:color="auto" w:sz="4" w:space="0"/>
            </w:tcBorders>
            <w:vAlign w:val="center"/>
          </w:tcPr>
          <w:p w14:paraId="0E962C8C">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所属行业</w:t>
            </w:r>
          </w:p>
        </w:tc>
      </w:tr>
      <w:tr w14:paraId="5653B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4375A0E0">
            <w:pPr>
              <w:widowControl/>
              <w:spacing w:line="300" w:lineRule="auto"/>
              <w:jc w:val="right"/>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w:t>
            </w:r>
          </w:p>
        </w:tc>
        <w:tc>
          <w:tcPr>
            <w:tcW w:w="617" w:type="pct"/>
            <w:tcBorders>
              <w:top w:val="single" w:color="auto" w:sz="4" w:space="0"/>
              <w:left w:val="single" w:color="auto" w:sz="4" w:space="0"/>
              <w:bottom w:val="single" w:color="auto" w:sz="4" w:space="0"/>
              <w:right w:val="single" w:color="auto" w:sz="4" w:space="0"/>
            </w:tcBorders>
            <w:vAlign w:val="center"/>
          </w:tcPr>
          <w:p w14:paraId="16915FD7">
            <w:pPr>
              <w:widowControl/>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实训电子工艺生产线</w:t>
            </w:r>
          </w:p>
        </w:tc>
        <w:tc>
          <w:tcPr>
            <w:tcW w:w="2856" w:type="pct"/>
            <w:tcBorders>
              <w:top w:val="single" w:color="auto" w:sz="4" w:space="0"/>
              <w:left w:val="single" w:color="auto" w:sz="4" w:space="0"/>
              <w:bottom w:val="single" w:color="auto" w:sz="4" w:space="0"/>
              <w:right w:val="single" w:color="auto" w:sz="4" w:space="0"/>
            </w:tcBorders>
            <w:noWrap/>
            <w:vAlign w:val="center"/>
          </w:tcPr>
          <w:p w14:paraId="2FD462EC">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1.线体每工位宽不小于0.75米，每工位长度不小于1.5米。</w:t>
            </w:r>
          </w:p>
          <w:p w14:paraId="48C90262">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2.线体总高不低于1.9米，线体工作面高度不低于750mm±20mm；</w:t>
            </w:r>
          </w:p>
          <w:p w14:paraId="7FB51F40">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3.在线体上方高约400mm处，设仪器搁板，宽不低于400mm；</w:t>
            </w:r>
          </w:p>
          <w:p w14:paraId="3F88928D">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4.台面采用贴塑防火板制造(δ=18mm)，台面敷设不低于δ=1.8mm绿色防静电胶皮，四周采用专用铝型材包边；</w:t>
            </w:r>
          </w:p>
          <w:p w14:paraId="06F3A25B">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5.机架用不低于A30×40mm国标方管制造，流水线顶部配备日光灯光源及灯罩；</w:t>
            </w:r>
          </w:p>
          <w:p w14:paraId="5A8D03C8">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6.每工位配置：全钢质圆凳；</w:t>
            </w:r>
          </w:p>
          <w:p w14:paraId="65DB32B7">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7.外观处理：钣金件、机架采用静电喷塑处理；</w:t>
            </w:r>
          </w:p>
          <w:p w14:paraId="62F8BD7C">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8.设备电源提供有三相0-430V可调输出：</w:t>
            </w:r>
          </w:p>
          <w:p w14:paraId="7BD3997B">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1)提供0-430V/3A 三相交流可调实验电源</w:t>
            </w:r>
          </w:p>
          <w:p w14:paraId="43B6A509">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★2）提供0-250V/3A三相交流可调实验电源，电源通过漏电保护开关切换，带有指针式仪表监视电源输出及发光二极管缺相指示，电源输出具有电子线路和保险丝双重保护功能。</w:t>
            </w:r>
            <w:bookmarkStart w:id="9" w:name="OLE_LINK51"/>
            <w:r>
              <w:rPr>
                <w:rFonts w:hint="eastAsia" w:asciiTheme="minorEastAsia" w:hAnsiTheme="minorEastAsia" w:eastAsiaTheme="minorEastAsia" w:cstheme="minorEastAsia"/>
                <w:b/>
                <w:bCs/>
                <w:color w:val="auto"/>
                <w:sz w:val="24"/>
                <w:szCs w:val="24"/>
              </w:rPr>
              <w:t>投标文件</w:t>
            </w:r>
            <w:r>
              <w:rPr>
                <w:rFonts w:hint="eastAsia" w:asciiTheme="minorEastAsia" w:hAnsiTheme="minorEastAsia" w:eastAsiaTheme="minorEastAsia" w:cstheme="minorEastAsia"/>
                <w:b/>
                <w:bCs/>
                <w:color w:val="auto"/>
                <w:sz w:val="24"/>
                <w:szCs w:val="24"/>
                <w:lang w:val="en-US" w:eastAsia="zh-CN"/>
              </w:rPr>
              <w:t>中</w:t>
            </w:r>
            <w:r>
              <w:rPr>
                <w:rFonts w:hint="eastAsia" w:asciiTheme="minorEastAsia" w:hAnsiTheme="minorEastAsia" w:eastAsiaTheme="minorEastAsia" w:cstheme="minorEastAsia"/>
                <w:b/>
                <w:bCs/>
                <w:color w:val="auto"/>
                <w:sz w:val="24"/>
                <w:szCs w:val="24"/>
              </w:rPr>
              <w:t>提供产品宣传彩页</w:t>
            </w:r>
            <w:r>
              <w:rPr>
                <w:rFonts w:hint="eastAsia" w:asciiTheme="minorEastAsia" w:hAnsiTheme="minorEastAsia" w:eastAsiaTheme="minorEastAsia" w:cstheme="minorEastAsia"/>
                <w:color w:val="auto"/>
                <w:sz w:val="24"/>
                <w:szCs w:val="24"/>
              </w:rPr>
              <w:t>。</w:t>
            </w:r>
            <w:bookmarkEnd w:id="9"/>
          </w:p>
          <w:p w14:paraId="2B0BFFE7">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3）设备总电源开关：提供不低于10A/4P电流型漏电保护器。</w:t>
            </w:r>
          </w:p>
          <w:p w14:paraId="1BBBA458">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4）总电源熔断器：提供不低于3A熔断器。</w:t>
            </w:r>
          </w:p>
          <w:p w14:paraId="00305A2A">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5）红色按钮：三相交流电源切断按钮。</w:t>
            </w:r>
          </w:p>
          <w:p w14:paraId="4C674C47">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6）绿色按钮：三相交流电源闭合按钮。</w:t>
            </w:r>
          </w:p>
          <w:p w14:paraId="301C4044">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7）配备三相交流电源输出线电压仪表指示。</w:t>
            </w:r>
          </w:p>
          <w:p w14:paraId="513C1047">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8）过流复位按钮：电源输出过流时，过流指示灯亮，排除故障后，按下复位按钮，可继续使用。</w:t>
            </w:r>
          </w:p>
          <w:p w14:paraId="2F97F0AA">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9）调压器调节旋钮：位于交流电源左侧，逆时针旋转到底部为电源输出最小位置，反之为电源输出最大位置。</w:t>
            </w:r>
          </w:p>
          <w:p w14:paraId="6E1B7B53">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9.此设备能支持扩展电工实验，提供电工实验所需的电源。</w:t>
            </w:r>
          </w:p>
          <w:p w14:paraId="07C02ACD">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10.提供电工挂箱接口，支持即插即用。</w:t>
            </w:r>
          </w:p>
          <w:p w14:paraId="33405E79">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11.配套调温电焊台、手动工具箱套装、热风返修台、元件包。</w:t>
            </w:r>
          </w:p>
          <w:p w14:paraId="26EE2270">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12.预留设备安全管理接口，能扩展以下设备及功能：</w:t>
            </w:r>
          </w:p>
          <w:p w14:paraId="1B69B248">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1)用户管理：用户名、密码、密码修改；时间：年月日；</w:t>
            </w:r>
          </w:p>
          <w:p w14:paraId="14F90BBC">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2)自动屏保功能，唤醒功能，考核功能。全开功能。</w:t>
            </w:r>
          </w:p>
          <w:p w14:paraId="76E75275">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 节点状态指示：实时显示控制节点工作状态“在线/离线、开启/关闭”，并用不同的图标和颜色进行直观标注；</w:t>
            </w:r>
          </w:p>
          <w:p w14:paraId="13343E22">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4）设备安全管理子系统支持扩展设备集中管控主机：≥10英寸液晶及电容触摸屏。采用不低于32位内核处理器；配套M2M网关服务系统。以太网接口：支持TCP/IP协议；能显示全开、全关、状态指示灯功能。</w:t>
            </w:r>
          </w:p>
          <w:p w14:paraId="2A32A698">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5）终端节点：采用ARM内核处理器；采用工业级AC/DC模块；内置物联网电源控制系统。</w:t>
            </w:r>
          </w:p>
        </w:tc>
        <w:tc>
          <w:tcPr>
            <w:tcW w:w="390" w:type="pct"/>
            <w:tcBorders>
              <w:top w:val="single" w:color="auto" w:sz="4" w:space="0"/>
              <w:left w:val="single" w:color="auto" w:sz="4" w:space="0"/>
              <w:bottom w:val="single" w:color="auto" w:sz="4" w:space="0"/>
              <w:right w:val="single" w:color="auto" w:sz="4" w:space="0"/>
            </w:tcBorders>
            <w:vAlign w:val="center"/>
          </w:tcPr>
          <w:p w14:paraId="538FD265">
            <w:pPr>
              <w:widowControl/>
              <w:spacing w:line="300" w:lineRule="auto"/>
              <w:jc w:val="center"/>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台</w:t>
            </w:r>
          </w:p>
        </w:tc>
        <w:tc>
          <w:tcPr>
            <w:tcW w:w="329" w:type="pct"/>
            <w:tcBorders>
              <w:top w:val="single" w:color="auto" w:sz="4" w:space="0"/>
              <w:left w:val="single" w:color="auto" w:sz="4" w:space="0"/>
              <w:bottom w:val="single" w:color="auto" w:sz="4" w:space="0"/>
              <w:right w:val="single" w:color="auto" w:sz="4" w:space="0"/>
            </w:tcBorders>
            <w:vAlign w:val="center"/>
          </w:tcPr>
          <w:p w14:paraId="53347881">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w:t>
            </w:r>
          </w:p>
        </w:tc>
        <w:tc>
          <w:tcPr>
            <w:tcW w:w="454" w:type="pct"/>
            <w:tcBorders>
              <w:top w:val="single" w:color="auto" w:sz="4" w:space="0"/>
              <w:left w:val="single" w:color="auto" w:sz="4" w:space="0"/>
              <w:bottom w:val="single" w:color="auto" w:sz="4" w:space="0"/>
              <w:right w:val="single" w:color="auto" w:sz="4" w:space="0"/>
            </w:tcBorders>
            <w:vAlign w:val="center"/>
          </w:tcPr>
          <w:p w14:paraId="76715551">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工业</w:t>
            </w:r>
          </w:p>
        </w:tc>
      </w:tr>
      <w:tr w14:paraId="0B2FF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296DBA28">
            <w:pPr>
              <w:widowControl/>
              <w:spacing w:line="300" w:lineRule="auto"/>
              <w:jc w:val="right"/>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3</w:t>
            </w:r>
          </w:p>
        </w:tc>
        <w:tc>
          <w:tcPr>
            <w:tcW w:w="617" w:type="pct"/>
            <w:tcBorders>
              <w:top w:val="single" w:color="auto" w:sz="4" w:space="0"/>
              <w:left w:val="single" w:color="auto" w:sz="4" w:space="0"/>
              <w:bottom w:val="single" w:color="auto" w:sz="4" w:space="0"/>
              <w:right w:val="single" w:color="auto" w:sz="4" w:space="0"/>
            </w:tcBorders>
            <w:vAlign w:val="center"/>
          </w:tcPr>
          <w:p w14:paraId="769EE67B">
            <w:pPr>
              <w:widowControl/>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sz w:val="24"/>
                <w:szCs w:val="24"/>
              </w:rPr>
              <w:t>电子元件柜</w:t>
            </w:r>
          </w:p>
        </w:tc>
        <w:tc>
          <w:tcPr>
            <w:tcW w:w="2856" w:type="pct"/>
            <w:tcBorders>
              <w:top w:val="single" w:color="auto" w:sz="4" w:space="0"/>
              <w:left w:val="single" w:color="auto" w:sz="4" w:space="0"/>
              <w:bottom w:val="single" w:color="auto" w:sz="4" w:space="0"/>
              <w:right w:val="single" w:color="auto" w:sz="4" w:space="0"/>
            </w:tcBorders>
            <w:noWrap/>
            <w:vAlign w:val="center"/>
          </w:tcPr>
          <w:p w14:paraId="095D5069">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柜高≥1270mm，宽≥680mm，深≥280mm，每柜≥100抽，带门。</w:t>
            </w:r>
          </w:p>
        </w:tc>
        <w:tc>
          <w:tcPr>
            <w:tcW w:w="390" w:type="pct"/>
            <w:tcBorders>
              <w:top w:val="single" w:color="auto" w:sz="4" w:space="0"/>
              <w:left w:val="single" w:color="auto" w:sz="4" w:space="0"/>
              <w:bottom w:val="single" w:color="auto" w:sz="4" w:space="0"/>
              <w:right w:val="single" w:color="auto" w:sz="4" w:space="0"/>
            </w:tcBorders>
            <w:vAlign w:val="center"/>
          </w:tcPr>
          <w:p w14:paraId="2ED48FF6">
            <w:pPr>
              <w:widowControl/>
              <w:spacing w:line="300" w:lineRule="auto"/>
              <w:jc w:val="center"/>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组</w:t>
            </w:r>
          </w:p>
        </w:tc>
        <w:tc>
          <w:tcPr>
            <w:tcW w:w="329" w:type="pct"/>
            <w:tcBorders>
              <w:top w:val="single" w:color="auto" w:sz="4" w:space="0"/>
              <w:left w:val="single" w:color="auto" w:sz="4" w:space="0"/>
              <w:bottom w:val="single" w:color="auto" w:sz="4" w:space="0"/>
              <w:right w:val="single" w:color="auto" w:sz="4" w:space="0"/>
            </w:tcBorders>
            <w:vAlign w:val="center"/>
          </w:tcPr>
          <w:p w14:paraId="0124488F">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40</w:t>
            </w:r>
          </w:p>
        </w:tc>
        <w:tc>
          <w:tcPr>
            <w:tcW w:w="454" w:type="pct"/>
            <w:tcBorders>
              <w:top w:val="single" w:color="auto" w:sz="4" w:space="0"/>
              <w:left w:val="single" w:color="auto" w:sz="4" w:space="0"/>
              <w:bottom w:val="single" w:color="auto" w:sz="4" w:space="0"/>
              <w:right w:val="single" w:color="auto" w:sz="4" w:space="0"/>
            </w:tcBorders>
            <w:vAlign w:val="center"/>
          </w:tcPr>
          <w:p w14:paraId="7C6BB4C4">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工业</w:t>
            </w:r>
          </w:p>
        </w:tc>
      </w:tr>
      <w:tr w14:paraId="7140D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7BB45175">
            <w:pPr>
              <w:widowControl/>
              <w:spacing w:line="300" w:lineRule="auto"/>
              <w:jc w:val="right"/>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4</w:t>
            </w:r>
          </w:p>
        </w:tc>
        <w:tc>
          <w:tcPr>
            <w:tcW w:w="617" w:type="pct"/>
            <w:tcBorders>
              <w:top w:val="single" w:color="auto" w:sz="4" w:space="0"/>
              <w:left w:val="single" w:color="auto" w:sz="4" w:space="0"/>
              <w:bottom w:val="single" w:color="auto" w:sz="4" w:space="0"/>
              <w:right w:val="single" w:color="auto" w:sz="4" w:space="0"/>
            </w:tcBorders>
            <w:vAlign w:val="center"/>
          </w:tcPr>
          <w:p w14:paraId="6FEDD5F0">
            <w:pPr>
              <w:widowControl/>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多功能车床</w:t>
            </w:r>
          </w:p>
        </w:tc>
        <w:tc>
          <w:tcPr>
            <w:tcW w:w="2856" w:type="pct"/>
            <w:tcBorders>
              <w:top w:val="single" w:color="auto" w:sz="4" w:space="0"/>
              <w:left w:val="single" w:color="auto" w:sz="4" w:space="0"/>
              <w:bottom w:val="single" w:color="auto" w:sz="4" w:space="0"/>
              <w:right w:val="single" w:color="auto" w:sz="4" w:space="0"/>
            </w:tcBorders>
            <w:noWrap/>
            <w:vAlign w:val="center"/>
          </w:tcPr>
          <w:p w14:paraId="4559DE1F">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1、床身上最大工件回转直径: ≥φ400mm;</w:t>
            </w:r>
          </w:p>
          <w:p w14:paraId="74B11BD0">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2、刀架上最大工件回转直径: ≥φ220mm;</w:t>
            </w:r>
          </w:p>
          <w:p w14:paraId="3F6E729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3、最大工件长度/切削长度: ≥1000/950mm;</w:t>
            </w:r>
          </w:p>
          <w:p w14:paraId="0D419C5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4、主轴正转:22 级正 11-1600 r/min;</w:t>
            </w:r>
          </w:p>
          <w:p w14:paraId="698F21C6">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5、主轴反转: 22 级反 11-1600 r/min;</w:t>
            </w:r>
          </w:p>
          <w:p w14:paraId="344C58F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6、主轴内孔直径:φ52m;</w:t>
            </w:r>
          </w:p>
          <w:p w14:paraId="62583A3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7、主轴孔锥度: 莫氏 6 号;</w:t>
            </w:r>
          </w:p>
          <w:p w14:paraId="66960F2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8、主轴纵向进给量范围: 0.035~2.842mm/r(63);</w:t>
            </w:r>
          </w:p>
          <w:p w14:paraId="55E07CA0">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9、主轴横向进给量范围: 0.009~0.804mm/r(63);</w:t>
            </w:r>
          </w:p>
          <w:p w14:paraId="05775F9B">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10、螺纹种类:公制、英制、模数、径节;</w:t>
            </w:r>
          </w:p>
          <w:p w14:paraId="3BE80F80">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11、加工螺纹种数: 66、49、57、50;</w:t>
            </w:r>
          </w:p>
          <w:p w14:paraId="15953DCF">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12、加工螺纹范围:0.5-230 mm、80~1/4 扣/时 、0.25~120mm、160~7/16DP;</w:t>
            </w:r>
          </w:p>
          <w:p w14:paraId="6FE12F11">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13、刀架最大行程横向:≥348 mm，纵向:≥700mm;</w:t>
            </w:r>
          </w:p>
          <w:p w14:paraId="6C9AD9AE">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14、小刀架移动行程:≥150 mm;</w:t>
            </w:r>
          </w:p>
          <w:p w14:paraId="029474D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15、刀架快移速度:纵向≥ 4m/min，横向≥ 1.15m/min;</w:t>
            </w:r>
          </w:p>
          <w:p w14:paraId="2E616166">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16、溜板箱纵向丝杠直径: ≥40mm;</w:t>
            </w:r>
          </w:p>
          <w:p w14:paraId="5AA630F3">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17、纵向丝杠螺距: ≥12mm;</w:t>
            </w:r>
          </w:p>
          <w:p w14:paraId="77CB3CA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18、刀架转盘回转角度:不低于±45°;</w:t>
            </w:r>
          </w:p>
          <w:p w14:paraId="3A629AA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19、刀架截面最大尺寸: ≥25×25mm;</w:t>
            </w:r>
          </w:p>
          <w:p w14:paraId="2D4B101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20、床尾主轴最大行程: ≥150mm;</w:t>
            </w:r>
          </w:p>
          <w:p w14:paraId="02E9397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21、床尾主轴直径: ≥75 mm;</w:t>
            </w:r>
          </w:p>
          <w:p w14:paraId="53FCB27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22、主电机功率: ≥7.5kW;</w:t>
            </w:r>
          </w:p>
          <w:p w14:paraId="7F2BF179">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23、冷却电机功率: 不低于150w;</w:t>
            </w:r>
          </w:p>
          <w:p w14:paraId="094F4759">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24、快速移动电机功率: 不低于270W；</w:t>
            </w:r>
          </w:p>
          <w:p w14:paraId="2E13EF91">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25、机床净重:≥2050 kg。</w:t>
            </w:r>
          </w:p>
        </w:tc>
        <w:tc>
          <w:tcPr>
            <w:tcW w:w="390" w:type="pct"/>
            <w:tcBorders>
              <w:top w:val="single" w:color="auto" w:sz="4" w:space="0"/>
              <w:left w:val="single" w:color="auto" w:sz="4" w:space="0"/>
              <w:bottom w:val="single" w:color="auto" w:sz="4" w:space="0"/>
              <w:right w:val="single" w:color="auto" w:sz="4" w:space="0"/>
            </w:tcBorders>
            <w:vAlign w:val="center"/>
          </w:tcPr>
          <w:p w14:paraId="7F6E1CDC">
            <w:pPr>
              <w:widowControl/>
              <w:spacing w:line="300" w:lineRule="auto"/>
              <w:jc w:val="center"/>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台</w:t>
            </w:r>
          </w:p>
        </w:tc>
        <w:tc>
          <w:tcPr>
            <w:tcW w:w="329" w:type="pct"/>
            <w:tcBorders>
              <w:top w:val="single" w:color="auto" w:sz="4" w:space="0"/>
              <w:left w:val="single" w:color="auto" w:sz="4" w:space="0"/>
              <w:bottom w:val="single" w:color="auto" w:sz="4" w:space="0"/>
              <w:right w:val="single" w:color="auto" w:sz="4" w:space="0"/>
            </w:tcBorders>
            <w:vAlign w:val="center"/>
          </w:tcPr>
          <w:p w14:paraId="1CB58C68">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454" w:type="pct"/>
            <w:tcBorders>
              <w:top w:val="single" w:color="auto" w:sz="4" w:space="0"/>
              <w:left w:val="single" w:color="auto" w:sz="4" w:space="0"/>
              <w:bottom w:val="single" w:color="auto" w:sz="4" w:space="0"/>
              <w:right w:val="single" w:color="auto" w:sz="4" w:space="0"/>
            </w:tcBorders>
            <w:vAlign w:val="center"/>
          </w:tcPr>
          <w:p w14:paraId="09631992">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工业</w:t>
            </w:r>
          </w:p>
        </w:tc>
      </w:tr>
      <w:tr w14:paraId="51A2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4C370359">
            <w:pPr>
              <w:widowControl/>
              <w:spacing w:line="300" w:lineRule="auto"/>
              <w:jc w:val="right"/>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5</w:t>
            </w:r>
          </w:p>
        </w:tc>
        <w:tc>
          <w:tcPr>
            <w:tcW w:w="617" w:type="pct"/>
            <w:tcBorders>
              <w:top w:val="single" w:color="auto" w:sz="4" w:space="0"/>
              <w:left w:val="single" w:color="auto" w:sz="4" w:space="0"/>
              <w:bottom w:val="single" w:color="auto" w:sz="4" w:space="0"/>
              <w:right w:val="single" w:color="auto" w:sz="4" w:space="0"/>
            </w:tcBorders>
            <w:noWrap/>
            <w:vAlign w:val="center"/>
          </w:tcPr>
          <w:p w14:paraId="6CF73D6B">
            <w:pPr>
              <w:widowControl/>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数字交流毫伏表</w:t>
            </w:r>
          </w:p>
        </w:tc>
        <w:tc>
          <w:tcPr>
            <w:tcW w:w="2856" w:type="pct"/>
            <w:tcBorders>
              <w:top w:val="single" w:color="auto" w:sz="4" w:space="0"/>
              <w:left w:val="single" w:color="auto" w:sz="4" w:space="0"/>
              <w:bottom w:val="single" w:color="auto" w:sz="4" w:space="0"/>
              <w:right w:val="single" w:color="auto" w:sz="4" w:space="0"/>
            </w:tcBorders>
            <w:vAlign w:val="center"/>
          </w:tcPr>
          <w:p w14:paraId="387F13E4">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1、不低于双通道输入。</w:t>
            </w:r>
          </w:p>
          <w:p w14:paraId="5EF41763">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★2、LED液晶显示，不低于3位半和四位半显示两种显示方式。</w:t>
            </w:r>
            <w:r>
              <w:rPr>
                <w:rFonts w:hint="eastAsia" w:asciiTheme="minorEastAsia" w:hAnsiTheme="minorEastAsia" w:eastAsiaTheme="minorEastAsia" w:cstheme="minorEastAsia"/>
                <w:b/>
                <w:bCs/>
                <w:color w:val="auto"/>
                <w:sz w:val="24"/>
                <w:szCs w:val="24"/>
              </w:rPr>
              <w:t>投标时提供功能演示。</w:t>
            </w:r>
          </w:p>
          <w:p w14:paraId="1CCDEA86">
            <w:pPr>
              <w:spacing w:line="300" w:lineRule="auto"/>
              <w:jc w:val="left"/>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t>★3、</w:t>
            </w:r>
            <w:bookmarkStart w:id="10" w:name="OLE_LINK11"/>
            <w:r>
              <w:rPr>
                <w:rFonts w:hint="eastAsia" w:asciiTheme="minorEastAsia" w:hAnsiTheme="minorEastAsia" w:eastAsiaTheme="minorEastAsia" w:cstheme="minorEastAsia"/>
                <w:color w:val="auto"/>
                <w:sz w:val="24"/>
                <w:szCs w:val="24"/>
              </w:rPr>
              <w:t>可同时显示两个通道的有效值测试及数学功能，支持数值显示和指针式量程显示，</w:t>
            </w:r>
            <w:bookmarkEnd w:id="10"/>
            <w:r>
              <w:rPr>
                <w:rFonts w:hint="eastAsia" w:asciiTheme="minorEastAsia" w:hAnsiTheme="minorEastAsia" w:eastAsiaTheme="minorEastAsia" w:cstheme="minorEastAsia"/>
                <w:color w:val="auto"/>
                <w:sz w:val="24"/>
                <w:szCs w:val="24"/>
              </w:rPr>
              <w:t>当 UNDER 欠量、OVER 过量时有提示。</w:t>
            </w:r>
            <w:r>
              <w:rPr>
                <w:rFonts w:hint="eastAsia" w:asciiTheme="minorEastAsia" w:hAnsiTheme="minorEastAsia" w:eastAsiaTheme="minorEastAsia" w:cstheme="minorEastAsia"/>
                <w:b/>
                <w:bCs/>
                <w:color w:val="auto"/>
                <w:sz w:val="24"/>
                <w:szCs w:val="24"/>
              </w:rPr>
              <w:t>投标时提供功能演示。</w:t>
            </w:r>
          </w:p>
          <w:p w14:paraId="59040EDE">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★4、具备自动、手动触发功能，可根据需求设置手动触发和自动触发。</w:t>
            </w:r>
            <w:bookmarkStart w:id="11" w:name="OLE_LINK18"/>
            <w:r>
              <w:rPr>
                <w:rFonts w:hint="eastAsia" w:asciiTheme="minorEastAsia" w:hAnsiTheme="minorEastAsia" w:eastAsiaTheme="minorEastAsia" w:cstheme="minorEastAsia"/>
                <w:b/>
                <w:bCs/>
                <w:color w:val="auto"/>
                <w:sz w:val="24"/>
                <w:szCs w:val="24"/>
              </w:rPr>
              <w:t>投标时提供功能演示。</w:t>
            </w:r>
            <w:bookmarkEnd w:id="11"/>
          </w:p>
          <w:p w14:paraId="4A984673">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5、同时显示电压值和 dB/dBm 值；dB 测量范围不低于-86dB～52dB(0dB=1V)；dBm 测量范围不低于-84dBm～54dBm(0dBm=1mw 600Ω)；</w:t>
            </w:r>
          </w:p>
          <w:p w14:paraId="0A84DFC1">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6、最高测试频率不低于3MHz，最低测试频率不高于 5Hz；。</w:t>
            </w:r>
          </w:p>
          <w:p w14:paraId="6D1926C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7、交流电压测量范围：不低于500μV～300V； </w:t>
            </w:r>
          </w:p>
          <w:p w14:paraId="5B41544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8、具备自动、手动档位测量切换功能，量程切换有相应的指示标志，电压测量量程为：3mVrms/30mVrms/300mVrms/3Vrms/30Vrms/300Vrms；</w:t>
            </w:r>
          </w:p>
          <w:p w14:paraId="5F9C5503">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9、测试（dBv,dBm,dB,Vpp,watt,null）,数据清晰直观显示。</w:t>
            </w:r>
          </w:p>
          <w:p w14:paraId="6ABA16A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10、电压测量误差不高于±1.5</w:t>
            </w:r>
            <w:bookmarkStart w:id="12" w:name="OLE_LINK16"/>
            <w:r>
              <w:rPr>
                <w:rFonts w:hint="eastAsia" w:asciiTheme="minorEastAsia" w:hAnsiTheme="minorEastAsia" w:eastAsiaTheme="minorEastAsia" w:cstheme="minorEastAsia"/>
                <w:color w:val="auto"/>
                <w:sz w:val="24"/>
                <w:szCs w:val="24"/>
              </w:rPr>
              <w:t>%</w:t>
            </w:r>
            <w:bookmarkEnd w:id="12"/>
            <w:r>
              <w:rPr>
                <w:rFonts w:hint="eastAsia" w:asciiTheme="minorEastAsia" w:hAnsiTheme="minorEastAsia" w:eastAsiaTheme="minorEastAsia" w:cstheme="minorEastAsia"/>
                <w:color w:val="auto"/>
                <w:sz w:val="24"/>
                <w:szCs w:val="24"/>
              </w:rPr>
              <w:t>读数±0.5%量程(以1kHz满量程输入信号为基准，</w:t>
            </w:r>
          </w:p>
          <w:p w14:paraId="30BD89B0">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20℃环境温度下)；</w:t>
            </w:r>
          </w:p>
          <w:p w14:paraId="421E1803">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11、支持 USB 接口，支持 SCPI 通信功能，并配备相应的编程手册。</w:t>
            </w:r>
          </w:p>
        </w:tc>
        <w:tc>
          <w:tcPr>
            <w:tcW w:w="390" w:type="pct"/>
            <w:tcBorders>
              <w:top w:val="single" w:color="auto" w:sz="4" w:space="0"/>
              <w:left w:val="single" w:color="auto" w:sz="4" w:space="0"/>
              <w:bottom w:val="single" w:color="auto" w:sz="4" w:space="0"/>
              <w:right w:val="single" w:color="auto" w:sz="4" w:space="0"/>
            </w:tcBorders>
            <w:vAlign w:val="center"/>
          </w:tcPr>
          <w:p w14:paraId="2A39E78C">
            <w:pPr>
              <w:widowControl/>
              <w:spacing w:line="300" w:lineRule="auto"/>
              <w:jc w:val="center"/>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台</w:t>
            </w:r>
          </w:p>
        </w:tc>
        <w:tc>
          <w:tcPr>
            <w:tcW w:w="329" w:type="pct"/>
            <w:tcBorders>
              <w:top w:val="single" w:color="auto" w:sz="4" w:space="0"/>
              <w:left w:val="single" w:color="auto" w:sz="4" w:space="0"/>
              <w:bottom w:val="single" w:color="auto" w:sz="4" w:space="0"/>
              <w:right w:val="single" w:color="auto" w:sz="4" w:space="0"/>
            </w:tcBorders>
            <w:noWrap/>
            <w:vAlign w:val="center"/>
          </w:tcPr>
          <w:p w14:paraId="67DD3E16">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96</w:t>
            </w:r>
          </w:p>
        </w:tc>
        <w:tc>
          <w:tcPr>
            <w:tcW w:w="454" w:type="pct"/>
            <w:tcBorders>
              <w:top w:val="single" w:color="auto" w:sz="4" w:space="0"/>
              <w:left w:val="single" w:color="auto" w:sz="4" w:space="0"/>
              <w:bottom w:val="single" w:color="auto" w:sz="4" w:space="0"/>
              <w:right w:val="single" w:color="auto" w:sz="4" w:space="0"/>
            </w:tcBorders>
            <w:noWrap/>
            <w:vAlign w:val="center"/>
          </w:tcPr>
          <w:p w14:paraId="61CB02C7">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工业</w:t>
            </w:r>
          </w:p>
        </w:tc>
      </w:tr>
      <w:tr w14:paraId="4E07A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768F1B66">
            <w:pPr>
              <w:widowControl/>
              <w:spacing w:line="300" w:lineRule="auto"/>
              <w:jc w:val="right"/>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6</w:t>
            </w:r>
          </w:p>
        </w:tc>
        <w:tc>
          <w:tcPr>
            <w:tcW w:w="617" w:type="pct"/>
            <w:tcBorders>
              <w:top w:val="single" w:color="auto" w:sz="4" w:space="0"/>
              <w:left w:val="single" w:color="auto" w:sz="4" w:space="0"/>
              <w:bottom w:val="single" w:color="auto" w:sz="4" w:space="0"/>
              <w:right w:val="single" w:color="auto" w:sz="4" w:space="0"/>
            </w:tcBorders>
            <w:noWrap/>
            <w:vAlign w:val="center"/>
          </w:tcPr>
          <w:p w14:paraId="7C6B2C8B">
            <w:pPr>
              <w:widowControl/>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直流毫安表</w:t>
            </w:r>
          </w:p>
        </w:tc>
        <w:tc>
          <w:tcPr>
            <w:tcW w:w="2856" w:type="pct"/>
            <w:tcBorders>
              <w:top w:val="single" w:color="auto" w:sz="4" w:space="0"/>
              <w:left w:val="single" w:color="auto" w:sz="4" w:space="0"/>
              <w:bottom w:val="single" w:color="auto" w:sz="4" w:space="0"/>
              <w:right w:val="single" w:color="auto" w:sz="4" w:space="0"/>
            </w:tcBorders>
            <w:vAlign w:val="center"/>
          </w:tcPr>
          <w:p w14:paraId="0FDE20E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1、直流安培表，指针式。</w:t>
            </w:r>
          </w:p>
          <w:p w14:paraId="16E1B04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2、精度0.5级，(从毫安到安培，不低于十二个量程)。</w:t>
            </w:r>
          </w:p>
          <w:p w14:paraId="0396A15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3、不低于：0/7.5/15/30/75/150/300/750mA/1.5/3/7.5/15/30A。</w:t>
            </w:r>
          </w:p>
        </w:tc>
        <w:tc>
          <w:tcPr>
            <w:tcW w:w="390" w:type="pct"/>
            <w:tcBorders>
              <w:top w:val="single" w:color="auto" w:sz="4" w:space="0"/>
              <w:left w:val="single" w:color="auto" w:sz="4" w:space="0"/>
              <w:bottom w:val="single" w:color="auto" w:sz="4" w:space="0"/>
              <w:right w:val="single" w:color="auto" w:sz="4" w:space="0"/>
            </w:tcBorders>
            <w:vAlign w:val="center"/>
          </w:tcPr>
          <w:p w14:paraId="144F40BD">
            <w:pPr>
              <w:widowControl/>
              <w:spacing w:line="300" w:lineRule="auto"/>
              <w:jc w:val="center"/>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个</w:t>
            </w:r>
          </w:p>
        </w:tc>
        <w:tc>
          <w:tcPr>
            <w:tcW w:w="329" w:type="pct"/>
            <w:tcBorders>
              <w:top w:val="single" w:color="auto" w:sz="4" w:space="0"/>
              <w:left w:val="single" w:color="auto" w:sz="4" w:space="0"/>
              <w:bottom w:val="single" w:color="auto" w:sz="4" w:space="0"/>
              <w:right w:val="single" w:color="auto" w:sz="4" w:space="0"/>
            </w:tcBorders>
            <w:noWrap/>
            <w:vAlign w:val="center"/>
          </w:tcPr>
          <w:p w14:paraId="36544B1F">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w:t>
            </w:r>
          </w:p>
        </w:tc>
        <w:tc>
          <w:tcPr>
            <w:tcW w:w="454" w:type="pct"/>
            <w:tcBorders>
              <w:top w:val="single" w:color="auto" w:sz="4" w:space="0"/>
              <w:left w:val="single" w:color="auto" w:sz="4" w:space="0"/>
              <w:bottom w:val="single" w:color="auto" w:sz="4" w:space="0"/>
              <w:right w:val="single" w:color="auto" w:sz="4" w:space="0"/>
            </w:tcBorders>
            <w:noWrap/>
            <w:vAlign w:val="center"/>
          </w:tcPr>
          <w:p w14:paraId="1490BA24">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工业</w:t>
            </w:r>
          </w:p>
        </w:tc>
      </w:tr>
      <w:tr w14:paraId="05F1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6483E54A">
            <w:pPr>
              <w:widowControl/>
              <w:spacing w:line="300" w:lineRule="auto"/>
              <w:jc w:val="right"/>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7</w:t>
            </w:r>
          </w:p>
        </w:tc>
        <w:tc>
          <w:tcPr>
            <w:tcW w:w="617" w:type="pct"/>
            <w:tcBorders>
              <w:top w:val="single" w:color="auto" w:sz="4" w:space="0"/>
              <w:left w:val="single" w:color="auto" w:sz="4" w:space="0"/>
              <w:bottom w:val="single" w:color="auto" w:sz="4" w:space="0"/>
              <w:right w:val="single" w:color="auto" w:sz="4" w:space="0"/>
            </w:tcBorders>
            <w:noWrap/>
            <w:vAlign w:val="center"/>
          </w:tcPr>
          <w:p w14:paraId="54D65519">
            <w:pPr>
              <w:widowControl/>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交流电压表</w:t>
            </w:r>
          </w:p>
        </w:tc>
        <w:tc>
          <w:tcPr>
            <w:tcW w:w="2856" w:type="pct"/>
            <w:tcBorders>
              <w:top w:val="single" w:color="auto" w:sz="4" w:space="0"/>
              <w:left w:val="single" w:color="auto" w:sz="4" w:space="0"/>
              <w:bottom w:val="single" w:color="auto" w:sz="4" w:space="0"/>
              <w:right w:val="single" w:color="auto" w:sz="4" w:space="0"/>
            </w:tcBorders>
            <w:vAlign w:val="center"/>
          </w:tcPr>
          <w:p w14:paraId="422D3142">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不低于：0~150V~300V~600V 0.5级，指针式。</w:t>
            </w:r>
          </w:p>
        </w:tc>
        <w:tc>
          <w:tcPr>
            <w:tcW w:w="390" w:type="pct"/>
            <w:tcBorders>
              <w:top w:val="single" w:color="auto" w:sz="4" w:space="0"/>
              <w:left w:val="single" w:color="auto" w:sz="4" w:space="0"/>
              <w:bottom w:val="single" w:color="auto" w:sz="4" w:space="0"/>
              <w:right w:val="single" w:color="auto" w:sz="4" w:space="0"/>
            </w:tcBorders>
            <w:vAlign w:val="center"/>
          </w:tcPr>
          <w:p w14:paraId="506ED28B">
            <w:pPr>
              <w:widowControl/>
              <w:spacing w:line="300" w:lineRule="auto"/>
              <w:jc w:val="center"/>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个</w:t>
            </w:r>
          </w:p>
        </w:tc>
        <w:tc>
          <w:tcPr>
            <w:tcW w:w="329" w:type="pct"/>
            <w:tcBorders>
              <w:top w:val="single" w:color="auto" w:sz="4" w:space="0"/>
              <w:left w:val="single" w:color="auto" w:sz="4" w:space="0"/>
              <w:bottom w:val="single" w:color="auto" w:sz="4" w:space="0"/>
              <w:right w:val="single" w:color="auto" w:sz="4" w:space="0"/>
            </w:tcBorders>
            <w:noWrap/>
            <w:vAlign w:val="center"/>
          </w:tcPr>
          <w:p w14:paraId="2344D09C">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w:t>
            </w:r>
          </w:p>
        </w:tc>
        <w:tc>
          <w:tcPr>
            <w:tcW w:w="454" w:type="pct"/>
            <w:tcBorders>
              <w:top w:val="single" w:color="auto" w:sz="4" w:space="0"/>
              <w:left w:val="single" w:color="auto" w:sz="4" w:space="0"/>
              <w:bottom w:val="single" w:color="auto" w:sz="4" w:space="0"/>
              <w:right w:val="single" w:color="auto" w:sz="4" w:space="0"/>
            </w:tcBorders>
            <w:noWrap/>
            <w:vAlign w:val="center"/>
          </w:tcPr>
          <w:p w14:paraId="35A2CDD5">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工业</w:t>
            </w:r>
          </w:p>
        </w:tc>
      </w:tr>
      <w:tr w14:paraId="4A193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46F73D0A">
            <w:pPr>
              <w:widowControl/>
              <w:spacing w:line="300" w:lineRule="auto"/>
              <w:jc w:val="right"/>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8</w:t>
            </w:r>
          </w:p>
        </w:tc>
        <w:tc>
          <w:tcPr>
            <w:tcW w:w="617" w:type="pct"/>
            <w:tcBorders>
              <w:top w:val="single" w:color="auto" w:sz="4" w:space="0"/>
              <w:left w:val="single" w:color="auto" w:sz="4" w:space="0"/>
              <w:bottom w:val="single" w:color="auto" w:sz="4" w:space="0"/>
              <w:right w:val="single" w:color="auto" w:sz="4" w:space="0"/>
            </w:tcBorders>
            <w:noWrap/>
            <w:vAlign w:val="center"/>
          </w:tcPr>
          <w:p w14:paraId="0CC0C137">
            <w:pPr>
              <w:widowControl/>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sz w:val="24"/>
                <w:szCs w:val="24"/>
              </w:rPr>
              <w:t>交流电流表</w:t>
            </w:r>
          </w:p>
        </w:tc>
        <w:tc>
          <w:tcPr>
            <w:tcW w:w="2856" w:type="pct"/>
            <w:tcBorders>
              <w:top w:val="single" w:color="auto" w:sz="4" w:space="0"/>
              <w:left w:val="single" w:color="auto" w:sz="4" w:space="0"/>
              <w:bottom w:val="single" w:color="auto" w:sz="4" w:space="0"/>
              <w:right w:val="single" w:color="auto" w:sz="4" w:space="0"/>
            </w:tcBorders>
            <w:vAlign w:val="center"/>
          </w:tcPr>
          <w:p w14:paraId="2F365D76">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不低于：1A/2A指针式</w:t>
            </w:r>
          </w:p>
        </w:tc>
        <w:tc>
          <w:tcPr>
            <w:tcW w:w="390" w:type="pct"/>
            <w:tcBorders>
              <w:top w:val="single" w:color="auto" w:sz="4" w:space="0"/>
              <w:left w:val="single" w:color="auto" w:sz="4" w:space="0"/>
              <w:bottom w:val="single" w:color="auto" w:sz="4" w:space="0"/>
              <w:right w:val="single" w:color="auto" w:sz="4" w:space="0"/>
            </w:tcBorders>
            <w:vAlign w:val="center"/>
          </w:tcPr>
          <w:p w14:paraId="1809B557">
            <w:pPr>
              <w:widowControl/>
              <w:spacing w:line="300" w:lineRule="auto"/>
              <w:jc w:val="center"/>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个</w:t>
            </w:r>
          </w:p>
        </w:tc>
        <w:tc>
          <w:tcPr>
            <w:tcW w:w="329" w:type="pct"/>
            <w:tcBorders>
              <w:top w:val="single" w:color="auto" w:sz="4" w:space="0"/>
              <w:left w:val="single" w:color="auto" w:sz="4" w:space="0"/>
              <w:bottom w:val="single" w:color="auto" w:sz="4" w:space="0"/>
              <w:right w:val="single" w:color="auto" w:sz="4" w:space="0"/>
            </w:tcBorders>
            <w:noWrap/>
            <w:vAlign w:val="center"/>
          </w:tcPr>
          <w:p w14:paraId="00E7E526">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w:t>
            </w:r>
          </w:p>
        </w:tc>
        <w:tc>
          <w:tcPr>
            <w:tcW w:w="454" w:type="pct"/>
            <w:tcBorders>
              <w:top w:val="single" w:color="auto" w:sz="4" w:space="0"/>
              <w:left w:val="single" w:color="auto" w:sz="4" w:space="0"/>
              <w:bottom w:val="single" w:color="auto" w:sz="4" w:space="0"/>
              <w:right w:val="single" w:color="auto" w:sz="4" w:space="0"/>
            </w:tcBorders>
            <w:noWrap/>
            <w:vAlign w:val="center"/>
          </w:tcPr>
          <w:p w14:paraId="61398637">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工业</w:t>
            </w:r>
          </w:p>
        </w:tc>
      </w:tr>
      <w:tr w14:paraId="7816C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5669FCD1">
            <w:pPr>
              <w:widowControl/>
              <w:spacing w:line="300" w:lineRule="auto"/>
              <w:jc w:val="right"/>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9</w:t>
            </w:r>
          </w:p>
        </w:tc>
        <w:tc>
          <w:tcPr>
            <w:tcW w:w="617" w:type="pct"/>
            <w:tcBorders>
              <w:top w:val="single" w:color="auto" w:sz="4" w:space="0"/>
              <w:left w:val="single" w:color="auto" w:sz="4" w:space="0"/>
              <w:bottom w:val="single" w:color="auto" w:sz="4" w:space="0"/>
              <w:right w:val="single" w:color="auto" w:sz="4" w:space="0"/>
            </w:tcBorders>
            <w:noWrap/>
            <w:vAlign w:val="center"/>
          </w:tcPr>
          <w:p w14:paraId="4389990F">
            <w:pPr>
              <w:widowControl/>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单项瓦特表</w:t>
            </w:r>
          </w:p>
        </w:tc>
        <w:tc>
          <w:tcPr>
            <w:tcW w:w="2856" w:type="pct"/>
            <w:tcBorders>
              <w:top w:val="single" w:color="auto" w:sz="4" w:space="0"/>
              <w:left w:val="single" w:color="auto" w:sz="4" w:space="0"/>
              <w:bottom w:val="single" w:color="auto" w:sz="4" w:space="0"/>
              <w:right w:val="single" w:color="auto" w:sz="4" w:space="0"/>
            </w:tcBorders>
            <w:vAlign w:val="center"/>
          </w:tcPr>
          <w:p w14:paraId="1409046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指针式，不低于0.5级，电流不低于2.5A/5A,电压不低于150V/300V/600V</w:t>
            </w:r>
          </w:p>
        </w:tc>
        <w:tc>
          <w:tcPr>
            <w:tcW w:w="390" w:type="pct"/>
            <w:tcBorders>
              <w:top w:val="single" w:color="auto" w:sz="4" w:space="0"/>
              <w:left w:val="single" w:color="auto" w:sz="4" w:space="0"/>
              <w:bottom w:val="single" w:color="auto" w:sz="4" w:space="0"/>
              <w:right w:val="single" w:color="auto" w:sz="4" w:space="0"/>
            </w:tcBorders>
            <w:vAlign w:val="center"/>
          </w:tcPr>
          <w:p w14:paraId="1E7AAF6B">
            <w:pPr>
              <w:widowControl/>
              <w:spacing w:line="300" w:lineRule="auto"/>
              <w:jc w:val="center"/>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个</w:t>
            </w:r>
          </w:p>
        </w:tc>
        <w:tc>
          <w:tcPr>
            <w:tcW w:w="329" w:type="pct"/>
            <w:tcBorders>
              <w:top w:val="single" w:color="auto" w:sz="4" w:space="0"/>
              <w:left w:val="single" w:color="auto" w:sz="4" w:space="0"/>
              <w:bottom w:val="single" w:color="auto" w:sz="4" w:space="0"/>
              <w:right w:val="single" w:color="auto" w:sz="4" w:space="0"/>
            </w:tcBorders>
            <w:noWrap/>
            <w:vAlign w:val="center"/>
          </w:tcPr>
          <w:p w14:paraId="18DAB645">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w:t>
            </w:r>
          </w:p>
        </w:tc>
        <w:tc>
          <w:tcPr>
            <w:tcW w:w="454" w:type="pct"/>
            <w:tcBorders>
              <w:top w:val="single" w:color="auto" w:sz="4" w:space="0"/>
              <w:left w:val="single" w:color="auto" w:sz="4" w:space="0"/>
              <w:bottom w:val="single" w:color="auto" w:sz="4" w:space="0"/>
              <w:right w:val="single" w:color="auto" w:sz="4" w:space="0"/>
            </w:tcBorders>
            <w:noWrap/>
            <w:vAlign w:val="center"/>
          </w:tcPr>
          <w:p w14:paraId="7095B815">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工业</w:t>
            </w:r>
          </w:p>
        </w:tc>
      </w:tr>
      <w:tr w14:paraId="26539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5000" w:type="pct"/>
            <w:gridSpan w:val="6"/>
            <w:tcBorders>
              <w:top w:val="single" w:color="auto" w:sz="4" w:space="0"/>
              <w:left w:val="single" w:color="auto" w:sz="4" w:space="0"/>
              <w:bottom w:val="single" w:color="auto" w:sz="4" w:space="0"/>
              <w:right w:val="single" w:color="auto" w:sz="4" w:space="0"/>
            </w:tcBorders>
            <w:noWrap/>
            <w:vAlign w:val="center"/>
          </w:tcPr>
          <w:p w14:paraId="1B3C7A79">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三、电工实验教学系统</w:t>
            </w:r>
          </w:p>
        </w:tc>
      </w:tr>
      <w:tr w14:paraId="4C64C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1351823D">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序号</w:t>
            </w:r>
          </w:p>
        </w:tc>
        <w:tc>
          <w:tcPr>
            <w:tcW w:w="617" w:type="pct"/>
            <w:tcBorders>
              <w:top w:val="single" w:color="auto" w:sz="4" w:space="0"/>
              <w:left w:val="single" w:color="auto" w:sz="4" w:space="0"/>
              <w:bottom w:val="single" w:color="auto" w:sz="4" w:space="0"/>
              <w:right w:val="single" w:color="auto" w:sz="4" w:space="0"/>
            </w:tcBorders>
            <w:noWrap/>
            <w:vAlign w:val="center"/>
          </w:tcPr>
          <w:p w14:paraId="0C44C308">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名称</w:t>
            </w:r>
          </w:p>
        </w:tc>
        <w:tc>
          <w:tcPr>
            <w:tcW w:w="2856" w:type="pct"/>
            <w:tcBorders>
              <w:top w:val="single" w:color="auto" w:sz="4" w:space="0"/>
              <w:left w:val="single" w:color="auto" w:sz="4" w:space="0"/>
              <w:bottom w:val="single" w:color="auto" w:sz="4" w:space="0"/>
              <w:right w:val="single" w:color="auto" w:sz="4" w:space="0"/>
            </w:tcBorders>
            <w:vAlign w:val="center"/>
          </w:tcPr>
          <w:p w14:paraId="49E2A019">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技术参数</w:t>
            </w:r>
          </w:p>
        </w:tc>
        <w:tc>
          <w:tcPr>
            <w:tcW w:w="390" w:type="pct"/>
            <w:tcBorders>
              <w:top w:val="single" w:color="auto" w:sz="4" w:space="0"/>
              <w:left w:val="single" w:color="auto" w:sz="4" w:space="0"/>
              <w:bottom w:val="single" w:color="auto" w:sz="4" w:space="0"/>
              <w:right w:val="single" w:color="auto" w:sz="4" w:space="0"/>
            </w:tcBorders>
            <w:vAlign w:val="center"/>
          </w:tcPr>
          <w:p w14:paraId="03594E7C">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单位</w:t>
            </w:r>
          </w:p>
        </w:tc>
        <w:tc>
          <w:tcPr>
            <w:tcW w:w="329" w:type="pct"/>
            <w:tcBorders>
              <w:top w:val="single" w:color="auto" w:sz="4" w:space="0"/>
              <w:left w:val="single" w:color="auto" w:sz="4" w:space="0"/>
              <w:bottom w:val="single" w:color="auto" w:sz="4" w:space="0"/>
              <w:right w:val="single" w:color="auto" w:sz="4" w:space="0"/>
            </w:tcBorders>
            <w:noWrap/>
            <w:vAlign w:val="center"/>
          </w:tcPr>
          <w:p w14:paraId="61D16D42">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数量</w:t>
            </w:r>
          </w:p>
        </w:tc>
        <w:tc>
          <w:tcPr>
            <w:tcW w:w="454" w:type="pct"/>
            <w:tcBorders>
              <w:top w:val="single" w:color="auto" w:sz="4" w:space="0"/>
              <w:left w:val="single" w:color="auto" w:sz="4" w:space="0"/>
              <w:bottom w:val="single" w:color="auto" w:sz="4" w:space="0"/>
              <w:right w:val="single" w:color="auto" w:sz="4" w:space="0"/>
            </w:tcBorders>
            <w:noWrap/>
            <w:vAlign w:val="center"/>
          </w:tcPr>
          <w:p w14:paraId="503204D3">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所属行业</w:t>
            </w:r>
          </w:p>
        </w:tc>
      </w:tr>
      <w:tr w14:paraId="4431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5745FEB0">
            <w:pPr>
              <w:widowControl/>
              <w:spacing w:line="300" w:lineRule="auto"/>
              <w:jc w:val="right"/>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10</w:t>
            </w:r>
          </w:p>
        </w:tc>
        <w:tc>
          <w:tcPr>
            <w:tcW w:w="617" w:type="pct"/>
            <w:tcBorders>
              <w:top w:val="single" w:color="auto" w:sz="4" w:space="0"/>
              <w:left w:val="single" w:color="auto" w:sz="4" w:space="0"/>
              <w:bottom w:val="single" w:color="auto" w:sz="4" w:space="0"/>
              <w:right w:val="single" w:color="auto" w:sz="4" w:space="0"/>
            </w:tcBorders>
            <w:noWrap/>
            <w:vAlign w:val="center"/>
          </w:tcPr>
          <w:p w14:paraId="4286ECA0">
            <w:pPr>
              <w:widowControl/>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▲数字示波器</w:t>
            </w:r>
          </w:p>
        </w:tc>
        <w:tc>
          <w:tcPr>
            <w:tcW w:w="2856" w:type="pct"/>
            <w:tcBorders>
              <w:top w:val="single" w:color="auto" w:sz="4" w:space="0"/>
              <w:left w:val="single" w:color="auto" w:sz="4" w:space="0"/>
              <w:bottom w:val="single" w:color="auto" w:sz="4" w:space="0"/>
              <w:right w:val="single" w:color="auto" w:sz="4" w:space="0"/>
            </w:tcBorders>
            <w:vAlign w:val="center"/>
          </w:tcPr>
          <w:p w14:paraId="6F6DCE7D">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■1、模拟通道带宽：≥200 MHz </w:t>
            </w:r>
          </w:p>
          <w:p w14:paraId="743BC79D">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2、≥4个模拟通道，≥1个EXT通道</w:t>
            </w:r>
          </w:p>
          <w:p w14:paraId="5038600D">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■3、最高实时采样率：≥2GSa/s</w:t>
            </w:r>
          </w:p>
          <w:p w14:paraId="05CFF5AD">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★4、分辨率：硬件≥12 bit，软件高分辨率模式≥16 bit。</w:t>
            </w:r>
            <w:r>
              <w:rPr>
                <w:rFonts w:hint="eastAsia" w:asciiTheme="minorEastAsia" w:hAnsiTheme="minorEastAsia" w:eastAsiaTheme="minorEastAsia" w:cstheme="minorEastAsia"/>
                <w:b/>
                <w:bCs/>
                <w:color w:val="auto"/>
                <w:sz w:val="24"/>
                <w:szCs w:val="24"/>
              </w:rPr>
              <w:t>投标文件</w:t>
            </w:r>
            <w:r>
              <w:rPr>
                <w:rFonts w:hint="eastAsia" w:asciiTheme="minorEastAsia" w:hAnsiTheme="minorEastAsia" w:eastAsiaTheme="minorEastAsia" w:cstheme="minorEastAsia"/>
                <w:b/>
                <w:bCs/>
                <w:color w:val="auto"/>
                <w:sz w:val="24"/>
                <w:szCs w:val="24"/>
                <w:lang w:val="en-US" w:eastAsia="zh-CN"/>
              </w:rPr>
              <w:t>中</w:t>
            </w:r>
            <w:r>
              <w:rPr>
                <w:rFonts w:hint="eastAsia" w:asciiTheme="minorEastAsia" w:hAnsiTheme="minorEastAsia" w:eastAsiaTheme="minorEastAsia" w:cstheme="minorEastAsia"/>
                <w:b/>
                <w:bCs/>
                <w:color w:val="auto"/>
                <w:sz w:val="24"/>
                <w:szCs w:val="24"/>
              </w:rPr>
              <w:t>提供产品宣传彩页。</w:t>
            </w:r>
          </w:p>
          <w:p w14:paraId="30296F7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★5、最高存储深度：</w:t>
            </w:r>
            <w:bookmarkStart w:id="13" w:name="OLE_LINK19"/>
            <w:r>
              <w:rPr>
                <w:rFonts w:hint="eastAsia" w:asciiTheme="minorEastAsia" w:hAnsiTheme="minorEastAsia" w:eastAsiaTheme="minorEastAsia" w:cstheme="minorEastAsia"/>
                <w:color w:val="auto"/>
                <w:sz w:val="24"/>
                <w:szCs w:val="24"/>
              </w:rPr>
              <w:t>≥</w:t>
            </w:r>
            <w:bookmarkEnd w:id="13"/>
            <w:r>
              <w:rPr>
                <w:rFonts w:hint="eastAsia" w:asciiTheme="minorEastAsia" w:hAnsiTheme="minorEastAsia" w:eastAsiaTheme="minorEastAsia" w:cstheme="minorEastAsia"/>
                <w:color w:val="auto"/>
                <w:sz w:val="24"/>
                <w:szCs w:val="24"/>
              </w:rPr>
              <w:t>配备：50 Mpts。</w:t>
            </w:r>
            <w:bookmarkStart w:id="14" w:name="OLE_LINK22"/>
            <w:r>
              <w:rPr>
                <w:rFonts w:hint="eastAsia" w:asciiTheme="minorEastAsia" w:hAnsiTheme="minorEastAsia" w:eastAsiaTheme="minorEastAsia" w:cstheme="minorEastAsia"/>
                <w:b/>
                <w:bCs/>
                <w:color w:val="auto"/>
                <w:sz w:val="24"/>
                <w:szCs w:val="24"/>
              </w:rPr>
              <w:t>投标时提供功能演示。</w:t>
            </w:r>
            <w:bookmarkEnd w:id="14"/>
          </w:p>
          <w:p w14:paraId="461E79F6">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6、波形捕获率</w:t>
            </w:r>
            <w:bookmarkStart w:id="15" w:name="OLE_LINK20"/>
            <w:r>
              <w:rPr>
                <w:rFonts w:hint="eastAsia" w:asciiTheme="minorEastAsia" w:hAnsiTheme="minorEastAsia" w:eastAsiaTheme="minorEastAsia" w:cstheme="minorEastAsia"/>
                <w:color w:val="auto"/>
                <w:sz w:val="24"/>
                <w:szCs w:val="24"/>
              </w:rPr>
              <w:t>≥</w:t>
            </w:r>
            <w:bookmarkEnd w:id="15"/>
            <w:r>
              <w:rPr>
                <w:rFonts w:hint="eastAsia" w:asciiTheme="minorEastAsia" w:hAnsiTheme="minorEastAsia" w:eastAsiaTheme="minorEastAsia" w:cstheme="minorEastAsia"/>
                <w:color w:val="auto"/>
                <w:sz w:val="24"/>
                <w:szCs w:val="24"/>
              </w:rPr>
              <w:t>500,000 wfms/s</w:t>
            </w:r>
          </w:p>
          <w:p w14:paraId="348047A3">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7、垂直灵敏度范围：≥500 μV/div~10 V/div</w:t>
            </w:r>
          </w:p>
          <w:p w14:paraId="53B62A1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8、时基范围：≥2 ns/div~1 ks/div（支持时基微调）</w:t>
            </w:r>
          </w:p>
          <w:p w14:paraId="25C4F6B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9、水平模式：YT, XY, SCAN, ROLL</w:t>
            </w:r>
          </w:p>
          <w:p w14:paraId="2B910B63">
            <w:pPr>
              <w:spacing w:line="300" w:lineRule="auto"/>
              <w:jc w:val="left"/>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t>★10、≥50万帧的硬件实时波形不间断录制和回放功能。</w:t>
            </w:r>
            <w:r>
              <w:rPr>
                <w:rFonts w:hint="eastAsia" w:asciiTheme="minorEastAsia" w:hAnsiTheme="minorEastAsia" w:eastAsiaTheme="minorEastAsia" w:cstheme="minorEastAsia"/>
                <w:b/>
                <w:bCs/>
                <w:color w:val="auto"/>
                <w:sz w:val="24"/>
                <w:szCs w:val="24"/>
              </w:rPr>
              <w:t>投标文件</w:t>
            </w:r>
            <w:r>
              <w:rPr>
                <w:rFonts w:hint="eastAsia" w:asciiTheme="minorEastAsia" w:hAnsiTheme="minorEastAsia" w:eastAsiaTheme="minorEastAsia" w:cstheme="minorEastAsia"/>
                <w:b/>
                <w:bCs/>
                <w:color w:val="auto"/>
                <w:sz w:val="24"/>
                <w:szCs w:val="24"/>
                <w:lang w:val="en-US" w:eastAsia="zh-CN"/>
              </w:rPr>
              <w:t>中</w:t>
            </w:r>
            <w:r>
              <w:rPr>
                <w:rFonts w:hint="eastAsia" w:asciiTheme="minorEastAsia" w:hAnsiTheme="minorEastAsia" w:eastAsiaTheme="minorEastAsia" w:cstheme="minorEastAsia"/>
                <w:b/>
                <w:bCs/>
                <w:color w:val="auto"/>
                <w:sz w:val="24"/>
                <w:szCs w:val="24"/>
              </w:rPr>
              <w:t>提供产品宣传彩页。</w:t>
            </w:r>
          </w:p>
          <w:p w14:paraId="0B2D5A5D">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11、提供数字电压表、频率计和48位累加计数器</w:t>
            </w:r>
          </w:p>
          <w:p w14:paraId="4E53C35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12、触发功能：边沿、脉宽、斜率、视频、码型、持续时间、超时、欠幅脉冲、超幅、延迟、建立保持、第 N 边沿触发、I2C、SPI、RS232/UART、CAN、LIN</w:t>
            </w:r>
          </w:p>
          <w:p w14:paraId="677B7202">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13、≥41种波形参数自动测量</w:t>
            </w:r>
          </w:p>
          <w:p w14:paraId="3C655BCB">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14、数学运算：加、减、乘、除、FFT、与、或、非、异或、Intg、Diff、Lg、Ln、Exp、Sqrt、Abs、AX+B、低通滤波、高通滤波、带通滤波、带阻滤波，内置增强FFT分析和峰值搜索功能</w:t>
            </w:r>
          </w:p>
          <w:p w14:paraId="72A2412C">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15、支持失败图形保存，超限可报警，可设置输出脉冲信号</w:t>
            </w:r>
          </w:p>
          <w:p w14:paraId="187F5FD2">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16、独立的搜索、导航按键和事件列表</w:t>
            </w:r>
          </w:p>
          <w:p w14:paraId="50434828">
            <w:pPr>
              <w:widowControl/>
              <w:spacing w:line="300" w:lineRule="auto"/>
              <w:jc w:val="left"/>
              <w:rPr>
                <w:rFonts w:hint="eastAsia" w:asciiTheme="minorEastAsia" w:hAnsiTheme="minorEastAsia" w:eastAsiaTheme="minorEastAsia" w:cstheme="minorEastAsia"/>
                <w:color w:val="auto"/>
                <w:kern w:val="0"/>
                <w:sz w:val="24"/>
                <w:szCs w:val="24"/>
              </w:rPr>
            </w:pPr>
            <w:bookmarkStart w:id="16" w:name="OLE_LINK27"/>
            <w:r>
              <w:rPr>
                <w:rFonts w:hint="eastAsia" w:asciiTheme="minorEastAsia" w:hAnsiTheme="minorEastAsia" w:eastAsiaTheme="minorEastAsia" w:cstheme="minorEastAsia"/>
                <w:color w:val="auto"/>
                <w:sz w:val="24"/>
                <w:szCs w:val="24"/>
              </w:rPr>
              <w:t>★</w:t>
            </w:r>
            <w:bookmarkEnd w:id="16"/>
            <w:r>
              <w:rPr>
                <w:rFonts w:hint="eastAsia" w:asciiTheme="minorEastAsia" w:hAnsiTheme="minorEastAsia" w:eastAsiaTheme="minorEastAsia" w:cstheme="minorEastAsia"/>
                <w:color w:val="auto"/>
                <w:sz w:val="24"/>
                <w:szCs w:val="24"/>
              </w:rPr>
              <w:t>17、≥10.1 英寸≥1280*800 高清触控显示屏。</w:t>
            </w:r>
            <w:bookmarkStart w:id="17" w:name="OLE_LINK26"/>
            <w:bookmarkStart w:id="18" w:name="OLE_LINK52"/>
            <w:r>
              <w:rPr>
                <w:rFonts w:hint="eastAsia" w:asciiTheme="minorEastAsia" w:hAnsiTheme="minorEastAsia" w:eastAsiaTheme="minorEastAsia" w:cstheme="minorEastAsia"/>
                <w:b/>
                <w:bCs/>
                <w:color w:val="auto"/>
                <w:sz w:val="24"/>
                <w:szCs w:val="24"/>
              </w:rPr>
              <w:t>投标文件</w:t>
            </w:r>
            <w:r>
              <w:rPr>
                <w:rFonts w:hint="eastAsia" w:asciiTheme="minorEastAsia" w:hAnsiTheme="minorEastAsia" w:eastAsiaTheme="minorEastAsia" w:cstheme="minorEastAsia"/>
                <w:b/>
                <w:bCs/>
                <w:color w:val="auto"/>
                <w:sz w:val="24"/>
                <w:szCs w:val="24"/>
                <w:lang w:val="en-US" w:eastAsia="zh-CN"/>
              </w:rPr>
              <w:t>中</w:t>
            </w:r>
            <w:r>
              <w:rPr>
                <w:rFonts w:hint="eastAsia" w:asciiTheme="minorEastAsia" w:hAnsiTheme="minorEastAsia" w:eastAsiaTheme="minorEastAsia" w:cstheme="minorEastAsia"/>
                <w:b/>
                <w:bCs/>
                <w:color w:val="auto"/>
                <w:sz w:val="24"/>
                <w:szCs w:val="24"/>
              </w:rPr>
              <w:t>提供产品宣传彩页</w:t>
            </w:r>
            <w:r>
              <w:rPr>
                <w:rFonts w:hint="eastAsia" w:asciiTheme="minorEastAsia" w:hAnsiTheme="minorEastAsia" w:eastAsiaTheme="minorEastAsia" w:cstheme="minorEastAsia"/>
                <w:color w:val="auto"/>
                <w:sz w:val="24"/>
                <w:szCs w:val="24"/>
              </w:rPr>
              <w:t>。</w:t>
            </w:r>
            <w:bookmarkEnd w:id="17"/>
            <w:bookmarkEnd w:id="18"/>
          </w:p>
          <w:p w14:paraId="2CA6E1F9">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18、提供模拟通道波形的色温显示，不同颜色表示数据采集的次数或概率</w:t>
            </w:r>
          </w:p>
          <w:p w14:paraId="6EE0E2ED">
            <w:pPr>
              <w:spacing w:line="300" w:lineRule="auto"/>
              <w:jc w:val="left"/>
              <w:rPr>
                <w:rFonts w:hint="eastAsia" w:asciiTheme="minorEastAsia" w:hAnsiTheme="minorEastAsia" w:eastAsiaTheme="minorEastAsia" w:cstheme="minorEastAsia"/>
                <w:color w:val="auto"/>
                <w:sz w:val="24"/>
                <w:szCs w:val="24"/>
              </w:rPr>
            </w:pPr>
            <w:bookmarkStart w:id="19" w:name="OLE_LINK30"/>
            <w:r>
              <w:rPr>
                <w:rFonts w:hint="eastAsia" w:asciiTheme="minorEastAsia" w:hAnsiTheme="minorEastAsia" w:eastAsiaTheme="minorEastAsia" w:cstheme="minorEastAsia"/>
                <w:color w:val="auto"/>
                <w:sz w:val="24"/>
                <w:szCs w:val="24"/>
              </w:rPr>
              <w:t>★</w:t>
            </w:r>
            <w:bookmarkEnd w:id="19"/>
            <w:r>
              <w:rPr>
                <w:rFonts w:hint="eastAsia" w:asciiTheme="minorEastAsia" w:hAnsiTheme="minorEastAsia" w:eastAsiaTheme="minorEastAsia" w:cstheme="minorEastAsia"/>
                <w:color w:val="auto"/>
                <w:sz w:val="24"/>
                <w:szCs w:val="24"/>
              </w:rPr>
              <w:t>19、接口： USB Host 、USB Device、LAN(符合LXI总线行业标准)、HDMI、TRIG OUT。</w:t>
            </w:r>
            <w:r>
              <w:rPr>
                <w:rFonts w:hint="eastAsia" w:asciiTheme="minorEastAsia" w:hAnsiTheme="minorEastAsia" w:eastAsiaTheme="minorEastAsia" w:cstheme="minorEastAsia"/>
                <w:b/>
                <w:bCs/>
                <w:color w:val="auto"/>
                <w:sz w:val="24"/>
                <w:szCs w:val="24"/>
              </w:rPr>
              <w:t>投标文件</w:t>
            </w:r>
            <w:r>
              <w:rPr>
                <w:rFonts w:hint="eastAsia" w:asciiTheme="minorEastAsia" w:hAnsiTheme="minorEastAsia" w:eastAsiaTheme="minorEastAsia" w:cstheme="minorEastAsia"/>
                <w:b/>
                <w:bCs/>
                <w:color w:val="auto"/>
                <w:sz w:val="24"/>
                <w:szCs w:val="24"/>
                <w:lang w:val="en-US" w:eastAsia="zh-CN"/>
              </w:rPr>
              <w:t>中</w:t>
            </w:r>
            <w:r>
              <w:rPr>
                <w:rFonts w:hint="eastAsia" w:asciiTheme="minorEastAsia" w:hAnsiTheme="minorEastAsia" w:eastAsiaTheme="minorEastAsia" w:cstheme="minorEastAsia"/>
                <w:b/>
                <w:bCs/>
                <w:color w:val="auto"/>
                <w:sz w:val="24"/>
                <w:szCs w:val="24"/>
              </w:rPr>
              <w:t>提供产品宣传彩页</w:t>
            </w:r>
            <w:r>
              <w:rPr>
                <w:rFonts w:hint="eastAsia" w:asciiTheme="minorEastAsia" w:hAnsiTheme="minorEastAsia" w:eastAsiaTheme="minorEastAsia" w:cstheme="minorEastAsia"/>
                <w:color w:val="auto"/>
                <w:sz w:val="24"/>
                <w:szCs w:val="24"/>
              </w:rPr>
              <w:t>。</w:t>
            </w:r>
          </w:p>
          <w:p w14:paraId="69E36F43">
            <w:pPr>
              <w:spacing w:line="300" w:lineRule="auto"/>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20、支持Web Control远程命令控制</w:t>
            </w:r>
            <w:r>
              <w:rPr>
                <w:rFonts w:hint="eastAsia" w:asciiTheme="minorEastAsia" w:hAnsiTheme="minorEastAsia" w:eastAsiaTheme="minorEastAsia" w:cstheme="minorEastAsia"/>
                <w:color w:val="auto"/>
                <w:sz w:val="24"/>
                <w:szCs w:val="24"/>
                <w:lang w:eastAsia="zh-CN"/>
              </w:rPr>
              <w:t>；</w:t>
            </w:r>
          </w:p>
          <w:p w14:paraId="6D1F82A0">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21、此实验室共配置一套频谱分析仪：</w:t>
            </w:r>
            <w:bookmarkStart w:id="20" w:name="_Hlk29892382"/>
          </w:p>
          <w:p w14:paraId="450002B5">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通用特性：</w:t>
            </w:r>
          </w:p>
          <w:p w14:paraId="27ED156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bookmarkStart w:id="21" w:name="OLE_LINK28"/>
            <w:r>
              <w:rPr>
                <w:rFonts w:hint="eastAsia" w:asciiTheme="minorEastAsia" w:hAnsiTheme="minorEastAsia" w:eastAsiaTheme="minorEastAsia" w:cstheme="minorEastAsia"/>
                <w:color w:val="auto"/>
                <w:sz w:val="24"/>
                <w:szCs w:val="24"/>
              </w:rPr>
              <w:t>）</w:t>
            </w:r>
            <w:bookmarkEnd w:id="21"/>
            <w:r>
              <w:rPr>
                <w:rFonts w:hint="eastAsia" w:asciiTheme="minorEastAsia" w:hAnsiTheme="minorEastAsia" w:eastAsiaTheme="minorEastAsia" w:cstheme="minorEastAsia"/>
                <w:color w:val="auto"/>
                <w:sz w:val="24"/>
                <w:szCs w:val="24"/>
              </w:rPr>
              <w:t>工作模式：支持实时分析模式和扫频分析模式，内置EMI分析模式及矢量信号分析模式。</w:t>
            </w:r>
            <w:bookmarkStart w:id="22" w:name="OLE_LINK31"/>
            <w:r>
              <w:rPr>
                <w:rFonts w:hint="eastAsia" w:asciiTheme="minorEastAsia" w:hAnsiTheme="minorEastAsia" w:eastAsiaTheme="minorEastAsia" w:cstheme="minorEastAsia"/>
                <w:b/>
                <w:bCs/>
                <w:color w:val="auto"/>
                <w:sz w:val="24"/>
                <w:szCs w:val="24"/>
              </w:rPr>
              <w:t>投标时提供系统演示。</w:t>
            </w:r>
            <w:bookmarkEnd w:id="22"/>
          </w:p>
          <w:p w14:paraId="08D9266F">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2）频率范围：不低于9 kHz至6.5 GHz</w:t>
            </w:r>
          </w:p>
          <w:p w14:paraId="3585029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3）时钟参考稳定度：不低于1ppm/年。</w:t>
            </w:r>
          </w:p>
          <w:p w14:paraId="21A27DD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4）显示平均噪声电平：DANL&lt;-165 dBm（典型值）</w:t>
            </w:r>
          </w:p>
          <w:p w14:paraId="60C57EA1">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5）相位噪声：&lt;-108 dBc/Hz（典型值）</w:t>
            </w:r>
          </w:p>
          <w:p w14:paraId="040E569E">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w:t>
            </w:r>
            <w:bookmarkStart w:id="23" w:name="OLE_LINK34"/>
            <w:r>
              <w:rPr>
                <w:rFonts w:hint="eastAsia" w:asciiTheme="minorEastAsia" w:hAnsiTheme="minorEastAsia" w:eastAsiaTheme="minorEastAsia" w:cstheme="minorEastAsia"/>
                <w:color w:val="auto"/>
                <w:sz w:val="24"/>
                <w:szCs w:val="24"/>
              </w:rPr>
              <w:t>）</w:t>
            </w:r>
            <w:bookmarkEnd w:id="23"/>
            <w:r>
              <w:rPr>
                <w:rFonts w:hint="eastAsia" w:asciiTheme="minorEastAsia" w:hAnsiTheme="minorEastAsia" w:eastAsiaTheme="minorEastAsia" w:cstheme="minorEastAsia"/>
                <w:color w:val="auto"/>
                <w:sz w:val="24"/>
                <w:szCs w:val="24"/>
              </w:rPr>
              <w:t>电平测量不确定度：&lt;0.8 dB（标称值）</w:t>
            </w:r>
          </w:p>
          <w:p w14:paraId="5B922AC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7）分辨率带宽RBW：不低于1 Hz~10MHz</w:t>
            </w:r>
          </w:p>
          <w:p w14:paraId="41A7BCE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8）支持扫频分析（频域）、FFT分析（频域）或零扫宽分析（时域）进行测量</w:t>
            </w:r>
          </w:p>
          <w:p w14:paraId="1AA1D507">
            <w:pPr>
              <w:spacing w:line="300" w:lineRule="auto"/>
              <w:jc w:val="left"/>
              <w:rPr>
                <w:rFonts w:hint="eastAsia" w:asciiTheme="minorEastAsia" w:hAnsiTheme="minorEastAsia" w:eastAsiaTheme="minorEastAsia" w:cstheme="minorEastAsia"/>
                <w:color w:val="auto"/>
                <w:sz w:val="24"/>
                <w:szCs w:val="24"/>
              </w:rPr>
            </w:pPr>
            <w:bookmarkStart w:id="24" w:name="_Hlk29891231"/>
            <w:r>
              <w:rPr>
                <w:rFonts w:hint="eastAsia" w:asciiTheme="minorEastAsia" w:hAnsiTheme="minorEastAsia" w:eastAsiaTheme="minorEastAsia" w:cstheme="minorEastAsia"/>
                <w:color w:val="auto"/>
                <w:sz w:val="24"/>
                <w:szCs w:val="24"/>
              </w:rPr>
              <w:t>9）实时分析带宽：≥25MHz。</w:t>
            </w:r>
          </w:p>
          <w:p w14:paraId="0141D65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★10）频率模板触发：通过频率模板触发可对偶发或者瞬变信号进行触发测量。</w:t>
            </w:r>
            <w:r>
              <w:rPr>
                <w:rFonts w:hint="eastAsia" w:asciiTheme="minorEastAsia" w:hAnsiTheme="minorEastAsia" w:eastAsiaTheme="minorEastAsia" w:cstheme="minorEastAsia"/>
                <w:b/>
                <w:bCs/>
                <w:color w:val="auto"/>
                <w:sz w:val="24"/>
                <w:szCs w:val="24"/>
              </w:rPr>
              <w:t>投标时提供系统演示。</w:t>
            </w:r>
          </w:p>
          <w:p w14:paraId="31CD34E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11）内置CISPR 标准EMI分析功能，支持EN标准及测试报告打印。</w:t>
            </w:r>
          </w:p>
          <w:bookmarkEnd w:id="24"/>
          <w:p w14:paraId="6512322E">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12）提供EMI预一致性测试软件。</w:t>
            </w:r>
          </w:p>
          <w:p w14:paraId="077BCF1E">
            <w:pPr>
              <w:spacing w:line="300" w:lineRule="auto"/>
              <w:jc w:val="left"/>
              <w:rPr>
                <w:rFonts w:hint="eastAsia" w:asciiTheme="minorEastAsia" w:hAnsiTheme="minorEastAsia" w:eastAsiaTheme="minorEastAsia" w:cstheme="minorEastAsia"/>
                <w:color w:val="auto"/>
                <w:sz w:val="24"/>
                <w:szCs w:val="24"/>
              </w:rPr>
            </w:pPr>
            <w:bookmarkStart w:id="25" w:name="OLE_LINK32"/>
            <w:r>
              <w:rPr>
                <w:rFonts w:hint="eastAsia" w:asciiTheme="minorEastAsia" w:hAnsiTheme="minorEastAsia" w:eastAsiaTheme="minorEastAsia" w:cstheme="minorEastAsia"/>
                <w:color w:val="auto"/>
                <w:sz w:val="24"/>
                <w:szCs w:val="24"/>
              </w:rPr>
              <w:t>★</w:t>
            </w:r>
            <w:bookmarkEnd w:id="25"/>
            <w:r>
              <w:rPr>
                <w:rFonts w:hint="eastAsia" w:asciiTheme="minorEastAsia" w:hAnsiTheme="minorEastAsia" w:eastAsiaTheme="minorEastAsia" w:cstheme="minorEastAsia"/>
                <w:color w:val="auto"/>
                <w:sz w:val="24"/>
                <w:szCs w:val="24"/>
              </w:rPr>
              <w:t>13）支持ASK、FSK、PSK、QAM及Bluetooth、WLAN（802.11b）、ZigBee等全部矢量信号分析功能</w:t>
            </w:r>
            <w:bookmarkStart w:id="26" w:name="OLE_LINK33"/>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b/>
                <w:bCs/>
                <w:color w:val="auto"/>
                <w:sz w:val="24"/>
                <w:szCs w:val="24"/>
              </w:rPr>
              <w:t>投标时提供系统演示。</w:t>
            </w:r>
            <w:bookmarkEnd w:id="26"/>
          </w:p>
          <w:p w14:paraId="6848765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14）支持外接鼠标，键盘操作</w:t>
            </w:r>
          </w:p>
          <w:p w14:paraId="0C9D2EEC">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15）≥10.1英寸多点触摸屏，支持手势操作</w:t>
            </w:r>
          </w:p>
          <w:p w14:paraId="080A4436">
            <w:pPr>
              <w:spacing w:line="300" w:lineRule="auto"/>
              <w:jc w:val="left"/>
              <w:rPr>
                <w:rFonts w:hint="eastAsia" w:asciiTheme="minorEastAsia" w:hAnsiTheme="minorEastAsia" w:eastAsiaTheme="minorEastAsia" w:cstheme="minorEastAsia"/>
                <w:color w:val="auto"/>
                <w:sz w:val="24"/>
                <w:szCs w:val="24"/>
              </w:rPr>
            </w:pPr>
            <w:bookmarkStart w:id="27" w:name="OLE_LINK37"/>
            <w:r>
              <w:rPr>
                <w:rFonts w:hint="eastAsia" w:asciiTheme="minorEastAsia" w:hAnsiTheme="minorEastAsia" w:eastAsiaTheme="minorEastAsia" w:cstheme="minorEastAsia"/>
                <w:color w:val="auto"/>
                <w:sz w:val="24"/>
                <w:szCs w:val="24"/>
              </w:rPr>
              <w:t>★</w:t>
            </w:r>
            <w:bookmarkEnd w:id="27"/>
            <w:r>
              <w:rPr>
                <w:rFonts w:hint="eastAsia" w:asciiTheme="minorEastAsia" w:hAnsiTheme="minorEastAsia" w:eastAsiaTheme="minorEastAsia" w:cstheme="minorEastAsia"/>
                <w:color w:val="auto"/>
                <w:sz w:val="24"/>
                <w:szCs w:val="24"/>
              </w:rPr>
              <w:t>16）不低于USB Host x4、USB Device、LAN、HDMI等通信和显示接口。</w:t>
            </w:r>
            <w:bookmarkStart w:id="28" w:name="OLE_LINK38"/>
            <w:r>
              <w:rPr>
                <w:rFonts w:hint="eastAsia" w:asciiTheme="minorEastAsia" w:hAnsiTheme="minorEastAsia" w:eastAsiaTheme="minorEastAsia" w:cstheme="minorEastAsia"/>
                <w:b/>
                <w:bCs/>
                <w:color w:val="auto"/>
                <w:sz w:val="24"/>
                <w:szCs w:val="24"/>
              </w:rPr>
              <w:t>投标文件</w:t>
            </w:r>
            <w:r>
              <w:rPr>
                <w:rFonts w:hint="eastAsia" w:asciiTheme="minorEastAsia" w:hAnsiTheme="minorEastAsia" w:eastAsiaTheme="minorEastAsia" w:cstheme="minorEastAsia"/>
                <w:b/>
                <w:bCs/>
                <w:color w:val="auto"/>
                <w:sz w:val="24"/>
                <w:szCs w:val="24"/>
                <w:lang w:val="en-US" w:eastAsia="zh-CN"/>
              </w:rPr>
              <w:t>中</w:t>
            </w:r>
            <w:r>
              <w:rPr>
                <w:rFonts w:hint="eastAsia" w:asciiTheme="minorEastAsia" w:hAnsiTheme="minorEastAsia" w:eastAsiaTheme="minorEastAsia" w:cstheme="minorEastAsia"/>
                <w:b/>
                <w:bCs/>
                <w:color w:val="auto"/>
                <w:sz w:val="24"/>
                <w:szCs w:val="24"/>
              </w:rPr>
              <w:t>提供产品宣传彩页。</w:t>
            </w:r>
            <w:bookmarkEnd w:id="28"/>
          </w:p>
          <w:p w14:paraId="718D8BD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17）配置跟踪源，输出频率范围：不低于100 kHz至6.5 GHz</w:t>
            </w:r>
          </w:p>
          <w:p w14:paraId="1B6A0CE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18）跟踪源输出功率：-40 dBm至0 dBm，步进不低于1 dB，输出平坦度：不低于±3 dB</w:t>
            </w:r>
          </w:p>
          <w:p w14:paraId="520E71C3">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19）可禁用前面板电源开关，上电后自动开机</w:t>
            </w:r>
          </w:p>
          <w:bookmarkEnd w:id="20"/>
          <w:p w14:paraId="5BF7A41D">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实时模式特性：</w:t>
            </w:r>
          </w:p>
          <w:p w14:paraId="2EA6A82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bookmarkStart w:id="29" w:name="OLE_LINK35"/>
            <w:r>
              <w:rPr>
                <w:rFonts w:hint="eastAsia" w:asciiTheme="minorEastAsia" w:hAnsiTheme="minorEastAsia" w:eastAsiaTheme="minorEastAsia" w:cstheme="minorEastAsia"/>
                <w:color w:val="auto"/>
                <w:sz w:val="24"/>
                <w:szCs w:val="24"/>
              </w:rPr>
              <w:t>）</w:t>
            </w:r>
            <w:bookmarkEnd w:id="29"/>
            <w:r>
              <w:rPr>
                <w:rFonts w:hint="eastAsia" w:asciiTheme="minorEastAsia" w:hAnsiTheme="minorEastAsia" w:eastAsiaTheme="minorEastAsia" w:cstheme="minorEastAsia"/>
                <w:color w:val="auto"/>
                <w:sz w:val="24"/>
                <w:szCs w:val="24"/>
              </w:rPr>
              <w:t>实时分析带宽：≥25MHz。</w:t>
            </w:r>
          </w:p>
          <w:p w14:paraId="3EE0E9F2">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2）全幅度精度，100%POI时的最短信号持续时间：</w:t>
            </w:r>
            <w:bookmarkStart w:id="30" w:name="OLE_LINK36"/>
            <w:r>
              <w:rPr>
                <w:rFonts w:hint="eastAsia" w:asciiTheme="minorEastAsia" w:hAnsiTheme="minorEastAsia" w:eastAsiaTheme="minorEastAsia" w:cstheme="minorEastAsia"/>
                <w:color w:val="auto"/>
                <w:sz w:val="24"/>
                <w:szCs w:val="24"/>
              </w:rPr>
              <w:t>≤</w:t>
            </w:r>
            <w:bookmarkEnd w:id="30"/>
            <w:r>
              <w:rPr>
                <w:rFonts w:hint="eastAsia" w:asciiTheme="minorEastAsia" w:hAnsiTheme="minorEastAsia" w:eastAsiaTheme="minorEastAsia" w:cstheme="minorEastAsia"/>
                <w:color w:val="auto"/>
                <w:sz w:val="24"/>
                <w:szCs w:val="24"/>
              </w:rPr>
              <w:t>7.45μs</w:t>
            </w:r>
          </w:p>
          <w:p w14:paraId="1AD8848F">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3）最大采样率：≥51.2 MSa/s</w:t>
            </w:r>
          </w:p>
          <w:p w14:paraId="14DA7792">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4）FFT 速率：</w:t>
            </w:r>
            <w:bookmarkStart w:id="31" w:name="OLE_LINK40"/>
            <w:r>
              <w:rPr>
                <w:rFonts w:hint="eastAsia" w:asciiTheme="minorEastAsia" w:hAnsiTheme="minorEastAsia" w:eastAsiaTheme="minorEastAsia" w:cstheme="minorEastAsia"/>
                <w:color w:val="auto"/>
                <w:sz w:val="24"/>
                <w:szCs w:val="24"/>
              </w:rPr>
              <w:t>≥</w:t>
            </w:r>
            <w:bookmarkEnd w:id="31"/>
            <w:r>
              <w:rPr>
                <w:rFonts w:hint="eastAsia" w:asciiTheme="minorEastAsia" w:hAnsiTheme="minorEastAsia" w:eastAsiaTheme="minorEastAsia" w:cstheme="minorEastAsia"/>
                <w:color w:val="auto"/>
                <w:sz w:val="24"/>
                <w:szCs w:val="24"/>
              </w:rPr>
              <w:t>146,484/s（标称值）</w:t>
            </w:r>
          </w:p>
          <w:p w14:paraId="110C826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5）幅度分辨率：≥0.01dB</w:t>
            </w:r>
          </w:p>
          <w:p w14:paraId="58D26232">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6）幅度平坦度：≤0.5 dB（标称值）</w:t>
            </w:r>
          </w:p>
          <w:p w14:paraId="7665C06D">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7）窗口类型：汉宁，布莱克曼-哈里斯，矩形，平顶，凯撒，高斯</w:t>
            </w:r>
          </w:p>
          <w:p w14:paraId="17917C2F">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8）检波方式：正峰值，负峰值，抽样，平均值</w:t>
            </w:r>
          </w:p>
          <w:p w14:paraId="2117B66F">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9）无缝分析：可在分析带宽内对信号进行无缝采集和分析</w:t>
            </w:r>
          </w:p>
          <w:p w14:paraId="75F14CA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10）频率模板触发：通过频率模板触发可对偶发或者瞬变信号进行触发测量</w:t>
            </w:r>
          </w:p>
          <w:p w14:paraId="1D6CD7B5">
            <w:pPr>
              <w:spacing w:line="300" w:lineRule="auto"/>
              <w:jc w:val="left"/>
              <w:rPr>
                <w:rFonts w:hint="eastAsia" w:asciiTheme="minorEastAsia" w:hAnsiTheme="minorEastAsia" w:eastAsiaTheme="minorEastAsia" w:cstheme="minorEastAsia"/>
                <w:color w:val="auto"/>
                <w:sz w:val="24"/>
                <w:szCs w:val="24"/>
              </w:rPr>
            </w:pPr>
            <w:bookmarkStart w:id="32" w:name="OLE_LINK45"/>
            <w:r>
              <w:rPr>
                <w:rFonts w:hint="eastAsia" w:asciiTheme="minorEastAsia" w:hAnsiTheme="minorEastAsia" w:eastAsiaTheme="minorEastAsia" w:cstheme="minorEastAsia"/>
                <w:color w:val="auto"/>
                <w:sz w:val="24"/>
                <w:szCs w:val="24"/>
              </w:rPr>
              <w:t>★</w:t>
            </w:r>
            <w:bookmarkEnd w:id="32"/>
            <w:r>
              <w:rPr>
                <w:rFonts w:hint="eastAsia" w:asciiTheme="minorEastAsia" w:hAnsiTheme="minorEastAsia" w:eastAsiaTheme="minorEastAsia" w:cstheme="minorEastAsia"/>
                <w:color w:val="auto"/>
                <w:sz w:val="24"/>
                <w:szCs w:val="24"/>
              </w:rPr>
              <w:t>11）显示方式：提供概率密度谱、光谱图和时间功率等显示方式。</w:t>
            </w:r>
            <w:bookmarkStart w:id="33" w:name="OLE_LINK44"/>
            <w:r>
              <w:rPr>
                <w:rFonts w:hint="eastAsia" w:asciiTheme="minorEastAsia" w:hAnsiTheme="minorEastAsia" w:eastAsiaTheme="minorEastAsia" w:cstheme="minorEastAsia"/>
                <w:b/>
                <w:bCs/>
                <w:color w:val="auto"/>
                <w:sz w:val="24"/>
                <w:szCs w:val="24"/>
              </w:rPr>
              <w:t>投标时提供演示。</w:t>
            </w:r>
            <w:bookmarkEnd w:id="33"/>
          </w:p>
        </w:tc>
        <w:tc>
          <w:tcPr>
            <w:tcW w:w="390" w:type="pct"/>
            <w:tcBorders>
              <w:top w:val="single" w:color="auto" w:sz="4" w:space="0"/>
              <w:left w:val="single" w:color="auto" w:sz="4" w:space="0"/>
              <w:bottom w:val="single" w:color="auto" w:sz="4" w:space="0"/>
              <w:right w:val="single" w:color="auto" w:sz="4" w:space="0"/>
            </w:tcBorders>
            <w:vAlign w:val="center"/>
          </w:tcPr>
          <w:p w14:paraId="0939E006">
            <w:pPr>
              <w:widowControl/>
              <w:spacing w:line="300" w:lineRule="auto"/>
              <w:jc w:val="center"/>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台</w:t>
            </w:r>
          </w:p>
        </w:tc>
        <w:tc>
          <w:tcPr>
            <w:tcW w:w="329" w:type="pct"/>
            <w:tcBorders>
              <w:top w:val="single" w:color="auto" w:sz="4" w:space="0"/>
              <w:left w:val="single" w:color="auto" w:sz="4" w:space="0"/>
              <w:bottom w:val="single" w:color="auto" w:sz="4" w:space="0"/>
              <w:right w:val="single" w:color="auto" w:sz="4" w:space="0"/>
            </w:tcBorders>
            <w:noWrap/>
            <w:vAlign w:val="center"/>
          </w:tcPr>
          <w:p w14:paraId="4665D293">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96</w:t>
            </w:r>
          </w:p>
        </w:tc>
        <w:tc>
          <w:tcPr>
            <w:tcW w:w="454" w:type="pct"/>
            <w:tcBorders>
              <w:top w:val="single" w:color="auto" w:sz="4" w:space="0"/>
              <w:left w:val="single" w:color="auto" w:sz="4" w:space="0"/>
              <w:bottom w:val="single" w:color="auto" w:sz="4" w:space="0"/>
              <w:right w:val="single" w:color="auto" w:sz="4" w:space="0"/>
            </w:tcBorders>
            <w:noWrap/>
            <w:vAlign w:val="center"/>
          </w:tcPr>
          <w:p w14:paraId="63BEE317">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工业</w:t>
            </w:r>
          </w:p>
        </w:tc>
      </w:tr>
      <w:tr w14:paraId="05AD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1AFC6A92">
            <w:pPr>
              <w:widowControl/>
              <w:spacing w:line="300" w:lineRule="auto"/>
              <w:jc w:val="right"/>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11</w:t>
            </w:r>
          </w:p>
        </w:tc>
        <w:tc>
          <w:tcPr>
            <w:tcW w:w="617" w:type="pct"/>
            <w:tcBorders>
              <w:top w:val="single" w:color="auto" w:sz="4" w:space="0"/>
              <w:left w:val="single" w:color="auto" w:sz="4" w:space="0"/>
              <w:bottom w:val="single" w:color="auto" w:sz="4" w:space="0"/>
              <w:right w:val="single" w:color="auto" w:sz="4" w:space="0"/>
            </w:tcBorders>
            <w:noWrap/>
            <w:vAlign w:val="center"/>
          </w:tcPr>
          <w:p w14:paraId="282F578A">
            <w:pPr>
              <w:widowControl/>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滑动变阻器</w:t>
            </w:r>
          </w:p>
        </w:tc>
        <w:tc>
          <w:tcPr>
            <w:tcW w:w="2856" w:type="pct"/>
            <w:tcBorders>
              <w:top w:val="single" w:color="auto" w:sz="4" w:space="0"/>
              <w:left w:val="single" w:color="auto" w:sz="4" w:space="0"/>
              <w:bottom w:val="single" w:color="auto" w:sz="4" w:space="0"/>
              <w:right w:val="single" w:color="auto" w:sz="4" w:space="0"/>
            </w:tcBorders>
            <w:vAlign w:val="center"/>
          </w:tcPr>
          <w:p w14:paraId="30C46646">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1、变阻器采用了经过氧化绝缘处理的康铜线，密绕于瓷管组成的电阻元件，装上金属保护支架，滑键等。通过滑键的导电接触刷，在康铜丝表面移动，达到改变阻值的大小，移动滑键的采用手推。</w:t>
            </w:r>
          </w:p>
          <w:p w14:paraId="467F911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2、电流不低于2A，阻值不低于0-150Ω，交直流均可实验；</w:t>
            </w:r>
          </w:p>
          <w:p w14:paraId="2F7B6759">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3、电阻器的阻值误差不超过标准阻值的±10%；</w:t>
            </w:r>
          </w:p>
          <w:p w14:paraId="5179FBA5">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4、变阻器的绝缘应能承受交流50赫磁2850伏的试验电压、历时不低于1分钟，而无击穿或闪络现象；</w:t>
            </w:r>
          </w:p>
          <w:p w14:paraId="0830B6A3">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5、变阻器的绝缘电阻在温度+20℃±5℃及相对温度为60~70%时，不低于10兆欧。</w:t>
            </w:r>
          </w:p>
        </w:tc>
        <w:tc>
          <w:tcPr>
            <w:tcW w:w="390" w:type="pct"/>
            <w:tcBorders>
              <w:top w:val="single" w:color="auto" w:sz="4" w:space="0"/>
              <w:left w:val="single" w:color="auto" w:sz="4" w:space="0"/>
              <w:bottom w:val="single" w:color="auto" w:sz="4" w:space="0"/>
              <w:right w:val="single" w:color="auto" w:sz="4" w:space="0"/>
            </w:tcBorders>
            <w:vAlign w:val="center"/>
          </w:tcPr>
          <w:p w14:paraId="0FF243B3">
            <w:pPr>
              <w:widowControl/>
              <w:spacing w:line="300" w:lineRule="auto"/>
              <w:jc w:val="center"/>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台</w:t>
            </w:r>
          </w:p>
        </w:tc>
        <w:tc>
          <w:tcPr>
            <w:tcW w:w="329" w:type="pct"/>
            <w:tcBorders>
              <w:top w:val="single" w:color="auto" w:sz="4" w:space="0"/>
              <w:left w:val="single" w:color="auto" w:sz="4" w:space="0"/>
              <w:bottom w:val="single" w:color="auto" w:sz="4" w:space="0"/>
              <w:right w:val="single" w:color="auto" w:sz="4" w:space="0"/>
            </w:tcBorders>
            <w:noWrap/>
            <w:vAlign w:val="center"/>
          </w:tcPr>
          <w:p w14:paraId="6F9B2F69">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w:t>
            </w:r>
          </w:p>
        </w:tc>
        <w:tc>
          <w:tcPr>
            <w:tcW w:w="454" w:type="pct"/>
            <w:tcBorders>
              <w:top w:val="single" w:color="auto" w:sz="4" w:space="0"/>
              <w:left w:val="single" w:color="auto" w:sz="4" w:space="0"/>
              <w:bottom w:val="single" w:color="auto" w:sz="4" w:space="0"/>
              <w:right w:val="single" w:color="auto" w:sz="4" w:space="0"/>
            </w:tcBorders>
            <w:noWrap/>
            <w:vAlign w:val="center"/>
          </w:tcPr>
          <w:p w14:paraId="261FAAFA">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工业</w:t>
            </w:r>
          </w:p>
        </w:tc>
      </w:tr>
      <w:tr w14:paraId="74BE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noWrap/>
            <w:vAlign w:val="center"/>
          </w:tcPr>
          <w:p w14:paraId="643543BF">
            <w:pPr>
              <w:widowControl/>
              <w:spacing w:line="300" w:lineRule="auto"/>
              <w:jc w:val="right"/>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12</w:t>
            </w:r>
          </w:p>
        </w:tc>
        <w:tc>
          <w:tcPr>
            <w:tcW w:w="617" w:type="pct"/>
            <w:tcBorders>
              <w:top w:val="single" w:color="auto" w:sz="4" w:space="0"/>
              <w:left w:val="single" w:color="auto" w:sz="4" w:space="0"/>
              <w:bottom w:val="single" w:color="auto" w:sz="4" w:space="0"/>
              <w:right w:val="single" w:color="auto" w:sz="4" w:space="0"/>
            </w:tcBorders>
            <w:noWrap/>
            <w:vAlign w:val="center"/>
          </w:tcPr>
          <w:p w14:paraId="3BEAC9DB">
            <w:pPr>
              <w:widowControl/>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双路互绕电感器</w:t>
            </w:r>
          </w:p>
          <w:p w14:paraId="4D8EF76B">
            <w:pPr>
              <w:widowControl/>
              <w:spacing w:line="300" w:lineRule="auto"/>
              <w:jc w:val="center"/>
              <w:rPr>
                <w:rFonts w:hint="eastAsia" w:asciiTheme="minorEastAsia" w:hAnsiTheme="minorEastAsia" w:eastAsiaTheme="minorEastAsia" w:cstheme="minorEastAsia"/>
                <w:color w:val="auto"/>
                <w:kern w:val="0"/>
                <w:sz w:val="24"/>
                <w:szCs w:val="24"/>
              </w:rPr>
            </w:pPr>
          </w:p>
        </w:tc>
        <w:tc>
          <w:tcPr>
            <w:tcW w:w="2856" w:type="pct"/>
            <w:tcBorders>
              <w:top w:val="single" w:color="auto" w:sz="4" w:space="0"/>
              <w:left w:val="single" w:color="auto" w:sz="4" w:space="0"/>
              <w:bottom w:val="single" w:color="auto" w:sz="4" w:space="0"/>
              <w:right w:val="single" w:color="auto" w:sz="4" w:space="0"/>
            </w:tcBorders>
            <w:vAlign w:val="center"/>
          </w:tcPr>
          <w:p w14:paraId="03C97D9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1、线圈直径</w:t>
            </w:r>
            <w:bookmarkStart w:id="34" w:name="OLE_LINK43"/>
            <w:r>
              <w:rPr>
                <w:rFonts w:hint="eastAsia" w:asciiTheme="minorEastAsia" w:hAnsiTheme="minorEastAsia" w:eastAsiaTheme="minorEastAsia" w:cstheme="minorEastAsia"/>
                <w:color w:val="auto"/>
                <w:sz w:val="24"/>
                <w:szCs w:val="24"/>
              </w:rPr>
              <w:t>≥</w:t>
            </w:r>
            <w:bookmarkEnd w:id="34"/>
            <w:r>
              <w:rPr>
                <w:rFonts w:hint="eastAsia" w:asciiTheme="minorEastAsia" w:hAnsiTheme="minorEastAsia" w:eastAsiaTheme="minorEastAsia" w:cstheme="minorEastAsia"/>
                <w:color w:val="auto"/>
                <w:sz w:val="24"/>
                <w:szCs w:val="24"/>
              </w:rPr>
              <w:t>75mm,厚度≥40mm，</w:t>
            </w:r>
          </w:p>
          <w:p w14:paraId="007FD3DC">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2、每套设备</w:t>
            </w:r>
            <w:bookmarkStart w:id="35" w:name="OLE_LINK41"/>
            <w:r>
              <w:rPr>
                <w:rFonts w:hint="eastAsia" w:asciiTheme="minorEastAsia" w:hAnsiTheme="minorEastAsia" w:eastAsiaTheme="minorEastAsia" w:cstheme="minorEastAsia"/>
                <w:color w:val="auto"/>
                <w:sz w:val="24"/>
                <w:szCs w:val="24"/>
              </w:rPr>
              <w:t>≥</w:t>
            </w:r>
            <w:bookmarkEnd w:id="35"/>
            <w:r>
              <w:rPr>
                <w:rFonts w:hint="eastAsia" w:asciiTheme="minorEastAsia" w:hAnsiTheme="minorEastAsia" w:eastAsiaTheme="minorEastAsia" w:cstheme="minorEastAsia"/>
                <w:color w:val="auto"/>
                <w:sz w:val="24"/>
                <w:szCs w:val="24"/>
              </w:rPr>
              <w:t>2组电感线圈；</w:t>
            </w:r>
          </w:p>
          <w:p w14:paraId="45DB4D5B">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3、线圈电感值和阻值≥400mh,80mh,40Ω，15Ω。分别具有接线端子。</w:t>
            </w:r>
          </w:p>
          <w:p w14:paraId="3CC2F0C2">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4、适用于电感实验、互感实验。</w:t>
            </w:r>
          </w:p>
        </w:tc>
        <w:tc>
          <w:tcPr>
            <w:tcW w:w="390" w:type="pct"/>
            <w:tcBorders>
              <w:top w:val="single" w:color="auto" w:sz="4" w:space="0"/>
              <w:left w:val="single" w:color="auto" w:sz="4" w:space="0"/>
              <w:bottom w:val="single" w:color="auto" w:sz="4" w:space="0"/>
              <w:right w:val="single" w:color="auto" w:sz="4" w:space="0"/>
            </w:tcBorders>
            <w:vAlign w:val="center"/>
          </w:tcPr>
          <w:p w14:paraId="0D4ED226">
            <w:pPr>
              <w:widowControl/>
              <w:spacing w:line="300" w:lineRule="auto"/>
              <w:jc w:val="center"/>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台</w:t>
            </w:r>
          </w:p>
        </w:tc>
        <w:tc>
          <w:tcPr>
            <w:tcW w:w="329" w:type="pct"/>
            <w:tcBorders>
              <w:top w:val="single" w:color="auto" w:sz="4" w:space="0"/>
              <w:left w:val="single" w:color="auto" w:sz="4" w:space="0"/>
              <w:bottom w:val="single" w:color="auto" w:sz="4" w:space="0"/>
              <w:right w:val="single" w:color="auto" w:sz="4" w:space="0"/>
            </w:tcBorders>
            <w:noWrap/>
            <w:vAlign w:val="center"/>
          </w:tcPr>
          <w:p w14:paraId="31C253AB">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30</w:t>
            </w:r>
          </w:p>
        </w:tc>
        <w:tc>
          <w:tcPr>
            <w:tcW w:w="454" w:type="pct"/>
            <w:tcBorders>
              <w:top w:val="single" w:color="auto" w:sz="4" w:space="0"/>
              <w:left w:val="single" w:color="auto" w:sz="4" w:space="0"/>
              <w:bottom w:val="single" w:color="auto" w:sz="4" w:space="0"/>
              <w:right w:val="single" w:color="auto" w:sz="4" w:space="0"/>
            </w:tcBorders>
            <w:noWrap/>
            <w:vAlign w:val="center"/>
          </w:tcPr>
          <w:p w14:paraId="6C49EAF6">
            <w:pPr>
              <w:spacing w:line="300" w:lineRule="auto"/>
              <w:jc w:val="center"/>
              <w:rPr>
                <w:rFonts w:hint="eastAsia" w:asciiTheme="minorEastAsia" w:hAnsiTheme="minorEastAsia" w:eastAsiaTheme="minorEastAsia" w:cstheme="minorEastAsia"/>
                <w:color w:val="auto"/>
                <w:sz w:val="24"/>
                <w:szCs w:val="24"/>
              </w:rPr>
            </w:pPr>
          </w:p>
        </w:tc>
      </w:tr>
      <w:tr w14:paraId="7F364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5000" w:type="pct"/>
            <w:gridSpan w:val="6"/>
            <w:tcBorders>
              <w:top w:val="single" w:color="auto" w:sz="4" w:space="0"/>
              <w:left w:val="single" w:color="auto" w:sz="4" w:space="0"/>
              <w:bottom w:val="single" w:color="auto" w:sz="4" w:space="0"/>
              <w:right w:val="single" w:color="auto" w:sz="4" w:space="0"/>
            </w:tcBorders>
            <w:vAlign w:val="center"/>
          </w:tcPr>
          <w:p w14:paraId="1A5D6E77">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四、数电实验教学系统</w:t>
            </w:r>
          </w:p>
        </w:tc>
      </w:tr>
      <w:tr w14:paraId="5A26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vAlign w:val="center"/>
          </w:tcPr>
          <w:p w14:paraId="6C881C13">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序号</w:t>
            </w:r>
          </w:p>
        </w:tc>
        <w:tc>
          <w:tcPr>
            <w:tcW w:w="617" w:type="pct"/>
            <w:tcBorders>
              <w:top w:val="single" w:color="auto" w:sz="4" w:space="0"/>
              <w:left w:val="single" w:color="auto" w:sz="4" w:space="0"/>
              <w:bottom w:val="single" w:color="auto" w:sz="4" w:space="0"/>
              <w:right w:val="single" w:color="auto" w:sz="4" w:space="0"/>
            </w:tcBorders>
            <w:vAlign w:val="center"/>
          </w:tcPr>
          <w:p w14:paraId="0EC377EB">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名称</w:t>
            </w:r>
          </w:p>
        </w:tc>
        <w:tc>
          <w:tcPr>
            <w:tcW w:w="2856" w:type="pct"/>
            <w:tcBorders>
              <w:top w:val="single" w:color="auto" w:sz="4" w:space="0"/>
              <w:left w:val="single" w:color="auto" w:sz="4" w:space="0"/>
              <w:bottom w:val="single" w:color="auto" w:sz="4" w:space="0"/>
              <w:right w:val="single" w:color="auto" w:sz="4" w:space="0"/>
            </w:tcBorders>
            <w:vAlign w:val="center"/>
          </w:tcPr>
          <w:p w14:paraId="24F93865">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技术参数</w:t>
            </w:r>
          </w:p>
        </w:tc>
        <w:tc>
          <w:tcPr>
            <w:tcW w:w="390" w:type="pct"/>
            <w:tcBorders>
              <w:top w:val="single" w:color="auto" w:sz="4" w:space="0"/>
              <w:left w:val="single" w:color="auto" w:sz="4" w:space="0"/>
              <w:bottom w:val="single" w:color="auto" w:sz="4" w:space="0"/>
              <w:right w:val="single" w:color="auto" w:sz="4" w:space="0"/>
            </w:tcBorders>
            <w:vAlign w:val="center"/>
          </w:tcPr>
          <w:p w14:paraId="2C5D9774">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单位</w:t>
            </w:r>
          </w:p>
        </w:tc>
        <w:tc>
          <w:tcPr>
            <w:tcW w:w="329" w:type="pct"/>
            <w:tcBorders>
              <w:top w:val="single" w:color="auto" w:sz="4" w:space="0"/>
              <w:left w:val="single" w:color="auto" w:sz="4" w:space="0"/>
              <w:bottom w:val="single" w:color="auto" w:sz="4" w:space="0"/>
              <w:right w:val="single" w:color="auto" w:sz="4" w:space="0"/>
            </w:tcBorders>
            <w:vAlign w:val="center"/>
          </w:tcPr>
          <w:p w14:paraId="4990941E">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数量</w:t>
            </w:r>
          </w:p>
        </w:tc>
        <w:tc>
          <w:tcPr>
            <w:tcW w:w="454" w:type="pct"/>
            <w:tcBorders>
              <w:top w:val="single" w:color="auto" w:sz="4" w:space="0"/>
              <w:left w:val="single" w:color="auto" w:sz="4" w:space="0"/>
              <w:bottom w:val="single" w:color="auto" w:sz="4" w:space="0"/>
              <w:right w:val="single" w:color="auto" w:sz="4" w:space="0"/>
            </w:tcBorders>
            <w:vAlign w:val="center"/>
          </w:tcPr>
          <w:p w14:paraId="19ACD92B">
            <w:pPr>
              <w:widowControl/>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所属行业</w:t>
            </w:r>
          </w:p>
        </w:tc>
      </w:tr>
      <w:tr w14:paraId="55563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vAlign w:val="center"/>
          </w:tcPr>
          <w:p w14:paraId="46879F0B">
            <w:pPr>
              <w:widowControl/>
              <w:spacing w:line="300" w:lineRule="auto"/>
              <w:jc w:val="right"/>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13</w:t>
            </w:r>
          </w:p>
        </w:tc>
        <w:tc>
          <w:tcPr>
            <w:tcW w:w="617" w:type="pct"/>
            <w:tcBorders>
              <w:top w:val="single" w:color="auto" w:sz="4" w:space="0"/>
              <w:left w:val="single" w:color="auto" w:sz="4" w:space="0"/>
              <w:bottom w:val="single" w:color="auto" w:sz="4" w:space="0"/>
              <w:right w:val="single" w:color="auto" w:sz="4" w:space="0"/>
            </w:tcBorders>
            <w:vAlign w:val="center"/>
          </w:tcPr>
          <w:p w14:paraId="30745F45">
            <w:pPr>
              <w:widowControl/>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三路直流稳压源</w:t>
            </w:r>
          </w:p>
        </w:tc>
        <w:tc>
          <w:tcPr>
            <w:tcW w:w="2856" w:type="pct"/>
            <w:tcBorders>
              <w:top w:val="single" w:color="auto" w:sz="4" w:space="0"/>
              <w:left w:val="single" w:color="auto" w:sz="4" w:space="0"/>
              <w:bottom w:val="single" w:color="auto" w:sz="4" w:space="0"/>
              <w:right w:val="single" w:color="auto" w:sz="4" w:space="0"/>
            </w:tcBorders>
            <w:vAlign w:val="center"/>
          </w:tcPr>
          <w:p w14:paraId="59A038D9">
            <w:pPr>
              <w:spacing w:line="300" w:lineRule="auto"/>
              <w:jc w:val="left"/>
              <w:rPr>
                <w:rFonts w:hint="eastAsia" w:asciiTheme="minorEastAsia" w:hAnsiTheme="minorEastAsia" w:eastAsiaTheme="minorEastAsia" w:cstheme="minorEastAsia"/>
                <w:color w:val="auto"/>
                <w:sz w:val="24"/>
                <w:szCs w:val="24"/>
              </w:rPr>
            </w:pPr>
            <w:bookmarkStart w:id="36" w:name="OLE_LINK54"/>
            <w:r>
              <w:rPr>
                <w:rFonts w:hint="eastAsia" w:asciiTheme="minorEastAsia" w:hAnsiTheme="minorEastAsia" w:eastAsiaTheme="minorEastAsia" w:cstheme="minorEastAsia"/>
                <w:color w:val="auto"/>
                <w:sz w:val="24"/>
                <w:szCs w:val="24"/>
              </w:rPr>
              <w:t>★</w:t>
            </w:r>
            <w:bookmarkEnd w:id="36"/>
            <w:r>
              <w:rPr>
                <w:rFonts w:hint="eastAsia" w:asciiTheme="minorEastAsia" w:hAnsiTheme="minorEastAsia" w:eastAsiaTheme="minorEastAsia" w:cstheme="minorEastAsia"/>
                <w:color w:val="auto"/>
                <w:sz w:val="24"/>
                <w:szCs w:val="24"/>
              </w:rPr>
              <w:t>1、直流输出：不低于</w:t>
            </w:r>
            <w:r>
              <w:rPr>
                <w:rFonts w:hint="eastAsia" w:asciiTheme="minorEastAsia" w:hAnsiTheme="minorEastAsia" w:eastAsiaTheme="minorEastAsia" w:cstheme="minorEastAsia"/>
                <w:color w:val="auto"/>
                <w:sz w:val="24"/>
                <w:szCs w:val="24"/>
                <w:lang w:val="pt-BR"/>
              </w:rPr>
              <w:t>CH1: 0</w:t>
            </w:r>
            <w:r>
              <w:rPr>
                <w:rFonts w:hint="eastAsia" w:asciiTheme="minorEastAsia" w:hAnsiTheme="minorEastAsia" w:eastAsiaTheme="minorEastAsia" w:cstheme="minorEastAsia"/>
                <w:color w:val="auto"/>
                <w:sz w:val="24"/>
                <w:szCs w:val="24"/>
              </w:rPr>
              <w:t>~32</w:t>
            </w:r>
            <w:r>
              <w:rPr>
                <w:rFonts w:hint="eastAsia" w:asciiTheme="minorEastAsia" w:hAnsiTheme="minorEastAsia" w:eastAsiaTheme="minorEastAsia" w:cstheme="minorEastAsia"/>
                <w:color w:val="auto"/>
                <w:sz w:val="24"/>
                <w:szCs w:val="24"/>
                <w:lang w:val="pt-BR"/>
              </w:rPr>
              <w:t>V/0</w:t>
            </w:r>
            <w:r>
              <w:rPr>
                <w:rFonts w:hint="eastAsia" w:asciiTheme="minorEastAsia" w:hAnsiTheme="minorEastAsia" w:eastAsiaTheme="minorEastAsia" w:cstheme="minorEastAsia"/>
                <w:color w:val="auto"/>
                <w:sz w:val="24"/>
                <w:szCs w:val="24"/>
              </w:rPr>
              <w:t>~3A，</w:t>
            </w:r>
            <w:r>
              <w:rPr>
                <w:rFonts w:hint="eastAsia" w:asciiTheme="minorEastAsia" w:hAnsiTheme="minorEastAsia" w:eastAsiaTheme="minorEastAsia" w:cstheme="minorEastAsia"/>
                <w:color w:val="auto"/>
                <w:sz w:val="24"/>
                <w:szCs w:val="24"/>
                <w:lang w:val="pt-BR"/>
              </w:rPr>
              <w:t>CH2: 0</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val="pt-BR"/>
              </w:rPr>
              <w:t>32V/0-</w:t>
            </w:r>
            <w:r>
              <w:rPr>
                <w:rFonts w:hint="eastAsia" w:asciiTheme="minorEastAsia" w:hAnsiTheme="minorEastAsia" w:eastAsiaTheme="minorEastAsia" w:cstheme="minorEastAsia"/>
                <w:color w:val="auto"/>
                <w:sz w:val="24"/>
                <w:szCs w:val="24"/>
              </w:rPr>
              <w:t>3A，</w:t>
            </w:r>
            <w:r>
              <w:rPr>
                <w:rFonts w:hint="eastAsia" w:asciiTheme="minorEastAsia" w:hAnsiTheme="minorEastAsia" w:eastAsiaTheme="minorEastAsia" w:cstheme="minorEastAsia"/>
                <w:color w:val="auto"/>
                <w:sz w:val="24"/>
                <w:szCs w:val="24"/>
                <w:lang w:val="pt-BR"/>
              </w:rPr>
              <w:t>CH3: 0</w:t>
            </w:r>
            <w:r>
              <w:rPr>
                <w:rFonts w:hint="eastAsia" w:asciiTheme="minorEastAsia" w:hAnsiTheme="minorEastAsia" w:eastAsiaTheme="minorEastAsia" w:cstheme="minorEastAsia"/>
                <w:color w:val="auto"/>
                <w:sz w:val="24"/>
                <w:szCs w:val="24"/>
              </w:rPr>
              <w:t>~6V</w:t>
            </w:r>
            <w:r>
              <w:rPr>
                <w:rFonts w:hint="eastAsia" w:asciiTheme="minorEastAsia" w:hAnsiTheme="minorEastAsia" w:eastAsiaTheme="minorEastAsia" w:cstheme="minorEastAsia"/>
                <w:color w:val="auto"/>
                <w:sz w:val="24"/>
                <w:szCs w:val="24"/>
                <w:lang w:val="pt-BR"/>
              </w:rPr>
              <w:t>/0-</w:t>
            </w:r>
            <w:r>
              <w:rPr>
                <w:rFonts w:hint="eastAsia" w:asciiTheme="minorEastAsia" w:hAnsiTheme="minorEastAsia" w:eastAsiaTheme="minorEastAsia" w:cstheme="minorEastAsia"/>
                <w:color w:val="auto"/>
                <w:sz w:val="24"/>
                <w:szCs w:val="24"/>
              </w:rPr>
              <w:t>3A，三通道间电气隔离，且三通道的输出电压/电流连续可调。</w:t>
            </w:r>
            <w:r>
              <w:rPr>
                <w:rFonts w:hint="eastAsia" w:asciiTheme="minorEastAsia" w:hAnsiTheme="minorEastAsia" w:eastAsiaTheme="minorEastAsia" w:cstheme="minorEastAsia"/>
                <w:b/>
                <w:bCs/>
                <w:color w:val="auto"/>
                <w:sz w:val="24"/>
                <w:szCs w:val="24"/>
              </w:rPr>
              <w:t>投标文件提供产品宣传彩页</w:t>
            </w:r>
            <w:r>
              <w:rPr>
                <w:rFonts w:hint="eastAsia" w:asciiTheme="minorEastAsia" w:hAnsiTheme="minorEastAsia" w:eastAsiaTheme="minorEastAsia" w:cstheme="minorEastAsia"/>
                <w:color w:val="auto"/>
                <w:sz w:val="24"/>
                <w:szCs w:val="24"/>
              </w:rPr>
              <w:t>。</w:t>
            </w:r>
          </w:p>
          <w:p w14:paraId="0CD2BD66">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2、前面板安全端子</w:t>
            </w:r>
          </w:p>
          <w:p w14:paraId="7486A8FD">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3、分辨率不低于：</w:t>
            </w:r>
          </w:p>
          <w:p w14:paraId="1652D223">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编程：10mV/1mA</w:t>
            </w:r>
          </w:p>
          <w:p w14:paraId="11B028D0">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回读：10mV/1mA</w:t>
            </w:r>
          </w:p>
          <w:p w14:paraId="6C697ECC">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显示：10mV/1mA</w:t>
            </w:r>
          </w:p>
          <w:p w14:paraId="0696FCC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4、纹波与噪声：</w:t>
            </w:r>
            <w:bookmarkStart w:id="37" w:name="OLE_LINK42"/>
            <w:r>
              <w:rPr>
                <w:rFonts w:hint="eastAsia" w:asciiTheme="minorEastAsia" w:hAnsiTheme="minorEastAsia" w:eastAsiaTheme="minorEastAsia" w:cstheme="minorEastAsia"/>
                <w:color w:val="auto"/>
                <w:sz w:val="24"/>
                <w:szCs w:val="24"/>
              </w:rPr>
              <w:t>≤</w:t>
            </w:r>
            <w:bookmarkEnd w:id="37"/>
            <w:r>
              <w:rPr>
                <w:rFonts w:hint="eastAsia" w:asciiTheme="minorEastAsia" w:hAnsiTheme="minorEastAsia" w:eastAsiaTheme="minorEastAsia" w:cstheme="minorEastAsia"/>
                <w:color w:val="auto"/>
                <w:sz w:val="24"/>
                <w:szCs w:val="24"/>
              </w:rPr>
              <w:t>350uVrms/2mVpp</w:t>
            </w:r>
          </w:p>
          <w:p w14:paraId="1EB52A39">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5、瞬态响应：≤50us</w:t>
            </w:r>
          </w:p>
          <w:p w14:paraId="2F2A3A13">
            <w:pPr>
              <w:spacing w:line="300" w:lineRule="auto"/>
              <w:jc w:val="left"/>
              <w:rPr>
                <w:rFonts w:hint="eastAsia" w:asciiTheme="minorEastAsia" w:hAnsiTheme="minorEastAsia" w:eastAsiaTheme="minorEastAsia" w:cstheme="minorEastAsia"/>
                <w:color w:val="auto"/>
                <w:sz w:val="24"/>
                <w:szCs w:val="24"/>
              </w:rPr>
            </w:pPr>
            <w:bookmarkStart w:id="38" w:name="OLE_LINK48"/>
            <w:r>
              <w:rPr>
                <w:rFonts w:hint="eastAsia" w:asciiTheme="minorEastAsia" w:hAnsiTheme="minorEastAsia" w:eastAsiaTheme="minorEastAsia" w:cstheme="minorEastAsia"/>
                <w:color w:val="auto"/>
                <w:sz w:val="24"/>
                <w:szCs w:val="24"/>
              </w:rPr>
              <w:t>★</w:t>
            </w:r>
            <w:bookmarkEnd w:id="38"/>
            <w:r>
              <w:rPr>
                <w:rFonts w:hint="eastAsia" w:asciiTheme="minorEastAsia" w:hAnsiTheme="minorEastAsia" w:eastAsiaTheme="minorEastAsia" w:cstheme="minorEastAsia"/>
                <w:color w:val="auto"/>
                <w:sz w:val="24"/>
                <w:szCs w:val="24"/>
              </w:rPr>
              <w:t>6、支持≥ 512 组序列输出，内置多种基础波形。</w:t>
            </w:r>
            <w:bookmarkStart w:id="39" w:name="OLE_LINK47"/>
            <w:r>
              <w:rPr>
                <w:rFonts w:hint="eastAsia" w:asciiTheme="minorEastAsia" w:hAnsiTheme="minorEastAsia" w:eastAsiaTheme="minorEastAsia" w:cstheme="minorEastAsia"/>
                <w:b/>
                <w:bCs/>
                <w:color w:val="auto"/>
                <w:sz w:val="24"/>
                <w:szCs w:val="24"/>
              </w:rPr>
              <w:t>投标时提供演示。</w:t>
            </w:r>
          </w:p>
          <w:bookmarkEnd w:id="39"/>
          <w:p w14:paraId="77DCEF36">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7、命令处理时间</w:t>
            </w:r>
            <w:bookmarkStart w:id="40" w:name="OLE_LINK46"/>
            <w:r>
              <w:rPr>
                <w:rFonts w:hint="eastAsia" w:asciiTheme="minorEastAsia" w:hAnsiTheme="minorEastAsia" w:eastAsiaTheme="minorEastAsia" w:cstheme="minorEastAsia"/>
                <w:color w:val="auto"/>
                <w:sz w:val="24"/>
                <w:szCs w:val="24"/>
              </w:rPr>
              <w:t>≤</w:t>
            </w:r>
            <w:bookmarkEnd w:id="40"/>
            <w:r>
              <w:rPr>
                <w:rFonts w:hint="eastAsia" w:asciiTheme="minorEastAsia" w:hAnsiTheme="minorEastAsia" w:eastAsiaTheme="minorEastAsia" w:cstheme="minorEastAsia"/>
                <w:color w:val="auto"/>
                <w:sz w:val="24"/>
                <w:szCs w:val="24"/>
              </w:rPr>
              <w:t>10ms</w:t>
            </w:r>
          </w:p>
          <w:p w14:paraId="1341F40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8、支持自动串联/并联功能</w:t>
            </w:r>
          </w:p>
          <w:p w14:paraId="3F647C89">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9、年准确度不低于：</w:t>
            </w:r>
          </w:p>
          <w:p w14:paraId="414170C5">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编程：</w:t>
            </w:r>
          </w:p>
          <w:p w14:paraId="20642C66">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CH1&amp;CH2: 0.05%+20mV；0.2%+5mA</w:t>
            </w:r>
          </w:p>
          <w:p w14:paraId="3E6B79E2">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CH3: 0.1%+5mV；0.2%+5mA</w:t>
            </w:r>
          </w:p>
          <w:p w14:paraId="191A308E">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回读：</w:t>
            </w:r>
          </w:p>
          <w:p w14:paraId="49FA3F8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CH1&amp;CH2: 0.05%+20mV；0.15%+5mA</w:t>
            </w:r>
          </w:p>
          <w:p w14:paraId="59CA4A4D">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CH3: 0.1%+5mV；0.15%+5mA</w:t>
            </w:r>
          </w:p>
          <w:p w14:paraId="63BCC91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★10、负载调节率：Voltage: ≤0.01% + 2mV；Current: ≤0.01% + 250μA。</w:t>
            </w:r>
            <w:r>
              <w:rPr>
                <w:rFonts w:hint="eastAsia" w:asciiTheme="minorEastAsia" w:hAnsiTheme="minorEastAsia" w:eastAsiaTheme="minorEastAsia" w:cstheme="minorEastAsia"/>
                <w:b/>
                <w:bCs/>
                <w:color w:val="auto"/>
                <w:sz w:val="24"/>
                <w:szCs w:val="24"/>
              </w:rPr>
              <w:t>投标文件</w:t>
            </w:r>
            <w:r>
              <w:rPr>
                <w:rFonts w:hint="eastAsia" w:asciiTheme="minorEastAsia" w:hAnsiTheme="minorEastAsia" w:eastAsiaTheme="minorEastAsia" w:cstheme="minorEastAsia"/>
                <w:b/>
                <w:bCs/>
                <w:color w:val="auto"/>
                <w:sz w:val="24"/>
                <w:szCs w:val="24"/>
                <w:lang w:val="en-US" w:eastAsia="zh-CN"/>
              </w:rPr>
              <w:t>中</w:t>
            </w:r>
            <w:r>
              <w:rPr>
                <w:rFonts w:hint="eastAsia" w:asciiTheme="minorEastAsia" w:hAnsiTheme="minorEastAsia" w:eastAsiaTheme="minorEastAsia" w:cstheme="minorEastAsia"/>
                <w:b/>
                <w:bCs/>
                <w:color w:val="auto"/>
                <w:sz w:val="24"/>
                <w:szCs w:val="24"/>
              </w:rPr>
              <w:t>提供产品宣传彩页</w:t>
            </w:r>
            <w:r>
              <w:rPr>
                <w:rFonts w:hint="eastAsia" w:asciiTheme="minorEastAsia" w:hAnsiTheme="minorEastAsia" w:eastAsiaTheme="minorEastAsia" w:cstheme="minorEastAsia"/>
                <w:color w:val="auto"/>
                <w:sz w:val="24"/>
                <w:szCs w:val="24"/>
              </w:rPr>
              <w:t>。</w:t>
            </w:r>
          </w:p>
          <w:p w14:paraId="54982E1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11、电源调节率：Voltage: ≤0.01% + 2mV，Current: ≤0.01% + 250μA</w:t>
            </w:r>
          </w:p>
          <w:p w14:paraId="7EEF478C">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12、输出开关：三路开关可分别控制</w:t>
            </w:r>
          </w:p>
          <w:p w14:paraId="68C73815">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★13、显示屏：≥4.3英寸触控屏。</w:t>
            </w:r>
            <w:r>
              <w:rPr>
                <w:rFonts w:hint="eastAsia" w:asciiTheme="minorEastAsia" w:hAnsiTheme="minorEastAsia" w:eastAsiaTheme="minorEastAsia" w:cstheme="minorEastAsia"/>
                <w:b/>
                <w:bCs/>
                <w:color w:val="auto"/>
                <w:sz w:val="24"/>
                <w:szCs w:val="24"/>
              </w:rPr>
              <w:t>投标文件</w:t>
            </w:r>
            <w:r>
              <w:rPr>
                <w:rFonts w:hint="eastAsia" w:asciiTheme="minorEastAsia" w:hAnsiTheme="minorEastAsia" w:eastAsiaTheme="minorEastAsia" w:cstheme="minorEastAsia"/>
                <w:b/>
                <w:bCs/>
                <w:color w:val="auto"/>
                <w:sz w:val="24"/>
                <w:szCs w:val="24"/>
                <w:lang w:val="en-US" w:eastAsia="zh-CN"/>
              </w:rPr>
              <w:t>中</w:t>
            </w:r>
            <w:r>
              <w:rPr>
                <w:rFonts w:hint="eastAsia" w:asciiTheme="minorEastAsia" w:hAnsiTheme="minorEastAsia" w:eastAsiaTheme="minorEastAsia" w:cstheme="minorEastAsia"/>
                <w:b/>
                <w:bCs/>
                <w:color w:val="auto"/>
                <w:sz w:val="24"/>
                <w:szCs w:val="24"/>
              </w:rPr>
              <w:t>提供产品宣传彩页</w:t>
            </w:r>
            <w:r>
              <w:rPr>
                <w:rFonts w:hint="eastAsia" w:asciiTheme="minorEastAsia" w:hAnsiTheme="minorEastAsia" w:eastAsiaTheme="minorEastAsia" w:cstheme="minorEastAsia"/>
                <w:color w:val="auto"/>
                <w:sz w:val="24"/>
                <w:szCs w:val="24"/>
              </w:rPr>
              <w:t>。</w:t>
            </w:r>
          </w:p>
          <w:p w14:paraId="77E948F9">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14、可同时显示每个通道的设置值和实际输出值</w:t>
            </w:r>
          </w:p>
          <w:p w14:paraId="7B17D0D9">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15、提供过压/过流保护功能</w:t>
            </w:r>
          </w:p>
          <w:p w14:paraId="1E0F3446">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16、具有二级过温保护功能</w:t>
            </w:r>
          </w:p>
          <w:p w14:paraId="6E1FFB2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17、具有风扇故障检测报警功能</w:t>
            </w:r>
          </w:p>
          <w:p w14:paraId="473FE726">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18、具有键盘锁功能，防止误操作</w:t>
            </w:r>
          </w:p>
          <w:p w14:paraId="3FA28AC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19、具有定时输出功能，支持无限及指定循环次数的输出</w:t>
            </w:r>
          </w:p>
          <w:p w14:paraId="1CFFD8A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20、具有跟踪功能，支持通道电压设置值和输出开关状态跟踪</w:t>
            </w:r>
          </w:p>
          <w:p w14:paraId="7C02BB9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21、支持在线分析器，可在线分析多种统计参数</w:t>
            </w:r>
          </w:p>
          <w:p w14:paraId="0B1534A2">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22、专用预置键，可一键恢复出厂设置</w:t>
            </w:r>
          </w:p>
          <w:p w14:paraId="64225940">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23、标准配置接口：不低于USB HOST、USB DEVICE、LAN（符合LXI标准）。</w:t>
            </w:r>
          </w:p>
          <w:p w14:paraId="79FE401E">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24、此实验室共配置一套大功率电源：</w:t>
            </w:r>
          </w:p>
          <w:p w14:paraId="21E168BB">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1）电流额定值范围：不低于-240A~+240A</w:t>
            </w:r>
          </w:p>
          <w:p w14:paraId="43DFDF6E">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2）下限值：≥1/(1/Rset+(1/Rset)*0.05+0.0005) </w:t>
            </w:r>
          </w:p>
          <w:p w14:paraId="1BC3715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3）上限值：≥1/(1/Rset-(1/Rset)*0.05-0.0005) </w:t>
            </w:r>
          </w:p>
          <w:p w14:paraId="5C580A2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4）电压范围：</w:t>
            </w:r>
            <w:bookmarkStart w:id="41" w:name="OLE_LINK49"/>
            <w:r>
              <w:rPr>
                <w:rFonts w:hint="eastAsia" w:asciiTheme="minorEastAsia" w:hAnsiTheme="minorEastAsia" w:eastAsiaTheme="minorEastAsia" w:cstheme="minorEastAsia"/>
                <w:color w:val="auto"/>
                <w:sz w:val="24"/>
                <w:szCs w:val="24"/>
              </w:rPr>
              <w:t>≥</w:t>
            </w:r>
            <w:bookmarkEnd w:id="41"/>
            <w:r>
              <w:rPr>
                <w:rFonts w:hint="eastAsia" w:asciiTheme="minorEastAsia" w:hAnsiTheme="minorEastAsia" w:eastAsiaTheme="minorEastAsia" w:cstheme="minorEastAsia"/>
                <w:color w:val="auto"/>
                <w:sz w:val="24"/>
                <w:szCs w:val="24"/>
              </w:rPr>
              <w:t>± 0~32V</w:t>
            </w:r>
          </w:p>
          <w:p w14:paraId="4400BC0B">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5）功率范围：≥-6000w~6000w</w:t>
            </w:r>
          </w:p>
          <w:p w14:paraId="0C6B3202">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6）额定串联内阻（cv优先）：≥0~0.2Ω</w:t>
            </w:r>
          </w:p>
          <w:p w14:paraId="5A07AB0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7）额定负载内阻（cc优先）：≥0.005~400Ω</w:t>
            </w:r>
          </w:p>
          <w:p w14:paraId="66F4378E">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8）设定值解析度：电压≥：0.001V 电流：≥0.01A 功率：≥1W </w:t>
            </w:r>
          </w:p>
          <w:p w14:paraId="310B4713">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串联内阻（CV优先）：≥0.001Ω 负载内阻（cc优先）：≥0.001Ω</w:t>
            </w:r>
          </w:p>
          <w:p w14:paraId="010A4BCD">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9）回读值解析度：电压：≥0.001V 电流：≥0.01A 功率：≥1W</w:t>
            </w:r>
          </w:p>
          <w:p w14:paraId="659B6D86">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10）设定值精确度：电压：≤0.05%+0.05%FS 电流：≤0.1%＋0.1%FS；功率：≤0.5%＋0.5%FS  串联内阻（CV优先）：≤1%FS；负载内阻（CC优先）：</w:t>
            </w:r>
          </w:p>
          <w:p w14:paraId="70D677AE">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下限值：1/(1/Rset+(1/Rset)*0.05+0.0005) </w:t>
            </w:r>
          </w:p>
          <w:p w14:paraId="520EE16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上限值：1/(1/Rset-(1/Rset)*0.05-0.0005) </w:t>
            </w:r>
          </w:p>
          <w:p w14:paraId="507D82F2">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11）回读值精确度：电压：≤0.05% + 0.05%FS 电流：≤0.1% + 0.1%FS</w:t>
            </w:r>
          </w:p>
          <w:p w14:paraId="598CF95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功率：≤0.5% + 0.5%FS</w:t>
            </w:r>
          </w:p>
          <w:p w14:paraId="430EDAA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12）电压波纹：电压峰值：≤80mVpp 电压RMS：≤30mV</w:t>
            </w:r>
          </w:p>
          <w:p w14:paraId="1A8FB66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13）上升时间（空载）电压：≤30ms</w:t>
            </w:r>
          </w:p>
          <w:p w14:paraId="0D8AF82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14）上升时间（满载）电压：≤60ms</w:t>
            </w:r>
          </w:p>
          <w:p w14:paraId="06B9B6C3">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15）下降时间（空载）电压：≤60ms</w:t>
            </w:r>
          </w:p>
          <w:p w14:paraId="417EC211">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16）下降时间（满载）电压：≤30ms</w:t>
            </w:r>
          </w:p>
          <w:p w14:paraId="6CA8CED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17）动态响应时间 电压≤1ms </w:t>
            </w:r>
          </w:p>
          <w:p w14:paraId="01A1EB1B">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18）电源调节率：电压：≤0.01% + 0.01%FS 电流：≤0.03% + 0.03%FS</w:t>
            </w:r>
          </w:p>
          <w:p w14:paraId="482EC60D">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19）负载调节率：电压：≤0.02% + 0.02%FS 电流：≤0.05% + 0.05%FS</w:t>
            </w:r>
          </w:p>
          <w:p w14:paraId="4A7A1FF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20）输出保护范围：过流保护：-250A or 250A 过压保护：33V</w:t>
            </w:r>
          </w:p>
          <w:p w14:paraId="1A426E0F">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               过功率保护：-6120W or 6120W</w:t>
            </w:r>
          </w:p>
          <w:p w14:paraId="43E24865">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21）Sense补偿电压：≤5V</w:t>
            </w:r>
          </w:p>
          <w:p w14:paraId="6F5D721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22）交流输入：电压：三相200V～480V 单相100V～240V 频率：50/60Hz</w:t>
            </w:r>
          </w:p>
          <w:p w14:paraId="59E01EFD">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23）最大AC视在功率：不低于6.5kVA</w:t>
            </w:r>
          </w:p>
          <w:p w14:paraId="2402E32D">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24）最大AC电流：不低于12.5Aac</w:t>
            </w:r>
          </w:p>
          <w:p w14:paraId="3001F5EC">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25）最大效率：不低于91%</w:t>
            </w:r>
          </w:p>
          <w:p w14:paraId="358340F2">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26）功率因素：不低于0.99</w:t>
            </w:r>
          </w:p>
        </w:tc>
        <w:tc>
          <w:tcPr>
            <w:tcW w:w="390" w:type="pct"/>
            <w:tcBorders>
              <w:top w:val="single" w:color="auto" w:sz="4" w:space="0"/>
              <w:left w:val="single" w:color="auto" w:sz="4" w:space="0"/>
              <w:bottom w:val="single" w:color="auto" w:sz="4" w:space="0"/>
              <w:right w:val="single" w:color="auto" w:sz="4" w:space="0"/>
            </w:tcBorders>
            <w:vAlign w:val="center"/>
          </w:tcPr>
          <w:p w14:paraId="19C0D921">
            <w:pPr>
              <w:widowControl/>
              <w:spacing w:line="300" w:lineRule="auto"/>
              <w:jc w:val="center"/>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台</w:t>
            </w:r>
          </w:p>
        </w:tc>
        <w:tc>
          <w:tcPr>
            <w:tcW w:w="329" w:type="pct"/>
            <w:tcBorders>
              <w:top w:val="single" w:color="auto" w:sz="4" w:space="0"/>
              <w:left w:val="single" w:color="auto" w:sz="4" w:space="0"/>
              <w:bottom w:val="single" w:color="auto" w:sz="4" w:space="0"/>
              <w:right w:val="single" w:color="auto" w:sz="4" w:space="0"/>
            </w:tcBorders>
            <w:vAlign w:val="center"/>
          </w:tcPr>
          <w:p w14:paraId="52D3669D">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72</w:t>
            </w:r>
          </w:p>
        </w:tc>
        <w:tc>
          <w:tcPr>
            <w:tcW w:w="454" w:type="pct"/>
            <w:tcBorders>
              <w:top w:val="single" w:color="auto" w:sz="4" w:space="0"/>
              <w:left w:val="single" w:color="auto" w:sz="4" w:space="0"/>
              <w:bottom w:val="single" w:color="auto" w:sz="4" w:space="0"/>
              <w:right w:val="single" w:color="auto" w:sz="4" w:space="0"/>
            </w:tcBorders>
            <w:vAlign w:val="center"/>
          </w:tcPr>
          <w:p w14:paraId="0D8FC83A">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工业</w:t>
            </w:r>
          </w:p>
        </w:tc>
      </w:tr>
      <w:tr w14:paraId="06880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350" w:type="pct"/>
            <w:tcBorders>
              <w:top w:val="single" w:color="auto" w:sz="4" w:space="0"/>
              <w:left w:val="single" w:color="auto" w:sz="4" w:space="0"/>
              <w:bottom w:val="single" w:color="auto" w:sz="4" w:space="0"/>
              <w:right w:val="single" w:color="auto" w:sz="4" w:space="0"/>
            </w:tcBorders>
            <w:vAlign w:val="center"/>
          </w:tcPr>
          <w:p w14:paraId="303AD70B">
            <w:pPr>
              <w:widowControl/>
              <w:spacing w:line="300" w:lineRule="auto"/>
              <w:jc w:val="right"/>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14</w:t>
            </w:r>
          </w:p>
        </w:tc>
        <w:tc>
          <w:tcPr>
            <w:tcW w:w="617" w:type="pct"/>
            <w:tcBorders>
              <w:top w:val="single" w:color="auto" w:sz="4" w:space="0"/>
              <w:left w:val="single" w:color="auto" w:sz="4" w:space="0"/>
              <w:bottom w:val="single" w:color="auto" w:sz="4" w:space="0"/>
              <w:right w:val="single" w:color="auto" w:sz="4" w:space="0"/>
            </w:tcBorders>
            <w:vAlign w:val="center"/>
          </w:tcPr>
          <w:p w14:paraId="11160219">
            <w:pPr>
              <w:widowControl/>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数字电子技术实验箱</w:t>
            </w:r>
          </w:p>
          <w:p w14:paraId="40B17D2F">
            <w:pPr>
              <w:widowControl/>
              <w:spacing w:line="300" w:lineRule="auto"/>
              <w:jc w:val="center"/>
              <w:rPr>
                <w:rFonts w:hint="eastAsia" w:asciiTheme="minorEastAsia" w:hAnsiTheme="minorEastAsia" w:eastAsiaTheme="minorEastAsia" w:cstheme="minorEastAsia"/>
                <w:color w:val="auto"/>
                <w:kern w:val="0"/>
                <w:sz w:val="24"/>
                <w:szCs w:val="24"/>
              </w:rPr>
            </w:pPr>
          </w:p>
        </w:tc>
        <w:tc>
          <w:tcPr>
            <w:tcW w:w="2856" w:type="pct"/>
            <w:tcBorders>
              <w:top w:val="single" w:color="auto" w:sz="4" w:space="0"/>
              <w:left w:val="single" w:color="auto" w:sz="4" w:space="0"/>
              <w:bottom w:val="single" w:color="auto" w:sz="4" w:space="0"/>
              <w:right w:val="single" w:color="auto" w:sz="4" w:space="0"/>
            </w:tcBorders>
            <w:vAlign w:val="center"/>
          </w:tcPr>
          <w:p w14:paraId="07CF3765">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1、实验箱体：实验箱底板上带有不低于64个“磁吸式电源吸盘”；</w:t>
            </w:r>
          </w:p>
          <w:p w14:paraId="73A5253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2、多功能电源模块：</w:t>
            </w:r>
          </w:p>
          <w:p w14:paraId="0A10EE1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★1）要求电源模块采用独立设计，既可以嵌入到实验箱使用，也可以取出独立使用，外壳采用金属材质；</w:t>
            </w:r>
            <w:r>
              <w:rPr>
                <w:rFonts w:hint="eastAsia" w:asciiTheme="minorEastAsia" w:hAnsiTheme="minorEastAsia" w:eastAsiaTheme="minorEastAsia" w:cstheme="minorEastAsia"/>
                <w:b/>
                <w:bCs/>
                <w:color w:val="auto"/>
                <w:sz w:val="24"/>
                <w:szCs w:val="24"/>
              </w:rPr>
              <w:t>投标时提供演示。</w:t>
            </w:r>
          </w:p>
          <w:p w14:paraId="1EF0F8C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★2）输出有不低于-12V，+5V，+12V、GND直流稳压电源，电源输出接口不低于4种形式，分别为“排插座式”、“弹簧按压式”、“0.5号圆孔式”、“2号孔式”。</w:t>
            </w:r>
            <w:r>
              <w:rPr>
                <w:rFonts w:hint="eastAsia" w:asciiTheme="minorEastAsia" w:hAnsiTheme="minorEastAsia" w:eastAsiaTheme="minorEastAsia" w:cstheme="minorEastAsia"/>
                <w:b/>
                <w:bCs/>
                <w:color w:val="auto"/>
                <w:sz w:val="24"/>
                <w:szCs w:val="24"/>
              </w:rPr>
              <w:t>投标文件</w:t>
            </w:r>
            <w:r>
              <w:rPr>
                <w:rFonts w:hint="eastAsia" w:asciiTheme="minorEastAsia" w:hAnsiTheme="minorEastAsia" w:eastAsiaTheme="minorEastAsia" w:cstheme="minorEastAsia"/>
                <w:b/>
                <w:bCs/>
                <w:color w:val="auto"/>
                <w:sz w:val="24"/>
                <w:szCs w:val="24"/>
                <w:lang w:val="en-US" w:eastAsia="zh-CN"/>
              </w:rPr>
              <w:t>中</w:t>
            </w:r>
            <w:r>
              <w:rPr>
                <w:rFonts w:hint="eastAsia" w:asciiTheme="minorEastAsia" w:hAnsiTheme="minorEastAsia" w:eastAsiaTheme="minorEastAsia" w:cstheme="minorEastAsia"/>
                <w:b/>
                <w:bCs/>
                <w:color w:val="auto"/>
                <w:sz w:val="24"/>
                <w:szCs w:val="24"/>
              </w:rPr>
              <w:t>提供产品宣传彩页</w:t>
            </w:r>
            <w:r>
              <w:rPr>
                <w:rFonts w:hint="eastAsia" w:asciiTheme="minorEastAsia" w:hAnsiTheme="minorEastAsia" w:eastAsiaTheme="minorEastAsia" w:cstheme="minorEastAsia"/>
                <w:color w:val="auto"/>
                <w:sz w:val="24"/>
                <w:szCs w:val="24"/>
              </w:rPr>
              <w:t>。</w:t>
            </w:r>
          </w:p>
          <w:p w14:paraId="138F913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3）要求电源模块带有220V指示灯，当实验结束后未关闭220V电源时，该指示灯常亮。</w:t>
            </w:r>
          </w:p>
          <w:p w14:paraId="7E08860B">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3、实验模块配置：</w:t>
            </w:r>
          </w:p>
          <w:p w14:paraId="7EC24009">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（1）直流信号源模块</w:t>
            </w:r>
          </w:p>
          <w:p w14:paraId="2D9DCD8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要求该模块带有不低于0～+5V可调直流信号源、不低于-5V～+5V可调直流信号源、不低于1.25～+10V直流可调电源、AC-DC集成整流模块、直流滤波单元、双路功率电阻负载单元、集成稳压电路单元；</w:t>
            </w:r>
          </w:p>
          <w:p w14:paraId="05F94C4E">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（2）16P芯片载板模块</w:t>
            </w:r>
          </w:p>
          <w:p w14:paraId="55B15DE0">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要求该模块带有≧4组磁电吸盘，可实现数字电路≧16P*3个圆孔IC座。</w:t>
            </w:r>
          </w:p>
          <w:p w14:paraId="2C373323">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（3）14P芯片载板模块</w:t>
            </w:r>
          </w:p>
          <w:p w14:paraId="283183B5">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要求该模块带有≧4组磁电吸盘，可实现数字电路≧14P*3个圆孔IC座。</w:t>
            </w:r>
          </w:p>
          <w:p w14:paraId="1B07170F">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（4）脉冲信号模块</w:t>
            </w:r>
          </w:p>
          <w:p w14:paraId="3F979C8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要求该模块带有≧4组磁电吸盘，可实现≧2路单脉冲源、连续可调脉冲信号源不低于：（1HZ-10HZ、100HZ-1KHZ、1KHZ-10KHZ、10KHZ-100KHZ）。</w:t>
            </w:r>
          </w:p>
          <w:p w14:paraId="10DA66F2">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（5）逻辑电平显示模块</w:t>
            </w:r>
          </w:p>
          <w:p w14:paraId="595B1A00">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要求该模块带有≧4组磁电吸盘，可实现含有≧16路逻辑电平显示。</w:t>
            </w:r>
          </w:p>
          <w:p w14:paraId="7D238D4C">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（6）逻辑电平输出模块</w:t>
            </w:r>
          </w:p>
          <w:p w14:paraId="040A655F">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要求该模块带有≧4组磁电吸盘，可实现含有≧16路逻辑开关，开关逻辑信号输出状态通过LED灯进行指示。</w:t>
            </w:r>
          </w:p>
          <w:p w14:paraId="64DF84DE">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（7）七段数码管显示模块</w:t>
            </w:r>
          </w:p>
          <w:p w14:paraId="11273A0D">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要求该模块带有≧4组磁电吸盘，具有≧四位数码管，带有≧1组5V电源输出口和电源指示灯，支持插座供电；</w:t>
            </w:r>
          </w:p>
          <w:p w14:paraId="516375F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（8）组合芯片1载板模块</w:t>
            </w:r>
          </w:p>
          <w:p w14:paraId="03C879D2">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该模块包含不低于：8P*2个IC座、14P*1个IC座、16P*1个IC座；</w:t>
            </w:r>
          </w:p>
          <w:p w14:paraId="68418FC8">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（9）20/24P芯片载板模块</w:t>
            </w:r>
          </w:p>
          <w:p w14:paraId="3DF23F60">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要求该模块可实现含有≧20P和24P圆孔IC芯片座各1个，带有电源和GND接口。</w:t>
            </w:r>
          </w:p>
          <w:p w14:paraId="0B48BE2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（10）28P芯片载板模块</w:t>
            </w:r>
          </w:p>
          <w:p w14:paraId="70FA9C39">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具有≧28P IC座1个，带有电源和GND接口，带有电源指示灯和电源反接保护，2#孔导线连接。</w:t>
            </w:r>
          </w:p>
          <w:p w14:paraId="1F4F21C5">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（11）独立元器件模块一</w:t>
            </w:r>
          </w:p>
          <w:p w14:paraId="1CBCED5F">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具有≧50多个器件插孔，插孔可以支持各种电阻、电容、三极管、二极管等电子器件的自由搭接和电路设计。</w:t>
            </w:r>
          </w:p>
          <w:p w14:paraId="6C16B46E">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（12）“数字逻辑”FPGA控制器接口：</w:t>
            </w:r>
          </w:p>
          <w:p w14:paraId="389026E9">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系统可扩展“数字逻辑”FPGA，不低于300万门，支持MIPS、RISC-V指令集。</w:t>
            </w:r>
          </w:p>
          <w:p w14:paraId="0369C40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实验室共配置电子技术综合设计课题≧5个，每个课题的共同要求是：课题所需的电路模块为独立的模块，每个电路模块只能有≦1种器件（如电阻、电容、三极管等，指示灯、接线孔除外），器件之间均需要用导线手动连接，课题均需学生自己动手搭建，每个课题需同时涵盖模拟电子技术及数字电路知识点，每个课题需使用与实验箱配套的多功能电源模块供电。每个课题需向用户提供电路模块、导线及配件、课题指导书、原理图、课题接线图等。</w:t>
            </w:r>
          </w:p>
          <w:p w14:paraId="29CC4309">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★1）声控开关课题，当话筒拾取一定强度声音经过放大处理，驱动发光二极管点亮（或者是通过继电器控制AC220V照明灯）；当灯点亮后经过一定时间的延时自动熄灭；延时时间可以显示；</w:t>
            </w:r>
            <w:bookmarkStart w:id="42" w:name="OLE_LINK53"/>
            <w:r>
              <w:rPr>
                <w:rFonts w:hint="eastAsia" w:asciiTheme="minorEastAsia" w:hAnsiTheme="minorEastAsia" w:eastAsiaTheme="minorEastAsia" w:cstheme="minorEastAsia"/>
                <w:b/>
                <w:bCs/>
                <w:color w:val="auto"/>
                <w:sz w:val="24"/>
                <w:szCs w:val="24"/>
              </w:rPr>
              <w:t>投标</w:t>
            </w:r>
            <w:r>
              <w:rPr>
                <w:rFonts w:hint="eastAsia" w:asciiTheme="minorEastAsia" w:hAnsiTheme="minorEastAsia" w:eastAsiaTheme="minorEastAsia" w:cstheme="minorEastAsia"/>
                <w:b/>
                <w:bCs/>
                <w:color w:val="auto"/>
                <w:sz w:val="24"/>
                <w:szCs w:val="24"/>
                <w:lang w:val="en-US" w:eastAsia="zh-CN"/>
              </w:rPr>
              <w:t>时</w:t>
            </w:r>
            <w:r>
              <w:rPr>
                <w:rFonts w:hint="eastAsia" w:asciiTheme="minorEastAsia" w:hAnsiTheme="minorEastAsia" w:eastAsiaTheme="minorEastAsia" w:cstheme="minorEastAsia"/>
                <w:b/>
                <w:bCs/>
                <w:color w:val="auto"/>
                <w:sz w:val="24"/>
                <w:szCs w:val="24"/>
              </w:rPr>
              <w:t>提供此课题演示视频</w:t>
            </w:r>
            <w:bookmarkEnd w:id="42"/>
          </w:p>
          <w:p w14:paraId="6CE3AE2B">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★2）数控小功率音频放大器，能够实现混声：能够实现播放音乐和唱歌；能够实现调整音乐和话筒音量；能够调整音调；能够实现声音功率放大；</w:t>
            </w:r>
            <w:r>
              <w:rPr>
                <w:rFonts w:hint="eastAsia" w:asciiTheme="minorEastAsia" w:hAnsiTheme="minorEastAsia" w:eastAsiaTheme="minorEastAsia" w:cstheme="minorEastAsia"/>
                <w:b/>
                <w:bCs/>
                <w:color w:val="auto"/>
                <w:sz w:val="24"/>
                <w:szCs w:val="24"/>
              </w:rPr>
              <w:t>投标</w:t>
            </w:r>
            <w:r>
              <w:rPr>
                <w:rFonts w:hint="eastAsia" w:asciiTheme="minorEastAsia" w:hAnsiTheme="minorEastAsia" w:eastAsiaTheme="minorEastAsia" w:cstheme="minorEastAsia"/>
                <w:b/>
                <w:bCs/>
                <w:color w:val="auto"/>
                <w:sz w:val="24"/>
                <w:szCs w:val="24"/>
                <w:lang w:val="en-US" w:eastAsia="zh-CN"/>
              </w:rPr>
              <w:t>时</w:t>
            </w:r>
            <w:r>
              <w:rPr>
                <w:rFonts w:hint="eastAsia" w:asciiTheme="minorEastAsia" w:hAnsiTheme="minorEastAsia" w:eastAsiaTheme="minorEastAsia" w:cstheme="minorEastAsia"/>
                <w:b/>
                <w:bCs/>
                <w:color w:val="auto"/>
                <w:sz w:val="24"/>
                <w:szCs w:val="24"/>
              </w:rPr>
              <w:t>提供此课题演示视频。</w:t>
            </w:r>
          </w:p>
          <w:p w14:paraId="0DF3DE90">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★3）数控直流恒流源，通过按键控制电路输出恒定的电流值，按下“增加”键，电源电路输出电流值增加；按下“减小”键，电源电路输出电流值减小；</w:t>
            </w:r>
            <w:r>
              <w:rPr>
                <w:rFonts w:hint="eastAsia" w:asciiTheme="minorEastAsia" w:hAnsiTheme="minorEastAsia" w:eastAsiaTheme="minorEastAsia" w:cstheme="minorEastAsia"/>
                <w:b/>
                <w:bCs/>
                <w:color w:val="auto"/>
                <w:sz w:val="24"/>
                <w:szCs w:val="24"/>
              </w:rPr>
              <w:t>投标</w:t>
            </w:r>
            <w:r>
              <w:rPr>
                <w:rFonts w:hint="eastAsia" w:asciiTheme="minorEastAsia" w:hAnsiTheme="minorEastAsia" w:eastAsiaTheme="minorEastAsia" w:cstheme="minorEastAsia"/>
                <w:b/>
                <w:bCs/>
                <w:color w:val="auto"/>
                <w:sz w:val="24"/>
                <w:szCs w:val="24"/>
                <w:lang w:val="en-US" w:eastAsia="zh-CN"/>
              </w:rPr>
              <w:t>时</w:t>
            </w:r>
            <w:r>
              <w:rPr>
                <w:rFonts w:hint="eastAsia" w:asciiTheme="minorEastAsia" w:hAnsiTheme="minorEastAsia" w:eastAsiaTheme="minorEastAsia" w:cstheme="minorEastAsia"/>
                <w:b/>
                <w:bCs/>
                <w:color w:val="auto"/>
                <w:sz w:val="24"/>
                <w:szCs w:val="24"/>
              </w:rPr>
              <w:t>提供此课题演示视频。</w:t>
            </w:r>
          </w:p>
          <w:p w14:paraId="1E26CF84">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函数信号发生器，函数信号发生器主要由迟滞比较器、积分器电路、二阶RC有源低通滤波器电路等三部分组成。迟滞比较器电路形成方波，经积分器电路输出三角波，再经二阶RC有源低通滤波器电路形成正弦波，通过电源实现1~12V可调，经过电位器实现频率调节。由此构成了一个函数信号发生器。</w:t>
            </w:r>
            <w:r>
              <w:rPr>
                <w:rFonts w:hint="eastAsia" w:asciiTheme="minorEastAsia" w:hAnsiTheme="minorEastAsia" w:eastAsiaTheme="minorEastAsia" w:cstheme="minorEastAsia"/>
                <w:b/>
                <w:bCs/>
                <w:color w:val="auto"/>
                <w:sz w:val="24"/>
                <w:szCs w:val="24"/>
              </w:rPr>
              <w:t>投标</w:t>
            </w:r>
            <w:r>
              <w:rPr>
                <w:rFonts w:hint="eastAsia" w:asciiTheme="minorEastAsia" w:hAnsiTheme="minorEastAsia" w:eastAsiaTheme="minorEastAsia" w:cstheme="minorEastAsia"/>
                <w:b/>
                <w:bCs/>
                <w:color w:val="auto"/>
                <w:sz w:val="24"/>
                <w:szCs w:val="24"/>
                <w:lang w:val="en-US" w:eastAsia="zh-CN"/>
              </w:rPr>
              <w:t>时</w:t>
            </w:r>
            <w:r>
              <w:rPr>
                <w:rFonts w:hint="eastAsia" w:asciiTheme="minorEastAsia" w:hAnsiTheme="minorEastAsia" w:eastAsiaTheme="minorEastAsia" w:cstheme="minorEastAsia"/>
                <w:b/>
                <w:bCs/>
                <w:color w:val="auto"/>
                <w:sz w:val="24"/>
                <w:szCs w:val="24"/>
              </w:rPr>
              <w:t>提供此课题演示视频</w:t>
            </w:r>
          </w:p>
          <w:p w14:paraId="7CCD4FD7">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★5）频率计，实现输入信号的自检测试；实现被测信号的放大整形；实现时间基准信号的产生；实现≧6位数码管频率实时更新显示；</w:t>
            </w:r>
            <w:r>
              <w:rPr>
                <w:rFonts w:hint="eastAsia" w:asciiTheme="minorEastAsia" w:hAnsiTheme="minorEastAsia" w:eastAsiaTheme="minorEastAsia" w:cstheme="minorEastAsia"/>
                <w:b/>
                <w:bCs/>
                <w:color w:val="auto"/>
                <w:sz w:val="24"/>
                <w:szCs w:val="24"/>
              </w:rPr>
              <w:t>投标</w:t>
            </w:r>
            <w:r>
              <w:rPr>
                <w:rFonts w:hint="eastAsia" w:asciiTheme="minorEastAsia" w:hAnsiTheme="minorEastAsia" w:eastAsiaTheme="minorEastAsia" w:cstheme="minorEastAsia"/>
                <w:b/>
                <w:bCs/>
                <w:color w:val="auto"/>
                <w:sz w:val="24"/>
                <w:szCs w:val="24"/>
                <w:lang w:val="en-US" w:eastAsia="zh-CN"/>
              </w:rPr>
              <w:t>时</w:t>
            </w:r>
            <w:r>
              <w:rPr>
                <w:rFonts w:hint="eastAsia" w:asciiTheme="minorEastAsia" w:hAnsiTheme="minorEastAsia" w:eastAsiaTheme="minorEastAsia" w:cstheme="minorEastAsia"/>
                <w:b/>
                <w:bCs/>
                <w:color w:val="auto"/>
                <w:sz w:val="24"/>
                <w:szCs w:val="24"/>
              </w:rPr>
              <w:t>提供此课题演示视频。</w:t>
            </w:r>
          </w:p>
          <w:p w14:paraId="55CDF9B2">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5、配备基于电子技术的综合实训创新解决方案，整个项目配置1套，包含：电子综合设计模块、多功能数据采集卡、新能源车3D仿真软件、实验导线、方案使用说明书、培训、使用视频等。</w:t>
            </w:r>
          </w:p>
          <w:p w14:paraId="05AF22F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1）电子综合设计模块含以下资源：扩展编码电阻≧ 1 个； 扩展编码电容 ≧1 个； 反相器≧一组；  运算电路≧一组； RC 电路≧一组；电压跟随器≧1个。</w:t>
            </w:r>
          </w:p>
          <w:p w14:paraId="3B58C0A6">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2）多功能数据采集卡，USB方式，带有≧2个≧12位AD接口（0～10V），带有≧2个≧12位DA输出接口（0～10V）。</w:t>
            </w:r>
          </w:p>
          <w:p w14:paraId="5F5976FE">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3）新能源车3D仿真软件含以下功能：</w:t>
            </w:r>
          </w:p>
          <w:p w14:paraId="68EFA4F5">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A.该仿真软件以新能源汽车实际的运行场景进行3D建模虚拟化，将控制对象，如各种电机和传感器的电路模型参数与3D场景中的虚拟物体进行数据联通，通过电子综合设计模块来实现对新能源车3D仿真软件的动作控制，本系统支持单轴、双轴系统的速度、方向、电流、负载虚实控制。</w:t>
            </w:r>
          </w:p>
          <w:p w14:paraId="23B3F6FA">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B.3D仿真软件多梯竞速时具有不低于3种工作测试模式：分别是新能源电动汽车低速阶跃测试模式、高速阶跃测试、速降阶跃测试模式，在不同的测试模式下，可设置车辆载重数值对系统稳定性的影响。</w:t>
            </w:r>
          </w:p>
          <w:p w14:paraId="11BFBBA9">
            <w:pPr>
              <w:numPr>
                <w:ilvl w:val="0"/>
                <w:numId w:val="1"/>
              </w:num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仿真软件新能源电动汽车两驱测试时具有低速状态和高速状态两个模式。</w:t>
            </w:r>
          </w:p>
          <w:p w14:paraId="29D20765">
            <w:pPr>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6、实验室共配置数字逻辑FPGA综合实训案例≧1套。</w:t>
            </w:r>
          </w:p>
          <w:p w14:paraId="1C3BFACD">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1）主芯片：需可单独运行MINIRV级RISC-V处理器与MINILA 龙架构处理器。</w:t>
            </w:r>
          </w:p>
          <w:p w14:paraId="673D1744">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2）配置方式：USB-JTAG/SPI Flash。</w:t>
            </w:r>
          </w:p>
          <w:p w14:paraId="65074360">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3）存储不低于：DDR3：512MByte；SRAM：2MByte/48-bit 。</w:t>
            </w:r>
          </w:p>
          <w:p w14:paraId="0711A8C4">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★4）拨码开关：≧24个；LED灯：≧24路。</w:t>
            </w:r>
            <w:r>
              <w:rPr>
                <w:rFonts w:hint="eastAsia" w:asciiTheme="minorEastAsia" w:hAnsiTheme="minorEastAsia" w:eastAsiaTheme="minorEastAsia" w:cstheme="minorEastAsia"/>
                <w:b/>
                <w:bCs/>
                <w:color w:val="auto"/>
                <w:sz w:val="24"/>
                <w:szCs w:val="24"/>
              </w:rPr>
              <w:t>投标文件</w:t>
            </w:r>
            <w:r>
              <w:rPr>
                <w:rFonts w:hint="eastAsia" w:asciiTheme="minorEastAsia" w:hAnsiTheme="minorEastAsia" w:eastAsiaTheme="minorEastAsia" w:cstheme="minorEastAsia"/>
                <w:b/>
                <w:bCs/>
                <w:color w:val="auto"/>
                <w:sz w:val="24"/>
                <w:szCs w:val="24"/>
                <w:lang w:val="en-US" w:eastAsia="zh-CN"/>
              </w:rPr>
              <w:t>中</w:t>
            </w:r>
            <w:r>
              <w:rPr>
                <w:rFonts w:hint="eastAsia" w:asciiTheme="minorEastAsia" w:hAnsiTheme="minorEastAsia" w:eastAsiaTheme="minorEastAsia" w:cstheme="minorEastAsia"/>
                <w:b/>
                <w:bCs/>
                <w:color w:val="auto"/>
                <w:sz w:val="24"/>
                <w:szCs w:val="24"/>
              </w:rPr>
              <w:t>提供产品宣传彩页。</w:t>
            </w:r>
          </w:p>
          <w:p w14:paraId="6A65F661">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5）按键：≧5个；4x4键盘：≧1个；七段数码管：≧8个；蜂鸣器：≧1个；VGA接口：≧1个。</w:t>
            </w:r>
          </w:p>
          <w:p w14:paraId="0759F1DA">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kern w:val="0"/>
                <w:sz w:val="24"/>
                <w:szCs w:val="24"/>
              </w:rPr>
              <w:t>7）板载集成 JTAG 下载、UART 转 USB2.0（无需额外配下载器）。</w:t>
            </w:r>
          </w:p>
          <w:p w14:paraId="5C3B11ED">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8）以太网：≧10M/100M/1G 。</w:t>
            </w:r>
          </w:p>
          <w:p w14:paraId="35F7E7DA">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9）Pmod扩展接口：≧6 Pin；GROVE接口：≧1个。</w:t>
            </w:r>
          </w:p>
          <w:p w14:paraId="49C69A46">
            <w:pPr>
              <w:spacing w:line="300" w:lineRule="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10）能够完成以下实验项目（供货时提供实验代码及实验指导书）：</w:t>
            </w:r>
          </w:p>
          <w:p w14:paraId="72F273CB">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1.多种基本门电路实训</w:t>
            </w:r>
          </w:p>
          <w:p w14:paraId="71B23FCF">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2.选择器的设计</w:t>
            </w:r>
          </w:p>
          <w:p w14:paraId="33FE33CB">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3.译码器、比较器和编码器的设计</w:t>
            </w:r>
          </w:p>
          <w:p w14:paraId="3B4F0CCD">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4.锁存器、触发器、寄存器堆的设计</w:t>
            </w:r>
          </w:p>
          <w:p w14:paraId="51277E06">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5.分频器、计数器、脉冲宽度调制器PWM的设计</w:t>
            </w:r>
          </w:p>
          <w:p w14:paraId="1A563FD2">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6.基于MIPS&amp;RISC-V指令系统的单周期综合设计</w:t>
            </w:r>
          </w:p>
          <w:p w14:paraId="7C0A12B6">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1）控制器设计</w:t>
            </w:r>
          </w:p>
          <w:p w14:paraId="74A1812A">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2）译码部件设计</w:t>
            </w:r>
          </w:p>
          <w:p w14:paraId="4B7ECEB1">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3）运算器设计</w:t>
            </w:r>
          </w:p>
          <w:p w14:paraId="41272A80">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4）存储器设计</w:t>
            </w:r>
          </w:p>
          <w:p w14:paraId="473DBDF4">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w:t>
            </w:r>
            <w:r>
              <w:rPr>
                <w:rFonts w:hint="eastAsia" w:asciiTheme="minorEastAsia" w:hAnsiTheme="minorEastAsia" w:eastAsiaTheme="minorEastAsia" w:cstheme="minorEastAsia"/>
                <w:color w:val="auto"/>
                <w:sz w:val="24"/>
                <w:szCs w:val="24"/>
              </w:rPr>
              <w:t>7.汇编器的设计。</w:t>
            </w:r>
            <w:r>
              <w:rPr>
                <w:rFonts w:hint="eastAsia" w:asciiTheme="minorEastAsia" w:hAnsiTheme="minorEastAsia" w:eastAsiaTheme="minorEastAsia" w:cstheme="minorEastAsia"/>
                <w:b/>
                <w:bCs/>
                <w:color w:val="auto"/>
                <w:sz w:val="24"/>
                <w:szCs w:val="24"/>
              </w:rPr>
              <w:t>投标时提供演示视频。</w:t>
            </w:r>
          </w:p>
          <w:p w14:paraId="7F4F0413">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8.Mini C编译器的设计</w:t>
            </w:r>
          </w:p>
          <w:p w14:paraId="289BEA4C">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9.数字逻辑综合系统的设计</w:t>
            </w:r>
          </w:p>
          <w:p w14:paraId="4B2601AC">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1）完成BOOT系统的设计</w:t>
            </w:r>
          </w:p>
          <w:p w14:paraId="2DFE8599">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2）完成页式虚拟存储管理的设计</w:t>
            </w:r>
          </w:p>
          <w:p w14:paraId="13843B47">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3）完成进程管理系统的设计</w:t>
            </w:r>
          </w:p>
          <w:p w14:paraId="7F7E0CBF">
            <w:pPr>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4）基于miniLA龙架构的综合设计</w:t>
            </w:r>
          </w:p>
        </w:tc>
        <w:tc>
          <w:tcPr>
            <w:tcW w:w="390" w:type="pct"/>
            <w:tcBorders>
              <w:top w:val="single" w:color="auto" w:sz="4" w:space="0"/>
              <w:left w:val="single" w:color="auto" w:sz="4" w:space="0"/>
              <w:bottom w:val="single" w:color="auto" w:sz="4" w:space="0"/>
              <w:right w:val="single" w:color="auto" w:sz="4" w:space="0"/>
            </w:tcBorders>
            <w:vAlign w:val="center"/>
          </w:tcPr>
          <w:p w14:paraId="1A943616">
            <w:pPr>
              <w:widowControl/>
              <w:spacing w:line="300" w:lineRule="auto"/>
              <w:jc w:val="center"/>
              <w:textAlignment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台</w:t>
            </w:r>
          </w:p>
        </w:tc>
        <w:tc>
          <w:tcPr>
            <w:tcW w:w="329" w:type="pct"/>
            <w:tcBorders>
              <w:top w:val="single" w:color="auto" w:sz="4" w:space="0"/>
              <w:left w:val="single" w:color="auto" w:sz="4" w:space="0"/>
              <w:bottom w:val="single" w:color="auto" w:sz="4" w:space="0"/>
              <w:right w:val="single" w:color="auto" w:sz="4" w:space="0"/>
            </w:tcBorders>
            <w:vAlign w:val="center"/>
          </w:tcPr>
          <w:p w14:paraId="2BFD1A10">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52</w:t>
            </w:r>
          </w:p>
        </w:tc>
        <w:tc>
          <w:tcPr>
            <w:tcW w:w="454" w:type="pct"/>
            <w:tcBorders>
              <w:top w:val="single" w:color="auto" w:sz="4" w:space="0"/>
              <w:left w:val="single" w:color="auto" w:sz="4" w:space="0"/>
              <w:bottom w:val="single" w:color="auto" w:sz="4" w:space="0"/>
              <w:right w:val="single" w:color="auto" w:sz="4" w:space="0"/>
            </w:tcBorders>
            <w:vAlign w:val="center"/>
          </w:tcPr>
          <w:p w14:paraId="50509899">
            <w:pPr>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工业</w:t>
            </w:r>
          </w:p>
        </w:tc>
      </w:tr>
    </w:tbl>
    <w:p w14:paraId="79F8B957">
      <w:pPr>
        <w:spacing w:line="360" w:lineRule="auto"/>
        <w:ind w:firstLine="437"/>
        <w:outlineLvl w:val="1"/>
        <w:rPr>
          <w:rFonts w:hint="eastAsia" w:ascii="宋体" w:hAnsi="宋体" w:eastAsia="宋体"/>
          <w:b/>
          <w:bCs/>
          <w:color w:val="auto"/>
          <w:sz w:val="24"/>
          <w:szCs w:val="18"/>
        </w:rPr>
      </w:pPr>
      <w:r>
        <w:rPr>
          <w:rFonts w:hint="eastAsia" w:ascii="宋体" w:hAnsi="宋体" w:eastAsia="宋体"/>
          <w:b/>
          <w:bCs/>
          <w:color w:val="auto"/>
          <w:sz w:val="24"/>
          <w:szCs w:val="18"/>
        </w:rPr>
        <w:t>三、报价要求</w:t>
      </w:r>
      <w:bookmarkEnd w:id="6"/>
      <w:bookmarkEnd w:id="7"/>
      <w:bookmarkEnd w:id="8"/>
    </w:p>
    <w:p w14:paraId="5DA72EA4">
      <w:pPr>
        <w:spacing w:line="360" w:lineRule="auto"/>
        <w:ind w:firstLine="437"/>
        <w:rPr>
          <w:rFonts w:hint="eastAsia" w:ascii="宋体" w:hAnsi="宋体" w:eastAsia="宋体"/>
          <w:bCs/>
          <w:color w:val="auto"/>
          <w:sz w:val="24"/>
          <w:szCs w:val="18"/>
        </w:rPr>
      </w:pPr>
      <w:r>
        <w:rPr>
          <w:rFonts w:hint="eastAsia" w:ascii="宋体" w:hAnsi="宋体" w:eastAsia="宋体"/>
          <w:bCs/>
          <w:color w:val="auto"/>
          <w:sz w:val="24"/>
          <w:szCs w:val="18"/>
        </w:rPr>
        <w:t>本项目报总价，投标报价</w:t>
      </w:r>
      <w:r>
        <w:rPr>
          <w:rFonts w:ascii="宋体" w:hAnsi="宋体" w:eastAsia="宋体"/>
          <w:bCs/>
          <w:color w:val="auto"/>
          <w:sz w:val="24"/>
          <w:szCs w:val="18"/>
        </w:rPr>
        <w:t>包括</w:t>
      </w:r>
      <w:r>
        <w:rPr>
          <w:rFonts w:hint="eastAsia" w:ascii="宋体" w:hAnsi="宋体" w:eastAsia="宋体"/>
          <w:bCs/>
          <w:color w:val="auto"/>
          <w:sz w:val="24"/>
          <w:szCs w:val="18"/>
        </w:rPr>
        <w:t>本项目需求的全部货物及所需附件购置费、包装费、运输费、人工费、安装调试费、各种税费、资料费、售后服务费及完成项目应有的全部费用。</w:t>
      </w:r>
    </w:p>
    <w:p w14:paraId="086EAF51">
      <w:pPr>
        <w:spacing w:line="360" w:lineRule="auto"/>
        <w:ind w:firstLine="437"/>
        <w:outlineLvl w:val="1"/>
        <w:rPr>
          <w:rFonts w:hint="eastAsia" w:ascii="宋体" w:hAnsi="宋体" w:eastAsia="宋体"/>
          <w:b/>
          <w:bCs/>
          <w:color w:val="auto"/>
          <w:sz w:val="24"/>
          <w:szCs w:val="18"/>
        </w:rPr>
      </w:pPr>
      <w:bookmarkStart w:id="43" w:name="_Toc9889"/>
      <w:r>
        <w:rPr>
          <w:rFonts w:hint="eastAsia" w:ascii="宋体" w:hAnsi="宋体" w:eastAsia="宋体"/>
          <w:b/>
          <w:bCs/>
          <w:color w:val="auto"/>
          <w:sz w:val="24"/>
          <w:szCs w:val="18"/>
        </w:rPr>
        <w:t>四、备品备件及专用工具</w:t>
      </w:r>
      <w:bookmarkEnd w:id="43"/>
    </w:p>
    <w:p w14:paraId="7CF4A343">
      <w:pPr>
        <w:spacing w:line="360" w:lineRule="auto"/>
        <w:ind w:firstLine="437"/>
        <w:outlineLvl w:val="1"/>
        <w:rPr>
          <w:rFonts w:hint="eastAsia" w:ascii="宋体" w:hAnsi="宋体" w:eastAsia="宋体"/>
          <w:bCs/>
          <w:color w:val="auto"/>
          <w:sz w:val="24"/>
          <w:szCs w:val="18"/>
        </w:rPr>
      </w:pPr>
      <w:bookmarkStart w:id="44" w:name="_Toc178"/>
      <w:bookmarkStart w:id="45" w:name="_Toc455587277"/>
      <w:bookmarkStart w:id="46" w:name="_Toc445554752"/>
      <w:bookmarkStart w:id="47" w:name="_Toc455587093"/>
      <w:r>
        <w:rPr>
          <w:rFonts w:ascii="宋体" w:hAnsi="宋体" w:eastAsia="宋体"/>
          <w:bCs/>
          <w:color w:val="auto"/>
          <w:sz w:val="24"/>
          <w:szCs w:val="18"/>
        </w:rPr>
        <w:t>1、备品备件：中标人提供能够满足质量保证期内的设备维修要求的备品备件，备品备件应是新品。</w:t>
      </w:r>
      <w:bookmarkEnd w:id="44"/>
    </w:p>
    <w:p w14:paraId="63BD9EBF">
      <w:pPr>
        <w:spacing w:line="360" w:lineRule="auto"/>
        <w:ind w:firstLine="437"/>
        <w:outlineLvl w:val="1"/>
        <w:rPr>
          <w:rFonts w:hint="eastAsia" w:ascii="宋体" w:hAnsi="宋体" w:eastAsia="宋体"/>
          <w:bCs/>
          <w:color w:val="auto"/>
          <w:sz w:val="24"/>
          <w:szCs w:val="18"/>
        </w:rPr>
      </w:pPr>
      <w:bookmarkStart w:id="48" w:name="_Toc23902"/>
      <w:r>
        <w:rPr>
          <w:rFonts w:ascii="宋体" w:hAnsi="宋体" w:eastAsia="宋体"/>
          <w:bCs/>
          <w:color w:val="auto"/>
          <w:sz w:val="24"/>
          <w:szCs w:val="18"/>
        </w:rPr>
        <w:t>2、专用工具：中标人提供设备安装、调试、维修、保养所必要的专用工具、仪器、仪表等工具。</w:t>
      </w:r>
      <w:bookmarkEnd w:id="48"/>
    </w:p>
    <w:bookmarkEnd w:id="45"/>
    <w:bookmarkEnd w:id="46"/>
    <w:bookmarkEnd w:id="47"/>
    <w:p w14:paraId="066E8851">
      <w:pPr>
        <w:spacing w:line="360" w:lineRule="auto"/>
        <w:ind w:firstLine="437"/>
        <w:outlineLvl w:val="1"/>
        <w:rPr>
          <w:rFonts w:hint="eastAsia" w:ascii="宋体" w:hAnsi="宋体" w:eastAsia="宋体"/>
          <w:b/>
          <w:bCs/>
          <w:color w:val="auto"/>
          <w:sz w:val="24"/>
          <w:szCs w:val="18"/>
        </w:rPr>
      </w:pPr>
      <w:bookmarkStart w:id="49" w:name="_Toc532199625"/>
      <w:bookmarkStart w:id="50" w:name="_Toc14385"/>
      <w:bookmarkStart w:id="51" w:name="_Toc455587278"/>
      <w:bookmarkStart w:id="52" w:name="_Toc455587094"/>
      <w:bookmarkStart w:id="53" w:name="_Toc445554753"/>
      <w:r>
        <w:rPr>
          <w:rFonts w:hint="eastAsia" w:ascii="宋体" w:hAnsi="宋体" w:eastAsia="宋体"/>
          <w:b/>
          <w:bCs/>
          <w:color w:val="auto"/>
          <w:sz w:val="24"/>
          <w:szCs w:val="18"/>
        </w:rPr>
        <w:t>五、安装调试、验收试验及质量保证</w:t>
      </w:r>
      <w:bookmarkEnd w:id="49"/>
      <w:bookmarkEnd w:id="50"/>
    </w:p>
    <w:p w14:paraId="0F7EF758">
      <w:pPr>
        <w:spacing w:line="360" w:lineRule="auto"/>
        <w:ind w:firstLine="437"/>
        <w:outlineLvl w:val="1"/>
        <w:rPr>
          <w:rFonts w:hint="eastAsia" w:ascii="宋体" w:hAnsi="宋体" w:eastAsia="宋体"/>
          <w:bCs/>
          <w:color w:val="auto"/>
          <w:sz w:val="24"/>
          <w:szCs w:val="18"/>
        </w:rPr>
      </w:pPr>
      <w:bookmarkStart w:id="54" w:name="_Toc227"/>
      <w:r>
        <w:rPr>
          <w:rFonts w:ascii="宋体" w:hAnsi="宋体" w:eastAsia="宋体"/>
          <w:bCs/>
          <w:color w:val="auto"/>
          <w:sz w:val="24"/>
          <w:szCs w:val="18"/>
        </w:rPr>
        <w:t>1、中标人在设备安装地点负责安装、调试。</w:t>
      </w:r>
      <w:bookmarkEnd w:id="54"/>
    </w:p>
    <w:p w14:paraId="5AE5E614">
      <w:pPr>
        <w:spacing w:line="360" w:lineRule="auto"/>
        <w:ind w:firstLine="437"/>
        <w:outlineLvl w:val="1"/>
        <w:rPr>
          <w:rFonts w:hint="eastAsia" w:ascii="宋体" w:hAnsi="宋体" w:eastAsia="宋体"/>
          <w:bCs/>
          <w:color w:val="auto"/>
          <w:sz w:val="24"/>
          <w:szCs w:val="18"/>
        </w:rPr>
      </w:pPr>
      <w:bookmarkStart w:id="55" w:name="_Toc22590"/>
      <w:r>
        <w:rPr>
          <w:rFonts w:ascii="宋体" w:hAnsi="宋体" w:eastAsia="宋体"/>
          <w:bCs/>
          <w:color w:val="auto"/>
          <w:sz w:val="24"/>
          <w:szCs w:val="18"/>
        </w:rPr>
        <w:t>2、具体设备验收标准和程序按采购人要求执行，下列验收程序可参照执行：</w:t>
      </w:r>
      <w:bookmarkEnd w:id="55"/>
    </w:p>
    <w:p w14:paraId="21AAB99E">
      <w:pPr>
        <w:spacing w:line="360" w:lineRule="auto"/>
        <w:ind w:firstLine="437"/>
        <w:outlineLvl w:val="1"/>
        <w:rPr>
          <w:rFonts w:hint="eastAsia" w:ascii="宋体" w:hAnsi="宋体" w:eastAsia="宋体"/>
          <w:bCs/>
          <w:color w:val="auto"/>
          <w:sz w:val="24"/>
          <w:szCs w:val="18"/>
        </w:rPr>
      </w:pPr>
      <w:bookmarkStart w:id="56" w:name="_Toc18186"/>
      <w:r>
        <w:rPr>
          <w:rFonts w:ascii="宋体" w:hAnsi="宋体" w:eastAsia="宋体"/>
          <w:bCs/>
          <w:color w:val="auto"/>
          <w:sz w:val="24"/>
          <w:szCs w:val="18"/>
        </w:rPr>
        <w:t>2.1 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w:t>
      </w:r>
      <w:bookmarkEnd w:id="56"/>
    </w:p>
    <w:p w14:paraId="70BBDC16">
      <w:pPr>
        <w:spacing w:line="360" w:lineRule="auto"/>
        <w:ind w:firstLine="437"/>
        <w:outlineLvl w:val="1"/>
        <w:rPr>
          <w:rFonts w:hint="eastAsia" w:ascii="宋体" w:hAnsi="宋体" w:eastAsia="宋体"/>
          <w:bCs/>
          <w:color w:val="auto"/>
          <w:sz w:val="24"/>
          <w:szCs w:val="18"/>
        </w:rPr>
      </w:pPr>
      <w:bookmarkStart w:id="57" w:name="_Toc21848"/>
      <w:r>
        <w:rPr>
          <w:rFonts w:ascii="宋体" w:hAnsi="宋体" w:eastAsia="宋体"/>
          <w:bCs/>
          <w:color w:val="auto"/>
          <w:sz w:val="24"/>
          <w:szCs w:val="18"/>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bookmarkEnd w:id="57"/>
    </w:p>
    <w:p w14:paraId="1FBFA2D6">
      <w:pPr>
        <w:spacing w:line="360" w:lineRule="auto"/>
        <w:ind w:firstLine="437"/>
        <w:outlineLvl w:val="1"/>
        <w:rPr>
          <w:rFonts w:hint="eastAsia" w:ascii="宋体" w:hAnsi="宋体" w:eastAsia="宋体"/>
          <w:bCs/>
          <w:color w:val="auto"/>
          <w:sz w:val="24"/>
          <w:szCs w:val="18"/>
        </w:rPr>
      </w:pPr>
      <w:bookmarkStart w:id="58" w:name="_Toc23328"/>
      <w:r>
        <w:rPr>
          <w:rFonts w:ascii="宋体" w:hAnsi="宋体" w:eastAsia="宋体"/>
          <w:bCs/>
          <w:color w:val="auto"/>
          <w:sz w:val="24"/>
          <w:szCs w:val="18"/>
        </w:rPr>
        <w:t>2.3 中标人应根据采购人使用单位的技术要求提供相应的产品。由中标人所提供的设备部件间的连线和插接件均应视为设备内部器件，包含在相应的设备之中。</w:t>
      </w:r>
      <w:bookmarkEnd w:id="58"/>
    </w:p>
    <w:p w14:paraId="636F2A16">
      <w:pPr>
        <w:spacing w:line="360" w:lineRule="auto"/>
        <w:ind w:firstLine="437"/>
        <w:outlineLvl w:val="1"/>
        <w:rPr>
          <w:rFonts w:hint="eastAsia" w:ascii="宋体" w:hAnsi="宋体" w:eastAsia="宋体"/>
          <w:bCs/>
          <w:color w:val="auto"/>
          <w:sz w:val="24"/>
          <w:szCs w:val="18"/>
        </w:rPr>
      </w:pPr>
      <w:bookmarkStart w:id="59" w:name="_Toc25826"/>
      <w:r>
        <w:rPr>
          <w:rFonts w:ascii="宋体" w:hAnsi="宋体" w:eastAsia="宋体"/>
          <w:bCs/>
          <w:color w:val="auto"/>
          <w:sz w:val="24"/>
          <w:szCs w:val="18"/>
        </w:rPr>
        <w:t>2.4 运行测试及最终验收。在系统安装、调试结束后，采购人对其进行全面的测试，对测试中暴露出来的问题，中标人应及时进行整改，系统最终测试完毕经验收合格后，采购人应向中标人签发最终验收证明。</w:t>
      </w:r>
      <w:bookmarkEnd w:id="59"/>
    </w:p>
    <w:p w14:paraId="1B1BBB23">
      <w:pPr>
        <w:spacing w:line="360" w:lineRule="auto"/>
        <w:ind w:firstLine="437"/>
        <w:outlineLvl w:val="1"/>
        <w:rPr>
          <w:rFonts w:hint="eastAsia" w:ascii="宋体" w:hAnsi="宋体" w:eastAsia="宋体"/>
          <w:bCs/>
          <w:color w:val="auto"/>
          <w:sz w:val="24"/>
          <w:szCs w:val="18"/>
        </w:rPr>
      </w:pPr>
      <w:bookmarkStart w:id="60" w:name="_Toc32187"/>
      <w:r>
        <w:rPr>
          <w:rFonts w:ascii="宋体" w:hAnsi="宋体" w:eastAsia="宋体"/>
          <w:bCs/>
          <w:color w:val="auto"/>
          <w:sz w:val="24"/>
          <w:szCs w:val="18"/>
        </w:rPr>
        <w:t>2.5 中标人应向采购人提供安装调试过程中的各种文档资料,以便采购人今后能掌握操作和维护方法。</w:t>
      </w:r>
      <w:bookmarkEnd w:id="60"/>
    </w:p>
    <w:p w14:paraId="78719D05">
      <w:pPr>
        <w:spacing w:line="360" w:lineRule="auto"/>
        <w:ind w:firstLine="437"/>
        <w:outlineLvl w:val="1"/>
        <w:rPr>
          <w:rFonts w:hint="eastAsia" w:ascii="宋体" w:hAnsi="宋体" w:eastAsia="宋体"/>
          <w:bCs/>
          <w:color w:val="auto"/>
          <w:sz w:val="24"/>
          <w:szCs w:val="18"/>
        </w:rPr>
      </w:pPr>
      <w:bookmarkStart w:id="61" w:name="_Toc14979"/>
      <w:r>
        <w:rPr>
          <w:rFonts w:ascii="宋体" w:hAnsi="宋体" w:eastAsia="宋体"/>
          <w:bCs/>
          <w:color w:val="auto"/>
          <w:sz w:val="24"/>
          <w:szCs w:val="18"/>
        </w:rPr>
        <w:t>3、如设备在验收时有一个或多个指标未能达到要求而属于中标人责任时，则中标人自费采取有效措施，在</w:t>
      </w:r>
      <w:r>
        <w:rPr>
          <w:rFonts w:hint="eastAsia" w:ascii="宋体" w:hAnsi="宋体" w:eastAsia="宋体"/>
          <w:bCs/>
          <w:color w:val="auto"/>
          <w:sz w:val="24"/>
          <w:szCs w:val="18"/>
        </w:rPr>
        <w:t>采购人</w:t>
      </w:r>
      <w:r>
        <w:rPr>
          <w:rFonts w:ascii="宋体" w:hAnsi="宋体" w:eastAsia="宋体"/>
          <w:bCs/>
          <w:color w:val="auto"/>
          <w:sz w:val="24"/>
          <w:szCs w:val="18"/>
        </w:rPr>
        <w:t>规定时间内使之达到保证指标。如在</w:t>
      </w:r>
      <w:r>
        <w:rPr>
          <w:rFonts w:hint="eastAsia" w:ascii="宋体" w:hAnsi="宋体" w:eastAsia="宋体"/>
          <w:bCs/>
          <w:color w:val="auto"/>
          <w:sz w:val="24"/>
          <w:szCs w:val="18"/>
        </w:rPr>
        <w:t>采购人</w:t>
      </w:r>
      <w:r>
        <w:rPr>
          <w:rFonts w:ascii="宋体" w:hAnsi="宋体" w:eastAsia="宋体"/>
          <w:bCs/>
          <w:color w:val="auto"/>
          <w:sz w:val="24"/>
          <w:szCs w:val="18"/>
        </w:rPr>
        <w:t>规定的时间内仍达不到合格标准时，则中标人应向采购人赔偿。</w:t>
      </w:r>
      <w:bookmarkEnd w:id="61"/>
    </w:p>
    <w:p w14:paraId="001EE6EE">
      <w:pPr>
        <w:spacing w:line="360" w:lineRule="auto"/>
        <w:ind w:firstLine="437"/>
        <w:outlineLvl w:val="1"/>
        <w:rPr>
          <w:rFonts w:hint="eastAsia" w:ascii="宋体" w:hAnsi="宋体" w:eastAsia="宋体"/>
          <w:b/>
          <w:bCs/>
          <w:color w:val="auto"/>
          <w:sz w:val="24"/>
          <w:szCs w:val="18"/>
        </w:rPr>
      </w:pPr>
      <w:bookmarkStart w:id="62" w:name="_Toc532199626"/>
      <w:bookmarkStart w:id="63" w:name="_Toc12576"/>
      <w:r>
        <w:rPr>
          <w:rFonts w:hint="eastAsia" w:ascii="宋体" w:hAnsi="宋体" w:eastAsia="宋体"/>
          <w:b/>
          <w:bCs/>
          <w:color w:val="auto"/>
          <w:sz w:val="24"/>
          <w:szCs w:val="18"/>
        </w:rPr>
        <w:t>六、包装运输</w:t>
      </w:r>
      <w:bookmarkEnd w:id="51"/>
      <w:bookmarkEnd w:id="52"/>
      <w:bookmarkEnd w:id="53"/>
      <w:bookmarkEnd w:id="62"/>
      <w:bookmarkEnd w:id="63"/>
    </w:p>
    <w:p w14:paraId="012BE73E">
      <w:pPr>
        <w:spacing w:line="360" w:lineRule="auto"/>
        <w:ind w:firstLine="437"/>
        <w:outlineLvl w:val="1"/>
        <w:rPr>
          <w:rFonts w:hint="eastAsia" w:ascii="宋体" w:hAnsi="宋体" w:eastAsia="宋体"/>
          <w:bCs/>
          <w:color w:val="auto"/>
          <w:sz w:val="24"/>
          <w:szCs w:val="18"/>
        </w:rPr>
      </w:pPr>
      <w:bookmarkStart w:id="64" w:name="_Toc15773"/>
      <w:bookmarkStart w:id="65" w:name="_Toc455587095"/>
      <w:bookmarkStart w:id="66" w:name="_Toc445554754"/>
      <w:bookmarkStart w:id="67" w:name="_Toc455587279"/>
      <w:r>
        <w:rPr>
          <w:rFonts w:ascii="宋体" w:hAnsi="宋体" w:eastAsia="宋体"/>
          <w:bCs/>
          <w:color w:val="auto"/>
          <w:sz w:val="24"/>
          <w:szCs w:val="18"/>
        </w:rPr>
        <w:t>1、中标人负责设备包装、办理运输和保险，将设备安全运抵交货地点。</w:t>
      </w:r>
      <w:bookmarkEnd w:id="64"/>
    </w:p>
    <w:p w14:paraId="1CD05F1B">
      <w:pPr>
        <w:spacing w:line="360" w:lineRule="auto"/>
        <w:ind w:firstLine="437"/>
        <w:outlineLvl w:val="1"/>
        <w:rPr>
          <w:rFonts w:hint="eastAsia" w:ascii="宋体" w:hAnsi="宋体" w:eastAsia="宋体"/>
          <w:bCs/>
          <w:color w:val="auto"/>
          <w:sz w:val="24"/>
          <w:szCs w:val="18"/>
        </w:rPr>
      </w:pPr>
      <w:bookmarkStart w:id="68" w:name="_Toc8602"/>
      <w:r>
        <w:rPr>
          <w:rFonts w:ascii="宋体" w:hAnsi="宋体" w:eastAsia="宋体"/>
          <w:bCs/>
          <w:color w:val="auto"/>
          <w:sz w:val="24"/>
          <w:szCs w:val="18"/>
        </w:rPr>
        <w:t>2、设备制造完成并通过试验后应及时包装，否则应得到切实的保护，确保其不受污损。</w:t>
      </w:r>
      <w:bookmarkEnd w:id="68"/>
    </w:p>
    <w:p w14:paraId="2456B0A4">
      <w:pPr>
        <w:spacing w:line="360" w:lineRule="auto"/>
        <w:ind w:firstLine="437"/>
        <w:outlineLvl w:val="1"/>
        <w:rPr>
          <w:rFonts w:hint="eastAsia" w:ascii="宋体" w:hAnsi="宋体" w:eastAsia="宋体"/>
          <w:bCs/>
          <w:color w:val="auto"/>
          <w:sz w:val="24"/>
          <w:szCs w:val="18"/>
        </w:rPr>
      </w:pPr>
      <w:bookmarkStart w:id="69" w:name="_Toc2550"/>
      <w:r>
        <w:rPr>
          <w:rFonts w:ascii="宋体" w:hAnsi="宋体" w:eastAsia="宋体"/>
          <w:bCs/>
          <w:color w:val="auto"/>
          <w:sz w:val="24"/>
          <w:szCs w:val="18"/>
        </w:rPr>
        <w:t>3、在包装箱外应标明采购人的订货号、发货号。</w:t>
      </w:r>
      <w:bookmarkEnd w:id="69"/>
    </w:p>
    <w:p w14:paraId="55A5C51F">
      <w:pPr>
        <w:spacing w:line="360" w:lineRule="auto"/>
        <w:ind w:firstLine="437"/>
        <w:outlineLvl w:val="1"/>
        <w:rPr>
          <w:rFonts w:hint="eastAsia" w:ascii="宋体" w:hAnsi="宋体" w:eastAsia="宋体"/>
          <w:bCs/>
          <w:color w:val="auto"/>
          <w:sz w:val="24"/>
          <w:szCs w:val="18"/>
        </w:rPr>
      </w:pPr>
      <w:bookmarkStart w:id="70" w:name="_Toc16859"/>
      <w:r>
        <w:rPr>
          <w:rFonts w:ascii="宋体" w:hAnsi="宋体" w:eastAsia="宋体"/>
          <w:bCs/>
          <w:color w:val="auto"/>
          <w:sz w:val="24"/>
          <w:szCs w:val="18"/>
        </w:rPr>
        <w:t>4、各种包装应能确保各零部件在运输过程中不致遭到损坏、丢失、变形、受潮和腐蚀。</w:t>
      </w:r>
      <w:bookmarkEnd w:id="70"/>
    </w:p>
    <w:p w14:paraId="583B438B">
      <w:pPr>
        <w:spacing w:line="360" w:lineRule="auto"/>
        <w:ind w:firstLine="437"/>
        <w:outlineLvl w:val="1"/>
        <w:rPr>
          <w:rFonts w:hint="eastAsia" w:ascii="宋体" w:hAnsi="宋体" w:eastAsia="宋体"/>
          <w:bCs/>
          <w:color w:val="auto"/>
          <w:sz w:val="24"/>
          <w:szCs w:val="18"/>
        </w:rPr>
      </w:pPr>
      <w:bookmarkStart w:id="71" w:name="_Toc32115"/>
      <w:r>
        <w:rPr>
          <w:rFonts w:ascii="宋体" w:hAnsi="宋体" w:eastAsia="宋体"/>
          <w:bCs/>
          <w:color w:val="auto"/>
          <w:sz w:val="24"/>
          <w:szCs w:val="18"/>
        </w:rPr>
        <w:t>5、包装箱上应有明显的包装储运图示标志。</w:t>
      </w:r>
      <w:bookmarkEnd w:id="71"/>
    </w:p>
    <w:p w14:paraId="10298AC8">
      <w:pPr>
        <w:spacing w:line="360" w:lineRule="auto"/>
        <w:ind w:firstLine="437"/>
        <w:outlineLvl w:val="1"/>
        <w:rPr>
          <w:rFonts w:hint="eastAsia" w:ascii="宋体" w:hAnsi="宋体" w:eastAsia="宋体"/>
          <w:bCs/>
          <w:color w:val="auto"/>
          <w:sz w:val="24"/>
          <w:szCs w:val="18"/>
        </w:rPr>
      </w:pPr>
      <w:bookmarkStart w:id="72" w:name="_Toc15938"/>
      <w:r>
        <w:rPr>
          <w:rFonts w:ascii="宋体" w:hAnsi="宋体" w:eastAsia="宋体"/>
          <w:bCs/>
          <w:color w:val="auto"/>
          <w:sz w:val="24"/>
          <w:szCs w:val="18"/>
        </w:rPr>
        <w:t>6、整体产品或分别运输的部件都要适应运输和装载的要求。</w:t>
      </w:r>
      <w:bookmarkEnd w:id="72"/>
    </w:p>
    <w:p w14:paraId="0E7ACE72">
      <w:pPr>
        <w:spacing w:line="360" w:lineRule="auto"/>
        <w:ind w:firstLine="437"/>
        <w:outlineLvl w:val="1"/>
        <w:rPr>
          <w:rFonts w:hint="eastAsia" w:ascii="宋体" w:hAnsi="宋体" w:eastAsia="宋体"/>
          <w:bCs/>
          <w:color w:val="auto"/>
          <w:sz w:val="24"/>
          <w:szCs w:val="18"/>
        </w:rPr>
      </w:pPr>
      <w:bookmarkStart w:id="73" w:name="_Toc2242"/>
      <w:r>
        <w:rPr>
          <w:rFonts w:ascii="宋体" w:hAnsi="宋体" w:eastAsia="宋体"/>
          <w:bCs/>
          <w:color w:val="auto"/>
          <w:sz w:val="24"/>
          <w:szCs w:val="18"/>
        </w:rPr>
        <w:t>7、随产品提供的技术资料应完整无缺。</w:t>
      </w:r>
      <w:bookmarkEnd w:id="73"/>
    </w:p>
    <w:p w14:paraId="1DB2D6A0">
      <w:pPr>
        <w:spacing w:line="360" w:lineRule="auto"/>
        <w:ind w:firstLine="437"/>
        <w:outlineLvl w:val="1"/>
        <w:rPr>
          <w:rFonts w:hint="eastAsia" w:ascii="宋体" w:hAnsi="宋体" w:eastAsia="宋体"/>
          <w:b/>
          <w:bCs/>
          <w:color w:val="auto"/>
          <w:sz w:val="24"/>
          <w:szCs w:val="18"/>
        </w:rPr>
      </w:pPr>
      <w:bookmarkStart w:id="74" w:name="_Toc2921"/>
      <w:bookmarkStart w:id="75" w:name="_Toc532199627"/>
      <w:r>
        <w:rPr>
          <w:rFonts w:hint="eastAsia" w:ascii="宋体" w:hAnsi="宋体" w:eastAsia="宋体"/>
          <w:b/>
          <w:bCs/>
          <w:color w:val="auto"/>
          <w:sz w:val="24"/>
          <w:szCs w:val="18"/>
        </w:rPr>
        <w:t>七、技术培训</w:t>
      </w:r>
      <w:bookmarkEnd w:id="65"/>
      <w:bookmarkEnd w:id="66"/>
      <w:bookmarkEnd w:id="67"/>
      <w:bookmarkEnd w:id="74"/>
      <w:bookmarkEnd w:id="75"/>
    </w:p>
    <w:p w14:paraId="73116FC9">
      <w:pPr>
        <w:spacing w:line="360" w:lineRule="auto"/>
        <w:ind w:firstLine="437"/>
        <w:outlineLvl w:val="1"/>
        <w:rPr>
          <w:rFonts w:hint="eastAsia" w:ascii="宋体" w:hAnsi="宋体" w:eastAsia="宋体"/>
          <w:bCs/>
          <w:color w:val="auto"/>
          <w:sz w:val="24"/>
          <w:szCs w:val="18"/>
        </w:rPr>
      </w:pPr>
      <w:bookmarkStart w:id="76" w:name="_Toc559"/>
      <w:r>
        <w:rPr>
          <w:rFonts w:ascii="宋体" w:hAnsi="宋体" w:eastAsia="宋体"/>
          <w:bCs/>
          <w:color w:val="auto"/>
          <w:sz w:val="24"/>
          <w:szCs w:val="18"/>
        </w:rPr>
        <w:t>1、为使合同设备能正常安装和运行，由中标人提供相应的技术培训</w:t>
      </w:r>
      <w:r>
        <w:rPr>
          <w:rFonts w:hint="eastAsia" w:ascii="宋体" w:hAnsi="宋体" w:eastAsia="宋体"/>
          <w:bCs/>
          <w:color w:val="auto"/>
          <w:sz w:val="24"/>
          <w:szCs w:val="18"/>
        </w:rPr>
        <w:t>，</w:t>
      </w:r>
      <w:r>
        <w:rPr>
          <w:rFonts w:ascii="宋体" w:hAnsi="宋体" w:eastAsia="宋体"/>
          <w:bCs/>
          <w:color w:val="auto"/>
          <w:sz w:val="24"/>
          <w:szCs w:val="18"/>
        </w:rPr>
        <w:t>培训费用</w:t>
      </w:r>
      <w:r>
        <w:rPr>
          <w:rFonts w:hint="eastAsia" w:ascii="宋体" w:hAnsi="宋体" w:eastAsia="宋体"/>
          <w:bCs/>
          <w:color w:val="auto"/>
          <w:sz w:val="24"/>
          <w:szCs w:val="18"/>
        </w:rPr>
        <w:t>包含在投标报价内</w:t>
      </w:r>
      <w:r>
        <w:rPr>
          <w:rFonts w:ascii="宋体" w:hAnsi="宋体" w:eastAsia="宋体"/>
          <w:bCs/>
          <w:color w:val="auto"/>
          <w:sz w:val="24"/>
          <w:szCs w:val="18"/>
        </w:rPr>
        <w:t>。</w:t>
      </w:r>
      <w:bookmarkEnd w:id="76"/>
    </w:p>
    <w:p w14:paraId="44B27BA4">
      <w:pPr>
        <w:spacing w:line="360" w:lineRule="auto"/>
        <w:ind w:firstLine="437"/>
        <w:outlineLvl w:val="1"/>
        <w:rPr>
          <w:rFonts w:hint="eastAsia" w:ascii="宋体" w:hAnsi="宋体" w:eastAsia="宋体"/>
          <w:bCs/>
          <w:color w:val="auto"/>
          <w:sz w:val="24"/>
          <w:szCs w:val="18"/>
        </w:rPr>
      </w:pPr>
      <w:bookmarkStart w:id="77" w:name="_Toc29215"/>
      <w:r>
        <w:rPr>
          <w:rFonts w:ascii="宋体" w:hAnsi="宋体" w:eastAsia="宋体"/>
          <w:bCs/>
          <w:color w:val="auto"/>
          <w:sz w:val="24"/>
          <w:szCs w:val="18"/>
        </w:rPr>
        <w:t>2、培训的时间、人数、地点等具体内容由买卖双方商定，内容至少包括：设备原理、使用、维护、运行操作、常见故障处理等。</w:t>
      </w:r>
      <w:bookmarkEnd w:id="77"/>
    </w:p>
    <w:p w14:paraId="0CF2C41B">
      <w:pPr>
        <w:spacing w:line="360" w:lineRule="auto"/>
        <w:ind w:firstLine="437"/>
        <w:outlineLvl w:val="1"/>
        <w:rPr>
          <w:rFonts w:hint="eastAsia" w:ascii="宋体" w:hAnsi="宋体" w:eastAsia="宋体"/>
          <w:b/>
          <w:bCs/>
          <w:color w:val="auto"/>
          <w:sz w:val="24"/>
          <w:szCs w:val="18"/>
        </w:rPr>
      </w:pPr>
      <w:bookmarkStart w:id="78" w:name="_Toc29747"/>
      <w:bookmarkStart w:id="79" w:name="_Toc532199628"/>
      <w:r>
        <w:rPr>
          <w:rFonts w:hint="eastAsia" w:ascii="宋体" w:hAnsi="宋体" w:eastAsia="宋体"/>
          <w:b/>
          <w:bCs/>
          <w:color w:val="auto"/>
          <w:sz w:val="24"/>
          <w:szCs w:val="18"/>
        </w:rPr>
        <w:t>八、质保及售后服务</w:t>
      </w:r>
      <w:bookmarkEnd w:id="78"/>
    </w:p>
    <w:p w14:paraId="11A09EC5">
      <w:pPr>
        <w:spacing w:line="360" w:lineRule="auto"/>
        <w:ind w:firstLine="437"/>
        <w:outlineLvl w:val="1"/>
        <w:rPr>
          <w:rFonts w:hint="eastAsia" w:ascii="宋体" w:hAnsi="宋体" w:eastAsia="宋体"/>
          <w:bCs/>
          <w:color w:val="auto"/>
          <w:sz w:val="24"/>
          <w:szCs w:val="18"/>
        </w:rPr>
      </w:pPr>
      <w:bookmarkStart w:id="80" w:name="_Toc19516"/>
      <w:r>
        <w:rPr>
          <w:rFonts w:ascii="宋体" w:hAnsi="宋体" w:eastAsia="宋体"/>
          <w:bCs/>
          <w:color w:val="auto"/>
          <w:sz w:val="24"/>
          <w:szCs w:val="18"/>
        </w:rPr>
        <w:t>1、自双方签订《验收报告》起进入质保期。</w:t>
      </w:r>
      <w:bookmarkEnd w:id="80"/>
    </w:p>
    <w:p w14:paraId="2D0DEF40">
      <w:pPr>
        <w:spacing w:line="360" w:lineRule="auto"/>
        <w:ind w:firstLine="437"/>
        <w:outlineLvl w:val="1"/>
        <w:rPr>
          <w:rFonts w:ascii="宋体" w:hAnsi="宋体" w:eastAsia="宋体"/>
          <w:bCs/>
          <w:color w:val="auto"/>
          <w:sz w:val="24"/>
          <w:szCs w:val="18"/>
        </w:rPr>
      </w:pPr>
      <w:bookmarkStart w:id="81" w:name="_Toc28038"/>
      <w:r>
        <w:rPr>
          <w:rFonts w:ascii="宋体" w:hAnsi="宋体" w:eastAsia="宋体"/>
          <w:bCs/>
          <w:color w:val="auto"/>
          <w:sz w:val="24"/>
          <w:szCs w:val="18"/>
        </w:rPr>
        <w:t>2、在质保期间内，非采购人过失和故意并且在正常使用的情况下发现商品有缺陷，中标人</w:t>
      </w:r>
      <w:r>
        <w:rPr>
          <w:rFonts w:hint="eastAsia" w:ascii="宋体" w:hAnsi="宋体" w:eastAsia="宋体"/>
          <w:bCs/>
          <w:color w:val="auto"/>
          <w:sz w:val="24"/>
          <w:szCs w:val="18"/>
        </w:rPr>
        <w:t>应</w:t>
      </w:r>
      <w:r>
        <w:rPr>
          <w:rFonts w:ascii="宋体" w:hAnsi="宋体" w:eastAsia="宋体"/>
          <w:bCs/>
          <w:color w:val="auto"/>
          <w:sz w:val="24"/>
          <w:szCs w:val="18"/>
        </w:rPr>
        <w:t>修理或替换该设备；在质保期间内，非采购人过失和故意并且在正常使用的情况下设备发生故障，中标人应及时提供服务。</w:t>
      </w:r>
      <w:bookmarkEnd w:id="79"/>
      <w:bookmarkEnd w:id="81"/>
    </w:p>
    <w:p w14:paraId="04A33965">
      <w:pPr>
        <w:rPr>
          <w:rFonts w:ascii="宋体" w:hAnsi="宋体" w:eastAsia="宋体"/>
          <w:bCs/>
          <w:color w:val="auto"/>
          <w:sz w:val="24"/>
          <w:szCs w:val="18"/>
        </w:rPr>
      </w:pPr>
      <w:r>
        <w:rPr>
          <w:rFonts w:ascii="宋体" w:hAnsi="宋体" w:eastAsia="宋体"/>
          <w:bCs/>
          <w:color w:val="auto"/>
          <w:sz w:val="24"/>
          <w:szCs w:val="18"/>
        </w:rPr>
        <w:br w:type="page"/>
      </w:r>
    </w:p>
    <w:p w14:paraId="67062B7B">
      <w:pPr>
        <w:spacing w:line="360" w:lineRule="auto"/>
        <w:jc w:val="center"/>
        <w:outlineLvl w:val="0"/>
        <w:rPr>
          <w:rFonts w:hint="eastAsia" w:asciiTheme="minorEastAsia" w:hAnsiTheme="minorEastAsia" w:eastAsiaTheme="minorEastAsia"/>
          <w:b/>
          <w:color w:val="auto"/>
          <w:sz w:val="28"/>
          <w:highlight w:val="none"/>
          <w:lang w:eastAsia="zh-CN"/>
        </w:rPr>
      </w:pPr>
      <w:r>
        <w:rPr>
          <w:rFonts w:hint="eastAsia" w:asciiTheme="minorEastAsia" w:hAnsiTheme="minorEastAsia" w:eastAsiaTheme="minorEastAsia"/>
          <w:b/>
          <w:color w:val="auto"/>
          <w:sz w:val="28"/>
          <w:highlight w:val="none"/>
          <w:lang w:val="en-US" w:eastAsia="zh-CN"/>
        </w:rPr>
        <w:t>第2包</w:t>
      </w:r>
      <w:r>
        <w:rPr>
          <w:rFonts w:hint="eastAsia" w:asciiTheme="minorEastAsia" w:hAnsiTheme="minorEastAsia" w:eastAsiaTheme="minorEastAsia"/>
          <w:b/>
          <w:color w:val="auto"/>
          <w:sz w:val="28"/>
          <w:highlight w:val="none"/>
        </w:rPr>
        <w:t>采购需求</w:t>
      </w:r>
    </w:p>
    <w:p w14:paraId="61011CB8">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29B809EF">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，但不限制满足招标文件要求的国内产品参与竞争</w:t>
      </w:r>
      <w:r>
        <w:rPr>
          <w:rFonts w:hint="eastAsia" w:ascii="宋体" w:hAnsi="宋体" w:eastAsia="宋体"/>
          <w:color w:val="auto"/>
          <w:sz w:val="24"/>
          <w:szCs w:val="18"/>
          <w:highlight w:val="none"/>
        </w:rPr>
        <w:t>。未标注进口产品的货物均</w:t>
      </w:r>
      <w:r>
        <w:rPr>
          <w:rFonts w:ascii="宋体" w:hAnsi="宋体" w:eastAsia="宋体"/>
          <w:color w:val="auto"/>
          <w:sz w:val="24"/>
          <w:szCs w:val="18"/>
          <w:highlight w:val="none"/>
        </w:rPr>
        <w:t>为拒绝采购进口产品</w:t>
      </w:r>
      <w:r>
        <w:rPr>
          <w:rFonts w:hint="eastAsia" w:ascii="宋体" w:hAnsi="宋体" w:eastAsia="宋体"/>
          <w:color w:val="auto"/>
          <w:sz w:val="24"/>
          <w:szCs w:val="18"/>
          <w:highlight w:val="none"/>
        </w:rPr>
        <w:t>。</w:t>
      </w:r>
    </w:p>
    <w:p w14:paraId="397B1963">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hint="eastAsia" w:ascii="宋体" w:hAnsi="宋体" w:eastAsia="宋体"/>
          <w:color w:val="auto"/>
          <w:sz w:val="24"/>
          <w:szCs w:val="18"/>
          <w:highlight w:val="none"/>
          <w:lang w:eastAsia="zh-CN"/>
        </w:rPr>
        <w:t>.</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rPr>
        <w:t>：</w:t>
      </w:r>
    </w:p>
    <w:p w14:paraId="36AC5F0A">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5D3316CF">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511160A9">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olor w:val="auto"/>
          <w:sz w:val="24"/>
          <w:szCs w:val="18"/>
          <w:highlight w:val="none"/>
        </w:rPr>
        <w:t>如采购人允许采用分包方式履行合同的，应当明确可以分包履行的相关内容。</w:t>
      </w:r>
    </w:p>
    <w:p w14:paraId="595B73A0">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4.下列采购需求中：标注▲的产品为核心产品（主要中标标的）。</w:t>
      </w:r>
    </w:p>
    <w:p w14:paraId="7035CEA2">
      <w:pPr>
        <w:spacing w:line="360" w:lineRule="auto"/>
        <w:ind w:firstLine="437"/>
        <w:outlineLvl w:val="1"/>
        <w:rPr>
          <w:rFonts w:ascii="宋体" w:hAnsi="宋体" w:eastAsia="宋体"/>
          <w:b/>
          <w:color w:val="auto"/>
          <w:sz w:val="24"/>
          <w:szCs w:val="18"/>
          <w:highlight w:val="none"/>
        </w:rPr>
      </w:pPr>
      <w:r>
        <w:rPr>
          <w:rFonts w:hint="eastAsia" w:ascii="宋体" w:hAnsi="宋体" w:eastAsia="宋体"/>
          <w:b/>
          <w:color w:val="auto"/>
          <w:sz w:val="24"/>
          <w:szCs w:val="18"/>
          <w:highlight w:val="none"/>
        </w:rPr>
        <w:t>一、采购需求前附表</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745AA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294EDFEB">
            <w:pPr>
              <w:pStyle w:val="7"/>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6E53F90F">
            <w:pPr>
              <w:pStyle w:val="8"/>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0FEA5219">
            <w:pPr>
              <w:pStyle w:val="8"/>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4D63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C6506CB">
            <w:pPr>
              <w:pStyle w:val="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04D57CDE">
            <w:pPr>
              <w:pStyle w:val="8"/>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7" w:type="pct"/>
            <w:vAlign w:val="center"/>
          </w:tcPr>
          <w:p w14:paraId="0ED02D7B">
            <w:pPr>
              <w:pStyle w:val="8"/>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合同签订生效并具备实施条件后支付合同款的</w:t>
            </w:r>
            <w:r>
              <w:rPr>
                <w:rFonts w:hint="eastAsia" w:asciiTheme="minorEastAsia" w:hAnsiTheme="minorEastAsia" w:eastAsiaTheme="minorEastAsia" w:cstheme="minorEastAsia"/>
                <w:b w:val="0"/>
                <w:color w:val="auto"/>
                <w:sz w:val="24"/>
                <w:u w:val="single"/>
                <w:lang w:val="en-US" w:eastAsia="zh-CN"/>
              </w:rPr>
              <w:t>50</w:t>
            </w:r>
            <w:r>
              <w:rPr>
                <w:rFonts w:hint="eastAsia" w:asciiTheme="minorEastAsia" w:hAnsiTheme="minorEastAsia" w:eastAsiaTheme="minorEastAsia" w:cstheme="minorEastAsia"/>
                <w:b w:val="0"/>
                <w:color w:val="auto"/>
                <w:sz w:val="24"/>
              </w:rPr>
              <w:t>%为预付款（中标人须提供等额预付款担保），供货安装调试完成后，经验收合格付清剩余合同款。（供货人须提供增值税专用发票）。</w:t>
            </w:r>
          </w:p>
          <w:p w14:paraId="2A7EF48D">
            <w:pPr>
              <w:pStyle w:val="8"/>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注：</w:t>
            </w:r>
          </w:p>
          <w:p w14:paraId="409C9B89">
            <w:pPr>
              <w:pStyle w:val="8"/>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（1）中标人未按规定提供预付款担保的，视为放弃预付款；</w:t>
            </w:r>
          </w:p>
          <w:p w14:paraId="3679D766">
            <w:pPr>
              <w:pStyle w:val="8"/>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highlight w:val="none"/>
                <w:u w:val="none"/>
              </w:rPr>
            </w:pPr>
            <w:r>
              <w:rPr>
                <w:rFonts w:hint="eastAsia" w:asciiTheme="minorEastAsia" w:hAnsiTheme="minorEastAsia" w:eastAsiaTheme="minorEastAsia" w:cstheme="minorEastAsia"/>
                <w:b w:val="0"/>
                <w:color w:val="auto"/>
                <w:sz w:val="24"/>
              </w:rPr>
              <w:t>（2）预付款担保要求：如采用银行保函、担保机构出具的保函（担保机构担保）均须满足无条件见索即付条件。</w:t>
            </w:r>
          </w:p>
        </w:tc>
      </w:tr>
      <w:tr w14:paraId="728E7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235335E2">
            <w:pPr>
              <w:pStyle w:val="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7773A6D0">
            <w:pPr>
              <w:pStyle w:val="8"/>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217" w:type="pct"/>
            <w:vAlign w:val="center"/>
          </w:tcPr>
          <w:p w14:paraId="15B8B044">
            <w:pPr>
              <w:pStyle w:val="8"/>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highlight w:val="none"/>
                <w:u w:val="none"/>
              </w:rPr>
            </w:pPr>
            <w:r>
              <w:rPr>
                <w:rFonts w:hint="eastAsia" w:asciiTheme="minorEastAsia" w:hAnsiTheme="minorEastAsia" w:eastAsiaTheme="minorEastAsia" w:cstheme="minorEastAsia"/>
                <w:b w:val="0"/>
                <w:color w:val="auto"/>
                <w:sz w:val="24"/>
              </w:rPr>
              <w:t>安徽理工大学，具体按采购人指定。</w:t>
            </w:r>
          </w:p>
        </w:tc>
      </w:tr>
      <w:tr w14:paraId="6733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74B5C7E">
            <w:pPr>
              <w:pStyle w:val="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716BAF91">
            <w:pPr>
              <w:pStyle w:val="8"/>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3217" w:type="pct"/>
            <w:vAlign w:val="center"/>
          </w:tcPr>
          <w:p w14:paraId="43B47C85">
            <w:pPr>
              <w:pStyle w:val="8"/>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highlight w:val="none"/>
                <w:u w:val="none"/>
              </w:rPr>
            </w:pPr>
            <w:r>
              <w:rPr>
                <w:rFonts w:hint="eastAsia" w:asciiTheme="minorEastAsia" w:hAnsiTheme="minorEastAsia" w:eastAsiaTheme="minorEastAsia" w:cstheme="minorEastAsia"/>
                <w:b w:val="0"/>
                <w:color w:val="auto"/>
                <w:sz w:val="24"/>
                <w:lang w:eastAsia="zh-CN"/>
              </w:rPr>
              <w:t>合同生效后，60个日历日内完成供货、安装、调试、培训等所有工作内容</w:t>
            </w:r>
            <w:r>
              <w:rPr>
                <w:rFonts w:hint="eastAsia" w:asciiTheme="minorEastAsia" w:hAnsiTheme="minorEastAsia" w:eastAsiaTheme="minorEastAsia" w:cstheme="minorEastAsia"/>
                <w:b w:val="0"/>
                <w:color w:val="auto"/>
                <w:sz w:val="24"/>
              </w:rPr>
              <w:t>。</w:t>
            </w:r>
          </w:p>
        </w:tc>
      </w:tr>
      <w:tr w14:paraId="45DA6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7C26EED">
            <w:pPr>
              <w:pStyle w:val="7"/>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1192" w:type="pct"/>
            <w:vAlign w:val="center"/>
          </w:tcPr>
          <w:p w14:paraId="69B7FFC2">
            <w:pPr>
              <w:pStyle w:val="8"/>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217" w:type="pct"/>
            <w:vAlign w:val="center"/>
          </w:tcPr>
          <w:p w14:paraId="6CE779B9">
            <w:pPr>
              <w:pStyle w:val="8"/>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自验收合格后，不少于</w:t>
            </w:r>
            <w:r>
              <w:rPr>
                <w:rFonts w:hint="eastAsia" w:asciiTheme="minorEastAsia" w:hAnsiTheme="minorEastAsia" w:eastAsiaTheme="minorEastAsia" w:cstheme="minorEastAsia"/>
                <w:b w:val="0"/>
                <w:color w:val="auto"/>
                <w:sz w:val="24"/>
                <w:lang w:val="en-US" w:eastAsia="zh-CN"/>
              </w:rPr>
              <w:t>1</w:t>
            </w:r>
            <w:r>
              <w:rPr>
                <w:rFonts w:hint="eastAsia" w:asciiTheme="minorEastAsia" w:hAnsiTheme="minorEastAsia" w:eastAsiaTheme="minorEastAsia" w:cstheme="minorEastAsia"/>
                <w:b w:val="0"/>
                <w:color w:val="auto"/>
                <w:sz w:val="24"/>
              </w:rPr>
              <w:t>年。</w:t>
            </w:r>
          </w:p>
          <w:p w14:paraId="36E7D1E1">
            <w:pPr>
              <w:pStyle w:val="8"/>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rPr>
            </w:pPr>
            <w:r>
              <w:rPr>
                <w:rFonts w:hint="eastAsia" w:asciiTheme="minorEastAsia" w:hAnsiTheme="minorEastAsia" w:eastAsiaTheme="minorEastAsia" w:cstheme="minorEastAsia"/>
                <w:b w:val="0"/>
                <w:color w:val="auto"/>
                <w:sz w:val="24"/>
              </w:rPr>
              <w:t>注：免费质保期从验收合格之日起开始计算。货物</w:t>
            </w:r>
          </w:p>
          <w:p w14:paraId="2547F867">
            <w:pPr>
              <w:pStyle w:val="8"/>
              <w:widowControl w:val="0"/>
              <w:snapToGrid w:val="0"/>
              <w:spacing w:before="0" w:beforeAutospacing="0" w:after="0" w:afterAutospacing="0" w:line="300" w:lineRule="auto"/>
              <w:jc w:val="left"/>
              <w:rPr>
                <w:rFonts w:hint="eastAsia" w:asciiTheme="minorEastAsia" w:hAnsiTheme="minorEastAsia" w:eastAsiaTheme="minorEastAsia" w:cstheme="minorEastAsia"/>
                <w:b w:val="0"/>
                <w:color w:val="auto"/>
                <w:sz w:val="24"/>
                <w:highlight w:val="none"/>
                <w:u w:val="none"/>
              </w:rPr>
            </w:pPr>
            <w:r>
              <w:rPr>
                <w:rFonts w:hint="eastAsia" w:asciiTheme="minorEastAsia" w:hAnsiTheme="minorEastAsia" w:eastAsiaTheme="minorEastAsia" w:cstheme="minorEastAsia"/>
                <w:b w:val="0"/>
                <w:color w:val="auto"/>
                <w:sz w:val="24"/>
              </w:rPr>
              <w:t>需求表另有规定的，以货物需求表为准。</w:t>
            </w:r>
          </w:p>
        </w:tc>
      </w:tr>
    </w:tbl>
    <w:p w14:paraId="7EF6C22D">
      <w:pPr>
        <w:spacing w:line="360" w:lineRule="auto"/>
        <w:ind w:firstLine="437"/>
        <w:outlineLvl w:val="1"/>
        <w:rPr>
          <w:rFonts w:hint="eastAsia" w:ascii="宋体" w:hAnsi="宋体" w:eastAsia="宋体"/>
          <w:b/>
          <w:bCs/>
          <w:color w:val="auto"/>
          <w:sz w:val="24"/>
          <w:szCs w:val="18"/>
          <w:highlight w:val="none"/>
        </w:rPr>
      </w:pPr>
    </w:p>
    <w:p w14:paraId="3A2105F0">
      <w:pPr>
        <w:spacing w:line="360" w:lineRule="auto"/>
        <w:ind w:firstLine="437"/>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rPr>
        <w:t>二、</w:t>
      </w:r>
      <w:r>
        <w:rPr>
          <w:rFonts w:hint="eastAsia" w:ascii="宋体" w:hAnsi="宋体" w:eastAsia="宋体"/>
          <w:b/>
          <w:color w:val="auto"/>
          <w:sz w:val="24"/>
          <w:szCs w:val="18"/>
          <w:highlight w:val="none"/>
        </w:rPr>
        <w:t>货物</w:t>
      </w:r>
      <w:r>
        <w:rPr>
          <w:rFonts w:hint="eastAsia" w:ascii="宋体" w:hAnsi="宋体" w:eastAsia="宋体"/>
          <w:b/>
          <w:bCs/>
          <w:color w:val="auto"/>
          <w:sz w:val="24"/>
          <w:szCs w:val="18"/>
          <w:highlight w:val="none"/>
        </w:rPr>
        <w:t>需求</w:t>
      </w:r>
    </w:p>
    <w:p w14:paraId="12E549D6">
      <w:pPr>
        <w:widowControl/>
        <w:wordWrap/>
        <w:ind w:firstLine="482" w:firstLineChars="200"/>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（一）</w:t>
      </w:r>
      <w:r>
        <w:rPr>
          <w:rFonts w:hint="eastAsia" w:ascii="宋体" w:hAnsi="宋体" w:eastAsia="宋体" w:cs="宋体"/>
          <w:b/>
          <w:bCs/>
          <w:color w:val="auto"/>
          <w:sz w:val="24"/>
          <w:szCs w:val="24"/>
          <w:highlight w:val="none"/>
        </w:rPr>
        <w:t>标识符号</w:t>
      </w:r>
    </w:p>
    <w:tbl>
      <w:tblPr>
        <w:tblStyle w:val="5"/>
        <w:tblW w:w="9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6580"/>
      </w:tblGrid>
      <w:tr w14:paraId="1E842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29F8A315">
            <w:pPr>
              <w:spacing w:line="30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标识类型</w:t>
            </w:r>
          </w:p>
        </w:tc>
        <w:tc>
          <w:tcPr>
            <w:tcW w:w="1365" w:type="dxa"/>
            <w:noWrap w:val="0"/>
            <w:vAlign w:val="center"/>
          </w:tcPr>
          <w:p w14:paraId="06913AFF">
            <w:pPr>
              <w:spacing w:line="30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标识符号</w:t>
            </w:r>
          </w:p>
        </w:tc>
        <w:tc>
          <w:tcPr>
            <w:tcW w:w="6580" w:type="dxa"/>
            <w:noWrap w:val="0"/>
            <w:vAlign w:val="center"/>
          </w:tcPr>
          <w:p w14:paraId="356FF467">
            <w:pPr>
              <w:spacing w:line="30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rPr>
              <w:t>标识符号含义</w:t>
            </w:r>
          </w:p>
        </w:tc>
      </w:tr>
      <w:tr w14:paraId="11ED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33673186">
            <w:pPr>
              <w:spacing w:line="30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重要指标项</w:t>
            </w:r>
          </w:p>
        </w:tc>
        <w:tc>
          <w:tcPr>
            <w:tcW w:w="1365" w:type="dxa"/>
            <w:noWrap w:val="0"/>
            <w:vAlign w:val="center"/>
          </w:tcPr>
          <w:p w14:paraId="4B8B8737">
            <w:pPr>
              <w:wordWrap w:val="0"/>
              <w:adjustRightInd w:val="0"/>
              <w:snapToGrid w:val="0"/>
              <w:spacing w:line="300" w:lineRule="auto"/>
              <w:jc w:val="center"/>
              <w:rPr>
                <w:rFonts w:hint="eastAsia" w:ascii="宋体" w:hAnsi="宋体" w:eastAsia="宋体" w:cs="宋体"/>
                <w:bCs/>
                <w:color w:val="auto"/>
                <w:sz w:val="24"/>
                <w:szCs w:val="24"/>
              </w:rPr>
            </w:pPr>
            <w:r>
              <w:rPr>
                <w:rFonts w:hint="eastAsia" w:ascii="宋体" w:hAnsi="宋体" w:eastAsia="宋体" w:cs="宋体"/>
                <w:color w:val="auto"/>
                <w:sz w:val="24"/>
                <w:szCs w:val="24"/>
              </w:rPr>
              <w:t>★</w:t>
            </w:r>
          </w:p>
        </w:tc>
        <w:tc>
          <w:tcPr>
            <w:tcW w:w="6580" w:type="dxa"/>
            <w:noWrap w:val="0"/>
            <w:vAlign w:val="center"/>
          </w:tcPr>
          <w:p w14:paraId="31AB6396">
            <w:pPr>
              <w:wordWrap w:val="0"/>
              <w:adjustRightInd w:val="0"/>
              <w:snapToGrid w:val="0"/>
              <w:spacing w:line="300" w:lineRule="auto"/>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评分项，</w:t>
            </w:r>
            <w:r>
              <w:rPr>
                <w:rFonts w:hint="eastAsia" w:ascii="宋体" w:hAnsi="宋体" w:eastAsia="宋体" w:cs="宋体"/>
                <w:color w:val="auto"/>
                <w:sz w:val="24"/>
                <w:szCs w:val="24"/>
                <w:lang w:bidi="ar"/>
              </w:rPr>
              <w:t>详见评标办法和标准。</w:t>
            </w:r>
          </w:p>
        </w:tc>
      </w:tr>
      <w:tr w14:paraId="237E2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794" w:type="dxa"/>
            <w:noWrap w:val="0"/>
            <w:vAlign w:val="center"/>
          </w:tcPr>
          <w:p w14:paraId="3853137B">
            <w:pPr>
              <w:spacing w:line="30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无标识项</w:t>
            </w:r>
          </w:p>
        </w:tc>
        <w:tc>
          <w:tcPr>
            <w:tcW w:w="1365" w:type="dxa"/>
            <w:noWrap w:val="0"/>
            <w:vAlign w:val="center"/>
          </w:tcPr>
          <w:p w14:paraId="77690F33">
            <w:pPr>
              <w:wordWrap w:val="0"/>
              <w:adjustRightInd w:val="0"/>
              <w:snapToGrid w:val="0"/>
              <w:spacing w:line="300" w:lineRule="auto"/>
              <w:jc w:val="center"/>
              <w:rPr>
                <w:rFonts w:hint="eastAsia" w:ascii="宋体" w:hAnsi="宋体" w:eastAsia="宋体" w:cs="宋体"/>
                <w:bCs/>
                <w:color w:val="auto"/>
                <w:sz w:val="24"/>
                <w:szCs w:val="24"/>
              </w:rPr>
            </w:pPr>
          </w:p>
        </w:tc>
        <w:tc>
          <w:tcPr>
            <w:tcW w:w="6580" w:type="dxa"/>
            <w:noWrap w:val="0"/>
            <w:vAlign w:val="center"/>
          </w:tcPr>
          <w:p w14:paraId="3FE23958">
            <w:pPr>
              <w:adjustRightInd w:val="0"/>
              <w:snapToGrid w:val="0"/>
              <w:spacing w:line="300" w:lineRule="auto"/>
              <w:jc w:val="left"/>
              <w:rPr>
                <w:rFonts w:hint="eastAsia" w:ascii="宋体" w:hAnsi="宋体" w:eastAsia="宋体" w:cs="宋体"/>
                <w:b/>
                <w:bCs w:val="0"/>
                <w:color w:val="auto"/>
                <w:sz w:val="24"/>
                <w:szCs w:val="24"/>
                <w:highlight w:val="yellow"/>
              </w:rPr>
            </w:pPr>
            <w:r>
              <w:rPr>
                <w:rFonts w:hint="eastAsia" w:ascii="宋体" w:hAnsi="宋体" w:eastAsia="宋体" w:cs="宋体"/>
                <w:b/>
                <w:bCs w:val="0"/>
                <w:color w:val="auto"/>
                <w:sz w:val="24"/>
                <w:szCs w:val="24"/>
                <w:highlight w:val="none"/>
              </w:rPr>
              <w:t>符合性审查项，该指标项最大允许负偏离</w:t>
            </w:r>
            <w:r>
              <w:rPr>
                <w:rFonts w:hint="eastAsia" w:ascii="宋体" w:hAnsi="宋体" w:eastAsia="宋体" w:cs="宋体"/>
                <w:b/>
                <w:bCs w:val="0"/>
                <w:color w:val="auto"/>
                <w:sz w:val="24"/>
                <w:szCs w:val="24"/>
                <w:highlight w:val="none"/>
                <w:u w:val="single"/>
              </w:rPr>
              <w:t>3</w:t>
            </w:r>
            <w:r>
              <w:rPr>
                <w:rFonts w:hint="eastAsia" w:ascii="宋体" w:hAnsi="宋体" w:eastAsia="宋体" w:cs="宋体"/>
                <w:b/>
                <w:bCs w:val="0"/>
                <w:color w:val="auto"/>
                <w:sz w:val="24"/>
                <w:szCs w:val="24"/>
                <w:highlight w:val="none"/>
              </w:rPr>
              <w:t>项，超过最大允许负偏离项数的，投标无效。</w:t>
            </w:r>
          </w:p>
        </w:tc>
      </w:tr>
    </w:tbl>
    <w:p w14:paraId="715FB038">
      <w:pPr>
        <w:widowControl/>
        <w:wordWrap/>
        <w:ind w:firstLine="482" w:firstLineChars="200"/>
        <w:outlineLvl w:val="2"/>
        <w:rPr>
          <w:rFonts w:hint="eastAsia" w:ascii="宋体" w:hAnsi="宋体" w:eastAsia="宋体" w:cs="宋体"/>
          <w:b/>
          <w:bCs/>
          <w:color w:val="auto"/>
          <w:sz w:val="24"/>
          <w:szCs w:val="24"/>
          <w:highlight w:val="none"/>
        </w:rPr>
      </w:pPr>
    </w:p>
    <w:p w14:paraId="49EC9401">
      <w:pPr>
        <w:keepNext w:val="0"/>
        <w:keepLines w:val="0"/>
        <w:pageBreakBefore w:val="0"/>
        <w:widowControl/>
        <w:kinsoku/>
        <w:wordWrap/>
        <w:overflowPunct/>
        <w:topLinePunct w:val="0"/>
        <w:autoSpaceDE/>
        <w:autoSpaceDN/>
        <w:bidi w:val="0"/>
        <w:adjustRightInd/>
        <w:snapToGrid w:val="0"/>
        <w:spacing w:line="360" w:lineRule="auto"/>
        <w:ind w:firstLine="482" w:firstLineChars="200"/>
        <w:textAlignment w:val="auto"/>
        <w:outlineLvl w:val="2"/>
        <w:rPr>
          <w:rFonts w:hint="eastAsia" w:ascii="宋体" w:hAnsi="宋体" w:eastAsia="宋体"/>
          <w:b/>
          <w:bCs/>
          <w:color w:val="auto"/>
          <w:sz w:val="24"/>
          <w:szCs w:val="18"/>
          <w:highlight w:val="none"/>
        </w:rPr>
      </w:pPr>
      <w:r>
        <w:rPr>
          <w:rFonts w:hint="eastAsia" w:ascii="宋体" w:hAnsi="宋体" w:eastAsia="宋体" w:cs="宋体"/>
          <w:b/>
          <w:bCs/>
          <w:color w:val="auto"/>
          <w:sz w:val="24"/>
          <w:szCs w:val="24"/>
          <w:highlight w:val="none"/>
          <w:lang w:eastAsia="zh-CN"/>
        </w:rPr>
        <w:t>（二）</w:t>
      </w:r>
      <w:r>
        <w:rPr>
          <w:rFonts w:hint="eastAsia" w:ascii="宋体" w:hAnsi="宋体" w:eastAsia="宋体" w:cs="宋体"/>
          <w:b/>
          <w:bCs/>
          <w:color w:val="auto"/>
          <w:sz w:val="24"/>
          <w:szCs w:val="24"/>
          <w:highlight w:val="none"/>
          <w:lang w:val="en-US" w:eastAsia="zh-CN"/>
        </w:rPr>
        <w:t>货物需求</w:t>
      </w:r>
      <w:r>
        <w:rPr>
          <w:rFonts w:hint="eastAsia" w:ascii="宋体" w:hAnsi="宋体" w:eastAsia="宋体" w:cs="宋体"/>
          <w:b/>
          <w:bCs/>
          <w:color w:val="auto"/>
          <w:sz w:val="24"/>
          <w:szCs w:val="24"/>
          <w:highlight w:val="none"/>
        </w:rPr>
        <w:t>清单</w:t>
      </w:r>
    </w:p>
    <w:tbl>
      <w:tblPr>
        <w:tblStyle w:val="5"/>
        <w:tblW w:w="57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618"/>
        <w:gridCol w:w="5180"/>
        <w:gridCol w:w="677"/>
        <w:gridCol w:w="731"/>
        <w:gridCol w:w="844"/>
      </w:tblGrid>
      <w:tr w14:paraId="7B946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000" w:type="pct"/>
            <w:gridSpan w:val="6"/>
            <w:noWrap/>
            <w:vAlign w:val="center"/>
          </w:tcPr>
          <w:p w14:paraId="519793C7">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rPr>
            </w:pPr>
            <w:r>
              <w:rPr>
                <w:rFonts w:hint="eastAsia" w:asciiTheme="minorEastAsia" w:hAnsiTheme="minorEastAsia" w:eastAsiaTheme="minorEastAsia" w:cstheme="minorEastAsia"/>
                <w:b/>
                <w:bCs/>
                <w:color w:val="auto"/>
                <w:sz w:val="24"/>
                <w:szCs w:val="24"/>
                <w:shd w:val="clear" w:color="auto" w:fill="FFFFFF"/>
              </w:rPr>
              <w:t>一、自动控制原理智能控制实验系统</w:t>
            </w:r>
          </w:p>
        </w:tc>
      </w:tr>
      <w:tr w14:paraId="2DD49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2" w:type="pct"/>
            <w:noWrap/>
            <w:vAlign w:val="center"/>
          </w:tcPr>
          <w:p w14:paraId="1F956020">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序号</w:t>
            </w:r>
          </w:p>
        </w:tc>
        <w:tc>
          <w:tcPr>
            <w:tcW w:w="825" w:type="pct"/>
            <w:noWrap w:val="0"/>
            <w:vAlign w:val="center"/>
          </w:tcPr>
          <w:p w14:paraId="21C383AD">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lang w:val="en-US" w:eastAsia="zh-CN"/>
              </w:rPr>
              <w:t>货物</w:t>
            </w:r>
            <w:r>
              <w:rPr>
                <w:rFonts w:hint="eastAsia" w:asciiTheme="minorEastAsia" w:hAnsiTheme="minorEastAsia" w:eastAsiaTheme="minorEastAsia" w:cstheme="minorEastAsia"/>
                <w:b/>
                <w:bCs/>
                <w:color w:val="auto"/>
                <w:kern w:val="0"/>
                <w:sz w:val="24"/>
                <w:szCs w:val="24"/>
              </w:rPr>
              <w:t>名称</w:t>
            </w:r>
          </w:p>
        </w:tc>
        <w:tc>
          <w:tcPr>
            <w:tcW w:w="2643" w:type="pct"/>
            <w:noWrap/>
            <w:vAlign w:val="center"/>
          </w:tcPr>
          <w:p w14:paraId="5EAD8453">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主要技术参数</w:t>
            </w:r>
          </w:p>
        </w:tc>
        <w:tc>
          <w:tcPr>
            <w:tcW w:w="345" w:type="pct"/>
            <w:noWrap w:val="0"/>
            <w:vAlign w:val="center"/>
          </w:tcPr>
          <w:p w14:paraId="6AB994D9">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单位</w:t>
            </w:r>
          </w:p>
        </w:tc>
        <w:tc>
          <w:tcPr>
            <w:tcW w:w="372" w:type="pct"/>
            <w:noWrap w:val="0"/>
            <w:vAlign w:val="center"/>
          </w:tcPr>
          <w:p w14:paraId="583859B4">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数量</w:t>
            </w:r>
          </w:p>
        </w:tc>
        <w:tc>
          <w:tcPr>
            <w:tcW w:w="430" w:type="pct"/>
            <w:shd w:val="clear" w:color="auto" w:fill="auto"/>
            <w:noWrap w:val="0"/>
            <w:vAlign w:val="center"/>
          </w:tcPr>
          <w:p w14:paraId="50D91C3B">
            <w:pPr>
              <w:keepNext w:val="0"/>
              <w:keepLines w:val="0"/>
              <w:pageBreakBefore w:val="0"/>
              <w:widowControl/>
              <w:kinsoku/>
              <w:wordWrap/>
              <w:overflowPunct/>
              <w:topLinePunct w:val="0"/>
              <w:bidi w:val="0"/>
              <w:spacing w:line="300" w:lineRule="auto"/>
              <w:jc w:val="center"/>
              <w:rPr>
                <w:rFonts w:hint="default"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lang w:val="en-US" w:eastAsia="zh-CN"/>
              </w:rPr>
              <w:t>所属行业</w:t>
            </w:r>
          </w:p>
        </w:tc>
      </w:tr>
      <w:tr w14:paraId="6EA0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2" w:type="pct"/>
            <w:noWrap/>
            <w:vAlign w:val="center"/>
          </w:tcPr>
          <w:p w14:paraId="7C8DD9EC">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sz w:val="24"/>
                <w:szCs w:val="24"/>
              </w:rPr>
            </w:pPr>
            <w:bookmarkStart w:id="82" w:name="OLE_LINK10" w:colFirst="2" w:colLast="66"/>
            <w:bookmarkStart w:id="83" w:name="OLE_LINK6" w:colFirst="2" w:colLast="66"/>
            <w:bookmarkStart w:id="84" w:name="_Hlk236037668"/>
            <w:r>
              <w:rPr>
                <w:rFonts w:hint="eastAsia" w:asciiTheme="minorEastAsia" w:hAnsiTheme="minorEastAsia" w:eastAsiaTheme="minorEastAsia" w:cstheme="minorEastAsia"/>
                <w:color w:val="auto"/>
                <w:sz w:val="24"/>
                <w:szCs w:val="24"/>
              </w:rPr>
              <w:t>1</w:t>
            </w:r>
          </w:p>
        </w:tc>
        <w:tc>
          <w:tcPr>
            <w:tcW w:w="825" w:type="pct"/>
            <w:noWrap/>
            <w:vAlign w:val="center"/>
          </w:tcPr>
          <w:p w14:paraId="3D229193">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sz w:val="24"/>
                <w:szCs w:val="24"/>
              </w:rPr>
            </w:pPr>
            <w:r>
              <w:rPr>
                <w:rFonts w:hint="eastAsia" w:ascii="宋体" w:hAnsi="宋体" w:eastAsia="宋体" w:cs="宋体"/>
                <w:color w:val="auto"/>
                <w:kern w:val="0"/>
                <w:sz w:val="24"/>
                <w:szCs w:val="24"/>
              </w:rPr>
              <w:t>▲</w:t>
            </w:r>
            <w:r>
              <w:rPr>
                <w:rFonts w:hint="eastAsia" w:asciiTheme="minorEastAsia" w:hAnsiTheme="minorEastAsia" w:eastAsiaTheme="minorEastAsia" w:cstheme="minorEastAsia"/>
                <w:color w:val="auto"/>
                <w:sz w:val="24"/>
                <w:szCs w:val="24"/>
              </w:rPr>
              <w:t>自动控制原理及智能控制技术教学实验系统</w:t>
            </w:r>
          </w:p>
          <w:p w14:paraId="1ED77AD0">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sz w:val="24"/>
                <w:szCs w:val="24"/>
              </w:rPr>
            </w:pPr>
          </w:p>
        </w:tc>
        <w:tc>
          <w:tcPr>
            <w:tcW w:w="2643" w:type="pct"/>
            <w:noWrap w:val="0"/>
            <w:vAlign w:val="center"/>
          </w:tcPr>
          <w:p w14:paraId="5609603A">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一、总体要求</w:t>
            </w:r>
          </w:p>
          <w:p w14:paraId="20D03D4A">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1、实验平台应基于自控/计控课程理论基础，结合嵌入式技术、虚拟仪器技术、多媒体技术、网络传输技术等应用技术。</w:t>
            </w:r>
          </w:p>
          <w:p w14:paraId="247878FC">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平台采用开放式平台架构，可实现不同类型的模拟系统，配置不少于2个实际可控器件和执行器件。同时支持“自动控制”、“计算机控制”等课程，并可扩展到其他类型的控制类课程。平台须支持控制算法的二次开发，支持学生在系统算法基础上进行控制算法的扩展和优化。</w:t>
            </w:r>
          </w:p>
          <w:p w14:paraId="3F4419F6">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★3、系统支持Labview，Matlab/Simulink和实验平台的对接,支持计控算法的二次开发；设备硬件支持可编程二次开发，支持C语言方式开发及下载。</w:t>
            </w:r>
          </w:p>
          <w:p w14:paraId="34A7E378">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二、技术指标</w:t>
            </w:r>
          </w:p>
          <w:p w14:paraId="0BB95353">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1、实验平台应采用箱式结构；电路板采用实验主板+可扩展模块架构，各模块应包含独立的电源开关，可以根据需要扩展实验模块。实验平台应包含置物槽，可放置实验中的连线，探头等附件。</w:t>
            </w:r>
          </w:p>
          <w:p w14:paraId="38664975">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平台配备不小于7英寸的TFT彩色液晶的自控计控综合仪表模块，综合仪表模块至少包含有信号源，示波器，伯德图及欧姆表等，内置基于操作系统的人机交互界面，学生能选择实验项目、调阅实验原理框图、实验注意事项等；能在框图界面通过调整实验参数，至少包括：信号源的类型幅度、频率、波形，参数等。</w:t>
            </w:r>
            <w:r>
              <w:rPr>
                <w:rFonts w:hint="eastAsia" w:asciiTheme="minorEastAsia" w:hAnsiTheme="minorEastAsia" w:eastAsiaTheme="minorEastAsia" w:cstheme="minorEastAsia"/>
                <w:b/>
                <w:bCs/>
                <w:color w:val="auto"/>
                <w:sz w:val="24"/>
                <w:szCs w:val="24"/>
              </w:rPr>
              <w:t>（投标文件中提供实验箱带液晶屏的实物图及液晶屏上有信号源，示波器，伯德图及欧姆表界面功能截图）。</w:t>
            </w:r>
          </w:p>
          <w:p w14:paraId="20B99E6A">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系统应内置双通道示波器，支持示波器和信号源的联动控制，可以对系统阶跃信号等非周期信号的同步测量分析；支持双通道时域波形的实时显示，支持X-Y显示模式，支持控制系统分析的超低频模式，支持用时域分析法对系统进行分析；示波器内置双通道数显测量游标，支持上升时间，稳定时间，超调量等参数的精确测量；示波器支持数据的存储和分析，可以同时存储分析不少于5组数据。</w:t>
            </w:r>
          </w:p>
          <w:p w14:paraId="54E9DF51">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系统应内置专用双通道数据采集软件。应支持系统采样率设置，最高采样率不小于1KHz；应支持锁零选择；应支持单次运行和连续运行，单次运行支持运行时间设置；支持波形的平移，自主缩放及双游标测量及显示；支持数据保存，可将采集数据保存为csv文件。</w:t>
            </w:r>
          </w:p>
          <w:p w14:paraId="658C139C">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5、主控模块需采用ARM +FPGA的结构；采集单元提供双通道DA及AD模块，能完成高速实时AD/DA转换，实现低时延的实时控制；AD转换精度：≥12bit；DA转换精度：≥12bit。 </w:t>
            </w:r>
          </w:p>
          <w:p w14:paraId="4194CEBC">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6、系统内置含数显的双通道函数发生器含有波形输出：至少包括 阶跃响应，冲击响应、正弦波、斜坡、抛物线、方波、三角波，锯齿波等；可设置信号幅度（0-10vpp）；信号频率，可测量：继电特性、饱和特性、死区特性、间隙特性等。</w:t>
            </w:r>
          </w:p>
          <w:p w14:paraId="33374CE9">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7、系统配备可控组件：包含直流电机控制单元，步进电机控制单元，炉温调节控制单元。</w:t>
            </w:r>
          </w:p>
          <w:p w14:paraId="3A9147CD">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主控模块内置USB接口，可连接PC端上层软件实时传输采集数据供后台显示分析；提供PC端示波器/信号源/伯德图/欧姆表功能，在PC机上进行实时的信号时域频域分析；控制过程数据可存储，可后台分析处理系统特性。</w:t>
            </w:r>
          </w:p>
          <w:p w14:paraId="20C31CDA">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9、提供不少于5组OP07运放单元，每单元的输入回路有5组≤1%精度电阻，或≤1%精度电容，反馈回路有不少于9组1%精度电阻或1%精度电容。</w:t>
            </w:r>
          </w:p>
          <w:p w14:paraId="55BBCA49">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系统应内置伯德图和奈奎斯特图功能，可在系统分析时通过自动方式（非手动打点）得到闭环、开环对数幅频、相频特性曲线；闭环、开环可自由切换，可通过测量系统闭环伯德图自动转换为开环伯德图；频率范围：0.15Hz-1kHz，幅频特性分析精度：-50dB-20dB。</w:t>
            </w:r>
          </w:p>
          <w:p w14:paraId="6B575384">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11、系统应内置欧姆表功能，可测量系统中可变电阻参数的阻值，可进行系统函数的计算和分析，至少应包含三个档位的测量精度，测量范围：0-500k。</w:t>
            </w:r>
          </w:p>
          <w:p w14:paraId="556AD072">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12、系统自带电压、温度、转速信号测量功能；自带直流电机；自带温度模块-可调脉冲宽度输入控制及电压输入控制加热，热敏电阻测温（-10℃～105℃），可将测量信号数字化供控制系统应用。</w:t>
            </w:r>
          </w:p>
          <w:p w14:paraId="658F920D">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13、“系统模拟模块”能开发多阶不同类型模拟系统；模块开放器件齐全，至少包含电阻、电容、电感、运放等器件，能选模块自带器件，也能插入学生自主器件。</w:t>
            </w:r>
          </w:p>
          <w:p w14:paraId="6CA3B7D4">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★14、系统具备二次开发功能，可连接Labview，Matlab/Simulink等主流控制领域开发软件，自行开发控制算法，提供对应的二次开发demo</w:t>
            </w:r>
            <w:r>
              <w:rPr>
                <w:rFonts w:hint="eastAsia" w:asciiTheme="minorEastAsia" w:hAnsiTheme="minorEastAsia" w:eastAsiaTheme="minorEastAsia" w:cstheme="minorEastAsia"/>
                <w:b/>
                <w:bCs/>
                <w:color w:val="auto"/>
                <w:sz w:val="24"/>
                <w:szCs w:val="24"/>
              </w:rPr>
              <w:t>（投标文件中提供二次开发例程代码及功能截图）</w:t>
            </w:r>
            <w:r>
              <w:rPr>
                <w:rFonts w:hint="eastAsia" w:asciiTheme="minorEastAsia" w:hAnsiTheme="minorEastAsia" w:eastAsiaTheme="minorEastAsia" w:cstheme="minorEastAsia"/>
                <w:color w:val="auto"/>
                <w:sz w:val="24"/>
                <w:szCs w:val="24"/>
              </w:rPr>
              <w:t>。</w:t>
            </w:r>
          </w:p>
          <w:p w14:paraId="580EF4F2">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系统配备至少主和辅两个处理器，支持主/辅处理器的切换，辅处理器程序不影响主处理器正常运行功能。辅处理器支持学生自主进行C语言方式的算法设计开发，支持通过USB接口实现程序下载，支持二次开发算法的在线调试</w:t>
            </w:r>
            <w:r>
              <w:rPr>
                <w:rFonts w:hint="eastAsia" w:asciiTheme="minorEastAsia" w:hAnsiTheme="minorEastAsia" w:eastAsiaTheme="minorEastAsia" w:cstheme="minorEastAsia"/>
                <w:b/>
                <w:bCs/>
                <w:color w:val="auto"/>
                <w:sz w:val="24"/>
                <w:szCs w:val="24"/>
              </w:rPr>
              <w:t>（投标文件中提供二次开发、主/辅处理器切换原理说明及支持主/辅处理器的切换功能截图）。</w:t>
            </w:r>
          </w:p>
          <w:p w14:paraId="3464399D">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实验内容支持但不仅限于下列实验：基本环节实验；二阶/三阶系统特性研究；系统稳定性研究；系统频率特性研究；线性系统的校正；非线性系统；现代控制系统；数/模转换实验；模/数转换实验；采样与保持；采样实验；平滑与数字滤波实验：数字PID控制实验：标准PID控制算法；积分分离PID控制算法；非线性PID控制算法；最少拍控制系统；大林算法等；</w:t>
            </w:r>
          </w:p>
          <w:p w14:paraId="55A0D540">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16、倒立摆实验对象实验室共配置2套：</w:t>
            </w:r>
          </w:p>
          <w:p w14:paraId="288C94BA">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（1）设备应采用开放的控制解决方案和模块化的实验平台，以直线运动模块为基础平台，可满足控制教学和研究的需要；</w:t>
            </w:r>
          </w:p>
          <w:p w14:paraId="796FF266">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（2）独立的箱体式结构</w:t>
            </w:r>
          </w:p>
          <w:p w14:paraId="5759FBA1">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（3）为满足实验室管理及实验需要，设备规格应满足：</w:t>
            </w:r>
          </w:p>
          <w:p w14:paraId="285F8698">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箱体尺寸：≥（长×宽×高）390×170×80（mm），偏差不超10%;</w:t>
            </w:r>
          </w:p>
          <w:p w14:paraId="4D10C8CA">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有效滑动行程：≥300mm</w:t>
            </w:r>
          </w:p>
          <w:p w14:paraId="46816D15">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摆杆长度（mm）:≥200mm</w:t>
            </w:r>
          </w:p>
          <w:p w14:paraId="30FDA8EF">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转动范围: 大于±180 º</w:t>
            </w:r>
          </w:p>
          <w:p w14:paraId="22568CD7">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（4）主控单元应采用控制芯片，提供开发例程和二次开发接口；提供≥2.5英寸彩色液晶，可实时显示角度及位置传感器参数；可通过编码器旋钮设置控制参数；</w:t>
            </w:r>
          </w:p>
          <w:p w14:paraId="57E0117D">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（5）设备应提供外部USB接口，可与计算机通信；</w:t>
            </w:r>
          </w:p>
          <w:p w14:paraId="6EBC458B">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（6）为防止控制单元越过有效行程碰撞两端，设备应提供硬件保护功能；</w:t>
            </w:r>
          </w:p>
          <w:p w14:paraId="0E300268">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提供PC端上层软件，可采集控制端传感器数据（位置和角度传感器），并显示实时的传感器数据曲线，用于分析控制算法稳定性；软件提供3D倒立摆模型，可实时同步跟踪实物倒立摆状态；可通过软件设置控制参数。</w:t>
            </w:r>
          </w:p>
          <w:p w14:paraId="4FE9B0B6">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17、可开展的实验</w:t>
            </w:r>
          </w:p>
          <w:p w14:paraId="72F463F5">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第1部分 实验箱使用基础</w:t>
            </w:r>
          </w:p>
          <w:p w14:paraId="69A746B2">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实验平台介绍</w:t>
            </w:r>
          </w:p>
          <w:p w14:paraId="329B98D6">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各实验模块介绍</w:t>
            </w:r>
          </w:p>
          <w:p w14:paraId="7672C696">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实验平台操作及注意事项</w:t>
            </w:r>
          </w:p>
          <w:p w14:paraId="13D53911">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二次开发操作说明</w:t>
            </w:r>
          </w:p>
          <w:p w14:paraId="76AE0E06">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第2部分 自控技术实验</w:t>
            </w:r>
          </w:p>
          <w:p w14:paraId="3067BA80">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线性系统的时域分析</w:t>
            </w:r>
          </w:p>
          <w:p w14:paraId="1477950C">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2.1.1</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典型环节的时域响应</w:t>
            </w:r>
          </w:p>
          <w:p w14:paraId="0ED03E4D">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2.1.2</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二阶系统的时域分析</w:t>
            </w:r>
          </w:p>
          <w:p w14:paraId="20A791AD">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2.1.3</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控制系统的稳定性分析</w:t>
            </w:r>
          </w:p>
          <w:p w14:paraId="076C8708">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2.1.4</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线性系统的校正</w:t>
            </w:r>
          </w:p>
          <w:p w14:paraId="5B2DC427">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线性系统的频率响应分析</w:t>
            </w:r>
          </w:p>
          <w:p w14:paraId="1AA47B2D">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2.2.1</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线性系统的频率响应分析</w:t>
            </w:r>
          </w:p>
          <w:p w14:paraId="01640D44">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2.3</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线性系统的根轨迹分析</w:t>
            </w:r>
          </w:p>
          <w:p w14:paraId="0D7D1F8E">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2.3.1</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线性系统的根轨迹分析</w:t>
            </w:r>
          </w:p>
          <w:p w14:paraId="4904E420">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非线性系统的相平面分析</w:t>
            </w:r>
          </w:p>
          <w:p w14:paraId="780EB0B0">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2.4.1</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典型非线性环节</w:t>
            </w:r>
          </w:p>
          <w:p w14:paraId="306144CA">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2.4.2</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二阶非线性系统实验</w:t>
            </w:r>
          </w:p>
          <w:p w14:paraId="18C7CABC">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2.4.3</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三阶非线性系统实验</w:t>
            </w:r>
          </w:p>
          <w:p w14:paraId="042B5A98">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2.5</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采样系统的稳定性分析与校正</w:t>
            </w:r>
          </w:p>
          <w:p w14:paraId="6D21762F">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2.5.1</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采样系统的稳定性分析</w:t>
            </w:r>
          </w:p>
          <w:p w14:paraId="335D947E">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2.5.2</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采样系统的校正</w:t>
            </w:r>
          </w:p>
          <w:p w14:paraId="177B17AF">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2.6</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线性系统的状态空间分析</w:t>
            </w:r>
          </w:p>
          <w:p w14:paraId="1316C2F2">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2.6.1</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线性系统的状态空间分析</w:t>
            </w:r>
          </w:p>
          <w:p w14:paraId="694BA810">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19、《计算机控制及智能控制》课程</w:t>
            </w:r>
          </w:p>
          <w:p w14:paraId="1A2ADEBB">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3.1</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数据采样及处理</w:t>
            </w:r>
          </w:p>
          <w:p w14:paraId="60536275">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3.1.1</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数模（DA）及模数（AD）转换</w:t>
            </w:r>
          </w:p>
          <w:p w14:paraId="4474C4AB">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3.1.2</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信号的采样与保持</w:t>
            </w:r>
          </w:p>
          <w:p w14:paraId="6F85359D">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3.1.3</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数字滤波</w:t>
            </w:r>
          </w:p>
          <w:p w14:paraId="072A1847">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3.2</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数字PID闭环控制</w:t>
            </w:r>
          </w:p>
          <w:p w14:paraId="41FD07F7">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3.2.1</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数字PID控制算法</w:t>
            </w:r>
          </w:p>
          <w:p w14:paraId="1E8EA9C8">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3.2.2</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积分分离PID控制算法</w:t>
            </w:r>
          </w:p>
          <w:p w14:paraId="5920C977">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3.2.3</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带死区的PID控制</w:t>
            </w:r>
          </w:p>
          <w:p w14:paraId="3076EF79">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3.2.4</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简易工程法整定PID参数</w:t>
            </w:r>
          </w:p>
          <w:p w14:paraId="61D1ED49">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3.3</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数字调节器直接设计方法</w:t>
            </w:r>
          </w:p>
          <w:p w14:paraId="6F8536C4">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3.3.1</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最小拍控制系统</w:t>
            </w:r>
          </w:p>
          <w:p w14:paraId="20C9D1E4">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3.3.2</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大林算法</w:t>
            </w:r>
          </w:p>
          <w:p w14:paraId="3F48CEF3">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3.4</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 xml:space="preserve"> 可控单元模块</w:t>
            </w:r>
          </w:p>
          <w:p w14:paraId="23903D31">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3.4.1</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直流电机控制</w:t>
            </w:r>
          </w:p>
          <w:p w14:paraId="11E55E5D">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3.4.2</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步进电机控制</w:t>
            </w:r>
          </w:p>
          <w:p w14:paraId="2D684C80">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3.4.3 炉温控制</w:t>
            </w:r>
          </w:p>
          <w:p w14:paraId="69F7701D">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3.5</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智能控制技术</w:t>
            </w:r>
          </w:p>
          <w:p w14:paraId="605B1C8F">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3.5.1</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模糊控制技术</w:t>
            </w:r>
          </w:p>
          <w:p w14:paraId="7384074A">
            <w:pPr>
              <w:keepNext w:val="0"/>
              <w:keepLines w:val="0"/>
              <w:pageBreakBefore w:val="0"/>
              <w:kinsoku/>
              <w:wordWrap/>
              <w:overflowPunct/>
              <w:topLinePunct w:val="0"/>
              <w:bidi w:val="0"/>
              <w:adjustRightInd w:val="0"/>
              <w:snapToGrid w:val="0"/>
              <w:spacing w:line="30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3.5.2</w:t>
            </w:r>
            <w:r>
              <w:rPr>
                <w:rFonts w:hint="eastAsia" w:asciiTheme="minorEastAsia" w:hAnsiTheme="minorEastAsia" w:eastAsiaTheme="minorEastAsia" w:cstheme="minorEastAsia"/>
                <w:color w:val="auto"/>
                <w:sz w:val="24"/>
                <w:szCs w:val="24"/>
              </w:rPr>
              <w:tab/>
            </w:r>
            <w:r>
              <w:rPr>
                <w:rFonts w:hint="eastAsia" w:asciiTheme="minorEastAsia" w:hAnsiTheme="minorEastAsia" w:eastAsiaTheme="minorEastAsia" w:cstheme="minorEastAsia"/>
                <w:color w:val="auto"/>
                <w:sz w:val="24"/>
                <w:szCs w:val="24"/>
              </w:rPr>
              <w:t>神经元控制技术</w:t>
            </w:r>
          </w:p>
        </w:tc>
        <w:tc>
          <w:tcPr>
            <w:tcW w:w="345" w:type="pct"/>
            <w:noWrap w:val="0"/>
            <w:vAlign w:val="center"/>
          </w:tcPr>
          <w:p w14:paraId="6F840120">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台</w:t>
            </w:r>
          </w:p>
        </w:tc>
        <w:tc>
          <w:tcPr>
            <w:tcW w:w="372" w:type="pct"/>
            <w:noWrap/>
            <w:vAlign w:val="center"/>
          </w:tcPr>
          <w:p w14:paraId="5828F080">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w:t>
            </w:r>
          </w:p>
        </w:tc>
        <w:tc>
          <w:tcPr>
            <w:tcW w:w="430" w:type="pct"/>
            <w:noWrap/>
            <w:vAlign w:val="center"/>
          </w:tcPr>
          <w:p w14:paraId="216927D7">
            <w:pPr>
              <w:keepNext w:val="0"/>
              <w:keepLines w:val="0"/>
              <w:pageBreakBefore w:val="0"/>
              <w:kinsoku/>
              <w:wordWrap/>
              <w:overflowPunct/>
              <w:topLinePunct w:val="0"/>
              <w:bidi w:val="0"/>
              <w:adjustRightInd w:val="0"/>
              <w:snapToGrid w:val="0"/>
              <w:spacing w:line="300" w:lineRule="auto"/>
              <w:jc w:val="center"/>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工业</w:t>
            </w:r>
          </w:p>
        </w:tc>
      </w:tr>
      <w:bookmarkEnd w:id="82"/>
      <w:bookmarkEnd w:id="83"/>
      <w:bookmarkEnd w:id="84"/>
      <w:tr w14:paraId="1561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2" w:type="pct"/>
            <w:noWrap/>
            <w:vAlign w:val="center"/>
          </w:tcPr>
          <w:p w14:paraId="5F0B7D72">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p>
        </w:tc>
        <w:tc>
          <w:tcPr>
            <w:tcW w:w="825" w:type="pct"/>
            <w:noWrap/>
            <w:vAlign w:val="center"/>
          </w:tcPr>
          <w:p w14:paraId="410A58E8">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智能控制创新创业研究实验平台</w:t>
            </w:r>
          </w:p>
        </w:tc>
        <w:tc>
          <w:tcPr>
            <w:tcW w:w="2643" w:type="pct"/>
            <w:noWrap w:val="0"/>
            <w:vAlign w:val="center"/>
          </w:tcPr>
          <w:p w14:paraId="4577DAFD">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一、基本要求</w:t>
            </w:r>
          </w:p>
          <w:p w14:paraId="7EB046BA">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1、系统操作柜：采用控制模块总成设计，立式柜不低于32U，含系统集中控制、远程控制单元、系统保护单元以及急停按钮、开关等，集成测功电机加载控制；数据采集传输、报表曲线生成。 </w:t>
            </w:r>
          </w:p>
          <w:p w14:paraId="0FA44FE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w:t>
            </w:r>
            <w:bookmarkStart w:id="85" w:name="OLE_LINK4"/>
            <w:r>
              <w:rPr>
                <w:rFonts w:hint="eastAsia" w:asciiTheme="minorEastAsia" w:hAnsiTheme="minorEastAsia" w:eastAsiaTheme="minorEastAsia" w:cstheme="minorEastAsia"/>
                <w:color w:val="auto"/>
                <w:sz w:val="24"/>
                <w:szCs w:val="24"/>
              </w:rPr>
              <w:t>工控机/显示器（配置不低于）：工业级主板，处理器要求≥8核12线程以上，基础频率≥3.0GHz，全核满载睿频≥4.0GHz；内存≥DDR3 8G工业级内存，≥1T机械企业级硬盘，集成测试系统上位机软件专用调试接口，不少于2个RS-232/422/4858个RS232串口，不少于2个PCI 2个PCIe扩展槽专用接口，双网卡不低于6个USB接口，含键鼠，19英寸高清液晶显示屏，1920*1080，需提前内嵌入控制柜；</w:t>
            </w:r>
            <w:bookmarkEnd w:id="85"/>
          </w:p>
          <w:p w14:paraId="7F74E62C">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3、PLC模块：配套高性能PLC，用于系统启动、运行、监控、急停等功能。参数要求：CPU 性能：程序存储器：≥ 80 KB；位指令执行时间：≤ 0.15 μs；支持实时浮点运算、中断响应 ≤ 50 μs；高速计数器：≥ 6 路；支持频率测量、周期测量、转速测量、位置捕获；高速脉冲输出：≥ 3 路；最高脉冲频率：≥ 100 kHz；模拟量采集：支持 0~10V、0~20mA、4~20mA、±10V；采样速度：≤ 200 μs/通道；通信接口≥ 1 个 RJ45，≥ 1 个RS485 口。</w:t>
            </w:r>
          </w:p>
          <w:p w14:paraId="62332D1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4、系统通讯模块：WHCM单元，功率分析仪、电机性能分析仪等系统通讯</w:t>
            </w:r>
          </w:p>
          <w:p w14:paraId="61FEACF9">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转矩转速传输模块：配套电机性能分析仪隔离模块。</w:t>
            </w:r>
          </w:p>
          <w:p w14:paraId="25338C09">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功率分析仪：不低于4个功率通道+电机模块；精度不低于±读数的0.1%±量程的0.05%；电压量程至少满足0-1000V，直接输入电流量程不低于200mA~50[A]或20mA~5[A]；支持电压、电流、有功功率、无功功率、视在功率、相位角、频率、峰值电压、峰值电流、功率因数测量功能，配备谐波测量，谐波次数不低于500次。</w:t>
            </w:r>
          </w:p>
          <w:p w14:paraId="682C733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★6、转矩闭环加载模块：闭环精度≤ 0.2%，转速转矩频率≥1～500KHz；与上位机以太网通讯，可设定PID参数和转矩目标值，采集转矩转速传感器的转矩测量值，与转矩目标值进行比较，同时通过模拟量输出信号PID调节驱动器以调节测功电机的转矩输出值，实现闭环加载。</w:t>
            </w:r>
          </w:p>
          <w:p w14:paraId="4C885143">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7、电机性能测试软件：自动模式、手动模式、定点模式、耐久模式、转矩闭环加载、转速闭环加载等功能。</w:t>
            </w:r>
          </w:p>
          <w:p w14:paraId="379473C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★8、测功电机驱动单元：DTC直接转矩控制模式，控制精度高、响应快，容量不低于3kW。</w:t>
            </w:r>
          </w:p>
          <w:p w14:paraId="6B87415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9、能量回馈单元：能量回馈电网，正弦波回馈电网，替代制动电阻，容量按不低于3kW配置。</w:t>
            </w:r>
          </w:p>
          <w:p w14:paraId="16517FC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10、测功电机：额定功率不低于3kW；额定电压不低于380VAC；额定转速不低于3000rpm；峰值不低于12000rpm；额定转矩不低于9.5Nm。</w:t>
            </w:r>
          </w:p>
          <w:p w14:paraId="2C94D0DF">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★11、转矩转速传感器：量程不低于10N.m，精度不低于0.2%；转速不低于12000rpm，转速精度（编码器分辨率）：1024p/r。</w:t>
            </w:r>
          </w:p>
          <w:p w14:paraId="281E927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12、测试平台：根据实际尺寸需要定制，保证台架可靠运行，整体刚性强、形变极小、振动抑制能力优异，适配长期高负载循环测试；基面精度：平面度 ≤ 0.02 mm/m，表面粗糙度 Ra ≤ 1.6 μm；刚性：满负载额定转矩工况下，整机静态变形 ≤ 0.05 mm，无共振、无明显抖动；安装：地脚调平螺栓，配减震垫脚，适配实验室地面。</w:t>
            </w:r>
          </w:p>
          <w:p w14:paraId="5485E651">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13、测功电机底座：根据实际尺寸需要</w:t>
            </w:r>
            <w:bookmarkStart w:id="94" w:name="_GoBack"/>
            <w:bookmarkEnd w:id="94"/>
            <w:r>
              <w:rPr>
                <w:rFonts w:hint="eastAsia" w:asciiTheme="minorEastAsia" w:hAnsiTheme="minorEastAsia" w:eastAsiaTheme="minorEastAsia" w:cstheme="minorEastAsia"/>
                <w:color w:val="auto"/>
                <w:sz w:val="24"/>
                <w:szCs w:val="24"/>
              </w:rPr>
              <w:t xml:space="preserve">定制，安装测功电机 </w:t>
            </w:r>
          </w:p>
          <w:p w14:paraId="3AC153AD">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14、传感器支座：固定安装传感器，保证中心高与电机中心高匹配，保障传动同轴精度。</w:t>
            </w:r>
          </w:p>
          <w:p w14:paraId="685C4C1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15、被测电机安装夹具：根据实际要求定制，安装固定被测电机及附件，被测电机专用工装至少1款。</w:t>
            </w:r>
          </w:p>
          <w:p w14:paraId="0B55E0F9">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16、联轴器：定制膜片式，连接测功电机-转矩转速传感器-被测电机，至少1款。整体同轴度 ≤ 0.02 mm，轴向窜动量：≤ 0.01 mm。</w:t>
            </w:r>
          </w:p>
          <w:p w14:paraId="7CBC353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17、安全防护罩：根据要求定制，底部加固，台架运转时旋转部件安全防护。</w:t>
            </w:r>
          </w:p>
          <w:p w14:paraId="794E9A5D">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18、堵转工装：根据要求定制，测试被测电机的机械堵转。</w:t>
            </w:r>
          </w:p>
          <w:p w14:paraId="1281539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19、安装附件：台架所需附件，连接线缆等（不低于5米）。</w:t>
            </w:r>
          </w:p>
          <w:p w14:paraId="5E81750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20、配套被测电机：额定功率不低于1.5kW，额定转速不低于3000rpm，额定转矩不低于4.75N.m；编码器类型：光电编码器。</w:t>
            </w:r>
          </w:p>
          <w:p w14:paraId="4518CBB6">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21、开放式变换器：逆变器采用工业级的微沟槽场截止工艺IGBT器件，开关频率不低于20KHz。内部集成了整流电路、制动电路、逆变电路、采样电路以及交流侧输出EMC滤波器；驱动器可选交流或直流输入，可输入单相或三相交流电，(DC)输入电压≤800V 交流，(AC)输入电压≤560Vrms ；额定输出电流不低于18Arms；模块内部集成了电压、电流、温度等测量模块，最大工作隔离电压不低于2.5kV，电压信号变比为83.3:1，电流信号变比为2.5:1；逆变器本身具有硬件、软件双重保护，过压、欠压、过流、过热、PWM同高等保护，过压、过流、过热阈值可设定；运行范围宽，母线电压在24V-800V即可以正常工作；具有预充电回路，预充电阈值可以设定；具有复位按钮，导致逆变器保护的情况消失后，可通过复位按钮进行复位；LED灯指示电源、运行、故障等状态；具有智能主动散热系统，保证逆变器安全、稳定的工作。</w:t>
            </w:r>
          </w:p>
          <w:p w14:paraId="0DD6A0C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22、配套直流电源：功率不低于3kW，输出电压≥300VDC；输出电流不低于10A。</w:t>
            </w:r>
          </w:p>
          <w:p w14:paraId="5985194F">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★23、本系统与本次采购的“虚实一体化电机与拖动智能综合实验系统”共用同一台创新创业与学科竞赛专用高性能RCP（实时数字运动控制装置），具体技术参数见“虚实一体化电机与拖动智能综合实验系统”。</w:t>
            </w:r>
          </w:p>
          <w:p w14:paraId="6EBF86BF">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24、供货方承担整套系统供货、现场安装、整机调试标定、人员实操培训一体化工作，按交钥匙标准完成项目交付，提供3年免费质保服务，质保期内非人为故障相关维修、配件、技术支持均免费。</w:t>
            </w:r>
          </w:p>
        </w:tc>
        <w:tc>
          <w:tcPr>
            <w:tcW w:w="345" w:type="pct"/>
            <w:noWrap w:val="0"/>
            <w:vAlign w:val="center"/>
          </w:tcPr>
          <w:p w14:paraId="4C0BF1EC">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套</w:t>
            </w:r>
          </w:p>
        </w:tc>
        <w:tc>
          <w:tcPr>
            <w:tcW w:w="372" w:type="pct"/>
            <w:noWrap/>
            <w:vAlign w:val="center"/>
          </w:tcPr>
          <w:p w14:paraId="2CE307C6">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p>
        </w:tc>
        <w:tc>
          <w:tcPr>
            <w:tcW w:w="430" w:type="pct"/>
            <w:shd w:val="clear" w:color="auto" w:fill="auto"/>
            <w:noWrap/>
            <w:vAlign w:val="center"/>
          </w:tcPr>
          <w:p w14:paraId="603658C7">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工业</w:t>
            </w:r>
          </w:p>
        </w:tc>
      </w:tr>
      <w:tr w14:paraId="0C64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000" w:type="pct"/>
            <w:gridSpan w:val="6"/>
            <w:noWrap/>
            <w:vAlign w:val="center"/>
          </w:tcPr>
          <w:p w14:paraId="51C9FAA9">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b/>
                <w:bCs/>
                <w:color w:val="auto"/>
                <w:sz w:val="24"/>
                <w:szCs w:val="24"/>
                <w:shd w:val="clear" w:color="auto" w:fill="FFFFFF"/>
              </w:rPr>
              <w:t>二、运动控制实验系统</w:t>
            </w:r>
          </w:p>
        </w:tc>
      </w:tr>
      <w:tr w14:paraId="6A19D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2" w:type="pct"/>
            <w:shd w:val="clear" w:color="auto" w:fill="auto"/>
            <w:noWrap/>
            <w:vAlign w:val="center"/>
          </w:tcPr>
          <w:p w14:paraId="5F0D6B3B">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rPr>
              <w:t>序号</w:t>
            </w:r>
          </w:p>
        </w:tc>
        <w:tc>
          <w:tcPr>
            <w:tcW w:w="825" w:type="pct"/>
            <w:shd w:val="clear" w:color="auto" w:fill="auto"/>
            <w:noWrap/>
            <w:vAlign w:val="center"/>
          </w:tcPr>
          <w:p w14:paraId="2272D10A">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lang w:val="en-US" w:eastAsia="zh-CN"/>
              </w:rPr>
              <w:t>货物</w:t>
            </w:r>
            <w:r>
              <w:rPr>
                <w:rFonts w:hint="eastAsia" w:asciiTheme="minorEastAsia" w:hAnsiTheme="minorEastAsia" w:eastAsiaTheme="minorEastAsia" w:cstheme="minorEastAsia"/>
                <w:b/>
                <w:bCs/>
                <w:color w:val="auto"/>
                <w:kern w:val="0"/>
                <w:sz w:val="24"/>
                <w:szCs w:val="24"/>
              </w:rPr>
              <w:t>名称</w:t>
            </w:r>
          </w:p>
        </w:tc>
        <w:tc>
          <w:tcPr>
            <w:tcW w:w="2643" w:type="pct"/>
            <w:shd w:val="clear" w:color="auto" w:fill="auto"/>
            <w:noWrap w:val="0"/>
            <w:vAlign w:val="center"/>
          </w:tcPr>
          <w:p w14:paraId="3599F53B">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rPr>
              <w:t>主要技术参数</w:t>
            </w:r>
          </w:p>
        </w:tc>
        <w:tc>
          <w:tcPr>
            <w:tcW w:w="345" w:type="pct"/>
            <w:shd w:val="clear" w:color="auto" w:fill="auto"/>
            <w:noWrap w:val="0"/>
            <w:vAlign w:val="center"/>
          </w:tcPr>
          <w:p w14:paraId="0A444AF1">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rPr>
              <w:t>单位</w:t>
            </w:r>
          </w:p>
        </w:tc>
        <w:tc>
          <w:tcPr>
            <w:tcW w:w="372" w:type="pct"/>
            <w:shd w:val="clear" w:color="auto" w:fill="auto"/>
            <w:noWrap/>
            <w:vAlign w:val="center"/>
          </w:tcPr>
          <w:p w14:paraId="48052293">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rPr>
              <w:t>数量</w:t>
            </w:r>
          </w:p>
        </w:tc>
        <w:tc>
          <w:tcPr>
            <w:tcW w:w="430" w:type="pct"/>
            <w:shd w:val="clear" w:color="auto" w:fill="auto"/>
            <w:noWrap/>
            <w:vAlign w:val="center"/>
          </w:tcPr>
          <w:p w14:paraId="6CD50EFE">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lang w:val="en-US" w:eastAsia="zh-CN"/>
              </w:rPr>
              <w:t>所属行业</w:t>
            </w:r>
          </w:p>
        </w:tc>
      </w:tr>
      <w:tr w14:paraId="1B11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2" w:type="pct"/>
            <w:noWrap/>
            <w:vAlign w:val="center"/>
          </w:tcPr>
          <w:p w14:paraId="0E57CBC7">
            <w:pPr>
              <w:keepNext w:val="0"/>
              <w:keepLines w:val="0"/>
              <w:pageBreakBefore w:val="0"/>
              <w:widowControl/>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3</w:t>
            </w:r>
          </w:p>
        </w:tc>
        <w:tc>
          <w:tcPr>
            <w:tcW w:w="825" w:type="pct"/>
            <w:noWrap/>
            <w:vAlign w:val="center"/>
          </w:tcPr>
          <w:p w14:paraId="7D43A29E">
            <w:pPr>
              <w:keepNext w:val="0"/>
              <w:keepLines w:val="0"/>
              <w:pageBreakBefore w:val="0"/>
              <w:widowControl/>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运动控制系统实验装置</w:t>
            </w:r>
          </w:p>
        </w:tc>
        <w:tc>
          <w:tcPr>
            <w:tcW w:w="2643" w:type="pct"/>
            <w:noWrap w:val="0"/>
            <w:vAlign w:val="center"/>
          </w:tcPr>
          <w:p w14:paraId="0791A005">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一、基本要求</w:t>
            </w:r>
          </w:p>
          <w:p w14:paraId="2D5F31E3">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要求实验装置能够满足《电力电子技术》、《电力拖动自动控制系统—运动控制系统》等课程的实验教学任务，可完成半导体变流技术、现代电力电子器件、现代电力电子器件的典型线路、直流调速系统（模拟部分）、交流调速系统（模拟部分）、工业数字直流调速系统（数字部分），适用于本科课程的实验实训教学，以及课程设计、毕业设计、综合创新和能力提高的研究性实验教学。</w:t>
            </w:r>
          </w:p>
          <w:p w14:paraId="30AD297C">
            <w:pPr>
              <w:keepNext w:val="0"/>
              <w:keepLines w:val="0"/>
              <w:pageBreakBefore w:val="0"/>
              <w:widowControl/>
              <w:kinsoku/>
              <w:wordWrap/>
              <w:overflowPunct/>
              <w:topLinePunct w:val="0"/>
              <w:bidi w:val="0"/>
              <w:adjustRightInd w:val="0"/>
              <w:snapToGrid w:val="0"/>
              <w:spacing w:line="300" w:lineRule="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color w:val="auto"/>
                <w:sz w:val="24"/>
                <w:szCs w:val="24"/>
              </w:rPr>
              <w:t>要求该设备是一种开放式运动控制实验装置，</w:t>
            </w:r>
            <w:r>
              <w:rPr>
                <w:rFonts w:hint="eastAsia" w:asciiTheme="minorEastAsia" w:hAnsiTheme="minorEastAsia" w:eastAsiaTheme="minorEastAsia" w:cstheme="minorEastAsia"/>
                <w:color w:val="auto"/>
                <w:kern w:val="0"/>
                <w:sz w:val="24"/>
                <w:szCs w:val="24"/>
              </w:rPr>
              <w:t>控制回路</w:t>
            </w:r>
            <w:r>
              <w:rPr>
                <w:rFonts w:hint="eastAsia" w:asciiTheme="minorEastAsia" w:hAnsiTheme="minorEastAsia" w:eastAsiaTheme="minorEastAsia" w:cstheme="minorEastAsia"/>
                <w:color w:val="auto"/>
                <w:sz w:val="24"/>
                <w:szCs w:val="24"/>
              </w:rPr>
              <w:t>与主回路都采用模块化设计，可以方便观察线路原理及器件的组合方式，设计直观。</w:t>
            </w:r>
          </w:p>
          <w:p w14:paraId="1C3351C0">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二、设备参数要求</w:t>
            </w:r>
          </w:p>
          <w:p w14:paraId="25705D66">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1、装置的交直流实验电源要求</w:t>
            </w:r>
          </w:p>
          <w:p w14:paraId="59375E94">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1）单、三相交流电源：通过开关切换分别输出三相200V和230V交流电源，给直流调速和交流调速提供输入电源，带过流和短路保护。</w:t>
            </w:r>
          </w:p>
          <w:p w14:paraId="2F8BEC50">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2）220V/0.5A直流励磁电源：供直流电动机和直流发电机励磁绕组。</w:t>
            </w:r>
          </w:p>
          <w:p w14:paraId="5E1D93C9">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3）低压直流稳压电源：要求提供±15V/1A直流稳压电源</w:t>
            </w:r>
          </w:p>
          <w:p w14:paraId="210A4AD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2、设备配置的测量仪表要求</w:t>
            </w:r>
          </w:p>
          <w:p w14:paraId="60D3376A">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要求提供该指针式测量仪表，可以观察到电机起动的动态过程。</w:t>
            </w:r>
          </w:p>
          <w:p w14:paraId="78F84646">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直流电压表：要求测量精度为1级，测量范围为±300V的指针电压表。</w:t>
            </w:r>
          </w:p>
          <w:p w14:paraId="23360530">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直流电流表：要求测量精度为1级，测量范围为±2A的指针电流表。</w:t>
            </w:r>
          </w:p>
          <w:p w14:paraId="5F307C1B">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交流电压表：要求测量精度为1级，测量范围为300V的指针电压表。</w:t>
            </w:r>
          </w:p>
          <w:p w14:paraId="772032B1">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交流电流表：要求测量精度为1级，测量范围为1A的指针电流表。</w:t>
            </w:r>
          </w:p>
          <w:p w14:paraId="3A495578">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
                <w:color w:val="auto"/>
                <w:sz w:val="24"/>
                <w:szCs w:val="24"/>
              </w:rPr>
              <w:t>3、实验负载：</w:t>
            </w:r>
            <w:r>
              <w:rPr>
                <w:rFonts w:hint="eastAsia" w:asciiTheme="minorEastAsia" w:hAnsiTheme="minorEastAsia" w:eastAsiaTheme="minorEastAsia" w:cstheme="minorEastAsia"/>
                <w:color w:val="auto"/>
                <w:sz w:val="24"/>
                <w:szCs w:val="24"/>
              </w:rPr>
              <w:t>提供可调电阻负载和可调电感负载，应满足实验的要求</w:t>
            </w:r>
          </w:p>
          <w:p w14:paraId="40CA07A1">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4、实验变压器及电机技术要求</w:t>
            </w:r>
          </w:p>
          <w:p w14:paraId="48E4FD8F">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
                <w:bCs/>
                <w:color w:val="auto"/>
                <w:sz w:val="24"/>
                <w:szCs w:val="24"/>
              </w:rPr>
              <w:t>1）</w:t>
            </w:r>
            <w:r>
              <w:rPr>
                <w:rFonts w:hint="eastAsia" w:asciiTheme="minorEastAsia" w:hAnsiTheme="minorEastAsia" w:eastAsiaTheme="minorEastAsia" w:cstheme="minorEastAsia"/>
                <w:bCs/>
                <w:color w:val="auto"/>
                <w:sz w:val="24"/>
                <w:szCs w:val="24"/>
              </w:rPr>
              <w:t>配套实验变压器，完成逆变实验。</w:t>
            </w:r>
          </w:p>
          <w:p w14:paraId="16D06589">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
                <w:color w:val="auto"/>
                <w:sz w:val="24"/>
                <w:szCs w:val="24"/>
              </w:rPr>
              <w:t>2）实验电机：</w:t>
            </w:r>
            <w:r>
              <w:rPr>
                <w:rFonts w:hint="eastAsia" w:asciiTheme="minorEastAsia" w:hAnsiTheme="minorEastAsia" w:eastAsiaTheme="minorEastAsia" w:cstheme="minorEastAsia"/>
                <w:bCs/>
                <w:color w:val="auto"/>
                <w:sz w:val="24"/>
                <w:szCs w:val="24"/>
              </w:rPr>
              <w:t>要求提供</w:t>
            </w:r>
            <w:r>
              <w:rPr>
                <w:rFonts w:hint="eastAsia" w:asciiTheme="minorEastAsia" w:hAnsiTheme="minorEastAsia" w:eastAsiaTheme="minorEastAsia" w:cstheme="minorEastAsia"/>
                <w:color w:val="auto"/>
                <w:sz w:val="24"/>
                <w:szCs w:val="24"/>
              </w:rPr>
              <w:t>直流并励电动机、直流复励发电机、三相鼠笼式异步电动机、三相线绕式异步电动机</w:t>
            </w:r>
            <w:r>
              <w:rPr>
                <w:rFonts w:hint="eastAsia" w:asciiTheme="minorEastAsia" w:hAnsiTheme="minorEastAsia" w:eastAsiaTheme="minorEastAsia" w:cstheme="minorEastAsia"/>
                <w:bCs/>
                <w:color w:val="auto"/>
                <w:sz w:val="24"/>
                <w:szCs w:val="24"/>
              </w:rPr>
              <w:t>等实验电机，以满足本标书实验要求，实验电机为功率小于200W模拟1-3kW的实验电机。</w:t>
            </w:r>
            <w:r>
              <w:rPr>
                <w:rFonts w:hint="eastAsia" w:asciiTheme="minorEastAsia" w:hAnsiTheme="minorEastAsia" w:eastAsiaTheme="minorEastAsia" w:cstheme="minorEastAsia"/>
                <w:color w:val="auto"/>
                <w:sz w:val="24"/>
                <w:szCs w:val="24"/>
              </w:rPr>
              <w:t>电机参数如下：</w:t>
            </w:r>
          </w:p>
          <w:p w14:paraId="43C499C6">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①直流复励发电机：P</w:t>
            </w:r>
            <w:r>
              <w:rPr>
                <w:rFonts w:hint="eastAsia" w:asciiTheme="minorEastAsia" w:hAnsiTheme="minorEastAsia" w:eastAsiaTheme="minorEastAsia" w:cstheme="minorEastAsia"/>
                <w:bCs/>
                <w:color w:val="auto"/>
                <w:sz w:val="24"/>
                <w:szCs w:val="24"/>
                <w:vertAlign w:val="subscript"/>
              </w:rPr>
              <w:t>N</w:t>
            </w:r>
            <w:r>
              <w:rPr>
                <w:rFonts w:hint="eastAsia" w:asciiTheme="minorEastAsia" w:hAnsiTheme="minorEastAsia" w:eastAsiaTheme="minorEastAsia" w:cstheme="minorEastAsia"/>
                <w:bCs/>
                <w:color w:val="auto"/>
                <w:sz w:val="24"/>
                <w:szCs w:val="24"/>
              </w:rPr>
              <w:t>≥100W，U</w:t>
            </w:r>
            <w:r>
              <w:rPr>
                <w:rFonts w:hint="eastAsia" w:asciiTheme="minorEastAsia" w:hAnsiTheme="minorEastAsia" w:eastAsiaTheme="minorEastAsia" w:cstheme="minorEastAsia"/>
                <w:bCs/>
                <w:color w:val="auto"/>
                <w:sz w:val="24"/>
                <w:szCs w:val="24"/>
                <w:vertAlign w:val="subscript"/>
              </w:rPr>
              <w:t>N</w:t>
            </w:r>
            <w:r>
              <w:rPr>
                <w:rFonts w:hint="eastAsia" w:asciiTheme="minorEastAsia" w:hAnsiTheme="minorEastAsia" w:eastAsiaTheme="minorEastAsia" w:cstheme="minorEastAsia"/>
                <w:bCs/>
                <w:color w:val="auto"/>
                <w:sz w:val="24"/>
                <w:szCs w:val="24"/>
              </w:rPr>
              <w:t xml:space="preserve"> =200V，I</w:t>
            </w:r>
            <w:r>
              <w:rPr>
                <w:rFonts w:hint="eastAsia" w:asciiTheme="minorEastAsia" w:hAnsiTheme="minorEastAsia" w:eastAsiaTheme="minorEastAsia" w:cstheme="minorEastAsia"/>
                <w:bCs/>
                <w:color w:val="auto"/>
                <w:sz w:val="24"/>
                <w:szCs w:val="24"/>
                <w:vertAlign w:val="subscript"/>
              </w:rPr>
              <w:t>N</w:t>
            </w:r>
            <w:r>
              <w:rPr>
                <w:rFonts w:hint="eastAsia" w:asciiTheme="minorEastAsia" w:hAnsiTheme="minorEastAsia" w:eastAsiaTheme="minorEastAsia" w:cstheme="minorEastAsia"/>
                <w:bCs/>
                <w:color w:val="auto"/>
                <w:sz w:val="24"/>
                <w:szCs w:val="24"/>
              </w:rPr>
              <w:t>≥0.5A，nN≥1600r/min。E级绝缘。</w:t>
            </w:r>
          </w:p>
          <w:p w14:paraId="10690124">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②直流并励电动机：P</w:t>
            </w:r>
            <w:r>
              <w:rPr>
                <w:rFonts w:hint="eastAsia" w:asciiTheme="minorEastAsia" w:hAnsiTheme="minorEastAsia" w:eastAsiaTheme="minorEastAsia" w:cstheme="minorEastAsia"/>
                <w:bCs/>
                <w:color w:val="auto"/>
                <w:sz w:val="24"/>
                <w:szCs w:val="24"/>
                <w:vertAlign w:val="subscript"/>
              </w:rPr>
              <w:t>N</w:t>
            </w:r>
            <w:r>
              <w:rPr>
                <w:rFonts w:hint="eastAsia" w:asciiTheme="minorEastAsia" w:hAnsiTheme="minorEastAsia" w:eastAsiaTheme="minorEastAsia" w:cstheme="minorEastAsia"/>
                <w:bCs/>
                <w:color w:val="auto"/>
                <w:sz w:val="24"/>
                <w:szCs w:val="24"/>
              </w:rPr>
              <w:t>≥185W，U</w:t>
            </w:r>
            <w:r>
              <w:rPr>
                <w:rFonts w:hint="eastAsia" w:asciiTheme="minorEastAsia" w:hAnsiTheme="minorEastAsia" w:eastAsiaTheme="minorEastAsia" w:cstheme="minorEastAsia"/>
                <w:bCs/>
                <w:color w:val="auto"/>
                <w:sz w:val="24"/>
                <w:szCs w:val="24"/>
                <w:vertAlign w:val="subscript"/>
              </w:rPr>
              <w:t>N</w:t>
            </w:r>
            <w:r>
              <w:rPr>
                <w:rFonts w:hint="eastAsia" w:asciiTheme="minorEastAsia" w:hAnsiTheme="minorEastAsia" w:eastAsiaTheme="minorEastAsia" w:cstheme="minorEastAsia"/>
                <w:bCs/>
                <w:color w:val="auto"/>
                <w:sz w:val="24"/>
                <w:szCs w:val="24"/>
              </w:rPr>
              <w:t xml:space="preserve"> =220V，I</w:t>
            </w:r>
            <w:r>
              <w:rPr>
                <w:rFonts w:hint="eastAsia" w:asciiTheme="minorEastAsia" w:hAnsiTheme="minorEastAsia" w:eastAsiaTheme="minorEastAsia" w:cstheme="minorEastAsia"/>
                <w:bCs/>
                <w:color w:val="auto"/>
                <w:sz w:val="24"/>
                <w:szCs w:val="24"/>
                <w:vertAlign w:val="subscript"/>
              </w:rPr>
              <w:t>N</w:t>
            </w:r>
            <w:r>
              <w:rPr>
                <w:rFonts w:hint="eastAsia" w:asciiTheme="minorEastAsia" w:hAnsiTheme="minorEastAsia" w:eastAsiaTheme="minorEastAsia" w:cstheme="minorEastAsia"/>
                <w:bCs/>
                <w:color w:val="auto"/>
                <w:sz w:val="24"/>
                <w:szCs w:val="24"/>
              </w:rPr>
              <w:t>≥1.1A，If</w:t>
            </w:r>
            <w:r>
              <w:rPr>
                <w:rFonts w:hint="eastAsia" w:asciiTheme="minorEastAsia" w:hAnsiTheme="minorEastAsia" w:eastAsiaTheme="minorEastAsia" w:cstheme="minorEastAsia"/>
                <w:bCs/>
                <w:color w:val="auto"/>
                <w:sz w:val="24"/>
                <w:szCs w:val="24"/>
                <w:vertAlign w:val="subscript"/>
              </w:rPr>
              <w:t>N</w:t>
            </w:r>
            <w:r>
              <w:rPr>
                <w:rFonts w:hint="eastAsia" w:asciiTheme="minorEastAsia" w:hAnsiTheme="minorEastAsia" w:eastAsiaTheme="minorEastAsia" w:cstheme="minorEastAsia"/>
                <w:bCs/>
                <w:color w:val="auto"/>
                <w:sz w:val="24"/>
                <w:szCs w:val="24"/>
              </w:rPr>
              <w:t>＜0.16A，nN≥1600r/min。E级绝缘。</w:t>
            </w:r>
          </w:p>
          <w:p w14:paraId="1C502F25">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③三相鼠笼式异步电动机：P</w:t>
            </w:r>
            <w:r>
              <w:rPr>
                <w:rFonts w:hint="eastAsia" w:asciiTheme="minorEastAsia" w:hAnsiTheme="minorEastAsia" w:eastAsiaTheme="minorEastAsia" w:cstheme="minorEastAsia"/>
                <w:bCs/>
                <w:color w:val="auto"/>
                <w:sz w:val="24"/>
                <w:szCs w:val="24"/>
                <w:vertAlign w:val="subscript"/>
              </w:rPr>
              <w:t>N</w:t>
            </w:r>
            <w:r>
              <w:rPr>
                <w:rFonts w:hint="eastAsia" w:asciiTheme="minorEastAsia" w:hAnsiTheme="minorEastAsia" w:eastAsiaTheme="minorEastAsia" w:cstheme="minorEastAsia"/>
                <w:bCs/>
                <w:color w:val="auto"/>
                <w:sz w:val="24"/>
                <w:szCs w:val="24"/>
              </w:rPr>
              <w:t>≥100W，U</w:t>
            </w:r>
            <w:r>
              <w:rPr>
                <w:rFonts w:hint="eastAsia" w:asciiTheme="minorEastAsia" w:hAnsiTheme="minorEastAsia" w:eastAsiaTheme="minorEastAsia" w:cstheme="minorEastAsia"/>
                <w:bCs/>
                <w:color w:val="auto"/>
                <w:sz w:val="24"/>
                <w:szCs w:val="24"/>
                <w:vertAlign w:val="subscript"/>
              </w:rPr>
              <w:t>N</w:t>
            </w:r>
            <w:r>
              <w:rPr>
                <w:rFonts w:hint="eastAsia" w:asciiTheme="minorEastAsia" w:hAnsiTheme="minorEastAsia" w:eastAsiaTheme="minorEastAsia" w:cstheme="minorEastAsia"/>
                <w:bCs/>
                <w:color w:val="auto"/>
                <w:sz w:val="24"/>
                <w:szCs w:val="24"/>
              </w:rPr>
              <w:t xml:space="preserve"> =220V，I</w:t>
            </w:r>
            <w:r>
              <w:rPr>
                <w:rFonts w:hint="eastAsia" w:asciiTheme="minorEastAsia" w:hAnsiTheme="minorEastAsia" w:eastAsiaTheme="minorEastAsia" w:cstheme="minorEastAsia"/>
                <w:bCs/>
                <w:color w:val="auto"/>
                <w:sz w:val="24"/>
                <w:szCs w:val="24"/>
                <w:vertAlign w:val="subscript"/>
              </w:rPr>
              <w:t>N</w:t>
            </w:r>
            <w:r>
              <w:rPr>
                <w:rFonts w:hint="eastAsia" w:asciiTheme="minorEastAsia" w:hAnsiTheme="minorEastAsia" w:eastAsiaTheme="minorEastAsia" w:cstheme="minorEastAsia"/>
                <w:bCs/>
                <w:color w:val="auto"/>
                <w:sz w:val="24"/>
                <w:szCs w:val="24"/>
              </w:rPr>
              <w:t xml:space="preserve">≥0.48A，nN≥1420r/min，Δ接法，E级绝缘。 </w:t>
            </w:r>
          </w:p>
          <w:p w14:paraId="411BB621">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④三相绕线式异步电动机：P</w:t>
            </w:r>
            <w:r>
              <w:rPr>
                <w:rFonts w:hint="eastAsia" w:asciiTheme="minorEastAsia" w:hAnsiTheme="minorEastAsia" w:eastAsiaTheme="minorEastAsia" w:cstheme="minorEastAsia"/>
                <w:bCs/>
                <w:color w:val="auto"/>
                <w:sz w:val="24"/>
                <w:szCs w:val="24"/>
                <w:vertAlign w:val="subscript"/>
              </w:rPr>
              <w:t>N</w:t>
            </w:r>
            <w:r>
              <w:rPr>
                <w:rFonts w:hint="eastAsia" w:asciiTheme="minorEastAsia" w:hAnsiTheme="minorEastAsia" w:eastAsiaTheme="minorEastAsia" w:cstheme="minorEastAsia"/>
                <w:bCs/>
                <w:color w:val="auto"/>
                <w:sz w:val="24"/>
                <w:szCs w:val="24"/>
              </w:rPr>
              <w:t>≥100W，U</w:t>
            </w:r>
            <w:r>
              <w:rPr>
                <w:rFonts w:hint="eastAsia" w:asciiTheme="minorEastAsia" w:hAnsiTheme="minorEastAsia" w:eastAsiaTheme="minorEastAsia" w:cstheme="minorEastAsia"/>
                <w:bCs/>
                <w:color w:val="auto"/>
                <w:sz w:val="24"/>
                <w:szCs w:val="24"/>
                <w:vertAlign w:val="subscript"/>
              </w:rPr>
              <w:t>N</w:t>
            </w:r>
            <w:r>
              <w:rPr>
                <w:rFonts w:hint="eastAsia" w:asciiTheme="minorEastAsia" w:hAnsiTheme="minorEastAsia" w:eastAsiaTheme="minorEastAsia" w:cstheme="minorEastAsia"/>
                <w:bCs/>
                <w:color w:val="auto"/>
                <w:sz w:val="24"/>
                <w:szCs w:val="24"/>
              </w:rPr>
              <w:t xml:space="preserve"> =220V，I</w:t>
            </w:r>
            <w:r>
              <w:rPr>
                <w:rFonts w:hint="eastAsia" w:asciiTheme="minorEastAsia" w:hAnsiTheme="minorEastAsia" w:eastAsiaTheme="minorEastAsia" w:cstheme="minorEastAsia"/>
                <w:bCs/>
                <w:color w:val="auto"/>
                <w:sz w:val="24"/>
                <w:szCs w:val="24"/>
                <w:vertAlign w:val="subscript"/>
              </w:rPr>
              <w:t>N</w:t>
            </w:r>
            <w:r>
              <w:rPr>
                <w:rFonts w:hint="eastAsia" w:asciiTheme="minorEastAsia" w:hAnsiTheme="minorEastAsia" w:eastAsiaTheme="minorEastAsia" w:cstheme="minorEastAsia"/>
                <w:bCs/>
                <w:color w:val="auto"/>
                <w:sz w:val="24"/>
                <w:szCs w:val="24"/>
              </w:rPr>
              <w:t>≥0.55A，nN≥1420r/min。定、转子三相绕组均为Y接法，E级绝缘。</w:t>
            </w:r>
          </w:p>
          <w:p w14:paraId="6B6B3081">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5、实验电路模块</w:t>
            </w:r>
          </w:p>
          <w:p w14:paraId="4983664A">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1）平波电抗器及RC滤波</w:t>
            </w:r>
          </w:p>
          <w:p w14:paraId="5520FD66">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2）转速调节器、电流调节器、逻辑无环流控制器、可变电容</w:t>
            </w:r>
          </w:p>
          <w:p w14:paraId="1C3B06A4">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color w:val="auto"/>
                <w:sz w:val="24"/>
                <w:szCs w:val="24"/>
              </w:rPr>
              <w:t>要求提供交、直流调速闭环控制系统的模拟PID转速调节器和电流调节器、逻辑无环流可逆双闭环调速系统的逻辑控制器以及4组可变电容器。</w:t>
            </w:r>
          </w:p>
          <w:p w14:paraId="00A2AFDE">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3）要求提供±15V/1A直流电源、给定、速度变换器（FBS）和零速封锁器（DZS）等电路，完成交直流调速系统实验。</w:t>
            </w:r>
          </w:p>
          <w:p w14:paraId="29AE0462">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4）晶闸管触发电路和主回路模块</w:t>
            </w:r>
          </w:p>
          <w:p w14:paraId="3AE6B880">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至少由三相触发电路、2组晶闸管（≥6个800V/6A）三相可控整流电路、1组二极管三相不可控整流电路和过流过压保护电路组成，三相触发电路：采用数字集成电路产生晶闸管三相触发脉冲，脉冲移相范围为10°－160°</w:t>
            </w:r>
          </w:p>
          <w:p w14:paraId="05C7EAA2">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5）IGBT、VDMOS、GTR电力电子器件实验模块</w:t>
            </w:r>
          </w:p>
          <w:p w14:paraId="6A9DCB5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Cs/>
                <w:color w:val="auto"/>
                <w:sz w:val="24"/>
                <w:szCs w:val="24"/>
              </w:rPr>
              <w:t>要求该模块</w:t>
            </w:r>
            <w:r>
              <w:rPr>
                <w:rFonts w:hint="eastAsia" w:asciiTheme="minorEastAsia" w:hAnsiTheme="minorEastAsia" w:eastAsiaTheme="minorEastAsia" w:cstheme="minorEastAsia"/>
                <w:color w:val="auto"/>
                <w:sz w:val="24"/>
                <w:szCs w:val="24"/>
              </w:rPr>
              <w:t>含GTR、MOSFEF、IGBT等开关器件、驱动电路和缓冲电路。通过对驱动电路和缓冲电路的参数改变，掌握开关器件的开关特性和保护电路的工作状态，模块的应能观察各种波形。</w:t>
            </w:r>
          </w:p>
          <w:p w14:paraId="79E5B61A">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6）单结晶体管、正弦波和锯齿波触发电路</w:t>
            </w:r>
          </w:p>
          <w:p w14:paraId="14E3067A">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要求提供单结晶体管、正弦波、锯齿波模拟触发电路，与晶闸管配合可完成单相半波整流、单相全波整流等实验。</w:t>
            </w:r>
          </w:p>
          <w:p w14:paraId="4E29C99D">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7）现代电力电子电路和直流脉宽调速实验模块</w:t>
            </w:r>
          </w:p>
          <w:p w14:paraId="1FF16DD8">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该模块要求可完成直流斩波电路、交流调压电路、单相交直流变频电路以及直流脉宽调速等实验项目。直流斩波电路有Buck、Cuk、Boost、Sepic、Buck-Boost、Zeta。</w:t>
            </w:r>
          </w:p>
          <w:p w14:paraId="441F10FE">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直流脉宽调速系统要求由主回路和控制电路组成，主回路采用由MOSFET构成的H桥电路，可通过改变驱动脉冲的占空比实现电机的正反转控制，电流反馈采用霍尔传感器。控制电路由PWM波形发生、逻辑延时（DLD）和驱动电路组成。</w:t>
            </w:r>
          </w:p>
          <w:p w14:paraId="7AE8510B">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8）可编程控制器</w:t>
            </w:r>
          </w:p>
          <w:p w14:paraId="482D0E7D">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CPU（14 DI 24V DC；10 DO；2 AI），PS 24V DC，主机本体含≥14路数字量输入，≥10路数字量输出，≥2路模拟量输入；集成PROFINET接口，集成工艺带有≥6个高速计数器，提供≥4M的集成装载内存和≥10KB的掉电保持内存。要求带扩展PROFIBUS-DP通讯模块。</w:t>
            </w:r>
          </w:p>
          <w:p w14:paraId="3C057F00">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9）无线接入控制器</w:t>
            </w:r>
          </w:p>
          <w:p w14:paraId="059A494A">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①支持802.11be 协议，兼容802.11a/b/g/n/ac/ax协议，支持2.4G和5G同时工作；</w:t>
            </w:r>
          </w:p>
          <w:p w14:paraId="6865F88A">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②整机采用三射频设计，无线空间流≥5条，理论无线传输速率≥3.7Gbps；</w:t>
            </w:r>
          </w:p>
          <w:p w14:paraId="19513BC0">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color w:val="auto"/>
                <w:sz w:val="24"/>
                <w:szCs w:val="24"/>
              </w:rPr>
              <w:t>★</w:t>
            </w:r>
            <w:r>
              <w:rPr>
                <w:rFonts w:hint="eastAsia" w:asciiTheme="minorEastAsia" w:hAnsiTheme="minorEastAsia" w:eastAsiaTheme="minorEastAsia" w:cstheme="minorEastAsia"/>
                <w:color w:val="auto"/>
                <w:sz w:val="24"/>
                <w:szCs w:val="24"/>
              </w:rPr>
              <w:t>③外部安全感知平台可拉取本系统用户信息，当安全探针和态势感知平台识别异常终端并加入黑名单，本系统会同步安全感知平台黑名单；</w:t>
            </w:r>
            <w:r>
              <w:rPr>
                <w:rFonts w:hint="eastAsia" w:asciiTheme="minorEastAsia" w:hAnsiTheme="minorEastAsia" w:eastAsiaTheme="minorEastAsia" w:cstheme="minorEastAsia"/>
                <w:b/>
                <w:bCs/>
                <w:color w:val="auto"/>
                <w:sz w:val="24"/>
                <w:szCs w:val="24"/>
              </w:rPr>
              <w:t>(投标文件中提供第三方机构出具的检测（验）报告)</w:t>
            </w:r>
          </w:p>
          <w:p w14:paraId="72EC9693">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10）工业直流调速器</w:t>
            </w:r>
          </w:p>
          <w:p w14:paraId="2661FF65">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装置要求采用数字化直流调速器，最大输出功率≥6.3kW，额定电枢电流≥15A，额定电枢电压≥420V，设有两个通讯口，一个支持USS协议，完成参数设定和数据记录；一个支持PROFIBUS-DP协议，完成与现场总线连接，可以实现调速拖动控制。</w:t>
            </w:r>
          </w:p>
          <w:p w14:paraId="3BEA5E1D">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①工业直流调速器功能要求</w:t>
            </w:r>
          </w:p>
          <w:p w14:paraId="34E9C445">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•作为可扩缩的驱动系统，直流调速器配备的调速器控制装置。</w:t>
            </w:r>
          </w:p>
          <w:p w14:paraId="322550B2">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•直流调速器将开环控制、闭环控制以及功率单元集成在一台设备上。可使用操作员面板进行调试和就地操作。</w:t>
            </w:r>
          </w:p>
          <w:p w14:paraId="35F005F4">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•CUD的接口以及数字量 I/O 点数可以使用附加模块扩展，如TM15、TM31 和 TM 150 终端模块。</w:t>
            </w:r>
          </w:p>
          <w:p w14:paraId="78A3C246">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直流调速器支持TIA理念。</w:t>
            </w:r>
          </w:p>
          <w:p w14:paraId="3002CA4C">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•配备PROFIBUS，支持扩展PROFINET。</w:t>
            </w:r>
          </w:p>
          <w:p w14:paraId="16A98217">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②工业直流调速器要求包括以下组件：</w:t>
            </w:r>
          </w:p>
          <w:p w14:paraId="24ED9CC2">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带有控制模块 (CUD) 的电子模块和用于插接其它 CUD 的扩展槽（在一个可旋转托架上）</w:t>
            </w:r>
          </w:p>
          <w:p w14:paraId="2F8134CF">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全控型三相桥式电路结构、带可控硅的功率单元（两象限调速器：B6C或四象限调速器：(B6) A (B6) C） 2)</w:t>
            </w:r>
          </w:p>
          <w:p w14:paraId="2A42BEB7">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风扇（最高125A：自通风）</w:t>
            </w:r>
          </w:p>
          <w:p w14:paraId="3B7D23CD">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带有集成续流电路的单象限励磁功率单元（还可以选择无励磁或者带有集成励磁过电压保护功能的二象限励磁，用于高动态励磁电流变化）</w:t>
            </w:r>
          </w:p>
          <w:p w14:paraId="5D18D125">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电子板电源</w:t>
            </w:r>
          </w:p>
          <w:p w14:paraId="5AB24A51">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带标准BOP20操作员面板</w:t>
            </w:r>
          </w:p>
          <w:p w14:paraId="457484E9">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③技术参数要求：</w:t>
            </w:r>
          </w:p>
          <w:p w14:paraId="11CB4EFC">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运行方式：四象限</w:t>
            </w:r>
          </w:p>
          <w:p w14:paraId="28541FC0">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额定输入电压，电枢：3AC 400V (+15%/-20%)</w:t>
            </w:r>
          </w:p>
          <w:p w14:paraId="344D8D1C">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额定输入电流，电枢：15A</w:t>
            </w:r>
          </w:p>
          <w:p w14:paraId="547B85BB">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★④要求投标文件中提供工业直流调速器的系统框图，框图中需包含但不限于直流调速器的闭环控制，包括转速闭环、电枢电流闭环、励磁电流闭环、EMF闭环（弱磁控制）。</w:t>
            </w:r>
          </w:p>
          <w:p w14:paraId="0F74E810">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p>
          <w:p w14:paraId="4B2EC320">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6、控电要求</w:t>
            </w:r>
          </w:p>
          <w:p w14:paraId="6FC33D63">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①多路混合控制装置：支持：220V/16A、40A，380V/25A、45A/AC，5路任意规格的输出（混合控电），电源输出独立控制，可以监测每一路的通断状态，具备应急强制遥控通电/断电、具备漏电保护、过载保护等安全措施，采用CAN总线通讯协议进行数据传输；</w:t>
            </w:r>
          </w:p>
          <w:p w14:paraId="107D696A">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★②装置浪涌（冲击）抗扰度达到≥3级，电快速瞬变脉冲群抗扰度≥3级。</w:t>
            </w:r>
            <w:r>
              <w:rPr>
                <w:rFonts w:hint="eastAsia" w:asciiTheme="minorEastAsia" w:hAnsiTheme="minorEastAsia" w:eastAsiaTheme="minorEastAsia" w:cstheme="minorEastAsia"/>
                <w:b/>
                <w:bCs/>
                <w:color w:val="auto"/>
                <w:sz w:val="24"/>
                <w:szCs w:val="24"/>
              </w:rPr>
              <w:t>（投标时需提供第三方机构依据“GB/T17626.4-2018、GB/T17626.5-2019”标准出具的检测（验）报告扫描件）</w:t>
            </w:r>
          </w:p>
          <w:p w14:paraId="14BA02F7">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7、配套实验室电路防护装置（整个实验室配1套）</w:t>
            </w:r>
          </w:p>
          <w:p w14:paraId="2C74DDE2">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★1)系统硬件应通过机械强度试验（≥250N恒定力试验）；</w:t>
            </w:r>
            <w:r>
              <w:rPr>
                <w:rFonts w:hint="eastAsia" w:asciiTheme="minorEastAsia" w:hAnsiTheme="minorEastAsia" w:eastAsiaTheme="minorEastAsia" w:cstheme="minorEastAsia"/>
                <w:b/>
                <w:bCs/>
                <w:color w:val="auto"/>
                <w:sz w:val="24"/>
                <w:szCs w:val="24"/>
              </w:rPr>
              <w:t>（投标时需提供第三方机构依据“GB 4943.1-2022”标准出具的带有CMA标识的检测（验）报告扫描件）</w:t>
            </w:r>
          </w:p>
          <w:p w14:paraId="41BE8D3A">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2)电控管理：电源抗干扰功能，支持至少三级EMI滤波电路；</w:t>
            </w:r>
          </w:p>
          <w:p w14:paraId="64E0AD8F">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3)设备内置告警扬声器≧1个，具有系统、网络、入网、RS485状态指示灯，告警方式支持本机扬声器告警、手机微信告警、管理平台告警；</w:t>
            </w:r>
          </w:p>
          <w:p w14:paraId="6DF9CE7B">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★4)支持防雷击防浪涌功能，支持监测功能至少包含：电流、电压、功率、接地通断、断电、漏电监测、雷击浪涌次数、防雷器状态、防雷器温度、防雷器寿命、环境温湿度、水浸、烟雾等监测；</w:t>
            </w:r>
            <w:r>
              <w:rPr>
                <w:rFonts w:hint="eastAsia" w:asciiTheme="minorEastAsia" w:hAnsiTheme="minorEastAsia" w:eastAsiaTheme="minorEastAsia" w:cstheme="minorEastAsia"/>
                <w:b/>
                <w:bCs/>
                <w:color w:val="auto"/>
                <w:sz w:val="24"/>
                <w:szCs w:val="24"/>
              </w:rPr>
              <w:t>（投标文件中提供第三方机构出具的检测（验）报告扫描件）</w:t>
            </w:r>
          </w:p>
          <w:p w14:paraId="1B2ADD5F">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8、配套软件资源库</w:t>
            </w:r>
          </w:p>
          <w:p w14:paraId="60AF1E39">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（1）电机实验开发教学系统软件</w:t>
            </w:r>
          </w:p>
          <w:p w14:paraId="657481C7">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要求该系统软件可模拟仿真大功率电机（3kW以上）、变压器的运行特性实验，可完成单相变压器特性实验；三相变压器特性实验；三相变压器连接组实验；直流发电机实验；直流电动机实验；三相鼠笼异步电动机工作特性实验；三相异步电动机变频调速实验；三相同步发电机运行特性实验等实验项目，满足电机学的虚拟实验教学要求。</w:t>
            </w:r>
          </w:p>
          <w:p w14:paraId="74A389D9">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2）要求该软件系统基于Matlab软件开发。采购人通过填写电机运行的相关参数，运行仿真计算即可自动生成各种电机特性曲线，供学生进行研究和设计，既满足基本教学同时也可作为研究创新平台使用。</w:t>
            </w:r>
          </w:p>
          <w:p w14:paraId="0C6697A3">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3）供货时提供系统实验说明书印刷版（包含软件界面、实验操作界面、基于MATLAB设计的仿真模型图，以及仿真软件的每个实验操作步骤等）；</w:t>
            </w:r>
          </w:p>
          <w:p w14:paraId="391884DC">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w:t>
            </w:r>
            <w:bookmarkStart w:id="86" w:name="OLE_LINK8"/>
            <w:r>
              <w:rPr>
                <w:rFonts w:hint="eastAsia" w:asciiTheme="minorEastAsia" w:hAnsiTheme="minorEastAsia" w:eastAsiaTheme="minorEastAsia" w:cstheme="minorEastAsia"/>
                <w:color w:val="auto"/>
                <w:sz w:val="24"/>
                <w:szCs w:val="24"/>
              </w:rPr>
              <w:t>）</w:t>
            </w:r>
            <w:bookmarkStart w:id="87" w:name="OLE_LINK7"/>
            <w:r>
              <w:rPr>
                <w:rFonts w:hint="eastAsia" w:asciiTheme="minorEastAsia" w:hAnsiTheme="minorEastAsia" w:eastAsiaTheme="minorEastAsia" w:cstheme="minorEastAsia"/>
                <w:b/>
                <w:bCs/>
                <w:color w:val="auto"/>
                <w:sz w:val="24"/>
                <w:szCs w:val="24"/>
              </w:rPr>
              <w:t>投标文件中提供第三方检测机构出具的电机实验开发教学系统软件检验报告或评测报告扫描件，报告中检测内容至少需具备直流电机特性仿真、异步电机特性仿真、异步电机变频调速、同步电机特性仿真功能。</w:t>
            </w:r>
            <w:r>
              <w:rPr>
                <w:rFonts w:hint="eastAsia" w:asciiTheme="minorEastAsia" w:hAnsiTheme="minorEastAsia" w:eastAsiaTheme="minorEastAsia" w:cstheme="minorEastAsia"/>
                <w:color w:val="auto"/>
                <w:sz w:val="24"/>
                <w:szCs w:val="24"/>
              </w:rPr>
              <w:t>。</w:t>
            </w:r>
            <w:bookmarkEnd w:id="86"/>
            <w:bookmarkEnd w:id="87"/>
          </w:p>
          <w:p w14:paraId="17845361">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（2）电力电子及电气传动实验3D虚拟仿真软件</w:t>
            </w:r>
          </w:p>
          <w:p w14:paraId="1FFAE5F9">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要求电力电子及电气传动实验3D教学虚拟仿真软件是以Unity3D为基础软件,作为仿真工具开发而成。按照真实实验台进行1：1建模，含有仪表及电源各种功能模块，完全满足电力电子技术相关课程的虚拟仿真实验。</w:t>
            </w:r>
          </w:p>
          <w:p w14:paraId="27C74C87">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1)软件技术要求：</w:t>
            </w:r>
          </w:p>
          <w:p w14:paraId="01A6273E">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隐匿式菜单或工具条：软件界面上看不到菜单、功能图标，全部用于显示场景和虚拟设备，菜单或工具条可隐藏及显示。</w:t>
            </w:r>
          </w:p>
          <w:p w14:paraId="241C2810">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整屏展示：使用完整的屏幕显示场景。</w:t>
            </w:r>
          </w:p>
          <w:p w14:paraId="569C888B">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虚拟电力电子及电气传动教学设备：外形尺寸与真实的电力电子及电气传动教学实验台完全相同。表面可见结构、零部件与真实设备一致。</w:t>
            </w:r>
          </w:p>
          <w:p w14:paraId="452E7C8D">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虚拟场景：软件启动后，即进入虚拟实验室环境，其中包括:单、三相交流电源、三相变压器、触发电路、晶闸管主回路、直流调速控制单元等实验挂箱，营造出真实的实验氛围。</w:t>
            </w:r>
          </w:p>
          <w:p w14:paraId="5790D3AB">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即学即练：可选择不同的实训项目，一步步演示电力电子实验的真实操作实验步骤，并同步伴随语音操作说明。</w:t>
            </w:r>
          </w:p>
          <w:p w14:paraId="05136539">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加密方式：提供文本解密。</w:t>
            </w:r>
          </w:p>
          <w:p w14:paraId="6B260411">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系统配置：可以对软件一些参数进行配置，例如可通过系统配置功能开关语音提示。</w:t>
            </w:r>
          </w:p>
          <w:p w14:paraId="77E1EF25">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2</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b/>
                <w:color w:val="auto"/>
                <w:sz w:val="24"/>
                <w:szCs w:val="24"/>
              </w:rPr>
              <w:t>虚拟实验要求：</w:t>
            </w:r>
          </w:p>
          <w:p w14:paraId="76C38668">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要求通过软件的教学模式可以完成以下实验项目的学习，并且学生可通过软件的练习模式，通过鼠标完成各个实验项目的实验接线的连接。要求提供不少于以下7个仿真实验项目：</w:t>
            </w:r>
          </w:p>
          <w:p w14:paraId="52BD2D4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①单相桥式全控整流电路实验</w:t>
            </w:r>
          </w:p>
          <w:p w14:paraId="7F190A2B">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②三相桥式全控整流及有源逆变电路实验</w:t>
            </w:r>
          </w:p>
          <w:p w14:paraId="44C4D5CB">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③单相交流调压电路实验</w:t>
            </w:r>
          </w:p>
          <w:p w14:paraId="7CB51C42">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④直流斩波电路的性能研究</w:t>
            </w:r>
          </w:p>
          <w:p w14:paraId="05C55B11">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⑤全桥DC/DC变换电路实验</w:t>
            </w:r>
          </w:p>
          <w:p w14:paraId="7C73126C">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⑥直流双闭环脉宽调速实验</w:t>
            </w:r>
          </w:p>
          <w:p w14:paraId="209E7D6A">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⑦双闭环晶闸管不可逆直流调速系统</w:t>
            </w:r>
          </w:p>
          <w:p w14:paraId="18864F00">
            <w:pPr>
              <w:keepNext w:val="0"/>
              <w:keepLines w:val="0"/>
              <w:pageBreakBefore w:val="0"/>
              <w:kinsoku/>
              <w:wordWrap/>
              <w:overflowPunct/>
              <w:topLinePunct w:val="0"/>
              <w:bidi w:val="0"/>
              <w:adjustRightInd w:val="0"/>
              <w:snapToGrid w:val="0"/>
              <w:spacing w:line="300" w:lineRule="auto"/>
              <w:outlineLvl w:val="0"/>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★3）投标文件中提供第三方检测机构出具的电力电子及电气传动3D虚拟仿真软件的检验（测）报告扫描件，检验（测）报告中至少需体现具备3D画面调节功能、智能接线功能、实验分析仿真功能、实验考核功能。</w:t>
            </w:r>
          </w:p>
          <w:p w14:paraId="2658C825">
            <w:pPr>
              <w:keepNext w:val="0"/>
              <w:keepLines w:val="0"/>
              <w:pageBreakBefore w:val="0"/>
              <w:kinsoku/>
              <w:wordWrap/>
              <w:overflowPunct/>
              <w:topLinePunct w:val="0"/>
              <w:bidi w:val="0"/>
              <w:adjustRightInd w:val="0"/>
              <w:snapToGrid w:val="0"/>
              <w:spacing w:line="300" w:lineRule="auto"/>
              <w:contextualSpacing/>
              <w:jc w:val="left"/>
              <w:outlineLvl w:val="2"/>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三、可开展的实验</w:t>
            </w:r>
          </w:p>
          <w:p w14:paraId="2E9066B2">
            <w:pPr>
              <w:keepNext w:val="0"/>
              <w:keepLines w:val="0"/>
              <w:pageBreakBefore w:val="0"/>
              <w:kinsoku/>
              <w:wordWrap/>
              <w:overflowPunct/>
              <w:topLinePunct w:val="0"/>
              <w:bidi w:val="0"/>
              <w:adjustRightInd w:val="0"/>
              <w:snapToGrid w:val="0"/>
              <w:spacing w:line="300" w:lineRule="auto"/>
              <w:contextualSpacing/>
              <w:jc w:val="left"/>
              <w:outlineLvl w:val="2"/>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1、直流调速系统实验/实训（模拟）</w:t>
            </w:r>
          </w:p>
          <w:p w14:paraId="4628045E">
            <w:pPr>
              <w:keepNext w:val="0"/>
              <w:keepLines w:val="0"/>
              <w:pageBreakBefore w:val="0"/>
              <w:kinsoku/>
              <w:wordWrap/>
              <w:overflowPunct/>
              <w:topLinePunct w:val="0"/>
              <w:bidi w:val="0"/>
              <w:adjustRightInd w:val="0"/>
              <w:snapToGrid w:val="0"/>
              <w:spacing w:line="300" w:lineRule="auto"/>
              <w:contextualSpacing/>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1）晶闸管直流调速系统参数和环节特性的测定</w:t>
            </w:r>
          </w:p>
          <w:p w14:paraId="67F2B041">
            <w:pPr>
              <w:keepNext w:val="0"/>
              <w:keepLines w:val="0"/>
              <w:pageBreakBefore w:val="0"/>
              <w:kinsoku/>
              <w:wordWrap/>
              <w:overflowPunct/>
              <w:topLinePunct w:val="0"/>
              <w:bidi w:val="0"/>
              <w:adjustRightInd w:val="0"/>
              <w:snapToGrid w:val="0"/>
              <w:spacing w:line="300" w:lineRule="auto"/>
              <w:contextualSpacing/>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2）不可逆单闭环直流调速系统静特性的研究</w:t>
            </w:r>
          </w:p>
          <w:p w14:paraId="57B38565">
            <w:pPr>
              <w:keepNext w:val="0"/>
              <w:keepLines w:val="0"/>
              <w:pageBreakBefore w:val="0"/>
              <w:kinsoku/>
              <w:wordWrap/>
              <w:overflowPunct/>
              <w:topLinePunct w:val="0"/>
              <w:bidi w:val="0"/>
              <w:adjustRightInd w:val="0"/>
              <w:snapToGrid w:val="0"/>
              <w:spacing w:line="300" w:lineRule="auto"/>
              <w:contextualSpacing/>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3）双闭环晶闸管不可逆直流调速系统</w:t>
            </w:r>
          </w:p>
          <w:p w14:paraId="5B9EF617">
            <w:pPr>
              <w:keepNext w:val="0"/>
              <w:keepLines w:val="0"/>
              <w:pageBreakBefore w:val="0"/>
              <w:kinsoku/>
              <w:wordWrap/>
              <w:overflowPunct/>
              <w:topLinePunct w:val="0"/>
              <w:bidi w:val="0"/>
              <w:adjustRightInd w:val="0"/>
              <w:snapToGrid w:val="0"/>
              <w:spacing w:line="300" w:lineRule="auto"/>
              <w:contextualSpacing/>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4）逻辑无环流可逆直流调速系统</w:t>
            </w:r>
          </w:p>
          <w:p w14:paraId="4BE14623">
            <w:pPr>
              <w:keepNext w:val="0"/>
              <w:keepLines w:val="0"/>
              <w:pageBreakBefore w:val="0"/>
              <w:kinsoku/>
              <w:wordWrap/>
              <w:overflowPunct/>
              <w:topLinePunct w:val="0"/>
              <w:bidi w:val="0"/>
              <w:adjustRightInd w:val="0"/>
              <w:snapToGrid w:val="0"/>
              <w:spacing w:line="300" w:lineRule="auto"/>
              <w:contextualSpacing/>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5）双闭环控制的直流脉宽调速系统(PWM)</w:t>
            </w:r>
          </w:p>
          <w:p w14:paraId="33A2DFD2">
            <w:pPr>
              <w:keepNext w:val="0"/>
              <w:keepLines w:val="0"/>
              <w:pageBreakBefore w:val="0"/>
              <w:kinsoku/>
              <w:wordWrap/>
              <w:overflowPunct/>
              <w:topLinePunct w:val="0"/>
              <w:bidi w:val="0"/>
              <w:adjustRightInd w:val="0"/>
              <w:snapToGrid w:val="0"/>
              <w:spacing w:line="300" w:lineRule="auto"/>
              <w:contextualSpacing/>
              <w:jc w:val="left"/>
              <w:outlineLvl w:val="2"/>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2、交流调速系统实验/实训（模拟）</w:t>
            </w:r>
          </w:p>
          <w:p w14:paraId="0EC3A6CC">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1）双闭环三相异步电机调压调速系统</w:t>
            </w:r>
          </w:p>
          <w:p w14:paraId="1D2A6C6B">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2）双闭环三相异步电机串级调速系统</w:t>
            </w:r>
          </w:p>
          <w:p w14:paraId="1303EA97">
            <w:pPr>
              <w:keepNext w:val="0"/>
              <w:keepLines w:val="0"/>
              <w:pageBreakBefore w:val="0"/>
              <w:kinsoku/>
              <w:wordWrap/>
              <w:overflowPunct/>
              <w:topLinePunct w:val="0"/>
              <w:bidi w:val="0"/>
              <w:adjustRightInd w:val="0"/>
              <w:snapToGrid w:val="0"/>
              <w:spacing w:line="300" w:lineRule="auto"/>
              <w:contextualSpacing/>
              <w:jc w:val="left"/>
              <w:outlineLvl w:val="2"/>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3、工业数字化直流调速系统实验/实训（数字）</w:t>
            </w:r>
          </w:p>
          <w:p w14:paraId="2A6D0D92">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1）全数字直流调速装置单机控制实验</w:t>
            </w:r>
          </w:p>
          <w:p w14:paraId="4C944229">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2）基于USS通讯方式的直流调速装置单机控制实验</w:t>
            </w:r>
          </w:p>
          <w:p w14:paraId="022144AD">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3）直流调速装置的开/闭环控制实验</w:t>
            </w:r>
          </w:p>
          <w:p w14:paraId="2CB72543">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4）基于PROFIBUS-DP通讯方式的PLC、直流调速器的调速系统实验</w:t>
            </w:r>
          </w:p>
          <w:p w14:paraId="1E5FBEB4">
            <w:pPr>
              <w:keepNext w:val="0"/>
              <w:keepLines w:val="0"/>
              <w:pageBreakBefore w:val="0"/>
              <w:kinsoku/>
              <w:wordWrap/>
              <w:overflowPunct/>
              <w:topLinePunct w:val="0"/>
              <w:bidi w:val="0"/>
              <w:adjustRightInd w:val="0"/>
              <w:snapToGrid w:val="0"/>
              <w:spacing w:line="300" w:lineRule="auto"/>
              <w:contextualSpacing/>
              <w:jc w:val="left"/>
              <w:outlineLvl w:val="2"/>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4、电力电子技术实验（晶闸管部分）</w:t>
            </w:r>
          </w:p>
          <w:p w14:paraId="1F8BC14F">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 单结晶体管触发电路</w:t>
            </w:r>
          </w:p>
          <w:p w14:paraId="1F751F07">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 正弦波同步移相触发电路实验</w:t>
            </w:r>
          </w:p>
          <w:p w14:paraId="45ED9E5D">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 锯齿波同步移相触发电路实验</w:t>
            </w:r>
          </w:p>
          <w:p w14:paraId="165005EE">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 单相半波可控整流电路实验</w:t>
            </w:r>
          </w:p>
          <w:p w14:paraId="5085EE2C">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 单相桥式半控整流电路实验</w:t>
            </w:r>
            <w:r>
              <w:rPr>
                <w:rFonts w:hint="eastAsia" w:asciiTheme="minorEastAsia" w:hAnsiTheme="minorEastAsia" w:eastAsiaTheme="minorEastAsia" w:cstheme="minorEastAsia"/>
                <w:color w:val="auto"/>
                <w:sz w:val="24"/>
                <w:szCs w:val="24"/>
              </w:rPr>
              <w:tab/>
            </w:r>
          </w:p>
          <w:p w14:paraId="23D89986">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 单相桥式全控整流电路实验</w:t>
            </w:r>
            <w:r>
              <w:rPr>
                <w:rFonts w:hint="eastAsia" w:asciiTheme="minorEastAsia" w:hAnsiTheme="minorEastAsia" w:eastAsiaTheme="minorEastAsia" w:cstheme="minorEastAsia"/>
                <w:color w:val="auto"/>
                <w:sz w:val="24"/>
                <w:szCs w:val="24"/>
              </w:rPr>
              <w:tab/>
            </w:r>
          </w:p>
          <w:p w14:paraId="460C5223">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 单相桥式有源逆变电路实验</w:t>
            </w:r>
            <w:r>
              <w:rPr>
                <w:rFonts w:hint="eastAsia" w:asciiTheme="minorEastAsia" w:hAnsiTheme="minorEastAsia" w:eastAsiaTheme="minorEastAsia" w:cstheme="minorEastAsia"/>
                <w:color w:val="auto"/>
                <w:sz w:val="24"/>
                <w:szCs w:val="24"/>
              </w:rPr>
              <w:tab/>
            </w:r>
          </w:p>
          <w:p w14:paraId="1FB2AC76">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 三相半波可控整流电路的研究</w:t>
            </w:r>
          </w:p>
          <w:p w14:paraId="2F445C6F">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 三相桥式半控整流电路实验</w:t>
            </w:r>
            <w:r>
              <w:rPr>
                <w:rFonts w:hint="eastAsia" w:asciiTheme="minorEastAsia" w:hAnsiTheme="minorEastAsia" w:eastAsiaTheme="minorEastAsia" w:cstheme="minorEastAsia"/>
                <w:color w:val="auto"/>
                <w:sz w:val="24"/>
                <w:szCs w:val="24"/>
              </w:rPr>
              <w:tab/>
            </w:r>
          </w:p>
          <w:p w14:paraId="1BF995F7">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 三相桥式全控整流及有源逆变电路实验</w:t>
            </w:r>
          </w:p>
          <w:p w14:paraId="29B67168">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 单相交流调压电路实验</w:t>
            </w:r>
          </w:p>
          <w:p w14:paraId="7654602F">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 三相交流调压电路实验</w:t>
            </w:r>
          </w:p>
          <w:p w14:paraId="24F93A40">
            <w:pPr>
              <w:keepNext w:val="0"/>
              <w:keepLines w:val="0"/>
              <w:pageBreakBefore w:val="0"/>
              <w:kinsoku/>
              <w:wordWrap/>
              <w:overflowPunct/>
              <w:topLinePunct w:val="0"/>
              <w:bidi w:val="0"/>
              <w:adjustRightInd w:val="0"/>
              <w:snapToGrid w:val="0"/>
              <w:spacing w:line="300" w:lineRule="auto"/>
              <w:contextualSpacing/>
              <w:jc w:val="left"/>
              <w:outlineLvl w:val="2"/>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5、全控型电力电子器件实验</w:t>
            </w:r>
          </w:p>
          <w:p w14:paraId="61C0ABB5">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1）电力晶体管（GTR）驱动电路的研究</w:t>
            </w:r>
          </w:p>
          <w:p w14:paraId="36D780CB">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2）电力晶体管（GTR）的特性研究</w:t>
            </w:r>
          </w:p>
          <w:p w14:paraId="6E453C48">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3）功率场效应晶体管(MOSFET)的驱动电路研究</w:t>
            </w:r>
          </w:p>
          <w:p w14:paraId="7AA261B8">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4）功率场效应晶体管(MOSFET)的主要参数测量</w:t>
            </w:r>
          </w:p>
          <w:p w14:paraId="3CBEA3E2">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5）绝缘栅双极型晶体管(IGBT)特性及其驱动电路的研究</w:t>
            </w:r>
          </w:p>
          <w:p w14:paraId="248EF955">
            <w:pPr>
              <w:keepNext w:val="0"/>
              <w:keepLines w:val="0"/>
              <w:pageBreakBefore w:val="0"/>
              <w:kinsoku/>
              <w:wordWrap/>
              <w:overflowPunct/>
              <w:topLinePunct w:val="0"/>
              <w:bidi w:val="0"/>
              <w:adjustRightInd w:val="0"/>
              <w:snapToGrid w:val="0"/>
              <w:spacing w:line="300" w:lineRule="auto"/>
              <w:contextualSpacing/>
              <w:jc w:val="left"/>
              <w:outlineLvl w:val="2"/>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6、</w:t>
            </w:r>
            <w:r>
              <w:rPr>
                <w:rFonts w:hint="eastAsia" w:asciiTheme="minorEastAsia" w:hAnsiTheme="minorEastAsia" w:eastAsiaTheme="minorEastAsia" w:cstheme="minorEastAsia"/>
                <w:b/>
                <w:bCs/>
                <w:color w:val="auto"/>
                <w:sz w:val="24"/>
                <w:szCs w:val="24"/>
              </w:rPr>
              <w:t xml:space="preserve">全控型器件典型线路实验 </w:t>
            </w:r>
          </w:p>
          <w:p w14:paraId="210651C9">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1）直流斩波电路（Buck、Cuk、Boost、Sepic、Buck-Boost、Zeta等六种电路）的性能研究；</w:t>
            </w:r>
          </w:p>
          <w:p w14:paraId="353CC2BC">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2）全桥DC/DC变换电路实验；</w:t>
            </w:r>
          </w:p>
          <w:p w14:paraId="72EF9A81">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3）单相交直交变频电路的性能研究；</w:t>
            </w:r>
          </w:p>
          <w:p w14:paraId="1435C10A">
            <w:pPr>
              <w:keepNext w:val="0"/>
              <w:keepLines w:val="0"/>
              <w:pageBreakBefore w:val="0"/>
              <w:kinsoku/>
              <w:wordWrap/>
              <w:overflowPunct/>
              <w:topLinePunct w:val="0"/>
              <w:bidi w:val="0"/>
              <w:adjustRightInd w:val="0"/>
              <w:snapToGrid w:val="0"/>
              <w:spacing w:line="300" w:lineRule="auto"/>
              <w:contextualSpacing/>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4）采用自关断器件的斩控式单相交流调压电路实验。</w:t>
            </w:r>
          </w:p>
        </w:tc>
        <w:tc>
          <w:tcPr>
            <w:tcW w:w="345" w:type="pct"/>
            <w:noWrap w:val="0"/>
            <w:vAlign w:val="center"/>
          </w:tcPr>
          <w:p w14:paraId="57AF50D9">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台</w:t>
            </w:r>
          </w:p>
        </w:tc>
        <w:tc>
          <w:tcPr>
            <w:tcW w:w="372" w:type="pct"/>
            <w:noWrap/>
            <w:vAlign w:val="center"/>
          </w:tcPr>
          <w:p w14:paraId="516E4782">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w:t>
            </w:r>
          </w:p>
        </w:tc>
        <w:tc>
          <w:tcPr>
            <w:tcW w:w="430" w:type="pct"/>
            <w:shd w:val="clear" w:color="auto" w:fill="auto"/>
            <w:noWrap/>
            <w:vAlign w:val="center"/>
          </w:tcPr>
          <w:p w14:paraId="0E593BA8">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工业</w:t>
            </w:r>
          </w:p>
        </w:tc>
      </w:tr>
      <w:tr w14:paraId="2730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2" w:type="pct"/>
            <w:noWrap/>
            <w:vAlign w:val="center"/>
          </w:tcPr>
          <w:p w14:paraId="3B3302E1">
            <w:pPr>
              <w:keepNext w:val="0"/>
              <w:keepLines w:val="0"/>
              <w:pageBreakBefore w:val="0"/>
              <w:widowControl/>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4</w:t>
            </w:r>
          </w:p>
        </w:tc>
        <w:tc>
          <w:tcPr>
            <w:tcW w:w="825" w:type="pct"/>
            <w:noWrap/>
            <w:vAlign w:val="center"/>
          </w:tcPr>
          <w:p w14:paraId="66809656">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高性能示波器</w:t>
            </w:r>
          </w:p>
        </w:tc>
        <w:tc>
          <w:tcPr>
            <w:tcW w:w="2643" w:type="pct"/>
            <w:noWrap w:val="0"/>
            <w:vAlign w:val="top"/>
          </w:tcPr>
          <w:p w14:paraId="5EFBF4AD">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★1）带宽≥1GHz，4个模拟通道，1个外触发通道，16个数字通道；</w:t>
            </w:r>
          </w:p>
          <w:p w14:paraId="682C3C49">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★2）最高实时采样率不低于4GSa/s，不低于500 Mpts 存储深度，100 pV/div垂直灵敏度；</w:t>
            </w:r>
          </w:p>
          <w:p w14:paraId="429B9BA6">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3）提供快速录制模式，不低于1,000,000 wfms/s 波形捕获率，波形录制帧数不低于500000帧；</w:t>
            </w:r>
          </w:p>
          <w:p w14:paraId="734A8E4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4）垂直分辨率不低于12 bit，高分辨率模式下达到16 bit；</w:t>
            </w:r>
          </w:p>
          <w:p w14:paraId="44D13011">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5）内置数字电压表和硬件模板测试，支持任意波形、电源分析、直方图、数字信号分析、伯德图和协议解码功能；</w:t>
            </w:r>
          </w:p>
          <w:p w14:paraId="4436E4E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6）支持波形搜索和导航功能，可快速定位信号异常；</w:t>
            </w:r>
          </w:p>
          <w:p w14:paraId="1BFFDDD2">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7）支持不低于256级灰度的数字实时荧辉功能</w:t>
            </w:r>
          </w:p>
          <w:p w14:paraId="0635636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8）≥10.1英寸1280*800高清触控显示屏</w:t>
            </w:r>
          </w:p>
          <w:p w14:paraId="3BB3FA90">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9）配备: USB、LAN、 HDMI</w:t>
            </w:r>
          </w:p>
        </w:tc>
        <w:tc>
          <w:tcPr>
            <w:tcW w:w="345" w:type="pct"/>
            <w:noWrap w:val="0"/>
            <w:vAlign w:val="center"/>
          </w:tcPr>
          <w:p w14:paraId="1BC49872">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台</w:t>
            </w:r>
          </w:p>
        </w:tc>
        <w:tc>
          <w:tcPr>
            <w:tcW w:w="372" w:type="pct"/>
            <w:noWrap/>
            <w:vAlign w:val="center"/>
          </w:tcPr>
          <w:p w14:paraId="5AC3B0A9">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sz w:val="24"/>
                <w:szCs w:val="24"/>
              </w:rPr>
              <w:t>1</w:t>
            </w:r>
          </w:p>
        </w:tc>
        <w:tc>
          <w:tcPr>
            <w:tcW w:w="430" w:type="pct"/>
            <w:noWrap/>
            <w:vAlign w:val="center"/>
          </w:tcPr>
          <w:p w14:paraId="2CB93CAE">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工业</w:t>
            </w:r>
          </w:p>
        </w:tc>
      </w:tr>
      <w:tr w14:paraId="56E96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2" w:type="pct"/>
            <w:noWrap/>
            <w:vAlign w:val="center"/>
          </w:tcPr>
          <w:p w14:paraId="38FC9373">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5</w:t>
            </w:r>
          </w:p>
        </w:tc>
        <w:tc>
          <w:tcPr>
            <w:tcW w:w="825" w:type="pct"/>
            <w:noWrap/>
            <w:vAlign w:val="center"/>
          </w:tcPr>
          <w:p w14:paraId="6FFE1F95">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kern w:val="0"/>
                <w:sz w:val="24"/>
                <w:szCs w:val="24"/>
                <w:lang w:bidi="ar"/>
              </w:rPr>
              <w:t>电源和负载</w:t>
            </w:r>
          </w:p>
        </w:tc>
        <w:tc>
          <w:tcPr>
            <w:tcW w:w="2643" w:type="pct"/>
            <w:noWrap w:val="0"/>
            <w:vAlign w:val="top"/>
          </w:tcPr>
          <w:p w14:paraId="18F70312">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p>
          <w:p w14:paraId="352BE33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1、交直流电源要求</w:t>
            </w:r>
          </w:p>
          <w:p w14:paraId="2C8CEE6C">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1）一体式交直流电源需具有可同时输出直流电压、三相交流电压的功能，可给实验模块提供所需电源；</w:t>
            </w:r>
          </w:p>
          <w:p w14:paraId="46F97555">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2）需具有软硬件安全保护机制，同时开放用户权限，用户可以通过密码进入高级设置界面来设置输出的电压、电流的阈值，电源一旦达到用户设定的输出阈值，会立即停止输出；</w:t>
            </w:r>
          </w:p>
          <w:p w14:paraId="45CCE9DC">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3）直流电压不低于0~60V，电流≥0~8A，精度不低于0.1%，输出阈值可设置；</w:t>
            </w:r>
          </w:p>
          <w:p w14:paraId="0EF49F31">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4）三相交流电压不低于0~36V，电流≥0~5A，频率不低于25Hz~400Hz，精度≤0.1%，输出阈值可设置。</w:t>
            </w:r>
          </w:p>
          <w:p w14:paraId="234E3BC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2、RL负载要求</w:t>
            </w:r>
          </w:p>
          <w:p w14:paraId="2208790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1）RL负载支持电阻和电感自由组合使用</w:t>
            </w:r>
          </w:p>
          <w:p w14:paraId="69A672F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2）电阻R1~R3：阻值15Ω，功率不低于200W</w:t>
            </w:r>
          </w:p>
          <w:p w14:paraId="3126EB2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3）电感L1~L3：感值80mH，电流不低于2Arms</w:t>
            </w:r>
          </w:p>
          <w:p w14:paraId="3FE7DCE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3、装置的显示和技术要求</w:t>
            </w:r>
          </w:p>
          <w:p w14:paraId="78CEFF9C">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主机自带不低于10英寸屏，内置配套实验内容，每个实验可显示电路拓扑原理与实际硬件电路，拓扑中的元器件标识与实际硬件电路需一一对应。并配有相关实验教学视频。</w:t>
            </w:r>
          </w:p>
          <w:p w14:paraId="0011597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4、设备配置的测量仪表要求</w:t>
            </w:r>
          </w:p>
          <w:p w14:paraId="4C09EAAC">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★1）模拟带宽：≥100MHz；采样率：≥1GSa/s；</w:t>
            </w:r>
          </w:p>
          <w:p w14:paraId="442A76B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★2）输入通道≥4；最大存储深度≥28Mpts；最大波形刷新率≥50,000wfms/s；FFT点数100Kpts；</w:t>
            </w:r>
          </w:p>
          <w:p w14:paraId="289BDE3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3）显示器≥7.0 英寸 TFT 触摸屏；</w:t>
            </w:r>
          </w:p>
          <w:p w14:paraId="5C5FA91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5、实验模块要求</w:t>
            </w:r>
          </w:p>
          <w:p w14:paraId="6A990DDD">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1）实验模块输入端须具有矩阵式智能防反接功能，如果电源输入极性接反，模块会自动保护。</w:t>
            </w:r>
          </w:p>
          <w:p w14:paraId="628AC819">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2）实验模块自身须具备软、硬件保护功能，防止实验过程中电压、电流信号超过安全阈值；</w:t>
            </w:r>
          </w:p>
          <w:p w14:paraId="37509709">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3）实验模块具备统一的标准控制信号及测量信号接口DeltaPE，每个模块须具有电压、电流信号调理电路与检测电路，转换误差≤0.1%。</w:t>
            </w:r>
          </w:p>
          <w:p w14:paraId="57DF8DB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4）实验模块的亚克力封装需采用圆弧设计，以防造成划伤。</w:t>
            </w:r>
          </w:p>
          <w:p w14:paraId="125B47B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5）实验模块需提供铜柱形式的示波器测量信号端子。</w:t>
            </w:r>
          </w:p>
          <w:p w14:paraId="3D8CD8F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6）实验模块需提供单相整流、单相逆变、三相整流、三相逆变、BUCK、BOOST、BOOST-BUCK、CUK等电路拓扑。</w:t>
            </w:r>
          </w:p>
          <w:p w14:paraId="24B087BF">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7）实验模块功率部分均带有铝散热器散热。</w:t>
            </w:r>
          </w:p>
        </w:tc>
        <w:tc>
          <w:tcPr>
            <w:tcW w:w="345" w:type="pct"/>
            <w:noWrap w:val="0"/>
            <w:vAlign w:val="center"/>
          </w:tcPr>
          <w:p w14:paraId="35199F58">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套</w:t>
            </w:r>
          </w:p>
        </w:tc>
        <w:tc>
          <w:tcPr>
            <w:tcW w:w="372" w:type="pct"/>
            <w:noWrap/>
            <w:vAlign w:val="center"/>
          </w:tcPr>
          <w:p w14:paraId="06F383B5">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10</w:t>
            </w:r>
          </w:p>
        </w:tc>
        <w:tc>
          <w:tcPr>
            <w:tcW w:w="430" w:type="pct"/>
            <w:noWrap/>
            <w:vAlign w:val="center"/>
          </w:tcPr>
          <w:p w14:paraId="486636FC">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lang w:val="en-US" w:eastAsia="zh-CN"/>
              </w:rPr>
              <w:t>工业</w:t>
            </w:r>
          </w:p>
        </w:tc>
      </w:tr>
      <w:tr w14:paraId="5BEE9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000" w:type="pct"/>
            <w:gridSpan w:val="6"/>
            <w:noWrap/>
            <w:vAlign w:val="center"/>
          </w:tcPr>
          <w:p w14:paraId="516BDC78">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b/>
                <w:bCs/>
                <w:color w:val="auto"/>
                <w:sz w:val="24"/>
                <w:szCs w:val="24"/>
                <w:shd w:val="clear" w:color="auto" w:fill="FFFFFF"/>
              </w:rPr>
              <w:t>三、虚实一体化电机与拖动智能综合实验系统</w:t>
            </w:r>
          </w:p>
        </w:tc>
      </w:tr>
      <w:tr w14:paraId="5012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2" w:type="pct"/>
            <w:shd w:val="clear" w:color="auto" w:fill="auto"/>
            <w:noWrap/>
            <w:vAlign w:val="center"/>
          </w:tcPr>
          <w:p w14:paraId="633CA998">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rPr>
              <w:t>序号</w:t>
            </w:r>
          </w:p>
        </w:tc>
        <w:tc>
          <w:tcPr>
            <w:tcW w:w="825" w:type="pct"/>
            <w:shd w:val="clear" w:color="auto" w:fill="auto"/>
            <w:noWrap/>
            <w:vAlign w:val="center"/>
          </w:tcPr>
          <w:p w14:paraId="180C0BF9">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lang w:val="en-US" w:eastAsia="zh-CN"/>
              </w:rPr>
              <w:t>货物</w:t>
            </w:r>
            <w:r>
              <w:rPr>
                <w:rFonts w:hint="eastAsia" w:asciiTheme="minorEastAsia" w:hAnsiTheme="minorEastAsia" w:eastAsiaTheme="minorEastAsia" w:cstheme="minorEastAsia"/>
                <w:b/>
                <w:bCs/>
                <w:color w:val="auto"/>
                <w:kern w:val="0"/>
                <w:sz w:val="24"/>
                <w:szCs w:val="24"/>
              </w:rPr>
              <w:t>名称</w:t>
            </w:r>
          </w:p>
        </w:tc>
        <w:tc>
          <w:tcPr>
            <w:tcW w:w="2643" w:type="pct"/>
            <w:shd w:val="clear" w:color="auto" w:fill="auto"/>
            <w:noWrap w:val="0"/>
            <w:vAlign w:val="center"/>
          </w:tcPr>
          <w:p w14:paraId="3EF4453C">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rPr>
              <w:t>主要技术参数</w:t>
            </w:r>
          </w:p>
        </w:tc>
        <w:tc>
          <w:tcPr>
            <w:tcW w:w="345" w:type="pct"/>
            <w:shd w:val="clear" w:color="auto" w:fill="auto"/>
            <w:noWrap w:val="0"/>
            <w:vAlign w:val="center"/>
          </w:tcPr>
          <w:p w14:paraId="5ECF3D1C">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rPr>
              <w:t>单位</w:t>
            </w:r>
          </w:p>
        </w:tc>
        <w:tc>
          <w:tcPr>
            <w:tcW w:w="372" w:type="pct"/>
            <w:shd w:val="clear" w:color="auto" w:fill="auto"/>
            <w:noWrap/>
            <w:vAlign w:val="center"/>
          </w:tcPr>
          <w:p w14:paraId="5783B047">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rPr>
              <w:t>数量</w:t>
            </w:r>
          </w:p>
        </w:tc>
        <w:tc>
          <w:tcPr>
            <w:tcW w:w="430" w:type="pct"/>
            <w:shd w:val="clear" w:color="auto" w:fill="auto"/>
            <w:noWrap/>
            <w:vAlign w:val="center"/>
          </w:tcPr>
          <w:p w14:paraId="77BA8FDB">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lang w:val="en-US" w:eastAsia="zh-CN"/>
              </w:rPr>
              <w:t>所属行业</w:t>
            </w:r>
          </w:p>
        </w:tc>
      </w:tr>
      <w:tr w14:paraId="514FA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2" w:type="pct"/>
            <w:noWrap/>
            <w:vAlign w:val="center"/>
          </w:tcPr>
          <w:p w14:paraId="030C2239">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6</w:t>
            </w:r>
          </w:p>
        </w:tc>
        <w:tc>
          <w:tcPr>
            <w:tcW w:w="825" w:type="pct"/>
            <w:noWrap/>
            <w:vAlign w:val="center"/>
          </w:tcPr>
          <w:p w14:paraId="4D7800CB">
            <w:pPr>
              <w:keepNext w:val="0"/>
              <w:keepLines w:val="0"/>
              <w:pageBreakBefore w:val="0"/>
              <w:widowControl/>
              <w:kinsoku/>
              <w:wordWrap/>
              <w:overflowPunct/>
              <w:topLinePunct w:val="0"/>
              <w:bidi w:val="0"/>
              <w:adjustRightInd w:val="0"/>
              <w:snapToGrid w:val="0"/>
              <w:spacing w:line="300" w:lineRule="auto"/>
              <w:jc w:val="center"/>
              <w:textAlignment w:val="center"/>
              <w:rPr>
                <w:rFonts w:hint="eastAsia" w:asciiTheme="minorEastAsia" w:hAnsiTheme="minorEastAsia" w:eastAsiaTheme="minorEastAsia" w:cstheme="minorEastAsia"/>
                <w:color w:val="auto"/>
                <w:kern w:val="0"/>
                <w:sz w:val="24"/>
                <w:szCs w:val="24"/>
                <w:lang w:bidi="ar"/>
              </w:rPr>
            </w:pPr>
            <w:r>
              <w:rPr>
                <w:rFonts w:hint="eastAsia" w:asciiTheme="minorEastAsia" w:hAnsiTheme="minorEastAsia" w:eastAsiaTheme="minorEastAsia" w:cstheme="minorEastAsia"/>
                <w:color w:val="auto"/>
                <w:sz w:val="24"/>
                <w:szCs w:val="24"/>
              </w:rPr>
              <w:t>电机与拖动控制模组</w:t>
            </w:r>
          </w:p>
        </w:tc>
        <w:tc>
          <w:tcPr>
            <w:tcW w:w="2643" w:type="pct"/>
            <w:noWrap w:val="0"/>
            <w:vAlign w:val="top"/>
          </w:tcPr>
          <w:p w14:paraId="12DC33CA">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1、电机实验平台要求</w:t>
            </w:r>
          </w:p>
          <w:p w14:paraId="476BED92">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1）直流有刷电机实验平台：额定电压不低于24V，额定功率不低于250W，额定电流不低于10.4A，额定转速不低于3000rpm/min，加载形式：对拖加载；增量式编码器(2000线)；</w:t>
            </w:r>
          </w:p>
          <w:p w14:paraId="3FA32951">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2）直流无刷电机实验平台：供电电压不低于24V，额定功率不低于200W，额定电流不低于8.3A，额定转速不低于3000rpm/min，加载形式：对拖加载；霍尔传感器；</w:t>
            </w:r>
          </w:p>
          <w:p w14:paraId="1AC883AF">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3）永磁同步电机实验平台：供电电压不低于24V，反电动势4V/1000rpm；额定电流不低于12A；额定转速不低于3000rpm；额定功率不低于200w；极对数：4对极，加载形式：对拖加载；增量式编码器(2500线)；</w:t>
            </w:r>
          </w:p>
          <w:p w14:paraId="03DFC0CB">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4）三相异步电机实验平台：额定电压不低于24V，最高电压：36V；额定电流不低于4.8A；额定转速不低于1480rpm；额定功率不低于200W；加载形式：对拖加载；极对数：2对极；码器增量式编码器(2500线)</w:t>
            </w:r>
          </w:p>
          <w:p w14:paraId="526C38D3">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2、配套实验桌要求</w:t>
            </w:r>
          </w:p>
          <w:p w14:paraId="40275C0E">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桌子尺寸（单位：CM）：≥160×60×160，内部空间可放置电机对拖实验平台及电力电子实验模块。</w:t>
            </w:r>
          </w:p>
          <w:p w14:paraId="4112F297">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3、电机实验配套的接线盒、自耦调压器、单相切换开关、三相切换开关等零部件和总成。</w:t>
            </w:r>
          </w:p>
          <w:p w14:paraId="019854F4">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bookmarkStart w:id="88" w:name="OLE_LINK15"/>
            <w:r>
              <w:rPr>
                <w:rFonts w:hint="eastAsia" w:asciiTheme="minorEastAsia" w:hAnsiTheme="minorEastAsia" w:eastAsiaTheme="minorEastAsia" w:cstheme="minorEastAsia"/>
                <w:color w:val="auto"/>
                <w:kern w:val="2"/>
                <w:sz w:val="24"/>
                <w:szCs w:val="24"/>
              </w:rPr>
              <w:t>4、实验内容要求</w:t>
            </w:r>
          </w:p>
          <w:p w14:paraId="6D024775">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电机及电力拖动实验</w:t>
            </w:r>
          </w:p>
          <w:p w14:paraId="2E8AD496">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（1）直流电机认知实验（启停、调压调速、电阻调速、改变转向等）</w:t>
            </w:r>
          </w:p>
          <w:p w14:paraId="225ACBA0">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（2）直流电机开环调速实验</w:t>
            </w:r>
          </w:p>
          <w:p w14:paraId="289DC905">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（3）直流电机速度闭环调速实验</w:t>
            </w:r>
          </w:p>
          <w:p w14:paraId="788CAD7A">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 xml:space="preserve">（4）无刷直流电机开环调速实验 </w:t>
            </w:r>
          </w:p>
          <w:p w14:paraId="52F495E2">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（5）无刷直流电机速度闭环实验</w:t>
            </w:r>
          </w:p>
          <w:p w14:paraId="1600500F">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（6）同步电机启动与运行认知实验（变频、拖动、变频调速）</w:t>
            </w:r>
          </w:p>
          <w:p w14:paraId="5318AA0B">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（7）永磁同步电机SVPWM矢量控制双闭环实验</w:t>
            </w:r>
          </w:p>
          <w:p w14:paraId="06D8E801">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（8）永磁同步电机直接转矩控制实验</w:t>
            </w:r>
          </w:p>
          <w:p w14:paraId="65A253E1">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（9）异步电机启动认知实验（星三角、自耦变压器、直接启动，改变转向）</w:t>
            </w:r>
          </w:p>
          <w:p w14:paraId="5A5AE79E">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（10）异步电机调速实验（调压调速、变频调速、改变转向等）</w:t>
            </w:r>
          </w:p>
          <w:p w14:paraId="4A876AE3">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（11）异步电动机的制动运行实验</w:t>
            </w:r>
          </w:p>
          <w:p w14:paraId="6539ADB3">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（12）三相异步电机开环V/F启动实验</w:t>
            </w:r>
          </w:p>
          <w:p w14:paraId="3952D728">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（13）三相异步电机双闭环调速实验</w:t>
            </w:r>
          </w:p>
          <w:p w14:paraId="61C9EC28">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电力电子基础实验</w:t>
            </w:r>
          </w:p>
          <w:p w14:paraId="5F263EBC">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（14）实时数字控制系统认知实验</w:t>
            </w:r>
          </w:p>
          <w:p w14:paraId="427DE05D">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（15）单相半波可控整流电路实验（晶闸管型）</w:t>
            </w:r>
          </w:p>
          <w:p w14:paraId="6F9FC95D">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 xml:space="preserve">（16）三相桥式全控整流电路实验（晶闸管型） </w:t>
            </w:r>
          </w:p>
          <w:p w14:paraId="68D5A043">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（17）单相交流调压电路实验</w:t>
            </w:r>
          </w:p>
          <w:p w14:paraId="374DC08F">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（18）降压式(BUCK)斩波电路实验</w:t>
            </w:r>
          </w:p>
          <w:p w14:paraId="69C7FF5B">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（19）升压式(BOOST)斩波电路实验</w:t>
            </w:r>
          </w:p>
          <w:p w14:paraId="2B14F78F">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 xml:space="preserve">（20）升降压式(BUCK-BOOST)斩波电路实验 </w:t>
            </w:r>
          </w:p>
          <w:p w14:paraId="6F24BFCB">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（21）电压源型三相桥式逆变器实验（MOSFET型）</w:t>
            </w:r>
          </w:p>
          <w:bookmarkEnd w:id="88"/>
          <w:p w14:paraId="053EAEB9">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5、配套实验指导书</w:t>
            </w:r>
          </w:p>
          <w:p w14:paraId="22AA6B2B">
            <w:pPr>
              <w:pStyle w:val="10"/>
              <w:keepNext w:val="0"/>
              <w:keepLines w:val="0"/>
              <w:pageBreakBefore w:val="0"/>
              <w:kinsoku/>
              <w:wordWrap/>
              <w:overflowPunct/>
              <w:topLinePunct w:val="0"/>
              <w:bidi w:val="0"/>
              <w:snapToGrid w:val="0"/>
              <w:spacing w:line="300" w:lineRule="auto"/>
              <w:rPr>
                <w:rFonts w:hint="eastAsia" w:asciiTheme="minorEastAsia" w:hAnsiTheme="minorEastAsia" w:eastAsiaTheme="minorEastAsia" w:cstheme="minorEastAsia"/>
                <w:color w:val="auto"/>
                <w:kern w:val="2"/>
                <w:sz w:val="24"/>
                <w:szCs w:val="24"/>
              </w:rPr>
            </w:pPr>
            <w:r>
              <w:rPr>
                <w:rFonts w:hint="eastAsia" w:asciiTheme="minorEastAsia" w:hAnsiTheme="minorEastAsia" w:eastAsiaTheme="minorEastAsia" w:cstheme="minorEastAsia"/>
                <w:color w:val="auto"/>
                <w:kern w:val="2"/>
                <w:sz w:val="24"/>
                <w:szCs w:val="24"/>
              </w:rPr>
              <w:t>实验指导书包含软件界面、实验操作界面、基于MATLAB设计的仿真模型图，以及仿真软件的每个实验操作步骤等。</w:t>
            </w:r>
          </w:p>
          <w:p w14:paraId="7BF14308">
            <w:pPr>
              <w:keepNext w:val="0"/>
              <w:keepLines w:val="0"/>
              <w:pageBreakBefore w:val="0"/>
              <w:kinsoku/>
              <w:wordWrap/>
              <w:overflowPunct/>
              <w:topLinePunct w:val="0"/>
              <w:bidi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6、供货方承担所有虚实一体化电机与拖动智能综合实验系统的供货、现场安装、整机调试标定、人员实操培训一体化工作，按交钥匙标准完成项目交付，</w:t>
            </w:r>
            <w:r>
              <w:rPr>
                <w:rFonts w:hint="eastAsia" w:asciiTheme="minorEastAsia" w:hAnsiTheme="minorEastAsia" w:eastAsiaTheme="minorEastAsia" w:cstheme="minorEastAsia"/>
                <w:b/>
                <w:bCs/>
                <w:color w:val="auto"/>
                <w:sz w:val="24"/>
                <w:szCs w:val="24"/>
              </w:rPr>
              <w:t>提供3年免费质保服务</w:t>
            </w:r>
            <w:r>
              <w:rPr>
                <w:rFonts w:hint="eastAsia" w:asciiTheme="minorEastAsia" w:hAnsiTheme="minorEastAsia" w:eastAsiaTheme="minorEastAsia" w:cstheme="minorEastAsia"/>
                <w:color w:val="auto"/>
                <w:sz w:val="24"/>
                <w:szCs w:val="24"/>
              </w:rPr>
              <w:t>，质保期内非人为故障相关维修、配件、技术支持均免费。</w:t>
            </w:r>
          </w:p>
        </w:tc>
        <w:tc>
          <w:tcPr>
            <w:tcW w:w="345" w:type="pct"/>
            <w:noWrap w:val="0"/>
            <w:vAlign w:val="center"/>
          </w:tcPr>
          <w:p w14:paraId="095AF5A4">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套</w:t>
            </w:r>
          </w:p>
        </w:tc>
        <w:tc>
          <w:tcPr>
            <w:tcW w:w="372" w:type="pct"/>
            <w:noWrap/>
            <w:vAlign w:val="center"/>
          </w:tcPr>
          <w:p w14:paraId="7CFA3989">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10</w:t>
            </w:r>
          </w:p>
        </w:tc>
        <w:tc>
          <w:tcPr>
            <w:tcW w:w="430" w:type="pct"/>
            <w:noWrap/>
            <w:vAlign w:val="center"/>
          </w:tcPr>
          <w:p w14:paraId="6B233FF6">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工业</w:t>
            </w:r>
          </w:p>
        </w:tc>
      </w:tr>
      <w:tr w14:paraId="68D62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2" w:type="pct"/>
            <w:noWrap/>
            <w:vAlign w:val="center"/>
          </w:tcPr>
          <w:p w14:paraId="00CF5AFF">
            <w:pPr>
              <w:pStyle w:val="4"/>
              <w:keepNext w:val="0"/>
              <w:keepLines w:val="0"/>
              <w:pageBreakBefore w:val="0"/>
              <w:kinsoku/>
              <w:wordWrap/>
              <w:overflowPunct/>
              <w:topLinePunct w:val="0"/>
              <w:bidi w:val="0"/>
              <w:adjustRightInd w:val="0"/>
              <w:snapToGrid w:val="0"/>
              <w:spacing w:before="0" w:beforeAutospacing="0" w:after="0" w:afterAutospacing="0" w:line="300" w:lineRule="auto"/>
              <w:rPr>
                <w:rFonts w:hint="eastAsia" w:asciiTheme="minorEastAsia" w:hAnsiTheme="minorEastAsia" w:eastAsiaTheme="minorEastAsia" w:cstheme="minorEastAsia"/>
                <w:bCs/>
                <w:color w:val="auto"/>
                <w:sz w:val="24"/>
                <w:szCs w:val="24"/>
              </w:rPr>
            </w:pPr>
            <w:bookmarkStart w:id="89" w:name="_Hlk234828608"/>
            <w:bookmarkStart w:id="90" w:name="OLE_LINK3" w:colFirst="2" w:colLast="66"/>
            <w:bookmarkStart w:id="91" w:name="OLE_LINK2" w:colFirst="2" w:colLast="66"/>
            <w:r>
              <w:rPr>
                <w:rFonts w:hint="eastAsia" w:asciiTheme="minorEastAsia" w:hAnsiTheme="minorEastAsia" w:eastAsiaTheme="minorEastAsia" w:cstheme="minorEastAsia"/>
                <w:bCs/>
                <w:color w:val="auto"/>
                <w:sz w:val="24"/>
                <w:szCs w:val="24"/>
              </w:rPr>
              <w:t>7</w:t>
            </w:r>
          </w:p>
        </w:tc>
        <w:tc>
          <w:tcPr>
            <w:tcW w:w="825" w:type="pct"/>
            <w:noWrap/>
            <w:vAlign w:val="center"/>
          </w:tcPr>
          <w:p w14:paraId="544F1ED3">
            <w:pPr>
              <w:pStyle w:val="4"/>
              <w:keepNext w:val="0"/>
              <w:keepLines w:val="0"/>
              <w:pageBreakBefore w:val="0"/>
              <w:kinsoku/>
              <w:wordWrap/>
              <w:overflowPunct/>
              <w:topLinePunct w:val="0"/>
              <w:bidi w:val="0"/>
              <w:adjustRightInd w:val="0"/>
              <w:snapToGrid w:val="0"/>
              <w:spacing w:before="0" w:beforeAutospacing="0" w:after="0" w:afterAutospacing="0" w:line="300" w:lineRule="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实时数字运动控制装置</w:t>
            </w:r>
          </w:p>
        </w:tc>
        <w:tc>
          <w:tcPr>
            <w:tcW w:w="2643" w:type="pct"/>
            <w:noWrap w:val="0"/>
            <w:vAlign w:val="top"/>
          </w:tcPr>
          <w:p w14:paraId="58CBBFB1">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1、智能综合实验系统实时控制器要求</w:t>
            </w:r>
            <w:r>
              <w:rPr>
                <w:rFonts w:hint="eastAsia" w:asciiTheme="minorEastAsia" w:hAnsiTheme="minorEastAsia" w:eastAsiaTheme="minorEastAsia" w:cstheme="minorEastAsia"/>
                <w:color w:val="auto"/>
                <w:sz w:val="24"/>
                <w:szCs w:val="24"/>
              </w:rPr>
              <w:t>：</w:t>
            </w:r>
          </w:p>
          <w:p w14:paraId="6D364893">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bCs/>
                <w:color w:val="auto"/>
                <w:sz w:val="24"/>
                <w:szCs w:val="24"/>
              </w:rPr>
            </w:pPr>
            <w:bookmarkStart w:id="92" w:name="OLE_LINK9"/>
            <w:r>
              <w:rPr>
                <w:rFonts w:hint="eastAsia" w:asciiTheme="minorEastAsia" w:hAnsiTheme="minorEastAsia" w:eastAsiaTheme="minorEastAsia" w:cstheme="minorEastAsia"/>
                <w:color w:val="auto"/>
                <w:sz w:val="24"/>
                <w:szCs w:val="24"/>
              </w:rPr>
              <w:t>★1）实时数字控制器须采用双核C28x + CLA，支持32位单/双精度浮点，运行主频不低于800MHz电机控制、数字电源设计专用的主控制器，片内集成不少于24 通道PWM、4路以上≥16 位 ADC、CAN/SPI/I2C/USB/以太网，Flash 1MB，RAM ≥204KB</w:t>
            </w:r>
            <w:bookmarkEnd w:id="92"/>
            <w:r>
              <w:rPr>
                <w:rFonts w:hint="eastAsia" w:asciiTheme="minorEastAsia" w:hAnsiTheme="minorEastAsia" w:eastAsiaTheme="minorEastAsia" w:cstheme="minorEastAsia"/>
                <w:b/>
                <w:color w:val="auto"/>
                <w:sz w:val="24"/>
                <w:szCs w:val="24"/>
              </w:rPr>
              <w:t>（在投标文件中提供产品技术白皮书或者相关彩页）。</w:t>
            </w:r>
          </w:p>
          <w:p w14:paraId="4358C436">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2）支持Simulink模型设计，具有代码自动生成功能，生成的源代码可以查看与编辑；</w:t>
            </w:r>
          </w:p>
          <w:p w14:paraId="0EACBC29">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3）具备不少于16路PWM，频率设置范围1000Hz~65kHz；</w:t>
            </w:r>
          </w:p>
          <w:p w14:paraId="78C634FC">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4）具备不少于16路ADC，16位精度，采样范围-10V~10V，采样率不低于200KSPS；</w:t>
            </w:r>
          </w:p>
          <w:p w14:paraId="2A66803A">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★5）具备4路DAC，12位精度，建立时间不大于8us，输出范围不小于-10V~10V</w:t>
            </w:r>
            <w:r>
              <w:rPr>
                <w:rFonts w:hint="eastAsia" w:asciiTheme="minorEastAsia" w:hAnsiTheme="minorEastAsia" w:eastAsiaTheme="minorEastAsia" w:cstheme="minorEastAsia"/>
                <w:b/>
                <w:color w:val="auto"/>
                <w:sz w:val="24"/>
                <w:szCs w:val="24"/>
              </w:rPr>
              <w:t>（在投标文件中提供实物接口图片）</w:t>
            </w:r>
            <w:r>
              <w:rPr>
                <w:rFonts w:hint="eastAsia" w:asciiTheme="minorEastAsia" w:hAnsiTheme="minorEastAsia" w:eastAsiaTheme="minorEastAsia" w:cstheme="minorEastAsia"/>
                <w:bCs/>
                <w:color w:val="auto"/>
                <w:sz w:val="24"/>
                <w:szCs w:val="24"/>
              </w:rPr>
              <w:t>；</w:t>
            </w:r>
          </w:p>
          <w:p w14:paraId="5AD03ECF">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color w:val="auto"/>
                <w:sz w:val="24"/>
                <w:szCs w:val="24"/>
              </w:rPr>
              <w:t>6）</w:t>
            </w:r>
            <w:r>
              <w:rPr>
                <w:rFonts w:hint="eastAsia" w:asciiTheme="minorEastAsia" w:hAnsiTheme="minorEastAsia" w:eastAsiaTheme="minorEastAsia" w:cstheme="minorEastAsia"/>
                <w:bCs/>
                <w:color w:val="auto"/>
                <w:sz w:val="24"/>
                <w:szCs w:val="24"/>
              </w:rPr>
              <w:t>需至少具备1个增量式正交编码器接口；需具备不少于3路脉冲捕获；需具备1个隔离型RS485接口，1个隔离型CAN2.0B接口，一个10M/100M以太网口，支持Modbus RTU和Modbus TCP通信协议；</w:t>
            </w:r>
          </w:p>
          <w:p w14:paraId="19DA1B13">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7）具有代码运行时间测量功能；</w:t>
            </w:r>
          </w:p>
          <w:p w14:paraId="117D0261">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8）具有代码运行超负荷重启提醒功能；</w:t>
            </w:r>
          </w:p>
          <w:p w14:paraId="0320A3EF">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9）具有通过以太网与Simulink实时通信功能，可将数据发送回Simulink，在Simulink中参与在线实时仿真。 </w:t>
            </w:r>
          </w:p>
          <w:p w14:paraId="3D81D41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b/>
                <w:bCs/>
                <w:color w:val="auto"/>
                <w:sz w:val="24"/>
                <w:szCs w:val="24"/>
              </w:rPr>
              <w:t>2、创新创业与学科竞赛专用高性能RCP</w:t>
            </w:r>
            <w:r>
              <w:rPr>
                <w:rFonts w:hint="eastAsia" w:asciiTheme="minorEastAsia" w:hAnsiTheme="minorEastAsia" w:eastAsiaTheme="minorEastAsia" w:cstheme="minorEastAsia"/>
                <w:color w:val="auto"/>
                <w:sz w:val="24"/>
                <w:szCs w:val="24"/>
              </w:rPr>
              <w:t>（整个实验室配1套）</w:t>
            </w:r>
          </w:p>
          <w:p w14:paraId="2DCB355A">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硬件要求：</w:t>
            </w:r>
          </w:p>
          <w:p w14:paraId="7AA6EB20">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color w:val="auto"/>
                <w:sz w:val="24"/>
                <w:szCs w:val="24"/>
              </w:rPr>
              <w:t>★1）采用DSP+ARM+FPGA形成的多核异构的架构，主处理器为双核ARM Cortex-A15，主频不低于1.5GHz，双核DSP C66x ，主频不低于750MHz；内存空间不小于8GB</w:t>
            </w:r>
            <w:r>
              <w:rPr>
                <w:rFonts w:hint="eastAsia" w:asciiTheme="minorEastAsia" w:hAnsiTheme="minorEastAsia" w:eastAsiaTheme="minorEastAsia" w:cstheme="minorEastAsia"/>
                <w:b/>
                <w:color w:val="auto"/>
                <w:sz w:val="24"/>
                <w:szCs w:val="24"/>
              </w:rPr>
              <w:t>（在投标文件中提供产品技术白皮书或者相关彩页）</w:t>
            </w:r>
            <w:r>
              <w:rPr>
                <w:rFonts w:hint="eastAsia" w:asciiTheme="minorEastAsia" w:hAnsiTheme="minorEastAsia" w:eastAsiaTheme="minorEastAsia" w:cstheme="minorEastAsia"/>
                <w:bCs/>
                <w:color w:val="auto"/>
                <w:sz w:val="24"/>
                <w:szCs w:val="24"/>
              </w:rPr>
              <w:t>；</w:t>
            </w:r>
          </w:p>
          <w:p w14:paraId="25CE963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2）要求控制器支持通过Simulink模型设计控制程序，并自动生成C语言代码，生成的源代码可以通过配套的上位机软件查看与编辑；</w:t>
            </w:r>
          </w:p>
          <w:p w14:paraId="26550011">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3）PWM≥30路，隔离输出，频率设置范围500Hz-500kHz，其中6路与DO复用；</w:t>
            </w:r>
          </w:p>
          <w:p w14:paraId="1A900B31">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4）支持五段式可编程PWM模式，无需FPGA编程即可实现自定义载波形式的PWM；</w:t>
            </w:r>
          </w:p>
          <w:p w14:paraId="074245DD">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6）ADC≥24路，16bit精度单端输入，采样范围不小于-10V~10V，采样频率不低于1MSPS；</w:t>
            </w:r>
          </w:p>
          <w:p w14:paraId="2F8FE553">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7）DAC≥16路，不低于16bit精度，建立时间不大于15us，输出范围不小于-10V~10V；</w:t>
            </w:r>
          </w:p>
          <w:p w14:paraId="60976DB1">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8）支持不少于6通道DO，隔离输出；不少于6通道DI，隔离输入；</w:t>
            </w:r>
          </w:p>
          <w:p w14:paraId="3355BBB5">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9）支持不少于4个正交编码器接口，2个旋变接口，5路脉冲捕获，4个绝对式编码器；</w:t>
            </w:r>
          </w:p>
          <w:p w14:paraId="1F34EADA">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10）不少于2个RS232接口，2个RS485接口，2个CAN2.0B接口，2个千兆以太网口，支持Modbus RTU和Modbus TCP通信协议；</w:t>
            </w:r>
          </w:p>
          <w:p w14:paraId="65CC1216">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11）不少于2个10G高速光纤通道，满足分布式控制和控制器级联需要；</w:t>
            </w:r>
          </w:p>
          <w:p w14:paraId="2A5DEBE9">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12）具有通过以太网与Simulink实时通信功能，可将数据发送回Simulink，在Simulink中参与在线实时仿真。</w:t>
            </w:r>
          </w:p>
          <w:p w14:paraId="02642D7A">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软件要求：</w:t>
            </w:r>
          </w:p>
          <w:p w14:paraId="319B3D29">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1）软件部分由上位机软件，Simulink工具包、底层驱动软件（含电力电子专用算法库）组成，软件均可免费升级。</w:t>
            </w:r>
          </w:p>
          <w:p w14:paraId="50D56EE5">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2）上位机软件用于工程管理、代码编辑、工程编译、下载、调试、在线调参、实时波形、手动录波、自动触发录波、自定义用户画面等功能，所有数据均可导出保存；</w:t>
            </w:r>
          </w:p>
          <w:p w14:paraId="58726E66">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3）任意程序中的变量和数据均可以数据和波形输出，最高支持不少于256个变量在线实时观测与调试；</w:t>
            </w:r>
          </w:p>
          <w:p w14:paraId="378565DF">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4）不少于16条波形在线实时显示，传输速率不低于2K点/秒，数据可保存并导出；</w:t>
            </w:r>
          </w:p>
          <w:p w14:paraId="3A2D7A8B">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5）支持不少于8条波形录波功能，可选择手动录波或者自动触发录波等功能，数据量为80K点/秒，数据可保存并导出；</w:t>
            </w:r>
          </w:p>
          <w:p w14:paraId="27BC6B1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6）具有用户画面自定义功能，支持文本、按钮、时间、图片、标签、波形、趋势、线段等图元控件，通过拖曳方式可将程序里任意变量或者波形与图元控件相关联。</w:t>
            </w:r>
          </w:p>
          <w:p w14:paraId="4B93B77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7）支持多画面切换、GIF动画、启动外部程序等功能。</w:t>
            </w:r>
          </w:p>
          <w:p w14:paraId="6EB07B0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★8）具有代码运行时间测量功能</w:t>
            </w:r>
            <w:r>
              <w:rPr>
                <w:rFonts w:hint="eastAsia" w:asciiTheme="minorEastAsia" w:hAnsiTheme="minorEastAsia" w:eastAsiaTheme="minorEastAsia" w:cstheme="minorEastAsia"/>
                <w:b/>
                <w:color w:val="auto"/>
                <w:sz w:val="24"/>
                <w:szCs w:val="24"/>
              </w:rPr>
              <w:t>（在投标文件中，提供该功能在系统中的应用截图）</w:t>
            </w:r>
            <w:r>
              <w:rPr>
                <w:rFonts w:hint="eastAsia" w:asciiTheme="minorEastAsia" w:hAnsiTheme="minorEastAsia" w:eastAsiaTheme="minorEastAsia" w:cstheme="minorEastAsia"/>
                <w:color w:val="auto"/>
                <w:sz w:val="24"/>
                <w:szCs w:val="24"/>
              </w:rPr>
              <w:t>；</w:t>
            </w:r>
          </w:p>
          <w:p w14:paraId="1495FA9A">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★9）具有代码运行超负荷重启提醒功能</w:t>
            </w:r>
            <w:bookmarkStart w:id="93" w:name="OLE_LINK17"/>
            <w:r>
              <w:rPr>
                <w:rFonts w:hint="eastAsia" w:asciiTheme="minorEastAsia" w:hAnsiTheme="minorEastAsia" w:eastAsiaTheme="minorEastAsia" w:cstheme="minorEastAsia"/>
                <w:b/>
                <w:color w:val="auto"/>
                <w:sz w:val="24"/>
                <w:szCs w:val="24"/>
              </w:rPr>
              <w:t>（在投标文件中，提供该功能在系统中的应用截图）</w:t>
            </w:r>
            <w:bookmarkEnd w:id="93"/>
            <w:r>
              <w:rPr>
                <w:rFonts w:hint="eastAsia" w:asciiTheme="minorEastAsia" w:hAnsiTheme="minorEastAsia" w:eastAsiaTheme="minorEastAsia" w:cstheme="minorEastAsia"/>
                <w:color w:val="auto"/>
                <w:sz w:val="24"/>
                <w:szCs w:val="24"/>
              </w:rPr>
              <w:t>；</w:t>
            </w:r>
          </w:p>
          <w:p w14:paraId="3EC54529">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color w:val="auto"/>
                <w:sz w:val="24"/>
                <w:szCs w:val="24"/>
              </w:rPr>
              <w:t>★10）</w:t>
            </w:r>
            <w:r>
              <w:rPr>
                <w:rFonts w:hint="eastAsia" w:asciiTheme="minorEastAsia" w:hAnsiTheme="minorEastAsia" w:eastAsiaTheme="minorEastAsia" w:cstheme="minorEastAsia"/>
                <w:bCs/>
                <w:color w:val="auto"/>
                <w:sz w:val="24"/>
                <w:szCs w:val="24"/>
              </w:rPr>
              <w:t>具有通过以太网与仿真软件实时通信功能，可将数据发送回Simulink，在Simulink中参与在线实时仿真</w:t>
            </w:r>
            <w:r>
              <w:rPr>
                <w:rFonts w:hint="eastAsia" w:asciiTheme="minorEastAsia" w:hAnsiTheme="minorEastAsia" w:eastAsiaTheme="minorEastAsia" w:cstheme="minorEastAsia"/>
                <w:b/>
                <w:color w:val="auto"/>
                <w:sz w:val="24"/>
                <w:szCs w:val="24"/>
              </w:rPr>
              <w:t>（在投标文件中，提供该功能在系统中的应用截图）</w:t>
            </w:r>
            <w:r>
              <w:rPr>
                <w:rFonts w:hint="eastAsia" w:asciiTheme="minorEastAsia" w:hAnsiTheme="minorEastAsia" w:eastAsiaTheme="minorEastAsia" w:cstheme="minorEastAsia"/>
                <w:bCs/>
                <w:color w:val="auto"/>
                <w:sz w:val="24"/>
                <w:szCs w:val="24"/>
              </w:rPr>
              <w:t>。</w:t>
            </w:r>
          </w:p>
          <w:p w14:paraId="2F8D3AC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bCs/>
                <w:color w:val="auto"/>
                <w:sz w:val="24"/>
                <w:szCs w:val="24"/>
              </w:rPr>
              <w:t>11）需提供支持仿真软件开发的底层硬件驱动库文件（包括AD、DA、PWM、RS485、CAN、编码器等硬件接口）、电力电子常用算法库文件（包括SVPWM、锁相环、PI调节器、坐标变换等），库文件均可免费升级</w:t>
            </w:r>
            <w:r>
              <w:rPr>
                <w:rFonts w:hint="eastAsia" w:asciiTheme="minorEastAsia" w:hAnsiTheme="minorEastAsia" w:eastAsiaTheme="minorEastAsia" w:cstheme="minorEastAsia"/>
                <w:b/>
                <w:color w:val="auto"/>
                <w:sz w:val="24"/>
                <w:szCs w:val="24"/>
              </w:rPr>
              <w:t>（在投标文件中，提供清晰的库文件截图、源代码截图或说明）</w:t>
            </w:r>
            <w:r>
              <w:rPr>
                <w:rFonts w:hint="eastAsia" w:asciiTheme="minorEastAsia" w:hAnsiTheme="minorEastAsia" w:eastAsiaTheme="minorEastAsia" w:cstheme="minorEastAsia"/>
                <w:color w:val="auto"/>
                <w:sz w:val="24"/>
                <w:szCs w:val="24"/>
              </w:rPr>
              <w:t>。</w:t>
            </w:r>
          </w:p>
          <w:p w14:paraId="35780B5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color w:val="auto"/>
                <w:sz w:val="24"/>
                <w:szCs w:val="24"/>
              </w:rPr>
              <w:t>★12）配备专属AI智能助手，支持文本输入与多轮对话，支持上下文连续提问，保留最近会话历史，可提供产品的使用指导、操作培训、常见问题等解答。问答模式支持纯文本回答、视频片段、带图片参考等。平均响应时间≤5秒，在预置知识库范围内，回答准确率≥90%</w:t>
            </w:r>
            <w:r>
              <w:rPr>
                <w:rFonts w:hint="eastAsia" w:asciiTheme="minorEastAsia" w:hAnsiTheme="minorEastAsia" w:eastAsiaTheme="minorEastAsia" w:cstheme="minorEastAsia"/>
                <w:b/>
                <w:color w:val="auto"/>
                <w:sz w:val="24"/>
                <w:szCs w:val="24"/>
              </w:rPr>
              <w:t>（在投标文件中，提供相关AI智能助手使用截图）。</w:t>
            </w:r>
          </w:p>
        </w:tc>
        <w:tc>
          <w:tcPr>
            <w:tcW w:w="345" w:type="pct"/>
            <w:noWrap w:val="0"/>
            <w:vAlign w:val="center"/>
          </w:tcPr>
          <w:p w14:paraId="3347CF92">
            <w:pPr>
              <w:pStyle w:val="4"/>
              <w:keepNext w:val="0"/>
              <w:keepLines w:val="0"/>
              <w:pageBreakBefore w:val="0"/>
              <w:kinsoku/>
              <w:wordWrap/>
              <w:overflowPunct/>
              <w:topLinePunct w:val="0"/>
              <w:bidi w:val="0"/>
              <w:adjustRightInd w:val="0"/>
              <w:snapToGrid w:val="0"/>
              <w:spacing w:before="0" w:beforeAutospacing="0" w:after="0" w:afterAutospacing="0" w:line="300" w:lineRule="auto"/>
              <w:jc w:val="center"/>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套</w:t>
            </w:r>
          </w:p>
        </w:tc>
        <w:tc>
          <w:tcPr>
            <w:tcW w:w="372" w:type="pct"/>
            <w:noWrap/>
            <w:vAlign w:val="center"/>
          </w:tcPr>
          <w:p w14:paraId="5BF6CE1B">
            <w:pPr>
              <w:pStyle w:val="4"/>
              <w:keepNext w:val="0"/>
              <w:keepLines w:val="0"/>
              <w:pageBreakBefore w:val="0"/>
              <w:kinsoku/>
              <w:wordWrap/>
              <w:overflowPunct/>
              <w:topLinePunct w:val="0"/>
              <w:bidi w:val="0"/>
              <w:adjustRightInd w:val="0"/>
              <w:snapToGrid w:val="0"/>
              <w:spacing w:before="0" w:beforeAutospacing="0" w:after="0" w:afterAutospacing="0" w:line="300" w:lineRule="auto"/>
              <w:jc w:val="center"/>
              <w:rPr>
                <w:rFonts w:hint="eastAsia" w:asciiTheme="minorEastAsia" w:hAnsiTheme="minorEastAsia" w:eastAsiaTheme="minorEastAsia" w:cstheme="minorEastAsia"/>
                <w:bCs/>
                <w:color w:val="auto"/>
                <w:sz w:val="24"/>
                <w:szCs w:val="24"/>
              </w:rPr>
            </w:pPr>
            <w:r>
              <w:rPr>
                <w:rFonts w:hint="eastAsia" w:asciiTheme="minorEastAsia" w:hAnsiTheme="minorEastAsia" w:eastAsiaTheme="minorEastAsia" w:cstheme="minorEastAsia"/>
                <w:bCs/>
                <w:color w:val="auto"/>
                <w:sz w:val="24"/>
                <w:szCs w:val="24"/>
              </w:rPr>
              <w:t>10</w:t>
            </w:r>
          </w:p>
        </w:tc>
        <w:tc>
          <w:tcPr>
            <w:tcW w:w="430" w:type="pct"/>
            <w:shd w:val="clear" w:color="auto" w:fill="auto"/>
            <w:noWrap/>
            <w:vAlign w:val="center"/>
          </w:tcPr>
          <w:p w14:paraId="5AEB7C6F">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rPr>
              <w:t>工业</w:t>
            </w:r>
          </w:p>
        </w:tc>
      </w:tr>
      <w:tr w14:paraId="1A254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000" w:type="pct"/>
            <w:gridSpan w:val="6"/>
            <w:noWrap/>
            <w:vAlign w:val="center"/>
          </w:tcPr>
          <w:p w14:paraId="314E391E">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snapToGrid w:val="0"/>
                <w:color w:val="auto"/>
                <w:kern w:val="0"/>
                <w:sz w:val="24"/>
                <w:szCs w:val="24"/>
                <w:lang w:val="en-US" w:eastAsia="zh-CN"/>
              </w:rPr>
            </w:pPr>
            <w:r>
              <w:rPr>
                <w:rFonts w:hint="eastAsia" w:asciiTheme="minorEastAsia" w:hAnsiTheme="minorEastAsia" w:eastAsiaTheme="minorEastAsia" w:cstheme="minorEastAsia"/>
                <w:b/>
                <w:bCs/>
                <w:color w:val="auto"/>
                <w:sz w:val="24"/>
                <w:szCs w:val="24"/>
                <w:shd w:val="clear" w:color="auto" w:fill="FFFFFF"/>
              </w:rPr>
              <w:t>四、过程控制实验系统</w:t>
            </w:r>
          </w:p>
        </w:tc>
      </w:tr>
      <w:tr w14:paraId="0D279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2" w:type="pct"/>
            <w:shd w:val="clear" w:color="auto" w:fill="auto"/>
            <w:noWrap/>
            <w:vAlign w:val="center"/>
          </w:tcPr>
          <w:p w14:paraId="2B8ADF51">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rPr>
              <w:t>序号</w:t>
            </w:r>
          </w:p>
        </w:tc>
        <w:tc>
          <w:tcPr>
            <w:tcW w:w="825" w:type="pct"/>
            <w:shd w:val="clear" w:color="auto" w:fill="auto"/>
            <w:noWrap/>
            <w:vAlign w:val="center"/>
          </w:tcPr>
          <w:p w14:paraId="149A7F37">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lang w:val="en-US" w:eastAsia="zh-CN"/>
              </w:rPr>
              <w:t>货物</w:t>
            </w:r>
            <w:r>
              <w:rPr>
                <w:rFonts w:hint="eastAsia" w:asciiTheme="minorEastAsia" w:hAnsiTheme="minorEastAsia" w:eastAsiaTheme="minorEastAsia" w:cstheme="minorEastAsia"/>
                <w:b/>
                <w:bCs/>
                <w:color w:val="auto"/>
                <w:kern w:val="0"/>
                <w:sz w:val="24"/>
                <w:szCs w:val="24"/>
              </w:rPr>
              <w:t>名称</w:t>
            </w:r>
          </w:p>
        </w:tc>
        <w:tc>
          <w:tcPr>
            <w:tcW w:w="2643" w:type="pct"/>
            <w:shd w:val="clear" w:color="auto" w:fill="auto"/>
            <w:noWrap w:val="0"/>
            <w:vAlign w:val="center"/>
          </w:tcPr>
          <w:p w14:paraId="2D6688C2">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rPr>
              <w:t>主要技术参数</w:t>
            </w:r>
          </w:p>
        </w:tc>
        <w:tc>
          <w:tcPr>
            <w:tcW w:w="345" w:type="pct"/>
            <w:shd w:val="clear" w:color="auto" w:fill="auto"/>
            <w:noWrap w:val="0"/>
            <w:vAlign w:val="center"/>
          </w:tcPr>
          <w:p w14:paraId="37838C5D">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rPr>
              <w:t>单位</w:t>
            </w:r>
          </w:p>
        </w:tc>
        <w:tc>
          <w:tcPr>
            <w:tcW w:w="372" w:type="pct"/>
            <w:shd w:val="clear" w:color="auto" w:fill="auto"/>
            <w:noWrap/>
            <w:vAlign w:val="center"/>
          </w:tcPr>
          <w:p w14:paraId="6AD868CD">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rPr>
              <w:t>数量</w:t>
            </w:r>
          </w:p>
        </w:tc>
        <w:tc>
          <w:tcPr>
            <w:tcW w:w="430" w:type="pct"/>
            <w:noWrap/>
            <w:vAlign w:val="center"/>
          </w:tcPr>
          <w:p w14:paraId="2A0B05D4">
            <w:pPr>
              <w:keepNext w:val="0"/>
              <w:keepLines w:val="0"/>
              <w:pageBreakBefore w:val="0"/>
              <w:kinsoku/>
              <w:wordWrap/>
              <w:overflowPunct/>
              <w:topLinePunct w:val="0"/>
              <w:bidi w:val="0"/>
              <w:adjustRightInd w:val="0"/>
              <w:snapToGrid w:val="0"/>
              <w:spacing w:line="300" w:lineRule="auto"/>
              <w:jc w:val="center"/>
              <w:rPr>
                <w:rFonts w:hint="default" w:asciiTheme="minorEastAsia" w:hAnsiTheme="minorEastAsia" w:eastAsiaTheme="minorEastAsia" w:cstheme="minorEastAsia"/>
                <w:b/>
                <w:bCs/>
                <w:snapToGrid w:val="0"/>
                <w:color w:val="auto"/>
                <w:kern w:val="0"/>
                <w:sz w:val="24"/>
                <w:szCs w:val="24"/>
                <w:lang w:val="en-US" w:eastAsia="zh-CN"/>
              </w:rPr>
            </w:pPr>
            <w:r>
              <w:rPr>
                <w:rFonts w:hint="eastAsia" w:asciiTheme="minorEastAsia" w:hAnsiTheme="minorEastAsia" w:eastAsiaTheme="minorEastAsia" w:cstheme="minorEastAsia"/>
                <w:b/>
                <w:bCs/>
                <w:snapToGrid w:val="0"/>
                <w:color w:val="auto"/>
                <w:kern w:val="0"/>
                <w:sz w:val="24"/>
                <w:szCs w:val="24"/>
                <w:lang w:val="en-US" w:eastAsia="zh-CN"/>
              </w:rPr>
              <w:t>所属行业</w:t>
            </w:r>
          </w:p>
        </w:tc>
      </w:tr>
      <w:bookmarkEnd w:id="89"/>
      <w:bookmarkEnd w:id="90"/>
      <w:bookmarkEnd w:id="91"/>
      <w:tr w14:paraId="3096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2" w:type="pct"/>
            <w:noWrap/>
            <w:vAlign w:val="center"/>
          </w:tcPr>
          <w:p w14:paraId="54759465">
            <w:pPr>
              <w:keepNext w:val="0"/>
              <w:keepLines w:val="0"/>
              <w:pageBreakBefore w:val="0"/>
              <w:widowControl/>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8</w:t>
            </w:r>
          </w:p>
        </w:tc>
        <w:tc>
          <w:tcPr>
            <w:tcW w:w="825" w:type="pct"/>
            <w:noWrap/>
            <w:vAlign w:val="center"/>
          </w:tcPr>
          <w:p w14:paraId="54FD983E">
            <w:pPr>
              <w:pStyle w:val="4"/>
              <w:keepNext w:val="0"/>
              <w:keepLines w:val="0"/>
              <w:pageBreakBefore w:val="0"/>
              <w:kinsoku/>
              <w:wordWrap/>
              <w:overflowPunct/>
              <w:topLinePunct w:val="0"/>
              <w:bidi w:val="0"/>
              <w:adjustRightInd w:val="0"/>
              <w:snapToGrid w:val="0"/>
              <w:spacing w:before="0" w:beforeAutospacing="0" w:after="0" w:afterAutospacing="0" w:line="300" w:lineRule="auto"/>
              <w:jc w:val="center"/>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snapToGrid w:val="0"/>
                <w:color w:val="auto"/>
                <w:sz w:val="24"/>
                <w:szCs w:val="24"/>
              </w:rPr>
              <w:t>过程控制对象系统实验装置</w:t>
            </w:r>
          </w:p>
        </w:tc>
        <w:tc>
          <w:tcPr>
            <w:tcW w:w="2643" w:type="pct"/>
            <w:noWrap w:val="0"/>
            <w:vAlign w:val="center"/>
          </w:tcPr>
          <w:p w14:paraId="419CC9EA">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一、基本要求</w:t>
            </w:r>
          </w:p>
          <w:p w14:paraId="23C9ED1C">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（一）、</w:t>
            </w:r>
            <w:r>
              <w:rPr>
                <w:rFonts w:hint="eastAsia" w:asciiTheme="minorEastAsia" w:hAnsiTheme="minorEastAsia" w:eastAsiaTheme="minorEastAsia" w:cstheme="minorEastAsia"/>
                <w:color w:val="auto"/>
                <w:spacing w:val="-2"/>
                <w:sz w:val="24"/>
                <w:szCs w:val="24"/>
              </w:rPr>
              <w:t>过程控制仿真教学软件</w:t>
            </w:r>
          </w:p>
          <w:p w14:paraId="7145CF31">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1、软件概述</w:t>
            </w:r>
          </w:p>
          <w:p w14:paraId="134E6E94">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要求软件可以在3D虚拟仿真环境下进行理论学习与功能性验证实验，包括3D环境下的系统设备的认知、原理结构认知、设备运行、系统的安装接线与设置等功能；培养学生自动化和过程控制各课程中的专业知识。系统同时就液位、流量、温度、压力等四大热工参数的对象特性测试仿真、单闭环控制实验仿真、串级控制实验仿真等进行设计，从对象模型、检测信号、执行器信号到调节器均由软件内部自行实现，可就变频器的频率、电动调节阀的开度、调节器的设定值、测量值、PID参数进行修改、手/自动模式进行修改。不同的设定值、PID参数及变频器频率，可得到不同的过渡过程曲线，完全贴合实际过程控制效果。</w:t>
            </w:r>
          </w:p>
          <w:p w14:paraId="1AE8E5E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2、软件功能</w:t>
            </w:r>
          </w:p>
          <w:p w14:paraId="7356567B">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（1）软件模块说明</w:t>
            </w:r>
          </w:p>
          <w:p w14:paraId="5192C43F">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a.过程控制可视化教学系统建立一个3D的虚拟实训场景，画面中的监控数据除用数字、动画等形式表示外，部分重要的数据应以实时趋势的方式展现。</w:t>
            </w:r>
          </w:p>
          <w:p w14:paraId="6A4CE86D">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b.软件主要包括设备认识、设备运行、接线原理、过程控制实验。</w:t>
            </w:r>
          </w:p>
          <w:p w14:paraId="585DE6D9">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（2）物理架构</w:t>
            </w:r>
          </w:p>
          <w:p w14:paraId="6EBE298B">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a.3D引擎采用Unity3D或相当于其的游戏引擎作为三维渲染和动画引擎，渲染效率可以保持每秒25帧以上，支持动态三维视图浏览，包括锁定轴向的平移、缩放及旋转。实时高亮显示动态捕捉物体，支持场景动态切换，人物FBX或同等格式骨骼动画，所有物体移动、旋转、缩放帧动画及可人工控制的行走转向动画。</w:t>
            </w:r>
          </w:p>
          <w:p w14:paraId="1FA42791">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b.界面采用NGUI或相当于其的控件作为界面设计及交互平台，支持输入框、下拉选择、滑动条、滚动视图、复选框等常用交互组件，支持界面层级管理、自适应布局、滚动列表等复杂 UI 能力。基于实时 3D 渲染框架搭建物理仿真环境，内置 3D 物理模拟能力，支持刚体动力学、碰撞检测、物理材质、角色控制器，满足场景对象实时物理交互仿真需求。 可在实训环境中实现自然界中的任何物理效果。</w:t>
            </w:r>
          </w:p>
          <w:p w14:paraId="14357CE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c.架构以Unity3D或相当于其的引擎为基础平台，嵌入GUI界面二维显示，通过脚本实现数据输入与命令交互，在场景管理器的控制下，按流程分别展示并记录每个施工阶段不同工种的操作、进度及成果。视频信号网络传输与展示：网络多媒体监控系统以网络为依托，以数字视频的压缩、传输、存储和播放为核心，可进行图像分析。</w:t>
            </w:r>
          </w:p>
          <w:p w14:paraId="5E3A93B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（3）用途功能</w:t>
            </w:r>
          </w:p>
          <w:p w14:paraId="4F6FC83F">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可作为过程控制及自动化相关系列产品教学辅助类软件。结合计算机虚拟仿真技术、动态实时仿真技术、数字驱动仿真技术、3D动画仿真技术、高速动态采集技术等，能在具有物理属性的3D环境中进行虚拟设备的仿真接线操作、控制系统仿真运行。仿真运行具有高度的人机交互性，界面中的鼠标可以作为用户的双手进行各种与实际环境中相同的操作。</w:t>
            </w:r>
          </w:p>
          <w:p w14:paraId="010B8593">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（4）过程控制虚拟仿真实验</w:t>
            </w:r>
          </w:p>
          <w:p w14:paraId="683ED51D">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本系统可完成包含“单容水箱对象模型测试”、“加热水箱对象模型特性测试”、“单容水箱液位定值控制实验”、“管道流量定值控制实验”、“加热水箱温度定值控制实验”、“水箱液位与进水流量串级控制实验”、“加热水箱温度与进水流量串级控制实验”等在内的7个实验项目。</w:t>
            </w:r>
          </w:p>
          <w:p w14:paraId="0D02F3DA">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kern w:val="0"/>
                <w:sz w:val="24"/>
                <w:szCs w:val="24"/>
              </w:rPr>
              <w:t>★</w:t>
            </w:r>
            <w:r>
              <w:rPr>
                <w:rFonts w:hint="eastAsia" w:asciiTheme="minorEastAsia" w:hAnsiTheme="minorEastAsia" w:eastAsiaTheme="minorEastAsia" w:cstheme="minorEastAsia"/>
                <w:b/>
                <w:bCs/>
                <w:color w:val="auto"/>
                <w:kern w:val="0"/>
                <w:sz w:val="24"/>
                <w:szCs w:val="24"/>
              </w:rPr>
              <w:t>（5）投标文件中提供承诺函（格式自拟）：投标人承诺合同签订后，5个工作日内提供由第三方检测机构出具的</w:t>
            </w:r>
            <w:r>
              <w:rPr>
                <w:rFonts w:hint="eastAsia" w:asciiTheme="minorEastAsia" w:hAnsiTheme="minorEastAsia" w:eastAsiaTheme="minorEastAsia" w:cstheme="minorEastAsia"/>
                <w:b/>
                <w:bCs/>
                <w:color w:val="auto"/>
                <w:spacing w:val="-2"/>
                <w:sz w:val="24"/>
                <w:szCs w:val="24"/>
              </w:rPr>
              <w:t>过程控制仿真教学软件的</w:t>
            </w:r>
            <w:r>
              <w:rPr>
                <w:rFonts w:hint="eastAsia" w:asciiTheme="minorEastAsia" w:hAnsiTheme="minorEastAsia" w:eastAsiaTheme="minorEastAsia" w:cstheme="minorEastAsia"/>
                <w:b/>
                <w:bCs/>
                <w:color w:val="auto"/>
                <w:kern w:val="0"/>
                <w:sz w:val="24"/>
                <w:szCs w:val="24"/>
              </w:rPr>
              <w:t>软件测评报告原件供采购人查验，测评报告内容需包括：具备通过安装与卸载、功能、安全稳定性、用户界面、中文符合性、用户文档、病毒检查检测功能。</w:t>
            </w:r>
          </w:p>
          <w:p w14:paraId="12B9D7F3">
            <w:pPr>
              <w:pStyle w:val="2"/>
              <w:keepNext w:val="0"/>
              <w:keepLines w:val="0"/>
              <w:pageBreakBefore w:val="0"/>
              <w:kinsoku/>
              <w:wordWrap/>
              <w:overflowPunct/>
              <w:topLinePunct w:val="0"/>
              <w:bidi w:val="0"/>
              <w:adjustRightInd w:val="0"/>
              <w:snapToGrid w:val="0"/>
              <w:spacing w:before="0" w:beforeAutospacing="0" w:after="0" w:afterAutospacing="0" w:line="300" w:lineRule="auto"/>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rPr>
              <w:t>（二）、过程自动化控制系统3D综合仿真教学软件</w:t>
            </w:r>
          </w:p>
          <w:p w14:paraId="0646E0E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本软件结合目前过程自动化系统常用的各类过程装备、检测仪表、执行器、变频驱动器、控制器、编程软件、组态软件的技术性能、工作原理、功能、结构组成、动作演示、配线说明、控制编程、监控组态等多方面进行教学实训。</w:t>
            </w:r>
          </w:p>
          <w:p w14:paraId="1F36771B">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软件主要包括检测仪表仿真、执行器仿真、变频驱动器仿真、控制器组成及使用仿真、编程软件介绍及编程过程仿真、组态软件功能介绍及组态过程仿真等六大部分。</w:t>
            </w:r>
          </w:p>
          <w:p w14:paraId="7F7D06E8">
            <w:pPr>
              <w:keepNext w:val="0"/>
              <w:keepLines w:val="0"/>
              <w:pageBreakBefore w:val="0"/>
              <w:numPr>
                <w:ilvl w:val="0"/>
                <w:numId w:val="2"/>
              </w:numPr>
              <w:tabs>
                <w:tab w:val="left" w:pos="540"/>
                <w:tab w:val="left" w:pos="72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过程装备仿真</w:t>
            </w:r>
          </w:p>
          <w:p w14:paraId="446AEF93">
            <w:pPr>
              <w:keepNext w:val="0"/>
              <w:keepLines w:val="0"/>
              <w:pageBreakBefore w:val="0"/>
              <w:numPr>
                <w:ilvl w:val="1"/>
                <w:numId w:val="2"/>
              </w:numPr>
              <w:tabs>
                <w:tab w:val="left" w:pos="734"/>
                <w:tab w:val="left" w:pos="939"/>
                <w:tab w:val="clear" w:pos="84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离心泵</w:t>
            </w:r>
          </w:p>
          <w:p w14:paraId="43D53DEF">
            <w:pPr>
              <w:keepNext w:val="0"/>
              <w:keepLines w:val="0"/>
              <w:pageBreakBefore w:val="0"/>
              <w:tabs>
                <w:tab w:val="left" w:pos="540"/>
                <w:tab w:val="left" w:pos="1080"/>
              </w:tabs>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主要介绍离心泵的性能参数、特性曲线等。并将离心泵的结构部件、工作原理以动画的形式表现出来。</w:t>
            </w:r>
          </w:p>
          <w:p w14:paraId="49C632A0">
            <w:pPr>
              <w:keepNext w:val="0"/>
              <w:keepLines w:val="0"/>
              <w:pageBreakBefore w:val="0"/>
              <w:numPr>
                <w:ilvl w:val="1"/>
                <w:numId w:val="2"/>
              </w:numPr>
              <w:tabs>
                <w:tab w:val="left" w:pos="679"/>
                <w:tab w:val="left" w:pos="909"/>
                <w:tab w:val="clear" w:pos="84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换热器</w:t>
            </w:r>
          </w:p>
          <w:p w14:paraId="61E17EED">
            <w:pPr>
              <w:keepNext w:val="0"/>
              <w:keepLines w:val="0"/>
              <w:pageBreakBefore w:val="0"/>
              <w:tabs>
                <w:tab w:val="left" w:pos="540"/>
                <w:tab w:val="left" w:pos="1080"/>
              </w:tabs>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主要介绍换热器的基本分类、主要控制参数、选型要点、施工安装要点等。并将换热器的基本结构、结构工作原理以动画的形式表现出来。</w:t>
            </w:r>
          </w:p>
          <w:p w14:paraId="2C408938">
            <w:pPr>
              <w:keepNext w:val="0"/>
              <w:keepLines w:val="0"/>
              <w:pageBreakBefore w:val="0"/>
              <w:numPr>
                <w:ilvl w:val="0"/>
                <w:numId w:val="2"/>
              </w:numPr>
              <w:tabs>
                <w:tab w:val="left" w:pos="540"/>
                <w:tab w:val="left" w:pos="72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检测仪表仿真</w:t>
            </w:r>
          </w:p>
          <w:p w14:paraId="601806CC">
            <w:pPr>
              <w:keepNext w:val="0"/>
              <w:keepLines w:val="0"/>
              <w:pageBreakBefore w:val="0"/>
              <w:numPr>
                <w:ilvl w:val="1"/>
                <w:numId w:val="2"/>
              </w:numPr>
              <w:tabs>
                <w:tab w:val="clear" w:pos="84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电磁流量计</w:t>
            </w:r>
          </w:p>
          <w:p w14:paraId="78DACD0A">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主要介绍电磁流量计的性能参数、工作原理、结构组成、分类、选型要点、安装要点、基础操作面板、端子接线说明、参数设置方法等。并将</w:t>
            </w:r>
            <w:r>
              <w:rPr>
                <w:rFonts w:hint="eastAsia" w:asciiTheme="minorEastAsia" w:hAnsiTheme="minorEastAsia" w:eastAsiaTheme="minorEastAsia" w:cstheme="minorEastAsia"/>
                <w:color w:val="auto"/>
                <w:sz w:val="24"/>
                <w:szCs w:val="24"/>
              </w:rPr>
              <w:t>电磁流量计的</w:t>
            </w:r>
            <w:r>
              <w:rPr>
                <w:rFonts w:hint="eastAsia" w:asciiTheme="minorEastAsia" w:hAnsiTheme="minorEastAsia" w:eastAsiaTheme="minorEastAsia" w:cstheme="minorEastAsia"/>
                <w:color w:val="auto"/>
                <w:spacing w:val="-2"/>
                <w:sz w:val="24"/>
                <w:szCs w:val="24"/>
              </w:rPr>
              <w:t>参数设置过程、工作原理以动画的形式表现出来。</w:t>
            </w:r>
          </w:p>
          <w:p w14:paraId="638272EF">
            <w:pPr>
              <w:keepNext w:val="0"/>
              <w:keepLines w:val="0"/>
              <w:pageBreakBefore w:val="0"/>
              <w:numPr>
                <w:ilvl w:val="1"/>
                <w:numId w:val="2"/>
              </w:numPr>
              <w:tabs>
                <w:tab w:val="clear" w:pos="84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涡轮流量计</w:t>
            </w:r>
          </w:p>
          <w:p w14:paraId="4281432A">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主要介绍涡轮流量计的性能参数、工作原理、结构组成、分类、选型要点、安装要点等。并将</w:t>
            </w:r>
            <w:r>
              <w:rPr>
                <w:rFonts w:hint="eastAsia" w:asciiTheme="minorEastAsia" w:hAnsiTheme="minorEastAsia" w:eastAsiaTheme="minorEastAsia" w:cstheme="minorEastAsia"/>
                <w:color w:val="auto"/>
                <w:sz w:val="24"/>
                <w:szCs w:val="24"/>
              </w:rPr>
              <w:t>涡轮流量计</w:t>
            </w:r>
            <w:r>
              <w:rPr>
                <w:rFonts w:hint="eastAsia" w:asciiTheme="minorEastAsia" w:hAnsiTheme="minorEastAsia" w:eastAsiaTheme="minorEastAsia" w:cstheme="minorEastAsia"/>
                <w:color w:val="auto"/>
                <w:spacing w:val="-2"/>
                <w:sz w:val="24"/>
                <w:szCs w:val="24"/>
              </w:rPr>
              <w:t>的工作原理以动画的形式表现出来。</w:t>
            </w:r>
          </w:p>
          <w:p w14:paraId="4538D081">
            <w:pPr>
              <w:keepNext w:val="0"/>
              <w:keepLines w:val="0"/>
              <w:pageBreakBefore w:val="0"/>
              <w:numPr>
                <w:ilvl w:val="1"/>
                <w:numId w:val="2"/>
              </w:numPr>
              <w:tabs>
                <w:tab w:val="clear" w:pos="84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PT100温度传感器</w:t>
            </w:r>
          </w:p>
          <w:p w14:paraId="062765D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主要介绍</w:t>
            </w:r>
            <w:r>
              <w:rPr>
                <w:rFonts w:hint="eastAsia" w:asciiTheme="minorEastAsia" w:hAnsiTheme="minorEastAsia" w:eastAsiaTheme="minorEastAsia" w:cstheme="minorEastAsia"/>
                <w:color w:val="auto"/>
                <w:sz w:val="24"/>
                <w:szCs w:val="24"/>
              </w:rPr>
              <w:t>PT100温度传感器</w:t>
            </w:r>
            <w:r>
              <w:rPr>
                <w:rFonts w:hint="eastAsia" w:asciiTheme="minorEastAsia" w:hAnsiTheme="minorEastAsia" w:eastAsiaTheme="minorEastAsia" w:cstheme="minorEastAsia"/>
                <w:color w:val="auto"/>
                <w:spacing w:val="-2"/>
                <w:sz w:val="24"/>
                <w:szCs w:val="24"/>
              </w:rPr>
              <w:t>的性能参数、分度表等。并将PT100</w:t>
            </w:r>
            <w:r>
              <w:rPr>
                <w:rFonts w:hint="eastAsia" w:asciiTheme="minorEastAsia" w:hAnsiTheme="minorEastAsia" w:eastAsiaTheme="minorEastAsia" w:cstheme="minorEastAsia"/>
                <w:color w:val="auto"/>
                <w:sz w:val="24"/>
                <w:szCs w:val="24"/>
              </w:rPr>
              <w:t>温度传感器阻值信号转换为标准电流信号的过程</w:t>
            </w:r>
            <w:r>
              <w:rPr>
                <w:rFonts w:hint="eastAsia" w:asciiTheme="minorEastAsia" w:hAnsiTheme="minorEastAsia" w:eastAsiaTheme="minorEastAsia" w:cstheme="minorEastAsia"/>
                <w:color w:val="auto"/>
                <w:spacing w:val="-2"/>
                <w:sz w:val="24"/>
                <w:szCs w:val="24"/>
              </w:rPr>
              <w:t>以动画的形式表现出来。</w:t>
            </w:r>
          </w:p>
          <w:p w14:paraId="4511740C">
            <w:pPr>
              <w:keepNext w:val="0"/>
              <w:keepLines w:val="0"/>
              <w:pageBreakBefore w:val="0"/>
              <w:numPr>
                <w:ilvl w:val="1"/>
                <w:numId w:val="2"/>
              </w:numPr>
              <w:tabs>
                <w:tab w:val="clear" w:pos="84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扩散硅压力变送器</w:t>
            </w:r>
          </w:p>
          <w:p w14:paraId="287FDDB2">
            <w:pPr>
              <w:keepNext w:val="0"/>
              <w:keepLines w:val="0"/>
              <w:pageBreakBefore w:val="0"/>
              <w:tabs>
                <w:tab w:val="left" w:pos="540"/>
                <w:tab w:val="left" w:pos="1080"/>
              </w:tabs>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主要介绍</w:t>
            </w:r>
            <w:r>
              <w:rPr>
                <w:rFonts w:hint="eastAsia" w:asciiTheme="minorEastAsia" w:hAnsiTheme="minorEastAsia" w:eastAsiaTheme="minorEastAsia" w:cstheme="minorEastAsia"/>
                <w:color w:val="auto"/>
                <w:sz w:val="24"/>
                <w:szCs w:val="24"/>
              </w:rPr>
              <w:t>扩散硅压力变送器</w:t>
            </w:r>
            <w:r>
              <w:rPr>
                <w:rFonts w:hint="eastAsia" w:asciiTheme="minorEastAsia" w:hAnsiTheme="minorEastAsia" w:eastAsiaTheme="minorEastAsia" w:cstheme="minorEastAsia"/>
                <w:color w:val="auto"/>
                <w:spacing w:val="-2"/>
                <w:sz w:val="24"/>
                <w:szCs w:val="24"/>
              </w:rPr>
              <w:t>的性能参数、工作原理、选型要点、安装要点等。并将涡轮流量计的工作原理、零点/增益调校过程以动画的形式表现出来。</w:t>
            </w:r>
          </w:p>
          <w:p w14:paraId="1311E7FF">
            <w:pPr>
              <w:keepNext w:val="0"/>
              <w:keepLines w:val="0"/>
              <w:pageBreakBefore w:val="0"/>
              <w:numPr>
                <w:ilvl w:val="0"/>
                <w:numId w:val="2"/>
              </w:numPr>
              <w:tabs>
                <w:tab w:val="left" w:pos="540"/>
                <w:tab w:val="left" w:pos="72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执行器仿真</w:t>
            </w:r>
          </w:p>
          <w:p w14:paraId="54404AF4">
            <w:pPr>
              <w:keepNext w:val="0"/>
              <w:keepLines w:val="0"/>
              <w:pageBreakBefore w:val="0"/>
              <w:numPr>
                <w:ilvl w:val="1"/>
                <w:numId w:val="2"/>
              </w:numPr>
              <w:tabs>
                <w:tab w:val="clear" w:pos="84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电动调节阀</w:t>
            </w:r>
          </w:p>
          <w:p w14:paraId="5A279424">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主要介绍电动调节阀的性能参数、流量特性、选型要点、安装要点等。并将电动调节阀的拆卸与组装、动作过程、自整定过程以动画的形式表现出来。</w:t>
            </w:r>
          </w:p>
          <w:p w14:paraId="57F94EB2">
            <w:pPr>
              <w:keepNext w:val="0"/>
              <w:keepLines w:val="0"/>
              <w:pageBreakBefore w:val="0"/>
              <w:numPr>
                <w:ilvl w:val="1"/>
                <w:numId w:val="2"/>
              </w:numPr>
              <w:tabs>
                <w:tab w:val="clear" w:pos="84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气动调节阀</w:t>
            </w:r>
          </w:p>
          <w:p w14:paraId="71F2E160">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主要介绍气动调节阀的性能参数、流量特性、使用注意事项等。并将气动调节阀的拆卸与组装、动作过程、调校过程以动画的形式表现出来。</w:t>
            </w:r>
          </w:p>
          <w:p w14:paraId="234171E6">
            <w:pPr>
              <w:keepNext w:val="0"/>
              <w:keepLines w:val="0"/>
              <w:pageBreakBefore w:val="0"/>
              <w:numPr>
                <w:ilvl w:val="0"/>
                <w:numId w:val="2"/>
              </w:numPr>
              <w:tabs>
                <w:tab w:val="left" w:pos="540"/>
                <w:tab w:val="left" w:pos="72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变频驱动器</w:t>
            </w:r>
          </w:p>
          <w:p w14:paraId="1D247C86">
            <w:pPr>
              <w:keepNext w:val="0"/>
              <w:keepLines w:val="0"/>
              <w:pageBreakBefore w:val="0"/>
              <w:numPr>
                <w:ilvl w:val="1"/>
                <w:numId w:val="2"/>
              </w:numPr>
              <w:tabs>
                <w:tab w:val="clear" w:pos="84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变频器</w:t>
            </w:r>
          </w:p>
          <w:p w14:paraId="1C8F39E2">
            <w:pPr>
              <w:keepNext w:val="0"/>
              <w:keepLines w:val="0"/>
              <w:pageBreakBefore w:val="0"/>
              <w:tabs>
                <w:tab w:val="left" w:pos="540"/>
                <w:tab w:val="left" w:pos="1080"/>
              </w:tabs>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主要介绍变频器的基础操作面板、端子接线说明、参数设置方法，并将参数设置过程以动画的形式表现出来。</w:t>
            </w:r>
          </w:p>
          <w:p w14:paraId="30BDE4FE">
            <w:pPr>
              <w:keepNext w:val="0"/>
              <w:keepLines w:val="0"/>
              <w:pageBreakBefore w:val="0"/>
              <w:numPr>
                <w:ilvl w:val="0"/>
                <w:numId w:val="2"/>
              </w:numPr>
              <w:tabs>
                <w:tab w:val="left" w:pos="540"/>
                <w:tab w:val="left" w:pos="72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控制器组成及使用仿真</w:t>
            </w:r>
          </w:p>
          <w:p w14:paraId="09D11670">
            <w:pPr>
              <w:keepNext w:val="0"/>
              <w:keepLines w:val="0"/>
              <w:pageBreakBefore w:val="0"/>
              <w:numPr>
                <w:ilvl w:val="1"/>
                <w:numId w:val="2"/>
              </w:numPr>
              <w:tabs>
                <w:tab w:val="clear" w:pos="84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智能调节仪</w:t>
            </w:r>
          </w:p>
          <w:p w14:paraId="1C25752D">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主要介绍</w:t>
            </w:r>
            <w:r>
              <w:rPr>
                <w:rFonts w:hint="eastAsia" w:asciiTheme="minorEastAsia" w:hAnsiTheme="minorEastAsia" w:eastAsiaTheme="minorEastAsia" w:cstheme="minorEastAsia"/>
                <w:color w:val="auto"/>
                <w:sz w:val="24"/>
                <w:szCs w:val="24"/>
              </w:rPr>
              <w:t>智能调节仪</w:t>
            </w:r>
            <w:r>
              <w:rPr>
                <w:rFonts w:hint="eastAsia" w:asciiTheme="minorEastAsia" w:hAnsiTheme="minorEastAsia" w:eastAsiaTheme="minorEastAsia" w:cstheme="minorEastAsia"/>
                <w:color w:val="auto"/>
                <w:spacing w:val="-2"/>
                <w:sz w:val="24"/>
                <w:szCs w:val="24"/>
              </w:rPr>
              <w:t>的基础操作面板、端子接线说明、参数设置方法等，并将参数设置过程以动画的形式表现出来。</w:t>
            </w:r>
          </w:p>
          <w:p w14:paraId="10A67C7D">
            <w:pPr>
              <w:keepNext w:val="0"/>
              <w:keepLines w:val="0"/>
              <w:pageBreakBefore w:val="0"/>
              <w:numPr>
                <w:ilvl w:val="1"/>
                <w:numId w:val="2"/>
              </w:numPr>
              <w:tabs>
                <w:tab w:val="clear" w:pos="84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DCS控制系统</w:t>
            </w:r>
          </w:p>
          <w:p w14:paraId="25067FA3">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主要介绍</w:t>
            </w:r>
            <w:r>
              <w:rPr>
                <w:rFonts w:hint="eastAsia" w:asciiTheme="minorEastAsia" w:hAnsiTheme="minorEastAsia" w:eastAsiaTheme="minorEastAsia" w:cstheme="minorEastAsia"/>
                <w:color w:val="auto"/>
                <w:sz w:val="24"/>
                <w:szCs w:val="24"/>
              </w:rPr>
              <w:t>DCS控制系统的</w:t>
            </w:r>
            <w:r>
              <w:rPr>
                <w:rFonts w:hint="eastAsia" w:asciiTheme="minorEastAsia" w:hAnsiTheme="minorEastAsia" w:eastAsiaTheme="minorEastAsia" w:cstheme="minorEastAsia"/>
                <w:color w:val="auto"/>
                <w:spacing w:val="-2"/>
                <w:sz w:val="24"/>
                <w:szCs w:val="24"/>
              </w:rPr>
              <w:t>系统结构、系统特点、系统指标、硬件设计、硬件电气接线等，并将系统模块的施工安装过程以动画的形式表现出来。</w:t>
            </w:r>
          </w:p>
          <w:p w14:paraId="441AB549">
            <w:pPr>
              <w:keepNext w:val="0"/>
              <w:keepLines w:val="0"/>
              <w:pageBreakBefore w:val="0"/>
              <w:numPr>
                <w:ilvl w:val="1"/>
                <w:numId w:val="2"/>
              </w:numPr>
              <w:tabs>
                <w:tab w:val="clear" w:pos="840"/>
              </w:tabs>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PLC可编程控制器</w:t>
            </w:r>
          </w:p>
          <w:p w14:paraId="5900DC0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主要介绍</w:t>
            </w:r>
            <w:r>
              <w:rPr>
                <w:rFonts w:hint="eastAsia" w:asciiTheme="minorEastAsia" w:hAnsiTheme="minorEastAsia" w:eastAsiaTheme="minorEastAsia" w:cstheme="minorEastAsia"/>
                <w:color w:val="auto"/>
                <w:sz w:val="24"/>
                <w:szCs w:val="24"/>
              </w:rPr>
              <w:t>PLC可编程控制器的</w:t>
            </w:r>
            <w:r>
              <w:rPr>
                <w:rFonts w:hint="eastAsia" w:asciiTheme="minorEastAsia" w:hAnsiTheme="minorEastAsia" w:eastAsiaTheme="minorEastAsia" w:cstheme="minorEastAsia"/>
                <w:color w:val="auto"/>
                <w:spacing w:val="-2"/>
                <w:sz w:val="24"/>
                <w:szCs w:val="24"/>
              </w:rPr>
              <w:t>硬件组成、指令系统、控制系统设计、电气接线说明等，并将系统模块的施工安装过程以动画的形式表现出来。</w:t>
            </w:r>
          </w:p>
          <w:p w14:paraId="49B678CF">
            <w:pPr>
              <w:pStyle w:val="4"/>
              <w:keepNext w:val="0"/>
              <w:keepLines w:val="0"/>
              <w:pageBreakBefore w:val="0"/>
              <w:kinsoku/>
              <w:wordWrap/>
              <w:overflowPunct/>
              <w:topLinePunct w:val="0"/>
              <w:bidi w:val="0"/>
              <w:adjustRightInd w:val="0"/>
              <w:snapToGrid w:val="0"/>
              <w:spacing w:before="0" w:beforeAutospacing="0" w:after="0" w:afterAutospacing="0" w:line="300" w:lineRule="auto"/>
              <w:rPr>
                <w:rFonts w:hint="eastAsia" w:asciiTheme="minorEastAsia" w:hAnsiTheme="minorEastAsia" w:eastAsiaTheme="minorEastAsia" w:cstheme="minorEastAsia"/>
                <w:b/>
                <w:bCs/>
                <w:color w:val="auto"/>
                <w:spacing w:val="-2"/>
                <w:sz w:val="24"/>
                <w:szCs w:val="24"/>
              </w:rPr>
            </w:pPr>
            <w:r>
              <w:rPr>
                <w:rFonts w:hint="eastAsia" w:asciiTheme="minorEastAsia" w:hAnsiTheme="minorEastAsia" w:eastAsiaTheme="minorEastAsia" w:cstheme="minorEastAsia"/>
                <w:b/>
                <w:bCs/>
                <w:snapToGrid w:val="0"/>
                <w:color w:val="auto"/>
                <w:sz w:val="24"/>
                <w:szCs w:val="24"/>
              </w:rPr>
              <w:t>二、</w:t>
            </w:r>
            <w:r>
              <w:rPr>
                <w:rFonts w:hint="eastAsia" w:asciiTheme="minorEastAsia" w:hAnsiTheme="minorEastAsia" w:eastAsiaTheme="minorEastAsia" w:cstheme="minorEastAsia"/>
                <w:b/>
                <w:bCs/>
                <w:color w:val="auto"/>
                <w:spacing w:val="-2"/>
                <w:sz w:val="24"/>
                <w:szCs w:val="24"/>
              </w:rPr>
              <w:t>设备参数要求</w:t>
            </w:r>
          </w:p>
          <w:p w14:paraId="7C940023">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实验装置对象主要由不锈钢框架、不锈钢储水箱、（上、中、下）三个串接有机玻璃水箱、三相电加热锅炉(由不锈钢锅炉内胆加保温筒和封闭式锅炉夹套构成)、盘管和敷塑不锈钢管道等组成。供水系统有两路：一路由三相磁力驱动泵、压力仪表、电动调节阀、交流电磁阀、流量计及手动调节阀组成；另一路由变频器、三相磁力驱动泵、流量计及手动调节阀组成。</w:t>
            </w:r>
          </w:p>
          <w:p w14:paraId="61415C2D">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1、不锈钢框架</w:t>
            </w:r>
          </w:p>
          <w:p w14:paraId="48EFABBB">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2、不锈钢水箱：采用不锈钢板制成。</w:t>
            </w:r>
          </w:p>
          <w:p w14:paraId="00EB8721">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3、有机玻璃水箱：上、中、下三只水箱要求采用有机玻璃制成。</w:t>
            </w:r>
          </w:p>
          <w:p w14:paraId="2C237DC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4、电加热常压锅炉：要求采用不锈钢制成。</w:t>
            </w:r>
          </w:p>
          <w:p w14:paraId="0733E70A">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5、纯滞后盘管要求：要求提供纯滞后盘管。</w:t>
            </w:r>
          </w:p>
          <w:p w14:paraId="7A22EEDC">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6、液位变送器：采用工业用的扩散硅压力变送器对水箱的液位进行检测。</w:t>
            </w:r>
          </w:p>
          <w:p w14:paraId="05D7B669">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7、温度变送器：PT100热电阻检测温度。</w:t>
            </w:r>
          </w:p>
          <w:p w14:paraId="5D5D396C">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8、温度传感器：PT100热电阻检测温度。</w:t>
            </w:r>
          </w:p>
          <w:p w14:paraId="5AD3F072">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9、流量传感器、变送器：采用标准二线制传输方式，工作时需提供24V直流电源。公称通径：DN10；流量范围：0～1.2</w:t>
            </w:r>
            <w:r>
              <w:rPr>
                <w:rFonts w:hint="eastAsia" w:asciiTheme="minorEastAsia" w:hAnsiTheme="minorEastAsia" w:eastAsiaTheme="minorEastAsia" w:cstheme="minorEastAsia"/>
                <w:color w:val="auto"/>
                <w:sz w:val="24"/>
                <w:szCs w:val="24"/>
              </w:rPr>
              <w:object>
                <v:shape id="_x0000_i1025" o:spt="75" type="#_x0000_t75" style="height:15pt;width:17pt;" o:ole="t" filled="f" o:preferrelative="t" stroked="f" coordsize="21600,21600">
                  <v:path/>
                  <v:fill on="f" focussize="0,0"/>
                  <v:stroke on="f"/>
                  <v:imagedata r:id="rId5" o:title=""/>
                  <o:lock v:ext="edit" aspectratio="t"/>
                  <w10:wrap type="none"/>
                  <w10:anchorlock/>
                </v:shape>
                <o:OLEObject Type="Embed" ProgID="Equation.3" ShapeID="_x0000_i1025" DrawAspect="Content" ObjectID="_1468075725" r:id="rId4">
                  <o:LockedField>false</o:LockedField>
                </o:OLEObject>
              </w:object>
            </w:r>
            <w:r>
              <w:rPr>
                <w:rFonts w:hint="eastAsia" w:asciiTheme="minorEastAsia" w:hAnsiTheme="minorEastAsia" w:eastAsiaTheme="minorEastAsia" w:cstheme="minorEastAsia"/>
                <w:color w:val="auto"/>
                <w:sz w:val="24"/>
                <w:szCs w:val="24"/>
              </w:rPr>
              <w:t>/h；精度：≥0.5级；输出：4～20mADC。</w:t>
            </w:r>
          </w:p>
          <w:p w14:paraId="2F18F6F9">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10、电动调节阀：采用智能直行程电动调节阀，带控制信号故障判断、报警及保护功能。</w:t>
            </w:r>
          </w:p>
          <w:p w14:paraId="1B321A66">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11、水泵：采用磁力驱动泵。</w:t>
            </w:r>
          </w:p>
          <w:p w14:paraId="3AF8532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12、锅炉防干烧保护装置：当锅炉内胆液位低于警戒水位线时，保护装置将切断调压模块输出电压，以有效保护电加热管不被干烧损坏。</w:t>
            </w:r>
          </w:p>
          <w:p w14:paraId="43BCC4E9">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13、三相电加热管。</w:t>
            </w:r>
          </w:p>
          <w:p w14:paraId="7BC793EF">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14、管道及阀门：整个系统管道由敷塑不锈钢管连接而成，所有的手动阀门均采用优质球阀。 </w:t>
            </w:r>
          </w:p>
          <w:p w14:paraId="45F4028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15、电磁阀：电磁阀为常闭式电磁阀。</w:t>
            </w:r>
          </w:p>
          <w:p w14:paraId="1120C5F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pacing w:val="-2"/>
                <w:sz w:val="24"/>
                <w:szCs w:val="24"/>
              </w:rPr>
              <w:t>16、★</w:t>
            </w:r>
            <w:r>
              <w:rPr>
                <w:rFonts w:hint="eastAsia" w:asciiTheme="minorEastAsia" w:hAnsiTheme="minorEastAsia" w:eastAsiaTheme="minorEastAsia" w:cstheme="minorEastAsia"/>
                <w:b/>
                <w:bCs/>
                <w:color w:val="auto"/>
                <w:spacing w:val="-2"/>
                <w:sz w:val="24"/>
                <w:szCs w:val="24"/>
              </w:rPr>
              <w:t>投标人须在投标文件中承诺（格式自拟）</w:t>
            </w:r>
            <w:r>
              <w:rPr>
                <w:rFonts w:hint="eastAsia" w:asciiTheme="minorEastAsia" w:hAnsiTheme="minorEastAsia" w:eastAsiaTheme="minorEastAsia" w:cstheme="minorEastAsia"/>
                <w:color w:val="auto"/>
                <w:spacing w:val="-2"/>
                <w:sz w:val="24"/>
                <w:szCs w:val="24"/>
              </w:rPr>
              <w:t>：提供全国高等院校工程应用技术教师大赛“过程装备及自动化技术”赛项全国培训班至少一个名额的教师培训。</w:t>
            </w:r>
          </w:p>
          <w:p w14:paraId="7742F0C2">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bCs/>
                <w:color w:val="auto"/>
                <w:sz w:val="24"/>
                <w:szCs w:val="24"/>
              </w:rPr>
              <w:t>17、★大赛试题库：随货提供</w:t>
            </w:r>
            <w:r>
              <w:rPr>
                <w:rFonts w:hint="eastAsia" w:asciiTheme="minorEastAsia" w:hAnsiTheme="minorEastAsia" w:eastAsiaTheme="minorEastAsia" w:cstheme="minorEastAsia"/>
                <w:color w:val="auto"/>
                <w:spacing w:val="-2"/>
                <w:sz w:val="24"/>
                <w:szCs w:val="24"/>
              </w:rPr>
              <w:t>全国高等院校工程应用技术教师大赛“过程装备及自动化技术”赛项</w:t>
            </w:r>
            <w:r>
              <w:rPr>
                <w:rFonts w:hint="eastAsia" w:asciiTheme="minorEastAsia" w:hAnsiTheme="minorEastAsia" w:eastAsiaTheme="minorEastAsia" w:cstheme="minorEastAsia"/>
                <w:bCs/>
                <w:color w:val="auto"/>
                <w:sz w:val="24"/>
                <w:szCs w:val="24"/>
              </w:rPr>
              <w:t>实操竞赛试卷，总数不少于10套。</w:t>
            </w:r>
          </w:p>
          <w:p w14:paraId="6848333A">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b/>
                <w:bCs/>
                <w:color w:val="auto"/>
                <w:spacing w:val="-2"/>
                <w:sz w:val="24"/>
                <w:szCs w:val="24"/>
              </w:rPr>
            </w:pPr>
            <w:r>
              <w:rPr>
                <w:rFonts w:hint="eastAsia" w:asciiTheme="minorEastAsia" w:hAnsiTheme="minorEastAsia" w:eastAsiaTheme="minorEastAsia" w:cstheme="minorEastAsia"/>
                <w:color w:val="auto"/>
                <w:sz w:val="24"/>
                <w:szCs w:val="24"/>
              </w:rPr>
              <w:t>18、</w:t>
            </w:r>
            <w:r>
              <w:rPr>
                <w:rFonts w:hint="eastAsia" w:asciiTheme="minorEastAsia" w:hAnsiTheme="minorEastAsia" w:eastAsiaTheme="minorEastAsia" w:cstheme="minorEastAsia"/>
                <w:color w:val="auto"/>
                <w:kern w:val="0"/>
                <w:sz w:val="24"/>
                <w:szCs w:val="24"/>
              </w:rPr>
              <w:t>★为保障教学连续性，节约设备采购及运维成本，</w:t>
            </w:r>
            <w:r>
              <w:rPr>
                <w:rFonts w:hint="eastAsia" w:asciiTheme="minorEastAsia" w:hAnsiTheme="minorEastAsia" w:eastAsiaTheme="minorEastAsia" w:cstheme="minorEastAsia"/>
                <w:b/>
                <w:bCs/>
                <w:color w:val="auto"/>
                <w:spacing w:val="-2"/>
                <w:sz w:val="24"/>
                <w:szCs w:val="24"/>
              </w:rPr>
              <w:t>投标人须在投标文件中承诺（格式自拟）</w:t>
            </w:r>
            <w:r>
              <w:rPr>
                <w:rFonts w:hint="eastAsia" w:asciiTheme="minorEastAsia" w:hAnsiTheme="minorEastAsia" w:eastAsiaTheme="minorEastAsia" w:cstheme="minorEastAsia"/>
                <w:color w:val="auto"/>
                <w:kern w:val="0"/>
                <w:sz w:val="24"/>
                <w:szCs w:val="24"/>
              </w:rPr>
              <w:t>：所投过程控制对象系统实验装置和学校原实验室过程控制对象系统实验装置应与校内现有实验室过程控制对象系统实验装置保持制作工艺、器件布局、实训功能、原材料使用，实现无缝对接，完全兼容</w:t>
            </w:r>
            <w:r>
              <w:rPr>
                <w:rFonts w:hint="eastAsia" w:asciiTheme="minorEastAsia" w:hAnsiTheme="minorEastAsia" w:eastAsiaTheme="minorEastAsia" w:cstheme="minorEastAsia"/>
                <w:color w:val="auto"/>
                <w:sz w:val="24"/>
                <w:szCs w:val="24"/>
              </w:rPr>
              <w:t>。</w:t>
            </w:r>
          </w:p>
          <w:p w14:paraId="39923166">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b/>
                <w:bCs/>
                <w:color w:val="auto"/>
                <w:spacing w:val="-2"/>
                <w:sz w:val="24"/>
                <w:szCs w:val="24"/>
              </w:rPr>
            </w:pPr>
            <w:r>
              <w:rPr>
                <w:rFonts w:hint="eastAsia" w:asciiTheme="minorEastAsia" w:hAnsiTheme="minorEastAsia" w:eastAsiaTheme="minorEastAsia" w:cstheme="minorEastAsia"/>
                <w:color w:val="auto"/>
                <w:sz w:val="24"/>
                <w:szCs w:val="24"/>
              </w:rPr>
              <w:t>19、供货方承担整套过程控制实验系统供货、现场安装、整机调试标定、人员实操培训一体化工作，按交钥匙标准完成项目交付。</w:t>
            </w:r>
          </w:p>
          <w:p w14:paraId="37F7D083">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snapToGrid w:val="0"/>
                <w:color w:val="auto"/>
                <w:kern w:val="0"/>
                <w:sz w:val="24"/>
                <w:szCs w:val="24"/>
              </w:rPr>
              <w:t>三、可开展的实验</w:t>
            </w:r>
          </w:p>
          <w:p w14:paraId="636B5B13">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1、过程控制系统组成认识实验</w:t>
            </w:r>
          </w:p>
          <w:p w14:paraId="17D45CC2">
            <w:pPr>
              <w:keepNext w:val="0"/>
              <w:keepLines w:val="0"/>
              <w:pageBreakBefore w:val="0"/>
              <w:numPr>
                <w:ilvl w:val="0"/>
                <w:numId w:val="3"/>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过程控制及检测装置硬件结构组成认识</w:t>
            </w:r>
          </w:p>
          <w:p w14:paraId="3B7D4EA1">
            <w:pPr>
              <w:keepNext w:val="0"/>
              <w:keepLines w:val="0"/>
              <w:pageBreakBefore w:val="0"/>
              <w:numPr>
                <w:ilvl w:val="0"/>
                <w:numId w:val="3"/>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控制方案组成与控制系统连接</w:t>
            </w:r>
          </w:p>
          <w:p w14:paraId="26D36F52">
            <w:pPr>
              <w:keepNext w:val="0"/>
              <w:keepLines w:val="0"/>
              <w:pageBreakBefore w:val="0"/>
              <w:numPr>
                <w:ilvl w:val="0"/>
                <w:numId w:val="3"/>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智能调节仪表、智能变送仪表等智能仪表的操作及参数设定</w:t>
            </w:r>
          </w:p>
          <w:p w14:paraId="17848DFD">
            <w:pPr>
              <w:keepNext w:val="0"/>
              <w:keepLines w:val="0"/>
              <w:pageBreakBefore w:val="0"/>
              <w:numPr>
                <w:ilvl w:val="0"/>
                <w:numId w:val="3"/>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传感器的校正（零点迁移与量程调整）</w:t>
            </w:r>
          </w:p>
          <w:p w14:paraId="7FE246FF">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2、被控对象特性测试实验</w:t>
            </w:r>
          </w:p>
          <w:p w14:paraId="09CA5DD0">
            <w:pPr>
              <w:keepNext w:val="0"/>
              <w:keepLines w:val="0"/>
              <w:pageBreakBefore w:val="0"/>
              <w:numPr>
                <w:ilvl w:val="0"/>
                <w:numId w:val="4"/>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调节阀流量静态特性的测试</w:t>
            </w:r>
          </w:p>
          <w:p w14:paraId="6C6AC698">
            <w:pPr>
              <w:keepNext w:val="0"/>
              <w:keepLines w:val="0"/>
              <w:pageBreakBefore w:val="0"/>
              <w:numPr>
                <w:ilvl w:val="0"/>
                <w:numId w:val="4"/>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磁力泵变频调速机构流量静态特性的测试</w:t>
            </w:r>
          </w:p>
          <w:p w14:paraId="438C783B">
            <w:pPr>
              <w:keepNext w:val="0"/>
              <w:keepLines w:val="0"/>
              <w:pageBreakBefore w:val="0"/>
              <w:numPr>
                <w:ilvl w:val="0"/>
                <w:numId w:val="4"/>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单容水箱液位对象动态特性的测试</w:t>
            </w:r>
          </w:p>
          <w:p w14:paraId="6B9A7DBE">
            <w:pPr>
              <w:keepNext w:val="0"/>
              <w:keepLines w:val="0"/>
              <w:pageBreakBefore w:val="0"/>
              <w:numPr>
                <w:ilvl w:val="0"/>
                <w:numId w:val="4"/>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多容水箱液位对象动态特性的测试</w:t>
            </w:r>
          </w:p>
          <w:p w14:paraId="4BD09AED">
            <w:pPr>
              <w:keepNext w:val="0"/>
              <w:keepLines w:val="0"/>
              <w:pageBreakBefore w:val="0"/>
              <w:numPr>
                <w:ilvl w:val="0"/>
                <w:numId w:val="4"/>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锅炉内胆温度对象动态特性的测试</w:t>
            </w:r>
          </w:p>
          <w:p w14:paraId="544A97F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3、位式控制系统实验</w:t>
            </w:r>
          </w:p>
          <w:p w14:paraId="03AC84E1">
            <w:pPr>
              <w:keepNext w:val="0"/>
              <w:keepLines w:val="0"/>
              <w:pageBreakBefore w:val="0"/>
              <w:numPr>
                <w:ilvl w:val="0"/>
                <w:numId w:val="5"/>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锅炉内胆水温的位式控制</w:t>
            </w:r>
          </w:p>
          <w:p w14:paraId="6F0B7B4C">
            <w:pPr>
              <w:keepNext w:val="0"/>
              <w:keepLines w:val="0"/>
              <w:pageBreakBefore w:val="0"/>
              <w:numPr>
                <w:ilvl w:val="0"/>
                <w:numId w:val="5"/>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锅炉夹套水温的位式控制</w:t>
            </w:r>
          </w:p>
          <w:p w14:paraId="4922191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4、单回路控制系统实验</w:t>
            </w:r>
          </w:p>
          <w:p w14:paraId="29477097">
            <w:pPr>
              <w:keepNext w:val="0"/>
              <w:keepLines w:val="0"/>
              <w:pageBreakBefore w:val="0"/>
              <w:numPr>
                <w:ilvl w:val="0"/>
                <w:numId w:val="6"/>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上水箱或中水箱或下水箱液位的定值控制</w:t>
            </w:r>
          </w:p>
          <w:p w14:paraId="3337D9C2">
            <w:pPr>
              <w:keepNext w:val="0"/>
              <w:keepLines w:val="0"/>
              <w:pageBreakBefore w:val="0"/>
              <w:numPr>
                <w:ilvl w:val="0"/>
                <w:numId w:val="6"/>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多容水箱液位的定值控制</w:t>
            </w:r>
          </w:p>
          <w:p w14:paraId="3A53369E">
            <w:pPr>
              <w:keepNext w:val="0"/>
              <w:keepLines w:val="0"/>
              <w:pageBreakBefore w:val="0"/>
              <w:numPr>
                <w:ilvl w:val="0"/>
                <w:numId w:val="6"/>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锅炉内胆水温的定值控制</w:t>
            </w:r>
          </w:p>
          <w:p w14:paraId="1E2820DF">
            <w:pPr>
              <w:keepNext w:val="0"/>
              <w:keepLines w:val="0"/>
              <w:pageBreakBefore w:val="0"/>
              <w:numPr>
                <w:ilvl w:val="0"/>
                <w:numId w:val="6"/>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锅炉夹套水温的定值控制</w:t>
            </w:r>
          </w:p>
          <w:p w14:paraId="26FFD79D">
            <w:pPr>
              <w:keepNext w:val="0"/>
              <w:keepLines w:val="0"/>
              <w:pageBreakBefore w:val="0"/>
              <w:numPr>
                <w:ilvl w:val="0"/>
                <w:numId w:val="6"/>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调节阀支路流量的定值控制</w:t>
            </w:r>
          </w:p>
          <w:p w14:paraId="1D67CCBE">
            <w:pPr>
              <w:keepNext w:val="0"/>
              <w:keepLines w:val="0"/>
              <w:pageBreakBefore w:val="0"/>
              <w:numPr>
                <w:ilvl w:val="0"/>
                <w:numId w:val="6"/>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变频调速磁力泵支路流量的定值控制</w:t>
            </w:r>
          </w:p>
          <w:p w14:paraId="1EE556D6">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5、串能控制系统的实验</w:t>
            </w:r>
          </w:p>
          <w:p w14:paraId="5986092E">
            <w:pPr>
              <w:keepNext w:val="0"/>
              <w:keepLines w:val="0"/>
              <w:pageBreakBefore w:val="0"/>
              <w:numPr>
                <w:ilvl w:val="0"/>
                <w:numId w:val="7"/>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串级控制系统的信号连接</w:t>
            </w:r>
          </w:p>
          <w:p w14:paraId="32AAEADF">
            <w:pPr>
              <w:keepNext w:val="0"/>
              <w:keepLines w:val="0"/>
              <w:pageBreakBefore w:val="0"/>
              <w:numPr>
                <w:ilvl w:val="0"/>
                <w:numId w:val="7"/>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水箱液位的串级控制</w:t>
            </w:r>
          </w:p>
          <w:p w14:paraId="66E066A2">
            <w:pPr>
              <w:keepNext w:val="0"/>
              <w:keepLines w:val="0"/>
              <w:pageBreakBefore w:val="0"/>
              <w:numPr>
                <w:ilvl w:val="0"/>
                <w:numId w:val="7"/>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水箱液位与流量的串级控制</w:t>
            </w:r>
          </w:p>
          <w:p w14:paraId="6C5C0887">
            <w:pPr>
              <w:keepNext w:val="0"/>
              <w:keepLines w:val="0"/>
              <w:pageBreakBefore w:val="0"/>
              <w:numPr>
                <w:ilvl w:val="0"/>
                <w:numId w:val="7"/>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锅炉内胆水温与锅炉夹套水温串级控制</w:t>
            </w:r>
          </w:p>
          <w:p w14:paraId="4A61804B">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6、比值控制系统实验</w:t>
            </w:r>
          </w:p>
          <w:p w14:paraId="4FA32B52">
            <w:pPr>
              <w:keepNext w:val="0"/>
              <w:keepLines w:val="0"/>
              <w:pageBreakBefore w:val="0"/>
              <w:numPr>
                <w:ilvl w:val="0"/>
                <w:numId w:val="8"/>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单闭环流量比值控制</w:t>
            </w:r>
          </w:p>
          <w:p w14:paraId="713117AE">
            <w:pPr>
              <w:keepNext w:val="0"/>
              <w:keepLines w:val="0"/>
              <w:pageBreakBefore w:val="0"/>
              <w:numPr>
                <w:ilvl w:val="0"/>
                <w:numId w:val="8"/>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双闭环流量比值控制</w:t>
            </w:r>
          </w:p>
          <w:p w14:paraId="672732B0">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7、复杂控制系统实验</w:t>
            </w:r>
          </w:p>
          <w:p w14:paraId="09C61F03">
            <w:pPr>
              <w:keepNext w:val="0"/>
              <w:keepLines w:val="0"/>
              <w:pageBreakBefore w:val="0"/>
              <w:numPr>
                <w:ilvl w:val="0"/>
                <w:numId w:val="9"/>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水箱液位的动态前馈-反馈控制</w:t>
            </w:r>
          </w:p>
          <w:p w14:paraId="6AFE861D">
            <w:pPr>
              <w:keepNext w:val="0"/>
              <w:keepLines w:val="0"/>
              <w:pageBreakBefore w:val="0"/>
              <w:numPr>
                <w:ilvl w:val="0"/>
                <w:numId w:val="9"/>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温度smith预估控制</w:t>
            </w:r>
          </w:p>
          <w:p w14:paraId="519F992A">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8、工控组态软件组态实验</w:t>
            </w:r>
          </w:p>
          <w:p w14:paraId="035AAB0B">
            <w:pPr>
              <w:keepNext w:val="0"/>
              <w:keepLines w:val="0"/>
              <w:pageBreakBefore w:val="0"/>
              <w:numPr>
                <w:ilvl w:val="0"/>
                <w:numId w:val="10"/>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实时数据库组态实验</w:t>
            </w:r>
          </w:p>
          <w:p w14:paraId="70C0CDCB">
            <w:pPr>
              <w:keepNext w:val="0"/>
              <w:keepLines w:val="0"/>
              <w:pageBreakBefore w:val="0"/>
              <w:numPr>
                <w:ilvl w:val="0"/>
                <w:numId w:val="10"/>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图形动画、报表、曲线、报警组态实验</w:t>
            </w:r>
          </w:p>
          <w:p w14:paraId="404530DA">
            <w:pPr>
              <w:keepNext w:val="0"/>
              <w:keepLines w:val="0"/>
              <w:pageBreakBefore w:val="0"/>
              <w:numPr>
                <w:ilvl w:val="0"/>
                <w:numId w:val="10"/>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设备通讯组态实验</w:t>
            </w:r>
          </w:p>
          <w:p w14:paraId="2FCD27C1">
            <w:pPr>
              <w:keepNext w:val="0"/>
              <w:keepLines w:val="0"/>
              <w:pageBreakBefore w:val="0"/>
              <w:numPr>
                <w:ilvl w:val="0"/>
                <w:numId w:val="10"/>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脚本程序应用组态实验</w:t>
            </w:r>
          </w:p>
          <w:p w14:paraId="3A06B272">
            <w:pPr>
              <w:pStyle w:val="11"/>
              <w:keepNext w:val="0"/>
              <w:keepLines w:val="0"/>
              <w:pageBreakBefore w:val="0"/>
              <w:numPr>
                <w:ilvl w:val="0"/>
                <w:numId w:val="11"/>
              </w:numPr>
              <w:kinsoku/>
              <w:wordWrap/>
              <w:overflowPunct/>
              <w:topLinePunct w:val="0"/>
              <w:bidi w:val="0"/>
              <w:adjustRightInd w:val="0"/>
              <w:snapToGrid w:val="0"/>
              <w:spacing w:line="300" w:lineRule="auto"/>
              <w:ind w:left="0" w:firstLine="0" w:firstLineChars="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PLC控制方式下的过程控制实验</w:t>
            </w:r>
          </w:p>
        </w:tc>
        <w:tc>
          <w:tcPr>
            <w:tcW w:w="345" w:type="pct"/>
            <w:noWrap w:val="0"/>
            <w:vAlign w:val="center"/>
          </w:tcPr>
          <w:p w14:paraId="1917448F">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snapToGrid w:val="0"/>
                <w:color w:val="auto"/>
                <w:kern w:val="0"/>
                <w:sz w:val="24"/>
                <w:szCs w:val="24"/>
              </w:rPr>
            </w:pPr>
            <w:r>
              <w:rPr>
                <w:rFonts w:hint="eastAsia" w:asciiTheme="minorEastAsia" w:hAnsiTheme="minorEastAsia" w:eastAsiaTheme="minorEastAsia" w:cstheme="minorEastAsia"/>
                <w:snapToGrid w:val="0"/>
                <w:color w:val="auto"/>
                <w:kern w:val="0"/>
                <w:sz w:val="24"/>
                <w:szCs w:val="24"/>
              </w:rPr>
              <w:t>台</w:t>
            </w:r>
          </w:p>
        </w:tc>
        <w:tc>
          <w:tcPr>
            <w:tcW w:w="372" w:type="pct"/>
            <w:noWrap/>
            <w:vAlign w:val="center"/>
          </w:tcPr>
          <w:p w14:paraId="012C762F">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snapToGrid w:val="0"/>
                <w:color w:val="auto"/>
                <w:kern w:val="0"/>
                <w:sz w:val="24"/>
                <w:szCs w:val="24"/>
              </w:rPr>
            </w:pPr>
            <w:r>
              <w:rPr>
                <w:rFonts w:hint="eastAsia" w:asciiTheme="minorEastAsia" w:hAnsiTheme="minorEastAsia" w:eastAsiaTheme="minorEastAsia" w:cstheme="minorEastAsia"/>
                <w:snapToGrid w:val="0"/>
                <w:color w:val="auto"/>
                <w:kern w:val="0"/>
                <w:sz w:val="24"/>
                <w:szCs w:val="24"/>
              </w:rPr>
              <w:t>5</w:t>
            </w:r>
          </w:p>
        </w:tc>
        <w:tc>
          <w:tcPr>
            <w:tcW w:w="430" w:type="pct"/>
            <w:noWrap/>
            <w:vAlign w:val="center"/>
          </w:tcPr>
          <w:p w14:paraId="47653348">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snapToGrid w:val="0"/>
                <w:color w:val="auto"/>
                <w:kern w:val="0"/>
                <w:sz w:val="24"/>
                <w:szCs w:val="24"/>
                <w:lang w:val="en-US" w:eastAsia="zh-CN"/>
              </w:rPr>
            </w:pPr>
            <w:r>
              <w:rPr>
                <w:rFonts w:hint="eastAsia" w:asciiTheme="minorEastAsia" w:hAnsiTheme="minorEastAsia" w:eastAsiaTheme="minorEastAsia" w:cstheme="minorEastAsia"/>
                <w:snapToGrid w:val="0"/>
                <w:color w:val="auto"/>
                <w:kern w:val="0"/>
                <w:sz w:val="24"/>
                <w:szCs w:val="24"/>
                <w:lang w:val="en-US" w:eastAsia="zh-CN"/>
              </w:rPr>
              <w:t>工业</w:t>
            </w:r>
          </w:p>
        </w:tc>
      </w:tr>
      <w:tr w14:paraId="0CF38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2" w:type="pct"/>
            <w:noWrap/>
            <w:vAlign w:val="center"/>
          </w:tcPr>
          <w:p w14:paraId="3E79E6F6">
            <w:pPr>
              <w:keepNext w:val="0"/>
              <w:keepLines w:val="0"/>
              <w:pageBreakBefore w:val="0"/>
              <w:widowControl/>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9</w:t>
            </w:r>
          </w:p>
        </w:tc>
        <w:tc>
          <w:tcPr>
            <w:tcW w:w="825" w:type="pct"/>
            <w:noWrap/>
            <w:vAlign w:val="center"/>
          </w:tcPr>
          <w:p w14:paraId="1BDDEAD3">
            <w:pPr>
              <w:pStyle w:val="4"/>
              <w:keepNext w:val="0"/>
              <w:keepLines w:val="0"/>
              <w:pageBreakBefore w:val="0"/>
              <w:kinsoku/>
              <w:wordWrap/>
              <w:overflowPunct/>
              <w:topLinePunct w:val="0"/>
              <w:bidi w:val="0"/>
              <w:adjustRightInd w:val="0"/>
              <w:snapToGrid w:val="0"/>
              <w:spacing w:before="0" w:beforeAutospacing="0" w:after="0" w:afterAutospacing="0" w:line="300" w:lineRule="auto"/>
              <w:jc w:val="center"/>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snapToGrid w:val="0"/>
                <w:color w:val="auto"/>
                <w:sz w:val="24"/>
                <w:szCs w:val="24"/>
              </w:rPr>
              <w:t>过程控制系统实验装置</w:t>
            </w:r>
          </w:p>
        </w:tc>
        <w:tc>
          <w:tcPr>
            <w:tcW w:w="2643" w:type="pct"/>
            <w:noWrap w:val="0"/>
            <w:vAlign w:val="center"/>
          </w:tcPr>
          <w:p w14:paraId="3BE11A63">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b/>
                <w:bCs/>
                <w:color w:val="auto"/>
                <w:kern w:val="0"/>
                <w:sz w:val="24"/>
                <w:szCs w:val="24"/>
              </w:rPr>
            </w:pPr>
            <w:r>
              <w:rPr>
                <w:rFonts w:hint="eastAsia" w:asciiTheme="minorEastAsia" w:hAnsiTheme="minorEastAsia" w:eastAsiaTheme="minorEastAsia" w:cstheme="minorEastAsia"/>
                <w:b/>
                <w:bCs/>
                <w:color w:val="auto"/>
                <w:kern w:val="0"/>
                <w:sz w:val="24"/>
                <w:szCs w:val="24"/>
              </w:rPr>
              <w:t>一、基本要求</w:t>
            </w:r>
          </w:p>
          <w:p w14:paraId="5F0718FD">
            <w:pPr>
              <w:keepNext w:val="0"/>
              <w:keepLines w:val="0"/>
              <w:pageBreakBefore w:val="0"/>
              <w:tabs>
                <w:tab w:val="left" w:pos="540"/>
                <w:tab w:val="left" w:pos="1080"/>
              </w:tabs>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（一）、传感器技术AR仿真实训教学APP软件</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要求软件具有实时交互性，在手机上打开本软件，将摄像头对准到特性物体上（实物或图片），然后增强现实系统可以在它上面展示出以下功能：</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1.原理展示：通过位移测量、振动测量、转速测量、环境测量等具体应用实例来展示传感器的基本原理，并可动态显示实验结果。</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2.零件展示：单独展示传感器的各个组成元件，观察零件的结构、材质以及材质类型。</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3.装配演示：以3D仿真的形式展示传感器的装配过程。具有快速装配、慢速装配、放大、缩小、旋转视图等功能。</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4.支持霍尔位移传感器、霍尔转速传感器、压电传感器、湿敏传感器、气敏传感器、电涡流传感器、磁电传感器、差动电容传感器、差动变压器、金属箔应变传感器、扩散硅压力传感器、光纤位移传感器、光电转速传感器、集成温度传感器、K型热电偶、E型热电偶、PT100铂电阻等17个常用传感器。</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5.内置AI智能语音助手，点击相应位置，自动语音讲解其功能。</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（二）、PLC技术AR仿真实训教学APP软件</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要求软件内置AI智能语音助手，点击相应位置，自动语音讲解其功能，具有实时交互性，在手机上打开本软件，将摄像头对准到特定物体上（图片/实物），然后增强现实系统可以在它上面展示出以下功能：</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1.PLC技术实训装置的动画演示；</w:t>
            </w:r>
          </w:p>
          <w:p w14:paraId="016EF242">
            <w:pPr>
              <w:keepNext w:val="0"/>
              <w:keepLines w:val="0"/>
              <w:pageBreakBefore w:val="0"/>
              <w:tabs>
                <w:tab w:val="left" w:pos="540"/>
                <w:tab w:val="left" w:pos="1080"/>
              </w:tabs>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2.可编程控制器的介绍；</w:t>
            </w:r>
          </w:p>
          <w:p w14:paraId="5195D4FD">
            <w:pPr>
              <w:keepNext w:val="0"/>
              <w:keepLines w:val="0"/>
              <w:pageBreakBefore w:val="0"/>
              <w:tabs>
                <w:tab w:val="left" w:pos="540"/>
                <w:tab w:val="left" w:pos="1080"/>
              </w:tabs>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3.变频器的介绍；</w:t>
            </w:r>
          </w:p>
          <w:p w14:paraId="47B85DFE">
            <w:pPr>
              <w:keepNext w:val="0"/>
              <w:keepLines w:val="0"/>
              <w:pageBreakBefore w:val="0"/>
              <w:tabs>
                <w:tab w:val="left" w:pos="540"/>
                <w:tab w:val="left" w:pos="1080"/>
              </w:tabs>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4.工业触摸屏的介绍；</w:t>
            </w:r>
          </w:p>
          <w:p w14:paraId="295961D9">
            <w:pPr>
              <w:keepNext w:val="0"/>
              <w:keepLines w:val="0"/>
              <w:pageBreakBefore w:val="0"/>
              <w:tabs>
                <w:tab w:val="left" w:pos="540"/>
                <w:tab w:val="left" w:pos="1080"/>
              </w:tabs>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5.PLC控制LED仿真实训；</w:t>
            </w:r>
          </w:p>
          <w:p w14:paraId="7B8C8699">
            <w:pPr>
              <w:keepNext w:val="0"/>
              <w:keepLines w:val="0"/>
              <w:pageBreakBefore w:val="0"/>
              <w:tabs>
                <w:tab w:val="left" w:pos="540"/>
                <w:tab w:val="left" w:pos="1080"/>
              </w:tabs>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6.PLC控制继电接触电路仿真实训；</w:t>
            </w:r>
          </w:p>
          <w:p w14:paraId="243C2703">
            <w:pPr>
              <w:keepNext w:val="0"/>
              <w:keepLines w:val="0"/>
              <w:pageBreakBefore w:val="0"/>
              <w:tabs>
                <w:tab w:val="left" w:pos="540"/>
                <w:tab w:val="left" w:pos="1080"/>
              </w:tabs>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7.PLC控制变频调速仿真实训。</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（三）、三维工业自动化设计软件</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1.兼容性和扩展性</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支持UG、solidedge、Pro/e、SOLIDWORKS、inverntor主流3D原生和通用文件的导入，支持与商业版软件文件格式的互通，并可对数据进行直接编辑进行设计变更。可导出各环节所需的3D及2D数据，支持与主流的PLM/PDM系统的集成，3D数据应用于产品全生命周期。</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2.智能参数建模技术</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智能参数建模技术可创建和编辑3D模型。可像处理本机文件一样处理多CAD数据，无缝衔接整个生态链。</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3.支持百万级零件的大型装配体</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轻松地创建和管理超大型装配，能够快速检测并修复零部件之间的冲突和干扰问题、生成装配说明。百万级零件装配体流畅操作，软件性能不受任何影响，无需硬件设备投入。</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4.直观的用户界面基于采购人操作环境开发。</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5.完整的2D+3D一体化</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基于3D模型快速生成符合国标的2D工程图，快速完善图纸信息；3D数据的变更直接关联到工程图；数据无缝导出至AutoCAD进一步应用，从设计到制造的业务流程，软件提供2D+3D一体化解决方案。</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6.集成PLC 3D仿真功能软件中构建3D虚拟环境，（1）实现自动封盖；（2）自动装箱；（3）温度压力控制；（4）码垛堆积；（5）加工中心刀库；（6）电镀生产线；（7）多种液体混合；（8）自动混合生产线；（9）水塔水位控制；（10）机械手控制；（11）机器人自动扫雷；（12）</w:t>
            </w:r>
            <w:r>
              <w:rPr>
                <w:rFonts w:hint="eastAsia" w:asciiTheme="minorEastAsia" w:hAnsiTheme="minorEastAsia" w:eastAsiaTheme="minorEastAsia" w:cstheme="minorEastAsia"/>
                <w:bCs/>
                <w:snapToGrid w:val="0"/>
                <w:color w:val="auto"/>
                <w:kern w:val="0"/>
                <w:sz w:val="24"/>
                <w:szCs w:val="24"/>
              </w:rPr>
              <w:t>直流电机不少于23组数据模型；</w:t>
            </w:r>
            <w:r>
              <w:rPr>
                <w:rFonts w:hint="eastAsia" w:asciiTheme="minorEastAsia" w:hAnsiTheme="minorEastAsia" w:eastAsiaTheme="minorEastAsia" w:cstheme="minorEastAsia"/>
                <w:color w:val="auto"/>
                <w:kern w:val="0"/>
                <w:sz w:val="24"/>
                <w:szCs w:val="24"/>
              </w:rPr>
              <w:t>（13）</w:t>
            </w:r>
            <w:r>
              <w:rPr>
                <w:rFonts w:hint="eastAsia" w:asciiTheme="minorEastAsia" w:hAnsiTheme="minorEastAsia" w:eastAsiaTheme="minorEastAsia" w:cstheme="minorEastAsia"/>
                <w:bCs/>
                <w:snapToGrid w:val="0"/>
                <w:color w:val="auto"/>
                <w:kern w:val="0"/>
                <w:sz w:val="24"/>
                <w:szCs w:val="24"/>
              </w:rPr>
              <w:t>异步电机不少于20组数据模型；</w:t>
            </w:r>
            <w:r>
              <w:rPr>
                <w:rFonts w:hint="eastAsia" w:asciiTheme="minorEastAsia" w:hAnsiTheme="minorEastAsia" w:eastAsiaTheme="minorEastAsia" w:cstheme="minorEastAsia"/>
                <w:color w:val="auto"/>
                <w:kern w:val="0"/>
                <w:sz w:val="24"/>
                <w:szCs w:val="24"/>
              </w:rPr>
              <w:t>（14）</w:t>
            </w:r>
            <w:r>
              <w:rPr>
                <w:rFonts w:hint="eastAsia" w:asciiTheme="minorEastAsia" w:hAnsiTheme="minorEastAsia" w:eastAsiaTheme="minorEastAsia" w:cstheme="minorEastAsia"/>
                <w:bCs/>
                <w:snapToGrid w:val="0"/>
                <w:color w:val="auto"/>
                <w:kern w:val="0"/>
                <w:sz w:val="24"/>
                <w:szCs w:val="24"/>
              </w:rPr>
              <w:t>同步电机不少于6组数据模型；</w:t>
            </w:r>
            <w:r>
              <w:rPr>
                <w:rFonts w:hint="eastAsia" w:asciiTheme="minorEastAsia" w:hAnsiTheme="minorEastAsia" w:eastAsiaTheme="minorEastAsia" w:cstheme="minorEastAsia"/>
                <w:color w:val="auto"/>
                <w:kern w:val="0"/>
                <w:sz w:val="24"/>
                <w:szCs w:val="24"/>
              </w:rPr>
              <w:t>（15）</w:t>
            </w:r>
            <w:r>
              <w:rPr>
                <w:rFonts w:hint="eastAsia" w:asciiTheme="minorEastAsia" w:hAnsiTheme="minorEastAsia" w:eastAsiaTheme="minorEastAsia" w:cstheme="minorEastAsia"/>
                <w:bCs/>
                <w:snapToGrid w:val="0"/>
                <w:color w:val="auto"/>
                <w:kern w:val="0"/>
                <w:sz w:val="24"/>
                <w:szCs w:val="24"/>
              </w:rPr>
              <w:t>变压器不少于6组数据模型；</w:t>
            </w:r>
            <w:r>
              <w:rPr>
                <w:rFonts w:hint="eastAsia" w:asciiTheme="minorEastAsia" w:hAnsiTheme="minorEastAsia" w:eastAsiaTheme="minorEastAsia" w:cstheme="minorEastAsia"/>
                <w:color w:val="auto"/>
                <w:kern w:val="0"/>
                <w:sz w:val="24"/>
                <w:szCs w:val="24"/>
              </w:rPr>
              <w:t>（16）</w:t>
            </w:r>
            <w:r>
              <w:rPr>
                <w:rFonts w:hint="eastAsia" w:asciiTheme="minorEastAsia" w:hAnsiTheme="minorEastAsia" w:eastAsiaTheme="minorEastAsia" w:cstheme="minorEastAsia"/>
                <w:bCs/>
                <w:snapToGrid w:val="0"/>
                <w:color w:val="auto"/>
                <w:kern w:val="0"/>
                <w:sz w:val="24"/>
                <w:szCs w:val="24"/>
              </w:rPr>
              <w:t>直流电机数据模型覆盖串励、并励、他励三种电机类型；</w:t>
            </w:r>
            <w:r>
              <w:rPr>
                <w:rFonts w:hint="eastAsia" w:asciiTheme="minorEastAsia" w:hAnsiTheme="minorEastAsia" w:eastAsiaTheme="minorEastAsia" w:cstheme="minorEastAsia"/>
                <w:color w:val="auto"/>
                <w:kern w:val="0"/>
                <w:sz w:val="24"/>
                <w:szCs w:val="24"/>
              </w:rPr>
              <w:t>（17）</w:t>
            </w:r>
            <w:r>
              <w:rPr>
                <w:rFonts w:hint="eastAsia" w:asciiTheme="minorEastAsia" w:hAnsiTheme="minorEastAsia" w:eastAsiaTheme="minorEastAsia" w:cstheme="minorEastAsia"/>
                <w:bCs/>
                <w:snapToGrid w:val="0"/>
                <w:color w:val="auto"/>
                <w:kern w:val="0"/>
                <w:sz w:val="24"/>
                <w:szCs w:val="24"/>
              </w:rPr>
              <w:t>异步电机数据模型覆盖星型、三角两种接法；</w:t>
            </w:r>
            <w:r>
              <w:rPr>
                <w:rFonts w:hint="eastAsia" w:asciiTheme="minorEastAsia" w:hAnsiTheme="minorEastAsia" w:eastAsiaTheme="minorEastAsia" w:cstheme="minorEastAsia"/>
                <w:color w:val="auto"/>
                <w:kern w:val="0"/>
                <w:sz w:val="24"/>
                <w:szCs w:val="24"/>
              </w:rPr>
              <w:t>（18）</w:t>
            </w:r>
            <w:r>
              <w:rPr>
                <w:rFonts w:hint="eastAsia" w:asciiTheme="minorEastAsia" w:hAnsiTheme="minorEastAsia" w:eastAsiaTheme="minorEastAsia" w:cstheme="minorEastAsia"/>
                <w:bCs/>
                <w:snapToGrid w:val="0"/>
                <w:color w:val="auto"/>
                <w:kern w:val="0"/>
                <w:sz w:val="24"/>
                <w:szCs w:val="24"/>
              </w:rPr>
              <w:t>直流电机、异步电机特性实验能动态描绘电机工作特性、固有机械特性、人为机械特性曲线；</w:t>
            </w:r>
            <w:r>
              <w:rPr>
                <w:rFonts w:hint="eastAsia" w:asciiTheme="minorEastAsia" w:hAnsiTheme="minorEastAsia" w:eastAsiaTheme="minorEastAsia" w:cstheme="minorEastAsia"/>
                <w:color w:val="auto"/>
                <w:kern w:val="0"/>
                <w:sz w:val="24"/>
                <w:szCs w:val="24"/>
              </w:rPr>
              <w:t>（19）</w:t>
            </w:r>
            <w:r>
              <w:rPr>
                <w:rFonts w:hint="eastAsia" w:asciiTheme="minorEastAsia" w:hAnsiTheme="minorEastAsia" w:eastAsiaTheme="minorEastAsia" w:cstheme="minorEastAsia"/>
                <w:bCs/>
                <w:snapToGrid w:val="0"/>
                <w:color w:val="auto"/>
                <w:kern w:val="0"/>
                <w:sz w:val="24"/>
                <w:szCs w:val="24"/>
              </w:rPr>
              <w:t>变压器特性实验能动态描绘变压器外特性和效率曲线；</w:t>
            </w:r>
            <w:r>
              <w:rPr>
                <w:rFonts w:hint="eastAsia" w:asciiTheme="minorEastAsia" w:hAnsiTheme="minorEastAsia" w:eastAsiaTheme="minorEastAsia" w:cstheme="minorEastAsia"/>
                <w:color w:val="auto"/>
                <w:kern w:val="0"/>
                <w:sz w:val="24"/>
                <w:szCs w:val="24"/>
              </w:rPr>
              <w:t>（20）</w:t>
            </w:r>
            <w:r>
              <w:rPr>
                <w:rFonts w:hint="eastAsia" w:asciiTheme="minorEastAsia" w:hAnsiTheme="minorEastAsia" w:eastAsiaTheme="minorEastAsia" w:cstheme="minorEastAsia"/>
                <w:bCs/>
                <w:snapToGrid w:val="0"/>
                <w:color w:val="auto"/>
                <w:kern w:val="0"/>
                <w:sz w:val="24"/>
                <w:szCs w:val="24"/>
              </w:rPr>
              <w:t>直流电机、异步电机能完成电机起动、调速、制动实验；</w:t>
            </w:r>
            <w:r>
              <w:rPr>
                <w:rFonts w:hint="eastAsia" w:asciiTheme="minorEastAsia" w:hAnsiTheme="minorEastAsia" w:eastAsiaTheme="minorEastAsia" w:cstheme="minorEastAsia"/>
                <w:color w:val="auto"/>
                <w:kern w:val="0"/>
                <w:sz w:val="24"/>
                <w:szCs w:val="24"/>
              </w:rPr>
              <w:t>（21）</w:t>
            </w:r>
            <w:r>
              <w:rPr>
                <w:rFonts w:hint="eastAsia" w:asciiTheme="minorEastAsia" w:hAnsiTheme="minorEastAsia" w:eastAsiaTheme="minorEastAsia" w:cstheme="minorEastAsia"/>
                <w:bCs/>
                <w:snapToGrid w:val="0"/>
                <w:color w:val="auto"/>
                <w:kern w:val="0"/>
                <w:sz w:val="24"/>
                <w:szCs w:val="24"/>
              </w:rPr>
              <w:t>直流电机、异步电机、同步电机运行实验中可选择负载类型不少于3种；</w:t>
            </w:r>
            <w:r>
              <w:rPr>
                <w:rFonts w:hint="eastAsia" w:asciiTheme="minorEastAsia" w:hAnsiTheme="minorEastAsia" w:eastAsiaTheme="minorEastAsia" w:cstheme="minorEastAsia"/>
                <w:color w:val="auto"/>
                <w:kern w:val="0"/>
                <w:sz w:val="24"/>
                <w:szCs w:val="24"/>
              </w:rPr>
              <w:t>（22）</w:t>
            </w:r>
            <w:r>
              <w:rPr>
                <w:rFonts w:hint="eastAsia" w:asciiTheme="minorEastAsia" w:hAnsiTheme="minorEastAsia" w:eastAsiaTheme="minorEastAsia" w:cstheme="minorEastAsia"/>
                <w:bCs/>
                <w:snapToGrid w:val="0"/>
                <w:color w:val="auto"/>
                <w:kern w:val="0"/>
                <w:sz w:val="24"/>
                <w:szCs w:val="24"/>
              </w:rPr>
              <w:t>直流电机、异步电机起动实验中，支持不少于3种起动方式；</w:t>
            </w:r>
            <w:r>
              <w:rPr>
                <w:rFonts w:hint="eastAsia" w:asciiTheme="minorEastAsia" w:hAnsiTheme="minorEastAsia" w:eastAsiaTheme="minorEastAsia" w:cstheme="minorEastAsia"/>
                <w:color w:val="auto"/>
                <w:kern w:val="0"/>
                <w:sz w:val="24"/>
                <w:szCs w:val="24"/>
              </w:rPr>
              <w:t>（23）</w:t>
            </w:r>
            <w:r>
              <w:rPr>
                <w:rFonts w:hint="eastAsia" w:asciiTheme="minorEastAsia" w:hAnsiTheme="minorEastAsia" w:eastAsiaTheme="minorEastAsia" w:cstheme="minorEastAsia"/>
                <w:bCs/>
                <w:snapToGrid w:val="0"/>
                <w:color w:val="auto"/>
                <w:kern w:val="0"/>
                <w:sz w:val="24"/>
                <w:szCs w:val="24"/>
              </w:rPr>
              <w:t>直流电机、异步电机调速实验中，支持不少于3种调速方式；</w:t>
            </w:r>
            <w:r>
              <w:rPr>
                <w:rFonts w:hint="eastAsia" w:asciiTheme="minorEastAsia" w:hAnsiTheme="minorEastAsia" w:eastAsiaTheme="minorEastAsia" w:cstheme="minorEastAsia"/>
                <w:color w:val="auto"/>
                <w:kern w:val="0"/>
                <w:sz w:val="24"/>
                <w:szCs w:val="24"/>
              </w:rPr>
              <w:t>（24）</w:t>
            </w:r>
            <w:r>
              <w:rPr>
                <w:rFonts w:hint="eastAsia" w:asciiTheme="minorEastAsia" w:hAnsiTheme="minorEastAsia" w:eastAsiaTheme="minorEastAsia" w:cstheme="minorEastAsia"/>
                <w:bCs/>
                <w:snapToGrid w:val="0"/>
                <w:color w:val="auto"/>
                <w:kern w:val="0"/>
                <w:sz w:val="24"/>
                <w:szCs w:val="24"/>
              </w:rPr>
              <w:t>直流电机、异步电机制动实验中，支持不少于3种制动方式；</w:t>
            </w:r>
            <w:r>
              <w:rPr>
                <w:rFonts w:hint="eastAsia" w:asciiTheme="minorEastAsia" w:hAnsiTheme="minorEastAsia" w:eastAsiaTheme="minorEastAsia" w:cstheme="minorEastAsia"/>
                <w:color w:val="auto"/>
                <w:kern w:val="0"/>
                <w:sz w:val="24"/>
                <w:szCs w:val="24"/>
              </w:rPr>
              <w:t>（25）</w:t>
            </w:r>
            <w:r>
              <w:rPr>
                <w:rFonts w:hint="eastAsia" w:asciiTheme="minorEastAsia" w:hAnsiTheme="minorEastAsia" w:eastAsiaTheme="minorEastAsia" w:cstheme="minorEastAsia"/>
                <w:bCs/>
                <w:snapToGrid w:val="0"/>
                <w:color w:val="auto"/>
                <w:kern w:val="0"/>
                <w:sz w:val="24"/>
                <w:szCs w:val="24"/>
              </w:rPr>
              <w:t>等效框图与实验曲线在同一显示界面中，并支持在等效框图中直接调整实验电路参数</w:t>
            </w:r>
            <w:r>
              <w:rPr>
                <w:rFonts w:hint="eastAsia" w:asciiTheme="minorEastAsia" w:hAnsiTheme="minorEastAsia" w:eastAsiaTheme="minorEastAsia" w:cstheme="minorEastAsia"/>
                <w:color w:val="auto"/>
                <w:kern w:val="0"/>
                <w:sz w:val="24"/>
                <w:szCs w:val="24"/>
              </w:rPr>
              <w:t>等二十五个实训项目，全面展现各种复杂的工艺流程。支持利用采集卡采集PLC的输入输出信号，实现PLC与计算机的通讯，从而控制软件中的3D模型的动作，使得虚拟仿真技术实时展现PLC的运行状态。</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7.集成电机仿真功能</w:t>
            </w:r>
          </w:p>
          <w:p w14:paraId="29C78478">
            <w:pPr>
              <w:keepNext w:val="0"/>
              <w:keepLines w:val="0"/>
              <w:pageBreakBefore w:val="0"/>
              <w:tabs>
                <w:tab w:val="left" w:pos="540"/>
                <w:tab w:val="left" w:pos="1080"/>
              </w:tabs>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kern w:val="0"/>
                <w:sz w:val="24"/>
                <w:szCs w:val="24"/>
              </w:rPr>
              <w:t>通信协议：TCP/IP协议；开发语言：C++；支持离线仿真；以状态方程形式对电机建模，支持自定义电机，并包含不少于20种直流电机和20种异步电机型号；实验项目：直流电机（结构展示、拆卸演示、装配演示、模拟装配、零部件展示、机械特性实验、启动实验、调速实验、制动实验）；异步电机（结构展示、拆卸演示、装配演示、模拟装配、零部件展示、机械特性实验、启动实验、调速实验、制动实验）；可以演示异步电机在启动过程中，定子与转子电流的瞬时变化，以及由它们建立的两个旋转磁势变化；可以演示出异步电机对称运行时的圆形磁场。实验对比：提供同类型电机，多项实验数据多维实验。</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8.功能特点</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8.1 装配体设计</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支持自底向上或自顶向下的装配体建模方式。</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8.2 工程图创建</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根据3D模型自动创建并更新工程图，快速创建标准视图和派生视图，提供尺寸控制和添加注释等工具，可以快速创建包含全部细节的工程图。</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8.3 钣金设计及优化</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除了基本的折弯和冲孔，还具有特定于钣金的特征，比如浮凸、浅凹、绘图切割、焊珠、轮廓弯边、直弯和蚀刻。还可用于分析、NC编程等集成应用。</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8.4 曲面设计及评估</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可创建高品质的曲面，并可通过精确的参数控制从而获得曲率，通过条纹等工具实时评估曲面效果。</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8.5 结构仿真分析</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内置的有限元分析 (FEA) 工具，可以在3D环境中通过数字方式验证零件设计，缩短产品开发周期。</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8.6 动画和运动仿真</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运动动画，可对模型输入运动参数，以获得运动过程中各状态的受力情况。也可通过结果倒推出所需的输入力或者功率。</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8.7 MBD基于模型的定义</w:t>
            </w:r>
            <w:r>
              <w:rPr>
                <w:rFonts w:hint="eastAsia" w:asciiTheme="minorEastAsia" w:hAnsiTheme="minorEastAsia" w:eastAsiaTheme="minorEastAsia" w:cstheme="minorEastAsia"/>
                <w:color w:val="auto"/>
                <w:kern w:val="0"/>
                <w:sz w:val="24"/>
                <w:szCs w:val="24"/>
              </w:rPr>
              <w:br w:type="textWrapping"/>
            </w:r>
            <w:r>
              <w:rPr>
                <w:rFonts w:hint="eastAsia" w:asciiTheme="minorEastAsia" w:hAnsiTheme="minorEastAsia" w:eastAsiaTheme="minorEastAsia" w:cstheme="minorEastAsia"/>
                <w:color w:val="auto"/>
                <w:kern w:val="0"/>
                <w:sz w:val="24"/>
                <w:szCs w:val="24"/>
              </w:rPr>
              <w:t>数字化沟通加快从设计到制造的过程。在3D模型中直接赋予产品制造信息，生成易于传播的3D PDF，通过直观的可交互文档查看制造数据。</w:t>
            </w:r>
          </w:p>
          <w:p w14:paraId="4BD29249">
            <w:pPr>
              <w:pStyle w:val="4"/>
              <w:keepNext w:val="0"/>
              <w:keepLines w:val="0"/>
              <w:pageBreakBefore w:val="0"/>
              <w:kinsoku/>
              <w:wordWrap/>
              <w:overflowPunct/>
              <w:topLinePunct w:val="0"/>
              <w:bidi w:val="0"/>
              <w:adjustRightInd w:val="0"/>
              <w:snapToGrid w:val="0"/>
              <w:spacing w:before="0" w:beforeAutospacing="0" w:after="0" w:afterAutospacing="0" w:line="300" w:lineRule="auto"/>
              <w:rPr>
                <w:rFonts w:hint="eastAsia" w:asciiTheme="minorEastAsia" w:hAnsiTheme="minorEastAsia" w:eastAsiaTheme="minorEastAsia" w:cstheme="minorEastAsia"/>
                <w:b/>
                <w:bCs/>
                <w:snapToGrid w:val="0"/>
                <w:color w:val="auto"/>
                <w:sz w:val="24"/>
                <w:szCs w:val="24"/>
              </w:rPr>
            </w:pPr>
            <w:r>
              <w:rPr>
                <w:rFonts w:hint="eastAsia" w:asciiTheme="minorEastAsia" w:hAnsiTheme="minorEastAsia" w:eastAsiaTheme="minorEastAsia" w:cstheme="minorEastAsia"/>
                <w:b/>
                <w:bCs/>
                <w:snapToGrid w:val="0"/>
                <w:color w:val="auto"/>
                <w:sz w:val="24"/>
                <w:szCs w:val="24"/>
              </w:rPr>
              <w:t>二、</w:t>
            </w:r>
            <w:r>
              <w:rPr>
                <w:rFonts w:hint="eastAsia" w:asciiTheme="minorEastAsia" w:hAnsiTheme="minorEastAsia" w:eastAsiaTheme="minorEastAsia" w:cstheme="minorEastAsia"/>
                <w:b/>
                <w:bCs/>
                <w:color w:val="auto"/>
                <w:spacing w:val="-2"/>
                <w:sz w:val="24"/>
                <w:szCs w:val="24"/>
              </w:rPr>
              <w:t>设备参数要求</w:t>
            </w:r>
          </w:p>
          <w:p w14:paraId="3FCF3539">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1.实验桌，尺寸≥1790×800×1400mm。</w:t>
            </w:r>
          </w:p>
          <w:p w14:paraId="4D5333D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2.智能调节器：线性电流4～20mA电流输出。</w:t>
            </w:r>
          </w:p>
          <w:p w14:paraId="59C8CE6F">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3.智能位式调节仪：要求智能型的位式调节仪表，带有计算机RS485通讯功能。</w:t>
            </w:r>
          </w:p>
          <w:p w14:paraId="73A67154">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4.变频器：具有RS485接口，输出频率范围：0.2～400Hz；频率设定分辨率：0.06Hz/60HZ；频率精度：最大输出频率的±0.1%以内；控制信号输入为4～20mADC或0～5VDC，交流220V变频输出用来驱动三相磁力驱动泵。</w:t>
            </w:r>
          </w:p>
          <w:p w14:paraId="06D6A32C">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5.可控硅加温模块：要求提供4-20mA信号输入，移相触发控制，信号与功率电路隔离。</w:t>
            </w:r>
          </w:p>
          <w:p w14:paraId="4584C9BB">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6.比例器：用于比值实验和前馈实验。</w:t>
            </w:r>
          </w:p>
          <w:p w14:paraId="2694CED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7.开关电源：提供24V直流电源，最大电流2A。</w:t>
            </w:r>
          </w:p>
          <w:p w14:paraId="433AE5EF">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8.远程数据采集模块：要求提供8路模拟量输入、4路模拟量输出、RS232/RS485接口转换模块。完成计算机控制的需要。</w:t>
            </w:r>
          </w:p>
          <w:p w14:paraId="201D649A">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9.可编程控制器：要求采用满足以下参数的可编程控制器,含可编程控制器主机、12位4AI模拟量输入模块、12位2AO模拟量输出模块。</w:t>
            </w:r>
          </w:p>
          <w:p w14:paraId="63B28A4B">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10.验导线：自锁紧接头插座及连接导线</w:t>
            </w:r>
          </w:p>
          <w:p w14:paraId="7B234827">
            <w:pPr>
              <w:keepNext w:val="0"/>
              <w:keepLines w:val="0"/>
              <w:pageBreakBefore w:val="0"/>
              <w:widowControl/>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11.组态软件：要求每个实验有实验画面，有设定值、实际值等的实时显示，可以调节P、I、D参数，有实时曲线，历史曲线，实时数据等。考虑到实验时高效及方便，要求在组态软件界面中嵌入实验指导书，可以随时调入具体某个实验的内容。</w:t>
            </w:r>
          </w:p>
          <w:p w14:paraId="523744D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12.计算机控制实验软件：要求提供计算机控制各实验应用软件。</w:t>
            </w:r>
          </w:p>
          <w:p w14:paraId="50291847">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13.实验说明书：要求提供过程控制实验装置各主要部件说明书</w:t>
            </w:r>
          </w:p>
          <w:p w14:paraId="223601F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14.实操指导书：要求提供过程控制实验装置实验指导说明书。</w:t>
            </w:r>
          </w:p>
          <w:p w14:paraId="46B7D91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15.智能线路检查纠错考核系统</w:t>
            </w:r>
          </w:p>
          <w:p w14:paraId="5A1C45E5">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（1）功能要求</w:t>
            </w:r>
          </w:p>
          <w:p w14:paraId="23C7FF1D">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z w:val="24"/>
                <w:szCs w:val="24"/>
              </w:rPr>
              <w:t>智能线路检查纠错考核系统主要针对教师对学生在实验实训接线过程中的智能化纠错考核而研发，它的特点是利用MCU的快速、强大的数据管理功能和通讯功能，采用ZigBee自由组网通讯方式构成智能检测网络，配合智能检测板、检测负载板，在系统的IO信号自检，方便接线和设备运行前的检测数据可通过ZigBee组网在触摸屏显示当前信息。</w:t>
            </w:r>
          </w:p>
          <w:p w14:paraId="33BFD34C">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（2）系统硬件组成</w:t>
            </w:r>
          </w:p>
          <w:p w14:paraId="6AB16AC2">
            <w:pPr>
              <w:keepNext w:val="0"/>
              <w:keepLines w:val="0"/>
              <w:pageBreakBefore w:val="0"/>
              <w:tabs>
                <w:tab w:val="left" w:pos="567"/>
              </w:tabs>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智能线路检查纠错考核系统主要主要由主控中心、输入侧传感器板、输出侧负载电源板、传感器节点采集单元、负载节点控制单元组成。每个传感器自带智能网络收发信号，可检测线路连续正确与否。</w:t>
            </w:r>
          </w:p>
          <w:p w14:paraId="14E98B06">
            <w:pPr>
              <w:keepNext w:val="0"/>
              <w:keepLines w:val="0"/>
              <w:pageBreakBefore w:val="0"/>
              <w:tabs>
                <w:tab w:val="left" w:pos="567"/>
              </w:tabs>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主控中心的核心采用的是位高性能MCU内核处理器指令与数据不在同一个总线上，具有指令预取的缓存功能；具有LCD控制接口，图形加速功能。主控中心的核心板还扩展了更大的ROM、RAM容量。</w:t>
            </w:r>
          </w:p>
          <w:p w14:paraId="004D5A3A">
            <w:pPr>
              <w:keepNext w:val="0"/>
              <w:keepLines w:val="0"/>
              <w:pageBreakBefore w:val="0"/>
              <w:tabs>
                <w:tab w:val="left" w:pos="567"/>
              </w:tabs>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传感器节点模块的核心器件为ZigBee模块，负责与主控中心通信，执行主控中心的命令，检测相关信号，传感器节点的状况可在触摸屏上显示。</w:t>
            </w:r>
          </w:p>
          <w:p w14:paraId="31419745">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pacing w:val="-2"/>
                <w:sz w:val="24"/>
                <w:szCs w:val="24"/>
              </w:rPr>
            </w:pPr>
            <w:r>
              <w:rPr>
                <w:rFonts w:hint="eastAsia" w:asciiTheme="minorEastAsia" w:hAnsiTheme="minorEastAsia" w:eastAsiaTheme="minorEastAsia" w:cstheme="minorEastAsia"/>
                <w:color w:val="auto"/>
                <w:sz w:val="24"/>
                <w:szCs w:val="24"/>
              </w:rPr>
              <w:t>开机前能自检测：可自动与端口通信检测，检测IO口是否正确，及时反馈终端传感器节点模块除检测传感器信号线的高低电平外，还检测以及传感器是否得电</w:t>
            </w:r>
            <w:r>
              <w:rPr>
                <w:rFonts w:hint="eastAsia" w:asciiTheme="minorEastAsia" w:hAnsiTheme="minorEastAsia" w:eastAsiaTheme="minorEastAsia" w:cstheme="minorEastAsia"/>
                <w:color w:val="auto"/>
                <w:spacing w:val="-2"/>
                <w:sz w:val="24"/>
                <w:szCs w:val="24"/>
              </w:rPr>
              <w:t>。</w:t>
            </w:r>
          </w:p>
          <w:p w14:paraId="4C35DB5E">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snapToGrid w:val="0"/>
                <w:color w:val="auto"/>
                <w:kern w:val="0"/>
                <w:sz w:val="24"/>
                <w:szCs w:val="24"/>
              </w:rPr>
              <w:t>三、可开展的实验</w:t>
            </w:r>
          </w:p>
          <w:p w14:paraId="75A54EE2">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1、过程控制系统组成认识实验</w:t>
            </w:r>
          </w:p>
          <w:p w14:paraId="50ED3C54">
            <w:pPr>
              <w:keepNext w:val="0"/>
              <w:keepLines w:val="0"/>
              <w:pageBreakBefore w:val="0"/>
              <w:numPr>
                <w:ilvl w:val="0"/>
                <w:numId w:val="12"/>
              </w:numPr>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过程控制及检测装置硬件结构组成认识</w:t>
            </w:r>
          </w:p>
          <w:p w14:paraId="654D8C67">
            <w:pPr>
              <w:keepNext w:val="0"/>
              <w:keepLines w:val="0"/>
              <w:pageBreakBefore w:val="0"/>
              <w:numPr>
                <w:ilvl w:val="0"/>
                <w:numId w:val="12"/>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控制方案组成与控制系统连接</w:t>
            </w:r>
          </w:p>
          <w:p w14:paraId="687917E4">
            <w:pPr>
              <w:keepNext w:val="0"/>
              <w:keepLines w:val="0"/>
              <w:pageBreakBefore w:val="0"/>
              <w:numPr>
                <w:ilvl w:val="0"/>
                <w:numId w:val="12"/>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智能调节仪表、智能变送仪表等智能仪表的操作及参数设定</w:t>
            </w:r>
          </w:p>
          <w:p w14:paraId="2E3EDB98">
            <w:pPr>
              <w:keepNext w:val="0"/>
              <w:keepLines w:val="0"/>
              <w:pageBreakBefore w:val="0"/>
              <w:numPr>
                <w:ilvl w:val="0"/>
                <w:numId w:val="12"/>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传感器的校正（零点迁移与量程调整）</w:t>
            </w:r>
          </w:p>
          <w:p w14:paraId="03BF1D1C">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2、被控对象特性测试实验</w:t>
            </w:r>
          </w:p>
          <w:p w14:paraId="734544CF">
            <w:pPr>
              <w:keepNext w:val="0"/>
              <w:keepLines w:val="0"/>
              <w:pageBreakBefore w:val="0"/>
              <w:numPr>
                <w:ilvl w:val="0"/>
                <w:numId w:val="13"/>
              </w:numPr>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调节阀流量静态特性的测试</w:t>
            </w:r>
          </w:p>
          <w:p w14:paraId="5B865DB3">
            <w:pPr>
              <w:keepNext w:val="0"/>
              <w:keepLines w:val="0"/>
              <w:pageBreakBefore w:val="0"/>
              <w:numPr>
                <w:ilvl w:val="0"/>
                <w:numId w:val="13"/>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磁力泵变频调速机构流量静态特性的测试</w:t>
            </w:r>
          </w:p>
          <w:p w14:paraId="41072F7A">
            <w:pPr>
              <w:keepNext w:val="0"/>
              <w:keepLines w:val="0"/>
              <w:pageBreakBefore w:val="0"/>
              <w:numPr>
                <w:ilvl w:val="0"/>
                <w:numId w:val="13"/>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单容水箱液位对象动态特性的测试</w:t>
            </w:r>
          </w:p>
          <w:p w14:paraId="29E57807">
            <w:pPr>
              <w:keepNext w:val="0"/>
              <w:keepLines w:val="0"/>
              <w:pageBreakBefore w:val="0"/>
              <w:numPr>
                <w:ilvl w:val="0"/>
                <w:numId w:val="13"/>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多容水箱液位对象动态特性的测试</w:t>
            </w:r>
          </w:p>
          <w:p w14:paraId="0377A74C">
            <w:pPr>
              <w:keepNext w:val="0"/>
              <w:keepLines w:val="0"/>
              <w:pageBreakBefore w:val="0"/>
              <w:numPr>
                <w:ilvl w:val="0"/>
                <w:numId w:val="13"/>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锅炉内胆温度对象动态特性的测试</w:t>
            </w:r>
          </w:p>
          <w:p w14:paraId="34CE0773">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3、位式控制系统实验</w:t>
            </w:r>
          </w:p>
          <w:p w14:paraId="2523DDBC">
            <w:pPr>
              <w:keepNext w:val="0"/>
              <w:keepLines w:val="0"/>
              <w:pageBreakBefore w:val="0"/>
              <w:numPr>
                <w:ilvl w:val="0"/>
                <w:numId w:val="14"/>
              </w:numPr>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锅炉内胆水温的位式控制</w:t>
            </w:r>
          </w:p>
          <w:p w14:paraId="4C4912E5">
            <w:pPr>
              <w:keepNext w:val="0"/>
              <w:keepLines w:val="0"/>
              <w:pageBreakBefore w:val="0"/>
              <w:numPr>
                <w:ilvl w:val="0"/>
                <w:numId w:val="14"/>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锅炉夹套水温的位式控制</w:t>
            </w:r>
          </w:p>
          <w:p w14:paraId="5CA5154D">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4、单回路控制系统实验</w:t>
            </w:r>
          </w:p>
          <w:p w14:paraId="50C0C612">
            <w:pPr>
              <w:keepNext w:val="0"/>
              <w:keepLines w:val="0"/>
              <w:pageBreakBefore w:val="0"/>
              <w:numPr>
                <w:ilvl w:val="0"/>
                <w:numId w:val="15"/>
              </w:numPr>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上水箱或中水箱或下水箱液位的定值控制</w:t>
            </w:r>
          </w:p>
          <w:p w14:paraId="1AC3D27C">
            <w:pPr>
              <w:keepNext w:val="0"/>
              <w:keepLines w:val="0"/>
              <w:pageBreakBefore w:val="0"/>
              <w:numPr>
                <w:ilvl w:val="0"/>
                <w:numId w:val="15"/>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多容水箱液位的定值控制</w:t>
            </w:r>
          </w:p>
          <w:p w14:paraId="37B42E96">
            <w:pPr>
              <w:keepNext w:val="0"/>
              <w:keepLines w:val="0"/>
              <w:pageBreakBefore w:val="0"/>
              <w:numPr>
                <w:ilvl w:val="0"/>
                <w:numId w:val="15"/>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锅炉内胆水温的定值控制</w:t>
            </w:r>
          </w:p>
          <w:p w14:paraId="30B99A7A">
            <w:pPr>
              <w:keepNext w:val="0"/>
              <w:keepLines w:val="0"/>
              <w:pageBreakBefore w:val="0"/>
              <w:numPr>
                <w:ilvl w:val="0"/>
                <w:numId w:val="15"/>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锅炉夹套水温的定值控制</w:t>
            </w:r>
          </w:p>
          <w:p w14:paraId="6CC6892C">
            <w:pPr>
              <w:keepNext w:val="0"/>
              <w:keepLines w:val="0"/>
              <w:pageBreakBefore w:val="0"/>
              <w:numPr>
                <w:ilvl w:val="0"/>
                <w:numId w:val="15"/>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调节阀支路流量的定值控制</w:t>
            </w:r>
          </w:p>
          <w:p w14:paraId="10310604">
            <w:pPr>
              <w:keepNext w:val="0"/>
              <w:keepLines w:val="0"/>
              <w:pageBreakBefore w:val="0"/>
              <w:numPr>
                <w:ilvl w:val="0"/>
                <w:numId w:val="15"/>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变频调速磁力泵支路流量的定值控制</w:t>
            </w:r>
          </w:p>
          <w:p w14:paraId="7A6B1B4C">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5、串能控制系统的实验</w:t>
            </w:r>
          </w:p>
          <w:p w14:paraId="1EF67511">
            <w:pPr>
              <w:keepNext w:val="0"/>
              <w:keepLines w:val="0"/>
              <w:pageBreakBefore w:val="0"/>
              <w:numPr>
                <w:ilvl w:val="0"/>
                <w:numId w:val="16"/>
              </w:numPr>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串级控制系统的信号连接</w:t>
            </w:r>
          </w:p>
          <w:p w14:paraId="59721E60">
            <w:pPr>
              <w:keepNext w:val="0"/>
              <w:keepLines w:val="0"/>
              <w:pageBreakBefore w:val="0"/>
              <w:numPr>
                <w:ilvl w:val="0"/>
                <w:numId w:val="16"/>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水箱液位的串级控制</w:t>
            </w:r>
          </w:p>
          <w:p w14:paraId="77A73BE2">
            <w:pPr>
              <w:keepNext w:val="0"/>
              <w:keepLines w:val="0"/>
              <w:pageBreakBefore w:val="0"/>
              <w:numPr>
                <w:ilvl w:val="0"/>
                <w:numId w:val="16"/>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水箱液位与流量的串级控制</w:t>
            </w:r>
          </w:p>
          <w:p w14:paraId="3E07F8C0">
            <w:pPr>
              <w:keepNext w:val="0"/>
              <w:keepLines w:val="0"/>
              <w:pageBreakBefore w:val="0"/>
              <w:numPr>
                <w:ilvl w:val="0"/>
                <w:numId w:val="16"/>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锅炉内胆水温与锅炉夹套水温串级控制</w:t>
            </w:r>
          </w:p>
          <w:p w14:paraId="5EE7F8C8">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6、比值控制系统实验</w:t>
            </w:r>
          </w:p>
          <w:p w14:paraId="164F6B86">
            <w:pPr>
              <w:keepNext w:val="0"/>
              <w:keepLines w:val="0"/>
              <w:pageBreakBefore w:val="0"/>
              <w:numPr>
                <w:ilvl w:val="0"/>
                <w:numId w:val="17"/>
              </w:numPr>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单闭环流量比值控制</w:t>
            </w:r>
          </w:p>
          <w:p w14:paraId="2B8D04F6">
            <w:pPr>
              <w:keepNext w:val="0"/>
              <w:keepLines w:val="0"/>
              <w:pageBreakBefore w:val="0"/>
              <w:numPr>
                <w:ilvl w:val="0"/>
                <w:numId w:val="17"/>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双闭环流量比值控制</w:t>
            </w:r>
          </w:p>
          <w:p w14:paraId="7EB6C155">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7、复杂控制系统实验</w:t>
            </w:r>
          </w:p>
          <w:p w14:paraId="23D1E393">
            <w:pPr>
              <w:keepNext w:val="0"/>
              <w:keepLines w:val="0"/>
              <w:pageBreakBefore w:val="0"/>
              <w:numPr>
                <w:ilvl w:val="0"/>
                <w:numId w:val="18"/>
              </w:numPr>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水箱液位的动态前馈-反馈控制</w:t>
            </w:r>
          </w:p>
          <w:p w14:paraId="3E9214EB">
            <w:pPr>
              <w:keepNext w:val="0"/>
              <w:keepLines w:val="0"/>
              <w:pageBreakBefore w:val="0"/>
              <w:numPr>
                <w:ilvl w:val="0"/>
                <w:numId w:val="18"/>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温度smith预估控制</w:t>
            </w:r>
          </w:p>
          <w:p w14:paraId="50C97E7F">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8、工控组态软件组态实验</w:t>
            </w:r>
          </w:p>
          <w:p w14:paraId="0987E860">
            <w:pPr>
              <w:keepNext w:val="0"/>
              <w:keepLines w:val="0"/>
              <w:pageBreakBefore w:val="0"/>
              <w:numPr>
                <w:ilvl w:val="0"/>
                <w:numId w:val="19"/>
              </w:numPr>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实时数据库组态实验</w:t>
            </w:r>
          </w:p>
          <w:p w14:paraId="1FEC3753">
            <w:pPr>
              <w:keepNext w:val="0"/>
              <w:keepLines w:val="0"/>
              <w:pageBreakBefore w:val="0"/>
              <w:numPr>
                <w:ilvl w:val="0"/>
                <w:numId w:val="19"/>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图形动画、报表、曲线、报警组态实验</w:t>
            </w:r>
          </w:p>
          <w:p w14:paraId="12118B1A">
            <w:pPr>
              <w:keepNext w:val="0"/>
              <w:keepLines w:val="0"/>
              <w:pageBreakBefore w:val="0"/>
              <w:numPr>
                <w:ilvl w:val="0"/>
                <w:numId w:val="19"/>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设备通讯组态实验</w:t>
            </w:r>
          </w:p>
          <w:p w14:paraId="563ACCFC">
            <w:pPr>
              <w:keepNext w:val="0"/>
              <w:keepLines w:val="0"/>
              <w:pageBreakBefore w:val="0"/>
              <w:numPr>
                <w:ilvl w:val="0"/>
                <w:numId w:val="19"/>
              </w:numPr>
              <w:kinsoku/>
              <w:wordWrap/>
              <w:overflowPunct/>
              <w:topLinePunct w:val="0"/>
              <w:bidi w:val="0"/>
              <w:adjustRightInd w:val="0"/>
              <w:snapToGrid w:val="0"/>
              <w:spacing w:line="300" w:lineRule="auto"/>
              <w:ind w:left="0" w:firstLine="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脚本程序应用组态实验</w:t>
            </w:r>
          </w:p>
          <w:p w14:paraId="65CEA97B">
            <w:pPr>
              <w:pStyle w:val="4"/>
              <w:keepNext w:val="0"/>
              <w:keepLines w:val="0"/>
              <w:pageBreakBefore w:val="0"/>
              <w:kinsoku/>
              <w:wordWrap/>
              <w:overflowPunct/>
              <w:topLinePunct w:val="0"/>
              <w:bidi w:val="0"/>
              <w:adjustRightInd w:val="0"/>
              <w:snapToGrid w:val="0"/>
              <w:spacing w:before="0" w:beforeAutospacing="0" w:after="0" w:afterAutospacing="0" w:line="300" w:lineRule="auto"/>
              <w:rPr>
                <w:rFonts w:hint="eastAsia" w:asciiTheme="minorEastAsia" w:hAnsiTheme="minorEastAsia" w:eastAsiaTheme="minorEastAsia" w:cstheme="minorEastAsia"/>
                <w:snapToGrid w:val="0"/>
                <w:color w:val="auto"/>
                <w:sz w:val="24"/>
                <w:szCs w:val="24"/>
              </w:rPr>
            </w:pPr>
            <w:r>
              <w:rPr>
                <w:rFonts w:hint="eastAsia" w:asciiTheme="minorEastAsia" w:hAnsiTheme="minorEastAsia" w:eastAsiaTheme="minorEastAsia" w:cstheme="minorEastAsia"/>
                <w:color w:val="auto"/>
                <w:sz w:val="24"/>
                <w:szCs w:val="24"/>
              </w:rPr>
              <w:t>PLC控制方式下的过程控制实验。</w:t>
            </w:r>
          </w:p>
        </w:tc>
        <w:tc>
          <w:tcPr>
            <w:tcW w:w="345" w:type="pct"/>
            <w:noWrap w:val="0"/>
            <w:vAlign w:val="center"/>
          </w:tcPr>
          <w:p w14:paraId="45936C10">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snapToGrid w:val="0"/>
                <w:color w:val="auto"/>
                <w:kern w:val="0"/>
                <w:sz w:val="24"/>
                <w:szCs w:val="24"/>
              </w:rPr>
            </w:pPr>
            <w:r>
              <w:rPr>
                <w:rFonts w:hint="eastAsia" w:asciiTheme="minorEastAsia" w:hAnsiTheme="minorEastAsia" w:eastAsiaTheme="minorEastAsia" w:cstheme="minorEastAsia"/>
                <w:snapToGrid w:val="0"/>
                <w:color w:val="auto"/>
                <w:kern w:val="0"/>
                <w:sz w:val="24"/>
                <w:szCs w:val="24"/>
              </w:rPr>
              <w:t>台</w:t>
            </w:r>
          </w:p>
        </w:tc>
        <w:tc>
          <w:tcPr>
            <w:tcW w:w="372" w:type="pct"/>
            <w:noWrap/>
            <w:vAlign w:val="center"/>
          </w:tcPr>
          <w:p w14:paraId="79A7E78F">
            <w:pPr>
              <w:keepNext w:val="0"/>
              <w:keepLines w:val="0"/>
              <w:pageBreakBefore w:val="0"/>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snapToGrid w:val="0"/>
                <w:color w:val="auto"/>
                <w:kern w:val="0"/>
                <w:sz w:val="24"/>
                <w:szCs w:val="24"/>
              </w:rPr>
            </w:pPr>
            <w:r>
              <w:rPr>
                <w:rFonts w:hint="eastAsia" w:asciiTheme="minorEastAsia" w:hAnsiTheme="minorEastAsia" w:eastAsiaTheme="minorEastAsia" w:cstheme="minorEastAsia"/>
                <w:snapToGrid w:val="0"/>
                <w:color w:val="auto"/>
                <w:kern w:val="0"/>
                <w:sz w:val="24"/>
                <w:szCs w:val="24"/>
              </w:rPr>
              <w:t>5</w:t>
            </w:r>
          </w:p>
        </w:tc>
        <w:tc>
          <w:tcPr>
            <w:tcW w:w="430" w:type="pct"/>
            <w:shd w:val="clear" w:color="auto" w:fill="auto"/>
            <w:noWrap/>
            <w:vAlign w:val="center"/>
          </w:tcPr>
          <w:p w14:paraId="39A17238">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lang w:val="en-US" w:eastAsia="zh-CN" w:bidi="ar-SA"/>
              </w:rPr>
            </w:pPr>
            <w:r>
              <w:rPr>
                <w:rFonts w:hint="eastAsia" w:asciiTheme="minorEastAsia" w:hAnsiTheme="minorEastAsia" w:eastAsiaTheme="minorEastAsia" w:cstheme="minorEastAsia"/>
                <w:color w:val="auto"/>
                <w:kern w:val="0"/>
                <w:sz w:val="24"/>
                <w:szCs w:val="24"/>
                <w:lang w:val="en-US" w:eastAsia="zh-CN"/>
              </w:rPr>
              <w:t>工业</w:t>
            </w:r>
          </w:p>
        </w:tc>
      </w:tr>
      <w:tr w14:paraId="38009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000" w:type="pct"/>
            <w:gridSpan w:val="6"/>
            <w:noWrap/>
            <w:vAlign w:val="center"/>
          </w:tcPr>
          <w:p w14:paraId="1A8AD9F7">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b/>
                <w:bCs/>
                <w:color w:val="auto"/>
                <w:sz w:val="24"/>
                <w:szCs w:val="24"/>
                <w:shd w:val="clear" w:color="auto" w:fill="FFFFFF"/>
              </w:rPr>
              <w:t>五、DSP实训系统</w:t>
            </w:r>
          </w:p>
        </w:tc>
      </w:tr>
      <w:tr w14:paraId="08E0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2" w:type="pct"/>
            <w:shd w:val="clear" w:color="auto" w:fill="auto"/>
            <w:noWrap/>
            <w:vAlign w:val="center"/>
          </w:tcPr>
          <w:p w14:paraId="205DE21C">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rPr>
              <w:t>序号</w:t>
            </w:r>
          </w:p>
        </w:tc>
        <w:tc>
          <w:tcPr>
            <w:tcW w:w="825" w:type="pct"/>
            <w:shd w:val="clear" w:color="auto" w:fill="auto"/>
            <w:noWrap/>
            <w:vAlign w:val="center"/>
          </w:tcPr>
          <w:p w14:paraId="1034C524">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lang w:val="en-US" w:eastAsia="zh-CN"/>
              </w:rPr>
              <w:t>货物</w:t>
            </w:r>
            <w:r>
              <w:rPr>
                <w:rFonts w:hint="eastAsia" w:asciiTheme="minorEastAsia" w:hAnsiTheme="minorEastAsia" w:eastAsiaTheme="minorEastAsia" w:cstheme="minorEastAsia"/>
                <w:b/>
                <w:bCs/>
                <w:color w:val="auto"/>
                <w:kern w:val="0"/>
                <w:sz w:val="24"/>
                <w:szCs w:val="24"/>
              </w:rPr>
              <w:t>名称</w:t>
            </w:r>
          </w:p>
        </w:tc>
        <w:tc>
          <w:tcPr>
            <w:tcW w:w="2643" w:type="pct"/>
            <w:shd w:val="clear" w:color="auto" w:fill="auto"/>
            <w:noWrap w:val="0"/>
            <w:vAlign w:val="center"/>
          </w:tcPr>
          <w:p w14:paraId="4D8F97F6">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rPr>
              <w:t>主要技术参数</w:t>
            </w:r>
          </w:p>
        </w:tc>
        <w:tc>
          <w:tcPr>
            <w:tcW w:w="345" w:type="pct"/>
            <w:shd w:val="clear" w:color="auto" w:fill="auto"/>
            <w:noWrap w:val="0"/>
            <w:vAlign w:val="center"/>
          </w:tcPr>
          <w:p w14:paraId="0D92B7E2">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rPr>
              <w:t>单位</w:t>
            </w:r>
          </w:p>
        </w:tc>
        <w:tc>
          <w:tcPr>
            <w:tcW w:w="372" w:type="pct"/>
            <w:shd w:val="clear" w:color="auto" w:fill="auto"/>
            <w:noWrap/>
            <w:vAlign w:val="center"/>
          </w:tcPr>
          <w:p w14:paraId="69F1A43E">
            <w:pPr>
              <w:keepNext w:val="0"/>
              <w:keepLines w:val="0"/>
              <w:pageBreakBefore w:val="0"/>
              <w:widowControl/>
              <w:kinsoku/>
              <w:wordWrap/>
              <w:overflowPunct/>
              <w:topLinePunct w:val="0"/>
              <w:bidi w:val="0"/>
              <w:spacing w:line="300" w:lineRule="auto"/>
              <w:jc w:val="center"/>
              <w:rPr>
                <w:rFonts w:hint="eastAsia" w:asciiTheme="minorEastAsia" w:hAnsiTheme="minorEastAsia" w:eastAsiaTheme="minorEastAsia" w:cstheme="minorEastAsia"/>
                <w:b/>
                <w:bCs/>
                <w:color w:val="auto"/>
                <w:kern w:val="0"/>
                <w:sz w:val="24"/>
                <w:szCs w:val="24"/>
                <w:lang w:val="en-US" w:eastAsia="zh-CN" w:bidi="ar-SA"/>
              </w:rPr>
            </w:pPr>
            <w:r>
              <w:rPr>
                <w:rFonts w:hint="eastAsia" w:asciiTheme="minorEastAsia" w:hAnsiTheme="minorEastAsia" w:eastAsiaTheme="minorEastAsia" w:cstheme="minorEastAsia"/>
                <w:b/>
                <w:bCs/>
                <w:color w:val="auto"/>
                <w:kern w:val="0"/>
                <w:sz w:val="24"/>
                <w:szCs w:val="24"/>
              </w:rPr>
              <w:t>数量</w:t>
            </w:r>
          </w:p>
        </w:tc>
        <w:tc>
          <w:tcPr>
            <w:tcW w:w="430" w:type="pct"/>
            <w:noWrap/>
            <w:vAlign w:val="center"/>
          </w:tcPr>
          <w:p w14:paraId="0924E982">
            <w:pPr>
              <w:keepNext w:val="0"/>
              <w:keepLines w:val="0"/>
              <w:pageBreakBefore w:val="0"/>
              <w:widowControl/>
              <w:kinsoku/>
              <w:wordWrap/>
              <w:overflowPunct/>
              <w:topLinePunct w:val="0"/>
              <w:bidi w:val="0"/>
              <w:adjustRightInd w:val="0"/>
              <w:snapToGrid w:val="0"/>
              <w:spacing w:line="300" w:lineRule="auto"/>
              <w:jc w:val="center"/>
              <w:rPr>
                <w:rFonts w:hint="default" w:asciiTheme="minorEastAsia" w:hAnsiTheme="minorEastAsia" w:eastAsiaTheme="minorEastAsia" w:cstheme="minorEastAsia"/>
                <w:b/>
                <w:bCs/>
                <w:color w:val="auto"/>
                <w:kern w:val="0"/>
                <w:sz w:val="24"/>
                <w:szCs w:val="24"/>
                <w:lang w:val="en-US" w:eastAsia="zh-CN"/>
              </w:rPr>
            </w:pPr>
            <w:r>
              <w:rPr>
                <w:rFonts w:hint="eastAsia" w:asciiTheme="minorEastAsia" w:hAnsiTheme="minorEastAsia" w:eastAsiaTheme="minorEastAsia" w:cstheme="minorEastAsia"/>
                <w:b/>
                <w:bCs/>
                <w:color w:val="auto"/>
                <w:kern w:val="0"/>
                <w:sz w:val="24"/>
                <w:szCs w:val="24"/>
                <w:lang w:val="en-US" w:eastAsia="zh-CN"/>
              </w:rPr>
              <w:t>所属行业</w:t>
            </w:r>
          </w:p>
        </w:tc>
      </w:tr>
      <w:tr w14:paraId="51161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382" w:type="pct"/>
            <w:noWrap/>
            <w:vAlign w:val="center"/>
          </w:tcPr>
          <w:p w14:paraId="1305A661">
            <w:pPr>
              <w:keepNext w:val="0"/>
              <w:keepLines w:val="0"/>
              <w:pageBreakBefore w:val="0"/>
              <w:widowControl/>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10</w:t>
            </w:r>
          </w:p>
        </w:tc>
        <w:tc>
          <w:tcPr>
            <w:tcW w:w="825" w:type="pct"/>
            <w:noWrap/>
            <w:vAlign w:val="center"/>
          </w:tcPr>
          <w:p w14:paraId="03D4F113">
            <w:pPr>
              <w:keepNext w:val="0"/>
              <w:keepLines w:val="0"/>
              <w:pageBreakBefore w:val="0"/>
              <w:widowControl/>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DSP实训系统</w:t>
            </w:r>
          </w:p>
        </w:tc>
        <w:tc>
          <w:tcPr>
            <w:tcW w:w="2643" w:type="pct"/>
            <w:noWrap w:val="0"/>
            <w:vAlign w:val="center"/>
          </w:tcPr>
          <w:p w14:paraId="5C939A90">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一、实验装置基本要求</w:t>
            </w:r>
          </w:p>
          <w:p w14:paraId="6E21F037">
            <w:pPr>
              <w:keepNext w:val="0"/>
              <w:keepLines w:val="0"/>
              <w:pageBreakBefore w:val="0"/>
              <w:kinsoku/>
              <w:wordWrap/>
              <w:overflowPunct/>
              <w:topLinePunct w:val="0"/>
              <w:bidi w:val="0"/>
              <w:adjustRightInd w:val="0"/>
              <w:snapToGrid w:val="0"/>
              <w:spacing w:line="300" w:lineRule="auto"/>
              <w:ind w:firstLine="480" w:firstLineChars="200"/>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采用一体化教学实验箱，包括 TI DSP C2000 系列的</w:t>
            </w:r>
            <w:r>
              <w:rPr>
                <w:rFonts w:hint="eastAsia" w:asciiTheme="minorEastAsia" w:hAnsiTheme="minorEastAsia" w:eastAsiaTheme="minorEastAsia" w:cstheme="minorEastAsia"/>
                <w:color w:val="auto"/>
                <w:sz w:val="24"/>
                <w:szCs w:val="24"/>
                <w:lang w:bidi="ar"/>
              </w:rPr>
              <w:t xml:space="preserve">TMS320F28335 </w:t>
            </w:r>
            <w:r>
              <w:rPr>
                <w:rFonts w:hint="eastAsia" w:asciiTheme="minorEastAsia" w:hAnsiTheme="minorEastAsia" w:eastAsiaTheme="minorEastAsia" w:cstheme="minorEastAsia"/>
                <w:color w:val="auto"/>
                <w:kern w:val="0"/>
                <w:sz w:val="24"/>
                <w:szCs w:val="24"/>
              </w:rPr>
              <w:t xml:space="preserve">CPU板、TI DSP C5000系列的 </w:t>
            </w:r>
            <w:r>
              <w:rPr>
                <w:rFonts w:hint="eastAsia" w:asciiTheme="minorEastAsia" w:hAnsiTheme="minorEastAsia" w:eastAsiaTheme="minorEastAsia" w:cstheme="minorEastAsia"/>
                <w:color w:val="auto"/>
                <w:kern w:val="0"/>
                <w:sz w:val="24"/>
                <w:szCs w:val="24"/>
                <w:lang w:bidi="ar"/>
              </w:rPr>
              <w:t>TMS320VC5416 CPU</w:t>
            </w:r>
            <w:r>
              <w:rPr>
                <w:rFonts w:hint="eastAsia" w:asciiTheme="minorEastAsia" w:hAnsiTheme="minorEastAsia" w:eastAsiaTheme="minorEastAsia" w:cstheme="minorEastAsia"/>
                <w:color w:val="auto"/>
                <w:kern w:val="0"/>
                <w:sz w:val="24"/>
                <w:szCs w:val="24"/>
              </w:rPr>
              <w:t>板、高性能DSP开发系统、数字信号源、液晶屏/键盘等外设模块，各模块都固定到实验箱；其中CPU板卡能够直接对外设模块（液晶屏、蜂鸣器，步进电机，直流电机，数字键盘等）进行控制。模块化布局、配备CPU板，可以进行二次开发。实验箱底板为标准接口，主控板可以随意更换；支持 C2000系列板卡、C5000系列板卡的更换。提供应用对象，可扩展直流电机，步进电机等综合应用实验内容，提供教学实验和开发例程，实验装置提供的实验指导手册包括实验目的、原理、步骤及源码解析等，注重实验的过程。</w:t>
            </w:r>
          </w:p>
          <w:p w14:paraId="20621244">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二、硬件设备参数要求：</w:t>
            </w:r>
          </w:p>
          <w:p w14:paraId="244B850F">
            <w:pPr>
              <w:keepNext w:val="0"/>
              <w:keepLines w:val="0"/>
              <w:pageBreakBefore w:val="0"/>
              <w:kinsoku/>
              <w:wordWrap/>
              <w:overflowPunct/>
              <w:topLinePunct w:val="0"/>
              <w:bidi w:val="0"/>
              <w:spacing w:line="300" w:lineRule="auto"/>
              <w:ind w:firstLine="249" w:firstLineChars="104"/>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2.1 C2000 CPU板功能参数：</w:t>
            </w:r>
          </w:p>
          <w:p w14:paraId="328B92AE">
            <w:pPr>
              <w:keepNext w:val="0"/>
              <w:keepLines w:val="0"/>
              <w:pageBreakBefore w:val="0"/>
              <w:numPr>
                <w:ilvl w:val="0"/>
                <w:numId w:val="20"/>
              </w:numPr>
              <w:kinsoku/>
              <w:wordWrap/>
              <w:overflowPunct/>
              <w:topLinePunct w:val="0"/>
              <w:autoSpaceDE w:val="0"/>
              <w:autoSpaceDN w:val="0"/>
              <w:bidi w:val="0"/>
              <w:adjustRightInd w:val="0"/>
              <w:spacing w:line="300" w:lineRule="auto"/>
              <w:ind w:left="0" w:firstLine="249" w:firstLineChars="104"/>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lang w:bidi="ar"/>
              </w:rPr>
              <w:t>采用TI TMS320F28335 DSP为主处理器，主频：150MHz高速处理能力；</w:t>
            </w:r>
          </w:p>
          <w:p w14:paraId="51F52D7D">
            <w:pPr>
              <w:keepNext w:val="0"/>
              <w:keepLines w:val="0"/>
              <w:pageBreakBefore w:val="0"/>
              <w:numPr>
                <w:ilvl w:val="0"/>
                <w:numId w:val="20"/>
              </w:numPr>
              <w:kinsoku/>
              <w:wordWrap/>
              <w:overflowPunct/>
              <w:topLinePunct w:val="0"/>
              <w:autoSpaceDE w:val="0"/>
              <w:autoSpaceDN w:val="0"/>
              <w:bidi w:val="0"/>
              <w:adjustRightInd w:val="0"/>
              <w:spacing w:line="300" w:lineRule="auto"/>
              <w:ind w:left="0"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sz w:val="24"/>
                <w:szCs w:val="24"/>
                <w:lang w:bidi="ar"/>
              </w:rPr>
              <w:t>外扩64K*16bit SRAM，最大可扩至512K*16bit SRAM；</w:t>
            </w:r>
            <w:r>
              <w:rPr>
                <w:rFonts w:hint="eastAsia" w:asciiTheme="minorEastAsia" w:hAnsiTheme="minorEastAsia" w:eastAsiaTheme="minorEastAsia" w:cstheme="minorEastAsia"/>
                <w:color w:val="auto"/>
                <w:kern w:val="0"/>
                <w:sz w:val="24"/>
                <w:szCs w:val="24"/>
                <w:lang w:bidi="ar"/>
              </w:rPr>
              <w:t>片上16路A/D，12bit，其中6路A/D</w:t>
            </w:r>
            <w:r>
              <w:rPr>
                <w:rFonts w:hint="eastAsia" w:asciiTheme="minorEastAsia" w:hAnsiTheme="minorEastAsia" w:eastAsiaTheme="minorEastAsia" w:cstheme="minorEastAsia"/>
                <w:color w:val="auto"/>
                <w:kern w:val="0"/>
                <w:sz w:val="24"/>
                <w:szCs w:val="24"/>
              </w:rPr>
              <w:t>是可以直接采集±5V信号；外扩2路D/A，8bit；</w:t>
            </w:r>
          </w:p>
          <w:p w14:paraId="24E37EB7">
            <w:pPr>
              <w:keepNext w:val="0"/>
              <w:keepLines w:val="0"/>
              <w:pageBreakBefore w:val="0"/>
              <w:numPr>
                <w:ilvl w:val="0"/>
                <w:numId w:val="20"/>
              </w:numPr>
              <w:kinsoku/>
              <w:wordWrap/>
              <w:overflowPunct/>
              <w:topLinePunct w:val="0"/>
              <w:autoSpaceDE w:val="0"/>
              <w:autoSpaceDN w:val="0"/>
              <w:bidi w:val="0"/>
              <w:adjustRightInd w:val="0"/>
              <w:spacing w:line="300" w:lineRule="auto"/>
              <w:ind w:left="0"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16路PWM；1路CAN总线接口；</w:t>
            </w:r>
          </w:p>
          <w:p w14:paraId="51667F85">
            <w:pPr>
              <w:keepNext w:val="0"/>
              <w:keepLines w:val="0"/>
              <w:pageBreakBefore w:val="0"/>
              <w:numPr>
                <w:ilvl w:val="0"/>
                <w:numId w:val="20"/>
              </w:numPr>
              <w:kinsoku/>
              <w:wordWrap/>
              <w:overflowPunct/>
              <w:topLinePunct w:val="0"/>
              <w:autoSpaceDE w:val="0"/>
              <w:autoSpaceDN w:val="0"/>
              <w:bidi w:val="0"/>
              <w:adjustRightInd w:val="0"/>
              <w:spacing w:line="300" w:lineRule="auto"/>
              <w:ind w:left="0"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2路SCI，其中一路为RS232接口，并可以转换成USB接口与PC机通讯；一路为RS232/RS485可选；</w:t>
            </w:r>
          </w:p>
          <w:p w14:paraId="46C1E409">
            <w:pPr>
              <w:keepNext w:val="0"/>
              <w:keepLines w:val="0"/>
              <w:pageBreakBefore w:val="0"/>
              <w:numPr>
                <w:ilvl w:val="0"/>
                <w:numId w:val="20"/>
              </w:numPr>
              <w:kinsoku/>
              <w:wordWrap/>
              <w:overflowPunct/>
              <w:topLinePunct w:val="0"/>
              <w:autoSpaceDE w:val="0"/>
              <w:autoSpaceDN w:val="0"/>
              <w:bidi w:val="0"/>
              <w:adjustRightInd w:val="0"/>
              <w:spacing w:line="300" w:lineRule="auto"/>
              <w:ind w:left="0"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高保真语音接口设计，双路语音采集，每路48K/s；</w:t>
            </w:r>
          </w:p>
          <w:p w14:paraId="0707D9A1">
            <w:pPr>
              <w:keepNext w:val="0"/>
              <w:keepLines w:val="0"/>
              <w:pageBreakBefore w:val="0"/>
              <w:numPr>
                <w:ilvl w:val="0"/>
                <w:numId w:val="20"/>
              </w:numPr>
              <w:kinsoku/>
              <w:wordWrap/>
              <w:overflowPunct/>
              <w:topLinePunct w:val="0"/>
              <w:autoSpaceDE w:val="0"/>
              <w:autoSpaceDN w:val="0"/>
              <w:bidi w:val="0"/>
              <w:adjustRightInd w:val="0"/>
              <w:spacing w:line="300" w:lineRule="auto"/>
              <w:ind w:left="0"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配套不少于6个拓展模式插座与外设模块（液晶屏、蜂鸣器，步进电机，直流电机，数字键盘等）进行控制，可实现任意拓展模式插座控制任意外设模块运行。</w:t>
            </w:r>
          </w:p>
          <w:p w14:paraId="7DD9CAA5">
            <w:pPr>
              <w:keepNext w:val="0"/>
              <w:keepLines w:val="0"/>
              <w:pageBreakBefore w:val="0"/>
              <w:numPr>
                <w:ilvl w:val="0"/>
                <w:numId w:val="20"/>
              </w:numPr>
              <w:kinsoku/>
              <w:wordWrap/>
              <w:overflowPunct/>
              <w:topLinePunct w:val="0"/>
              <w:autoSpaceDE w:val="0"/>
              <w:autoSpaceDN w:val="0"/>
              <w:bidi w:val="0"/>
              <w:adjustRightInd w:val="0"/>
              <w:spacing w:line="300" w:lineRule="auto"/>
              <w:ind w:left="0"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标准14pin JTAG仿真接口，支持DSP/BIOS实时操作；</w:t>
            </w:r>
          </w:p>
          <w:p w14:paraId="13B32E5F">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+5V电源输入，内部+3.3V、+1.8V电源管理；</w:t>
            </w:r>
          </w:p>
          <w:p w14:paraId="394A4C85">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数据、地址、I/O、控制4处扩展连接，为用户进行二次开发提供条件， DSP扩展引脚，与实验箱底板无缝连接，实现对直流电机和大功率交流异步电机的控制及二次开发的应用；</w:t>
            </w:r>
          </w:p>
          <w:p w14:paraId="6E42E7D7">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 xml:space="preserve">可以直接驱动液晶、键盘、闭环直流电机、蜂鸣器等外设。 </w:t>
            </w:r>
          </w:p>
          <w:p w14:paraId="7AAEF1DC">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2.2  C5000 CPU板参数</w:t>
            </w:r>
          </w:p>
          <w:p w14:paraId="5D5968BF">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主处理器：TMS320VC5416PGE160，主频：160MHz（160MIPS）；</w:t>
            </w:r>
          </w:p>
          <w:p w14:paraId="52DD64B8">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内部存储空间：128k×16bit，外部存储空间：64k×16bit，外扩Flash：8Mbit，可存储大量固化程序和数据；</w:t>
            </w:r>
          </w:p>
          <w:p w14:paraId="2FCF9350">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外扩A/D：2路；精度：8bit；外扩D/A：2路；精度：8bit</w:t>
            </w:r>
          </w:p>
          <w:p w14:paraId="3F8A17DF">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支持DSP/BIOS实时操作；</w:t>
            </w:r>
          </w:p>
          <w:p w14:paraId="1F48C003">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高保真语音接口设计，采用TI的TLV320AIC23设计，双路语音采集，每路48K/s</w:t>
            </w:r>
          </w:p>
          <w:p w14:paraId="0235208C">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数据，地址，I/O，控制4处扩展连接， 能够直接驱动液晶、键盘、闭环直流电机、蜂鸣器等外设。</w:t>
            </w:r>
          </w:p>
          <w:p w14:paraId="1B1AB64F">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2.3 数字信号源</w:t>
            </w:r>
          </w:p>
          <w:p w14:paraId="7CDDEE8F">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可同时提供两路波形输出，每一路均可单独控制；信号的波形、频率、幅度可调；具有语音录放功能；</w:t>
            </w:r>
          </w:p>
          <w:p w14:paraId="6CF8E4EE">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波形切换：提供五种波形（方波、三角波、正弦波、上下两路信号混频、白噪声），可通过拨动开关进行选择；</w:t>
            </w:r>
          </w:p>
          <w:p w14:paraId="777B1119">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频率范围：分为4段（10Hz—100Hz、100Hz—1KHz、1KHz—10KHz、10KHz—30KHz），可通过拨动开关进行选择；</w:t>
            </w:r>
          </w:p>
          <w:p w14:paraId="47FF68A3">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在每个频率段范围内进行频率调整，幅值微调：0-3.3V平滑调整;</w:t>
            </w:r>
          </w:p>
          <w:p w14:paraId="14861372">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语音录放：提供语音实时采集回放功能，麦克风、直接音频输入，耳机、扬声器输出。</w:t>
            </w:r>
          </w:p>
          <w:p w14:paraId="0090703A">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2.4配套教学资源：</w:t>
            </w:r>
          </w:p>
          <w:p w14:paraId="1640E103">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1）提供电子版实验指导书，28个教学实验；</w:t>
            </w:r>
          </w:p>
          <w:p w14:paraId="688FAA2A">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2）提供完整的实验代码。</w:t>
            </w:r>
          </w:p>
          <w:p w14:paraId="04459A8B">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3）所有实验、例程均支持CCS5.5以上版本集成开发环境；</w:t>
            </w:r>
          </w:p>
          <w:p w14:paraId="7AA5579B">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4）提供完整的平台开发包，80个开发例程；</w:t>
            </w:r>
          </w:p>
          <w:p w14:paraId="08ED4431">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5）提供核心板引脚定义、芯片数据手册、可编辑底板原理图、可编辑底板PCB。</w:t>
            </w:r>
          </w:p>
          <w:p w14:paraId="3F164E8F">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6）支持多DSP调试，当DSP系统设计有多个CPU同时工作时，一套开发系统，配上多CPU调试软件，就可以对它们进行并行调试</w:t>
            </w:r>
          </w:p>
          <w:p w14:paraId="781644B8">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三、DSP教学资源实验列表：</w:t>
            </w:r>
          </w:p>
          <w:p w14:paraId="5BA50FFB">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3.1 DSP实验环境搭建与CCS开发基础</w:t>
            </w:r>
          </w:p>
          <w:p w14:paraId="7478DC96">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1）安装CCS与串口调试工具</w:t>
            </w:r>
          </w:p>
          <w:p w14:paraId="5F3FDB5F">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2）CCS开发入门</w:t>
            </w:r>
          </w:p>
          <w:p w14:paraId="7A9A705D">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3）基于CCS仿真调试、程序加载与烧写</w:t>
            </w:r>
          </w:p>
          <w:p w14:paraId="332891CE">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4）CCS工程新建、编译和导入</w:t>
            </w:r>
          </w:p>
          <w:p w14:paraId="5355C02C">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5）编写基于C语言的DSP程序</w:t>
            </w:r>
          </w:p>
          <w:p w14:paraId="26171A1F">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3.2 DSP基础外设实验</w:t>
            </w:r>
          </w:p>
          <w:p w14:paraId="693D5EC0">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6）LED灯控制及寄存器配置实验</w:t>
            </w:r>
          </w:p>
          <w:p w14:paraId="53FF4517">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7）按键控制实验（按键中断输入）</w:t>
            </w:r>
          </w:p>
          <w:p w14:paraId="504693AF">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8）液晶LCD12864测试</w:t>
            </w:r>
          </w:p>
          <w:p w14:paraId="4F36BCFA">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9）RS485测试实验</w:t>
            </w:r>
          </w:p>
          <w:p w14:paraId="16100D85">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10）ECAN内部回环与数据通信测试实验</w:t>
            </w:r>
          </w:p>
          <w:p w14:paraId="0E85C052">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11）DMA在RAM内外搬移数据实验</w:t>
            </w:r>
          </w:p>
          <w:p w14:paraId="289140F2">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12）EPWM测试实验</w:t>
            </w:r>
          </w:p>
          <w:p w14:paraId="7A97924F">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13）直流无刷电机实验</w:t>
            </w:r>
          </w:p>
          <w:p w14:paraId="469AF1AC">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14）单精度浮点运算实验</w:t>
            </w:r>
          </w:p>
          <w:p w14:paraId="74A79C83">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15）UART串口收发实验</w:t>
            </w:r>
          </w:p>
          <w:p w14:paraId="7BF6DB3C">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16）高精度脉冲宽度调制器PWM输出测试实验</w:t>
            </w:r>
          </w:p>
          <w:p w14:paraId="76BC4BA6">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17）定时器/计数器控制实验</w:t>
            </w:r>
          </w:p>
          <w:p w14:paraId="365D11EB">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18）模数转换（A/D）测试实验</w:t>
            </w:r>
          </w:p>
          <w:p w14:paraId="5FD56718">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19）数模转换（D/A）测试实验</w:t>
            </w:r>
          </w:p>
          <w:p w14:paraId="02504AE2">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20）网络通讯实验</w:t>
            </w:r>
          </w:p>
          <w:p w14:paraId="364537D5">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3.3 语音类实验</w:t>
            </w:r>
          </w:p>
          <w:p w14:paraId="266AF39D">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21）音频采集与播放测试实验</w:t>
            </w:r>
          </w:p>
          <w:p w14:paraId="79372F83">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22）音频编解码实验</w:t>
            </w:r>
          </w:p>
          <w:p w14:paraId="3715F1FF">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3.4 DSP算法实验</w:t>
            </w:r>
          </w:p>
          <w:p w14:paraId="67429516">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23）有限冲激响应滤波器（FIR）算法</w:t>
            </w:r>
          </w:p>
          <w:p w14:paraId="129A01DC">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24）无限冲激响应滤波器（IIR）算法</w:t>
            </w:r>
          </w:p>
          <w:p w14:paraId="58CC371B">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25）快速傅立叶变换（FFT）算法</w:t>
            </w:r>
          </w:p>
          <w:p w14:paraId="49C9D2F4">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3.5 图像类实验</w:t>
            </w:r>
          </w:p>
          <w:p w14:paraId="0833778A">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26）灰度图像直方图</w:t>
            </w:r>
          </w:p>
          <w:p w14:paraId="16DF8D64">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27）直方图均衡化</w:t>
            </w:r>
          </w:p>
          <w:p w14:paraId="348476DA">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28）图像反色</w:t>
            </w:r>
          </w:p>
          <w:p w14:paraId="710BBDC9">
            <w:pPr>
              <w:keepNext w:val="0"/>
              <w:keepLines w:val="0"/>
              <w:pageBreakBefore w:val="0"/>
              <w:kinsoku/>
              <w:wordWrap/>
              <w:overflowPunct/>
              <w:topLinePunct w:val="0"/>
              <w:bidi w:val="0"/>
              <w:adjustRightInd w:val="0"/>
              <w:snapToGrid w:val="0"/>
              <w:spacing w:line="300" w:lineRule="auto"/>
              <w:ind w:firstLine="249" w:firstLineChars="104"/>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29）边缘检测</w:t>
            </w:r>
          </w:p>
          <w:p w14:paraId="1748D00C">
            <w:pPr>
              <w:keepNext w:val="0"/>
              <w:keepLines w:val="0"/>
              <w:pageBreakBefore w:val="0"/>
              <w:kinsoku/>
              <w:wordWrap/>
              <w:overflowPunct/>
              <w:topLinePunct w:val="0"/>
              <w:bidi w:val="0"/>
              <w:adjustRightInd w:val="0"/>
              <w:snapToGrid w:val="0"/>
              <w:spacing w:line="300" w:lineRule="auto"/>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要求厂家到校安装、调试设备并进行不少于3小时的设备使用技术培训。</w:t>
            </w:r>
          </w:p>
        </w:tc>
        <w:tc>
          <w:tcPr>
            <w:tcW w:w="345" w:type="pct"/>
            <w:noWrap w:val="0"/>
            <w:vAlign w:val="center"/>
          </w:tcPr>
          <w:p w14:paraId="366EEB26">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台</w:t>
            </w:r>
          </w:p>
        </w:tc>
        <w:tc>
          <w:tcPr>
            <w:tcW w:w="372" w:type="pct"/>
            <w:noWrap/>
            <w:vAlign w:val="center"/>
          </w:tcPr>
          <w:p w14:paraId="303F2CED">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rPr>
            </w:pPr>
            <w:r>
              <w:rPr>
                <w:rFonts w:hint="eastAsia" w:asciiTheme="minorEastAsia" w:hAnsiTheme="minorEastAsia" w:eastAsiaTheme="minorEastAsia" w:cstheme="minorEastAsia"/>
                <w:color w:val="auto"/>
                <w:kern w:val="0"/>
                <w:sz w:val="24"/>
                <w:szCs w:val="24"/>
              </w:rPr>
              <w:t>45</w:t>
            </w:r>
          </w:p>
        </w:tc>
        <w:tc>
          <w:tcPr>
            <w:tcW w:w="430" w:type="pct"/>
            <w:noWrap/>
            <w:vAlign w:val="center"/>
          </w:tcPr>
          <w:p w14:paraId="7C3333C7">
            <w:pPr>
              <w:keepNext w:val="0"/>
              <w:keepLines w:val="0"/>
              <w:pageBreakBefore w:val="0"/>
              <w:widowControl/>
              <w:kinsoku/>
              <w:wordWrap/>
              <w:overflowPunct/>
              <w:topLinePunct w:val="0"/>
              <w:bidi w:val="0"/>
              <w:adjustRightInd w:val="0"/>
              <w:snapToGrid w:val="0"/>
              <w:spacing w:line="300" w:lineRule="auto"/>
              <w:jc w:val="center"/>
              <w:rPr>
                <w:rFonts w:hint="eastAsia" w:asciiTheme="minorEastAsia" w:hAnsiTheme="minorEastAsia" w:eastAsiaTheme="minorEastAsia" w:cstheme="minorEastAsia"/>
                <w:color w:val="auto"/>
                <w:kern w:val="0"/>
                <w:sz w:val="24"/>
                <w:szCs w:val="24"/>
                <w:lang w:val="en-US" w:eastAsia="zh-CN"/>
              </w:rPr>
            </w:pPr>
            <w:r>
              <w:rPr>
                <w:rFonts w:hint="eastAsia" w:asciiTheme="minorEastAsia" w:hAnsiTheme="minorEastAsia" w:eastAsiaTheme="minorEastAsia" w:cstheme="minorEastAsia"/>
                <w:color w:val="auto"/>
                <w:kern w:val="0"/>
                <w:sz w:val="24"/>
                <w:szCs w:val="24"/>
                <w:lang w:val="en-US" w:eastAsia="zh-CN"/>
              </w:rPr>
              <w:t>工业</w:t>
            </w:r>
          </w:p>
        </w:tc>
      </w:tr>
    </w:tbl>
    <w:p w14:paraId="1A207D5A">
      <w:pPr>
        <w:spacing w:line="360" w:lineRule="auto"/>
        <w:ind w:firstLine="437"/>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三、报价要求</w:t>
      </w:r>
    </w:p>
    <w:p w14:paraId="4FFE9549">
      <w:pPr>
        <w:spacing w:line="360" w:lineRule="auto"/>
        <w:ind w:firstLine="437"/>
        <w:rPr>
          <w:rFonts w:ascii="宋体" w:hAnsi="宋体" w:eastAsia="宋体"/>
          <w:bCs/>
          <w:color w:val="auto"/>
          <w:sz w:val="24"/>
          <w:szCs w:val="18"/>
          <w:highlight w:val="none"/>
        </w:rPr>
      </w:pPr>
      <w:r>
        <w:rPr>
          <w:rFonts w:hint="eastAsia" w:ascii="宋体" w:hAnsi="宋体" w:eastAsia="宋体"/>
          <w:bCs/>
          <w:color w:val="auto"/>
          <w:sz w:val="24"/>
          <w:szCs w:val="18"/>
          <w:highlight w:val="none"/>
        </w:rPr>
        <w:t>本项目报总价，投标报价</w:t>
      </w:r>
      <w:r>
        <w:rPr>
          <w:rFonts w:ascii="宋体" w:hAnsi="宋体" w:eastAsia="宋体"/>
          <w:bCs/>
          <w:color w:val="auto"/>
          <w:sz w:val="24"/>
          <w:szCs w:val="18"/>
          <w:highlight w:val="none"/>
        </w:rPr>
        <w:t>包括</w:t>
      </w:r>
      <w:r>
        <w:rPr>
          <w:rFonts w:hint="eastAsia" w:ascii="宋体" w:hAnsi="宋体" w:eastAsia="宋体"/>
          <w:bCs/>
          <w:color w:val="auto"/>
          <w:sz w:val="24"/>
          <w:szCs w:val="18"/>
          <w:highlight w:val="none"/>
        </w:rPr>
        <w:t>本项目需求的全部货物及所需附件购置费、包装费、运输费、人工费、安装调试费、各种税费、资料费、售后服务费及完成项目应有的全部费用。</w:t>
      </w:r>
    </w:p>
    <w:p w14:paraId="0D8D040F">
      <w:pPr>
        <w:spacing w:line="360" w:lineRule="auto"/>
        <w:ind w:firstLine="437"/>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rPr>
        <w:t>四、备品备件及专用工具</w:t>
      </w:r>
    </w:p>
    <w:p w14:paraId="7511E67B">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1、备品备件：中标人提供能够满足质量保证期内的设备维修要求的备品备件，备品备件应是新品。</w:t>
      </w:r>
    </w:p>
    <w:p w14:paraId="4CF6F99D">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2、专用工具：中标人提供设备安装、调试、维修、保养所必要的专用工具、仪器、仪表等工具。</w:t>
      </w:r>
    </w:p>
    <w:p w14:paraId="18B03DCF">
      <w:pPr>
        <w:spacing w:line="360" w:lineRule="auto"/>
        <w:ind w:firstLine="437"/>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lang w:eastAsia="zh-CN"/>
        </w:rPr>
        <w:t>五</w:t>
      </w:r>
      <w:r>
        <w:rPr>
          <w:rFonts w:hint="eastAsia" w:ascii="宋体" w:hAnsi="宋体" w:eastAsia="宋体"/>
          <w:b/>
          <w:bCs/>
          <w:color w:val="auto"/>
          <w:sz w:val="24"/>
          <w:szCs w:val="18"/>
          <w:highlight w:val="none"/>
        </w:rPr>
        <w:t>、安装调试、验收试验及质量保证</w:t>
      </w:r>
    </w:p>
    <w:p w14:paraId="2E53654E">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1、中标人在设备安装地点负责安装、调试。</w:t>
      </w:r>
    </w:p>
    <w:p w14:paraId="10D41DA8">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2、具体设备验收标准和程序按采购人要求执行，下列验收程序可参照执行：</w:t>
      </w:r>
    </w:p>
    <w:p w14:paraId="2816C2EE">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2.1 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w:t>
      </w:r>
    </w:p>
    <w:p w14:paraId="61B99EAC">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p>
    <w:p w14:paraId="4DAF8D1B">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2.3 中标人应根据采购人使用单位的技术要求提供相应的产品。由中标人所提供的设备部件间的连线和插接件均应视为设备内部器件，包含在相应的设备之中。</w:t>
      </w:r>
    </w:p>
    <w:p w14:paraId="42B40E81">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2.4 运行测试及最终验收。在系统安装、调试结束后，采购人对其进行全面的测试，对测试中暴露出来的问题，中标人应及时进行整改，系统最终测试完毕经验收合格后，采购人应向中标人签发最终验收证明。</w:t>
      </w:r>
    </w:p>
    <w:p w14:paraId="638FC22C">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2.5 中标人应向采购人提供安装调试过程中的各种文档资料,以便采购人今后能掌握操作和维护方法。</w:t>
      </w:r>
    </w:p>
    <w:p w14:paraId="54972097">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3、如设备在验收时有一个或多个指标未能达到要求而属于中标人责任时，则中标人自费采取有效措施，在</w:t>
      </w:r>
      <w:r>
        <w:rPr>
          <w:rFonts w:hint="eastAsia" w:ascii="宋体" w:hAnsi="宋体" w:eastAsia="宋体"/>
          <w:bCs/>
          <w:color w:val="auto"/>
          <w:sz w:val="24"/>
          <w:szCs w:val="18"/>
          <w:highlight w:val="none"/>
          <w:lang w:val="en-US" w:eastAsia="zh-CN"/>
        </w:rPr>
        <w:t>采购人</w:t>
      </w:r>
      <w:r>
        <w:rPr>
          <w:rFonts w:ascii="宋体" w:hAnsi="宋体" w:eastAsia="宋体"/>
          <w:bCs/>
          <w:color w:val="auto"/>
          <w:sz w:val="24"/>
          <w:szCs w:val="18"/>
          <w:highlight w:val="none"/>
        </w:rPr>
        <w:t>规定时间内使之达到保证指标。如在</w:t>
      </w:r>
      <w:r>
        <w:rPr>
          <w:rFonts w:hint="eastAsia" w:ascii="宋体" w:hAnsi="宋体" w:eastAsia="宋体"/>
          <w:bCs/>
          <w:color w:val="auto"/>
          <w:sz w:val="24"/>
          <w:szCs w:val="18"/>
          <w:highlight w:val="none"/>
          <w:lang w:val="en-US" w:eastAsia="zh-CN"/>
        </w:rPr>
        <w:t>采购人</w:t>
      </w:r>
      <w:r>
        <w:rPr>
          <w:rFonts w:ascii="宋体" w:hAnsi="宋体" w:eastAsia="宋体"/>
          <w:bCs/>
          <w:color w:val="auto"/>
          <w:sz w:val="24"/>
          <w:szCs w:val="18"/>
          <w:highlight w:val="none"/>
        </w:rPr>
        <w:t>规定的时间内仍达不到合格标准时，则中标人应向采购人赔偿。</w:t>
      </w:r>
    </w:p>
    <w:p w14:paraId="4B70D870">
      <w:pPr>
        <w:spacing w:line="360" w:lineRule="auto"/>
        <w:ind w:firstLine="437"/>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rPr>
        <w:t>六、包装运输</w:t>
      </w:r>
    </w:p>
    <w:p w14:paraId="78300315">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1、中标人负责设备包装、办理运输和保险，将设备安全运抵交货地点。</w:t>
      </w:r>
    </w:p>
    <w:p w14:paraId="7E5EC0DC">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2、设备制造完成并通过试验后应及时包装，否则应得到切实的保护，确保其不受污损。</w:t>
      </w:r>
    </w:p>
    <w:p w14:paraId="1F32F4E8">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3、在包装箱外应标明采购人的订货号、发货号。</w:t>
      </w:r>
    </w:p>
    <w:p w14:paraId="30669EAD">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4、各种包装应能确保各零部件在运输过程中不致遭到损坏、丢失、变形、受潮和腐蚀。</w:t>
      </w:r>
    </w:p>
    <w:p w14:paraId="1BDF37CA">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5、包装箱上应有明显的包装储运图示标志。</w:t>
      </w:r>
    </w:p>
    <w:p w14:paraId="153D2792">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6、整体产品或分别运输的部件都要适应运输和装载的要求。</w:t>
      </w:r>
    </w:p>
    <w:p w14:paraId="089E2019">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7、随产品提供的技术资料应完整无缺。</w:t>
      </w:r>
    </w:p>
    <w:p w14:paraId="0FB9B183">
      <w:pPr>
        <w:spacing w:line="360" w:lineRule="auto"/>
        <w:ind w:firstLine="437"/>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lang w:eastAsia="zh-CN"/>
        </w:rPr>
        <w:t>七</w:t>
      </w:r>
      <w:r>
        <w:rPr>
          <w:rFonts w:hint="eastAsia" w:ascii="宋体" w:hAnsi="宋体" w:eastAsia="宋体"/>
          <w:b/>
          <w:bCs/>
          <w:color w:val="auto"/>
          <w:sz w:val="24"/>
          <w:szCs w:val="18"/>
          <w:highlight w:val="none"/>
        </w:rPr>
        <w:t>、技术培训</w:t>
      </w:r>
    </w:p>
    <w:p w14:paraId="0048BCC2">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1、为使合同设备能正常安装和运行，由中标人提供相应的技术培训</w:t>
      </w:r>
      <w:r>
        <w:rPr>
          <w:rFonts w:hint="eastAsia" w:ascii="宋体" w:hAnsi="宋体" w:eastAsia="宋体"/>
          <w:bCs/>
          <w:color w:val="auto"/>
          <w:sz w:val="24"/>
          <w:szCs w:val="18"/>
          <w:highlight w:val="none"/>
          <w:lang w:eastAsia="zh-CN"/>
        </w:rPr>
        <w:t>，</w:t>
      </w:r>
      <w:r>
        <w:rPr>
          <w:rFonts w:ascii="宋体" w:hAnsi="宋体" w:eastAsia="宋体"/>
          <w:bCs/>
          <w:color w:val="auto"/>
          <w:sz w:val="24"/>
          <w:szCs w:val="18"/>
          <w:highlight w:val="none"/>
        </w:rPr>
        <w:t>培训费用</w:t>
      </w:r>
      <w:r>
        <w:rPr>
          <w:rFonts w:hint="eastAsia" w:ascii="宋体" w:hAnsi="宋体" w:eastAsia="宋体"/>
          <w:bCs/>
          <w:color w:val="auto"/>
          <w:sz w:val="24"/>
          <w:szCs w:val="18"/>
          <w:highlight w:val="none"/>
          <w:lang w:val="en-US" w:eastAsia="zh-CN"/>
        </w:rPr>
        <w:t>包含在投标报价内</w:t>
      </w:r>
      <w:r>
        <w:rPr>
          <w:rFonts w:ascii="宋体" w:hAnsi="宋体" w:eastAsia="宋体"/>
          <w:bCs/>
          <w:color w:val="auto"/>
          <w:sz w:val="24"/>
          <w:szCs w:val="18"/>
          <w:highlight w:val="none"/>
        </w:rPr>
        <w:t>。</w:t>
      </w:r>
    </w:p>
    <w:p w14:paraId="63BE6735">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2、培训的时间、人数、地点等具体内容由买卖双方商定，内容至少包括：设备原理、使用、维护、运行操作、常见故障处理等。</w:t>
      </w:r>
    </w:p>
    <w:p w14:paraId="7B359B1F">
      <w:pPr>
        <w:spacing w:line="360" w:lineRule="auto"/>
        <w:ind w:firstLine="437"/>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lang w:eastAsia="zh-CN"/>
        </w:rPr>
        <w:t>八</w:t>
      </w:r>
      <w:r>
        <w:rPr>
          <w:rFonts w:hint="eastAsia" w:ascii="宋体" w:hAnsi="宋体" w:eastAsia="宋体"/>
          <w:b/>
          <w:bCs/>
          <w:color w:val="auto"/>
          <w:sz w:val="24"/>
          <w:szCs w:val="18"/>
          <w:highlight w:val="none"/>
        </w:rPr>
        <w:t>、质保及售后服务</w:t>
      </w:r>
    </w:p>
    <w:p w14:paraId="7493AD73">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1、自双方签订《验收报告》起进入质保期。</w:t>
      </w:r>
    </w:p>
    <w:p w14:paraId="06061DA8">
      <w:pPr>
        <w:spacing w:line="360" w:lineRule="auto"/>
        <w:ind w:firstLine="437"/>
        <w:outlineLvl w:val="1"/>
        <w:rPr>
          <w:rFonts w:ascii="宋体" w:hAnsi="宋体" w:eastAsia="宋体"/>
          <w:bCs/>
          <w:color w:val="auto"/>
          <w:sz w:val="24"/>
          <w:szCs w:val="18"/>
          <w:highlight w:val="none"/>
        </w:rPr>
      </w:pPr>
      <w:r>
        <w:rPr>
          <w:rFonts w:ascii="宋体" w:hAnsi="宋体" w:eastAsia="宋体"/>
          <w:bCs/>
          <w:color w:val="auto"/>
          <w:sz w:val="24"/>
          <w:szCs w:val="18"/>
          <w:highlight w:val="none"/>
        </w:rPr>
        <w:t>2、在质保期间内，非采购人过失和故意并且在正常使用的情况下发现商品有缺陷，中标人</w:t>
      </w:r>
      <w:r>
        <w:rPr>
          <w:rFonts w:hint="eastAsia" w:ascii="宋体" w:hAnsi="宋体" w:eastAsia="宋体"/>
          <w:bCs/>
          <w:color w:val="auto"/>
          <w:sz w:val="24"/>
          <w:szCs w:val="18"/>
          <w:highlight w:val="none"/>
          <w:lang w:val="en-US" w:eastAsia="zh-CN"/>
        </w:rPr>
        <w:t>应</w:t>
      </w:r>
      <w:r>
        <w:rPr>
          <w:rFonts w:ascii="宋体" w:hAnsi="宋体" w:eastAsia="宋体"/>
          <w:bCs/>
          <w:color w:val="auto"/>
          <w:sz w:val="24"/>
          <w:szCs w:val="18"/>
          <w:highlight w:val="none"/>
        </w:rPr>
        <w:t>修理或替换该设备；在质保期间内，非采购人过失和故意并且在正常使用的情况下设备发生故障，中标人应及时提供服务。</w:t>
      </w:r>
    </w:p>
    <w:p w14:paraId="471D8F89">
      <w:pPr>
        <w:spacing w:line="360" w:lineRule="auto"/>
        <w:ind w:firstLine="437"/>
        <w:outlineLvl w:val="1"/>
        <w:rPr>
          <w:rFonts w:hint="default" w:ascii="宋体" w:hAnsi="宋体" w:eastAsia="宋体"/>
          <w:bCs/>
          <w:color w:val="auto"/>
          <w:sz w:val="24"/>
          <w:szCs w:val="18"/>
          <w:lang w:val="en-US" w:eastAsia="zh-CN"/>
        </w:rPr>
      </w:pPr>
    </w:p>
    <w:p w14:paraId="795BF1E7">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CFE317"/>
    <w:multiLevelType w:val="singleLevel"/>
    <w:tmpl w:val="94CFE317"/>
    <w:lvl w:ilvl="0" w:tentative="0">
      <w:start w:val="1"/>
      <w:numFmt w:val="decimal"/>
      <w:lvlText w:val="%1)"/>
      <w:lvlJc w:val="left"/>
      <w:pPr>
        <w:ind w:left="425" w:hanging="425"/>
      </w:pPr>
      <w:rPr>
        <w:rFonts w:hint="default"/>
      </w:rPr>
    </w:lvl>
  </w:abstractNum>
  <w:abstractNum w:abstractNumId="1">
    <w:nsid w:val="97DAED0C"/>
    <w:multiLevelType w:val="singleLevel"/>
    <w:tmpl w:val="97DAED0C"/>
    <w:lvl w:ilvl="0" w:tentative="0">
      <w:start w:val="1"/>
      <w:numFmt w:val="decimal"/>
      <w:lvlText w:val="%1)"/>
      <w:lvlJc w:val="left"/>
      <w:pPr>
        <w:ind w:left="425" w:hanging="425"/>
      </w:pPr>
      <w:rPr>
        <w:rFonts w:hint="default"/>
      </w:rPr>
    </w:lvl>
  </w:abstractNum>
  <w:abstractNum w:abstractNumId="2">
    <w:nsid w:val="98D3B7BE"/>
    <w:multiLevelType w:val="singleLevel"/>
    <w:tmpl w:val="98D3B7BE"/>
    <w:lvl w:ilvl="0" w:tentative="0">
      <w:start w:val="3"/>
      <w:numFmt w:val="upperLetter"/>
      <w:lvlText w:val="%1."/>
      <w:lvlJc w:val="left"/>
      <w:pPr>
        <w:tabs>
          <w:tab w:val="left" w:pos="312"/>
        </w:tabs>
      </w:pPr>
    </w:lvl>
  </w:abstractNum>
  <w:abstractNum w:abstractNumId="3">
    <w:nsid w:val="A2FF330C"/>
    <w:multiLevelType w:val="singleLevel"/>
    <w:tmpl w:val="A2FF330C"/>
    <w:lvl w:ilvl="0" w:tentative="0">
      <w:start w:val="1"/>
      <w:numFmt w:val="decimal"/>
      <w:lvlText w:val="%1)"/>
      <w:lvlJc w:val="left"/>
      <w:pPr>
        <w:ind w:left="425" w:hanging="425"/>
      </w:pPr>
      <w:rPr>
        <w:rFonts w:hint="default"/>
      </w:rPr>
    </w:lvl>
  </w:abstractNum>
  <w:abstractNum w:abstractNumId="4">
    <w:nsid w:val="ED187889"/>
    <w:multiLevelType w:val="singleLevel"/>
    <w:tmpl w:val="ED187889"/>
    <w:lvl w:ilvl="0" w:tentative="0">
      <w:start w:val="1"/>
      <w:numFmt w:val="decimal"/>
      <w:lvlText w:val="%1)"/>
      <w:lvlJc w:val="left"/>
      <w:pPr>
        <w:ind w:left="425" w:hanging="425"/>
      </w:pPr>
      <w:rPr>
        <w:rFonts w:hint="default"/>
      </w:rPr>
    </w:lvl>
  </w:abstractNum>
  <w:abstractNum w:abstractNumId="5">
    <w:nsid w:val="FBEE13DB"/>
    <w:multiLevelType w:val="singleLevel"/>
    <w:tmpl w:val="FBEE13DB"/>
    <w:lvl w:ilvl="0" w:tentative="0">
      <w:start w:val="1"/>
      <w:numFmt w:val="decimal"/>
      <w:lvlText w:val="%1)"/>
      <w:lvlJc w:val="left"/>
      <w:pPr>
        <w:ind w:left="425" w:hanging="425"/>
      </w:pPr>
      <w:rPr>
        <w:rFonts w:hint="default"/>
      </w:rPr>
    </w:lvl>
  </w:abstractNum>
  <w:abstractNum w:abstractNumId="6">
    <w:nsid w:val="FD6606C8"/>
    <w:multiLevelType w:val="multilevel"/>
    <w:tmpl w:val="FD6606C8"/>
    <w:lvl w:ilvl="0" w:tentative="0">
      <w:start w:val="1"/>
      <w:numFmt w:val="decimal"/>
      <w:lvlText w:val="%1)"/>
      <w:lvlJc w:val="left"/>
      <w:pPr>
        <w:ind w:left="425" w:hanging="425"/>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FF15A3A0"/>
    <w:multiLevelType w:val="singleLevel"/>
    <w:tmpl w:val="FF15A3A0"/>
    <w:lvl w:ilvl="0" w:tentative="0">
      <w:start w:val="1"/>
      <w:numFmt w:val="decimal"/>
      <w:lvlText w:val="%1)"/>
      <w:lvlJc w:val="left"/>
      <w:pPr>
        <w:ind w:left="425" w:hanging="425"/>
      </w:pPr>
      <w:rPr>
        <w:rFonts w:hint="default"/>
      </w:rPr>
    </w:lvl>
  </w:abstractNum>
  <w:abstractNum w:abstractNumId="8">
    <w:nsid w:val="02181288"/>
    <w:multiLevelType w:val="singleLevel"/>
    <w:tmpl w:val="02181288"/>
    <w:lvl w:ilvl="0" w:tentative="0">
      <w:start w:val="1"/>
      <w:numFmt w:val="decimal"/>
      <w:lvlText w:val="%1)"/>
      <w:lvlJc w:val="left"/>
      <w:pPr>
        <w:ind w:left="425" w:hanging="425"/>
      </w:pPr>
      <w:rPr>
        <w:rFonts w:hint="default"/>
      </w:rPr>
    </w:lvl>
  </w:abstractNum>
  <w:abstractNum w:abstractNumId="9">
    <w:nsid w:val="0F6AE4ED"/>
    <w:multiLevelType w:val="singleLevel"/>
    <w:tmpl w:val="0F6AE4ED"/>
    <w:lvl w:ilvl="0" w:tentative="0">
      <w:start w:val="1"/>
      <w:numFmt w:val="decimal"/>
      <w:lvlText w:val="%1)"/>
      <w:lvlJc w:val="left"/>
      <w:pPr>
        <w:ind w:left="425" w:hanging="425"/>
      </w:pPr>
      <w:rPr>
        <w:rFonts w:hint="default"/>
      </w:rPr>
    </w:lvl>
  </w:abstractNum>
  <w:abstractNum w:abstractNumId="10">
    <w:nsid w:val="15B44CFB"/>
    <w:multiLevelType w:val="multilevel"/>
    <w:tmpl w:val="15B44CFB"/>
    <w:lvl w:ilvl="0" w:tentative="0">
      <w:start w:val="9"/>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85106DC"/>
    <w:multiLevelType w:val="multilevel"/>
    <w:tmpl w:val="185106DC"/>
    <w:lvl w:ilvl="0" w:tentative="0">
      <w:start w:val="1"/>
      <w:numFmt w:val="decimal"/>
      <w:lvlText w:val="%1."/>
      <w:lvlJc w:val="left"/>
      <w:pPr>
        <w:tabs>
          <w:tab w:val="left" w:pos="420"/>
        </w:tabs>
        <w:ind w:left="420" w:hanging="420"/>
      </w:pPr>
      <w:rPr>
        <w:rFonts w:hint="eastAsia"/>
      </w:rPr>
    </w:lvl>
    <w:lvl w:ilvl="1" w:tentative="0">
      <w:start w:val="1"/>
      <w:numFmt w:val="decimal"/>
      <w:lvlText w:val="(%2)"/>
      <w:lvlJc w:val="left"/>
      <w:pPr>
        <w:tabs>
          <w:tab w:val="left" w:pos="840"/>
        </w:tabs>
        <w:ind w:left="840" w:hanging="420"/>
      </w:pPr>
      <w:rPr>
        <w:rFonts w:hint="eastAsia"/>
      </w:r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3CC7616A"/>
    <w:multiLevelType w:val="singleLevel"/>
    <w:tmpl w:val="3CC7616A"/>
    <w:lvl w:ilvl="0" w:tentative="0">
      <w:start w:val="1"/>
      <w:numFmt w:val="decimal"/>
      <w:lvlText w:val="%1)"/>
      <w:lvlJc w:val="left"/>
      <w:pPr>
        <w:ind w:left="425" w:hanging="425"/>
      </w:pPr>
      <w:rPr>
        <w:rFonts w:hint="default"/>
      </w:rPr>
    </w:lvl>
  </w:abstractNum>
  <w:abstractNum w:abstractNumId="13">
    <w:nsid w:val="4959315D"/>
    <w:multiLevelType w:val="singleLevel"/>
    <w:tmpl w:val="4959315D"/>
    <w:lvl w:ilvl="0" w:tentative="0">
      <w:start w:val="1"/>
      <w:numFmt w:val="decimal"/>
      <w:lvlText w:val="%1)"/>
      <w:lvlJc w:val="left"/>
      <w:pPr>
        <w:ind w:left="425" w:hanging="425"/>
      </w:pPr>
      <w:rPr>
        <w:rFonts w:hint="default"/>
      </w:rPr>
    </w:lvl>
  </w:abstractNum>
  <w:abstractNum w:abstractNumId="14">
    <w:nsid w:val="52060A09"/>
    <w:multiLevelType w:val="singleLevel"/>
    <w:tmpl w:val="52060A09"/>
    <w:lvl w:ilvl="0" w:tentative="0">
      <w:start w:val="1"/>
      <w:numFmt w:val="decimal"/>
      <w:lvlText w:val="%1)"/>
      <w:lvlJc w:val="left"/>
      <w:pPr>
        <w:ind w:left="425" w:hanging="425"/>
      </w:pPr>
      <w:rPr>
        <w:rFonts w:hint="default"/>
      </w:rPr>
    </w:lvl>
  </w:abstractNum>
  <w:abstractNum w:abstractNumId="15">
    <w:nsid w:val="5ED75ABE"/>
    <w:multiLevelType w:val="singleLevel"/>
    <w:tmpl w:val="5ED75ABE"/>
    <w:lvl w:ilvl="0" w:tentative="0">
      <w:start w:val="1"/>
      <w:numFmt w:val="decimal"/>
      <w:lvlText w:val="%1)"/>
      <w:lvlJc w:val="left"/>
      <w:pPr>
        <w:ind w:left="425" w:hanging="425"/>
      </w:pPr>
      <w:rPr>
        <w:rFonts w:hint="default"/>
      </w:rPr>
    </w:lvl>
  </w:abstractNum>
  <w:abstractNum w:abstractNumId="16">
    <w:nsid w:val="69AA6CE6"/>
    <w:multiLevelType w:val="singleLevel"/>
    <w:tmpl w:val="69AA6CE6"/>
    <w:lvl w:ilvl="0" w:tentative="0">
      <w:start w:val="1"/>
      <w:numFmt w:val="decimal"/>
      <w:lvlText w:val="%1)"/>
      <w:lvlJc w:val="left"/>
      <w:pPr>
        <w:ind w:left="425" w:hanging="425"/>
      </w:pPr>
      <w:rPr>
        <w:rFonts w:hint="default"/>
      </w:rPr>
    </w:lvl>
  </w:abstractNum>
  <w:abstractNum w:abstractNumId="17">
    <w:nsid w:val="6E614262"/>
    <w:multiLevelType w:val="singleLevel"/>
    <w:tmpl w:val="6E614262"/>
    <w:lvl w:ilvl="0" w:tentative="0">
      <w:start w:val="1"/>
      <w:numFmt w:val="decimal"/>
      <w:lvlText w:val="%1)"/>
      <w:lvlJc w:val="left"/>
      <w:pPr>
        <w:ind w:left="425" w:hanging="425"/>
      </w:pPr>
      <w:rPr>
        <w:rFonts w:hint="default"/>
      </w:rPr>
    </w:lvl>
  </w:abstractNum>
  <w:abstractNum w:abstractNumId="18">
    <w:nsid w:val="7CFC2BC2"/>
    <w:multiLevelType w:val="singleLevel"/>
    <w:tmpl w:val="7CFC2BC2"/>
    <w:lvl w:ilvl="0" w:tentative="0">
      <w:start w:val="1"/>
      <w:numFmt w:val="decimal"/>
      <w:lvlText w:val="%1)"/>
      <w:lvlJc w:val="left"/>
      <w:pPr>
        <w:ind w:left="425" w:hanging="425"/>
      </w:pPr>
      <w:rPr>
        <w:rFonts w:hint="default"/>
      </w:rPr>
    </w:lvl>
  </w:abstractNum>
  <w:abstractNum w:abstractNumId="19">
    <w:nsid w:val="7E1B326F"/>
    <w:multiLevelType w:val="singleLevel"/>
    <w:tmpl w:val="7E1B326F"/>
    <w:lvl w:ilvl="0" w:tentative="0">
      <w:start w:val="1"/>
      <w:numFmt w:val="decimal"/>
      <w:lvlText w:val="%1)"/>
      <w:lvlJc w:val="left"/>
      <w:pPr>
        <w:ind w:left="425" w:hanging="425"/>
      </w:pPr>
      <w:rPr>
        <w:rFonts w:hint="default"/>
      </w:rPr>
    </w:lvl>
  </w:abstractNum>
  <w:num w:numId="1">
    <w:abstractNumId w:val="2"/>
  </w:num>
  <w:num w:numId="2">
    <w:abstractNumId w:val="11"/>
  </w:num>
  <w:num w:numId="3">
    <w:abstractNumId w:val="3"/>
  </w:num>
  <w:num w:numId="4">
    <w:abstractNumId w:val="7"/>
  </w:num>
  <w:num w:numId="5">
    <w:abstractNumId w:val="9"/>
  </w:num>
  <w:num w:numId="6">
    <w:abstractNumId w:val="0"/>
  </w:num>
  <w:num w:numId="7">
    <w:abstractNumId w:val="15"/>
  </w:num>
  <w:num w:numId="8">
    <w:abstractNumId w:val="1"/>
  </w:num>
  <w:num w:numId="9">
    <w:abstractNumId w:val="5"/>
  </w:num>
  <w:num w:numId="10">
    <w:abstractNumId w:val="4"/>
  </w:num>
  <w:num w:numId="11">
    <w:abstractNumId w:val="10"/>
  </w:num>
  <w:num w:numId="12">
    <w:abstractNumId w:val="18"/>
  </w:num>
  <w:num w:numId="13">
    <w:abstractNumId w:val="13"/>
  </w:num>
  <w:num w:numId="14">
    <w:abstractNumId w:val="17"/>
  </w:num>
  <w:num w:numId="15">
    <w:abstractNumId w:val="16"/>
  </w:num>
  <w:num w:numId="16">
    <w:abstractNumId w:val="14"/>
  </w:num>
  <w:num w:numId="17">
    <w:abstractNumId w:val="12"/>
  </w:num>
  <w:num w:numId="18">
    <w:abstractNumId w:val="19"/>
  </w:num>
  <w:num w:numId="19">
    <w:abstractNumId w:val="8"/>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06018"/>
    <w:rsid w:val="064106ED"/>
    <w:rsid w:val="24A06018"/>
    <w:rsid w:val="2AFC4314"/>
    <w:rsid w:val="2F8F6F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9"/>
    <w:pPr>
      <w:keepNext/>
      <w:keepLines/>
      <w:spacing w:before="260" w:after="260" w:line="416" w:lineRule="auto"/>
      <w:outlineLvl w:val="2"/>
    </w:pPr>
    <w:rPr>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rFonts w:cs="Times New Roman"/>
      <w:kern w:val="0"/>
      <w:sz w:val="24"/>
    </w:rPr>
  </w:style>
  <w:style w:type="paragraph" w:customStyle="1" w:styleId="7">
    <w:name w:val="D&amp;L"/>
    <w:basedOn w:val="3"/>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8">
    <w:name w:val="xl31"/>
    <w:basedOn w:val="1"/>
    <w:autoRedefine/>
    <w:qFormat/>
    <w:uiPriority w:val="0"/>
    <w:pPr>
      <w:widowControl/>
      <w:spacing w:before="100" w:beforeAutospacing="1" w:after="100" w:afterAutospacing="1"/>
      <w:jc w:val="center"/>
    </w:pPr>
    <w:rPr>
      <w:b/>
      <w:bCs/>
      <w:kern w:val="0"/>
      <w:sz w:val="28"/>
      <w:szCs w:val="28"/>
    </w:rPr>
  </w:style>
  <w:style w:type="table" w:customStyle="1" w:styleId="9">
    <w:name w:val="普通表格1"/>
    <w:semiHidden/>
    <w:qFormat/>
    <w:uiPriority w:val="0"/>
    <w:tblPr>
      <w:tblCellMar>
        <w:top w:w="0" w:type="dxa"/>
        <w:left w:w="108" w:type="dxa"/>
        <w:bottom w:w="0" w:type="dxa"/>
        <w:right w:w="108" w:type="dxa"/>
      </w:tblCellMar>
    </w:tblPr>
  </w:style>
  <w:style w:type="paragraph" w:customStyle="1" w:styleId="10">
    <w:name w:val="Default"/>
    <w:next w:val="1"/>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11">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61</Pages>
  <Words>2970</Words>
  <Characters>3603</Characters>
  <Lines>0</Lines>
  <Paragraphs>0</Paragraphs>
  <TotalTime>0</TotalTime>
  <ScaleCrop>false</ScaleCrop>
  <LinksUpToDate>false</LinksUpToDate>
  <CharactersWithSpaces>3683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2026-09-29T01:53:00Z</dcterms:created>
  <dc:creator>省招</dc:creator>
  <cp:lastModifiedBy>省招</cp:lastModifiedBy>
  <dcterms:modified xsi:type="dcterms:W3CDTF">2026-09-29T11:29:37Z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97919C00D660421C8A39CEAB4786AEE9_11</vt:lpwstr>
  </property>
  <property fmtid="{D5CDD505-2E9C-101B-9397-08002B2CF9AE}" pid="4" name="KSOTemplateDocerSaveRecord">
    <vt:lpwstr>eyJoZGlkIjoiMjFlNDcxMzhjZTVlNDBjMzBjMjM4MDQwMDM2MDcyZTEiLCJ1c2VySWQiOiI4ODgyMDUxMzUifQ==</vt:lpwstr>
  </property>
</Properties>
</file>