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E5BBC">
      <w:pPr>
        <w:rPr>
          <w:rFonts w:ascii="Times New Roman" w:hAnsi="Times New Roman"/>
          <w:color w:val="auto"/>
          <w:highlight w:val="none"/>
        </w:rPr>
      </w:pPr>
      <w:bookmarkStart w:id="0" w:name="EB66f6f3065e3245ac98bc2b30584e855b"/>
      <w:bookmarkStart w:id="1" w:name="EB9993916871824d46a9f442e61dcbb5fc"/>
      <w:r>
        <w:rPr>
          <w:rFonts w:ascii="Times New Roman" w:hAnsi="Times New Roman"/>
          <w:color w:val="auto"/>
          <w:sz w:val="20"/>
          <w:highlight w:val="none"/>
        </w:rPr>
        <w:t xml:space="preserve"> </w:t>
      </w:r>
      <w:bookmarkEnd w:id="0"/>
      <w:r>
        <w:rPr>
          <w:rFonts w:ascii="Times New Roman" w:hAnsi="Times New Roman"/>
          <w:color w:val="auto"/>
          <w:sz w:val="20"/>
          <w:highlight w:val="none"/>
        </w:rPr>
        <w:t xml:space="preserve"> </w:t>
      </w:r>
      <w:bookmarkStart w:id="2" w:name="EB180ba06745a546608cc746518d0340a4"/>
      <w:bookmarkEnd w:id="2"/>
    </w:p>
    <w:p w14:paraId="18277E99">
      <w:pPr>
        <w:jc w:val="center"/>
        <w:rPr>
          <w:rFonts w:ascii="Times New Roman" w:hAnsi="Times New Roman"/>
          <w:b/>
          <w:bCs/>
          <w:color w:val="auto"/>
          <w:sz w:val="84"/>
          <w:szCs w:val="84"/>
          <w:highlight w:val="none"/>
        </w:rPr>
      </w:pPr>
    </w:p>
    <w:p w14:paraId="52B3BEA0">
      <w:pPr>
        <w:jc w:val="center"/>
        <w:rPr>
          <w:rFonts w:ascii="Times New Roman" w:hAnsi="Times New Roman"/>
          <w:b/>
          <w:bCs/>
          <w:color w:val="auto"/>
          <w:sz w:val="84"/>
          <w:szCs w:val="84"/>
          <w:highlight w:val="none"/>
        </w:rPr>
      </w:pPr>
      <w:r>
        <w:rPr>
          <w:rFonts w:hint="eastAsia" w:ascii="方正小标宋_GBK" w:hAnsi="方正小标宋_GBK" w:eastAsia="方正小标宋_GBK" w:cs="方正小标宋_GBK"/>
          <w:b w:val="0"/>
          <w:bCs w:val="0"/>
          <w:color w:val="auto"/>
          <w:sz w:val="44"/>
          <w:szCs w:val="44"/>
          <w:highlight w:val="none"/>
        </w:rPr>
        <w:t>公开招标文件</w:t>
      </w:r>
    </w:p>
    <w:p w14:paraId="7F44D5A2">
      <w:pPr>
        <w:spacing w:line="560" w:lineRule="exact"/>
        <w:jc w:val="center"/>
        <w:rPr>
          <w:rFonts w:ascii="Times New Roman" w:hAnsi="Times New Roman"/>
          <w:b/>
          <w:color w:val="auto"/>
          <w:sz w:val="44"/>
          <w:szCs w:val="44"/>
          <w:highlight w:val="none"/>
        </w:rPr>
      </w:pPr>
      <w:r>
        <w:rPr>
          <w:rFonts w:ascii="Times New Roman" w:hAnsi="Times New Roman"/>
          <w:b/>
          <w:color w:val="auto"/>
          <w:sz w:val="36"/>
          <w:szCs w:val="36"/>
          <w:highlight w:val="none"/>
        </w:rPr>
        <w:t>（货物、服务类）</w:t>
      </w:r>
    </w:p>
    <w:p w14:paraId="6EE779B6">
      <w:pPr>
        <w:spacing w:line="560" w:lineRule="exact"/>
        <w:rPr>
          <w:rFonts w:ascii="Times New Roman" w:hAnsi="Times New Roman"/>
          <w:color w:val="auto"/>
          <w:sz w:val="32"/>
          <w:szCs w:val="32"/>
          <w:highlight w:val="none"/>
        </w:rPr>
      </w:pPr>
    </w:p>
    <w:p w14:paraId="5EFAB281">
      <w:pPr>
        <w:spacing w:line="560" w:lineRule="exact"/>
        <w:rPr>
          <w:rFonts w:ascii="Times New Roman" w:hAnsi="Times New Roman"/>
          <w:color w:val="auto"/>
          <w:sz w:val="32"/>
          <w:szCs w:val="32"/>
          <w:highlight w:val="none"/>
        </w:rPr>
      </w:pPr>
    </w:p>
    <w:p w14:paraId="1DFB8A79">
      <w:pPr>
        <w:spacing w:line="560" w:lineRule="exact"/>
        <w:rPr>
          <w:rFonts w:ascii="Times New Roman" w:hAnsi="Times New Roman"/>
          <w:color w:val="auto"/>
          <w:sz w:val="32"/>
          <w:szCs w:val="32"/>
          <w:highlight w:val="none"/>
        </w:rPr>
      </w:pPr>
    </w:p>
    <w:p w14:paraId="5A3D7218">
      <w:pPr>
        <w:spacing w:line="360" w:lineRule="auto"/>
        <w:ind w:left="1606" w:hanging="1807" w:hangingChars="500"/>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rPr>
        <w:t>项目名称：</w:t>
      </w:r>
      <w:r>
        <w:rPr>
          <w:rFonts w:hint="eastAsia" w:ascii="宋体" w:hAnsi="宋体" w:eastAsia="宋体" w:cs="宋体"/>
          <w:b/>
          <w:color w:val="0000FF"/>
          <w:sz w:val="36"/>
          <w:szCs w:val="36"/>
          <w:highlight w:val="none"/>
          <w:lang w:eastAsia="zh-CN"/>
        </w:rPr>
        <w:t>2026年乌鲁木齐市第七十中学凌空校区新建项目学</w:t>
      </w:r>
      <w:r>
        <w:rPr>
          <w:rFonts w:hint="eastAsia" w:ascii="宋体" w:hAnsi="宋体" w:cs="宋体"/>
          <w:b/>
          <w:color w:val="0000FF"/>
          <w:sz w:val="36"/>
          <w:szCs w:val="36"/>
          <w:highlight w:val="none"/>
          <w:lang w:eastAsia="zh-CN"/>
        </w:rPr>
        <w:t>科课程基地建设项目（二次）</w:t>
      </w:r>
    </w:p>
    <w:p w14:paraId="0D6363F8">
      <w:pPr>
        <w:spacing w:line="360" w:lineRule="auto"/>
        <w:rPr>
          <w:rFonts w:hint="eastAsia" w:ascii="宋体" w:hAnsi="宋体" w:eastAsia="宋体" w:cs="宋体"/>
          <w:b/>
          <w:color w:val="auto"/>
          <w:sz w:val="36"/>
          <w:szCs w:val="36"/>
          <w:highlight w:val="none"/>
          <w:u w:val="single"/>
          <w:lang w:eastAsia="zh-CN"/>
        </w:rPr>
      </w:pPr>
      <w:r>
        <w:rPr>
          <w:rFonts w:hint="eastAsia" w:ascii="宋体" w:hAnsi="宋体" w:eastAsia="宋体" w:cs="宋体"/>
          <w:b/>
          <w:color w:val="auto"/>
          <w:sz w:val="36"/>
          <w:szCs w:val="36"/>
          <w:highlight w:val="none"/>
        </w:rPr>
        <w:t>项目编号：</w:t>
      </w:r>
      <w:r>
        <w:rPr>
          <w:rFonts w:hint="eastAsia" w:ascii="宋体" w:hAnsi="宋体" w:eastAsia="宋体" w:cs="宋体"/>
          <w:b/>
          <w:color w:val="0000FF"/>
          <w:sz w:val="36"/>
          <w:szCs w:val="36"/>
          <w:highlight w:val="none"/>
          <w:lang w:eastAsia="zh-CN"/>
        </w:rPr>
        <w:t>WZCG-</w:t>
      </w:r>
      <w:r>
        <w:rPr>
          <w:rFonts w:hint="eastAsia" w:ascii="宋体" w:hAnsi="宋体" w:cs="宋体"/>
          <w:b/>
          <w:color w:val="0000FF"/>
          <w:sz w:val="36"/>
          <w:szCs w:val="36"/>
          <w:highlight w:val="none"/>
          <w:lang w:eastAsia="zh-CN"/>
        </w:rPr>
        <w:t>ZCY202601064（2）</w:t>
      </w:r>
    </w:p>
    <w:p w14:paraId="50BF1D1B">
      <w:pPr>
        <w:spacing w:line="560" w:lineRule="exact"/>
        <w:rPr>
          <w:rFonts w:ascii="Times New Roman" w:hAnsi="Times New Roman" w:eastAsia="文鼎CS楷体"/>
          <w:b/>
          <w:bCs/>
          <w:color w:val="auto"/>
          <w:sz w:val="32"/>
          <w:szCs w:val="20"/>
          <w:highlight w:val="none"/>
        </w:rPr>
      </w:pPr>
    </w:p>
    <w:p w14:paraId="650950D6">
      <w:pPr>
        <w:spacing w:line="560" w:lineRule="exact"/>
        <w:jc w:val="left"/>
        <w:rPr>
          <w:rFonts w:ascii="Times New Roman" w:hAnsi="Times New Roman" w:eastAsia="文鼎CS楷体"/>
          <w:b/>
          <w:bCs/>
          <w:color w:val="auto"/>
          <w:sz w:val="32"/>
          <w:szCs w:val="20"/>
          <w:highlight w:val="none"/>
        </w:rPr>
      </w:pPr>
    </w:p>
    <w:p w14:paraId="295BE7D6">
      <w:pPr>
        <w:spacing w:line="560" w:lineRule="exact"/>
        <w:jc w:val="left"/>
        <w:rPr>
          <w:rFonts w:ascii="Times New Roman" w:hAnsi="Times New Roman" w:eastAsia="文鼎CS楷体"/>
          <w:b/>
          <w:bCs/>
          <w:color w:val="auto"/>
          <w:sz w:val="32"/>
          <w:szCs w:val="20"/>
          <w:highlight w:val="none"/>
        </w:rPr>
      </w:pPr>
    </w:p>
    <w:p w14:paraId="316E5AA9">
      <w:pPr>
        <w:spacing w:line="560" w:lineRule="exact"/>
        <w:jc w:val="left"/>
        <w:rPr>
          <w:rFonts w:ascii="Times New Roman" w:hAnsi="Times New Roman" w:eastAsia="文鼎CS楷体"/>
          <w:b/>
          <w:bCs/>
          <w:color w:val="auto"/>
          <w:sz w:val="32"/>
          <w:szCs w:val="20"/>
          <w:highlight w:val="none"/>
        </w:rPr>
      </w:pPr>
    </w:p>
    <w:p w14:paraId="4306E27E">
      <w:pPr>
        <w:spacing w:line="560" w:lineRule="exact"/>
        <w:jc w:val="left"/>
        <w:rPr>
          <w:rFonts w:ascii="Times New Roman" w:hAnsi="Times New Roman" w:eastAsia="文鼎CS楷体"/>
          <w:b/>
          <w:bCs/>
          <w:color w:val="auto"/>
          <w:sz w:val="32"/>
          <w:szCs w:val="20"/>
          <w:highlight w:val="none"/>
        </w:rPr>
      </w:pPr>
    </w:p>
    <w:p w14:paraId="70A35D85">
      <w:pPr>
        <w:spacing w:line="560" w:lineRule="exact"/>
        <w:jc w:val="left"/>
        <w:rPr>
          <w:rFonts w:ascii="Times New Roman" w:hAnsi="Times New Roman" w:eastAsia="文鼎CS楷体"/>
          <w:b/>
          <w:bCs/>
          <w:color w:val="auto"/>
          <w:sz w:val="32"/>
          <w:szCs w:val="20"/>
          <w:highlight w:val="none"/>
        </w:rPr>
      </w:pPr>
    </w:p>
    <w:p w14:paraId="0659860B">
      <w:pPr>
        <w:spacing w:line="560" w:lineRule="exact"/>
        <w:jc w:val="left"/>
        <w:rPr>
          <w:rFonts w:ascii="Times New Roman" w:hAnsi="Times New Roman" w:eastAsia="文鼎CS楷体"/>
          <w:b/>
          <w:bCs/>
          <w:color w:val="auto"/>
          <w:sz w:val="32"/>
          <w:szCs w:val="20"/>
          <w:highlight w:val="none"/>
        </w:rPr>
      </w:pPr>
    </w:p>
    <w:p w14:paraId="42BBE53E">
      <w:pPr>
        <w:spacing w:line="600" w:lineRule="exact"/>
        <w:jc w:val="center"/>
        <w:rPr>
          <w:rFonts w:hint="eastAsia" w:ascii="宋体" w:hAnsi="宋体" w:eastAsia="宋体" w:cs="宋体"/>
          <w:color w:val="auto"/>
          <w:sz w:val="36"/>
          <w:szCs w:val="36"/>
          <w:highlight w:val="none"/>
          <w:u w:val="single"/>
        </w:rPr>
      </w:pPr>
      <w:r>
        <w:rPr>
          <w:rFonts w:hint="eastAsia" w:ascii="宋体" w:hAnsi="宋体" w:eastAsia="宋体" w:cs="宋体"/>
          <w:b/>
          <w:color w:val="auto"/>
          <w:sz w:val="36"/>
          <w:szCs w:val="36"/>
          <w:highlight w:val="none"/>
        </w:rPr>
        <w:t>乌鲁木齐市公共资源交易中心（乌鲁木齐市政府采购中心）</w:t>
      </w:r>
    </w:p>
    <w:p w14:paraId="6C170282">
      <w:pPr>
        <w:spacing w:line="600" w:lineRule="exact"/>
        <w:jc w:val="center"/>
        <w:rPr>
          <w:rFonts w:hint="eastAsia" w:ascii="宋体" w:hAnsi="宋体" w:eastAsia="宋体" w:cs="宋体"/>
          <w:b/>
          <w:color w:val="0000FF"/>
          <w:sz w:val="36"/>
          <w:szCs w:val="36"/>
          <w:highlight w:val="none"/>
        </w:rPr>
      </w:pPr>
      <w:bookmarkStart w:id="3" w:name="EBcbdc5401010041bba581317e59c8379e"/>
      <w:r>
        <w:rPr>
          <w:rFonts w:hint="default" w:ascii="Times New Roman" w:hAnsi="Times New Roman" w:eastAsia="宋体" w:cs="Times New Roman"/>
          <w:b/>
          <w:color w:val="0000FF"/>
          <w:sz w:val="36"/>
          <w:szCs w:val="36"/>
          <w:highlight w:val="none"/>
        </w:rPr>
        <w:t>2026年</w:t>
      </w:r>
      <w:r>
        <w:rPr>
          <w:rFonts w:hint="eastAsia" w:ascii="Times New Roman" w:hAnsi="Times New Roman" w:cs="Times New Roman"/>
          <w:b/>
          <w:color w:val="0000FF"/>
          <w:sz w:val="36"/>
          <w:szCs w:val="36"/>
          <w:highlight w:val="none"/>
          <w:lang w:val="en-US" w:eastAsia="zh-CN"/>
        </w:rPr>
        <w:t>9</w:t>
      </w:r>
      <w:r>
        <w:rPr>
          <w:rFonts w:hint="eastAsia" w:ascii="宋体" w:hAnsi="宋体" w:eastAsia="宋体" w:cs="宋体"/>
          <w:b/>
          <w:color w:val="0000FF"/>
          <w:sz w:val="36"/>
          <w:szCs w:val="36"/>
          <w:highlight w:val="none"/>
        </w:rPr>
        <w:t>月</w:t>
      </w:r>
      <w:bookmarkEnd w:id="3"/>
    </w:p>
    <w:p w14:paraId="3876AA0B">
      <w:pPr>
        <w:rPr>
          <w:rFonts w:ascii="Times New Roman" w:hAnsi="Times New Roman"/>
          <w:color w:val="auto"/>
          <w:sz w:val="22"/>
          <w:highlight w:val="none"/>
          <w:u w:val="single"/>
        </w:rPr>
      </w:pPr>
    </w:p>
    <w:p w14:paraId="507462EA">
      <w:pPr>
        <w:keepNext/>
        <w:keepLines/>
        <w:pageBreakBefore/>
        <w:adjustRightInd w:val="0"/>
        <w:snapToGrid w:val="0"/>
        <w:spacing w:line="440" w:lineRule="exact"/>
        <w:jc w:val="center"/>
        <w:rPr>
          <w:rFonts w:hint="eastAsia" w:ascii="黑体" w:hAnsi="黑体" w:eastAsia="黑体" w:cs="黑体"/>
          <w:b/>
          <w:bCs/>
          <w:color w:val="auto"/>
          <w:kern w:val="0"/>
          <w:sz w:val="36"/>
          <w:szCs w:val="36"/>
          <w:highlight w:val="none"/>
          <w:lang w:val="zh-CN"/>
        </w:rPr>
        <w:sectPr>
          <w:headerReference r:id="rId5" w:type="first"/>
          <w:headerReference r:id="rId3" w:type="default"/>
          <w:headerReference r:id="rId4" w:type="even"/>
          <w:pgSz w:w="11906" w:h="16838"/>
          <w:pgMar w:top="1440" w:right="1080" w:bottom="1440" w:left="1080" w:header="851" w:footer="992" w:gutter="0"/>
          <w:pgNumType w:fmt="numberInDash"/>
          <w:cols w:space="720" w:num="1"/>
          <w:docGrid w:type="lines" w:linePitch="312" w:charSpace="0"/>
        </w:sectPr>
      </w:pPr>
    </w:p>
    <w:p w14:paraId="7C093CED">
      <w:pPr>
        <w:keepNext/>
        <w:keepLines/>
        <w:pageBreakBefore/>
        <w:widowControl w:val="0"/>
        <w:kinsoku/>
        <w:wordWrap/>
        <w:overflowPunct/>
        <w:topLinePunct w:val="0"/>
        <w:autoSpaceDE/>
        <w:autoSpaceDN/>
        <w:bidi w:val="0"/>
        <w:adjustRightInd w:val="0"/>
        <w:snapToGrid w:val="0"/>
        <w:spacing w:line="360" w:lineRule="auto"/>
        <w:jc w:val="center"/>
        <w:textAlignment w:val="auto"/>
        <w:rPr>
          <w:rFonts w:ascii="黑体" w:hAnsi="黑体" w:eastAsia="黑体" w:cs="黑体"/>
          <w:b/>
          <w:bCs/>
          <w:color w:val="auto"/>
          <w:kern w:val="0"/>
          <w:sz w:val="36"/>
          <w:szCs w:val="36"/>
          <w:highlight w:val="none"/>
          <w:lang w:val="zh-CN"/>
        </w:rPr>
      </w:pPr>
      <w:r>
        <w:rPr>
          <w:rFonts w:hint="eastAsia" w:ascii="宋体" w:hAnsi="宋体" w:eastAsia="宋体" w:cs="宋体"/>
          <w:b/>
          <w:bCs/>
          <w:color w:val="auto"/>
          <w:kern w:val="0"/>
          <w:sz w:val="36"/>
          <w:szCs w:val="36"/>
          <w:highlight w:val="none"/>
          <w:lang w:val="zh-CN"/>
        </w:rPr>
        <w:t>目    录</w:t>
      </w:r>
    </w:p>
    <w:p w14:paraId="5A961E5A">
      <w:pPr>
        <w:pStyle w:val="23"/>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ascii="Times New Roman" w:hAnsi="Times New Roman" w:eastAsia="仿宋_GB2312"/>
          <w:b/>
          <w:bCs/>
          <w:color w:val="auto"/>
          <w:highlight w:val="none"/>
          <w:u w:val="single"/>
        </w:rPr>
        <w:fldChar w:fldCharType="begin"/>
      </w:r>
      <w:r>
        <w:rPr>
          <w:rFonts w:ascii="Times New Roman" w:hAnsi="Times New Roman" w:eastAsia="仿宋_GB2312"/>
          <w:b/>
          <w:bCs/>
          <w:color w:val="auto"/>
          <w:highlight w:val="none"/>
          <w:u w:val="single"/>
        </w:rPr>
        <w:instrText xml:space="preserve">TOC \o "1-3" \h \u </w:instrText>
      </w:r>
      <w:r>
        <w:rPr>
          <w:rFonts w:ascii="Times New Roman" w:hAnsi="Times New Roman" w:eastAsia="仿宋_GB2312"/>
          <w:b/>
          <w:bCs/>
          <w:color w:val="auto"/>
          <w:highlight w:val="none"/>
          <w:u w:val="single"/>
        </w:rPr>
        <w:fldChar w:fldCharType="separate"/>
      </w:r>
      <w:r>
        <w:rPr>
          <w:rFonts w:hint="eastAsia" w:ascii="宋体" w:hAnsi="宋体" w:eastAsia="宋体" w:cs="宋体"/>
          <w:b/>
          <w:bCs/>
          <w:color w:val="auto"/>
          <w:sz w:val="24"/>
          <w:szCs w:val="24"/>
          <w:highlight w:val="none"/>
          <w:u w:val="single"/>
        </w:rPr>
        <w:fldChar w:fldCharType="begin"/>
      </w:r>
      <w:r>
        <w:rPr>
          <w:rFonts w:hint="eastAsia" w:ascii="宋体" w:hAnsi="宋体" w:eastAsia="宋体" w:cs="宋体"/>
          <w:b/>
          <w:bCs/>
          <w:sz w:val="24"/>
          <w:szCs w:val="24"/>
          <w:highlight w:val="none"/>
        </w:rPr>
        <w:instrText xml:space="preserve"> HYPERLINK \l _Toc18372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 xml:space="preserve">第一章  </w:t>
      </w:r>
      <w:r>
        <w:rPr>
          <w:rFonts w:hint="eastAsia" w:ascii="宋体" w:hAnsi="宋体" w:eastAsia="宋体" w:cs="宋体"/>
          <w:b/>
          <w:bCs/>
          <w:sz w:val="24"/>
          <w:szCs w:val="24"/>
          <w:highlight w:val="none"/>
          <w:lang w:eastAsia="zh-CN"/>
        </w:rPr>
        <w:t>招标公告</w:t>
      </w:r>
      <w:r>
        <w:rPr>
          <w:rFonts w:hint="eastAsia" w:ascii="宋体" w:hAnsi="宋体" w:eastAsia="宋体" w:cs="宋体"/>
          <w:b/>
          <w:bCs/>
          <w:sz w:val="24"/>
          <w:szCs w:val="24"/>
        </w:rPr>
        <w:tab/>
      </w:r>
      <w:r>
        <w:rPr>
          <w:rFonts w:hint="eastAsia" w:ascii="宋体" w:hAnsi="宋体" w:eastAsia="宋体" w:cs="宋体"/>
          <w:b/>
          <w:bCs/>
          <w:sz w:val="24"/>
          <w:szCs w:val="24"/>
          <w:lang w:val="en-US" w:eastAsia="zh-CN"/>
        </w:rPr>
        <w:t>2</w:t>
      </w:r>
      <w:r>
        <w:rPr>
          <w:rFonts w:hint="eastAsia" w:ascii="宋体" w:hAnsi="宋体" w:eastAsia="宋体" w:cs="宋体"/>
          <w:b/>
          <w:bCs/>
          <w:color w:val="auto"/>
          <w:sz w:val="24"/>
          <w:szCs w:val="24"/>
          <w:highlight w:val="none"/>
          <w:u w:val="single"/>
        </w:rPr>
        <w:fldChar w:fldCharType="end"/>
      </w:r>
    </w:p>
    <w:p w14:paraId="17214C3E">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_Toc379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一、项目概况：</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bCs/>
          <w:color w:val="auto"/>
          <w:sz w:val="24"/>
          <w:szCs w:val="24"/>
          <w:highlight w:val="none"/>
          <w:u w:val="single"/>
        </w:rPr>
        <w:fldChar w:fldCharType="end"/>
      </w:r>
    </w:p>
    <w:p w14:paraId="5C0E6430">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_Toc26288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二、供应商参加政府采购活动应当具备下列条件：</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bCs/>
          <w:color w:val="auto"/>
          <w:sz w:val="24"/>
          <w:szCs w:val="24"/>
          <w:highlight w:val="none"/>
          <w:u w:val="single"/>
        </w:rPr>
        <w:fldChar w:fldCharType="end"/>
      </w:r>
    </w:p>
    <w:p w14:paraId="6DA05B77">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_Toc20596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三、投标人的资格审查要求：</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bCs/>
          <w:color w:val="auto"/>
          <w:sz w:val="24"/>
          <w:szCs w:val="24"/>
          <w:highlight w:val="none"/>
          <w:u w:val="single"/>
        </w:rPr>
        <w:fldChar w:fldCharType="end"/>
      </w:r>
    </w:p>
    <w:p w14:paraId="64B30DC7">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_Toc5548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四、获取招标文件及投标事宜：</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bCs/>
          <w:color w:val="auto"/>
          <w:sz w:val="24"/>
          <w:szCs w:val="24"/>
          <w:highlight w:val="none"/>
          <w:u w:val="single"/>
        </w:rPr>
        <w:fldChar w:fldCharType="end"/>
      </w:r>
    </w:p>
    <w:p w14:paraId="58421C13">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_Toc4711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五、采购人联系方式：</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bCs/>
          <w:color w:val="auto"/>
          <w:sz w:val="24"/>
          <w:szCs w:val="24"/>
          <w:highlight w:val="none"/>
          <w:u w:val="single"/>
        </w:rPr>
        <w:fldChar w:fldCharType="end"/>
      </w:r>
    </w:p>
    <w:p w14:paraId="248B7165">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_Toc31550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六、集中采购机构联系方式：</w:t>
      </w:r>
      <w:r>
        <w:rPr>
          <w:rFonts w:hint="eastAsia" w:ascii="宋体" w:hAnsi="宋体" w:eastAsia="宋体" w:cs="宋体"/>
          <w:sz w:val="24"/>
          <w:szCs w:val="24"/>
        </w:rPr>
        <w:tab/>
      </w:r>
      <w:r>
        <w:rPr>
          <w:rFonts w:hint="eastAsia" w:ascii="宋体" w:hAnsi="宋体" w:eastAsia="宋体" w:cs="宋体"/>
          <w:sz w:val="24"/>
          <w:szCs w:val="24"/>
          <w:lang w:val="en-US" w:eastAsia="zh-CN"/>
        </w:rPr>
        <w:t>4</w:t>
      </w:r>
      <w:r>
        <w:rPr>
          <w:rFonts w:hint="eastAsia" w:ascii="宋体" w:hAnsi="宋体" w:eastAsia="宋体" w:cs="宋体"/>
          <w:bCs/>
          <w:color w:val="auto"/>
          <w:sz w:val="24"/>
          <w:szCs w:val="24"/>
          <w:highlight w:val="none"/>
          <w:u w:val="single"/>
        </w:rPr>
        <w:fldChar w:fldCharType="end"/>
      </w:r>
    </w:p>
    <w:p w14:paraId="3E132822">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_Toc5911 </w:instrText>
      </w:r>
      <w:r>
        <w:rPr>
          <w:rFonts w:hint="eastAsia" w:ascii="宋体" w:hAnsi="宋体" w:eastAsia="宋体" w:cs="宋体"/>
          <w:bCs/>
          <w:sz w:val="24"/>
          <w:szCs w:val="24"/>
          <w:highlight w:val="none"/>
        </w:rPr>
        <w:fldChar w:fldCharType="separate"/>
      </w:r>
      <w:r>
        <w:rPr>
          <w:rFonts w:hint="eastAsia" w:ascii="宋体" w:hAnsi="宋体" w:eastAsia="宋体" w:cs="宋体"/>
          <w:sz w:val="24"/>
          <w:szCs w:val="24"/>
          <w:highlight w:val="none"/>
        </w:rPr>
        <w:t>七、其他：</w:t>
      </w:r>
      <w:r>
        <w:rPr>
          <w:rFonts w:hint="eastAsia" w:ascii="宋体" w:hAnsi="宋体" w:eastAsia="宋体" w:cs="宋体"/>
          <w:sz w:val="24"/>
          <w:szCs w:val="24"/>
        </w:rPr>
        <w:tab/>
      </w:r>
      <w:r>
        <w:rPr>
          <w:rFonts w:hint="eastAsia" w:ascii="宋体" w:hAnsi="宋体" w:eastAsia="宋体" w:cs="宋体"/>
          <w:sz w:val="24"/>
          <w:szCs w:val="24"/>
          <w:lang w:val="en-US" w:eastAsia="zh-CN"/>
        </w:rPr>
        <w:t>4</w:t>
      </w:r>
      <w:r>
        <w:rPr>
          <w:rFonts w:hint="eastAsia" w:ascii="宋体" w:hAnsi="宋体" w:eastAsia="宋体" w:cs="宋体"/>
          <w:bCs/>
          <w:color w:val="auto"/>
          <w:sz w:val="24"/>
          <w:szCs w:val="24"/>
          <w:highlight w:val="none"/>
          <w:u w:val="single"/>
        </w:rPr>
        <w:fldChar w:fldCharType="end"/>
      </w:r>
    </w:p>
    <w:p w14:paraId="16D83F99">
      <w:pPr>
        <w:pStyle w:val="23"/>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_Toc9762 </w:instrText>
      </w:r>
      <w:r>
        <w:rPr>
          <w:rFonts w:hint="eastAsia" w:ascii="宋体" w:hAnsi="宋体" w:eastAsia="宋体" w:cs="宋体"/>
          <w:bCs/>
          <w:sz w:val="24"/>
          <w:szCs w:val="24"/>
          <w:highlight w:val="none"/>
        </w:rPr>
        <w:fldChar w:fldCharType="separate"/>
      </w:r>
      <w:r>
        <w:rPr>
          <w:rFonts w:hint="eastAsia" w:ascii="宋体" w:hAnsi="宋体" w:eastAsia="宋体" w:cs="宋体"/>
          <w:b/>
          <w:bCs/>
          <w:sz w:val="24"/>
          <w:szCs w:val="24"/>
          <w:highlight w:val="none"/>
        </w:rPr>
        <w:t>第二章  招标文件前附表</w:t>
      </w:r>
      <w:r>
        <w:rPr>
          <w:rFonts w:hint="eastAsia" w:ascii="宋体" w:hAnsi="宋体" w:eastAsia="宋体" w:cs="宋体"/>
          <w:sz w:val="24"/>
          <w:szCs w:val="24"/>
        </w:rPr>
        <w:tab/>
      </w:r>
      <w:r>
        <w:rPr>
          <w:rFonts w:hint="eastAsia" w:ascii="宋体" w:hAnsi="宋体" w:eastAsia="宋体" w:cs="宋体"/>
          <w:sz w:val="24"/>
          <w:szCs w:val="24"/>
          <w:lang w:val="en-US" w:eastAsia="zh-CN"/>
        </w:rPr>
        <w:t>5</w:t>
      </w:r>
      <w:r>
        <w:rPr>
          <w:rFonts w:hint="eastAsia" w:ascii="宋体" w:hAnsi="宋体" w:eastAsia="宋体" w:cs="宋体"/>
          <w:bCs/>
          <w:color w:val="auto"/>
          <w:sz w:val="24"/>
          <w:szCs w:val="24"/>
          <w:highlight w:val="none"/>
          <w:u w:val="single"/>
        </w:rPr>
        <w:fldChar w:fldCharType="end"/>
      </w:r>
    </w:p>
    <w:p w14:paraId="3EA616A8">
      <w:pPr>
        <w:pStyle w:val="23"/>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_Toc24620 </w:instrText>
      </w:r>
      <w:r>
        <w:rPr>
          <w:rFonts w:hint="eastAsia" w:ascii="宋体" w:hAnsi="宋体" w:eastAsia="宋体" w:cs="宋体"/>
          <w:bCs/>
          <w:sz w:val="24"/>
          <w:szCs w:val="24"/>
          <w:highlight w:val="none"/>
        </w:rPr>
        <w:fldChar w:fldCharType="separate"/>
      </w:r>
      <w:r>
        <w:rPr>
          <w:rFonts w:hint="eastAsia" w:ascii="宋体" w:hAnsi="宋体" w:eastAsia="宋体" w:cs="宋体"/>
          <w:b/>
          <w:bCs w:val="0"/>
          <w:kern w:val="32"/>
          <w:sz w:val="24"/>
          <w:szCs w:val="24"/>
          <w:highlight w:val="none"/>
          <w:lang w:val="en-US" w:eastAsia="zh-CN" w:bidi="ar-SA"/>
        </w:rPr>
        <w:t>第三章  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_Toc24620 \h </w:instrText>
      </w:r>
      <w:r>
        <w:rPr>
          <w:rFonts w:hint="eastAsia" w:ascii="宋体" w:hAnsi="宋体" w:eastAsia="宋体" w:cs="宋体"/>
          <w:sz w:val="24"/>
          <w:szCs w:val="24"/>
        </w:rPr>
        <w:fldChar w:fldCharType="separate"/>
      </w:r>
      <w:r>
        <w:rPr>
          <w:rFonts w:hint="eastAsia" w:ascii="宋体" w:hAnsi="宋体" w:eastAsia="宋体" w:cs="宋体"/>
          <w:sz w:val="24"/>
          <w:szCs w:val="24"/>
        </w:rPr>
        <w:t>- 13 -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4EFFA421">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_Toc4028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一、说明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_Toc4028 \h </w:instrText>
      </w:r>
      <w:r>
        <w:rPr>
          <w:rFonts w:hint="eastAsia" w:ascii="宋体" w:hAnsi="宋体" w:eastAsia="宋体" w:cs="宋体"/>
          <w:sz w:val="24"/>
          <w:szCs w:val="24"/>
        </w:rPr>
        <w:fldChar w:fldCharType="separate"/>
      </w:r>
      <w:r>
        <w:rPr>
          <w:rFonts w:hint="eastAsia" w:ascii="宋体" w:hAnsi="宋体" w:eastAsia="宋体" w:cs="宋体"/>
          <w:sz w:val="24"/>
          <w:szCs w:val="24"/>
        </w:rPr>
        <w:t>- 13 -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7AEBBB2B">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_Toc28273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二、招标文件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_Toc28273 \h </w:instrText>
      </w:r>
      <w:r>
        <w:rPr>
          <w:rFonts w:hint="eastAsia" w:ascii="宋体" w:hAnsi="宋体" w:eastAsia="宋体" w:cs="宋体"/>
          <w:sz w:val="24"/>
          <w:szCs w:val="24"/>
        </w:rPr>
        <w:fldChar w:fldCharType="separate"/>
      </w:r>
      <w:r>
        <w:rPr>
          <w:rFonts w:hint="eastAsia" w:ascii="宋体" w:hAnsi="宋体" w:eastAsia="宋体" w:cs="宋体"/>
          <w:sz w:val="24"/>
          <w:szCs w:val="24"/>
        </w:rPr>
        <w:t>- 18 -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44CD1C5E">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_Toc14038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三、投标文件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_Toc14038 \h </w:instrText>
      </w:r>
      <w:r>
        <w:rPr>
          <w:rFonts w:hint="eastAsia" w:ascii="宋体" w:hAnsi="宋体" w:eastAsia="宋体" w:cs="宋体"/>
          <w:sz w:val="24"/>
          <w:szCs w:val="24"/>
        </w:rPr>
        <w:fldChar w:fldCharType="separate"/>
      </w:r>
      <w:r>
        <w:rPr>
          <w:rFonts w:hint="eastAsia" w:ascii="宋体" w:hAnsi="宋体" w:eastAsia="宋体" w:cs="宋体"/>
          <w:sz w:val="24"/>
          <w:szCs w:val="24"/>
        </w:rPr>
        <w:t>- 19 -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28D644B9">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_Toc27142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四、投标文件的提交、修改和撤回</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_Toc27142 \h </w:instrText>
      </w:r>
      <w:r>
        <w:rPr>
          <w:rFonts w:hint="eastAsia" w:ascii="宋体" w:hAnsi="宋体" w:eastAsia="宋体" w:cs="宋体"/>
          <w:sz w:val="24"/>
          <w:szCs w:val="24"/>
        </w:rPr>
        <w:fldChar w:fldCharType="separate"/>
      </w:r>
      <w:r>
        <w:rPr>
          <w:rFonts w:hint="eastAsia" w:ascii="宋体" w:hAnsi="宋体" w:eastAsia="宋体" w:cs="宋体"/>
          <w:sz w:val="24"/>
          <w:szCs w:val="24"/>
        </w:rPr>
        <w:t>- 23 -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084E2EF7">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_Toc15755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五、开标与评审</w:t>
      </w:r>
      <w:r>
        <w:rPr>
          <w:rFonts w:hint="eastAsia" w:ascii="宋体" w:hAnsi="宋体" w:eastAsia="宋体" w:cs="宋体"/>
          <w:sz w:val="24"/>
          <w:szCs w:val="24"/>
        </w:rPr>
        <w:tab/>
      </w:r>
      <w:r>
        <w:rPr>
          <w:rFonts w:hint="eastAsia" w:ascii="宋体" w:hAnsi="宋体" w:eastAsia="宋体" w:cs="宋体"/>
          <w:sz w:val="24"/>
          <w:szCs w:val="24"/>
          <w:lang w:val="en-US" w:eastAsia="zh-CN"/>
        </w:rPr>
        <w:t>19</w:t>
      </w:r>
      <w:r>
        <w:rPr>
          <w:rFonts w:hint="eastAsia" w:ascii="宋体" w:hAnsi="宋体" w:eastAsia="宋体" w:cs="宋体"/>
          <w:bCs/>
          <w:color w:val="auto"/>
          <w:sz w:val="24"/>
          <w:szCs w:val="24"/>
          <w:highlight w:val="none"/>
          <w:u w:val="single"/>
        </w:rPr>
        <w:fldChar w:fldCharType="end"/>
      </w:r>
    </w:p>
    <w:p w14:paraId="7D307EC6">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_Toc1329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六、中标结果公告与中标通知书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_Toc1329 \h </w:instrText>
      </w:r>
      <w:r>
        <w:rPr>
          <w:rFonts w:hint="eastAsia" w:ascii="宋体" w:hAnsi="宋体" w:eastAsia="宋体" w:cs="宋体"/>
          <w:sz w:val="24"/>
          <w:szCs w:val="24"/>
        </w:rPr>
        <w:fldChar w:fldCharType="separate"/>
      </w:r>
      <w:r>
        <w:rPr>
          <w:rFonts w:hint="eastAsia" w:ascii="宋体" w:hAnsi="宋体" w:eastAsia="宋体" w:cs="宋体"/>
          <w:sz w:val="24"/>
          <w:szCs w:val="24"/>
        </w:rPr>
        <w:t>- 29 -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71BA0011">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_Toc2894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七、质疑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_Toc2894 \h </w:instrText>
      </w:r>
      <w:r>
        <w:rPr>
          <w:rFonts w:hint="eastAsia" w:ascii="宋体" w:hAnsi="宋体" w:eastAsia="宋体" w:cs="宋体"/>
          <w:sz w:val="24"/>
          <w:szCs w:val="24"/>
        </w:rPr>
        <w:fldChar w:fldCharType="separate"/>
      </w:r>
      <w:r>
        <w:rPr>
          <w:rFonts w:hint="eastAsia" w:ascii="宋体" w:hAnsi="宋体" w:eastAsia="宋体" w:cs="宋体"/>
          <w:sz w:val="24"/>
          <w:szCs w:val="24"/>
        </w:rPr>
        <w:t>- 30 -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5F859B83">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_Toc14007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八、合同签订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_Toc14007 \h </w:instrText>
      </w:r>
      <w:r>
        <w:rPr>
          <w:rFonts w:hint="eastAsia" w:ascii="宋体" w:hAnsi="宋体" w:eastAsia="宋体" w:cs="宋体"/>
          <w:sz w:val="24"/>
          <w:szCs w:val="24"/>
        </w:rPr>
        <w:fldChar w:fldCharType="separate"/>
      </w:r>
      <w:r>
        <w:rPr>
          <w:rFonts w:hint="eastAsia" w:ascii="宋体" w:hAnsi="宋体" w:eastAsia="宋体" w:cs="宋体"/>
          <w:sz w:val="24"/>
          <w:szCs w:val="24"/>
        </w:rPr>
        <w:t>- 31 -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6620FC58">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_Toc15472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九、其他规定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_Toc15472 \h </w:instrText>
      </w:r>
      <w:r>
        <w:rPr>
          <w:rFonts w:hint="eastAsia" w:ascii="宋体" w:hAnsi="宋体" w:eastAsia="宋体" w:cs="宋体"/>
          <w:sz w:val="24"/>
          <w:szCs w:val="24"/>
        </w:rPr>
        <w:fldChar w:fldCharType="separate"/>
      </w:r>
      <w:r>
        <w:rPr>
          <w:rFonts w:hint="eastAsia" w:ascii="宋体" w:hAnsi="宋体" w:eastAsia="宋体" w:cs="宋体"/>
          <w:sz w:val="24"/>
          <w:szCs w:val="24"/>
        </w:rPr>
        <w:t>- 31 -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4CEC55F1">
      <w:pPr>
        <w:pStyle w:val="25"/>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_Toc4057 </w:instrText>
      </w:r>
      <w:r>
        <w:rPr>
          <w:rFonts w:hint="eastAsia" w:ascii="宋体" w:hAnsi="宋体" w:eastAsia="宋体" w:cs="宋体"/>
          <w:bCs/>
          <w:sz w:val="24"/>
          <w:szCs w:val="24"/>
          <w:highlight w:val="none"/>
        </w:rPr>
        <w:fldChar w:fldCharType="separate"/>
      </w:r>
      <w:r>
        <w:rPr>
          <w:rFonts w:hint="eastAsia" w:ascii="宋体" w:hAnsi="宋体" w:eastAsia="宋体" w:cs="宋体"/>
          <w:bCs/>
          <w:iCs/>
          <w:kern w:val="2"/>
          <w:sz w:val="24"/>
          <w:szCs w:val="24"/>
          <w:highlight w:val="none"/>
          <w:lang w:val="en-US" w:eastAsia="zh-CN" w:bidi="ar-SA"/>
        </w:rPr>
        <w:t>十、其他内容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_Toc4057 \h </w:instrText>
      </w:r>
      <w:r>
        <w:rPr>
          <w:rFonts w:hint="eastAsia" w:ascii="宋体" w:hAnsi="宋体" w:eastAsia="宋体" w:cs="宋体"/>
          <w:sz w:val="24"/>
          <w:szCs w:val="24"/>
        </w:rPr>
        <w:fldChar w:fldCharType="separate"/>
      </w:r>
      <w:r>
        <w:rPr>
          <w:rFonts w:hint="eastAsia" w:ascii="宋体" w:hAnsi="宋体" w:eastAsia="宋体" w:cs="宋体"/>
          <w:sz w:val="24"/>
          <w:szCs w:val="24"/>
        </w:rPr>
        <w:t>- 32 -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72ECBDF7">
      <w:pPr>
        <w:pStyle w:val="23"/>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_Toc12947 </w:instrText>
      </w:r>
      <w:r>
        <w:rPr>
          <w:rFonts w:hint="eastAsia" w:ascii="宋体" w:hAnsi="宋体" w:eastAsia="宋体" w:cs="宋体"/>
          <w:bCs/>
          <w:sz w:val="24"/>
          <w:szCs w:val="24"/>
          <w:highlight w:val="none"/>
        </w:rPr>
        <w:fldChar w:fldCharType="separate"/>
      </w:r>
      <w:r>
        <w:rPr>
          <w:rFonts w:hint="eastAsia" w:ascii="宋体" w:hAnsi="宋体" w:eastAsia="宋体" w:cs="宋体"/>
          <w:b/>
          <w:bCs/>
          <w:sz w:val="24"/>
          <w:szCs w:val="24"/>
          <w:highlight w:val="none"/>
        </w:rPr>
        <w:t>第四章  采购合同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_Toc12947 \h </w:instrText>
      </w:r>
      <w:r>
        <w:rPr>
          <w:rFonts w:hint="eastAsia" w:ascii="宋体" w:hAnsi="宋体" w:eastAsia="宋体" w:cs="宋体"/>
          <w:sz w:val="24"/>
          <w:szCs w:val="24"/>
        </w:rPr>
        <w:fldChar w:fldCharType="separate"/>
      </w:r>
      <w:r>
        <w:rPr>
          <w:rFonts w:hint="eastAsia" w:ascii="宋体" w:hAnsi="宋体" w:eastAsia="宋体" w:cs="宋体"/>
          <w:sz w:val="24"/>
          <w:szCs w:val="24"/>
        </w:rPr>
        <w:t>- 33 -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55241AA9">
      <w:pPr>
        <w:pStyle w:val="25"/>
        <w:widowControl w:val="0"/>
        <w:tabs>
          <w:tab w:val="right" w:leader="dot" w:pos="9746"/>
        </w:tabs>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_Toc21361 </w:instrText>
      </w:r>
      <w:r>
        <w:rPr>
          <w:rFonts w:hint="eastAsia" w:ascii="宋体" w:hAnsi="宋体" w:eastAsia="宋体" w:cs="宋体"/>
          <w:bCs/>
          <w:sz w:val="24"/>
          <w:szCs w:val="24"/>
          <w:highlight w:val="none"/>
        </w:rPr>
        <w:fldChar w:fldCharType="separate"/>
      </w:r>
      <w:r>
        <w:rPr>
          <w:rFonts w:hint="eastAsia" w:ascii="宋体" w:hAnsi="宋体" w:eastAsia="宋体" w:cs="宋体"/>
          <w:bCs w:val="0"/>
          <w:sz w:val="24"/>
          <w:szCs w:val="24"/>
        </w:rPr>
        <w:t>第二节 政府采购合同通用条款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_Toc30183 \h </w:instrText>
      </w:r>
      <w:r>
        <w:rPr>
          <w:rFonts w:hint="eastAsia" w:ascii="宋体" w:hAnsi="宋体" w:eastAsia="宋体" w:cs="宋体"/>
          <w:sz w:val="24"/>
          <w:szCs w:val="24"/>
        </w:rPr>
        <w:fldChar w:fldCharType="separate"/>
      </w:r>
      <w:r>
        <w:rPr>
          <w:rFonts w:hint="eastAsia" w:ascii="宋体" w:hAnsi="宋体" w:eastAsia="宋体" w:cs="宋体"/>
          <w:sz w:val="24"/>
          <w:szCs w:val="24"/>
        </w:rPr>
        <w:t xml:space="preserve">- </w:t>
      </w:r>
      <w:r>
        <w:rPr>
          <w:rFonts w:hint="eastAsia" w:ascii="宋体" w:hAnsi="宋体" w:cs="宋体"/>
          <w:sz w:val="24"/>
          <w:szCs w:val="24"/>
          <w:lang w:val="en-US" w:eastAsia="zh-CN"/>
        </w:rPr>
        <w:t>41</w:t>
      </w:r>
      <w:r>
        <w:rPr>
          <w:rFonts w:hint="eastAsia" w:ascii="宋体" w:hAnsi="宋体" w:eastAsia="宋体" w:cs="宋体"/>
          <w:sz w:val="24"/>
          <w:szCs w:val="24"/>
        </w:rPr>
        <w:t xml:space="preserve">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41747E6D">
      <w:pPr>
        <w:pStyle w:val="23"/>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_Toc30183 </w:instrText>
      </w:r>
      <w:r>
        <w:rPr>
          <w:rFonts w:hint="eastAsia" w:ascii="宋体" w:hAnsi="宋体" w:eastAsia="宋体" w:cs="宋体"/>
          <w:bCs/>
          <w:sz w:val="24"/>
          <w:szCs w:val="24"/>
          <w:highlight w:val="none"/>
        </w:rPr>
        <w:fldChar w:fldCharType="separate"/>
      </w:r>
      <w:r>
        <w:rPr>
          <w:rFonts w:hint="eastAsia" w:ascii="宋体" w:hAnsi="宋体" w:eastAsia="宋体" w:cs="宋体"/>
          <w:b/>
          <w:bCs w:val="0"/>
          <w:kern w:val="32"/>
          <w:sz w:val="24"/>
          <w:szCs w:val="24"/>
          <w:lang w:val="en-US" w:eastAsia="zh-CN" w:bidi="ar-SA"/>
        </w:rPr>
        <w:t>第五章  评标方法及标准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_Toc30183 \h </w:instrText>
      </w:r>
      <w:r>
        <w:rPr>
          <w:rFonts w:hint="eastAsia" w:ascii="宋体" w:hAnsi="宋体" w:eastAsia="宋体" w:cs="宋体"/>
          <w:sz w:val="24"/>
          <w:szCs w:val="24"/>
        </w:rPr>
        <w:fldChar w:fldCharType="separate"/>
      </w:r>
      <w:r>
        <w:rPr>
          <w:rFonts w:hint="eastAsia" w:ascii="宋体" w:hAnsi="宋体" w:eastAsia="宋体" w:cs="宋体"/>
          <w:sz w:val="24"/>
          <w:szCs w:val="24"/>
        </w:rPr>
        <w:t>- 50 -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310E2B58">
      <w:pPr>
        <w:pStyle w:val="23"/>
        <w:widowControl w:val="0"/>
        <w:tabs>
          <w:tab w:val="right" w:leader="dot" w:pos="9746"/>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_Toc24259 </w:instrText>
      </w:r>
      <w:r>
        <w:rPr>
          <w:rFonts w:hint="eastAsia" w:ascii="宋体" w:hAnsi="宋体" w:eastAsia="宋体" w:cs="宋体"/>
          <w:bCs/>
          <w:sz w:val="24"/>
          <w:szCs w:val="24"/>
          <w:highlight w:val="none"/>
        </w:rPr>
        <w:fldChar w:fldCharType="separate"/>
      </w:r>
      <w:r>
        <w:rPr>
          <w:rFonts w:hint="eastAsia" w:ascii="宋体" w:hAnsi="宋体" w:eastAsia="宋体" w:cs="宋体"/>
          <w:b/>
          <w:bCs/>
          <w:sz w:val="24"/>
          <w:szCs w:val="24"/>
          <w:highlight w:val="none"/>
        </w:rPr>
        <w:t>第六章  采购内容与要求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_Toc24259 \h </w:instrText>
      </w:r>
      <w:r>
        <w:rPr>
          <w:rFonts w:hint="eastAsia" w:ascii="宋体" w:hAnsi="宋体" w:eastAsia="宋体" w:cs="宋体"/>
          <w:sz w:val="24"/>
          <w:szCs w:val="24"/>
        </w:rPr>
        <w:fldChar w:fldCharType="separate"/>
      </w:r>
      <w:r>
        <w:rPr>
          <w:rFonts w:hint="eastAsia" w:ascii="宋体" w:hAnsi="宋体" w:eastAsia="宋体" w:cs="宋体"/>
          <w:sz w:val="24"/>
          <w:szCs w:val="24"/>
        </w:rPr>
        <w:t>- 55 -</w:t>
      </w:r>
      <w:r>
        <w:rPr>
          <w:rFonts w:hint="eastAsia" w:ascii="宋体" w:hAnsi="宋体" w:eastAsia="宋体" w:cs="宋体"/>
          <w:sz w:val="24"/>
          <w:szCs w:val="24"/>
        </w:rPr>
        <w:fldChar w:fldCharType="end"/>
      </w:r>
      <w:r>
        <w:rPr>
          <w:rFonts w:hint="eastAsia" w:ascii="宋体" w:hAnsi="宋体" w:eastAsia="宋体" w:cs="宋体"/>
          <w:bCs/>
          <w:color w:val="auto"/>
          <w:sz w:val="24"/>
          <w:szCs w:val="24"/>
          <w:highlight w:val="none"/>
          <w:u w:val="single"/>
        </w:rPr>
        <w:fldChar w:fldCharType="end"/>
      </w:r>
    </w:p>
    <w:p w14:paraId="365F0358">
      <w:pPr>
        <w:pStyle w:val="23"/>
        <w:widowControl w:val="0"/>
        <w:tabs>
          <w:tab w:val="right" w:leader="dot" w:pos="9746"/>
        </w:tabs>
        <w:kinsoku/>
        <w:wordWrap/>
        <w:overflowPunct/>
        <w:topLinePunct w:val="0"/>
        <w:autoSpaceDE/>
        <w:autoSpaceDN/>
        <w:bidi w:val="0"/>
        <w:spacing w:line="360" w:lineRule="auto"/>
        <w:textAlignment w:val="auto"/>
      </w:pPr>
      <w:r>
        <w:rPr>
          <w:rFonts w:hint="eastAsia" w:ascii="宋体" w:hAnsi="宋体" w:eastAsia="宋体" w:cs="宋体"/>
          <w:bCs/>
          <w:color w:val="auto"/>
          <w:sz w:val="24"/>
          <w:szCs w:val="24"/>
          <w:highlight w:val="none"/>
          <w:u w:val="single"/>
        </w:rPr>
        <w:fldChar w:fldCharType="begin"/>
      </w:r>
      <w:r>
        <w:rPr>
          <w:rFonts w:hint="eastAsia" w:ascii="宋体" w:hAnsi="宋体" w:eastAsia="宋体" w:cs="宋体"/>
          <w:bCs/>
          <w:sz w:val="24"/>
          <w:szCs w:val="24"/>
          <w:highlight w:val="none"/>
        </w:rPr>
        <w:instrText xml:space="preserve"> HYPERLINK \l _Toc21802 </w:instrText>
      </w:r>
      <w:r>
        <w:rPr>
          <w:rFonts w:hint="eastAsia" w:ascii="宋体" w:hAnsi="宋体" w:eastAsia="宋体" w:cs="宋体"/>
          <w:bCs/>
          <w:sz w:val="24"/>
          <w:szCs w:val="24"/>
          <w:highlight w:val="none"/>
        </w:rPr>
        <w:fldChar w:fldCharType="separate"/>
      </w:r>
      <w:r>
        <w:rPr>
          <w:rFonts w:hint="eastAsia" w:ascii="宋体" w:hAnsi="宋体" w:eastAsia="宋体" w:cs="宋体"/>
          <w:b/>
          <w:bCs/>
          <w:sz w:val="24"/>
          <w:szCs w:val="24"/>
          <w:highlight w:val="none"/>
        </w:rPr>
        <w:t>第七章  投标文件格式与要求</w:t>
      </w:r>
      <w:r>
        <w:rPr>
          <w:rFonts w:hint="eastAsia" w:ascii="宋体" w:hAnsi="宋体" w:eastAsia="宋体" w:cs="宋体"/>
          <w:sz w:val="24"/>
          <w:szCs w:val="24"/>
        </w:rPr>
        <w:tab/>
      </w:r>
      <w:r>
        <w:rPr>
          <w:rFonts w:hint="eastAsia" w:ascii="宋体" w:hAnsi="宋体" w:eastAsia="宋体" w:cs="宋体"/>
          <w:sz w:val="24"/>
          <w:szCs w:val="24"/>
          <w:lang w:val="en-US" w:eastAsia="zh-CN"/>
        </w:rPr>
        <w:t>66</w:t>
      </w:r>
      <w:r>
        <w:rPr>
          <w:rFonts w:hint="eastAsia" w:ascii="宋体" w:hAnsi="宋体" w:eastAsia="宋体" w:cs="宋体"/>
          <w:bCs/>
          <w:color w:val="auto"/>
          <w:sz w:val="24"/>
          <w:szCs w:val="24"/>
          <w:highlight w:val="none"/>
          <w:u w:val="single"/>
        </w:rPr>
        <w:fldChar w:fldCharType="end"/>
      </w:r>
    </w:p>
    <w:p w14:paraId="54560472">
      <w:pPr>
        <w:keepNext/>
        <w:keepLines/>
        <w:widowControl w:val="0"/>
        <w:kinsoku/>
        <w:wordWrap/>
        <w:overflowPunct/>
        <w:topLinePunct w:val="0"/>
        <w:autoSpaceDE/>
        <w:autoSpaceDN/>
        <w:bidi w:val="0"/>
        <w:adjustRightInd w:val="0"/>
        <w:snapToGrid w:val="0"/>
        <w:spacing w:line="360" w:lineRule="auto"/>
        <w:textAlignment w:val="auto"/>
        <w:rPr>
          <w:rFonts w:ascii="Times New Roman" w:hAnsi="Times New Roman" w:eastAsia="仿宋_GB2312"/>
          <w:b/>
          <w:bCs/>
          <w:color w:val="auto"/>
          <w:highlight w:val="none"/>
          <w:u w:val="single"/>
        </w:rPr>
        <w:sectPr>
          <w:footerReference r:id="rId6" w:type="default"/>
          <w:pgSz w:w="11906" w:h="16838"/>
          <w:pgMar w:top="1440" w:right="1080" w:bottom="1440" w:left="1080" w:header="851" w:footer="992" w:gutter="0"/>
          <w:pgNumType w:fmt="numberInDash" w:start="1"/>
          <w:cols w:space="720" w:num="1"/>
          <w:docGrid w:type="lines" w:linePitch="312" w:charSpace="0"/>
        </w:sectPr>
      </w:pPr>
      <w:r>
        <w:rPr>
          <w:rFonts w:ascii="Times New Roman" w:hAnsi="Times New Roman" w:eastAsia="仿宋_GB2312"/>
          <w:bCs/>
          <w:color w:val="auto"/>
          <w:highlight w:val="none"/>
          <w:u w:val="single"/>
        </w:rPr>
        <w:fldChar w:fldCharType="end"/>
      </w:r>
    </w:p>
    <w:p w14:paraId="47FD5B0C">
      <w:pPr>
        <w:pStyle w:val="2"/>
        <w:jc w:val="center"/>
        <w:rPr>
          <w:rFonts w:hint="eastAsia" w:eastAsia="黑体"/>
          <w:color w:val="auto"/>
          <w:highlight w:val="none"/>
          <w:lang w:eastAsia="zh-CN"/>
        </w:rPr>
      </w:pPr>
      <w:bookmarkStart w:id="4" w:name="EBc0a281736b1147c581e3c8b78ac3b8d4"/>
      <w:bookmarkEnd w:id="4"/>
      <w:bookmarkStart w:id="5" w:name="EB15325f90c7824add872075faace73ec5"/>
      <w:bookmarkEnd w:id="5"/>
      <w:bookmarkStart w:id="6" w:name="_Toc18372"/>
      <w:bookmarkStart w:id="7" w:name="_Toc152516853"/>
      <w:bookmarkStart w:id="8" w:name="_Toc104293448"/>
      <w:bookmarkStart w:id="9" w:name="_Toc256000000"/>
      <w:r>
        <w:rPr>
          <w:rFonts w:hint="eastAsia" w:ascii="方正黑体_GBK" w:hAnsi="方正黑体_GBK" w:eastAsia="方正黑体_GBK" w:cs="方正黑体_GBK"/>
          <w:color w:val="auto"/>
          <w:highlight w:val="none"/>
        </w:rPr>
        <w:t xml:space="preserve">第一章  </w:t>
      </w:r>
      <w:bookmarkEnd w:id="6"/>
      <w:bookmarkEnd w:id="7"/>
      <w:r>
        <w:rPr>
          <w:rFonts w:hint="eastAsia" w:ascii="方正黑体_GBK" w:hAnsi="方正黑体_GBK" w:eastAsia="方正黑体_GBK" w:cs="方正黑体_GBK"/>
          <w:color w:val="auto"/>
          <w:highlight w:val="none"/>
          <w:lang w:eastAsia="zh-CN"/>
        </w:rPr>
        <w:t>招标公告</w:t>
      </w:r>
    </w:p>
    <w:bookmarkEnd w:id="8"/>
    <w:bookmarkEnd w:id="9"/>
    <w:p w14:paraId="732E2698">
      <w:pPr>
        <w:keepLines w:val="0"/>
        <w:pageBreakBefore w:val="0"/>
        <w:kinsoku/>
        <w:wordWrap/>
        <w:overflowPunct/>
        <w:topLinePunct w:val="0"/>
        <w:autoSpaceDE/>
        <w:autoSpaceDN/>
        <w:bidi w:val="0"/>
        <w:spacing w:line="360" w:lineRule="auto"/>
        <w:textAlignment w:val="auto"/>
        <w:rPr>
          <w:rFonts w:ascii="Times New Roman" w:hAnsi="Times New Roman" w:eastAsia="仿宋_GB2312"/>
          <w:color w:val="auto"/>
          <w:sz w:val="24"/>
          <w:szCs w:val="24"/>
          <w:highlight w:val="none"/>
        </w:rPr>
      </w:pPr>
    </w:p>
    <w:p w14:paraId="4975B223">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乌鲁木齐市公共资源交易中心（乌鲁木齐市政府采购中心）（以下简称“交易中心”）受</w:t>
      </w:r>
      <w:r>
        <w:rPr>
          <w:rFonts w:hint="default" w:ascii="Times New Roman" w:hAnsi="Times New Roman" w:eastAsia="宋体" w:cs="Times New Roman"/>
          <w:color w:val="auto"/>
          <w:sz w:val="24"/>
          <w:szCs w:val="24"/>
          <w:highlight w:val="none"/>
          <w:lang w:eastAsia="zh-CN"/>
        </w:rPr>
        <w:t>乌鲁木齐市第七十中学</w:t>
      </w:r>
      <w:r>
        <w:rPr>
          <w:rFonts w:hint="default" w:ascii="Times New Roman" w:hAnsi="Times New Roman" w:eastAsia="宋体" w:cs="Times New Roman"/>
          <w:color w:val="auto"/>
          <w:sz w:val="24"/>
          <w:szCs w:val="24"/>
          <w:highlight w:val="none"/>
        </w:rPr>
        <w:t>的委托，对“</w:t>
      </w:r>
      <w:r>
        <w:rPr>
          <w:rFonts w:hint="default" w:ascii="Times New Roman" w:hAnsi="Times New Roman" w:eastAsia="宋体" w:cs="Times New Roman"/>
          <w:color w:val="0000FF"/>
          <w:kern w:val="2"/>
          <w:sz w:val="24"/>
          <w:szCs w:val="24"/>
          <w:highlight w:val="none"/>
          <w:lang w:val="en-US" w:eastAsia="zh-CN" w:bidi="ar-SA"/>
        </w:rPr>
        <w:t>2026年乌鲁木齐市第七十中学凌空校区新建项目学</w:t>
      </w:r>
      <w:r>
        <w:rPr>
          <w:rFonts w:hint="eastAsia" w:ascii="Times New Roman" w:hAnsi="Times New Roman" w:cs="Times New Roman"/>
          <w:color w:val="0000FF"/>
          <w:kern w:val="2"/>
          <w:sz w:val="24"/>
          <w:szCs w:val="24"/>
          <w:highlight w:val="none"/>
          <w:lang w:val="en-US" w:eastAsia="zh-CN" w:bidi="ar-SA"/>
        </w:rPr>
        <w:t>科课程基地建设项目（二次）</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0000FF"/>
          <w:sz w:val="24"/>
          <w:szCs w:val="24"/>
          <w:highlight w:val="none"/>
        </w:rPr>
        <w:t>（项目编号：</w:t>
      </w:r>
      <w:r>
        <w:rPr>
          <w:rFonts w:hint="default" w:ascii="Times New Roman" w:hAnsi="Times New Roman" w:eastAsia="宋体" w:cs="Times New Roman"/>
          <w:color w:val="0000FF"/>
          <w:sz w:val="24"/>
          <w:szCs w:val="24"/>
          <w:highlight w:val="none"/>
          <w:lang w:eastAsia="zh-CN"/>
        </w:rPr>
        <w:t>WZCG-</w:t>
      </w:r>
      <w:r>
        <w:rPr>
          <w:rFonts w:hint="eastAsia" w:ascii="Times New Roman" w:hAnsi="Times New Roman" w:cs="Times New Roman"/>
          <w:color w:val="0000FF"/>
          <w:sz w:val="24"/>
          <w:szCs w:val="24"/>
          <w:highlight w:val="none"/>
          <w:lang w:eastAsia="zh-CN"/>
        </w:rPr>
        <w:t>ZCY202601064（2）</w:t>
      </w:r>
      <w:r>
        <w:rPr>
          <w:rFonts w:hint="default" w:ascii="Times New Roman" w:hAnsi="Times New Roman" w:eastAsia="宋体" w:cs="Times New Roman"/>
          <w:color w:val="auto"/>
          <w:sz w:val="24"/>
          <w:szCs w:val="24"/>
          <w:highlight w:val="none"/>
        </w:rPr>
        <w:t xml:space="preserve">）项目进行公开招标方式采购，欢迎符合资格条件的供应商投标。 </w:t>
      </w:r>
    </w:p>
    <w:p w14:paraId="5FD5B318">
      <w:pPr>
        <w:pStyle w:val="3"/>
        <w:keepLines w:val="0"/>
        <w:pageBreakBefore w:val="0"/>
        <w:kinsoku/>
        <w:wordWrap/>
        <w:overflowPunct/>
        <w:topLinePunct w:val="0"/>
        <w:autoSpaceDE/>
        <w:autoSpaceDN/>
        <w:bidi w:val="0"/>
        <w:spacing w:line="360" w:lineRule="auto"/>
        <w:ind w:firstLine="482"/>
        <w:textAlignment w:val="auto"/>
        <w:rPr>
          <w:rFonts w:hint="default" w:ascii="Times New Roman" w:hAnsi="Times New Roman" w:eastAsia="宋体" w:cs="Times New Roman"/>
          <w:color w:val="auto"/>
          <w:sz w:val="24"/>
          <w:szCs w:val="24"/>
          <w:highlight w:val="none"/>
        </w:rPr>
      </w:pPr>
      <w:bookmarkStart w:id="10" w:name="_Toc379"/>
      <w:bookmarkStart w:id="11" w:name="_Toc256000001"/>
      <w:bookmarkStart w:id="12" w:name="_Toc152516854"/>
      <w:bookmarkStart w:id="13" w:name="_Toc104293449"/>
      <w:r>
        <w:rPr>
          <w:rFonts w:hint="default" w:ascii="Times New Roman" w:hAnsi="Times New Roman" w:eastAsia="宋体" w:cs="Times New Roman"/>
          <w:color w:val="auto"/>
          <w:sz w:val="24"/>
          <w:szCs w:val="24"/>
          <w:highlight w:val="none"/>
        </w:rPr>
        <w:t>一、项目概况：</w:t>
      </w:r>
      <w:bookmarkEnd w:id="10"/>
      <w:bookmarkEnd w:id="11"/>
      <w:bookmarkEnd w:id="12"/>
      <w:bookmarkEnd w:id="13"/>
    </w:p>
    <w:tbl>
      <w:tblPr>
        <w:tblStyle w:val="31"/>
        <w:tblW w:w="4997" w:type="pct"/>
        <w:tblCellSpacing w:w="15" w:type="dxa"/>
        <w:tblInd w:w="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0" w:type="dxa"/>
          <w:left w:w="108" w:type="dxa"/>
          <w:bottom w:w="0" w:type="dxa"/>
          <w:right w:w="108" w:type="dxa"/>
        </w:tblCellMar>
      </w:tblPr>
      <w:tblGrid>
        <w:gridCol w:w="2838"/>
        <w:gridCol w:w="2336"/>
        <w:gridCol w:w="1616"/>
        <w:gridCol w:w="1535"/>
        <w:gridCol w:w="1535"/>
      </w:tblGrid>
      <w:tr w14:paraId="29B90E5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108" w:type="dxa"/>
            <w:bottom w:w="0" w:type="dxa"/>
            <w:right w:w="108" w:type="dxa"/>
          </w:tblCellMar>
        </w:tblPrEx>
        <w:trPr>
          <w:trHeight w:val="563" w:hRule="atLeast"/>
          <w:tblCellSpacing w:w="15" w:type="dxa"/>
        </w:trPr>
        <w:tc>
          <w:tcPr>
            <w:tcW w:w="1416"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0C837916">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kern w:val="0"/>
                <w:sz w:val="24"/>
                <w:szCs w:val="24"/>
                <w:highlight w:val="none"/>
              </w:rPr>
            </w:pPr>
            <w:bookmarkStart w:id="14" w:name="EBca0f0557a0584dd0808e29505ff9659e"/>
            <w:bookmarkEnd w:id="14"/>
            <w:bookmarkStart w:id="15" w:name="EBdc21629b0646469b8eedd1b5ede441a1"/>
            <w:r>
              <w:rPr>
                <w:rFonts w:hint="default" w:ascii="Times New Roman" w:hAnsi="Times New Roman" w:eastAsia="宋体" w:cs="Times New Roman"/>
                <w:b/>
                <w:bCs/>
                <w:color w:val="auto"/>
                <w:kern w:val="0"/>
                <w:sz w:val="24"/>
                <w:szCs w:val="24"/>
                <w:highlight w:val="none"/>
              </w:rPr>
              <w:t>标段编号</w:t>
            </w:r>
          </w:p>
        </w:tc>
        <w:tc>
          <w:tcPr>
            <w:tcW w:w="1169"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13DD1F9F">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标段名称</w:t>
            </w:r>
          </w:p>
        </w:tc>
        <w:tc>
          <w:tcPr>
            <w:tcW w:w="804"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40968435">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条目编号</w:t>
            </w:r>
          </w:p>
        </w:tc>
        <w:tc>
          <w:tcPr>
            <w:tcW w:w="763"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57831F9B">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预算金额（元）</w:t>
            </w:r>
          </w:p>
        </w:tc>
        <w:tc>
          <w:tcPr>
            <w:tcW w:w="755"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6AF16EA9">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4"/>
                <w:szCs w:val="24"/>
                <w:highlight w:val="none"/>
                <w:lang w:eastAsia="zh-CN"/>
              </w:rPr>
              <w:t>最高限价</w:t>
            </w:r>
          </w:p>
        </w:tc>
      </w:tr>
      <w:tr w14:paraId="6A3B0CE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108" w:type="dxa"/>
            <w:bottom w:w="0" w:type="dxa"/>
            <w:right w:w="108" w:type="dxa"/>
          </w:tblCellMar>
        </w:tblPrEx>
        <w:trPr>
          <w:trHeight w:val="860" w:hRule="atLeast"/>
          <w:tblCellSpacing w:w="15" w:type="dxa"/>
        </w:trPr>
        <w:tc>
          <w:tcPr>
            <w:tcW w:w="1416"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164DCFAE">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0000FF"/>
                <w:kern w:val="2"/>
                <w:sz w:val="24"/>
                <w:szCs w:val="24"/>
                <w:highlight w:val="none"/>
                <w:lang w:val="en-US" w:eastAsia="zh-CN" w:bidi="ar-SA"/>
              </w:rPr>
              <w:t> WZCG-</w:t>
            </w:r>
            <w:r>
              <w:rPr>
                <w:rFonts w:hint="eastAsia" w:ascii="Times New Roman" w:hAnsi="Times New Roman" w:cs="Times New Roman"/>
                <w:color w:val="0000FF"/>
                <w:kern w:val="2"/>
                <w:sz w:val="24"/>
                <w:szCs w:val="24"/>
                <w:highlight w:val="none"/>
                <w:lang w:val="en-US" w:eastAsia="zh-CN" w:bidi="ar-SA"/>
              </w:rPr>
              <w:t>ZCY202601064（2）</w:t>
            </w:r>
          </w:p>
        </w:tc>
        <w:tc>
          <w:tcPr>
            <w:tcW w:w="1169"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63B2AA8C">
            <w:pPr>
              <w:keepLines w:val="0"/>
              <w:pageBreakBefore w:val="0"/>
              <w:kinsoku/>
              <w:wordWrap/>
              <w:overflowPunct/>
              <w:topLinePunct w:val="0"/>
              <w:autoSpaceDE/>
              <w:autoSpaceDN/>
              <w:bidi w:val="0"/>
              <w:spacing w:line="360" w:lineRule="auto"/>
              <w:jc w:val="left"/>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0000FF"/>
                <w:kern w:val="2"/>
                <w:sz w:val="24"/>
                <w:szCs w:val="24"/>
                <w:highlight w:val="none"/>
                <w:lang w:val="en-US" w:eastAsia="zh-CN" w:bidi="ar-SA"/>
              </w:rPr>
              <w:t>2026年乌鲁木齐市第七十中学凌空校区新建项目学</w:t>
            </w:r>
            <w:r>
              <w:rPr>
                <w:rFonts w:hint="eastAsia" w:ascii="Times New Roman" w:hAnsi="Times New Roman" w:cs="Times New Roman"/>
                <w:color w:val="0000FF"/>
                <w:kern w:val="2"/>
                <w:sz w:val="24"/>
                <w:szCs w:val="24"/>
                <w:highlight w:val="none"/>
                <w:lang w:val="en-US" w:eastAsia="zh-CN" w:bidi="ar-SA"/>
              </w:rPr>
              <w:t>科课程基地建设项目（二次）</w:t>
            </w:r>
          </w:p>
        </w:tc>
        <w:tc>
          <w:tcPr>
            <w:tcW w:w="804"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2A4E07CF">
            <w:pPr>
              <w:keepLines w:val="0"/>
              <w:pageBreakBefore w:val="0"/>
              <w:kinsoku/>
              <w:wordWrap/>
              <w:overflowPunct/>
              <w:topLinePunct w:val="0"/>
              <w:autoSpaceDE/>
              <w:autoSpaceDN/>
              <w:bidi w:val="0"/>
              <w:spacing w:line="360" w:lineRule="auto"/>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0000FF"/>
                <w:kern w:val="2"/>
                <w:sz w:val="24"/>
                <w:szCs w:val="24"/>
                <w:highlight w:val="none"/>
                <w:lang w:val="en-US" w:eastAsia="zh-CN" w:bidi="ar-SA"/>
              </w:rPr>
              <w:t>[2026]2520号</w:t>
            </w:r>
          </w:p>
        </w:tc>
        <w:tc>
          <w:tcPr>
            <w:tcW w:w="763"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36FD78E1">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0000FF"/>
                <w:kern w:val="2"/>
                <w:sz w:val="24"/>
                <w:szCs w:val="24"/>
                <w:highlight w:val="none"/>
                <w:lang w:val="en-US" w:eastAsia="zh-CN" w:bidi="ar-SA"/>
              </w:rPr>
              <w:t>2,565,418.00</w:t>
            </w:r>
          </w:p>
        </w:tc>
        <w:tc>
          <w:tcPr>
            <w:tcW w:w="755" w:type="pct"/>
            <w:tcBorders>
              <w:top w:val="inset" w:color="808080" w:sz="6" w:space="0"/>
              <w:left w:val="inset" w:color="808080" w:sz="6" w:space="0"/>
              <w:bottom w:val="inset" w:color="808080" w:sz="6" w:space="0"/>
              <w:right w:val="inset" w:color="808080" w:sz="6" w:space="0"/>
            </w:tcBorders>
            <w:tcMar>
              <w:top w:w="15" w:type="dxa"/>
              <w:left w:w="15" w:type="dxa"/>
              <w:bottom w:w="15" w:type="dxa"/>
              <w:right w:w="15" w:type="dxa"/>
            </w:tcMar>
            <w:vAlign w:val="center"/>
          </w:tcPr>
          <w:p w14:paraId="05DE6331">
            <w:pPr>
              <w:keepLines w:val="0"/>
              <w:pageBreakBefore w:val="0"/>
              <w:widowControl/>
              <w:kinsoku/>
              <w:wordWrap/>
              <w:overflowPunct/>
              <w:topLinePunct w:val="0"/>
              <w:autoSpaceDE/>
              <w:autoSpaceDN/>
              <w:bidi w:val="0"/>
              <w:spacing w:line="360" w:lineRule="auto"/>
              <w:jc w:val="center"/>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0000FF"/>
                <w:kern w:val="2"/>
                <w:sz w:val="24"/>
                <w:szCs w:val="24"/>
                <w:highlight w:val="none"/>
                <w:lang w:val="en-US" w:eastAsia="zh-CN" w:bidi="ar-SA"/>
              </w:rPr>
              <w:t>2,565,418.00</w:t>
            </w:r>
          </w:p>
        </w:tc>
      </w:tr>
      <w:bookmarkEnd w:id="15"/>
    </w:tbl>
    <w:p w14:paraId="73D128DA">
      <w:pPr>
        <w:pStyle w:val="3"/>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color w:val="auto"/>
          <w:sz w:val="24"/>
          <w:szCs w:val="24"/>
          <w:highlight w:val="none"/>
        </w:rPr>
      </w:pPr>
      <w:bookmarkStart w:id="16" w:name="_Toc152516855"/>
      <w:bookmarkStart w:id="17" w:name="_Toc26288"/>
      <w:bookmarkStart w:id="18" w:name="_Toc256000002"/>
      <w:bookmarkStart w:id="19" w:name="_Toc104293450"/>
      <w:r>
        <w:rPr>
          <w:rFonts w:hint="default" w:ascii="Times New Roman" w:hAnsi="Times New Roman" w:eastAsia="宋体" w:cs="Times New Roman"/>
          <w:color w:val="auto"/>
          <w:sz w:val="24"/>
          <w:szCs w:val="24"/>
          <w:highlight w:val="none"/>
        </w:rPr>
        <w:t>二、供应商参加政府采购活动应当具备下列条件：</w:t>
      </w:r>
      <w:bookmarkEnd w:id="16"/>
      <w:bookmarkEnd w:id="17"/>
    </w:p>
    <w:p w14:paraId="6A8BB839">
      <w:pPr>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1、具有独立承担民事责任的能力； </w:t>
      </w:r>
    </w:p>
    <w:p w14:paraId="6DCD1F58">
      <w:pPr>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2、具有良好的商业信誉和健全的财务会计制度； </w:t>
      </w:r>
    </w:p>
    <w:p w14:paraId="28AC6949">
      <w:pPr>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3、具有履行合同所必需的设备和专业技术能力； </w:t>
      </w:r>
    </w:p>
    <w:p w14:paraId="5DE88EBB">
      <w:pPr>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4、有依法缴纳税收和社会保障资金的良好记录； </w:t>
      </w:r>
    </w:p>
    <w:p w14:paraId="68A95E70">
      <w:pPr>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5、参加政府采购活动前三年内，在经营活动中无重大违法记录； </w:t>
      </w:r>
    </w:p>
    <w:p w14:paraId="7EA6B998">
      <w:pPr>
        <w:keepLines w:val="0"/>
        <w:pageBreakBefore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6、法律、行政法规规定的其他条件。</w:t>
      </w:r>
    </w:p>
    <w:p w14:paraId="799A045E">
      <w:pPr>
        <w:keepNext/>
        <w:keepLines w:val="0"/>
        <w:pageBreakBefore w:val="0"/>
        <w:kinsoku/>
        <w:wordWrap/>
        <w:overflowPunct/>
        <w:topLinePunct w:val="0"/>
        <w:autoSpaceDE/>
        <w:autoSpaceDN/>
        <w:bidi w:val="0"/>
        <w:spacing w:line="360" w:lineRule="auto"/>
        <w:ind w:firstLine="482" w:firstLineChars="200"/>
        <w:textAlignment w:val="auto"/>
        <w:outlineLvl w:val="1"/>
        <w:rPr>
          <w:rFonts w:hint="default" w:ascii="Times New Roman" w:hAnsi="Times New Roman" w:eastAsia="宋体" w:cs="Times New Roman"/>
          <w:color w:val="auto"/>
          <w:sz w:val="24"/>
          <w:szCs w:val="24"/>
          <w:highlight w:val="none"/>
        </w:rPr>
      </w:pPr>
      <w:bookmarkStart w:id="166" w:name="_GoBack"/>
      <w:bookmarkEnd w:id="166"/>
      <w:bookmarkStart w:id="20" w:name="_Toc20596"/>
      <w:bookmarkStart w:id="21" w:name="_Toc152516856"/>
      <w:r>
        <w:rPr>
          <w:rStyle w:val="44"/>
          <w:rFonts w:hint="default" w:ascii="Times New Roman" w:hAnsi="Times New Roman" w:eastAsia="宋体" w:cs="Times New Roman"/>
          <w:color w:val="auto"/>
          <w:sz w:val="24"/>
          <w:szCs w:val="24"/>
          <w:highlight w:val="none"/>
        </w:rPr>
        <w:t>三、投标人的资格审查要求：</w:t>
      </w:r>
      <w:bookmarkEnd w:id="18"/>
      <w:bookmarkEnd w:id="19"/>
      <w:bookmarkEnd w:id="20"/>
      <w:bookmarkEnd w:id="21"/>
      <w:r>
        <w:rPr>
          <w:rFonts w:hint="default" w:ascii="Times New Roman" w:hAnsi="Times New Roman" w:eastAsia="宋体" w:cs="Times New Roman"/>
          <w:bCs/>
          <w:iCs/>
          <w:color w:val="auto"/>
          <w:sz w:val="24"/>
          <w:szCs w:val="24"/>
          <w:highlight w:val="none"/>
        </w:rPr>
        <w:t xml:space="preserve"> </w:t>
      </w:r>
      <w:bookmarkStart w:id="22" w:name="EB9c2796e9612f4e3c978e37ff94895c41"/>
    </w:p>
    <w:tbl>
      <w:tblPr>
        <w:tblStyle w:val="31"/>
        <w:tblW w:w="493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9111"/>
      </w:tblGrid>
      <w:tr w14:paraId="2E31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1864F8A6">
            <w:pPr>
              <w:keepLines w:val="0"/>
              <w:pageBreakBefore w:val="0"/>
              <w:kinsoku/>
              <w:wordWrap/>
              <w:overflowPunct/>
              <w:topLinePunct w:val="0"/>
              <w:autoSpaceDE/>
              <w:autoSpaceDN/>
              <w:bidi w:val="0"/>
              <w:spacing w:line="36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0000FF"/>
                <w:kern w:val="2"/>
                <w:sz w:val="24"/>
                <w:szCs w:val="24"/>
                <w:highlight w:val="none"/>
                <w:lang w:val="en-US" w:eastAsia="zh-CN" w:bidi="ar-SA"/>
              </w:rPr>
              <w:t>2026年乌鲁木齐市第七十中学凌空校区新建项目学</w:t>
            </w:r>
            <w:r>
              <w:rPr>
                <w:rFonts w:hint="eastAsia" w:ascii="Times New Roman" w:hAnsi="Times New Roman" w:cs="Times New Roman"/>
                <w:color w:val="0000FF"/>
                <w:kern w:val="2"/>
                <w:sz w:val="24"/>
                <w:szCs w:val="24"/>
                <w:highlight w:val="none"/>
                <w:lang w:val="en-US" w:eastAsia="zh-CN" w:bidi="ar-SA"/>
              </w:rPr>
              <w:t>科课程基地建设项目（二次）</w:t>
            </w:r>
          </w:p>
        </w:tc>
      </w:tr>
      <w:bookmarkEnd w:id="22"/>
      <w:tr w14:paraId="4EBB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66" w:type="pct"/>
            <w:tcBorders>
              <w:top w:val="single" w:color="auto" w:sz="4" w:space="0"/>
              <w:left w:val="single" w:color="auto" w:sz="4" w:space="0"/>
              <w:bottom w:val="single" w:color="auto" w:sz="4" w:space="0"/>
              <w:right w:val="single" w:color="auto" w:sz="4" w:space="0"/>
            </w:tcBorders>
            <w:vAlign w:val="center"/>
          </w:tcPr>
          <w:p w14:paraId="39A1B69D">
            <w:pPr>
              <w:keepLines w:val="0"/>
              <w:pageBreakBefore w:val="0"/>
              <w:kinsoku/>
              <w:wordWrap/>
              <w:overflowPunct/>
              <w:topLinePunct w:val="0"/>
              <w:autoSpaceDE/>
              <w:autoSpaceDN/>
              <w:bidi w:val="0"/>
              <w:spacing w:line="36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序号</w:t>
            </w:r>
          </w:p>
        </w:tc>
        <w:tc>
          <w:tcPr>
            <w:tcW w:w="4633" w:type="pct"/>
            <w:tcBorders>
              <w:top w:val="single" w:color="auto" w:sz="4" w:space="0"/>
              <w:left w:val="single" w:color="auto" w:sz="4" w:space="0"/>
              <w:bottom w:val="single" w:color="auto" w:sz="4" w:space="0"/>
              <w:right w:val="single" w:color="auto" w:sz="4" w:space="0"/>
            </w:tcBorders>
            <w:vAlign w:val="center"/>
          </w:tcPr>
          <w:p w14:paraId="47FA506E">
            <w:pPr>
              <w:keepLines w:val="0"/>
              <w:pageBreakBefore w:val="0"/>
              <w:kinsoku/>
              <w:wordWrap/>
              <w:overflowPunct/>
              <w:topLinePunct w:val="0"/>
              <w:autoSpaceDE/>
              <w:autoSpaceDN/>
              <w:bidi w:val="0"/>
              <w:spacing w:line="360" w:lineRule="auto"/>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审查内容</w:t>
            </w:r>
          </w:p>
        </w:tc>
      </w:tr>
      <w:tr w14:paraId="3634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7C7022B7">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tc>
        <w:tc>
          <w:tcPr>
            <w:tcW w:w="4633" w:type="pct"/>
            <w:tcBorders>
              <w:top w:val="single" w:color="auto" w:sz="4" w:space="0"/>
              <w:left w:val="single" w:color="auto" w:sz="4" w:space="0"/>
              <w:bottom w:val="single" w:color="auto" w:sz="4" w:space="0"/>
              <w:right w:val="single" w:color="auto" w:sz="4" w:space="0"/>
            </w:tcBorders>
            <w:vAlign w:val="center"/>
          </w:tcPr>
          <w:p w14:paraId="565FAA4C">
            <w:pPr>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供应商须具备政府采购法第二十二条规定的条件；</w:t>
            </w:r>
          </w:p>
        </w:tc>
      </w:tr>
      <w:tr w14:paraId="458D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507AADF0">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2</w:t>
            </w:r>
          </w:p>
        </w:tc>
        <w:tc>
          <w:tcPr>
            <w:tcW w:w="4633" w:type="pct"/>
            <w:tcBorders>
              <w:top w:val="single" w:color="auto" w:sz="4" w:space="0"/>
              <w:left w:val="single" w:color="auto" w:sz="4" w:space="0"/>
              <w:bottom w:val="single" w:color="auto" w:sz="4" w:space="0"/>
              <w:right w:val="single" w:color="auto" w:sz="4" w:space="0"/>
            </w:tcBorders>
            <w:vAlign w:val="center"/>
          </w:tcPr>
          <w:p w14:paraId="0D233335">
            <w:pPr>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身份证明书或授权委托书；</w:t>
            </w:r>
          </w:p>
        </w:tc>
      </w:tr>
      <w:tr w14:paraId="21B3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4F25B800">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3</w:t>
            </w:r>
          </w:p>
        </w:tc>
        <w:tc>
          <w:tcPr>
            <w:tcW w:w="4633" w:type="pct"/>
            <w:tcBorders>
              <w:top w:val="single" w:color="auto" w:sz="4" w:space="0"/>
              <w:left w:val="single" w:color="auto" w:sz="4" w:space="0"/>
              <w:bottom w:val="single" w:color="auto" w:sz="4" w:space="0"/>
              <w:right w:val="single" w:color="auto" w:sz="4" w:space="0"/>
            </w:tcBorders>
            <w:vAlign w:val="center"/>
          </w:tcPr>
          <w:p w14:paraId="2BB264FD">
            <w:pPr>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反商业贿赂承诺书；</w:t>
            </w:r>
          </w:p>
        </w:tc>
      </w:tr>
      <w:tr w14:paraId="4F53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6F4DFD93">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4</w:t>
            </w:r>
          </w:p>
        </w:tc>
        <w:tc>
          <w:tcPr>
            <w:tcW w:w="4633" w:type="pct"/>
            <w:tcBorders>
              <w:top w:val="single" w:color="auto" w:sz="4" w:space="0"/>
              <w:left w:val="single" w:color="auto" w:sz="4" w:space="0"/>
              <w:bottom w:val="single" w:color="auto" w:sz="4" w:space="0"/>
              <w:right w:val="single" w:color="auto" w:sz="4" w:space="0"/>
            </w:tcBorders>
          </w:tcPr>
          <w:p w14:paraId="53B9A966">
            <w:pPr>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投标截止时间后，</w:t>
            </w:r>
            <w:r>
              <w:rPr>
                <w:rFonts w:hint="default" w:ascii="Times New Roman" w:hAnsi="Times New Roman" w:eastAsia="宋体" w:cs="Times New Roman"/>
                <w:color w:val="auto"/>
                <w:sz w:val="24"/>
                <w:szCs w:val="24"/>
                <w:highlight w:val="none"/>
              </w:rPr>
              <w:t>线上查询投标人“信用中国”网站（www.creditchina.gov.cn）、中国政府采购网（www.ccgp.gov.cn）的信用信息，无失信记录;</w:t>
            </w:r>
          </w:p>
        </w:tc>
      </w:tr>
      <w:tr w14:paraId="5C98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1E65DEA7">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w:t>
            </w:r>
          </w:p>
        </w:tc>
        <w:tc>
          <w:tcPr>
            <w:tcW w:w="4633" w:type="pct"/>
            <w:tcBorders>
              <w:top w:val="single" w:color="auto" w:sz="4" w:space="0"/>
              <w:left w:val="single" w:color="auto" w:sz="4" w:space="0"/>
              <w:bottom w:val="single" w:color="auto" w:sz="4" w:space="0"/>
              <w:right w:val="single" w:color="auto" w:sz="4" w:space="0"/>
            </w:tcBorders>
          </w:tcPr>
          <w:p w14:paraId="1D4E4263">
            <w:pPr>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rPr>
            </w:pPr>
            <w:bookmarkStart w:id="23" w:name="OLE_LINK6"/>
            <w:r>
              <w:rPr>
                <w:rFonts w:hint="default" w:ascii="Times New Roman" w:hAnsi="Times New Roman" w:eastAsia="宋体" w:cs="Times New Roman"/>
                <w:color w:val="auto"/>
                <w:sz w:val="24"/>
                <w:szCs w:val="24"/>
                <w:highlight w:val="none"/>
                <w:lang w:val="en-US" w:eastAsia="zh-CN"/>
              </w:rPr>
              <w:t>中小企业声明函（</w:t>
            </w:r>
            <w:bookmarkStart w:id="24" w:name="OLE_LINK5"/>
            <w:r>
              <w:rPr>
                <w:rFonts w:hint="default" w:ascii="Times New Roman" w:hAnsi="Times New Roman" w:eastAsia="宋体" w:cs="Times New Roman"/>
                <w:color w:val="auto"/>
                <w:sz w:val="24"/>
                <w:szCs w:val="24"/>
                <w:highlight w:val="none"/>
                <w:lang w:val="en-US" w:eastAsia="zh-CN"/>
              </w:rPr>
              <w:t>本项目预留预算总额的 30%专门面向中小企业采购，其中预留给小微企业的比例不低于 60%。投标供应商须按照规定完成上述中小企业扶持要求，并须在投标文件中提供有效的《中小企业声明函》，如实声明货物制造商规模。投标供应商为联合体的，须在投标文件中提供有效的《联合协议》，联合体中的中小企业具体情况须在《中小企业声明函》中如实填报，且满足招标文件关于预留份额的要求。</w:t>
            </w:r>
            <w:bookmarkEnd w:id="23"/>
            <w:bookmarkEnd w:id="24"/>
            <w:r>
              <w:rPr>
                <w:rFonts w:hint="default" w:ascii="Times New Roman" w:hAnsi="Times New Roman" w:eastAsia="宋体" w:cs="Times New Roman"/>
                <w:color w:val="auto"/>
                <w:sz w:val="24"/>
                <w:szCs w:val="24"/>
                <w:highlight w:val="none"/>
                <w:lang w:val="en-US" w:eastAsia="zh-CN"/>
              </w:rPr>
              <w:t>）</w:t>
            </w:r>
          </w:p>
        </w:tc>
      </w:tr>
      <w:tr w14:paraId="194C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3C5CEA60">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w:t>
            </w:r>
          </w:p>
        </w:tc>
        <w:tc>
          <w:tcPr>
            <w:tcW w:w="4633" w:type="pct"/>
            <w:tcBorders>
              <w:top w:val="single" w:color="auto" w:sz="4" w:space="0"/>
              <w:left w:val="single" w:color="auto" w:sz="4" w:space="0"/>
              <w:bottom w:val="single" w:color="auto" w:sz="4" w:space="0"/>
              <w:right w:val="single" w:color="auto" w:sz="4" w:space="0"/>
            </w:tcBorders>
          </w:tcPr>
          <w:p w14:paraId="2158CF47">
            <w:pPr>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sz w:val="24"/>
                <w:szCs w:val="24"/>
                <w:highlight w:val="none"/>
              </w:rPr>
              <w:t>残疾人福利性单位声明函</w:t>
            </w:r>
            <w:r>
              <w:rPr>
                <w:rFonts w:hint="default" w:ascii="Times New Roman" w:hAnsi="Times New Roman" w:eastAsia="宋体" w:cs="Times New Roman"/>
                <w:sz w:val="24"/>
                <w:szCs w:val="24"/>
                <w:highlight w:val="none"/>
                <w:lang w:val="en-US" w:eastAsia="zh-CN"/>
              </w:rPr>
              <w:t>或监狱企业证明材料</w:t>
            </w:r>
            <w:r>
              <w:rPr>
                <w:rFonts w:hint="default" w:ascii="Times New Roman" w:hAnsi="Times New Roman" w:eastAsia="宋体" w:cs="Times New Roman"/>
                <w:sz w:val="24"/>
                <w:szCs w:val="24"/>
                <w:highlight w:val="none"/>
              </w:rPr>
              <w:t>（如有）</w:t>
            </w:r>
            <w:r>
              <w:rPr>
                <w:rFonts w:hint="default" w:ascii="Times New Roman" w:hAnsi="Times New Roman" w:eastAsia="宋体" w:cs="Times New Roman"/>
                <w:sz w:val="24"/>
                <w:szCs w:val="24"/>
                <w:highlight w:val="none"/>
                <w:lang w:eastAsia="zh-CN"/>
              </w:rPr>
              <w:t>；</w:t>
            </w:r>
          </w:p>
        </w:tc>
      </w:tr>
      <w:tr w14:paraId="3132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tcBorders>
              <w:top w:val="single" w:color="auto" w:sz="4" w:space="0"/>
              <w:left w:val="single" w:color="auto" w:sz="4" w:space="0"/>
              <w:bottom w:val="single" w:color="auto" w:sz="4" w:space="0"/>
              <w:right w:val="single" w:color="auto" w:sz="4" w:space="0"/>
            </w:tcBorders>
            <w:vAlign w:val="center"/>
          </w:tcPr>
          <w:p w14:paraId="55C4BB8C">
            <w:pPr>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7</w:t>
            </w:r>
          </w:p>
        </w:tc>
        <w:tc>
          <w:tcPr>
            <w:tcW w:w="4633" w:type="pct"/>
            <w:tcBorders>
              <w:top w:val="single" w:color="auto" w:sz="4" w:space="0"/>
              <w:left w:val="single" w:color="auto" w:sz="4" w:space="0"/>
              <w:bottom w:val="single" w:color="auto" w:sz="4" w:space="0"/>
              <w:right w:val="single" w:color="auto" w:sz="4" w:space="0"/>
            </w:tcBorders>
          </w:tcPr>
          <w:p w14:paraId="1EDC028C">
            <w:pPr>
              <w:keepLines w:val="0"/>
              <w:pageBreakBefore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cs="Times New Roman"/>
                <w:sz w:val="24"/>
                <w:szCs w:val="24"/>
                <w:highlight w:val="none"/>
                <w:lang w:val="en-US" w:eastAsia="zh-CN"/>
              </w:rPr>
              <w:t>联合协议（如有）。</w:t>
            </w:r>
          </w:p>
        </w:tc>
      </w:tr>
    </w:tbl>
    <w:p w14:paraId="013DB62E">
      <w:pPr>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开标</w:t>
      </w:r>
      <w:r>
        <w:rPr>
          <w:rFonts w:hint="default" w:ascii="Times New Roman" w:hAnsi="Times New Roman" w:eastAsia="宋体" w:cs="Times New Roman"/>
          <w:b/>
          <w:bCs/>
          <w:color w:val="auto"/>
          <w:sz w:val="24"/>
          <w:szCs w:val="24"/>
          <w:highlight w:val="none"/>
          <w:lang w:eastAsia="zh-CN"/>
        </w:rPr>
        <w:t>结束后</w:t>
      </w:r>
      <w:r>
        <w:rPr>
          <w:rFonts w:hint="default" w:ascii="Times New Roman" w:hAnsi="Times New Roman" w:eastAsia="宋体" w:cs="Times New Roman"/>
          <w:b/>
          <w:bCs/>
          <w:color w:val="auto"/>
          <w:sz w:val="24"/>
          <w:szCs w:val="24"/>
          <w:highlight w:val="none"/>
        </w:rPr>
        <w:t>将审查上述资格审查文件，若缺项或不合格为无效投标。</w:t>
      </w:r>
      <w:bookmarkStart w:id="25" w:name="_Toc104293451"/>
      <w:bookmarkStart w:id="26" w:name="_Toc256000003"/>
    </w:p>
    <w:p w14:paraId="75D4B092">
      <w:pPr>
        <w:pStyle w:val="3"/>
        <w:keepLines w:val="0"/>
        <w:pageBreakBefore w:val="0"/>
        <w:kinsoku/>
        <w:wordWrap/>
        <w:overflowPunct/>
        <w:topLinePunct w:val="0"/>
        <w:autoSpaceDE/>
        <w:autoSpaceDN/>
        <w:bidi w:val="0"/>
        <w:spacing w:line="360" w:lineRule="auto"/>
        <w:ind w:firstLine="482"/>
        <w:textAlignment w:val="auto"/>
        <w:rPr>
          <w:rFonts w:hint="default" w:ascii="Times New Roman" w:hAnsi="Times New Roman" w:eastAsia="宋体" w:cs="Times New Roman"/>
          <w:color w:val="auto"/>
          <w:sz w:val="24"/>
          <w:szCs w:val="24"/>
          <w:highlight w:val="none"/>
        </w:rPr>
      </w:pPr>
      <w:bookmarkStart w:id="27" w:name="_Toc152516857"/>
      <w:bookmarkStart w:id="28" w:name="_Toc5548"/>
    </w:p>
    <w:p w14:paraId="6DA8F35F">
      <w:pPr>
        <w:pStyle w:val="3"/>
        <w:keepLines w:val="0"/>
        <w:pageBreakBefore w:val="0"/>
        <w:kinsoku/>
        <w:wordWrap/>
        <w:overflowPunct/>
        <w:topLinePunct w:val="0"/>
        <w:autoSpaceDE/>
        <w:autoSpaceDN/>
        <w:bidi w:val="0"/>
        <w:spacing w:line="360"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四、获取招标文件及投标事宜：</w:t>
      </w:r>
      <w:bookmarkEnd w:id="25"/>
      <w:bookmarkEnd w:id="26"/>
      <w:bookmarkEnd w:id="27"/>
      <w:bookmarkEnd w:id="28"/>
      <w:r>
        <w:rPr>
          <w:rFonts w:hint="default" w:ascii="Times New Roman" w:hAnsi="Times New Roman" w:eastAsia="宋体" w:cs="Times New Roman"/>
          <w:color w:val="auto"/>
          <w:sz w:val="24"/>
          <w:szCs w:val="24"/>
          <w:highlight w:val="none"/>
        </w:rPr>
        <w:t xml:space="preserve"> </w:t>
      </w:r>
    </w:p>
    <w:p w14:paraId="0D962B3B">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1.获取招标文件（以下简称招标文件）的截止时间：</w:t>
      </w:r>
      <w:bookmarkStart w:id="29" w:name="EBa4c7a29697444c788d1fea5d418b333c"/>
      <w:r>
        <w:rPr>
          <w:rFonts w:hint="default" w:ascii="Times New Roman" w:hAnsi="Times New Roman" w:eastAsia="宋体" w:cs="Times New Roman"/>
          <w:color w:val="0000FF"/>
          <w:sz w:val="24"/>
          <w:szCs w:val="24"/>
          <w:highlight w:val="none"/>
        </w:rPr>
        <w:t>202</w:t>
      </w:r>
      <w:r>
        <w:rPr>
          <w:rFonts w:hint="default" w:ascii="Times New Roman" w:hAnsi="Times New Roman" w:eastAsia="宋体" w:cs="Times New Roman"/>
          <w:color w:val="0000FF"/>
          <w:sz w:val="24"/>
          <w:szCs w:val="24"/>
          <w:highlight w:val="none"/>
          <w:lang w:val="en-US" w:eastAsia="zh-CN"/>
        </w:rPr>
        <w:t>6</w:t>
      </w:r>
      <w:r>
        <w:rPr>
          <w:rFonts w:hint="default" w:ascii="Times New Roman" w:hAnsi="Times New Roman" w:eastAsia="宋体" w:cs="Times New Roman"/>
          <w:color w:val="0000FF"/>
          <w:sz w:val="24"/>
          <w:szCs w:val="24"/>
          <w:highlight w:val="none"/>
        </w:rPr>
        <w:t>年</w:t>
      </w:r>
      <w:r>
        <w:rPr>
          <w:rFonts w:hint="eastAsia" w:ascii="Times New Roman" w:hAnsi="Times New Roman" w:cs="Times New Roman"/>
          <w:color w:val="0000FF"/>
          <w:sz w:val="24"/>
          <w:szCs w:val="24"/>
          <w:highlight w:val="none"/>
          <w:lang w:val="en-US" w:eastAsia="zh-CN"/>
        </w:rPr>
        <w:t>10</w:t>
      </w:r>
      <w:r>
        <w:rPr>
          <w:rFonts w:hint="default" w:ascii="Times New Roman" w:hAnsi="Times New Roman" w:eastAsia="宋体" w:cs="Times New Roman"/>
          <w:color w:val="0000FF"/>
          <w:sz w:val="24"/>
          <w:szCs w:val="24"/>
          <w:highlight w:val="none"/>
        </w:rPr>
        <w:t>月</w:t>
      </w:r>
      <w:r>
        <w:rPr>
          <w:rFonts w:hint="eastAsia" w:ascii="Times New Roman" w:hAnsi="Times New Roman" w:eastAsia="宋体" w:cs="Times New Roman"/>
          <w:color w:val="0000FF"/>
          <w:sz w:val="24"/>
          <w:szCs w:val="24"/>
          <w:highlight w:val="none"/>
          <w:lang w:val="en-US" w:eastAsia="zh-CN"/>
        </w:rPr>
        <w:t>1</w:t>
      </w:r>
      <w:r>
        <w:rPr>
          <w:rFonts w:hint="eastAsia" w:ascii="Times New Roman" w:hAnsi="Times New Roman" w:cs="Times New Roman"/>
          <w:color w:val="0000FF"/>
          <w:sz w:val="24"/>
          <w:szCs w:val="24"/>
          <w:highlight w:val="none"/>
          <w:lang w:val="en-US" w:eastAsia="zh-CN"/>
        </w:rPr>
        <w:t>3</w:t>
      </w:r>
      <w:r>
        <w:rPr>
          <w:rFonts w:hint="default" w:ascii="Times New Roman" w:hAnsi="Times New Roman" w:eastAsia="宋体" w:cs="Times New Roman"/>
          <w:color w:val="0000FF"/>
          <w:sz w:val="24"/>
          <w:szCs w:val="24"/>
          <w:highlight w:val="none"/>
        </w:rPr>
        <w:t>日 23:</w:t>
      </w:r>
      <w:bookmarkEnd w:id="29"/>
      <w:r>
        <w:rPr>
          <w:rFonts w:hint="default" w:ascii="Times New Roman" w:hAnsi="Times New Roman" w:eastAsia="宋体" w:cs="Times New Roman"/>
          <w:color w:val="0000FF"/>
          <w:sz w:val="24"/>
          <w:szCs w:val="24"/>
          <w:highlight w:val="none"/>
        </w:rPr>
        <w:t>59</w:t>
      </w:r>
      <w:r>
        <w:rPr>
          <w:rFonts w:hint="default" w:ascii="Times New Roman" w:hAnsi="Times New Roman" w:eastAsia="宋体" w:cs="Times New Roman"/>
          <w:color w:val="auto"/>
          <w:sz w:val="24"/>
          <w:szCs w:val="24"/>
          <w:highlight w:val="none"/>
        </w:rPr>
        <w:t>。发布招标文件的网站：请供应商登录政采云平台（https://www.zcygov.cn/）下载招标文件，招标文件的修改、澄清文件将在新疆政府采购网公布，敬请获取招标文件的供应商关注，恕不另行通知。本项目招标文件售价：0.00元。</w:t>
      </w:r>
    </w:p>
    <w:p w14:paraId="5764D48B">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本项目实行网上投标，采用加密电子投标文件。各供应商在开标前应确保成为新疆政府采购网正式注册入库供应商，并完成CA数字证书（符合国密标准）申领。供应商须使用CA加密设备通过政采云电子投标客户端制作投标文件，供应商可通过新疆数字证书认证中心官方网站（https://www.xjca.com.cn/）或下载“新疆政务通”APP自行进行申领。如需咨询，请联系新疆CA服务热线4000921999；新疆-安信CA服务热线0991-7810912；翔晟CA服务热线025-66085508。因未注册入库、未办理CA数字证书等原因造成无法投标或投标失败等后果由供应商自行承担。</w:t>
      </w:r>
    </w:p>
    <w:p w14:paraId="7602DF16">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各供应商将政采云电子交易客户端下载、安装完成后，可通过账号密码或CA登录客户端制作投标文件。在使用政采云投标客户端时，建议使用WIN7及以上操作系统。客户端请至新疆政府采购网下载专区查看，如有问题可拨打政采云客户服务热线95763进行咨询。</w:t>
      </w:r>
    </w:p>
    <w:p w14:paraId="692C2074">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各供应商在开标时须使用制作加密电子投标文件所使用的CA锁及电脑，电脑须提前配置好浏览器（建议使用谷歌浏览器），以便开标时解锁。如因供应商自身原因导致在规定时间内无法正常解密的（如：浏览器故障、未安装相关驱动、网络故障、加密CA与解密CA不一致等），不予异常处理，视为供应商放弃投标。参与电子投标的供应商在开标时间前登录“开评标大厅”，并在规定时间内完成在线解密。供应商未按系统设定程序操作，所产生的不利后果由供应商自行承担。</w:t>
      </w:r>
    </w:p>
    <w:p w14:paraId="5B82705A">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5.各供应商对不见面开评标系统的技术操作咨询，可通过政采云帮助中心常见问题解答和操作流程讲解视频中自助查询，同时对自助查询无法解决的问题可通过政采云在线客服获取服务支持。</w:t>
      </w:r>
      <w:bookmarkStart w:id="30" w:name="_Toc104293452"/>
      <w:bookmarkStart w:id="31" w:name="_Toc256000004"/>
    </w:p>
    <w:p w14:paraId="3E88BB1F">
      <w:pPr>
        <w:keepNext/>
        <w:keepLines w:val="0"/>
        <w:pageBreakBefore w:val="0"/>
        <w:tabs>
          <w:tab w:val="center" w:pos="4702"/>
        </w:tabs>
        <w:kinsoku/>
        <w:wordWrap/>
        <w:overflowPunct/>
        <w:topLinePunct w:val="0"/>
        <w:autoSpaceDE/>
        <w:autoSpaceDN/>
        <w:bidi w:val="0"/>
        <w:spacing w:line="360" w:lineRule="auto"/>
        <w:ind w:firstLine="482" w:firstLineChars="200"/>
        <w:textAlignment w:val="auto"/>
        <w:outlineLvl w:val="1"/>
        <w:rPr>
          <w:rStyle w:val="44"/>
          <w:rFonts w:hint="default" w:ascii="Times New Roman" w:hAnsi="Times New Roman" w:eastAsia="宋体" w:cs="Times New Roman"/>
          <w:color w:val="auto"/>
          <w:sz w:val="24"/>
          <w:szCs w:val="24"/>
          <w:highlight w:val="none"/>
        </w:rPr>
      </w:pPr>
      <w:bookmarkStart w:id="32" w:name="_Toc4711"/>
      <w:bookmarkStart w:id="33" w:name="_Toc152516858"/>
    </w:p>
    <w:p w14:paraId="1455A009">
      <w:pPr>
        <w:keepNext/>
        <w:keepLines w:val="0"/>
        <w:pageBreakBefore w:val="0"/>
        <w:tabs>
          <w:tab w:val="center" w:pos="4702"/>
        </w:tabs>
        <w:kinsoku/>
        <w:wordWrap/>
        <w:overflowPunct/>
        <w:topLinePunct w:val="0"/>
        <w:autoSpaceDE/>
        <w:autoSpaceDN/>
        <w:bidi w:val="0"/>
        <w:spacing w:line="360" w:lineRule="auto"/>
        <w:ind w:firstLine="482" w:firstLineChars="200"/>
        <w:textAlignment w:val="auto"/>
        <w:outlineLvl w:val="1"/>
        <w:rPr>
          <w:rFonts w:hint="default" w:ascii="Times New Roman" w:hAnsi="Times New Roman" w:eastAsia="宋体" w:cs="Times New Roman"/>
          <w:b/>
          <w:bCs/>
          <w:iCs/>
          <w:color w:val="auto"/>
          <w:sz w:val="24"/>
          <w:szCs w:val="24"/>
          <w:highlight w:val="none"/>
        </w:rPr>
      </w:pPr>
      <w:r>
        <w:rPr>
          <w:rStyle w:val="44"/>
          <w:rFonts w:hint="default" w:ascii="Times New Roman" w:hAnsi="Times New Roman" w:eastAsia="宋体" w:cs="Times New Roman"/>
          <w:color w:val="auto"/>
          <w:sz w:val="24"/>
          <w:szCs w:val="24"/>
          <w:highlight w:val="none"/>
        </w:rPr>
        <w:t>五、采购人联系方式：</w:t>
      </w:r>
      <w:bookmarkEnd w:id="30"/>
      <w:bookmarkEnd w:id="31"/>
      <w:bookmarkEnd w:id="32"/>
      <w:bookmarkEnd w:id="33"/>
      <w:r>
        <w:rPr>
          <w:rFonts w:hint="default" w:ascii="Times New Roman" w:hAnsi="Times New Roman" w:eastAsia="宋体" w:cs="Times New Roman"/>
          <w:b/>
          <w:bCs/>
          <w:iCs/>
          <w:color w:val="auto"/>
          <w:sz w:val="24"/>
          <w:szCs w:val="24"/>
          <w:highlight w:val="none"/>
        </w:rPr>
        <w:t xml:space="preserve"> </w:t>
      </w:r>
      <w:r>
        <w:rPr>
          <w:rFonts w:hint="default" w:ascii="Times New Roman" w:hAnsi="Times New Roman" w:eastAsia="宋体" w:cs="Times New Roman"/>
          <w:b/>
          <w:bCs/>
          <w:iCs/>
          <w:color w:val="auto"/>
          <w:sz w:val="24"/>
          <w:szCs w:val="24"/>
          <w:highlight w:val="none"/>
        </w:rPr>
        <w:tab/>
      </w:r>
    </w:p>
    <w:p w14:paraId="689310C9">
      <w:pPr>
        <w:keepLines w:val="0"/>
        <w:pageBreakBefore w:val="0"/>
        <w:kinsoku/>
        <w:wordWrap/>
        <w:overflowPunct/>
        <w:topLinePunct w:val="0"/>
        <w:autoSpaceDE/>
        <w:autoSpaceDN/>
        <w:bidi w:val="0"/>
        <w:spacing w:line="360" w:lineRule="auto"/>
        <w:ind w:firstLine="475" w:firstLineChars="198"/>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t>采购人：</w:t>
      </w:r>
      <w:r>
        <w:rPr>
          <w:rFonts w:hint="default" w:ascii="Times New Roman" w:hAnsi="Times New Roman" w:eastAsia="宋体" w:cs="Times New Roman"/>
          <w:color w:val="0000FF"/>
          <w:sz w:val="24"/>
          <w:szCs w:val="24"/>
          <w:highlight w:val="none"/>
          <w:lang w:eastAsia="zh-CN"/>
        </w:rPr>
        <w:t>乌鲁木齐市第七十中学</w:t>
      </w:r>
      <w:r>
        <w:rPr>
          <w:rFonts w:hint="default" w:ascii="Times New Roman" w:hAnsi="Times New Roman" w:eastAsia="宋体" w:cs="Times New Roman"/>
          <w:color w:val="0000FF"/>
          <w:sz w:val="24"/>
          <w:szCs w:val="24"/>
          <w:highlight w:val="none"/>
        </w:rPr>
        <w:t xml:space="preserve"> </w:t>
      </w:r>
    </w:p>
    <w:p w14:paraId="1A3C6985">
      <w:pPr>
        <w:keepLines w:val="0"/>
        <w:pageBreakBefore w:val="0"/>
        <w:kinsoku/>
        <w:wordWrap/>
        <w:overflowPunct/>
        <w:topLinePunct w:val="0"/>
        <w:autoSpaceDE/>
        <w:autoSpaceDN/>
        <w:bidi w:val="0"/>
        <w:spacing w:line="360" w:lineRule="auto"/>
        <w:ind w:firstLine="475" w:firstLineChars="198"/>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t xml:space="preserve">地址：乌鲁木齐市新市区南纬一路54号 </w:t>
      </w:r>
    </w:p>
    <w:p w14:paraId="1D765EB7">
      <w:pPr>
        <w:keepLines w:val="0"/>
        <w:pageBreakBefore w:val="0"/>
        <w:kinsoku/>
        <w:wordWrap/>
        <w:overflowPunct/>
        <w:topLinePunct w:val="0"/>
        <w:autoSpaceDE/>
        <w:autoSpaceDN/>
        <w:bidi w:val="0"/>
        <w:spacing w:line="360" w:lineRule="auto"/>
        <w:ind w:firstLine="475" w:firstLineChars="198"/>
        <w:textAlignment w:val="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rPr>
        <w:t>联系人：</w:t>
      </w:r>
      <w:r>
        <w:rPr>
          <w:rFonts w:hint="default" w:ascii="Times New Roman" w:hAnsi="Times New Roman" w:eastAsia="宋体" w:cs="Times New Roman"/>
          <w:color w:val="0000FF"/>
          <w:sz w:val="24"/>
          <w:szCs w:val="24"/>
          <w:highlight w:val="none"/>
          <w:lang w:val="en-US" w:eastAsia="zh-CN"/>
        </w:rPr>
        <w:t>付庆</w:t>
      </w:r>
    </w:p>
    <w:p w14:paraId="5DD7A7DC">
      <w:pPr>
        <w:keepLines w:val="0"/>
        <w:pageBreakBefore w:val="0"/>
        <w:kinsoku/>
        <w:wordWrap/>
        <w:overflowPunct/>
        <w:topLinePunct w:val="0"/>
        <w:autoSpaceDE/>
        <w:autoSpaceDN/>
        <w:bidi w:val="0"/>
        <w:spacing w:line="360" w:lineRule="auto"/>
        <w:ind w:firstLine="475" w:firstLineChars="198"/>
        <w:textAlignment w:val="auto"/>
        <w:rPr>
          <w:rFonts w:hint="default" w:ascii="Times New Roman" w:hAnsi="Times New Roman" w:eastAsia="宋体" w:cs="Times New Roman"/>
          <w:b/>
          <w:iCs/>
          <w:color w:val="auto"/>
          <w:sz w:val="24"/>
          <w:szCs w:val="24"/>
          <w:highlight w:val="none"/>
          <w:lang w:val="en-US"/>
        </w:rPr>
      </w:pPr>
      <w:r>
        <w:rPr>
          <w:rFonts w:hint="default" w:ascii="Times New Roman" w:hAnsi="Times New Roman" w:eastAsia="宋体" w:cs="Times New Roman"/>
          <w:color w:val="0000FF"/>
          <w:sz w:val="24"/>
          <w:szCs w:val="24"/>
          <w:highlight w:val="none"/>
        </w:rPr>
        <w:t>联系电话：</w:t>
      </w:r>
      <w:bookmarkStart w:id="34" w:name="_Toc256000005"/>
      <w:bookmarkStart w:id="35" w:name="_Toc104293453"/>
      <w:r>
        <w:rPr>
          <w:rFonts w:hint="default" w:ascii="Times New Roman" w:hAnsi="Times New Roman" w:eastAsia="宋体" w:cs="Times New Roman"/>
          <w:color w:val="0000FF"/>
          <w:sz w:val="24"/>
          <w:szCs w:val="24"/>
          <w:highlight w:val="none"/>
          <w:lang w:val="en-US" w:eastAsia="zh-CN"/>
        </w:rPr>
        <w:t>18999851072</w:t>
      </w:r>
    </w:p>
    <w:p w14:paraId="7D58DABD">
      <w:pPr>
        <w:keepNext/>
        <w:keepLines w:val="0"/>
        <w:pageBreakBefore w:val="0"/>
        <w:kinsoku/>
        <w:wordWrap/>
        <w:overflowPunct/>
        <w:topLinePunct w:val="0"/>
        <w:autoSpaceDE/>
        <w:autoSpaceDN/>
        <w:bidi w:val="0"/>
        <w:spacing w:line="360" w:lineRule="auto"/>
        <w:ind w:firstLine="482" w:firstLineChars="200"/>
        <w:textAlignment w:val="auto"/>
        <w:outlineLvl w:val="1"/>
        <w:rPr>
          <w:rStyle w:val="44"/>
          <w:rFonts w:hint="default" w:ascii="Times New Roman" w:hAnsi="Times New Roman" w:eastAsia="宋体" w:cs="Times New Roman"/>
          <w:color w:val="auto"/>
          <w:sz w:val="24"/>
          <w:szCs w:val="24"/>
          <w:highlight w:val="none"/>
        </w:rPr>
      </w:pPr>
      <w:bookmarkStart w:id="36" w:name="_Toc152516859"/>
      <w:bookmarkStart w:id="37" w:name="_Toc31550"/>
    </w:p>
    <w:p w14:paraId="4E282681">
      <w:pPr>
        <w:keepNext/>
        <w:keepLines w:val="0"/>
        <w:pageBreakBefore w:val="0"/>
        <w:kinsoku/>
        <w:wordWrap/>
        <w:overflowPunct/>
        <w:topLinePunct w:val="0"/>
        <w:autoSpaceDE/>
        <w:autoSpaceDN/>
        <w:bidi w:val="0"/>
        <w:spacing w:line="360" w:lineRule="auto"/>
        <w:ind w:firstLine="482" w:firstLineChars="200"/>
        <w:textAlignment w:val="auto"/>
        <w:outlineLvl w:val="1"/>
        <w:rPr>
          <w:rFonts w:hint="default" w:ascii="Times New Roman" w:hAnsi="Times New Roman" w:eastAsia="宋体" w:cs="Times New Roman"/>
          <w:b/>
          <w:iCs/>
          <w:color w:val="auto"/>
          <w:sz w:val="24"/>
          <w:szCs w:val="24"/>
          <w:highlight w:val="none"/>
        </w:rPr>
      </w:pPr>
      <w:r>
        <w:rPr>
          <w:rStyle w:val="44"/>
          <w:rFonts w:hint="default" w:ascii="Times New Roman" w:hAnsi="Times New Roman" w:eastAsia="宋体" w:cs="Times New Roman"/>
          <w:color w:val="auto"/>
          <w:sz w:val="24"/>
          <w:szCs w:val="24"/>
          <w:highlight w:val="none"/>
        </w:rPr>
        <w:t>六、集中采购机构联系方式：</w:t>
      </w:r>
      <w:bookmarkEnd w:id="34"/>
      <w:bookmarkEnd w:id="35"/>
      <w:bookmarkEnd w:id="36"/>
      <w:bookmarkEnd w:id="37"/>
      <w:r>
        <w:rPr>
          <w:rFonts w:hint="default" w:ascii="Times New Roman" w:hAnsi="Times New Roman" w:eastAsia="宋体" w:cs="Times New Roman"/>
          <w:b/>
          <w:iCs/>
          <w:color w:val="auto"/>
          <w:sz w:val="24"/>
          <w:szCs w:val="24"/>
          <w:highlight w:val="none"/>
        </w:rPr>
        <w:t xml:space="preserve"> </w:t>
      </w:r>
    </w:p>
    <w:p w14:paraId="6632233E">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集中采购机构：乌鲁木齐市公共资源交易中心（乌鲁木齐市政府采购中心）</w:t>
      </w:r>
    </w:p>
    <w:p w14:paraId="4A959E64">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u w:val="single"/>
        </w:rPr>
      </w:pPr>
      <w:r>
        <w:rPr>
          <w:rFonts w:hint="default" w:ascii="Times New Roman" w:hAnsi="Times New Roman" w:eastAsia="宋体" w:cs="Times New Roman"/>
          <w:color w:val="auto"/>
          <w:sz w:val="24"/>
          <w:szCs w:val="24"/>
          <w:highlight w:val="none"/>
        </w:rPr>
        <w:t>地址：乌鲁木齐市水磨沟区准噶尔街299号益民大厦A座5层</w:t>
      </w:r>
    </w:p>
    <w:p w14:paraId="5ADC4438">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rPr>
        <w:t xml:space="preserve">联系人： </w:t>
      </w:r>
      <w:r>
        <w:rPr>
          <w:rFonts w:hint="default" w:ascii="Times New Roman" w:hAnsi="Times New Roman" w:eastAsia="宋体" w:cs="Times New Roman"/>
          <w:color w:val="0000FF"/>
          <w:sz w:val="24"/>
          <w:szCs w:val="24"/>
          <w:highlight w:val="none"/>
          <w:lang w:val="en-US" w:eastAsia="zh-CN"/>
        </w:rPr>
        <w:t>王磊</w:t>
      </w:r>
    </w:p>
    <w:p w14:paraId="72F84CA5">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t>联系电话：</w:t>
      </w:r>
      <w:bookmarkStart w:id="38" w:name="EB76d9da82da2b4ccc92bb722cde26bcca"/>
      <w:r>
        <w:rPr>
          <w:rFonts w:hint="default" w:ascii="Times New Roman" w:hAnsi="Times New Roman" w:eastAsia="宋体" w:cs="Times New Roman"/>
          <w:color w:val="0000FF"/>
          <w:sz w:val="24"/>
          <w:szCs w:val="24"/>
          <w:highlight w:val="none"/>
        </w:rPr>
        <w:t>0</w:t>
      </w:r>
      <w:bookmarkEnd w:id="38"/>
      <w:r>
        <w:rPr>
          <w:rFonts w:hint="default" w:ascii="Times New Roman" w:hAnsi="Times New Roman" w:eastAsia="宋体" w:cs="Times New Roman"/>
          <w:color w:val="0000FF"/>
          <w:sz w:val="24"/>
          <w:szCs w:val="24"/>
          <w:highlight w:val="none"/>
          <w:lang w:val="en-US" w:eastAsia="zh-CN"/>
        </w:rPr>
        <w:t>991—4184459</w:t>
      </w:r>
      <w:r>
        <w:rPr>
          <w:rFonts w:hint="eastAsia"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rPr>
        <w:t>0</w:t>
      </w:r>
      <w:r>
        <w:rPr>
          <w:rFonts w:hint="default" w:ascii="Times New Roman" w:hAnsi="Times New Roman" w:eastAsia="宋体" w:cs="Times New Roman"/>
          <w:color w:val="0000FF"/>
          <w:sz w:val="24"/>
          <w:szCs w:val="24"/>
          <w:highlight w:val="none"/>
          <w:lang w:val="en-US" w:eastAsia="zh-CN"/>
        </w:rPr>
        <w:t>991—4184</w:t>
      </w:r>
      <w:r>
        <w:rPr>
          <w:rFonts w:hint="eastAsia" w:ascii="Times New Roman" w:hAnsi="Times New Roman" w:cs="Times New Roman"/>
          <w:color w:val="0000FF"/>
          <w:sz w:val="24"/>
          <w:szCs w:val="24"/>
          <w:highlight w:val="none"/>
          <w:lang w:val="en-US" w:eastAsia="zh-CN"/>
        </w:rPr>
        <w:t>317</w:t>
      </w:r>
      <w:r>
        <w:rPr>
          <w:rFonts w:hint="default" w:ascii="Times New Roman" w:hAnsi="Times New Roman" w:eastAsia="宋体" w:cs="Times New Roman"/>
          <w:color w:val="0000FF"/>
          <w:sz w:val="24"/>
          <w:szCs w:val="24"/>
          <w:highlight w:val="none"/>
        </w:rPr>
        <w:t xml:space="preserve"> </w:t>
      </w:r>
    </w:p>
    <w:p w14:paraId="0B2840A0">
      <w:pPr>
        <w:keepLines w:val="0"/>
        <w:pageBreakBefore w:val="0"/>
        <w:kinsoku/>
        <w:wordWrap/>
        <w:overflowPunct/>
        <w:topLinePunct w:val="0"/>
        <w:autoSpaceDE/>
        <w:autoSpaceDN/>
        <w:bidi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p>
    <w:p w14:paraId="04E92708">
      <w:pPr>
        <w:pStyle w:val="3"/>
        <w:keepLines w:val="0"/>
        <w:pageBreakBefore w:val="0"/>
        <w:kinsoku/>
        <w:wordWrap/>
        <w:overflowPunct/>
        <w:topLinePunct w:val="0"/>
        <w:autoSpaceDE/>
        <w:autoSpaceDN/>
        <w:bidi w:val="0"/>
        <w:spacing w:line="360" w:lineRule="auto"/>
        <w:ind w:firstLine="482"/>
        <w:textAlignment w:val="auto"/>
        <w:rPr>
          <w:rFonts w:hint="default" w:ascii="Times New Roman" w:hAnsi="Times New Roman" w:eastAsia="宋体" w:cs="Times New Roman"/>
          <w:color w:val="auto"/>
          <w:sz w:val="24"/>
          <w:szCs w:val="24"/>
          <w:highlight w:val="none"/>
        </w:rPr>
      </w:pPr>
      <w:bookmarkStart w:id="39" w:name="_Toc5911"/>
      <w:r>
        <w:rPr>
          <w:rFonts w:hint="default" w:ascii="Times New Roman" w:hAnsi="Times New Roman" w:eastAsia="宋体" w:cs="Times New Roman"/>
          <w:color w:val="auto"/>
          <w:sz w:val="24"/>
          <w:szCs w:val="24"/>
          <w:highlight w:val="none"/>
        </w:rPr>
        <w:t>七、其他：</w:t>
      </w:r>
      <w:bookmarkEnd w:id="39"/>
    </w:p>
    <w:p w14:paraId="24A6F7D9">
      <w:pPr>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以上日期、时间均为公历、北京时间。</w:t>
      </w:r>
    </w:p>
    <w:p w14:paraId="15282931">
      <w:pPr>
        <w:keepLines w:val="0"/>
        <w:pageBreakBefore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p>
    <w:p w14:paraId="1BDE357C">
      <w:pPr>
        <w:rPr>
          <w:rFonts w:hint="default" w:ascii="Times New Roman" w:hAnsi="Times New Roman" w:eastAsia="宋体" w:cs="Times New Roman"/>
          <w:color w:val="auto"/>
          <w:sz w:val="24"/>
          <w:szCs w:val="24"/>
          <w:highlight w:val="none"/>
        </w:rPr>
      </w:pPr>
    </w:p>
    <w:p w14:paraId="1F3851B6">
      <w:pP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br w:type="page"/>
      </w:r>
    </w:p>
    <w:p w14:paraId="6A857FBF">
      <w:pPr>
        <w:pStyle w:val="2"/>
        <w:jc w:val="center"/>
        <w:rPr>
          <w:rFonts w:hint="default" w:ascii="Times New Roman" w:hAnsi="Times New Roman" w:eastAsia="宋体" w:cs="Times New Roman"/>
          <w:color w:val="auto"/>
          <w:sz w:val="24"/>
          <w:szCs w:val="24"/>
          <w:highlight w:val="none"/>
        </w:rPr>
      </w:pPr>
      <w:bookmarkStart w:id="40" w:name="_Toc256000007"/>
      <w:bookmarkStart w:id="41" w:name="_Toc152516860"/>
      <w:bookmarkStart w:id="42" w:name="_Toc9762"/>
      <w:bookmarkStart w:id="43" w:name="_Toc104293455"/>
      <w:r>
        <w:rPr>
          <w:rFonts w:hint="eastAsia" w:ascii="方正黑体_GBK" w:hAnsi="方正黑体_GBK" w:eastAsia="方正黑体_GBK" w:cs="方正黑体_GBK"/>
          <w:color w:val="auto"/>
          <w:sz w:val="36"/>
          <w:szCs w:val="36"/>
          <w:highlight w:val="none"/>
        </w:rPr>
        <w:t>第二章  招标文件前附表</w:t>
      </w:r>
      <w:bookmarkEnd w:id="40"/>
      <w:bookmarkEnd w:id="41"/>
      <w:bookmarkEnd w:id="42"/>
      <w:bookmarkEnd w:id="43"/>
    </w:p>
    <w:p w14:paraId="51E7FE80">
      <w:pPr>
        <w:adjustRightInd w:val="0"/>
        <w:snapToGrid w:val="0"/>
        <w:spacing w:line="300" w:lineRule="exact"/>
        <w:jc w:val="center"/>
        <w:rPr>
          <w:rFonts w:hint="default" w:ascii="Times New Roman" w:hAnsi="Times New Roman" w:eastAsia="宋体" w:cs="Times New Roman"/>
          <w:b/>
          <w:bCs/>
          <w:color w:val="auto"/>
          <w:sz w:val="24"/>
          <w:szCs w:val="24"/>
          <w:highlight w:val="none"/>
        </w:rPr>
      </w:pPr>
    </w:p>
    <w:tbl>
      <w:tblPr>
        <w:tblStyle w:val="31"/>
        <w:tblW w:w="9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4"/>
        <w:gridCol w:w="1767"/>
        <w:gridCol w:w="7360"/>
      </w:tblGrid>
      <w:tr w14:paraId="0EF0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7" w:hRule="atLeast"/>
          <w:jc w:val="center"/>
        </w:trPr>
        <w:tc>
          <w:tcPr>
            <w:tcW w:w="494" w:type="dxa"/>
            <w:tcBorders>
              <w:top w:val="single" w:color="auto" w:sz="4" w:space="0"/>
              <w:left w:val="single" w:color="auto" w:sz="4" w:space="0"/>
              <w:bottom w:val="single" w:color="auto" w:sz="4" w:space="0"/>
              <w:right w:val="single" w:color="auto" w:sz="4" w:space="0"/>
            </w:tcBorders>
          </w:tcPr>
          <w:p w14:paraId="4ADEC809">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序号</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2BC2B35">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bCs/>
                <w:color w:val="auto"/>
                <w:sz w:val="24"/>
                <w:szCs w:val="24"/>
                <w:highlight w:val="none"/>
              </w:rPr>
              <w:t>名称</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157D52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bCs/>
                <w:color w:val="auto"/>
                <w:sz w:val="24"/>
                <w:szCs w:val="24"/>
                <w:highlight w:val="none"/>
              </w:rPr>
              <w:t>内容规定</w:t>
            </w:r>
          </w:p>
        </w:tc>
      </w:tr>
      <w:tr w14:paraId="15F4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494" w:type="dxa"/>
            <w:vMerge w:val="restart"/>
            <w:tcBorders>
              <w:top w:val="single" w:color="auto" w:sz="4" w:space="0"/>
              <w:left w:val="single" w:color="auto" w:sz="4" w:space="0"/>
              <w:bottom w:val="single" w:color="auto" w:sz="4" w:space="0"/>
              <w:right w:val="single" w:color="auto" w:sz="4" w:space="0"/>
            </w:tcBorders>
            <w:vAlign w:val="center"/>
          </w:tcPr>
          <w:p w14:paraId="5C41E8A2">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p>
        </w:tc>
        <w:tc>
          <w:tcPr>
            <w:tcW w:w="17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81990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项目概况</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C7AF89">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项目名称：</w:t>
            </w:r>
            <w:r>
              <w:rPr>
                <w:rFonts w:hint="default" w:ascii="Times New Roman" w:hAnsi="Times New Roman" w:eastAsia="宋体" w:cs="Times New Roman"/>
                <w:color w:val="0000FF"/>
                <w:kern w:val="2"/>
                <w:sz w:val="24"/>
                <w:szCs w:val="24"/>
                <w:highlight w:val="none"/>
                <w:lang w:val="en-US" w:eastAsia="zh-CN" w:bidi="ar-SA"/>
              </w:rPr>
              <w:t>2026年乌鲁木齐市第七十中学凌空校区新建项目学</w:t>
            </w:r>
            <w:r>
              <w:rPr>
                <w:rFonts w:hint="eastAsia" w:ascii="Times New Roman" w:hAnsi="Times New Roman" w:cs="Times New Roman"/>
                <w:color w:val="0000FF"/>
                <w:kern w:val="2"/>
                <w:sz w:val="24"/>
                <w:szCs w:val="24"/>
                <w:highlight w:val="none"/>
                <w:lang w:val="en-US" w:eastAsia="zh-CN" w:bidi="ar-SA"/>
              </w:rPr>
              <w:t>科课程基地建设项目（二次）</w:t>
            </w:r>
          </w:p>
          <w:p w14:paraId="79F94CF5">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项目编号：</w:t>
            </w:r>
            <w:r>
              <w:rPr>
                <w:rFonts w:hint="default" w:ascii="Times New Roman" w:hAnsi="Times New Roman" w:eastAsia="宋体" w:cs="Times New Roman"/>
                <w:color w:val="0000FF"/>
                <w:kern w:val="2"/>
                <w:sz w:val="24"/>
                <w:szCs w:val="24"/>
                <w:highlight w:val="none"/>
                <w:lang w:val="en-US" w:eastAsia="zh-CN" w:bidi="ar-SA"/>
              </w:rPr>
              <w:t>WZCG-</w:t>
            </w:r>
            <w:r>
              <w:rPr>
                <w:rFonts w:hint="eastAsia" w:ascii="Times New Roman" w:hAnsi="Times New Roman" w:cs="Times New Roman"/>
                <w:color w:val="0000FF"/>
                <w:kern w:val="2"/>
                <w:sz w:val="24"/>
                <w:szCs w:val="24"/>
                <w:highlight w:val="none"/>
                <w:lang w:val="en-US" w:eastAsia="zh-CN" w:bidi="ar-SA"/>
              </w:rPr>
              <w:t>ZCY202601064（2）</w:t>
            </w:r>
          </w:p>
          <w:p w14:paraId="40189C6F">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采购类别：</w:t>
            </w:r>
            <w:r>
              <w:rPr>
                <w:rFonts w:hint="default" w:ascii="Times New Roman" w:hAnsi="Times New Roman" w:eastAsia="宋体" w:cs="Times New Roman"/>
                <w:color w:val="0000FF"/>
                <w:sz w:val="24"/>
                <w:szCs w:val="24"/>
                <w:highlight w:val="none"/>
                <w:lang w:eastAsia="zh-CN"/>
              </w:rPr>
              <w:t>☑</w:t>
            </w:r>
            <w:r>
              <w:rPr>
                <w:rFonts w:hint="default" w:ascii="Times New Roman" w:hAnsi="Times New Roman" w:eastAsia="宋体" w:cs="Times New Roman"/>
                <w:color w:val="auto"/>
                <w:sz w:val="24"/>
                <w:szCs w:val="24"/>
                <w:highlight w:val="none"/>
              </w:rPr>
              <w:t>货物类 □服务类 □工程类</w:t>
            </w:r>
          </w:p>
        </w:tc>
      </w:tr>
      <w:tr w14:paraId="3472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jc w:val="center"/>
        </w:trPr>
        <w:tc>
          <w:tcPr>
            <w:tcW w:w="494" w:type="dxa"/>
            <w:vMerge w:val="continue"/>
            <w:tcBorders>
              <w:top w:val="single" w:color="auto" w:sz="4" w:space="0"/>
              <w:left w:val="single" w:color="auto" w:sz="4" w:space="0"/>
              <w:bottom w:val="single" w:color="auto" w:sz="4" w:space="0"/>
              <w:right w:val="single" w:color="auto" w:sz="4" w:space="0"/>
            </w:tcBorders>
            <w:vAlign w:val="center"/>
          </w:tcPr>
          <w:p w14:paraId="4A3293D5">
            <w:pPr>
              <w:pageBreakBefore w:val="0"/>
              <w:widowControl/>
              <w:kinsoku/>
              <w:wordWrap/>
              <w:overflowPunct/>
              <w:topLinePunct w:val="0"/>
              <w:autoSpaceDE/>
              <w:autoSpaceDN/>
              <w:bidi w:val="0"/>
              <w:spacing w:line="360" w:lineRule="auto"/>
              <w:jc w:val="left"/>
              <w:rPr>
                <w:rFonts w:hint="default" w:ascii="Times New Roman" w:hAnsi="Times New Roman" w:eastAsia="宋体" w:cs="Times New Roman"/>
                <w:color w:val="auto"/>
                <w:sz w:val="24"/>
                <w:szCs w:val="24"/>
                <w:highlight w:val="none"/>
              </w:rPr>
            </w:pPr>
          </w:p>
        </w:tc>
        <w:tc>
          <w:tcPr>
            <w:tcW w:w="1767" w:type="dxa"/>
            <w:vMerge w:val="continue"/>
            <w:tcBorders>
              <w:top w:val="single" w:color="auto" w:sz="4" w:space="0"/>
              <w:left w:val="single" w:color="auto" w:sz="4" w:space="0"/>
              <w:bottom w:val="single" w:color="auto" w:sz="4" w:space="0"/>
              <w:right w:val="single" w:color="auto" w:sz="4" w:space="0"/>
            </w:tcBorders>
            <w:vAlign w:val="center"/>
          </w:tcPr>
          <w:p w14:paraId="087E1D5E">
            <w:pPr>
              <w:pageBreakBefore w:val="0"/>
              <w:widowControl/>
              <w:kinsoku/>
              <w:wordWrap/>
              <w:overflowPunct/>
              <w:topLinePunct w:val="0"/>
              <w:autoSpaceDE/>
              <w:autoSpaceDN/>
              <w:bidi w:val="0"/>
              <w:spacing w:line="360" w:lineRule="auto"/>
              <w:jc w:val="left"/>
              <w:rPr>
                <w:rFonts w:hint="default" w:ascii="Times New Roman" w:hAnsi="Times New Roman" w:eastAsia="宋体" w:cs="Times New Roman"/>
                <w:color w:val="auto"/>
                <w:sz w:val="24"/>
                <w:szCs w:val="24"/>
                <w:highlight w:val="none"/>
              </w:rPr>
            </w:pP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14DB633">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项目总预算金额：</w:t>
            </w:r>
            <w:bookmarkStart w:id="44" w:name="EB7b86482036b04bcfa60f6fe59708a3e8"/>
            <w:r>
              <w:rPr>
                <w:rFonts w:hint="default" w:ascii="Times New Roman" w:hAnsi="Times New Roman" w:eastAsia="宋体" w:cs="Times New Roman"/>
                <w:color w:val="0000FF"/>
                <w:kern w:val="2"/>
                <w:sz w:val="24"/>
                <w:szCs w:val="24"/>
                <w:highlight w:val="none"/>
                <w:lang w:val="en-US" w:eastAsia="zh-CN" w:bidi="ar-SA"/>
              </w:rPr>
              <w:t>2,565,418.00</w:t>
            </w:r>
            <w:r>
              <w:rPr>
                <w:rFonts w:hint="default" w:ascii="Times New Roman" w:hAnsi="Times New Roman" w:eastAsia="宋体" w:cs="Times New Roman"/>
                <w:color w:val="auto"/>
                <w:sz w:val="24"/>
                <w:szCs w:val="24"/>
                <w:highlight w:val="none"/>
              </w:rPr>
              <w:t>元；</w:t>
            </w:r>
          </w:p>
          <w:p w14:paraId="1460A935">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一标段：</w:t>
            </w:r>
            <w:bookmarkEnd w:id="44"/>
            <w:r>
              <w:rPr>
                <w:rFonts w:hint="default" w:ascii="Times New Roman" w:hAnsi="Times New Roman" w:eastAsia="宋体" w:cs="Times New Roman"/>
                <w:color w:val="0000FF"/>
                <w:kern w:val="2"/>
                <w:sz w:val="24"/>
                <w:szCs w:val="24"/>
                <w:highlight w:val="none"/>
                <w:lang w:val="en-US" w:eastAsia="zh-CN" w:bidi="ar-SA"/>
              </w:rPr>
              <w:t>2026年乌鲁木齐市第七十中学凌空校区新建项目学</w:t>
            </w:r>
            <w:r>
              <w:rPr>
                <w:rFonts w:hint="eastAsia" w:ascii="Times New Roman" w:hAnsi="Times New Roman" w:cs="Times New Roman"/>
                <w:color w:val="0000FF"/>
                <w:kern w:val="2"/>
                <w:sz w:val="24"/>
                <w:szCs w:val="24"/>
                <w:highlight w:val="none"/>
                <w:lang w:val="en-US" w:eastAsia="zh-CN" w:bidi="ar-SA"/>
              </w:rPr>
              <w:t>科课程基地建设项目（二次）</w:t>
            </w:r>
            <w:r>
              <w:rPr>
                <w:rFonts w:hint="default" w:ascii="Times New Roman" w:hAnsi="Times New Roman" w:eastAsia="宋体" w:cs="Times New Roman"/>
                <w:color w:val="auto"/>
                <w:sz w:val="24"/>
                <w:szCs w:val="24"/>
                <w:highlight w:val="none"/>
              </w:rPr>
              <w:t>，预算金额：</w:t>
            </w:r>
            <w:r>
              <w:rPr>
                <w:rFonts w:hint="default" w:ascii="Times New Roman" w:hAnsi="Times New Roman" w:eastAsia="宋体" w:cs="Times New Roman"/>
                <w:color w:val="0000FF"/>
                <w:kern w:val="2"/>
                <w:sz w:val="24"/>
                <w:szCs w:val="24"/>
                <w:highlight w:val="none"/>
                <w:lang w:val="en-US" w:eastAsia="zh-CN" w:bidi="ar-SA"/>
              </w:rPr>
              <w:t>2,565,418.00</w:t>
            </w:r>
            <w:r>
              <w:rPr>
                <w:rFonts w:hint="default" w:ascii="Times New Roman" w:hAnsi="Times New Roman" w:eastAsia="宋体" w:cs="Times New Roman"/>
                <w:color w:val="auto"/>
                <w:sz w:val="24"/>
                <w:szCs w:val="24"/>
                <w:highlight w:val="none"/>
              </w:rPr>
              <w:t>元，最高限价：</w:t>
            </w:r>
            <w:r>
              <w:rPr>
                <w:rFonts w:hint="default" w:ascii="Times New Roman" w:hAnsi="Times New Roman" w:eastAsia="宋体" w:cs="Times New Roman"/>
                <w:color w:val="0000FF"/>
                <w:kern w:val="2"/>
                <w:sz w:val="24"/>
                <w:szCs w:val="24"/>
                <w:highlight w:val="none"/>
                <w:lang w:val="en-US" w:eastAsia="zh-CN" w:bidi="ar-SA"/>
              </w:rPr>
              <w:t>2,565,418.00</w:t>
            </w:r>
            <w:r>
              <w:rPr>
                <w:rFonts w:hint="default" w:ascii="Times New Roman" w:hAnsi="Times New Roman" w:eastAsia="宋体" w:cs="Times New Roman"/>
                <w:color w:val="auto"/>
                <w:sz w:val="24"/>
                <w:szCs w:val="24"/>
                <w:highlight w:val="none"/>
              </w:rPr>
              <w:t>元。</w:t>
            </w:r>
          </w:p>
          <w:p w14:paraId="789604E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rPr>
              <w:t>标段编号：</w:t>
            </w:r>
            <w:r>
              <w:rPr>
                <w:rFonts w:hint="default" w:ascii="Times New Roman" w:hAnsi="Times New Roman" w:eastAsia="宋体" w:cs="Times New Roman"/>
                <w:color w:val="0000FF"/>
                <w:kern w:val="2"/>
                <w:sz w:val="24"/>
                <w:szCs w:val="24"/>
                <w:highlight w:val="none"/>
                <w:lang w:val="en-US" w:eastAsia="zh-CN" w:bidi="ar-SA"/>
              </w:rPr>
              <w:t>WZCG-</w:t>
            </w:r>
            <w:r>
              <w:rPr>
                <w:rFonts w:hint="eastAsia" w:ascii="Times New Roman" w:hAnsi="Times New Roman" w:cs="Times New Roman"/>
                <w:color w:val="0000FF"/>
                <w:kern w:val="2"/>
                <w:sz w:val="24"/>
                <w:szCs w:val="24"/>
                <w:highlight w:val="none"/>
                <w:lang w:val="en-US" w:eastAsia="zh-CN" w:bidi="ar-SA"/>
              </w:rPr>
              <w:t>ZCY202601064（2）</w:t>
            </w:r>
            <w:r>
              <w:rPr>
                <w:rFonts w:hint="default" w:ascii="Times New Roman" w:hAnsi="Times New Roman" w:eastAsia="宋体" w:cs="Times New Roman"/>
                <w:color w:val="0000FF"/>
                <w:kern w:val="2"/>
                <w:sz w:val="24"/>
                <w:szCs w:val="24"/>
                <w:highlight w:val="none"/>
                <w:lang w:val="en-US" w:eastAsia="zh-CN" w:bidi="ar-SA"/>
              </w:rPr>
              <w:t>-1</w:t>
            </w:r>
          </w:p>
        </w:tc>
      </w:tr>
      <w:tr w14:paraId="1FD0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494" w:type="dxa"/>
            <w:vMerge w:val="continue"/>
            <w:tcBorders>
              <w:top w:val="single" w:color="auto" w:sz="4" w:space="0"/>
              <w:left w:val="single" w:color="auto" w:sz="4" w:space="0"/>
              <w:bottom w:val="single" w:color="auto" w:sz="4" w:space="0"/>
              <w:right w:val="single" w:color="auto" w:sz="4" w:space="0"/>
            </w:tcBorders>
            <w:vAlign w:val="center"/>
          </w:tcPr>
          <w:p w14:paraId="1053D804">
            <w:pPr>
              <w:pageBreakBefore w:val="0"/>
              <w:widowControl/>
              <w:kinsoku/>
              <w:wordWrap/>
              <w:overflowPunct/>
              <w:topLinePunct w:val="0"/>
              <w:autoSpaceDE/>
              <w:autoSpaceDN/>
              <w:bidi w:val="0"/>
              <w:spacing w:line="360" w:lineRule="auto"/>
              <w:jc w:val="left"/>
              <w:rPr>
                <w:rFonts w:hint="default" w:ascii="Times New Roman" w:hAnsi="Times New Roman" w:eastAsia="宋体" w:cs="Times New Roman"/>
                <w:color w:val="auto"/>
                <w:sz w:val="24"/>
                <w:szCs w:val="24"/>
                <w:highlight w:val="none"/>
              </w:rPr>
            </w:pPr>
          </w:p>
        </w:tc>
        <w:tc>
          <w:tcPr>
            <w:tcW w:w="1767" w:type="dxa"/>
            <w:vMerge w:val="continue"/>
            <w:tcBorders>
              <w:top w:val="single" w:color="auto" w:sz="4" w:space="0"/>
              <w:left w:val="single" w:color="auto" w:sz="4" w:space="0"/>
              <w:bottom w:val="single" w:color="auto" w:sz="4" w:space="0"/>
              <w:right w:val="single" w:color="auto" w:sz="4" w:space="0"/>
            </w:tcBorders>
            <w:vAlign w:val="center"/>
          </w:tcPr>
          <w:p w14:paraId="253EAB0F">
            <w:pPr>
              <w:pageBreakBefore w:val="0"/>
              <w:widowControl/>
              <w:kinsoku/>
              <w:wordWrap/>
              <w:overflowPunct/>
              <w:topLinePunct w:val="0"/>
              <w:autoSpaceDE/>
              <w:autoSpaceDN/>
              <w:bidi w:val="0"/>
              <w:spacing w:line="360" w:lineRule="auto"/>
              <w:jc w:val="left"/>
              <w:rPr>
                <w:rFonts w:hint="default" w:ascii="Times New Roman" w:hAnsi="Times New Roman" w:eastAsia="宋体" w:cs="Times New Roman"/>
                <w:color w:val="auto"/>
                <w:sz w:val="24"/>
                <w:szCs w:val="24"/>
                <w:highlight w:val="none"/>
              </w:rPr>
            </w:pP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627789D">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采购人：</w:t>
            </w:r>
            <w:r>
              <w:rPr>
                <w:rFonts w:hint="default" w:ascii="Times New Roman" w:hAnsi="Times New Roman" w:eastAsia="宋体" w:cs="Times New Roman"/>
                <w:color w:val="auto"/>
                <w:sz w:val="24"/>
                <w:szCs w:val="24"/>
                <w:highlight w:val="none"/>
                <w:lang w:eastAsia="zh-CN"/>
              </w:rPr>
              <w:t>乌鲁木齐市第七十中学</w:t>
            </w:r>
          </w:p>
        </w:tc>
      </w:tr>
      <w:tr w14:paraId="0F58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7"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189D3EC7">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186E3B1">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集中采购机构</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EAFF173">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执行组织：乌鲁木齐市公共资源交易中心（乌鲁木齐市政府采购中心）</w:t>
            </w:r>
          </w:p>
          <w:p w14:paraId="63B04DCC">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咨询组织：乌鲁木齐市公共资源交易中心（乌鲁木齐市政府采购中心）</w:t>
            </w:r>
          </w:p>
          <w:p w14:paraId="5C3D14FE">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地址：乌鲁木齐市水磨沟区准噶尔街299号益民大厦A座5层</w:t>
            </w:r>
          </w:p>
          <w:p w14:paraId="6FC0AF4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rPr>
              <w:t xml:space="preserve">联系人： </w:t>
            </w:r>
            <w:r>
              <w:rPr>
                <w:rFonts w:hint="default" w:ascii="Times New Roman" w:hAnsi="Times New Roman" w:eastAsia="宋体" w:cs="Times New Roman"/>
                <w:color w:val="0000FF"/>
                <w:sz w:val="24"/>
                <w:szCs w:val="24"/>
                <w:highlight w:val="none"/>
                <w:lang w:val="en-US" w:eastAsia="zh-CN"/>
              </w:rPr>
              <w:t>王磊</w:t>
            </w:r>
          </w:p>
          <w:p w14:paraId="61D47EB3">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0000FF"/>
                <w:sz w:val="24"/>
                <w:szCs w:val="24"/>
                <w:highlight w:val="none"/>
              </w:rPr>
              <w:t>联系电话：0991-4184</w:t>
            </w:r>
            <w:r>
              <w:rPr>
                <w:rFonts w:hint="default" w:ascii="Times New Roman" w:hAnsi="Times New Roman" w:eastAsia="宋体" w:cs="Times New Roman"/>
                <w:color w:val="0000FF"/>
                <w:sz w:val="24"/>
                <w:szCs w:val="24"/>
                <w:highlight w:val="none"/>
                <w:lang w:val="en-US" w:eastAsia="zh-CN"/>
              </w:rPr>
              <w:t>459</w:t>
            </w:r>
          </w:p>
        </w:tc>
      </w:tr>
      <w:tr w14:paraId="5567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31FE2658">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8BAB6D">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代理费支付方式</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02A55B">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☑无需支付</w:t>
            </w:r>
          </w:p>
          <w:p w14:paraId="773A3B45">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□采购人支付</w:t>
            </w:r>
          </w:p>
          <w:p w14:paraId="56FFBBC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□供应商支付</w:t>
            </w:r>
          </w:p>
          <w:p w14:paraId="1508A61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□其他</w:t>
            </w:r>
            <w:r>
              <w:rPr>
                <w:rFonts w:hint="default" w:ascii="Times New Roman" w:hAnsi="Times New Roman" w:eastAsia="宋体" w:cs="Times New Roman"/>
                <w:color w:val="auto"/>
                <w:sz w:val="24"/>
                <w:szCs w:val="24"/>
                <w:highlight w:val="none"/>
                <w:u w:val="single"/>
              </w:rPr>
              <w:t xml:space="preserve">        </w:t>
            </w:r>
          </w:p>
        </w:tc>
      </w:tr>
      <w:tr w14:paraId="46B1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74026AD1">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8690648">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本项目是否属于政府购买服务</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3B19F97">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☑否</w:t>
            </w:r>
          </w:p>
          <w:p w14:paraId="66CBF10F">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□是（公益一类事业单位、使用事业编制且由财政拨款保障的群团组织，不得作为承接主体）</w:t>
            </w:r>
          </w:p>
        </w:tc>
      </w:tr>
      <w:tr w14:paraId="1A41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42907916">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5</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1E5D4C">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投标保证金</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8AF52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1.金额：</w:t>
            </w:r>
          </w:p>
          <w:p w14:paraId="4E8C7651">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☑免收</w:t>
            </w:r>
          </w:p>
          <w:p w14:paraId="4D90B6D2">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□预算金额的</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rPr>
              <w:t>%。</w:t>
            </w:r>
          </w:p>
          <w:p w14:paraId="05808481">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□定额收取：人民币</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rPr>
              <w:t>元。</w:t>
            </w:r>
          </w:p>
          <w:p w14:paraId="16616617">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2.支付方式：</w:t>
            </w:r>
          </w:p>
          <w:p w14:paraId="3A21674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投标人可自主选择以支票、汇票、本票、电汇、转账、网银、保函等非现金形式缴纳或提交保证金。</w:t>
            </w:r>
          </w:p>
          <w:p w14:paraId="516D4074">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3.收取单位：                            </w:t>
            </w:r>
          </w:p>
          <w:p w14:paraId="5E0A23D7">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4.收取账号：              </w:t>
            </w:r>
          </w:p>
          <w:p w14:paraId="4789D2E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注意事项：</w:t>
            </w:r>
          </w:p>
          <w:p w14:paraId="3BC44AB3">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1.以上各类机构出具的以担保函、保证保险承担责任的方式均须满足无条件见索即付条件。</w:t>
            </w:r>
          </w:p>
          <w:p w14:paraId="7322788A">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2.以担保函、保证保险形式缴纳投标保证金的，受益人和收取单位须为采购人。</w:t>
            </w:r>
          </w:p>
        </w:tc>
      </w:tr>
      <w:tr w14:paraId="6D4F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3A6B2755">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6</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B580479">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答疑会</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7292363">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组织</w:t>
            </w:r>
          </w:p>
          <w:p w14:paraId="3352732D">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不组织</w:t>
            </w:r>
          </w:p>
          <w:p w14:paraId="4C3A7C6C">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答疑会时间：</w:t>
            </w:r>
            <w:r>
              <w:rPr>
                <w:rFonts w:hint="eastAsia" w:ascii="Times New Roman" w:hAnsi="Times New Roman" w:cs="Times New Roman"/>
                <w:color w:val="0000FF"/>
                <w:sz w:val="24"/>
                <w:szCs w:val="24"/>
                <w:highlight w:val="none"/>
                <w:lang w:val="en-US" w:eastAsia="zh-CN"/>
              </w:rPr>
              <w:t>/</w:t>
            </w:r>
          </w:p>
          <w:p w14:paraId="594EE56C">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答疑会地点：</w:t>
            </w:r>
            <w:r>
              <w:rPr>
                <w:rFonts w:hint="eastAsia" w:ascii="Times New Roman" w:hAnsi="Times New Roman" w:cs="Times New Roman"/>
                <w:color w:val="auto"/>
                <w:sz w:val="24"/>
                <w:szCs w:val="24"/>
                <w:highlight w:val="none"/>
                <w:lang w:val="en-US" w:eastAsia="zh-CN"/>
              </w:rPr>
              <w:t>/</w:t>
            </w:r>
          </w:p>
        </w:tc>
      </w:tr>
      <w:tr w14:paraId="6285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6531989C">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7</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2E4DA1">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开标</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08392B0">
            <w:pPr>
              <w:pageBreakBefore w:val="0"/>
              <w:kinsoku/>
              <w:wordWrap/>
              <w:overflowPunct/>
              <w:topLinePunct w:val="0"/>
              <w:autoSpaceDE/>
              <w:autoSpaceDN/>
              <w:bidi w:val="0"/>
              <w:spacing w:line="360" w:lineRule="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t>时间：</w:t>
            </w:r>
            <w:bookmarkStart w:id="45" w:name="EB80da1a6663d145c3a77179f1494cf52b"/>
            <w:r>
              <w:rPr>
                <w:rFonts w:hint="default" w:ascii="Times New Roman" w:hAnsi="Times New Roman" w:eastAsia="宋体" w:cs="Times New Roman"/>
                <w:color w:val="0000FF"/>
                <w:sz w:val="24"/>
                <w:szCs w:val="24"/>
                <w:highlight w:val="none"/>
              </w:rPr>
              <w:t>202</w:t>
            </w:r>
            <w:r>
              <w:rPr>
                <w:rFonts w:hint="default" w:ascii="Times New Roman" w:hAnsi="Times New Roman" w:eastAsia="宋体" w:cs="Times New Roman"/>
                <w:color w:val="0000FF"/>
                <w:sz w:val="24"/>
                <w:szCs w:val="24"/>
                <w:highlight w:val="none"/>
                <w:lang w:val="en-US" w:eastAsia="zh-CN"/>
              </w:rPr>
              <w:t>6</w:t>
            </w:r>
            <w:r>
              <w:rPr>
                <w:rFonts w:hint="default" w:ascii="Times New Roman" w:hAnsi="Times New Roman" w:eastAsia="宋体" w:cs="Times New Roman"/>
                <w:color w:val="0000FF"/>
                <w:sz w:val="24"/>
                <w:szCs w:val="24"/>
                <w:highlight w:val="none"/>
              </w:rPr>
              <w:t>年</w:t>
            </w:r>
            <w:r>
              <w:rPr>
                <w:rFonts w:hint="eastAsia" w:ascii="Times New Roman" w:hAnsi="Times New Roman" w:cs="Times New Roman"/>
                <w:color w:val="0000FF"/>
                <w:sz w:val="24"/>
                <w:szCs w:val="24"/>
                <w:highlight w:val="none"/>
                <w:lang w:val="en-US" w:eastAsia="zh-CN"/>
              </w:rPr>
              <w:t>10</w:t>
            </w:r>
            <w:r>
              <w:rPr>
                <w:rFonts w:hint="default" w:ascii="Times New Roman" w:hAnsi="Times New Roman" w:eastAsia="宋体" w:cs="Times New Roman"/>
                <w:color w:val="0000FF"/>
                <w:sz w:val="24"/>
                <w:szCs w:val="24"/>
                <w:highlight w:val="none"/>
              </w:rPr>
              <w:t>月</w:t>
            </w:r>
            <w:r>
              <w:rPr>
                <w:rFonts w:hint="eastAsia" w:ascii="Times New Roman" w:hAnsi="Times New Roman" w:eastAsia="宋体" w:cs="Times New Roman"/>
                <w:color w:val="0000FF"/>
                <w:sz w:val="24"/>
                <w:szCs w:val="24"/>
                <w:highlight w:val="none"/>
                <w:lang w:val="en-US" w:eastAsia="zh-CN"/>
              </w:rPr>
              <w:t>2</w:t>
            </w:r>
            <w:r>
              <w:rPr>
                <w:rFonts w:hint="eastAsia" w:ascii="Times New Roman" w:hAnsi="Times New Roman" w:cs="Times New Roman"/>
                <w:color w:val="0000FF"/>
                <w:sz w:val="24"/>
                <w:szCs w:val="24"/>
                <w:highlight w:val="none"/>
                <w:lang w:val="en-US" w:eastAsia="zh-CN"/>
              </w:rPr>
              <w:t>1</w:t>
            </w:r>
            <w:r>
              <w:rPr>
                <w:rFonts w:hint="default" w:ascii="Times New Roman" w:hAnsi="Times New Roman" w:eastAsia="宋体" w:cs="Times New Roman"/>
                <w:color w:val="0000FF"/>
                <w:sz w:val="24"/>
                <w:szCs w:val="24"/>
                <w:highlight w:val="none"/>
              </w:rPr>
              <w:t>日 11：00</w:t>
            </w:r>
            <w:bookmarkEnd w:id="45"/>
          </w:p>
          <w:p w14:paraId="39E6F309">
            <w:pPr>
              <w:pageBreakBefore w:val="0"/>
              <w:kinsoku/>
              <w:wordWrap/>
              <w:overflowPunct/>
              <w:topLinePunct w:val="0"/>
              <w:autoSpaceDE/>
              <w:autoSpaceDN/>
              <w:bidi w:val="0"/>
              <w:spacing w:line="360" w:lineRule="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t>地点：网上开评标大厅</w:t>
            </w:r>
          </w:p>
          <w:p w14:paraId="773A5352">
            <w:pPr>
              <w:pageBreakBefore w:val="0"/>
              <w:kinsoku/>
              <w:wordWrap/>
              <w:overflowPunct/>
              <w:topLinePunct w:val="0"/>
              <w:autoSpaceDE/>
              <w:autoSpaceDN/>
              <w:bidi w:val="0"/>
              <w:spacing w:line="360" w:lineRule="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t>投标截止时间：202</w:t>
            </w:r>
            <w:r>
              <w:rPr>
                <w:rFonts w:hint="default" w:ascii="Times New Roman" w:hAnsi="Times New Roman" w:eastAsia="宋体" w:cs="Times New Roman"/>
                <w:color w:val="0000FF"/>
                <w:sz w:val="24"/>
                <w:szCs w:val="24"/>
                <w:highlight w:val="none"/>
                <w:lang w:val="en-US" w:eastAsia="zh-CN"/>
              </w:rPr>
              <w:t>6</w:t>
            </w:r>
            <w:r>
              <w:rPr>
                <w:rFonts w:hint="default" w:ascii="Times New Roman" w:hAnsi="Times New Roman" w:eastAsia="宋体" w:cs="Times New Roman"/>
                <w:color w:val="0000FF"/>
                <w:sz w:val="24"/>
                <w:szCs w:val="24"/>
                <w:highlight w:val="none"/>
              </w:rPr>
              <w:t>年</w:t>
            </w:r>
            <w:r>
              <w:rPr>
                <w:rFonts w:hint="eastAsia" w:ascii="Times New Roman" w:hAnsi="Times New Roman" w:cs="Times New Roman"/>
                <w:color w:val="0000FF"/>
                <w:sz w:val="24"/>
                <w:szCs w:val="24"/>
                <w:highlight w:val="none"/>
                <w:lang w:val="en-US" w:eastAsia="zh-CN"/>
              </w:rPr>
              <w:t>10</w:t>
            </w:r>
            <w:r>
              <w:rPr>
                <w:rFonts w:hint="default" w:ascii="Times New Roman" w:hAnsi="Times New Roman" w:eastAsia="宋体" w:cs="Times New Roman"/>
                <w:color w:val="0000FF"/>
                <w:sz w:val="24"/>
                <w:szCs w:val="24"/>
                <w:highlight w:val="none"/>
              </w:rPr>
              <w:t>月</w:t>
            </w:r>
            <w:r>
              <w:rPr>
                <w:rFonts w:hint="eastAsia" w:ascii="Times New Roman" w:hAnsi="Times New Roman" w:cs="Times New Roman"/>
                <w:color w:val="0000FF"/>
                <w:sz w:val="24"/>
                <w:szCs w:val="24"/>
                <w:highlight w:val="none"/>
                <w:lang w:val="en-US" w:eastAsia="zh-CN"/>
              </w:rPr>
              <w:t>21</w:t>
            </w:r>
            <w:r>
              <w:rPr>
                <w:rFonts w:hint="default" w:ascii="Times New Roman" w:hAnsi="Times New Roman" w:eastAsia="宋体" w:cs="Times New Roman"/>
                <w:color w:val="0000FF"/>
                <w:sz w:val="24"/>
                <w:szCs w:val="24"/>
                <w:highlight w:val="none"/>
              </w:rPr>
              <w:t>日 11：00</w:t>
            </w:r>
          </w:p>
          <w:p w14:paraId="2F781BF5">
            <w:pPr>
              <w:pStyle w:val="23"/>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投标人登录政采云平台https://www.zcygov.cn/，进入项目采购-开标评标-右边选择对应项目点击“进入项目”进入开标大厅。</w:t>
            </w:r>
          </w:p>
        </w:tc>
      </w:tr>
      <w:tr w14:paraId="2C48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46ABCDA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8</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3AC591D">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开标方式</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A1262D">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□现场开标</w:t>
            </w:r>
          </w:p>
          <w:p w14:paraId="5F98E29D">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☑网上不见面开标（投标人无需到交易中心开标厅）</w:t>
            </w:r>
          </w:p>
        </w:tc>
      </w:tr>
      <w:tr w14:paraId="4098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7"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5F0175B2">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t>9</w:t>
            </w:r>
          </w:p>
        </w:tc>
        <w:tc>
          <w:tcPr>
            <w:tcW w:w="1767" w:type="dxa"/>
            <w:tcBorders>
              <w:top w:val="single" w:color="auto" w:sz="4" w:space="0"/>
              <w:left w:val="single" w:color="auto" w:sz="4" w:space="0"/>
              <w:bottom w:val="single" w:color="auto" w:sz="4" w:space="0"/>
              <w:right w:val="single" w:color="auto" w:sz="4" w:space="0"/>
            </w:tcBorders>
            <w:vAlign w:val="center"/>
          </w:tcPr>
          <w:p w14:paraId="06A15896">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电子投标文件解密方式及要求</w:t>
            </w:r>
          </w:p>
        </w:tc>
        <w:tc>
          <w:tcPr>
            <w:tcW w:w="7360" w:type="dxa"/>
            <w:tcBorders>
              <w:top w:val="single" w:color="auto" w:sz="4" w:space="0"/>
              <w:left w:val="single" w:color="auto" w:sz="4" w:space="0"/>
              <w:bottom w:val="single" w:color="auto" w:sz="4" w:space="0"/>
              <w:right w:val="single" w:color="auto" w:sz="4" w:space="0"/>
            </w:tcBorders>
            <w:vAlign w:val="center"/>
          </w:tcPr>
          <w:p w14:paraId="566C69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投标人使用CA数字证书登录系统进行解密，由于自身原因导致解密失败的，将视为撤销其投标文件，投标无效。</w:t>
            </w:r>
          </w:p>
          <w:p w14:paraId="5B55D35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sz w:val="24"/>
                <w:szCs w:val="24"/>
              </w:rPr>
              <w:t>解密时长：</w:t>
            </w:r>
            <w:r>
              <w:rPr>
                <w:rFonts w:hint="eastAsia" w:ascii="宋体" w:hAnsi="宋体" w:eastAsia="宋体" w:cs="宋体"/>
                <w:sz w:val="24"/>
                <w:szCs w:val="24"/>
                <w:lang w:val="en-US" w:eastAsia="zh-CN"/>
              </w:rPr>
              <w:t>发出解密指令后30 分钟内完成在线解密。</w:t>
            </w:r>
          </w:p>
        </w:tc>
      </w:tr>
      <w:tr w14:paraId="423D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37BD03AC">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10</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59F3AED">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投标有效期 </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66E2D8C">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自提交</w:t>
            </w:r>
            <w:r>
              <w:rPr>
                <w:rFonts w:hint="default" w:ascii="Times New Roman" w:hAnsi="Times New Roman" w:eastAsia="宋体" w:cs="Times New Roman"/>
                <w:bCs/>
                <w:color w:val="auto"/>
                <w:sz w:val="24"/>
                <w:szCs w:val="24"/>
                <w:highlight w:val="none"/>
              </w:rPr>
              <w:t>投标文件</w:t>
            </w:r>
            <w:r>
              <w:rPr>
                <w:rFonts w:hint="default" w:ascii="Times New Roman" w:hAnsi="Times New Roman" w:eastAsia="宋体" w:cs="Times New Roman"/>
                <w:color w:val="auto"/>
                <w:sz w:val="24"/>
                <w:szCs w:val="24"/>
                <w:highlight w:val="none"/>
              </w:rPr>
              <w:t>的截止之日起</w:t>
            </w:r>
            <w:bookmarkStart w:id="46" w:name="EBb5a48dd81e9f4f258d5dcb1a28658539"/>
            <w:r>
              <w:rPr>
                <w:rFonts w:hint="default" w:ascii="Times New Roman" w:hAnsi="Times New Roman" w:eastAsia="宋体" w:cs="Times New Roman"/>
                <w:color w:val="auto"/>
                <w:sz w:val="24"/>
                <w:szCs w:val="24"/>
                <w:highlight w:val="none"/>
              </w:rPr>
              <w:t>90</w:t>
            </w:r>
            <w:bookmarkEnd w:id="46"/>
            <w:r>
              <w:rPr>
                <w:rFonts w:hint="default" w:ascii="Times New Roman" w:hAnsi="Times New Roman" w:eastAsia="宋体" w:cs="Times New Roman"/>
                <w:color w:val="auto"/>
                <w:sz w:val="24"/>
                <w:szCs w:val="24"/>
                <w:highlight w:val="none"/>
              </w:rPr>
              <w:t>日。</w:t>
            </w:r>
          </w:p>
        </w:tc>
      </w:tr>
      <w:tr w14:paraId="6123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0"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476FF4C0">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1</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349E5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评标方法</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AE75975">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☑综合评分法</w:t>
            </w:r>
          </w:p>
          <w:p w14:paraId="06E27ED0">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使用综合评分法时，是否为单一产品采购：</w:t>
            </w:r>
          </w:p>
          <w:p w14:paraId="0E227764">
            <w:pPr>
              <w:pageBreakBefore w:val="0"/>
              <w:kinsoku/>
              <w:wordWrap/>
              <w:overflowPunct/>
              <w:topLinePunct w:val="0"/>
              <w:autoSpaceDE/>
              <w:autoSpaceDN/>
              <w:bidi w:val="0"/>
              <w:adjustRightInd w:val="0"/>
              <w:snapToGrid w:val="0"/>
              <w:spacing w:line="360" w:lineRule="auto"/>
              <w:ind w:firstLine="240" w:firstLineChars="1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 产品名称：</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w:t>
            </w:r>
          </w:p>
          <w:p w14:paraId="315BF998">
            <w:pPr>
              <w:pageBreakBefore w:val="0"/>
              <w:kinsoku/>
              <w:wordWrap/>
              <w:overflowPunct/>
              <w:topLinePunct w:val="0"/>
              <w:autoSpaceDE/>
              <w:autoSpaceDN/>
              <w:bidi w:val="0"/>
              <w:spacing w:line="360" w:lineRule="auto"/>
              <w:ind w:firstLine="240" w:firstLineChars="1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否 核心产品名称：</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lang w:val="en-US" w:eastAsia="zh-CN"/>
              </w:rPr>
              <w:t xml:space="preserve">图形计算器、学生智能笔 </w:t>
            </w:r>
            <w:r>
              <w:rPr>
                <w:rFonts w:hint="default" w:ascii="Times New Roman" w:hAnsi="Times New Roman" w:eastAsia="宋体" w:cs="Times New Roman"/>
                <w:color w:val="auto"/>
                <w:sz w:val="24"/>
                <w:szCs w:val="24"/>
                <w:highlight w:val="none"/>
                <w:u w:val="single"/>
              </w:rPr>
              <w:t xml:space="preserve"> </w:t>
            </w:r>
          </w:p>
          <w:p w14:paraId="40FBE0F0">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□最低评标价法</w:t>
            </w:r>
          </w:p>
        </w:tc>
      </w:tr>
      <w:tr w14:paraId="293D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0"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056BB2DC">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2</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B9C8B89">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评审方式</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2AE6E8E">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bookmarkStart w:id="47" w:name="EB6390e1a875a6456ea470e11a2e4b3fc4"/>
            <w:r>
              <w:rPr>
                <w:rFonts w:hint="default" w:ascii="Times New Roman" w:hAnsi="Times New Roman" w:eastAsia="宋体" w:cs="Times New Roman"/>
                <w:color w:val="auto"/>
                <w:sz w:val="24"/>
                <w:szCs w:val="24"/>
                <w:highlight w:val="none"/>
              </w:rPr>
              <w:t>☑明标</w:t>
            </w:r>
          </w:p>
          <w:p w14:paraId="797EF169">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□暗标（编制投标文件时商务技术文件中请勿出现投标人名称、签章等任何标识或暗示投标人单位名称或人员姓名的标记。）</w:t>
            </w:r>
            <w:bookmarkEnd w:id="47"/>
          </w:p>
        </w:tc>
      </w:tr>
      <w:tr w14:paraId="0396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2"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28FB2A77">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3</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DA4A707">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是否可以</w:t>
            </w:r>
          </w:p>
          <w:p w14:paraId="77AE748B">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兼投兼中</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79144E">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bookmarkStart w:id="48" w:name="EBd27502454899472cac73b71f47ed484c"/>
            <w:r>
              <w:rPr>
                <w:rFonts w:hint="default" w:ascii="Times New Roman" w:hAnsi="Times New Roman" w:eastAsia="宋体" w:cs="Times New Roman"/>
                <w:color w:val="auto"/>
                <w:sz w:val="24"/>
                <w:szCs w:val="24"/>
                <w:highlight w:val="none"/>
              </w:rPr>
              <w:t>□兼投兼中（本项目各标段允许兼投，且允许兼中。）</w:t>
            </w:r>
          </w:p>
          <w:p w14:paraId="6DDF55F1">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兼投不兼中（本项目各标段允许兼投，但不允许兼中。）</w:t>
            </w:r>
            <w:bookmarkEnd w:id="48"/>
          </w:p>
        </w:tc>
      </w:tr>
      <w:tr w14:paraId="3B5F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6BE7CC8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4</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2B81F5">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服务期/供货期</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8C378B">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0000FF"/>
                <w:sz w:val="24"/>
                <w:szCs w:val="24"/>
                <w:highlight w:val="none"/>
                <w:lang w:eastAsia="zh-CN"/>
              </w:rPr>
              <w:t>供货期</w:t>
            </w:r>
            <w:r>
              <w:rPr>
                <w:rFonts w:hint="default" w:ascii="Times New Roman" w:hAnsi="Times New Roman" w:eastAsia="宋体" w:cs="Times New Roman"/>
                <w:color w:val="0000FF"/>
                <w:sz w:val="24"/>
                <w:szCs w:val="24"/>
                <w:highlight w:val="none"/>
              </w:rPr>
              <w:t>自签订合同之日起</w:t>
            </w:r>
            <w:r>
              <w:rPr>
                <w:rFonts w:hint="default" w:ascii="Times New Roman" w:hAnsi="Times New Roman" w:eastAsia="宋体" w:cs="Times New Roman"/>
                <w:color w:val="0000FF"/>
                <w:sz w:val="24"/>
                <w:szCs w:val="24"/>
                <w:highlight w:val="none"/>
                <w:lang w:val="en-US" w:eastAsia="zh-CN"/>
              </w:rPr>
              <w:t>30个日历日内完成供货安装。</w:t>
            </w:r>
          </w:p>
        </w:tc>
      </w:tr>
      <w:tr w14:paraId="180D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1C25F50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5</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13A7E1">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现场勘察事宜 </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02F29E">
            <w:pPr>
              <w:pageBreakBefore w:val="0"/>
              <w:tabs>
                <w:tab w:val="left" w:pos="630"/>
              </w:tabs>
              <w:kinsoku/>
              <w:wordWrap/>
              <w:overflowPunct/>
              <w:topLinePunct w:val="0"/>
              <w:autoSpaceDE/>
              <w:autoSpaceDN/>
              <w:bidi w:val="0"/>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投标人自行现场勘察，并领取相关资料（如有）,详情咨询采购人。</w:t>
            </w:r>
          </w:p>
          <w:p w14:paraId="265B74C0">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是否需要出具勘察证明：□是    ☑否</w:t>
            </w:r>
          </w:p>
          <w:p w14:paraId="4A13B529">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采购人在现场勘察中介绍的项目场地和相关的周边环境情况，仅供投标人在编制投标文件时参考，采购人和采购代理机构不对投标人据此作出的判断和决策负责。</w:t>
            </w:r>
          </w:p>
        </w:tc>
      </w:tr>
      <w:tr w14:paraId="76D1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7EF5442D">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6</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5A86FA">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样品提供的规定</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C19C48F">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□要求提供</w:t>
            </w:r>
          </w:p>
          <w:p w14:paraId="3D630C5D">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样品提交要求：</w:t>
            </w:r>
          </w:p>
          <w:p w14:paraId="6A050877">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u w:val="single"/>
              </w:rPr>
            </w:pPr>
            <w:r>
              <w:rPr>
                <w:rFonts w:hint="default" w:ascii="Times New Roman" w:hAnsi="Times New Roman" w:eastAsia="宋体" w:cs="Times New Roman"/>
                <w:color w:val="auto"/>
                <w:sz w:val="24"/>
                <w:szCs w:val="24"/>
                <w:highlight w:val="none"/>
              </w:rPr>
              <w:t>1.递交时间：</w:t>
            </w:r>
            <w:r>
              <w:rPr>
                <w:rFonts w:hint="default" w:ascii="Times New Roman" w:hAnsi="Times New Roman" w:eastAsia="宋体" w:cs="Times New Roman"/>
                <w:color w:val="auto"/>
                <w:sz w:val="24"/>
                <w:szCs w:val="24"/>
                <w:highlight w:val="none"/>
                <w:u w:val="single"/>
              </w:rPr>
              <w:t xml:space="preserve">                   </w:t>
            </w:r>
          </w:p>
          <w:p w14:paraId="77D2B738">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u w:val="single"/>
              </w:rPr>
            </w:pPr>
            <w:r>
              <w:rPr>
                <w:rFonts w:hint="default" w:ascii="Times New Roman" w:hAnsi="Times New Roman" w:eastAsia="宋体" w:cs="Times New Roman"/>
                <w:color w:val="auto"/>
                <w:sz w:val="24"/>
                <w:szCs w:val="24"/>
                <w:highlight w:val="none"/>
              </w:rPr>
              <w:t>2.递交地点：</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rPr>
              <w:t>（逾期提供的样品将不予接受）</w:t>
            </w:r>
          </w:p>
          <w:p w14:paraId="10BA083C">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3.中标人样品保管、封存及退还：</w:t>
            </w:r>
            <w:r>
              <w:rPr>
                <w:rFonts w:hint="default" w:ascii="Times New Roman" w:hAnsi="Times New Roman" w:eastAsia="宋体" w:cs="Times New Roman"/>
                <w:color w:val="auto"/>
                <w:sz w:val="24"/>
                <w:szCs w:val="24"/>
                <w:highlight w:val="none"/>
                <w:u w:val="single"/>
              </w:rPr>
              <w:t xml:space="preserve">中标通知书发出后，由采购人负责保管、封存及退还 </w:t>
            </w:r>
            <w:r>
              <w:rPr>
                <w:rFonts w:hint="default" w:ascii="Times New Roman" w:hAnsi="Times New Roman" w:eastAsia="宋体" w:cs="Times New Roman"/>
                <w:color w:val="auto"/>
                <w:sz w:val="24"/>
                <w:szCs w:val="24"/>
                <w:highlight w:val="none"/>
              </w:rPr>
              <w:t>。</w:t>
            </w:r>
          </w:p>
          <w:p w14:paraId="44977566">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☑不要求提供</w:t>
            </w:r>
          </w:p>
        </w:tc>
      </w:tr>
      <w:tr w14:paraId="002C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2E71FD6E">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7</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62C5A8">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是否采购进口产品</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26838A">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bookmarkStart w:id="49" w:name="EB48e32782f5f04c94bc23cba1139bf8d7"/>
            <w:r>
              <w:rPr>
                <w:rFonts w:hint="default" w:ascii="Times New Roman" w:hAnsi="Times New Roman" w:eastAsia="宋体" w:cs="Times New Roman"/>
                <w:color w:val="auto"/>
                <w:sz w:val="24"/>
                <w:szCs w:val="24"/>
                <w:highlight w:val="none"/>
              </w:rPr>
              <w:t>□是</w:t>
            </w:r>
          </w:p>
          <w:p w14:paraId="5C8EC65D">
            <w:pPr>
              <w:pageBreakBefore w:val="0"/>
              <w:kinsoku/>
              <w:wordWrap/>
              <w:overflowPunct/>
              <w:topLinePunct w:val="0"/>
              <w:autoSpaceDE/>
              <w:autoSpaceDN/>
              <w:bidi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☑否</w:t>
            </w:r>
            <w:bookmarkEnd w:id="49"/>
          </w:p>
        </w:tc>
      </w:tr>
      <w:tr w14:paraId="7A8E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71BB34D5">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8</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7EEC8E8">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联合体投标</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1E573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bookmarkStart w:id="50" w:name="EBbf7feb50702a4cf7907ae51698d401da"/>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接受</w:t>
            </w:r>
          </w:p>
          <w:p w14:paraId="2D27E389">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不接受</w:t>
            </w:r>
            <w:bookmarkEnd w:id="50"/>
          </w:p>
        </w:tc>
      </w:tr>
      <w:tr w14:paraId="71C5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1DC9E6FE">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9</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E4F0FD1">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非主体、非关键性工作是否允许分包</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5D8F8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□允许</w:t>
            </w:r>
          </w:p>
          <w:p w14:paraId="38588063">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不允许</w:t>
            </w:r>
          </w:p>
        </w:tc>
      </w:tr>
      <w:tr w14:paraId="4516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2D68D851">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20</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CF8850">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扶持中小企业优惠政策</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AFA0AAE">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☑选择 □不选择</w:t>
            </w:r>
          </w:p>
        </w:tc>
      </w:tr>
      <w:tr w14:paraId="214A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9621" w:type="dxa"/>
            <w:gridSpan w:val="3"/>
            <w:tcBorders>
              <w:top w:val="single" w:color="auto" w:sz="4" w:space="0"/>
              <w:left w:val="single" w:color="auto" w:sz="4" w:space="0"/>
              <w:bottom w:val="single" w:color="auto" w:sz="4" w:space="0"/>
              <w:right w:val="single" w:color="auto" w:sz="4" w:space="0"/>
            </w:tcBorders>
            <w:vAlign w:val="center"/>
          </w:tcPr>
          <w:p w14:paraId="4FD525E0">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 供应商提供的货物、工程或者服务符合下列情形的，享受中小企业扶持政策：在</w:t>
            </w:r>
            <w:r>
              <w:rPr>
                <w:rFonts w:hint="default" w:ascii="Times New Roman" w:hAnsi="Times New Roman" w:eastAsia="宋体" w:cs="Times New Roman"/>
                <w:b/>
                <w:bCs/>
                <w:color w:val="auto"/>
                <w:sz w:val="24"/>
                <w:szCs w:val="24"/>
                <w:highlight w:val="none"/>
              </w:rPr>
              <w:t>货物采购</w:t>
            </w:r>
            <w:r>
              <w:rPr>
                <w:rFonts w:hint="default" w:ascii="Times New Roman" w:hAnsi="Times New Roman" w:eastAsia="宋体" w:cs="Times New Roman"/>
                <w:color w:val="auto"/>
                <w:sz w:val="24"/>
                <w:szCs w:val="24"/>
                <w:highlight w:val="none"/>
              </w:rPr>
              <w:t>项目中，货物由中小企业制造，即货物由中小企业生产且使用该中小企业商号或者注册商标；在</w:t>
            </w:r>
            <w:r>
              <w:rPr>
                <w:rFonts w:hint="default" w:ascii="Times New Roman" w:hAnsi="Times New Roman" w:eastAsia="宋体" w:cs="Times New Roman"/>
                <w:b/>
                <w:bCs/>
                <w:color w:val="auto"/>
                <w:sz w:val="24"/>
                <w:szCs w:val="24"/>
                <w:highlight w:val="none"/>
              </w:rPr>
              <w:t>工程采购</w:t>
            </w:r>
            <w:r>
              <w:rPr>
                <w:rFonts w:hint="default" w:ascii="Times New Roman" w:hAnsi="Times New Roman" w:eastAsia="宋体" w:cs="Times New Roman"/>
                <w:color w:val="auto"/>
                <w:sz w:val="24"/>
                <w:szCs w:val="24"/>
                <w:highlight w:val="none"/>
              </w:rPr>
              <w:t>项目中，工程由中小企业承建，即工程施工单位为中小企业；在</w:t>
            </w:r>
            <w:r>
              <w:rPr>
                <w:rFonts w:hint="default" w:ascii="Times New Roman" w:hAnsi="Times New Roman" w:eastAsia="宋体" w:cs="Times New Roman"/>
                <w:b/>
                <w:bCs/>
                <w:color w:val="auto"/>
                <w:sz w:val="24"/>
                <w:szCs w:val="24"/>
                <w:highlight w:val="none"/>
              </w:rPr>
              <w:t>服务采购</w:t>
            </w:r>
            <w:r>
              <w:rPr>
                <w:rFonts w:hint="default" w:ascii="Times New Roman" w:hAnsi="Times New Roman" w:eastAsia="宋体" w:cs="Times New Roman"/>
                <w:color w:val="auto"/>
                <w:sz w:val="24"/>
                <w:szCs w:val="24"/>
                <w:highlight w:val="none"/>
              </w:rPr>
              <w:t>项目中，服务由中小企业承接，即提供服务的人员为中小企业依照《中华人民共和国劳动合同法》订立劳动合同的从业人员。</w:t>
            </w:r>
          </w:p>
          <w:p w14:paraId="32ABB03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 对未预留份额专门面向中小企业采购的采购项目，以及预留份额项目中的非预留部分采购包，对小微企业报价给予</w:t>
            </w:r>
            <w:r>
              <w:rPr>
                <w:rFonts w:hint="default" w:ascii="Times New Roman" w:hAnsi="Times New Roman" w:eastAsia="宋体" w:cs="Times New Roman"/>
                <w:color w:val="auto"/>
                <w:sz w:val="24"/>
                <w:szCs w:val="24"/>
                <w:highlight w:val="none"/>
                <w:u w:val="single"/>
              </w:rPr>
              <w:t xml:space="preserve">  /  </w:t>
            </w:r>
            <w:r>
              <w:rPr>
                <w:rFonts w:hint="default" w:ascii="Times New Roman" w:hAnsi="Times New Roman" w:eastAsia="宋体" w:cs="Times New Roman"/>
                <w:color w:val="auto"/>
                <w:sz w:val="24"/>
                <w:szCs w:val="24"/>
                <w:highlight w:val="none"/>
              </w:rPr>
              <w:t>%（工程项目为</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 </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rPr>
              <w:t>%）的扣除，用扣除后的价格参加评审。</w:t>
            </w:r>
          </w:p>
          <w:p w14:paraId="0A70B283">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投标报价指经过报价修正，及因落实政府采购政策进行价格调整后的报价。</w:t>
            </w:r>
          </w:p>
          <w:p w14:paraId="0830F821">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 大中型企业与小微企业组成联合体或者允许大中型企业向一家或者多家小微企业分包的采购项目，对于联合协议或者分包意向协议约定小微企业的合同份额占到合同总金额30%以上的，针对联合体或者大中型企业的报价给予 </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lang w:val="en-US" w:eastAsia="zh-CN"/>
              </w:rPr>
              <w:t xml:space="preserve"> 4</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rPr>
              <w:t>%的扣除后的价格参加评审。</w:t>
            </w:r>
          </w:p>
          <w:p w14:paraId="43065C19">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 小微企业需认真阅读《政府采购促进中小企业发展管理办法》（财库﹝2020﹞46 号）的相关规定后在投标文件中提供《中小企业声明函》。</w:t>
            </w:r>
          </w:p>
          <w:p w14:paraId="18CF53C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 本项目对应的中小企业划分所属行业为：</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0000FF"/>
                <w:sz w:val="24"/>
                <w:szCs w:val="24"/>
                <w:highlight w:val="none"/>
                <w:u w:val="single"/>
                <w:lang w:eastAsia="zh-CN"/>
              </w:rPr>
              <w:t>工业</w:t>
            </w:r>
            <w:r>
              <w:rPr>
                <w:rFonts w:hint="default"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rPr>
              <w:t>（标的所属行业参照《工信部联企业〔2011〕300号》）。</w:t>
            </w:r>
          </w:p>
          <w:p w14:paraId="1B67435A">
            <w:pPr>
              <w:pageBreakBefore w:val="0"/>
              <w:numPr>
                <w:ilvl w:val="0"/>
                <w:numId w:val="1"/>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依照《政府采购促进中小企业发展管理办法》（财库﹝2020﹞46 号）享受扶持政策获得政府采购合同的，小微企业不得将合同分包给大中型企业，中型企业不得将合同分包给大型企业，否则依照《中华人民共和国政府采购法》等国家有关规定追究相应责任。</w:t>
            </w:r>
          </w:p>
          <w:p w14:paraId="2AFC6459">
            <w:pPr>
              <w:pageBreakBefore w:val="0"/>
              <w:numPr>
                <w:ilvl w:val="0"/>
                <w:numId w:val="1"/>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中标、成交供应商享受中小企业扶持政策的随中标成交结果公开中标、成交供应商的《中小企业声明函》。</w:t>
            </w:r>
          </w:p>
          <w:p w14:paraId="6156AEC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 投标人应根据企业自身情况选择（中型企业、小型企业、微型企业）其中之一填写。</w:t>
            </w:r>
          </w:p>
          <w:p w14:paraId="14A3E9EA">
            <w:pPr>
              <w:keepNext/>
              <w:keepLines/>
              <w:pageBreakBefore w:val="0"/>
              <w:kinsoku/>
              <w:wordWrap/>
              <w:overflowPunct/>
              <w:topLinePunct w:val="0"/>
              <w:autoSpaceDE/>
              <w:autoSpaceDN/>
              <w:bidi w:val="0"/>
              <w:spacing w:line="360" w:lineRule="auto"/>
              <w:jc w:val="left"/>
              <w:outlineLvl w:val="3"/>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9. 符合中小企业划分标准的个体工商户视同中小企业。</w:t>
            </w:r>
          </w:p>
        </w:tc>
      </w:tr>
      <w:tr w14:paraId="09A3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146C3236">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1</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97841C">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残疾人福利性单位优惠政策</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84F40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☑选择 □不选择</w:t>
            </w:r>
          </w:p>
        </w:tc>
      </w:tr>
      <w:tr w14:paraId="5705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9621" w:type="dxa"/>
            <w:gridSpan w:val="3"/>
            <w:tcBorders>
              <w:top w:val="single" w:color="auto" w:sz="4" w:space="0"/>
              <w:left w:val="single" w:color="auto" w:sz="4" w:space="0"/>
              <w:bottom w:val="single" w:color="auto" w:sz="4" w:space="0"/>
              <w:right w:val="single" w:color="auto" w:sz="4" w:space="0"/>
            </w:tcBorders>
            <w:vAlign w:val="center"/>
          </w:tcPr>
          <w:p w14:paraId="19063433">
            <w:pPr>
              <w:pageBreakBefore w:val="0"/>
              <w:numPr>
                <w:ilvl w:val="0"/>
                <w:numId w:val="2"/>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投标人须认真阅读《关于促进残疾人就业政府采购政策的通知》，残疾人福利单位须在投标(响应)文件中提供有效的《残疾人福利性单位声明函》。</w:t>
            </w:r>
          </w:p>
          <w:p w14:paraId="63649C6A">
            <w:pPr>
              <w:pageBreakBefore w:val="0"/>
              <w:numPr>
                <w:ilvl w:val="0"/>
                <w:numId w:val="2"/>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残疾人福利性单位视同小型、微型企业，享受预留份额、评审中价格扣除等促进中小企业发展的政府采购政策。</w:t>
            </w:r>
          </w:p>
          <w:p w14:paraId="4C4C2342">
            <w:pPr>
              <w:pageBreakBefore w:val="0"/>
              <w:numPr>
                <w:ilvl w:val="0"/>
                <w:numId w:val="2"/>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残疾人福利性单位属于小型、微型企业的，不重复享受扶持中小企业发展的优惠政策。。</w:t>
            </w:r>
          </w:p>
          <w:p w14:paraId="7FFA5578">
            <w:pPr>
              <w:pageBreakBefore w:val="0"/>
              <w:numPr>
                <w:ilvl w:val="0"/>
                <w:numId w:val="2"/>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中标(成交)供应商为残疾人福利性单位的，随中标(成交)结果同时公告其《残疾人福利性单位声明函》。</w:t>
            </w:r>
          </w:p>
        </w:tc>
      </w:tr>
      <w:tr w14:paraId="20E12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61F81C7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2</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5B5D406">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监狱企业优惠政策</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9B94627">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☑选择 □不选择</w:t>
            </w:r>
          </w:p>
        </w:tc>
      </w:tr>
      <w:tr w14:paraId="218A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9621" w:type="dxa"/>
            <w:gridSpan w:val="3"/>
            <w:tcBorders>
              <w:top w:val="single" w:color="auto" w:sz="4" w:space="0"/>
              <w:left w:val="single" w:color="auto" w:sz="4" w:space="0"/>
              <w:bottom w:val="single" w:color="auto" w:sz="4" w:space="0"/>
              <w:right w:val="single" w:color="auto" w:sz="4" w:space="0"/>
            </w:tcBorders>
            <w:vAlign w:val="center"/>
          </w:tcPr>
          <w:p w14:paraId="0521BEB8">
            <w:pPr>
              <w:pageBreakBefore w:val="0"/>
              <w:numPr>
                <w:ilvl w:val="0"/>
                <w:numId w:val="3"/>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供应商须认真阅读《财政部司法部关于政府采购支持监狱企业发展有关问题的通知》，监狱企业须在投标(响应)文件中提供由省级以上监狱管理局、戒毒管理局(含新疆生产建设兵团)出具的属于监狱企业的证明文件。</w:t>
            </w:r>
          </w:p>
          <w:p w14:paraId="0D1670D8">
            <w:pPr>
              <w:pageBreakBefore w:val="0"/>
              <w:numPr>
                <w:ilvl w:val="0"/>
                <w:numId w:val="3"/>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监狱企业视同小型、微型企业，享受预留份额、评审中价格扣除等促进中小企业发展的政府采购政策。</w:t>
            </w:r>
          </w:p>
          <w:p w14:paraId="3435A5C4">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3.监狱企业属于小型、微型企业的，不重复享受扶持中小企业发展的优惠政策。</w:t>
            </w:r>
          </w:p>
        </w:tc>
      </w:tr>
      <w:tr w14:paraId="3750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2A00A9F6">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3ED6CB0">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落实本国产品标准及相关政策</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A447091">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政府采购活动中既有本国产品又有非本国产品参与竞争的，依据</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国务院办公厅关于在政府采购中实施本国产品标准及相关政策的通知》（国办发〔2025〕34号）对本国产品给予价格评审优惠，对本国产品的报价给予20%的价格扣除，用扣除后的价格参与评审。</w:t>
            </w:r>
          </w:p>
        </w:tc>
      </w:tr>
      <w:tr w14:paraId="4A0E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1D476A8E">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4</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B086D30">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节能产品、环境标志产品</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B308A5">
            <w:pPr>
              <w:pageBreakBefore w:val="0"/>
              <w:numPr>
                <w:ilvl w:val="0"/>
                <w:numId w:val="4"/>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关于政府采购节能产品、环境标志产品的相关规定依据《关于调整优化节能产品、环境标志产品政府采购执行机制的通知》（财库〔2019〕9 号）、《关于印发环境标志产品政府采购品目清单的通知》（财库〔2019〕18号）、《关于印发节能产品政府采购品目清单的通知》（财库〔2019〕19号）的规定。</w:t>
            </w:r>
          </w:p>
          <w:p w14:paraId="443155AF">
            <w:pPr>
              <w:pageBreakBefore w:val="0"/>
              <w:numPr>
                <w:ilvl w:val="0"/>
                <w:numId w:val="4"/>
              </w:numPr>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采购人拟采购的产品属于品目清单范围的，采购人依据国家确定的认证机构出具的、处于有效期之内的节能产品、环境标志产品认证证书，对获得证书的产品实施政府优先采购或强制采购。 </w:t>
            </w:r>
          </w:p>
          <w:p w14:paraId="6D1145DB">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3.如本项目采购产品属于实施政府强制采购品目清单范围的节能产品，则投标人所报产品必须获得国家确定的认证机构出具的、处于有效期之内的节能产品认证证书，否则投标无效。 </w:t>
            </w:r>
          </w:p>
          <w:p w14:paraId="64C970CA">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 非政府强制采购的节能产品或环境标志产品，依据品目清单和认证证书实施政府优先采购。</w:t>
            </w:r>
          </w:p>
          <w:p w14:paraId="0DF68280">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 投标人所投产品如属于节能产品政府采购品目清单、环境标志产品政府采购品目清单范围的，须提供国家确定的认证机构出具的、处于有效期内的产品认证证书，认证证书的产品型号与所投产品不一致的，视为未提供。</w:t>
            </w:r>
          </w:p>
        </w:tc>
      </w:tr>
      <w:tr w14:paraId="6991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2183DA60">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bookmarkStart w:id="51" w:name="_Toc152516861"/>
            <w:bookmarkStart w:id="52" w:name="_Toc256000008"/>
            <w:bookmarkStart w:id="53" w:name="_Toc104293456"/>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5</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A4BDC7">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正版软件</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8F609A4">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1.采购无线局域网产品和含有无线局域网功能的计算机、通信设备、打印机、复印机、投影仪等产品的，优先采购符合国家无线局域网安全标准（GB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15629.11/1102）并通过国家产品认证的产品。其中，国家有特殊信息安全要求的项目必须采购认证产品，否则投标无效。 </w:t>
            </w:r>
          </w:p>
          <w:p w14:paraId="72D915C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 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号）、《国务院办公厅关于印发政府机关使用正版软件管理办法的通知》国办发〔2013〕88号。</w:t>
            </w:r>
          </w:p>
        </w:tc>
      </w:tr>
      <w:tr w14:paraId="00BE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3B4A996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6</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9D1A86">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网络安全专用产品</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F0FBD8">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2号《关于调整&lt;网络关键设备和网络安全专用产品目录&gt;的公告》等相关文件要求，所投标（响应）设备或产品至少符合已由具备资格的机构安全认证合格或安全检测符合要求</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采购人、中标(成交)人双方签订合同及验收环节，应包含上述网络安全要求的条款。</w:t>
            </w:r>
          </w:p>
        </w:tc>
      </w:tr>
      <w:tr w14:paraId="3D4E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51694724">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7</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81D303">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强制性产品认证</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3B7A93C">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采购标的须严格符合所有国家强制性要求，包括但不限于国家强制性标准、法律法规及规范性文件中针对本采购标的设定的强制性条款。供应商所提供的货物、服务或工程须满足上述要求，若存在任何一项不符合，将视为</w:t>
            </w:r>
            <w:r>
              <w:rPr>
                <w:rFonts w:hint="default" w:ascii="Times New Roman" w:hAnsi="Times New Roman" w:eastAsia="宋体" w:cs="Times New Roman"/>
                <w:b/>
                <w:bCs/>
                <w:color w:val="auto"/>
                <w:sz w:val="24"/>
                <w:szCs w:val="24"/>
                <w:highlight w:val="none"/>
              </w:rPr>
              <w:t>投标无效</w:t>
            </w:r>
            <w:r>
              <w:rPr>
                <w:rFonts w:hint="default" w:ascii="Times New Roman" w:hAnsi="Times New Roman" w:eastAsia="宋体" w:cs="Times New Roman"/>
                <w:color w:val="auto"/>
                <w:sz w:val="24"/>
                <w:szCs w:val="24"/>
                <w:highlight w:val="none"/>
              </w:rPr>
              <w:t>。</w:t>
            </w:r>
          </w:p>
        </w:tc>
      </w:tr>
      <w:tr w14:paraId="4379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494" w:type="dxa"/>
            <w:tcBorders>
              <w:top w:val="single" w:color="auto" w:sz="4" w:space="0"/>
              <w:left w:val="single" w:color="auto" w:sz="4" w:space="0"/>
              <w:bottom w:val="single" w:color="auto" w:sz="4" w:space="0"/>
              <w:right w:val="single" w:color="auto" w:sz="4" w:space="0"/>
            </w:tcBorders>
            <w:vAlign w:val="center"/>
          </w:tcPr>
          <w:p w14:paraId="61807045">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28</w:t>
            </w:r>
          </w:p>
        </w:tc>
        <w:tc>
          <w:tcPr>
            <w:tcW w:w="1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6B7E94">
            <w:pPr>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其他</w:t>
            </w:r>
          </w:p>
        </w:tc>
        <w:tc>
          <w:tcPr>
            <w:tcW w:w="73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ED2CD6">
            <w:pPr>
              <w:pageBreakBefore w:val="0"/>
              <w:kinsoku/>
              <w:wordWrap/>
              <w:overflowPunct/>
              <w:topLinePunct w:val="0"/>
              <w:autoSpaceDE/>
              <w:autoSpaceDN/>
              <w:bidi w:val="0"/>
              <w:adjustRightInd w:val="0"/>
              <w:snapToGrid w:val="0"/>
              <w:spacing w:line="36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依法设立并领取营业执照的</w:t>
            </w:r>
            <w:r>
              <w:rPr>
                <w:rFonts w:hint="default" w:ascii="Times New Roman" w:hAnsi="Times New Roman" w:eastAsia="宋体" w:cs="Times New Roman"/>
                <w:color w:val="auto"/>
                <w:sz w:val="24"/>
                <w:szCs w:val="24"/>
                <w:highlight w:val="none"/>
              </w:rPr>
              <w:t>分支机构</w:t>
            </w:r>
            <w:r>
              <w:rPr>
                <w:rFonts w:hint="default" w:ascii="Times New Roman" w:hAnsi="Times New Roman" w:eastAsia="宋体" w:cs="Times New Roman"/>
                <w:color w:val="auto"/>
                <w:sz w:val="24"/>
                <w:szCs w:val="24"/>
                <w:highlight w:val="none"/>
                <w:lang w:eastAsia="zh-CN"/>
              </w:rPr>
              <w:t>可参加政府采购活动</w:t>
            </w:r>
            <w:r>
              <w:rPr>
                <w:rFonts w:hint="default" w:ascii="Times New Roman" w:hAnsi="Times New Roman" w:eastAsia="宋体" w:cs="Times New Roman"/>
                <w:color w:val="auto"/>
                <w:sz w:val="24"/>
                <w:szCs w:val="24"/>
                <w:highlight w:val="none"/>
              </w:rPr>
              <w:t>，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bl>
    <w:p w14:paraId="38DDFA95">
      <w:pP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br w:type="page"/>
      </w:r>
    </w:p>
    <w:bookmarkEnd w:id="51"/>
    <w:bookmarkEnd w:id="52"/>
    <w:bookmarkEnd w:id="53"/>
    <w:p w14:paraId="4ABA473D">
      <w:pPr>
        <w:keepNext/>
        <w:pageBreakBefore w:val="0"/>
        <w:widowControl w:val="0"/>
        <w:kinsoku/>
        <w:wordWrap/>
        <w:overflowPunct/>
        <w:topLinePunct w:val="0"/>
        <w:autoSpaceDE/>
        <w:autoSpaceDN/>
        <w:bidi w:val="0"/>
        <w:spacing w:before="240" w:after="60" w:line="360" w:lineRule="auto"/>
        <w:jc w:val="center"/>
        <w:textAlignment w:val="auto"/>
        <w:outlineLvl w:val="0"/>
        <w:rPr>
          <w:rFonts w:hint="default" w:ascii="Times New Roman" w:hAnsi="Times New Roman" w:eastAsia="宋体" w:cs="Times New Roman"/>
          <w:bCs/>
          <w:color w:val="auto"/>
          <w:kern w:val="32"/>
          <w:sz w:val="24"/>
          <w:szCs w:val="24"/>
          <w:highlight w:val="none"/>
          <w:lang w:val="en-US" w:eastAsia="zh-CN" w:bidi="ar-SA"/>
        </w:rPr>
      </w:pPr>
      <w:bookmarkStart w:id="54" w:name="_Toc24620"/>
      <w:bookmarkStart w:id="55" w:name="_Toc9435"/>
      <w:bookmarkStart w:id="56" w:name="EBba22cf84278443cf81a532320c735b26"/>
      <w:r>
        <w:rPr>
          <w:rFonts w:hint="eastAsia" w:ascii="方正黑体_GBK" w:hAnsi="方正黑体_GBK" w:eastAsia="方正黑体_GBK" w:cs="方正黑体_GBK"/>
          <w:bCs/>
          <w:color w:val="auto"/>
          <w:kern w:val="32"/>
          <w:sz w:val="36"/>
          <w:szCs w:val="36"/>
          <w:highlight w:val="none"/>
          <w:lang w:val="en-US" w:eastAsia="zh-CN" w:bidi="ar-SA"/>
        </w:rPr>
        <w:t>第三章  投标人须知</w:t>
      </w:r>
      <w:bookmarkEnd w:id="54"/>
      <w:bookmarkEnd w:id="55"/>
    </w:p>
    <w:p w14:paraId="5B106651">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57" w:name="_Toc5895"/>
      <w:bookmarkStart w:id="58" w:name="_Toc256000009"/>
      <w:bookmarkStart w:id="59" w:name="_Toc4028"/>
      <w:bookmarkStart w:id="60" w:name="_Toc152516862"/>
      <w:bookmarkStart w:id="61" w:name="_Toc104293457"/>
      <w:r>
        <w:rPr>
          <w:rFonts w:hint="default" w:ascii="Times New Roman" w:hAnsi="Times New Roman" w:eastAsia="宋体" w:cs="Times New Roman"/>
          <w:b/>
          <w:bCs/>
          <w:iCs/>
          <w:color w:val="auto"/>
          <w:kern w:val="2"/>
          <w:sz w:val="24"/>
          <w:szCs w:val="24"/>
          <w:highlight w:val="none"/>
          <w:lang w:val="en-US" w:eastAsia="zh-CN" w:bidi="ar-SA"/>
        </w:rPr>
        <w:t>一、说明</w:t>
      </w:r>
      <w:bookmarkEnd w:id="57"/>
      <w:bookmarkEnd w:id="58"/>
      <w:bookmarkEnd w:id="59"/>
      <w:bookmarkEnd w:id="60"/>
      <w:bookmarkEnd w:id="61"/>
      <w:r>
        <w:rPr>
          <w:rFonts w:hint="default" w:ascii="Times New Roman" w:hAnsi="Times New Roman" w:eastAsia="宋体" w:cs="Times New Roman"/>
          <w:b/>
          <w:bCs/>
          <w:iCs/>
          <w:color w:val="auto"/>
          <w:kern w:val="2"/>
          <w:sz w:val="24"/>
          <w:szCs w:val="24"/>
          <w:highlight w:val="none"/>
          <w:lang w:val="en-US" w:eastAsia="zh-CN" w:bidi="ar-SA"/>
        </w:rPr>
        <w:t xml:space="preserve"> </w:t>
      </w:r>
    </w:p>
    <w:p w14:paraId="6B0F3BA7">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 适用范围</w:t>
      </w:r>
      <w:r>
        <w:rPr>
          <w:rFonts w:hint="default" w:ascii="Times New Roman" w:hAnsi="Times New Roman" w:eastAsia="宋体" w:cs="Times New Roman"/>
          <w:color w:val="auto"/>
          <w:sz w:val="24"/>
          <w:szCs w:val="24"/>
          <w:highlight w:val="none"/>
        </w:rPr>
        <w:t xml:space="preserve"> </w:t>
      </w:r>
    </w:p>
    <w:p w14:paraId="02424C4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本招标文件适用于“</w:t>
      </w:r>
      <w:r>
        <w:rPr>
          <w:rFonts w:hint="default" w:ascii="Times New Roman" w:hAnsi="Times New Roman" w:eastAsia="宋体" w:cs="Times New Roman"/>
          <w:b/>
          <w:bCs/>
          <w:color w:val="auto"/>
          <w:sz w:val="24"/>
          <w:szCs w:val="24"/>
          <w:highlight w:val="none"/>
          <w:lang w:eastAsia="zh-CN"/>
        </w:rPr>
        <w:t>招标公告</w:t>
      </w:r>
      <w:r>
        <w:rPr>
          <w:rFonts w:hint="default" w:ascii="Times New Roman" w:hAnsi="Times New Roman" w:eastAsia="宋体" w:cs="Times New Roman"/>
          <w:color w:val="auto"/>
          <w:sz w:val="24"/>
          <w:szCs w:val="24"/>
          <w:highlight w:val="none"/>
        </w:rPr>
        <w:t xml:space="preserve">”中所述采购项目。 </w:t>
      </w:r>
    </w:p>
    <w:p w14:paraId="6EF5E59A">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 定义</w:t>
      </w:r>
      <w:r>
        <w:rPr>
          <w:rFonts w:hint="default" w:ascii="Times New Roman" w:hAnsi="Times New Roman" w:eastAsia="宋体" w:cs="Times New Roman"/>
          <w:color w:val="auto"/>
          <w:sz w:val="24"/>
          <w:szCs w:val="24"/>
          <w:highlight w:val="none"/>
        </w:rPr>
        <w:t xml:space="preserve"> </w:t>
      </w:r>
    </w:p>
    <w:p w14:paraId="5283638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2.1 “采购人”是指依法进行政府采购的国家机关、事业单位、团体组织。本采购项目的采购人名称、地址、联系人及电话见</w:t>
      </w:r>
      <w:r>
        <w:rPr>
          <w:rFonts w:hint="default" w:ascii="Times New Roman" w:hAnsi="Times New Roman" w:eastAsia="宋体" w:cs="Times New Roman"/>
          <w:b/>
          <w:bCs/>
          <w:color w:val="auto"/>
          <w:sz w:val="24"/>
          <w:szCs w:val="24"/>
          <w:highlight w:val="none"/>
        </w:rPr>
        <w:t>招标文件前附表</w:t>
      </w:r>
      <w:r>
        <w:rPr>
          <w:rFonts w:hint="default" w:ascii="Times New Roman" w:hAnsi="Times New Roman" w:eastAsia="宋体" w:cs="Times New Roman"/>
          <w:color w:val="auto"/>
          <w:sz w:val="24"/>
          <w:szCs w:val="24"/>
          <w:highlight w:val="none"/>
        </w:rPr>
        <w:t xml:space="preserve">。 </w:t>
      </w:r>
    </w:p>
    <w:p w14:paraId="57FBCAC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2.2 “集中采购机构”是指采购代理机构，本招标文件中指乌鲁木齐市公共资源交易中心（乌鲁木齐市政府采购中心）（以下简称“交易中心”）。</w:t>
      </w:r>
    </w:p>
    <w:p w14:paraId="63EB638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2.3 “供应商”是指向采购人提供货物或者服务的法人、其他组织或者自然人；“投标人”是指响应招标、参加投标竞争的法人、其他组织或自然人。 </w:t>
      </w:r>
    </w:p>
    <w:p w14:paraId="0E2680C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2.4“电子招标投标”：是指政府采购当事人（指交易中心、采购人及供应商）按照有关法律法规的规定，应用网络信息技术，使用新疆政采云平台（以下简称“政采云”）进行的政府采购活动。</w:t>
      </w:r>
    </w:p>
    <w:p w14:paraId="4559ED9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2.5 “货物”是指各种形态和种类的物品，包括原材料、燃料、设备、产品等。</w:t>
      </w:r>
    </w:p>
    <w:p w14:paraId="34302A9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2.6 “服务”是指除货物和工程以外的其他政府采购对象（招标文件规定投标人须承担的系统集成、安装、调试、技术协助、校准、培训、物业、保安、保洁以及其他类似的义务）。</w:t>
      </w:r>
    </w:p>
    <w:p w14:paraId="5AFD5EA5">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 投标人的资格审查要求</w:t>
      </w:r>
    </w:p>
    <w:p w14:paraId="227F0F2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 投标人的资格审查要求：</w:t>
      </w:r>
    </w:p>
    <w:p w14:paraId="0A8C5C3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投标人应按第一章“三、投标人的资格审查要求”提供资格审查资料，须真实、有效，如发现有虚假资料，取消其投标资格，同时对其进行严肃处理。 </w:t>
      </w:r>
    </w:p>
    <w:p w14:paraId="2FD6D69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3.2 供应商存在下列情形之一的，不得参加本项目采购活动： </w:t>
      </w:r>
    </w:p>
    <w:p w14:paraId="560EA76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（l）与采购人或交易中心存在隶属关系或者其他利害关系。 </w:t>
      </w:r>
    </w:p>
    <w:p w14:paraId="5038817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（2）在参加本项目政府采购活动前3年内，在经营活动中因违法经营受到刑事处罚或者责令停产停业、吊销许可证或者执照、较大数额罚款等行政处罚</w:t>
      </w:r>
      <w:r>
        <w:rPr>
          <w:rFonts w:hint="default" w:ascii="Times New Roman" w:hAnsi="Times New Roman" w:eastAsia="宋体" w:cs="Times New Roman"/>
          <w:color w:val="auto"/>
          <w:sz w:val="24"/>
          <w:szCs w:val="24"/>
          <w:highlight w:val="none"/>
          <w:lang w:eastAsia="zh-CN"/>
        </w:rPr>
        <w:t>；</w:t>
      </w:r>
    </w:p>
    <w:p w14:paraId="33D9981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）除单一来源采购项目外，为采购项目提供整体设计、规范编制或者项目管理、监理、检测等服务的供应商，不得再参加该采购项目的其他采购活动；</w:t>
      </w:r>
    </w:p>
    <w:p w14:paraId="2B27943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3.3</w:t>
      </w:r>
      <w:r>
        <w:rPr>
          <w:rFonts w:hint="default" w:ascii="Times New Roman" w:hAnsi="Times New Roman" w:eastAsia="宋体" w:cs="Times New Roman"/>
          <w:color w:val="auto"/>
          <w:sz w:val="24"/>
          <w:szCs w:val="24"/>
          <w:highlight w:val="none"/>
          <w:lang w:eastAsia="zh-CN"/>
        </w:rPr>
        <w:t>供应商的信用行为：在资格审查阶段经查询，未被列入“失信被执行人”、“重大税收违法失信主体”、“政府采购严重违法失信行为记录名单”其中之一。如有以上不良信用记录之一的，其投标无效。</w:t>
      </w:r>
    </w:p>
    <w:p w14:paraId="2AF4E8E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单位负责人为同一人或者存在直接控股、管理关系的不同供应商，不得参加同一合同项下的政府采购活动。</w:t>
      </w:r>
    </w:p>
    <w:p w14:paraId="1DB0DEB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 xml:space="preserve"> 若供应商提供的任何资料存在虚假、不实的情况，该供应商应对因此给主办方或任何第三方造成的所有损失承担法律责任。</w:t>
      </w:r>
    </w:p>
    <w:p w14:paraId="76C20DF7">
      <w:pPr>
        <w:pageBreakBefore w:val="0"/>
        <w:widowControl w:val="0"/>
        <w:kinsoku/>
        <w:wordWrap/>
        <w:overflowPunct/>
        <w:topLinePunct w:val="0"/>
        <w:autoSpaceDE/>
        <w:autoSpaceDN/>
        <w:bidi w:val="0"/>
        <w:adjustRightInd w:val="0"/>
        <w:snapToGrid w:val="0"/>
        <w:spacing w:line="360" w:lineRule="auto"/>
        <w:ind w:left="475" w:leftChars="22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4. 投标费用</w:t>
      </w:r>
      <w:r>
        <w:rPr>
          <w:rFonts w:hint="default" w:ascii="Times New Roman" w:hAnsi="Times New Roman" w:eastAsia="宋体" w:cs="Times New Roman"/>
          <w:color w:val="auto"/>
          <w:sz w:val="24"/>
          <w:szCs w:val="24"/>
          <w:highlight w:val="none"/>
        </w:rPr>
        <w:t xml:space="preserve"> </w:t>
      </w:r>
    </w:p>
    <w:p w14:paraId="0607E9F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投标人应自行承担所有参与采购活动的相关费用，不论投标结果如何，采购人及交易中心均无义务和责任承担。 </w:t>
      </w:r>
    </w:p>
    <w:p w14:paraId="04BF163C">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5.</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b/>
          <w:bCs/>
          <w:color w:val="auto"/>
          <w:sz w:val="24"/>
          <w:szCs w:val="24"/>
          <w:highlight w:val="none"/>
        </w:rPr>
        <w:t>授权委托</w:t>
      </w:r>
      <w:r>
        <w:rPr>
          <w:rFonts w:hint="default" w:ascii="Times New Roman" w:hAnsi="Times New Roman" w:eastAsia="宋体" w:cs="Times New Roman"/>
          <w:color w:val="auto"/>
          <w:sz w:val="24"/>
          <w:szCs w:val="24"/>
          <w:highlight w:val="none"/>
        </w:rPr>
        <w:t xml:space="preserve"> </w:t>
      </w:r>
    </w:p>
    <w:p w14:paraId="1A26D92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投标人代表若不是投标人的法定代表人（或经营者/执行事务合伙人/负责人/自然人），应持有法定代表人（或经营者/执行事务合伙人/负责人/自然人）授权委托书。</w:t>
      </w:r>
    </w:p>
    <w:p w14:paraId="29DE92CF">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6. 联合体投标</w:t>
      </w:r>
      <w:r>
        <w:rPr>
          <w:rFonts w:hint="default" w:ascii="Times New Roman" w:hAnsi="Times New Roman" w:eastAsia="宋体" w:cs="Times New Roman"/>
          <w:color w:val="auto"/>
          <w:sz w:val="24"/>
          <w:szCs w:val="24"/>
          <w:highlight w:val="none"/>
        </w:rPr>
        <w:t xml:space="preserve"> </w:t>
      </w:r>
    </w:p>
    <w:p w14:paraId="389A3EA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6.1 除招标文件前附表另有规定，本采购项目不接受除政府采购政策规定以外的其他联合体投标。 </w:t>
      </w:r>
    </w:p>
    <w:p w14:paraId="3F49D46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6.2 投标人以联合体形式投标，除应符合本章第3款规定外，还应遵守以下规定： </w:t>
      </w:r>
    </w:p>
    <w:p w14:paraId="206FF36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lang w:val="en-US" w:eastAsia="zh-CN"/>
        </w:rPr>
        <w:t>联合体各方</w:t>
      </w:r>
      <w:r>
        <w:rPr>
          <w:rFonts w:hint="default" w:ascii="Times New Roman" w:hAnsi="Times New Roman" w:eastAsia="宋体" w:cs="Times New Roman"/>
          <w:color w:val="auto"/>
          <w:sz w:val="24"/>
          <w:szCs w:val="24"/>
          <w:highlight w:val="none"/>
        </w:rPr>
        <w:t>均应当具备《中华人民共和国政府采购法》第二十二条规定的条件</w:t>
      </w:r>
      <w:r>
        <w:rPr>
          <w:rFonts w:hint="default" w:ascii="Times New Roman" w:hAnsi="Times New Roman" w:eastAsia="宋体" w:cs="Times New Roman"/>
          <w:color w:val="auto"/>
          <w:sz w:val="24"/>
          <w:szCs w:val="24"/>
          <w:highlight w:val="none"/>
          <w:lang w:eastAsia="zh-CN"/>
        </w:rPr>
        <w:t>；</w:t>
      </w:r>
    </w:p>
    <w:p w14:paraId="50C1AE4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联合体各方应按招标文件提供的格式签订联合体协议书，明确联合体牵头人和各方的权利义务、合同工作量比例</w:t>
      </w:r>
      <w:r>
        <w:rPr>
          <w:rFonts w:hint="default" w:ascii="Times New Roman" w:hAnsi="Times New Roman" w:eastAsia="宋体" w:cs="Times New Roman"/>
          <w:color w:val="auto"/>
          <w:sz w:val="24"/>
          <w:szCs w:val="24"/>
          <w:highlight w:val="none"/>
          <w:lang w:eastAsia="zh-CN"/>
        </w:rPr>
        <w:t>，并将联合体协议书作为投标文件的一部分提交</w:t>
      </w:r>
      <w:r>
        <w:rPr>
          <w:rFonts w:hint="default" w:ascii="Times New Roman" w:hAnsi="Times New Roman" w:eastAsia="宋体" w:cs="Times New Roman"/>
          <w:color w:val="auto"/>
          <w:sz w:val="24"/>
          <w:szCs w:val="24"/>
          <w:highlight w:val="none"/>
        </w:rPr>
        <w:t xml:space="preserve">； </w:t>
      </w:r>
    </w:p>
    <w:p w14:paraId="4846A6F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联合体中有同类资质的供应商按照联合体分工承担相同工作的，应当按照资质等级较低的供应商确定资质等级；</w:t>
      </w:r>
    </w:p>
    <w:p w14:paraId="626B275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）联合体各方签订联合体协议书后，不得再单独参加或者与其他供应商组成新的联合体参加同一项目的采购活动</w:t>
      </w:r>
      <w:r>
        <w:rPr>
          <w:rFonts w:hint="default" w:ascii="Times New Roman" w:hAnsi="Times New Roman" w:eastAsia="宋体" w:cs="Times New Roman"/>
          <w:color w:val="auto"/>
          <w:sz w:val="24"/>
          <w:szCs w:val="24"/>
          <w:highlight w:val="none"/>
          <w:lang w:eastAsia="zh-CN"/>
        </w:rPr>
        <w:t>，否则相关投标将被认定为投标无效；</w:t>
      </w:r>
    </w:p>
    <w:p w14:paraId="3E957BC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）联合体或其成员不得将其在合同项下的权利或义务全部或部分转让给第三人，有关分包事项须事先取得采购人书面同意并且须遵守相关法律、法规及本次</w:t>
      </w:r>
      <w:r>
        <w:rPr>
          <w:rFonts w:hint="default" w:ascii="Times New Roman" w:hAnsi="Times New Roman" w:eastAsia="宋体" w:cs="Times New Roman"/>
          <w:color w:val="auto"/>
          <w:sz w:val="24"/>
          <w:szCs w:val="24"/>
          <w:highlight w:val="none"/>
          <w:lang w:val="en-US" w:eastAsia="zh-CN"/>
        </w:rPr>
        <w:t>采购活动</w:t>
      </w:r>
      <w:r>
        <w:rPr>
          <w:rFonts w:hint="default" w:ascii="Times New Roman" w:hAnsi="Times New Roman" w:eastAsia="宋体" w:cs="Times New Roman"/>
          <w:color w:val="auto"/>
          <w:sz w:val="24"/>
          <w:szCs w:val="24"/>
          <w:highlight w:val="none"/>
          <w:lang w:eastAsia="zh-CN"/>
        </w:rPr>
        <w:t>的全部相关规定。</w:t>
      </w:r>
      <w:r>
        <w:rPr>
          <w:rFonts w:hint="default" w:ascii="Times New Roman" w:hAnsi="Times New Roman" w:eastAsia="宋体" w:cs="Times New Roman"/>
          <w:color w:val="auto"/>
          <w:sz w:val="24"/>
          <w:szCs w:val="24"/>
          <w:highlight w:val="none"/>
        </w:rPr>
        <w:t xml:space="preserve"> </w:t>
      </w:r>
    </w:p>
    <w:p w14:paraId="5EDAC7CD">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7. 采购进口产品</w:t>
      </w:r>
      <w:r>
        <w:rPr>
          <w:rFonts w:hint="default" w:ascii="Times New Roman" w:hAnsi="Times New Roman" w:eastAsia="宋体" w:cs="Times New Roman"/>
          <w:color w:val="auto"/>
          <w:sz w:val="24"/>
          <w:szCs w:val="24"/>
          <w:highlight w:val="none"/>
        </w:rPr>
        <w:t xml:space="preserve"> </w:t>
      </w:r>
    </w:p>
    <w:p w14:paraId="1EA3D82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7.1</w:t>
      </w:r>
      <w:r>
        <w:rPr>
          <w:rFonts w:hint="default" w:ascii="Times New Roman" w:hAnsi="Times New Roman" w:eastAsia="宋体" w:cs="Times New Roman"/>
          <w:color w:val="auto"/>
          <w:sz w:val="24"/>
          <w:szCs w:val="24"/>
          <w:highlight w:val="none"/>
          <w:lang w:val="en-US" w:eastAsia="zh-CN"/>
        </w:rPr>
        <w:t>除招标文件第二章另有规定外，政府采购应当采购本国货物、工程和服务，确需采购进口产品的，采购人应当按照《政府采购进口产品管理办法》（财库〔2007〕119 号文）、《关于政府采购进口产品管理有关问题的通知》（财办库〔2008〕248号）规定执行（进口产品审批制，科研院所监管部门另有规定的从其规定）。</w:t>
      </w:r>
      <w:r>
        <w:rPr>
          <w:rFonts w:hint="default" w:ascii="Times New Roman" w:hAnsi="Times New Roman" w:eastAsia="宋体" w:cs="Times New Roman"/>
          <w:color w:val="auto"/>
          <w:sz w:val="24"/>
          <w:szCs w:val="24"/>
          <w:highlight w:val="none"/>
        </w:rPr>
        <w:t>但有下列情形之一的除外：</w:t>
      </w:r>
    </w:p>
    <w:p w14:paraId="1B75905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（1）需要采购的货物或者服务在中国境内无法获取或者无法以合理的商业条件获取的；</w:t>
      </w:r>
    </w:p>
    <w:p w14:paraId="69E9496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（2）为在中国国外使用而进行采购的；</w:t>
      </w:r>
    </w:p>
    <w:p w14:paraId="29D2310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（3）其他法律、行政法规另有规定的。</w:t>
      </w:r>
    </w:p>
    <w:p w14:paraId="2CFF749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所称本国货物和服务的界定，依照国务院有关规定执行。</w:t>
      </w:r>
    </w:p>
    <w:p w14:paraId="5EFA392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7.2本章第7.1款规定同意购买进口产品的，不限制满足招标文件要求的国内产品参与投标竞争。</w:t>
      </w:r>
      <w:r>
        <w:rPr>
          <w:rFonts w:hint="default" w:ascii="Times New Roman" w:hAnsi="Times New Roman" w:eastAsia="宋体" w:cs="Times New Roman"/>
          <w:color w:val="auto"/>
          <w:sz w:val="24"/>
          <w:szCs w:val="24"/>
          <w:highlight w:val="none"/>
          <w:lang w:val="en-US" w:eastAsia="zh-CN"/>
        </w:rPr>
        <w:t>若招标文件未写明允许采购进口产品，如投标人所投产品为进口产品，其投标将被认定为投标无效。</w:t>
      </w:r>
    </w:p>
    <w:p w14:paraId="6188531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7.3 若采购需求中写明允许采购进口产品，投标人应保证所投产品可履行合法报通关手续进入中国关境内。</w:t>
      </w:r>
    </w:p>
    <w:p w14:paraId="6A7C77F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8. </w:t>
      </w:r>
      <w:r>
        <w:rPr>
          <w:rFonts w:hint="default" w:ascii="Times New Roman" w:hAnsi="Times New Roman" w:eastAsia="宋体" w:cs="Times New Roman"/>
          <w:b/>
          <w:bCs/>
          <w:color w:val="auto"/>
          <w:sz w:val="24"/>
          <w:szCs w:val="24"/>
          <w:highlight w:val="none"/>
          <w:lang w:val="en-US" w:eastAsia="zh-CN"/>
        </w:rPr>
        <w:t>本国产品</w:t>
      </w:r>
    </w:p>
    <w:p w14:paraId="6B10CDB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8.1本国产品应当符合以下条件：</w:t>
      </w:r>
    </w:p>
    <w:p w14:paraId="721E0B7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（一）在中国境内生产</w:t>
      </w:r>
    </w:p>
    <w:p w14:paraId="4594EC5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p>
    <w:p w14:paraId="0E2A71F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1.为确保产品在运输或者储存期间保持某种状态而进行的操作；</w:t>
      </w:r>
    </w:p>
    <w:p w14:paraId="669392B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2.为产品运输或者销售进行的包装或者展示；</w:t>
      </w:r>
    </w:p>
    <w:p w14:paraId="651FD59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3.在产品或者其包装上粘贴或者印刷品牌、标志、标识以及其他用于区别的标记；</w:t>
      </w:r>
    </w:p>
    <w:p w14:paraId="11D1998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4.简单的上漆、磨光和分装；</w:t>
      </w:r>
    </w:p>
    <w:p w14:paraId="429114D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5.其他不属于属性改变的情形。</w:t>
      </w:r>
    </w:p>
    <w:p w14:paraId="6AA994A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（二）在中国境内生产的组件成本占比达到规定比例</w:t>
      </w:r>
    </w:p>
    <w:p w14:paraId="413B418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产品在中国境内生产的组件成本占比应当达到规定比例，计算公式为：（产品在中国境内生产的组件成本/产品总成本）≥规定比例。财政部会同有关行业主管部门，分产品确定在中国境内生产的组件成本占比应当达到的规定比例。在分产品的中国境内生产的组件成本占比相关要求实施前，符合第（一）项条件的产品在政府采购活动中视同本国产品。</w:t>
      </w:r>
    </w:p>
    <w:p w14:paraId="40622F0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（三）特定产品的关键组件、关键工序符合相关要求</w:t>
      </w:r>
    </w:p>
    <w:p w14:paraId="42BE044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对特定产品，在符合本通知第一条第（一）项和第（二）项条件的基础上，应当符合财政部会同有关行业主管部门确定的其关键组件、关键工序在中国境内生产、完成等要求。</w:t>
      </w:r>
    </w:p>
    <w:p w14:paraId="2D54293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8.2 本国产品标准的适用范围：</w:t>
      </w:r>
    </w:p>
    <w:p w14:paraId="5C9FBBA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DD5100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8.3 对本国产品的支持政策</w:t>
      </w:r>
    </w:p>
    <w:p w14:paraId="4501792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8.3.1如本项目采购文件第二章中明确“不采购进口产品”，则投标人应当对其提供的产品在投标文件中出具有效的《关于符合本国产品标准的声明函》，并逐项声明产品信息。如投标文件中未提供上述材料或材料无效（未加盖投标人公章、声明的产品信息不全、内容不实等），不享受本国产品价格评审优惠。</w:t>
      </w:r>
    </w:p>
    <w:p w14:paraId="289B235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8.3.2政府采购活动中既有本国产品又有非本国产品参与竞争的，依法对本国产品给予价格评审优惠，对本国产品的报价给予20%的价格扣除，用扣除后的价格参与评审。</w:t>
      </w:r>
    </w:p>
    <w:p w14:paraId="2ED9B57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8.3.3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未填写比例数值，或比例数值不足80%的，将不享受本国产品价格评审优惠。</w:t>
      </w:r>
    </w:p>
    <w:p w14:paraId="375EB8C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8.4 投标人须在投标文件中按照格式要求提供相关声明。投标人需按照采购文件的要求对提供的产品出具《关于符合本国产品标准的声明函》。如未提供将不享受本国产品价格评审优惠。供应商需在《声明函》中逐一、准确填写产品名称、厂名、生产厂址三项信息（《声明函》中标注“  /  ”的地方无需填写），三项信息中任意一项未填写的视为该项产品不符合本国产品标准，不享受本国产品价格评审优惠。</w:t>
      </w:r>
    </w:p>
    <w:p w14:paraId="27DF276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8.5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关于贯彻落实&lt;国务院办公厅关于在政府采购中实施本国产品标准及相关政策的通知&gt;的意见》（财库〔2025〕30号）和招标文件规定的，供应商提供的相关产品视为不符合本国产品标准。</w:t>
      </w:r>
    </w:p>
    <w:p w14:paraId="34AC4D3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lang w:eastAsia="zh-CN"/>
        </w:rPr>
      </w:pPr>
      <w:r>
        <w:rPr>
          <w:rFonts w:hint="default" w:ascii="Times New Roman" w:hAnsi="Times New Roman" w:eastAsia="宋体" w:cs="Times New Roman"/>
          <w:b/>
          <w:color w:val="auto"/>
          <w:sz w:val="24"/>
          <w:szCs w:val="24"/>
          <w:highlight w:val="none"/>
          <w:lang w:val="en-US" w:eastAsia="zh-CN"/>
        </w:rPr>
        <w:t>9</w:t>
      </w:r>
      <w:r>
        <w:rPr>
          <w:rFonts w:hint="default" w:ascii="Times New Roman" w:hAnsi="Times New Roman" w:eastAsia="宋体" w:cs="Times New Roman"/>
          <w:b/>
          <w:color w:val="auto"/>
          <w:sz w:val="24"/>
          <w:szCs w:val="24"/>
          <w:highlight w:val="none"/>
        </w:rPr>
        <w:t>. 投标保证金</w:t>
      </w:r>
    </w:p>
    <w:p w14:paraId="1C9BDD0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eastAsia="zh-CN"/>
        </w:rPr>
        <w:t>依据《</w:t>
      </w:r>
      <w:r>
        <w:rPr>
          <w:rFonts w:hint="default" w:ascii="Times New Roman" w:hAnsi="Times New Roman" w:eastAsia="宋体" w:cs="Times New Roman"/>
          <w:b w:val="0"/>
          <w:bCs/>
          <w:color w:val="auto"/>
          <w:sz w:val="24"/>
          <w:szCs w:val="24"/>
          <w:highlight w:val="none"/>
          <w:lang w:val="en-US" w:eastAsia="zh-CN"/>
        </w:rPr>
        <w:t>关于进一步规范政府采购保证金管理的通知</w:t>
      </w:r>
      <w:r>
        <w:rPr>
          <w:rFonts w:hint="default" w:ascii="Times New Roman" w:hAnsi="Times New Roman" w:eastAsia="宋体" w:cs="Times New Roman"/>
          <w:b w:val="0"/>
          <w:bCs/>
          <w:color w:val="auto"/>
          <w:sz w:val="24"/>
          <w:szCs w:val="24"/>
          <w:highlight w:val="none"/>
          <w:lang w:eastAsia="zh-CN"/>
        </w:rPr>
        <w:t>》（新财购〔2023〕26号）</w:t>
      </w:r>
      <w:r>
        <w:rPr>
          <w:rFonts w:hint="default" w:ascii="Times New Roman" w:hAnsi="Times New Roman" w:eastAsia="宋体" w:cs="Times New Roman"/>
          <w:b w:val="0"/>
          <w:bCs/>
          <w:color w:val="auto"/>
          <w:sz w:val="24"/>
          <w:szCs w:val="24"/>
          <w:highlight w:val="none"/>
          <w:lang w:val="en-US" w:eastAsia="zh-CN"/>
        </w:rPr>
        <w:t>，鼓励不收取保证金或降低收取比例。</w:t>
      </w:r>
      <w:r>
        <w:rPr>
          <w:rFonts w:hint="default" w:ascii="Times New Roman" w:hAnsi="Times New Roman" w:eastAsia="宋体" w:cs="Times New Roman"/>
          <w:b w:val="0"/>
          <w:bCs/>
          <w:color w:val="auto"/>
          <w:sz w:val="24"/>
          <w:szCs w:val="24"/>
          <w:highlight w:val="none"/>
          <w:lang w:eastAsia="zh-CN"/>
        </w:rPr>
        <w:t>如需收取投标保证金，按以下约定执行。</w:t>
      </w:r>
    </w:p>
    <w:p w14:paraId="56368E5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9.1 投标供应商应按照招标文件第二章中规定的金额及要求交纳投标保证金（如有）。</w:t>
      </w:r>
    </w:p>
    <w:p w14:paraId="20A5B3D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9.2投标保证金缴纳可采取转账方式、电子保函模式等法定方式。供应商如使用转账方式，应在保证金到账截止时间前交纳保证金，并作为其响应的一部分。投标供应商如使用电子保函方式，开具的电子投标保函应在保证金到账截止时间前生效，并作为其响应的一部分。由于到账时间晚于投标截止时间，或者保函未生效，或者票据错误、印鉴不清等原因导致不能到账的，其投标无效。</w:t>
      </w:r>
    </w:p>
    <w:p w14:paraId="70CF0BC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9.3投标人应在投标截止时间前将投标保证金支付原件扫描后作为投标文件的组成部分与投标文件一起上传。</w:t>
      </w:r>
    </w:p>
    <w:p w14:paraId="55BC50F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9.4投标人为联合体的，可以由联合体中的一方或者多方共同交纳投标保证金或开具电子投标保函，其交纳的保证金或开具的投标保函对联合体各方均具有约束力。</w:t>
      </w:r>
    </w:p>
    <w:p w14:paraId="1269C73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9.5 投标保证金到账截止时间与开标时间一致。</w:t>
      </w:r>
    </w:p>
    <w:p w14:paraId="54B268C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9.6 开标后，对于未按要求交纳投标保证金的，将视为非实质性响应而予以拒绝，响应无效。</w:t>
      </w:r>
    </w:p>
    <w:p w14:paraId="7502E67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9.7 交易中心应当在采购活动结束后及时退还投标人的保证金，但因投标人自身原因导致无法及时退还的除外。 </w:t>
      </w:r>
    </w:p>
    <w:p w14:paraId="610404B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9.7.1 投标人在投标截止时间前撤回已提交的投标文件的，自收到投标人书面撤回通知之日起5个工作日内退还已收取的投标保证金；</w:t>
      </w:r>
    </w:p>
    <w:p w14:paraId="1311FE1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9.7.2 中标人的投标保证金，自采购合同签订之日起5个工作日内退还中标人；</w:t>
      </w:r>
    </w:p>
    <w:p w14:paraId="675589C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9.7.3 未中标投标人的投标保证金，自中标通知书发出之日起5个工作日内退还未中标人；</w:t>
      </w:r>
    </w:p>
    <w:p w14:paraId="0DE5A26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9.7.4 终止招标项目已经收取投标保证金的，自终止采购活动后5个工作日内退还已收取的投标保证金及其在银行产生的孳息。</w:t>
      </w:r>
    </w:p>
    <w:p w14:paraId="7E621B7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9.8 有下列情形之一的，投标保证金不予退还：</w:t>
      </w:r>
    </w:p>
    <w:p w14:paraId="0832902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（1）投标人在提交投标文件截止时间后撤回投标文件的；</w:t>
      </w:r>
    </w:p>
    <w:p w14:paraId="5EFC45D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（2）除因不可抗力或招标文件认可的情形以外，中标人不与采购人签订合同的；</w:t>
      </w:r>
    </w:p>
    <w:p w14:paraId="4F97C79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（3）法律法规及招标文件规定的其他情形。</w:t>
      </w:r>
    </w:p>
    <w:p w14:paraId="546D5AD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10</w:t>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b/>
          <w:bCs/>
          <w:color w:val="auto"/>
          <w:sz w:val="24"/>
          <w:szCs w:val="24"/>
          <w:highlight w:val="none"/>
        </w:rPr>
        <w:t>招标文件</w:t>
      </w:r>
      <w:r>
        <w:rPr>
          <w:rFonts w:hint="default" w:ascii="Times New Roman" w:hAnsi="Times New Roman" w:eastAsia="宋体" w:cs="Times New Roman"/>
          <w:b/>
          <w:color w:val="auto"/>
          <w:sz w:val="24"/>
          <w:szCs w:val="24"/>
          <w:highlight w:val="none"/>
        </w:rPr>
        <w:t>的理解</w:t>
      </w:r>
    </w:p>
    <w:p w14:paraId="587A667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认真阅读、审查招标文件中所有的事项、格式、条款和技术规范等要求，保证其完全理解招标文件内容。投标人在投标截止时间后，不得存在误解和遗漏，要求更改已提交的投标文件。投标人的投标报价被认为已包括本项目采购范围内的全部内容。如果漏项被认为分摊到其他子目中，将不予重新计价；如果计算错误，在项目结束后，也将不予调整。如果投标人未按照招标文件的要求提交全部资料，或没有对招标文件做出实质性响应，根据有关条款规定，其投标可以被拒绝，由此带来的风险由投标人自行承担。</w:t>
      </w:r>
    </w:p>
    <w:p w14:paraId="65F2DE7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w:t>
      </w:r>
      <w:r>
        <w:rPr>
          <w:rFonts w:hint="default" w:ascii="Times New Roman" w:hAnsi="Times New Roman" w:eastAsia="宋体"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 项目变更程序</w:t>
      </w:r>
    </w:p>
    <w:p w14:paraId="3ED322D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项目资金如有变更，采购人应向市财政局相关部门申请变更，否则变更无效，由此引起的纠纷交易中心不承担任何责任。</w:t>
      </w:r>
    </w:p>
    <w:p w14:paraId="6B78E5D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w:t>
      </w: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 廉洁自律承诺要求</w:t>
      </w:r>
    </w:p>
    <w:p w14:paraId="630A903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.1交易中心工作人员保证不接受采购人或者供应商组织的宴请、旅游、娱乐，不收受礼品、现金、有价证券等，不向采购人或者供应商报销应当由个人承担的费用。</w:t>
      </w:r>
    </w:p>
    <w:p w14:paraId="524DC10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b/>
          <w:iCs/>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.2  所有投标人必须</w:t>
      </w:r>
      <w:r>
        <w:rPr>
          <w:rFonts w:hint="default" w:ascii="Times New Roman" w:hAnsi="Times New Roman" w:eastAsia="宋体" w:cs="Times New Roman"/>
          <w:color w:val="auto"/>
          <w:sz w:val="24"/>
          <w:szCs w:val="24"/>
          <w:highlight w:val="none"/>
          <w:lang w:val="en-US" w:eastAsia="zh-CN"/>
        </w:rPr>
        <w:t>按要求提供</w:t>
      </w:r>
      <w:r>
        <w:rPr>
          <w:rFonts w:hint="default" w:ascii="Times New Roman" w:hAnsi="Times New Roman" w:eastAsia="宋体" w:cs="Times New Roman"/>
          <w:color w:val="auto"/>
          <w:sz w:val="24"/>
          <w:szCs w:val="24"/>
          <w:highlight w:val="none"/>
        </w:rPr>
        <w:t>《反商业贿赂承诺书》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未按要求提供</w:t>
      </w:r>
      <w:r>
        <w:rPr>
          <w:rFonts w:hint="default" w:ascii="Times New Roman" w:hAnsi="Times New Roman" w:eastAsia="宋体" w:cs="Times New Roman"/>
          <w:color w:val="auto"/>
          <w:sz w:val="24"/>
          <w:szCs w:val="24"/>
          <w:highlight w:val="none"/>
        </w:rPr>
        <w:t>视为无效投标。</w:t>
      </w:r>
    </w:p>
    <w:p w14:paraId="3E7323C2">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62" w:name="_Toc104293458"/>
      <w:bookmarkStart w:id="63" w:name="_Toc28273"/>
      <w:bookmarkStart w:id="64" w:name="_Toc256000010"/>
      <w:bookmarkStart w:id="65" w:name="_Toc1753"/>
      <w:bookmarkStart w:id="66" w:name="_Toc152516863"/>
      <w:r>
        <w:rPr>
          <w:rFonts w:hint="default" w:ascii="Times New Roman" w:hAnsi="Times New Roman" w:eastAsia="宋体" w:cs="Times New Roman"/>
          <w:b/>
          <w:bCs/>
          <w:iCs/>
          <w:color w:val="auto"/>
          <w:kern w:val="2"/>
          <w:sz w:val="24"/>
          <w:szCs w:val="24"/>
          <w:highlight w:val="none"/>
          <w:lang w:val="en-US" w:eastAsia="zh-CN" w:bidi="ar-SA"/>
        </w:rPr>
        <w:t>二、招标文件</w:t>
      </w:r>
      <w:bookmarkEnd w:id="62"/>
      <w:bookmarkEnd w:id="63"/>
      <w:bookmarkEnd w:id="64"/>
      <w:bookmarkEnd w:id="65"/>
      <w:bookmarkEnd w:id="66"/>
      <w:r>
        <w:rPr>
          <w:rFonts w:hint="default" w:ascii="Times New Roman" w:hAnsi="Times New Roman" w:eastAsia="宋体" w:cs="Times New Roman"/>
          <w:b/>
          <w:bCs/>
          <w:iCs/>
          <w:color w:val="auto"/>
          <w:kern w:val="2"/>
          <w:sz w:val="24"/>
          <w:szCs w:val="24"/>
          <w:highlight w:val="none"/>
          <w:lang w:val="en-US" w:eastAsia="zh-CN" w:bidi="ar-SA"/>
        </w:rPr>
        <w:t xml:space="preserve"> </w:t>
      </w:r>
    </w:p>
    <w:p w14:paraId="4282DA6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b/>
          <w:bCs/>
          <w:color w:val="auto"/>
          <w:sz w:val="24"/>
          <w:szCs w:val="24"/>
          <w:highlight w:val="none"/>
        </w:rPr>
        <w:t>招标文件的组成</w:t>
      </w:r>
      <w:r>
        <w:rPr>
          <w:rFonts w:hint="default" w:ascii="Times New Roman" w:hAnsi="Times New Roman" w:eastAsia="宋体" w:cs="Times New Roman"/>
          <w:color w:val="auto"/>
          <w:sz w:val="24"/>
          <w:szCs w:val="24"/>
          <w:highlight w:val="none"/>
        </w:rPr>
        <w:t xml:space="preserve"> </w:t>
      </w:r>
    </w:p>
    <w:p w14:paraId="0FA02C7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招标文件（共七章）及本章第1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款对招标文件所作的澄清或修改文件，均属于招标文件的组成部分。</w:t>
      </w:r>
    </w:p>
    <w:p w14:paraId="447603D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招标文件的提供</w:t>
      </w:r>
      <w:r>
        <w:rPr>
          <w:rFonts w:hint="default" w:ascii="Times New Roman" w:hAnsi="Times New Roman" w:eastAsia="宋体" w:cs="Times New Roman"/>
          <w:color w:val="auto"/>
          <w:sz w:val="24"/>
          <w:szCs w:val="24"/>
          <w:highlight w:val="none"/>
        </w:rPr>
        <w:t xml:space="preserve"> </w:t>
      </w:r>
    </w:p>
    <w:p w14:paraId="175881B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.1招标文件的提供期限自开始发出之日起不少于五个工作日。具体提供期限见招标文件第一章。</w:t>
      </w:r>
    </w:p>
    <w:p w14:paraId="47767CE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 xml:space="preserve">.2 供应商应及时下载招标文件，并按规定要求在政采云平台完成投标。 </w:t>
      </w:r>
    </w:p>
    <w:p w14:paraId="578F1A2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延长招标文件的提供期限，遵守本章第</w:t>
      </w:r>
      <w:r>
        <w:rPr>
          <w:rFonts w:hint="default" w:ascii="Times New Roman" w:hAnsi="Times New Roman" w:eastAsia="宋体" w:cs="Times New Roman"/>
          <w:color w:val="auto"/>
          <w:sz w:val="24"/>
          <w:szCs w:val="24"/>
          <w:highlight w:val="none"/>
          <w:lang w:val="en-US" w:eastAsia="zh-CN"/>
        </w:rPr>
        <w:t>16</w:t>
      </w:r>
      <w:r>
        <w:rPr>
          <w:rFonts w:hint="default" w:ascii="Times New Roman" w:hAnsi="Times New Roman" w:eastAsia="宋体" w:cs="Times New Roman"/>
          <w:color w:val="auto"/>
          <w:sz w:val="24"/>
          <w:szCs w:val="24"/>
          <w:highlight w:val="none"/>
        </w:rPr>
        <w:t>款关于招标文件修改的规定。</w:t>
      </w:r>
    </w:p>
    <w:p w14:paraId="43F9A7E5">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．偏离</w:t>
      </w:r>
      <w:r>
        <w:rPr>
          <w:rFonts w:hint="default" w:ascii="Times New Roman" w:hAnsi="Times New Roman" w:eastAsia="宋体" w:cs="Times New Roman"/>
          <w:color w:val="auto"/>
          <w:sz w:val="24"/>
          <w:szCs w:val="24"/>
          <w:highlight w:val="none"/>
        </w:rPr>
        <w:t xml:space="preserve"> </w:t>
      </w:r>
    </w:p>
    <w:p w14:paraId="466A275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本条所称偏离为投标文件对招标文件的偏离，即不满足或不响应招标文件的要求。偏离分为对招标文件的实质性要求条款偏离和一般商务和技术条款（参数）偏离。 </w:t>
      </w:r>
    </w:p>
    <w:p w14:paraId="247ABFCB">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 招标文件的澄清与修改</w:t>
      </w:r>
      <w:r>
        <w:rPr>
          <w:rFonts w:hint="default" w:ascii="Times New Roman" w:hAnsi="Times New Roman" w:eastAsia="宋体" w:cs="Times New Roman"/>
          <w:color w:val="auto"/>
          <w:sz w:val="24"/>
          <w:szCs w:val="24"/>
          <w:highlight w:val="none"/>
        </w:rPr>
        <w:t xml:space="preserve"> </w:t>
      </w:r>
    </w:p>
    <w:p w14:paraId="268569D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 xml:space="preserve">.1采购人或者交易中心可以对已发出的招标文件进行必要的澄清或者修改，澄清或者修改的内容可能影响投标文件编制的，应当在投标截止时间至少十五日前，以更正公告形式发布于新疆政府采购网。 </w:t>
      </w:r>
    </w:p>
    <w:p w14:paraId="5387ADA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 xml:space="preserve">.2 如果澄清或者修改文件发出的时间距投标截止时间不足十五日，将顺延提交投标文件的截止时间和开标时间。 </w:t>
      </w:r>
    </w:p>
    <w:p w14:paraId="0EE2AD0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3如果招标文件的澄清或者修改文件的内容与之前发布的招标文件等材料中相关内容冲突，请投标人执行招标文件澄清或者修改文件的内容，之前发布的招标文件等材料中相关内容自动废止。当招标文件的澄清、修改及进行其他答复等就同一内容的表述不一致时，以最后发布的内容为准。澄清或修改的内容为招标文件的组成部分，并对所有获取招标文件的潜在投标人具有约束力。</w:t>
      </w:r>
    </w:p>
    <w:p w14:paraId="41A5C4B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16.4 潜在投标人需密切关注，及时查看并下载相关更正公告。若因潜在投标人未能及时查看或下载相关更正公告，而导致的一切后果，将由潜在投标人自行承担。</w:t>
      </w:r>
    </w:p>
    <w:p w14:paraId="121EC731">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b/>
          <w:bCs/>
          <w:color w:val="auto"/>
          <w:sz w:val="24"/>
          <w:szCs w:val="24"/>
          <w:highlight w:val="none"/>
        </w:rPr>
        <w:t>推迟投标截止时间和开标时间</w:t>
      </w:r>
      <w:r>
        <w:rPr>
          <w:rFonts w:hint="default" w:ascii="Times New Roman" w:hAnsi="Times New Roman" w:eastAsia="宋体" w:cs="Times New Roman"/>
          <w:color w:val="auto"/>
          <w:sz w:val="24"/>
          <w:szCs w:val="24"/>
          <w:highlight w:val="none"/>
        </w:rPr>
        <w:t xml:space="preserve"> </w:t>
      </w:r>
    </w:p>
    <w:p w14:paraId="6B501ED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采购人或者交易中心可以视采购具体情况推迟投标截止时间和开标时间，将变更时间以更正公告形式发布于新疆政府采购网。</w:t>
      </w:r>
    </w:p>
    <w:p w14:paraId="29545D1D">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w:t>
      </w:r>
      <w:bookmarkStart w:id="67" w:name="EB2749a049ca374d45812251bd76fcb545"/>
      <w:r>
        <w:rPr>
          <w:rFonts w:hint="default" w:ascii="Times New Roman" w:hAnsi="Times New Roman" w:eastAsia="宋体" w:cs="Times New Roman"/>
          <w:color w:val="auto"/>
          <w:sz w:val="24"/>
          <w:szCs w:val="24"/>
          <w:highlight w:val="none"/>
        </w:rPr>
        <w:t xml:space="preserve"> </w:t>
      </w:r>
      <w:bookmarkEnd w:id="67"/>
      <w:r>
        <w:rPr>
          <w:rFonts w:hint="default" w:ascii="Times New Roman" w:hAnsi="Times New Roman" w:eastAsia="宋体" w:cs="Times New Roman"/>
          <w:color w:val="auto"/>
          <w:sz w:val="24"/>
          <w:szCs w:val="24"/>
          <w:highlight w:val="none"/>
        </w:rPr>
        <w:t xml:space="preserve">  </w:t>
      </w:r>
      <w:bookmarkStart w:id="68" w:name="EBd50e3d11cb774e75b7d8b4c319a71edf"/>
      <w:r>
        <w:rPr>
          <w:rFonts w:hint="default" w:ascii="Times New Roman" w:hAnsi="Times New Roman" w:eastAsia="宋体" w:cs="Times New Roman"/>
          <w:color w:val="auto"/>
          <w:sz w:val="24"/>
          <w:szCs w:val="24"/>
          <w:highlight w:val="none"/>
        </w:rPr>
        <w:t xml:space="preserve"> </w:t>
      </w:r>
      <w:bookmarkEnd w:id="68"/>
      <w:bookmarkStart w:id="69" w:name="EBcd8eecf8fe5b48bf9b8870931d397aff"/>
      <w:r>
        <w:rPr>
          <w:rFonts w:hint="default" w:ascii="Times New Roman" w:hAnsi="Times New Roman" w:eastAsia="宋体" w:cs="Times New Roman"/>
          <w:color w:val="auto"/>
          <w:sz w:val="24"/>
          <w:szCs w:val="24"/>
          <w:highlight w:val="none"/>
        </w:rPr>
        <w:t xml:space="preserve"> </w:t>
      </w:r>
      <w:bookmarkEnd w:id="69"/>
    </w:p>
    <w:p w14:paraId="3B55D371">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70" w:name="_Toc14038"/>
      <w:bookmarkStart w:id="71" w:name="_Toc152516864"/>
      <w:bookmarkStart w:id="72" w:name="_Toc104293459"/>
      <w:bookmarkStart w:id="73" w:name="_Toc256000011"/>
      <w:bookmarkStart w:id="74" w:name="_Toc6097"/>
      <w:r>
        <w:rPr>
          <w:rFonts w:hint="default" w:ascii="Times New Roman" w:hAnsi="Times New Roman" w:eastAsia="宋体" w:cs="Times New Roman"/>
          <w:b/>
          <w:bCs/>
          <w:iCs/>
          <w:color w:val="auto"/>
          <w:kern w:val="2"/>
          <w:sz w:val="24"/>
          <w:szCs w:val="24"/>
          <w:highlight w:val="none"/>
          <w:lang w:val="en-US" w:eastAsia="zh-CN" w:bidi="ar-SA"/>
        </w:rPr>
        <w:t>三、投标文件</w:t>
      </w:r>
      <w:bookmarkEnd w:id="70"/>
      <w:bookmarkEnd w:id="71"/>
      <w:bookmarkEnd w:id="72"/>
      <w:bookmarkEnd w:id="73"/>
      <w:bookmarkEnd w:id="74"/>
    </w:p>
    <w:p w14:paraId="2925998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  投标文件的组成</w:t>
      </w:r>
      <w:r>
        <w:rPr>
          <w:rFonts w:hint="default" w:ascii="Times New Roman" w:hAnsi="Times New Roman" w:eastAsia="宋体" w:cs="Times New Roman"/>
          <w:color w:val="auto"/>
          <w:sz w:val="24"/>
          <w:szCs w:val="24"/>
          <w:highlight w:val="none"/>
        </w:rPr>
        <w:t xml:space="preserve"> </w:t>
      </w:r>
    </w:p>
    <w:p w14:paraId="5839823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.1电子版投标文件由资格</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w:t>
      </w:r>
      <w:r>
        <w:rPr>
          <w:rFonts w:hint="default" w:ascii="Times New Roman" w:hAnsi="Times New Roman" w:eastAsia="宋体" w:cs="Times New Roman"/>
          <w:color w:val="auto"/>
          <w:sz w:val="24"/>
          <w:szCs w:val="24"/>
          <w:highlight w:val="none"/>
          <w:lang w:val="en-US" w:eastAsia="zh-CN"/>
        </w:rPr>
        <w:t>报价响应</w:t>
      </w:r>
      <w:r>
        <w:rPr>
          <w:rFonts w:hint="default" w:ascii="Times New Roman" w:hAnsi="Times New Roman" w:eastAsia="宋体" w:cs="Times New Roman"/>
          <w:color w:val="auto"/>
          <w:sz w:val="24"/>
          <w:szCs w:val="24"/>
          <w:highlight w:val="none"/>
        </w:rPr>
        <w:t>文件、</w:t>
      </w:r>
      <w:r>
        <w:rPr>
          <w:rFonts w:hint="default" w:ascii="Times New Roman" w:hAnsi="Times New Roman" w:eastAsia="宋体" w:cs="Times New Roman"/>
          <w:color w:val="auto"/>
          <w:sz w:val="24"/>
          <w:szCs w:val="24"/>
          <w:highlight w:val="none"/>
          <w:lang w:val="en-US" w:eastAsia="zh-CN"/>
        </w:rPr>
        <w:t>商务</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文件三部分组成。详见第七章投标文件格式与要求。</w:t>
      </w:r>
    </w:p>
    <w:p w14:paraId="60B898F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.2投标人应仔细阅读招标文件的全部内容，按照招标文件要求编制投标文件。任何对招标文件的忽略或误解不能作为投标文件存在缺陷或瑕疵的理由，其风险由投标人自行承担。</w:t>
      </w:r>
    </w:p>
    <w:p w14:paraId="6F22B1B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18.3 为保证公平公正，除非本招标文件另有规定或说明，投标人对同一项目投标时，不得同时提供可选择投标方案。</w:t>
      </w:r>
    </w:p>
    <w:p w14:paraId="27C1C61F">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9</w:t>
      </w:r>
      <w:r>
        <w:rPr>
          <w:rFonts w:hint="default" w:ascii="Times New Roman" w:hAnsi="Times New Roman" w:eastAsia="宋体" w:cs="Times New Roman"/>
          <w:b/>
          <w:bCs/>
          <w:color w:val="auto"/>
          <w:sz w:val="24"/>
          <w:szCs w:val="24"/>
          <w:highlight w:val="none"/>
        </w:rPr>
        <w:t>.   投标文件的编制</w:t>
      </w:r>
    </w:p>
    <w:p w14:paraId="234EF212">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1投标文件的编制：投标人应下载政采云投标客户端，在政采云平台（https://www.zcygov.cn/）下载招标文件。未按要求执行将影响投标文件的提交，投标人因自身原因导致投标文件无法导入电子评标系统的，该投标文件将视为无效。</w:t>
      </w:r>
    </w:p>
    <w:p w14:paraId="0A1A9F7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.2 投标人根据自身实力可对多个标段进行投标。若投标人参与多个标段时，应分别编制投标文件。</w:t>
      </w:r>
    </w:p>
    <w:p w14:paraId="665607E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.3 投标人应详细阅读招标文件的全部内容。投标文件须对招标文件中的内容作出实质性</w:t>
      </w:r>
      <w:r>
        <w:rPr>
          <w:rFonts w:hint="default" w:ascii="Times New Roman" w:hAnsi="Times New Roman" w:eastAsia="宋体" w:cs="Times New Roman"/>
          <w:color w:val="auto"/>
          <w:sz w:val="24"/>
          <w:szCs w:val="24"/>
          <w:highlight w:val="none"/>
          <w:lang w:eastAsia="zh-CN"/>
        </w:rPr>
        <w:t>及</w:t>
      </w:r>
      <w:r>
        <w:rPr>
          <w:rFonts w:hint="default" w:ascii="Times New Roman" w:hAnsi="Times New Roman" w:eastAsia="宋体" w:cs="Times New Roman"/>
          <w:color w:val="auto"/>
          <w:sz w:val="24"/>
          <w:szCs w:val="24"/>
          <w:highlight w:val="none"/>
        </w:rPr>
        <w:t>完整</w:t>
      </w:r>
      <w:r>
        <w:rPr>
          <w:rFonts w:hint="default" w:ascii="Times New Roman" w:hAnsi="Times New Roman" w:eastAsia="宋体" w:cs="Times New Roman"/>
          <w:color w:val="auto"/>
          <w:sz w:val="24"/>
          <w:szCs w:val="24"/>
          <w:highlight w:val="none"/>
          <w:lang w:eastAsia="zh-CN"/>
        </w:rPr>
        <w:t>性</w:t>
      </w:r>
      <w:r>
        <w:rPr>
          <w:rFonts w:hint="default" w:ascii="Times New Roman" w:hAnsi="Times New Roman" w:eastAsia="宋体" w:cs="Times New Roman"/>
          <w:color w:val="auto"/>
          <w:sz w:val="24"/>
          <w:szCs w:val="24"/>
          <w:highlight w:val="none"/>
        </w:rPr>
        <w:t>响应，如果投标文件填报的内容不详，或没有提供招标文件中所要求的全部资料及数据，将可能导致其投标无效。</w:t>
      </w:r>
    </w:p>
    <w:p w14:paraId="7AFFEED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19.4 投标文件须严格按照本招标文件第七章规定的格式提交，并按规定的统一格式逐项填写，对于无相应内容可填的项，应填写“无”、“未测试”、“没有相应指标”等明确的回答文字，不得留白。对于因项目特殊性确实无法填写或不适用的内容，投标人可在相应位置注明“不适用”并简要说明原因。建议投标人避免出现编排混乱导致投标文件被误读或查找不到等情况。</w:t>
      </w:r>
    </w:p>
    <w:p w14:paraId="7C2F685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20</w:t>
      </w:r>
      <w:r>
        <w:rPr>
          <w:rFonts w:hint="default" w:ascii="Times New Roman" w:hAnsi="Times New Roman" w:eastAsia="宋体" w:cs="Times New Roman"/>
          <w:b/>
          <w:bCs/>
          <w:color w:val="auto"/>
          <w:sz w:val="24"/>
          <w:szCs w:val="24"/>
          <w:highlight w:val="none"/>
        </w:rPr>
        <w:t xml:space="preserve">.  投标文件的签署 </w:t>
      </w:r>
    </w:p>
    <w:p w14:paraId="0A01F4B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rPr>
        <w:t>.1 投标人应按招标文件要求对电子投标文件进行电子签名和签章，未按要求签名和签章的，评标时将视为无效投标文件。如投标人为自然人，应使用其本人的CA数字证书对电子投标文件进行电子签名。</w:t>
      </w:r>
    </w:p>
    <w:p w14:paraId="0A5FAE0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rPr>
        <w:t>.2 电子投标文件具有法律效力，若投标文件内容与招标文件要求不一致，其内容影响中标结果时，责任由投标人自行承担。</w:t>
      </w:r>
    </w:p>
    <w:p w14:paraId="36F5208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 投标语言</w:t>
      </w:r>
      <w:r>
        <w:rPr>
          <w:rFonts w:hint="default" w:ascii="Times New Roman" w:hAnsi="Times New Roman" w:eastAsia="宋体" w:cs="Times New Roman"/>
          <w:color w:val="auto"/>
          <w:sz w:val="24"/>
          <w:szCs w:val="24"/>
          <w:highlight w:val="none"/>
        </w:rPr>
        <w:t xml:space="preserve"> </w:t>
      </w:r>
    </w:p>
    <w:p w14:paraId="5439BA1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投标人提交的投标文件及投标人与交易中心就有关投标的所有往来函电均使用中文。投标人可以提交其他语言的资料，应附有中文注释。投标人提交的支持资料和已印制的文献可以用外文，但相应内容应附有中文翻译本，在解释投标文件时以中文翻译本为准。未附中文翻译本或翻译本中文内容明显与外文内容不一致的，其不利后果由投标人自行承担。 </w:t>
      </w:r>
    </w:p>
    <w:p w14:paraId="4C28CFCC">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 计量单位</w:t>
      </w:r>
      <w:r>
        <w:rPr>
          <w:rFonts w:hint="default" w:ascii="Times New Roman" w:hAnsi="Times New Roman" w:eastAsia="宋体" w:cs="Times New Roman"/>
          <w:color w:val="auto"/>
          <w:sz w:val="24"/>
          <w:szCs w:val="24"/>
          <w:highlight w:val="none"/>
        </w:rPr>
        <w:t xml:space="preserve"> </w:t>
      </w:r>
    </w:p>
    <w:p w14:paraId="2B3AA03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所有计量均采用中华人民共和国法定计量单位。 </w:t>
      </w:r>
    </w:p>
    <w:p w14:paraId="3B59FB3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 投标报价</w:t>
      </w:r>
      <w:r>
        <w:rPr>
          <w:rFonts w:hint="default" w:ascii="Times New Roman" w:hAnsi="Times New Roman" w:eastAsia="宋体" w:cs="Times New Roman"/>
          <w:color w:val="auto"/>
          <w:sz w:val="24"/>
          <w:szCs w:val="24"/>
          <w:highlight w:val="none"/>
        </w:rPr>
        <w:t xml:space="preserve"> </w:t>
      </w:r>
    </w:p>
    <w:p w14:paraId="4A5DB0A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.1 投标人应按招标文件规定的要求及责任范围和合同条件，以人民币进行报价。 </w:t>
      </w:r>
    </w:p>
    <w:p w14:paraId="5131CD0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.2 投标人应按《开标一览表》和《供货一览表》（或《分项价格表》）的内容和格式要求填写各项货物及服务的分项价格和总价</w:t>
      </w:r>
      <w:r>
        <w:rPr>
          <w:rFonts w:hint="default" w:ascii="Times New Roman" w:hAnsi="Times New Roman" w:eastAsia="宋体" w:cs="Times New Roman"/>
          <w:color w:val="auto"/>
          <w:sz w:val="24"/>
          <w:szCs w:val="24"/>
          <w:highlight w:val="none"/>
          <w:lang w:eastAsia="zh-CN"/>
        </w:rPr>
        <w:t>。</w:t>
      </w:r>
    </w:p>
    <w:p w14:paraId="18C801B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3除招标文件另有规定外，投标人对本项目每个标段只允许有一个报价，不接受可选择或可调整的投标方案和报价，否则，在评标时将视为无效投标。投标文件要按招标文件的要求标明单价、总价。单价与总价不符者，适应单价的原则。总价应用数字和文字两种形式分别表示，数字和文字有不同时，总价以文字表述为准。</w:t>
      </w:r>
    </w:p>
    <w:p w14:paraId="27BCA40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.4投标人的投标报价不得超过项目预算金额（含标段预算金额）或者最高限价，否则，在评标时将视为无效投标。</w:t>
      </w:r>
    </w:p>
    <w:p w14:paraId="69F8115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.5 投标报价即为履行合同的固定价格，不得以任何理由予以变更（除不可抗力因素）。任何包含价格调整要求和附加条件的投标报价，在评标时将视为无效投标。 </w:t>
      </w:r>
    </w:p>
    <w:p w14:paraId="3C0CC23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.6 投标人的报价应包括为完成本项目所发生的一切费用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安装、调试和培训</w:t>
      </w:r>
      <w:r>
        <w:rPr>
          <w:rFonts w:hint="default" w:ascii="Times New Roman" w:hAnsi="Times New Roman" w:eastAsia="宋体" w:cs="Times New Roman"/>
          <w:color w:val="auto"/>
          <w:sz w:val="24"/>
          <w:szCs w:val="24"/>
          <w:highlight w:val="none"/>
          <w:lang w:val="en-US" w:eastAsia="zh-CN"/>
        </w:rPr>
        <w:t>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和税费，采购人将不再支付报价以外的任何费用。只要投报了一个确定数额的总价，无论分项价格是否全部填报了相应的金额或免费字样，报价应被视为已经包含了但并不限于本次招标全部采购需求所应提供的</w:t>
      </w:r>
      <w:r>
        <w:rPr>
          <w:rFonts w:hint="default" w:ascii="Times New Roman" w:hAnsi="Times New Roman" w:eastAsia="宋体" w:cs="Times New Roman"/>
          <w:color w:val="auto"/>
          <w:sz w:val="24"/>
          <w:szCs w:val="24"/>
          <w:highlight w:val="none"/>
          <w:lang w:val="en-US" w:eastAsia="zh-CN"/>
        </w:rPr>
        <w:t>货物或</w:t>
      </w:r>
      <w:r>
        <w:rPr>
          <w:rFonts w:hint="default" w:ascii="Times New Roman" w:hAnsi="Times New Roman" w:eastAsia="宋体" w:cs="Times New Roman"/>
          <w:color w:val="auto"/>
          <w:sz w:val="24"/>
          <w:szCs w:val="24"/>
          <w:highlight w:val="none"/>
        </w:rPr>
        <w:t>服务，以及伴随的货物和工程等的费用和所需缴纳的所有价格、税、费。在其他情况下，由于分项报价填报不完整、不清楚或存在其他任何失误，所导致的任何不利后果均应当由投标人自行承担。</w:t>
      </w:r>
    </w:p>
    <w:p w14:paraId="2DDF19B2">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.7 投标人应该考虑但没有考虑到的任何费用应由投标人自行承担。</w:t>
      </w:r>
    </w:p>
    <w:p w14:paraId="78A97FFC">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.8 投标文件报价出现前后不一致的，按照本章第3</w:t>
      </w:r>
      <w:r>
        <w:rPr>
          <w:rFonts w:hint="default" w:ascii="Times New Roman" w:hAnsi="Times New Roman" w:eastAsia="宋体" w:cs="Times New Roman"/>
          <w:color w:val="auto"/>
          <w:sz w:val="24"/>
          <w:szCs w:val="24"/>
          <w:highlight w:val="none"/>
          <w:lang w:val="en-US" w:eastAsia="zh-CN"/>
        </w:rPr>
        <w:t>3.5.4</w:t>
      </w:r>
      <w:r>
        <w:rPr>
          <w:rFonts w:hint="default" w:ascii="Times New Roman" w:hAnsi="Times New Roman" w:eastAsia="宋体" w:cs="Times New Roman"/>
          <w:color w:val="auto"/>
          <w:sz w:val="24"/>
          <w:szCs w:val="24"/>
          <w:highlight w:val="none"/>
        </w:rPr>
        <w:t>款规定修正。</w:t>
      </w:r>
    </w:p>
    <w:p w14:paraId="72C11DCA">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.9 分项价格表应包含</w:t>
      </w:r>
      <w:r>
        <w:rPr>
          <w:rFonts w:hint="default" w:ascii="Times New Roman" w:hAnsi="Times New Roman" w:eastAsia="宋体" w:cs="Times New Roman"/>
          <w:color w:val="auto"/>
          <w:sz w:val="24"/>
          <w:szCs w:val="24"/>
          <w:highlight w:val="none"/>
          <w:lang w:val="en-US" w:eastAsia="zh-CN"/>
        </w:rPr>
        <w:t>但不限于</w:t>
      </w:r>
      <w:r>
        <w:rPr>
          <w:rFonts w:hint="default" w:ascii="Times New Roman" w:hAnsi="Times New Roman" w:eastAsia="宋体" w:cs="Times New Roman"/>
          <w:color w:val="auto"/>
          <w:sz w:val="24"/>
          <w:szCs w:val="24"/>
          <w:highlight w:val="none"/>
        </w:rPr>
        <w:t>以下内容：</w:t>
      </w:r>
    </w:p>
    <w:p w14:paraId="6C3B44C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（1）报价应按照</w:t>
      </w:r>
      <w:r>
        <w:rPr>
          <w:rFonts w:hint="default" w:ascii="Times New Roman" w:hAnsi="Times New Roman" w:eastAsia="宋体" w:cs="Times New Roman"/>
          <w:color w:val="auto"/>
          <w:sz w:val="24"/>
          <w:szCs w:val="24"/>
          <w:highlight w:val="none"/>
          <w:lang w:val="en-US" w:eastAsia="zh-CN"/>
        </w:rPr>
        <w:t>采购需求内容</w:t>
      </w:r>
      <w:r>
        <w:rPr>
          <w:rFonts w:hint="default" w:ascii="Times New Roman" w:hAnsi="Times New Roman" w:eastAsia="宋体" w:cs="Times New Roman"/>
          <w:color w:val="auto"/>
          <w:sz w:val="24"/>
          <w:szCs w:val="24"/>
          <w:highlight w:val="none"/>
        </w:rPr>
        <w:t>分类进行报价。</w:t>
      </w:r>
    </w:p>
    <w:p w14:paraId="473169A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（2）技术招标文件中特别要求的备件价格。</w:t>
      </w:r>
    </w:p>
    <w:p w14:paraId="2BEA07D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（3）运输费、保险费、税费和产品运抵交货地点所产生的其他费用。</w:t>
      </w:r>
    </w:p>
    <w:p w14:paraId="7F45153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（4）售后服务费。</w:t>
      </w:r>
    </w:p>
    <w:p w14:paraId="48CCCB1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23.10 除政策性文件规定以外，投标人所报价格在合同实施期间不因市场变化因素而变动。</w:t>
      </w:r>
    </w:p>
    <w:p w14:paraId="27E134E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投标文件的内容</w:t>
      </w:r>
      <w:r>
        <w:rPr>
          <w:rFonts w:hint="default" w:ascii="Times New Roman" w:hAnsi="Times New Roman" w:eastAsia="宋体" w:cs="Times New Roman"/>
          <w:color w:val="auto"/>
          <w:sz w:val="24"/>
          <w:szCs w:val="24"/>
          <w:highlight w:val="none"/>
        </w:rPr>
        <w:t xml:space="preserve"> </w:t>
      </w:r>
    </w:p>
    <w:p w14:paraId="21A3D69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b/>
          <w:bCs/>
          <w:color w:val="auto"/>
          <w:sz w:val="24"/>
          <w:szCs w:val="24"/>
          <w:highlight w:val="none"/>
          <w:lang w:eastAsia="zh-CN"/>
        </w:rPr>
        <w:t>资格响应文件</w:t>
      </w:r>
    </w:p>
    <w:p w14:paraId="31992152">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.1.1</w:t>
      </w:r>
      <w:r>
        <w:rPr>
          <w:rFonts w:hint="default" w:ascii="Times New Roman" w:hAnsi="Times New Roman" w:eastAsia="宋体" w:cs="Times New Roman"/>
          <w:color w:val="auto"/>
          <w:sz w:val="24"/>
          <w:szCs w:val="24"/>
          <w:highlight w:val="none"/>
          <w:lang w:eastAsia="zh-CN"/>
        </w:rPr>
        <w:t>资格响应文件</w:t>
      </w:r>
      <w:r>
        <w:rPr>
          <w:rFonts w:hint="default" w:ascii="Times New Roman" w:hAnsi="Times New Roman" w:eastAsia="宋体" w:cs="Times New Roman"/>
          <w:color w:val="auto"/>
          <w:sz w:val="24"/>
          <w:szCs w:val="24"/>
          <w:highlight w:val="none"/>
        </w:rPr>
        <w:t>包含但不仅限于第一章要求的资格审查文件。</w:t>
      </w:r>
    </w:p>
    <w:p w14:paraId="6E69F51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.1.2如果投标人为联合体，则应提交联合体协议。否则，在资格审查时将视为无效投标。</w:t>
      </w:r>
    </w:p>
    <w:p w14:paraId="4E6803D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2</w:t>
      </w:r>
      <w:r>
        <w:rPr>
          <w:rFonts w:hint="default" w:ascii="Times New Roman" w:hAnsi="Times New Roman" w:eastAsia="宋体"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rPr>
        <w:t xml:space="preserve">.1.3 </w:t>
      </w:r>
      <w:r>
        <w:rPr>
          <w:rFonts w:hint="default" w:ascii="Times New Roman" w:hAnsi="Times New Roman" w:eastAsia="宋体" w:cs="Times New Roman"/>
          <w:color w:val="auto"/>
          <w:sz w:val="24"/>
          <w:szCs w:val="24"/>
          <w:highlight w:val="none"/>
        </w:rPr>
        <w:t xml:space="preserve">投标人有下列情形之一的，视为无效投标： </w:t>
      </w:r>
    </w:p>
    <w:p w14:paraId="100FC25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（1）未按招标文件要求提交</w:t>
      </w:r>
      <w:r>
        <w:rPr>
          <w:rFonts w:hint="default" w:ascii="Times New Roman" w:hAnsi="Times New Roman" w:eastAsia="宋体" w:cs="Times New Roman"/>
          <w:color w:val="auto"/>
          <w:sz w:val="24"/>
          <w:szCs w:val="24"/>
          <w:highlight w:val="none"/>
          <w:lang w:eastAsia="zh-CN"/>
        </w:rPr>
        <w:t>资格响应文件</w:t>
      </w:r>
      <w:r>
        <w:rPr>
          <w:rFonts w:hint="default" w:ascii="Times New Roman" w:hAnsi="Times New Roman" w:eastAsia="宋体" w:cs="Times New Roman"/>
          <w:color w:val="auto"/>
          <w:sz w:val="24"/>
          <w:szCs w:val="24"/>
          <w:highlight w:val="none"/>
        </w:rPr>
        <w:t>的或提供虚假</w:t>
      </w:r>
      <w:r>
        <w:rPr>
          <w:rFonts w:hint="default" w:ascii="Times New Roman" w:hAnsi="Times New Roman" w:eastAsia="宋体" w:cs="Times New Roman"/>
          <w:color w:val="auto"/>
          <w:sz w:val="24"/>
          <w:szCs w:val="24"/>
          <w:highlight w:val="none"/>
          <w:lang w:eastAsia="zh-CN"/>
        </w:rPr>
        <w:t>资格响应文件</w:t>
      </w:r>
      <w:r>
        <w:rPr>
          <w:rFonts w:hint="default" w:ascii="Times New Roman" w:hAnsi="Times New Roman" w:eastAsia="宋体" w:cs="Times New Roman"/>
          <w:color w:val="auto"/>
          <w:sz w:val="24"/>
          <w:szCs w:val="24"/>
          <w:highlight w:val="none"/>
        </w:rPr>
        <w:t xml:space="preserve">的； </w:t>
      </w:r>
    </w:p>
    <w:p w14:paraId="053AF97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eastAsia="zh-CN"/>
        </w:rPr>
        <w:t>资格响应文件</w:t>
      </w:r>
      <w:r>
        <w:rPr>
          <w:rFonts w:hint="default" w:ascii="Times New Roman" w:hAnsi="Times New Roman" w:eastAsia="宋体" w:cs="Times New Roman"/>
          <w:color w:val="auto"/>
          <w:sz w:val="24"/>
          <w:szCs w:val="24"/>
          <w:highlight w:val="none"/>
        </w:rPr>
        <w:t>不在有效期内或未按有关规定履行年度报告公示义务的。</w:t>
      </w:r>
    </w:p>
    <w:p w14:paraId="39B6057C">
      <w:pPr>
        <w:pageBreakBefore w:val="0"/>
        <w:widowControl w:val="0"/>
        <w:kinsoku/>
        <w:wordWrap/>
        <w:overflowPunct/>
        <w:topLinePunct w:val="0"/>
        <w:autoSpaceDE/>
        <w:autoSpaceDN/>
        <w:bidi w:val="0"/>
        <w:adjustRightInd w:val="0"/>
        <w:snapToGrid w:val="0"/>
        <w:spacing w:line="360" w:lineRule="auto"/>
        <w:ind w:firstLine="477" w:firstLineChars="198"/>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.2  </w:t>
      </w:r>
      <w:r>
        <w:rPr>
          <w:rFonts w:hint="default" w:ascii="Times New Roman" w:hAnsi="Times New Roman" w:eastAsia="宋体" w:cs="Times New Roman"/>
          <w:b/>
          <w:bCs/>
          <w:color w:val="auto"/>
          <w:sz w:val="24"/>
          <w:szCs w:val="24"/>
          <w:highlight w:val="none"/>
          <w:lang w:val="en-US" w:eastAsia="zh-CN"/>
        </w:rPr>
        <w:t>报价响应</w:t>
      </w:r>
      <w:r>
        <w:rPr>
          <w:rFonts w:hint="default" w:ascii="Times New Roman" w:hAnsi="Times New Roman" w:eastAsia="宋体" w:cs="Times New Roman"/>
          <w:b/>
          <w:bCs/>
          <w:color w:val="auto"/>
          <w:sz w:val="24"/>
          <w:szCs w:val="24"/>
          <w:highlight w:val="none"/>
        </w:rPr>
        <w:t>文件</w:t>
      </w:r>
    </w:p>
    <w:p w14:paraId="29F02D68">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报价响应文件包括但不限于：</w:t>
      </w:r>
    </w:p>
    <w:p w14:paraId="763BD7C9">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（1）价格表；</w:t>
      </w:r>
    </w:p>
    <w:p w14:paraId="0E087033">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供货一览表</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分项价格表</w:t>
      </w:r>
      <w:r>
        <w:rPr>
          <w:rFonts w:hint="default" w:ascii="Times New Roman" w:hAnsi="Times New Roman" w:eastAsia="宋体" w:cs="Times New Roman"/>
          <w:color w:val="auto"/>
          <w:sz w:val="24"/>
          <w:szCs w:val="24"/>
          <w:highlight w:val="none"/>
          <w:lang w:eastAsia="zh-CN"/>
        </w:rPr>
        <w:t>；</w:t>
      </w:r>
    </w:p>
    <w:p w14:paraId="1330EEE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）其他文件。</w:t>
      </w:r>
    </w:p>
    <w:p w14:paraId="0386B88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.3  商务技术响应文件</w:t>
      </w:r>
    </w:p>
    <w:p w14:paraId="4C66C6F5">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商务文件内容包括资质证明、工作业绩、技术实力等反映投标人的项目实施能力的文件。技术文件主要反映招标文件要求的有关技术方案、技术规格以及所提供详细技术指标等内容。主要包括：</w:t>
      </w:r>
    </w:p>
    <w:p w14:paraId="5DF43B17">
      <w:pPr>
        <w:pageBreakBefore w:val="0"/>
        <w:widowControl w:val="0"/>
        <w:kinsoku/>
        <w:wordWrap/>
        <w:overflowPunct/>
        <w:topLinePunct w:val="0"/>
        <w:autoSpaceDE/>
        <w:autoSpaceDN/>
        <w:bidi w:val="0"/>
        <w:adjustRightInd w:val="0"/>
        <w:snapToGrid w:val="0"/>
        <w:spacing w:line="360" w:lineRule="auto"/>
        <w:ind w:right="17" w:rightChars="8"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）业绩资料；</w:t>
      </w:r>
    </w:p>
    <w:p w14:paraId="7067E47E">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（2）资质证明文件（如果需要）；</w:t>
      </w:r>
    </w:p>
    <w:p w14:paraId="14BDA20D">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）项目概况及特点；</w:t>
      </w:r>
    </w:p>
    <w:p w14:paraId="7EFC5E4A">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）技术方案（或服务方案）及设计图纸（如果需要）；</w:t>
      </w:r>
    </w:p>
    <w:p w14:paraId="5E57CDD0">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）技术规格（或服务计划）；</w:t>
      </w:r>
    </w:p>
    <w:p w14:paraId="1BEBD9A4">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）产品说明书；</w:t>
      </w:r>
    </w:p>
    <w:p w14:paraId="176B43A7">
      <w:pPr>
        <w:pageBreakBefore w:val="0"/>
        <w:widowControl w:val="0"/>
        <w:kinsoku/>
        <w:wordWrap/>
        <w:overflowPunct/>
        <w:topLinePunct w:val="0"/>
        <w:autoSpaceDE/>
        <w:autoSpaceDN/>
        <w:bidi w:val="0"/>
        <w:adjustRightInd w:val="0"/>
        <w:snapToGrid w:val="0"/>
        <w:spacing w:line="360" w:lineRule="auto"/>
        <w:ind w:right="17"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）技术培训（如果需要）；</w:t>
      </w:r>
    </w:p>
    <w:p w14:paraId="61CD2860">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）供货及质保承诺（或完工及服务期承诺）；</w:t>
      </w:r>
    </w:p>
    <w:p w14:paraId="03864F8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）其他文件（如人员明细、劳动力配置等情况说明及其他证明文件）（如果需要）。</w:t>
      </w:r>
    </w:p>
    <w:p w14:paraId="78C082A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 投标文件实质响应招标文件</w:t>
      </w:r>
      <w:r>
        <w:rPr>
          <w:rFonts w:hint="default" w:ascii="Times New Roman" w:hAnsi="Times New Roman" w:eastAsia="宋体" w:cs="Times New Roman"/>
          <w:color w:val="auto"/>
          <w:sz w:val="24"/>
          <w:szCs w:val="24"/>
          <w:highlight w:val="none"/>
        </w:rPr>
        <w:t xml:space="preserve"> </w:t>
      </w:r>
    </w:p>
    <w:p w14:paraId="722FC61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 xml:space="preserve">.1 投标人应当提交其拟供的合同项下货物及其服务符合招标文件规定的证明文件，该证明文件作为投标文件的一部分。 </w:t>
      </w:r>
    </w:p>
    <w:p w14:paraId="5700033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.2 投标人应按招标文件要求详细填写相关表格。</w:t>
      </w:r>
    </w:p>
    <w:p w14:paraId="1FC30BB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.3 技术规格、参数响应偏离表应对照招标文件技术要求逐条详细填写响应内容，不得简单以“均响应”、“完全响应”等同等含义文字代替技术要求的描述，否则评标委员会将判定其未响应。投标人须注意：为合理节约政府采购评审成本，提倡诚实信用的投标行为，特别要求投标人应本着诚信精神，在本次投标文件的偏离表中，均以审慎的态度明确、清楚地披露各项偏离情况。若投标人对某一事项是否存在或是否属于负偏离不能确定，亦必须在偏离表中清楚地表明该偏离事项，并可以注明不能确定的字样。任何情况下，对于投标人没有在偏离表中明确、清楚地披露的事项，包括可能属于被投标人在偏离表中遗漏披露的事项，将被认定为属于负偏离。</w:t>
      </w:r>
    </w:p>
    <w:p w14:paraId="18FB60C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 xml:space="preserve">. 投标有效期 </w:t>
      </w:r>
      <w:r>
        <w:rPr>
          <w:rFonts w:hint="default" w:ascii="Times New Roman" w:hAnsi="Times New Roman" w:eastAsia="宋体" w:cs="Times New Roman"/>
          <w:color w:val="auto"/>
          <w:sz w:val="24"/>
          <w:szCs w:val="24"/>
          <w:highlight w:val="none"/>
        </w:rPr>
        <w:t xml:space="preserve"> </w:t>
      </w:r>
    </w:p>
    <w:p w14:paraId="7645521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.1投标有效期见“第二章 招标文件前附表”，在此期间投标文件对投标人具有法律约束力，以保证采购人有足够的时间完成评标、定标以及签订合同。投标有效期不足的，在评标时将其视为无效投标。</w:t>
      </w:r>
    </w:p>
    <w:p w14:paraId="03F0EC5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.2 特殊情况下，在原投标文件有效期截止之前，采购代理机构或采购人可要求投标人延长投标有效期。需要延长投标有效期时，采购代理机构或采购人将以书面形式通知所有投标人，投标人应以书面形式答复是否同意延长投标有效期。</w:t>
      </w:r>
    </w:p>
    <w:p w14:paraId="0F13414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 xml:space="preserve">.3 投标人同意延长的，其投标保证金的有效期也相应延长，但不得要求或被允许修改或撤销其投标文件；投标人拒绝延长的，其投标文件在原投标有效期满后将不再有效，但其提交的投标保证金可予以退还。 </w:t>
      </w:r>
    </w:p>
    <w:p w14:paraId="1EC03FB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default" w:ascii="Times New Roman" w:hAnsi="Times New Roman" w:eastAsia="宋体"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 样品及演示</w:t>
      </w:r>
      <w:r>
        <w:rPr>
          <w:rFonts w:hint="default" w:ascii="Times New Roman" w:hAnsi="Times New Roman" w:eastAsia="宋体" w:cs="Times New Roman"/>
          <w:color w:val="auto"/>
          <w:sz w:val="24"/>
          <w:szCs w:val="24"/>
          <w:highlight w:val="none"/>
        </w:rPr>
        <w:t xml:space="preserve"> </w:t>
      </w:r>
    </w:p>
    <w:p w14:paraId="3B9116C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.1本项目是否要求投标人提供样品，以及样品制作的标准和要求、是否需要随样品提交相关检测报告、样品的递交等要求见招标文件第二章。</w:t>
      </w:r>
    </w:p>
    <w:p w14:paraId="406A4D2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.2样品退还：未中标的投标人自行联系采购人或集采机构取回投标样品；中标人的样品由采购人进行保管、封存，并作为履约验收的参考（招标文件另有规定的从其规定）。</w:t>
      </w:r>
    </w:p>
    <w:p w14:paraId="3AAD902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.3 样品的评审方法以及评审标准等内容见招标文件第五章。</w:t>
      </w:r>
    </w:p>
    <w:p w14:paraId="16A1D56D">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75" w:name="EBe30f8b79ac024dd3a8d37824d3983b65"/>
      <w:r>
        <w:rPr>
          <w:rFonts w:hint="default" w:ascii="Times New Roman" w:hAnsi="Times New Roman" w:eastAsia="宋体" w:cs="Times New Roman"/>
          <w:color w:val="auto"/>
          <w:sz w:val="24"/>
          <w:szCs w:val="24"/>
          <w:highlight w:val="none"/>
        </w:rPr>
        <w:t xml:space="preserve"> </w:t>
      </w:r>
      <w:bookmarkEnd w:id="75"/>
      <w:bookmarkStart w:id="76" w:name="EB2483f9d8c5024f89af709c3d98ec2104"/>
      <w:r>
        <w:rPr>
          <w:rFonts w:hint="default" w:ascii="Times New Roman" w:hAnsi="Times New Roman" w:eastAsia="宋体" w:cs="Times New Roman"/>
          <w:color w:val="auto"/>
          <w:sz w:val="24"/>
          <w:szCs w:val="24"/>
          <w:highlight w:val="none"/>
        </w:rPr>
        <w:t xml:space="preserve"> </w:t>
      </w:r>
      <w:bookmarkEnd w:id="76"/>
      <w:bookmarkStart w:id="77" w:name="EB9cfc61f9e3dc4aad9dd042e004b7c638"/>
      <w:r>
        <w:rPr>
          <w:rFonts w:hint="default" w:ascii="Times New Roman" w:hAnsi="Times New Roman" w:eastAsia="宋体" w:cs="Times New Roman"/>
          <w:color w:val="auto"/>
          <w:sz w:val="24"/>
          <w:szCs w:val="24"/>
          <w:highlight w:val="none"/>
        </w:rPr>
        <w:t xml:space="preserve"> </w:t>
      </w:r>
      <w:bookmarkEnd w:id="77"/>
    </w:p>
    <w:p w14:paraId="0D5A8C2C">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78" w:name="_Toc152516865"/>
      <w:bookmarkStart w:id="79" w:name="_Toc26961"/>
      <w:bookmarkStart w:id="80" w:name="_Toc256000012"/>
      <w:bookmarkStart w:id="81" w:name="_Toc27142"/>
      <w:bookmarkStart w:id="82" w:name="_Toc104293460"/>
      <w:r>
        <w:rPr>
          <w:rFonts w:hint="default" w:ascii="Times New Roman" w:hAnsi="Times New Roman" w:eastAsia="宋体" w:cs="Times New Roman"/>
          <w:b/>
          <w:bCs/>
          <w:iCs/>
          <w:color w:val="auto"/>
          <w:kern w:val="2"/>
          <w:sz w:val="24"/>
          <w:szCs w:val="24"/>
          <w:highlight w:val="none"/>
          <w:lang w:val="en-US" w:eastAsia="zh-CN" w:bidi="ar-SA"/>
        </w:rPr>
        <w:t>四、投标文件的提交、修改和撤回</w:t>
      </w:r>
      <w:bookmarkEnd w:id="78"/>
      <w:bookmarkEnd w:id="79"/>
      <w:bookmarkEnd w:id="80"/>
      <w:bookmarkEnd w:id="81"/>
      <w:bookmarkEnd w:id="82"/>
    </w:p>
    <w:p w14:paraId="4C8F68A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w:t>
      </w:r>
      <w:r>
        <w:rPr>
          <w:rFonts w:hint="default" w:ascii="Times New Roman" w:hAnsi="Times New Roman" w:eastAsia="宋体"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rPr>
        <w:t>．投标文件的提交</w:t>
      </w:r>
    </w:p>
    <w:p w14:paraId="5AA0979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.1投标文件通过数字证书进行加密并签章。未按要求执行的投标文件，政采云平台将无法接受，交易中心不予受理。</w:t>
      </w:r>
    </w:p>
    <w:p w14:paraId="5104859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.2 投标人应在招标文件规定的投标截止时间前将电子投标文件网络传输至政采云平台的</w:t>
      </w:r>
      <w:r>
        <w:rPr>
          <w:rFonts w:hint="default" w:ascii="Times New Roman" w:hAnsi="Times New Roman" w:eastAsia="宋体" w:cs="Times New Roman"/>
          <w:color w:val="auto"/>
          <w:sz w:val="24"/>
          <w:szCs w:val="24"/>
          <w:highlight w:val="none"/>
          <w:lang w:eastAsia="zh-CN"/>
        </w:rPr>
        <w:t>相应</w:t>
      </w:r>
      <w:r>
        <w:rPr>
          <w:rFonts w:hint="default" w:ascii="Times New Roman" w:hAnsi="Times New Roman" w:eastAsia="宋体" w:cs="Times New Roman"/>
          <w:color w:val="auto"/>
          <w:sz w:val="24"/>
          <w:szCs w:val="24"/>
          <w:highlight w:val="none"/>
        </w:rPr>
        <w:t>栏目，逾期不予受理。</w:t>
      </w:r>
    </w:p>
    <w:p w14:paraId="6372070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.3因自身原因导致投标文件提交不成功的，由投标人自行承担不利后果。</w:t>
      </w:r>
    </w:p>
    <w:p w14:paraId="183C17B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.4 投标人所递交的电子投标文件不予退还。</w:t>
      </w:r>
    </w:p>
    <w:p w14:paraId="6A07BC7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29</w:t>
      </w:r>
      <w:r>
        <w:rPr>
          <w:rFonts w:hint="default" w:ascii="Times New Roman" w:hAnsi="Times New Roman" w:eastAsia="宋体" w:cs="Times New Roman"/>
          <w:b/>
          <w:bCs/>
          <w:color w:val="auto"/>
          <w:sz w:val="24"/>
          <w:szCs w:val="24"/>
          <w:highlight w:val="none"/>
        </w:rPr>
        <w:t>. 投标文件的修改和撤回</w:t>
      </w:r>
      <w:r>
        <w:rPr>
          <w:rFonts w:hint="default" w:ascii="Times New Roman" w:hAnsi="Times New Roman" w:eastAsia="宋体" w:cs="Times New Roman"/>
          <w:color w:val="auto"/>
          <w:sz w:val="24"/>
          <w:szCs w:val="24"/>
          <w:highlight w:val="none"/>
        </w:rPr>
        <w:t xml:space="preserve"> </w:t>
      </w:r>
    </w:p>
    <w:p w14:paraId="501607E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投标人在招标文件规定的投标截止时间前可以撤回投标文件，也可以撤回并修改后重新提交。在投标截止时间之后，不得撤回投标文件。</w:t>
      </w:r>
    </w:p>
    <w:p w14:paraId="107FC9FD">
      <w:pPr>
        <w:pageBreakBefore w:val="0"/>
        <w:widowControl w:val="0"/>
        <w:kinsoku/>
        <w:wordWrap/>
        <w:overflowPunct/>
        <w:topLinePunct w:val="0"/>
        <w:autoSpaceDE/>
        <w:autoSpaceDN/>
        <w:bidi w:val="0"/>
        <w:adjustRightInd w:val="0"/>
        <w:snapToGrid w:val="0"/>
        <w:spacing w:line="360" w:lineRule="auto"/>
        <w:ind w:firstLine="477"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0</w:t>
      </w:r>
      <w:r>
        <w:rPr>
          <w:rFonts w:hint="default" w:ascii="Times New Roman" w:hAnsi="Times New Roman" w:eastAsia="宋体" w:cs="Times New Roman"/>
          <w:b/>
          <w:bCs/>
          <w:color w:val="auto"/>
          <w:sz w:val="24"/>
          <w:szCs w:val="24"/>
          <w:highlight w:val="none"/>
        </w:rPr>
        <w:t>. 串通投标</w:t>
      </w:r>
      <w:r>
        <w:rPr>
          <w:rFonts w:hint="default" w:ascii="Times New Roman" w:hAnsi="Times New Roman" w:eastAsia="宋体" w:cs="Times New Roman"/>
          <w:color w:val="auto"/>
          <w:sz w:val="24"/>
          <w:szCs w:val="24"/>
          <w:highlight w:val="none"/>
        </w:rPr>
        <w:t xml:space="preserve"> </w:t>
      </w:r>
    </w:p>
    <w:p w14:paraId="3336751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有下列情形之一的，视为投标人串通投标，其投标无效：</w:t>
      </w:r>
    </w:p>
    <w:p w14:paraId="2243AFF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（1）不同投标人的投标文件由同一单位或者个人编制；</w:t>
      </w:r>
    </w:p>
    <w:p w14:paraId="2C51F1B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（2）不同投标人委托同一单位或者个人办理投标事宜；</w:t>
      </w:r>
    </w:p>
    <w:p w14:paraId="734081E0">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（3）不同投标人的投标文件载明的项目管理成员或者联系人员为同一人；</w:t>
      </w:r>
    </w:p>
    <w:p w14:paraId="573172F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（4）不同投标人的投标文件异常一致或者投标报价呈规律性差异；</w:t>
      </w:r>
    </w:p>
    <w:p w14:paraId="3C8755C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（5）不同投标人的投标资料相互混装；</w:t>
      </w:r>
    </w:p>
    <w:p w14:paraId="248F63F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（6）不同投标人的投标保证金从同一单位或者个人的账户转出。</w:t>
      </w:r>
    </w:p>
    <w:p w14:paraId="418B89C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（7）相关法律、法规规定的其他形式。</w:t>
      </w:r>
    </w:p>
    <w:p w14:paraId="42684337">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83" w:name="EB66ceaa6b39824d508105a628bcafcd9b"/>
      <w:r>
        <w:rPr>
          <w:rFonts w:hint="default" w:ascii="Times New Roman" w:hAnsi="Times New Roman" w:eastAsia="宋体" w:cs="Times New Roman"/>
          <w:color w:val="auto"/>
          <w:sz w:val="24"/>
          <w:szCs w:val="24"/>
          <w:highlight w:val="none"/>
        </w:rPr>
        <w:t xml:space="preserve"> </w:t>
      </w:r>
      <w:bookmarkEnd w:id="83"/>
      <w:bookmarkStart w:id="84" w:name="EB6af295d2da2b4778b7c2c5c7e5eea71a"/>
      <w:r>
        <w:rPr>
          <w:rFonts w:hint="default" w:ascii="Times New Roman" w:hAnsi="Times New Roman" w:eastAsia="宋体" w:cs="Times New Roman"/>
          <w:color w:val="auto"/>
          <w:sz w:val="24"/>
          <w:szCs w:val="24"/>
          <w:highlight w:val="none"/>
        </w:rPr>
        <w:t xml:space="preserve"> </w:t>
      </w:r>
      <w:bookmarkEnd w:id="84"/>
      <w:bookmarkStart w:id="85" w:name="EBa1eff873611b4b6486cc1da270cc8651"/>
      <w:r>
        <w:rPr>
          <w:rFonts w:hint="default" w:ascii="Times New Roman" w:hAnsi="Times New Roman" w:eastAsia="宋体" w:cs="Times New Roman"/>
          <w:color w:val="auto"/>
          <w:sz w:val="24"/>
          <w:szCs w:val="24"/>
          <w:highlight w:val="none"/>
        </w:rPr>
        <w:t xml:space="preserve"> </w:t>
      </w:r>
      <w:bookmarkEnd w:id="85"/>
    </w:p>
    <w:p w14:paraId="5132B052">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86" w:name="_Toc104293461"/>
      <w:bookmarkStart w:id="87" w:name="_Toc256000013"/>
      <w:bookmarkStart w:id="88" w:name="_Toc15755"/>
      <w:bookmarkStart w:id="89" w:name="_Toc13963"/>
      <w:bookmarkStart w:id="90" w:name="_Toc152516866"/>
      <w:r>
        <w:rPr>
          <w:rFonts w:hint="default" w:ascii="Times New Roman" w:hAnsi="Times New Roman" w:eastAsia="宋体" w:cs="Times New Roman"/>
          <w:b/>
          <w:bCs/>
          <w:iCs/>
          <w:color w:val="auto"/>
          <w:kern w:val="2"/>
          <w:sz w:val="24"/>
          <w:szCs w:val="24"/>
          <w:highlight w:val="none"/>
          <w:lang w:val="en-US" w:eastAsia="zh-CN" w:bidi="ar-SA"/>
        </w:rPr>
        <w:t>五、开标与评审</w:t>
      </w:r>
      <w:bookmarkEnd w:id="86"/>
      <w:bookmarkEnd w:id="87"/>
      <w:bookmarkEnd w:id="88"/>
      <w:bookmarkEnd w:id="89"/>
      <w:bookmarkEnd w:id="90"/>
      <w:r>
        <w:rPr>
          <w:rFonts w:hint="default" w:ascii="Times New Roman" w:hAnsi="Times New Roman" w:eastAsia="宋体" w:cs="Times New Roman"/>
          <w:b/>
          <w:bCs/>
          <w:iCs/>
          <w:color w:val="auto"/>
          <w:kern w:val="2"/>
          <w:sz w:val="24"/>
          <w:szCs w:val="24"/>
          <w:highlight w:val="none"/>
          <w:lang w:val="en-US" w:eastAsia="zh-CN" w:bidi="ar-SA"/>
        </w:rPr>
        <w:t xml:space="preserve"> </w:t>
      </w:r>
    </w:p>
    <w:p w14:paraId="5AFF353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 xml:space="preserve">. 开标 </w:t>
      </w:r>
    </w:p>
    <w:p w14:paraId="0909EADE">
      <w:pPr>
        <w:pageBreakBefore w:val="0"/>
        <w:widowControl w:val="0"/>
        <w:kinsoku/>
        <w:wordWrap/>
        <w:overflowPunct/>
        <w:topLinePunct w:val="0"/>
        <w:autoSpaceDE/>
        <w:autoSpaceDN/>
        <w:bidi w:val="0"/>
        <w:adjustRightInd w:val="0"/>
        <w:snapToGrid w:val="0"/>
        <w:spacing w:line="360" w:lineRule="auto"/>
        <w:ind w:firstLine="413"/>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交易中心按招标文件规定组织开标会议。投标人不足3家的，不得开标。</w:t>
      </w:r>
    </w:p>
    <w:p w14:paraId="136DA66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.1 开标时，投标人出现下列情形之一的，交易中心不予受理，不得进入评审：</w:t>
      </w:r>
    </w:p>
    <w:p w14:paraId="6A14863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（1）经检查数字证书无效的电子投标文件；</w:t>
      </w:r>
    </w:p>
    <w:p w14:paraId="2788EC1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（2）电子投标文件未按招标文件要求提交的；</w:t>
      </w:r>
    </w:p>
    <w:p w14:paraId="34260F3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（3）未按“招标文件前附表”的规定解密电子投标文件的；</w:t>
      </w:r>
    </w:p>
    <w:p w14:paraId="0428AB4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（4）未按招标文件内容执行的或其他违反法律、法规的情形。</w:t>
      </w:r>
    </w:p>
    <w:p w14:paraId="3A72ED0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.2 投标人代表对开标过程和开标记录有疑义，以及认为采购人、采购代理机构相关工作人员有需要回避的情形的，应在开标会议中提出询问或者回避申请。采购人、采购代理机构对投标人授权代表提出的询问或者回避申请应当及时处理。</w:t>
      </w:r>
    </w:p>
    <w:p w14:paraId="1D6446F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投标人未参加开标的，视同认可开标结果。</w:t>
      </w:r>
    </w:p>
    <w:p w14:paraId="40DA6CC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.3 开标程序</w:t>
      </w:r>
    </w:p>
    <w:p w14:paraId="11F2EB40">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.3.1 投标人签到。</w:t>
      </w:r>
    </w:p>
    <w:p w14:paraId="25ECAE6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.3.2 解密文件：由投标人使用CA数字证书登录政采云平台解密电子投标文件。</w:t>
      </w:r>
    </w:p>
    <w:p w14:paraId="2A9D939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.3.3 解密完成后，系统自动显示投标人的名称、投标报价，供货期及质保期或完工期及服务期等交易中心认为合适的其他详细内容。</w:t>
      </w:r>
    </w:p>
    <w:p w14:paraId="0F62A036">
      <w:pPr>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.4 </w:t>
      </w:r>
      <w:r>
        <w:rPr>
          <w:rFonts w:hint="default" w:ascii="Times New Roman" w:hAnsi="Times New Roman" w:eastAsia="宋体" w:cs="Times New Roman"/>
          <w:bCs/>
          <w:color w:val="auto"/>
          <w:sz w:val="24"/>
          <w:szCs w:val="24"/>
          <w:highlight w:val="none"/>
        </w:rPr>
        <w:t>投标人应在线对开标记录进行签署确认。</w:t>
      </w:r>
    </w:p>
    <w:p w14:paraId="667EB2E4">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3</w:t>
      </w: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 资格审查</w:t>
      </w:r>
    </w:p>
    <w:p w14:paraId="75E43923">
      <w:pPr>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根据法律法规和招标文件的规定，采购人（资格审查小组）对投标人进行资格审查，以确定投标人是否具备投标资格，并公布审查结果</w:t>
      </w:r>
      <w:r>
        <w:rPr>
          <w:rFonts w:hint="default" w:ascii="Times New Roman" w:hAnsi="Times New Roman" w:eastAsia="宋体" w:cs="Times New Roman"/>
          <w:bCs/>
          <w:color w:val="auto"/>
          <w:sz w:val="24"/>
          <w:szCs w:val="24"/>
          <w:highlight w:val="none"/>
        </w:rPr>
        <w:t>。资格审查合格投标人不足3家的，不得评标。</w:t>
      </w:r>
    </w:p>
    <w:p w14:paraId="58353369">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 评标</w:t>
      </w:r>
    </w:p>
    <w:p w14:paraId="093AE8DC">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.1 评标委员会</w:t>
      </w:r>
      <w:r>
        <w:rPr>
          <w:rFonts w:hint="default" w:ascii="Times New Roman" w:hAnsi="Times New Roman" w:eastAsia="宋体" w:cs="Times New Roman"/>
          <w:color w:val="auto"/>
          <w:sz w:val="24"/>
          <w:szCs w:val="24"/>
          <w:highlight w:val="none"/>
        </w:rPr>
        <w:t xml:space="preserve"> </w:t>
      </w:r>
    </w:p>
    <w:p w14:paraId="1EC351F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评标委员会根据政府采购法规政策规定及本次采购项目的特点进行组建，并负责具体评标事务，独立履行职责。评标依法进行，任何单位和个人不得干预、影响评标的过程和结果。</w:t>
      </w:r>
    </w:p>
    <w:p w14:paraId="797E54F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.1.1 评标中因评标委员会成员缺席、回避或者健康等特殊原因导致评标委员会组成不符合本办法规定的，采购人或者采购代理机构应当依法补足后继续评标。被更换的评标委员会成员所作出的评标意见无效。</w:t>
      </w:r>
    </w:p>
    <w:p w14:paraId="3FF54E7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.1.2 无法及时补足评标委员会成员的，采购人或者采购代理机构应当停止评标活动，封存所有投标文件和开标、评标资料，依法重新组建评标委员会进行评标。原评标委员会所作出的评标意见无效。</w:t>
      </w:r>
    </w:p>
    <w:p w14:paraId="23DFFF9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.1.3 评标委员会成员有下列情形之一的，应当回避：</w:t>
      </w:r>
    </w:p>
    <w:p w14:paraId="6C6D84D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（1）参加采购活动前3年内与投标人存在劳动关系；</w:t>
      </w:r>
    </w:p>
    <w:p w14:paraId="67AEB58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（2）参加采购活动前3年内担任投标人的董事、监事；</w:t>
      </w:r>
    </w:p>
    <w:p w14:paraId="08FD6C9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（3）参加采购活动前3年内是投标人的控股股东或实际控制人；</w:t>
      </w:r>
    </w:p>
    <w:p w14:paraId="37AB308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（4）与投标人的法定代表人或者负责人有夫妻、直系血亲、三代以内旁系血亲或者近姻亲关系；</w:t>
      </w:r>
    </w:p>
    <w:p w14:paraId="5A91B3F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（5）与投标人有其他可能影响采购活动公平、公正进行的关系。</w:t>
      </w:r>
    </w:p>
    <w:p w14:paraId="56A3F44C">
      <w:pPr>
        <w:pageBreakBefore w:val="0"/>
        <w:widowControl w:val="0"/>
        <w:kinsoku/>
        <w:wordWrap/>
        <w:overflowPunct/>
        <w:topLinePunct w:val="0"/>
        <w:autoSpaceDE/>
        <w:autoSpaceDN/>
        <w:bidi w:val="0"/>
        <w:adjustRightInd w:val="0"/>
        <w:snapToGrid w:val="0"/>
        <w:spacing w:line="360" w:lineRule="auto"/>
        <w:ind w:firstLine="477"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.2 评标原则</w:t>
      </w:r>
    </w:p>
    <w:p w14:paraId="00AF602B">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（1）评标过程中应遵循公开、公平、公正、择优的原则；</w:t>
      </w:r>
    </w:p>
    <w:p w14:paraId="7DA414B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（2）评标应同时维护采购人和投标人的利益；</w:t>
      </w:r>
    </w:p>
    <w:p w14:paraId="3E7DF90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（3）资格审查合格的投标人，中标机会均等；</w:t>
      </w:r>
    </w:p>
    <w:p w14:paraId="7A266B7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（4）评标人员应独立进行评审，对个人的评审意见承担法律责任；</w:t>
      </w:r>
    </w:p>
    <w:p w14:paraId="1F9C57E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（5）评标人员不得私自泄露评标内容；</w:t>
      </w:r>
    </w:p>
    <w:p w14:paraId="61DF566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（6）评标采取质量、性能、价格、服务综合评比；</w:t>
      </w:r>
    </w:p>
    <w:p w14:paraId="3818D51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（7）评标委员会成员对需要共同认定的事项存在争议的，应当按照少数服从多数的原则作出结论。持不同意见的评标委员会成员应当在评标报告上签署不同意见及理由，否则视为同意评标报告。</w:t>
      </w:r>
    </w:p>
    <w:p w14:paraId="201119F6">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.3 评标方法</w:t>
      </w:r>
      <w:r>
        <w:rPr>
          <w:rFonts w:hint="default" w:ascii="Times New Roman" w:hAnsi="Times New Roman" w:eastAsia="宋体" w:cs="Times New Roman"/>
          <w:color w:val="auto"/>
          <w:sz w:val="24"/>
          <w:szCs w:val="24"/>
          <w:highlight w:val="none"/>
        </w:rPr>
        <w:t xml:space="preserve"> </w:t>
      </w:r>
    </w:p>
    <w:p w14:paraId="326073C8">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按照招标文件第二章中约定的评标方法。</w:t>
      </w:r>
    </w:p>
    <w:p w14:paraId="37A1F114">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（1）综合评分法，是指投标文件满足招标文件全部实质性要求，按照评审因素的量化指标评审，综合得分最高的投标人为中标候选人的评标方法。</w:t>
      </w:r>
    </w:p>
    <w:p w14:paraId="3B654EBB">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（2）最低评标价法，是指投标文件满足招标文件全部实质性要求，且投标报价最低的投标人为中标候选人的评标方法。</w:t>
      </w:r>
    </w:p>
    <w:p w14:paraId="7153FFE4">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评标委员会按照“第五章 评标方法及标准”的规定对投标文件进行评审。“第五章 评标方法及标准”没有规定的方法、评审因素和标准，不作为评标依据。 </w:t>
      </w:r>
    </w:p>
    <w:p w14:paraId="0E695677">
      <w:pPr>
        <w:pageBreakBefore w:val="0"/>
        <w:widowControl w:val="0"/>
        <w:kinsoku/>
        <w:wordWrap/>
        <w:overflowPunct/>
        <w:topLinePunct w:val="0"/>
        <w:autoSpaceDE/>
        <w:autoSpaceDN/>
        <w:bidi w:val="0"/>
        <w:adjustRightInd w:val="0"/>
        <w:snapToGrid w:val="0"/>
        <w:spacing w:line="360" w:lineRule="auto"/>
        <w:ind w:right="-109"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.4 投标文件的初步评审</w:t>
      </w:r>
      <w:r>
        <w:rPr>
          <w:rFonts w:hint="default" w:ascii="Times New Roman" w:hAnsi="Times New Roman" w:eastAsia="宋体" w:cs="Times New Roman"/>
          <w:color w:val="auto"/>
          <w:sz w:val="24"/>
          <w:szCs w:val="24"/>
          <w:highlight w:val="none"/>
        </w:rPr>
        <w:t xml:space="preserve"> </w:t>
      </w:r>
    </w:p>
    <w:p w14:paraId="1D6E02CB">
      <w:pPr>
        <w:pageBreakBefore w:val="0"/>
        <w:widowControl w:val="0"/>
        <w:kinsoku/>
        <w:wordWrap/>
        <w:overflowPunct/>
        <w:topLinePunct w:val="0"/>
        <w:autoSpaceDE/>
        <w:autoSpaceDN/>
        <w:bidi w:val="0"/>
        <w:adjustRightInd w:val="0"/>
        <w:snapToGrid w:val="0"/>
        <w:spacing w:line="360" w:lineRule="auto"/>
        <w:ind w:right="-109" w:firstLine="480"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.4.1 符合性审查。评标委员会将对进入评审阶段的投标文件进行审查，依据招标文件的规定，针对投标文件的有效性、完整性和响应程度按照以下对照表逐项列出全部偏差，以确定是否对招标文件的实质性要求做出响应。</w:t>
      </w:r>
    </w:p>
    <w:p w14:paraId="709198CB">
      <w:pPr>
        <w:pageBreakBefore w:val="0"/>
        <w:widowControl w:val="0"/>
        <w:kinsoku/>
        <w:wordWrap/>
        <w:overflowPunct/>
        <w:topLinePunct w:val="0"/>
        <w:autoSpaceDE/>
        <w:autoSpaceDN/>
        <w:bidi w:val="0"/>
        <w:spacing w:line="360" w:lineRule="auto"/>
        <w:ind w:right="-109"/>
        <w:jc w:val="both"/>
        <w:textAlignment w:val="auto"/>
        <w:rPr>
          <w:rFonts w:hint="default" w:ascii="Times New Roman" w:hAnsi="Times New Roman" w:eastAsia="宋体" w:cs="Times New Roman"/>
          <w:b/>
          <w:color w:val="auto"/>
          <w:sz w:val="24"/>
          <w:szCs w:val="24"/>
          <w:highlight w:val="none"/>
        </w:rPr>
      </w:pPr>
    </w:p>
    <w:p w14:paraId="044FCACD">
      <w:pPr>
        <w:pageBreakBefore w:val="0"/>
        <w:widowControl w:val="0"/>
        <w:kinsoku/>
        <w:wordWrap/>
        <w:overflowPunct/>
        <w:topLinePunct w:val="0"/>
        <w:autoSpaceDE/>
        <w:autoSpaceDN/>
        <w:bidi w:val="0"/>
        <w:spacing w:line="360" w:lineRule="auto"/>
        <w:ind w:right="-109"/>
        <w:jc w:val="center"/>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符合性审查对照表</w:t>
      </w:r>
    </w:p>
    <w:p w14:paraId="1E31E6AF">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sz w:val="24"/>
          <w:szCs w:val="24"/>
          <w:highlight w:val="none"/>
        </w:rPr>
      </w:pPr>
      <w:bookmarkStart w:id="91" w:name="EB951f82d6e1104c01b708d3a26a861b17"/>
    </w:p>
    <w:tbl>
      <w:tblPr>
        <w:tblStyle w:val="31"/>
        <w:tblW w:w="9401"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588"/>
        <w:gridCol w:w="2410"/>
        <w:gridCol w:w="5216"/>
        <w:gridCol w:w="425"/>
        <w:gridCol w:w="425"/>
        <w:gridCol w:w="337"/>
      </w:tblGrid>
      <w:tr w14:paraId="7A33634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6" w:hRule="atLeast"/>
          <w:jc w:val="center"/>
        </w:trPr>
        <w:tc>
          <w:tcPr>
            <w:tcW w:w="9401" w:type="dxa"/>
            <w:gridSpan w:val="6"/>
            <w:tcBorders>
              <w:top w:val="outset" w:color="auto" w:sz="6" w:space="0"/>
              <w:left w:val="outset" w:color="auto" w:sz="6" w:space="0"/>
              <w:bottom w:val="nil"/>
              <w:right w:val="outset" w:color="auto" w:sz="6" w:space="0"/>
            </w:tcBorders>
            <w:vAlign w:val="center"/>
          </w:tcPr>
          <w:p w14:paraId="5462DCC3">
            <w:pPr>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color w:val="0000FF"/>
                <w:kern w:val="2"/>
                <w:sz w:val="24"/>
                <w:szCs w:val="24"/>
                <w:highlight w:val="none"/>
                <w:lang w:val="en-US" w:eastAsia="zh-CN" w:bidi="ar-SA"/>
              </w:rPr>
              <w:t>2026年乌鲁木齐市第七十中学凌空校区新建项目学</w:t>
            </w:r>
            <w:r>
              <w:rPr>
                <w:rFonts w:hint="eastAsia" w:ascii="Times New Roman" w:hAnsi="Times New Roman" w:cs="Times New Roman"/>
                <w:color w:val="0000FF"/>
                <w:kern w:val="2"/>
                <w:sz w:val="24"/>
                <w:szCs w:val="24"/>
                <w:highlight w:val="none"/>
                <w:lang w:val="en-US" w:eastAsia="zh-CN" w:bidi="ar-SA"/>
              </w:rPr>
              <w:t>科课程基地建设项目（二次）</w:t>
            </w:r>
          </w:p>
        </w:tc>
      </w:tr>
      <w:bookmarkEnd w:id="91"/>
      <w:tr w14:paraId="5B59E9F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6" w:hRule="atLeast"/>
          <w:jc w:val="center"/>
        </w:trPr>
        <w:tc>
          <w:tcPr>
            <w:tcW w:w="588" w:type="dxa"/>
            <w:vMerge w:val="restart"/>
            <w:tcBorders>
              <w:top w:val="outset" w:color="auto" w:sz="6" w:space="0"/>
              <w:left w:val="outset" w:color="auto" w:sz="6" w:space="0"/>
              <w:right w:val="outset" w:color="auto" w:sz="6" w:space="0"/>
            </w:tcBorders>
            <w:vAlign w:val="center"/>
          </w:tcPr>
          <w:p w14:paraId="4BF2C36B">
            <w:pPr>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序号</w:t>
            </w:r>
          </w:p>
        </w:tc>
        <w:tc>
          <w:tcPr>
            <w:tcW w:w="2410" w:type="dxa"/>
            <w:vMerge w:val="restart"/>
            <w:tcBorders>
              <w:top w:val="outset" w:color="auto" w:sz="6" w:space="0"/>
              <w:left w:val="outset" w:color="auto" w:sz="6" w:space="0"/>
              <w:right w:val="outset" w:color="auto" w:sz="6" w:space="0"/>
            </w:tcBorders>
            <w:vAlign w:val="center"/>
          </w:tcPr>
          <w:p w14:paraId="78D608F8">
            <w:pPr>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审查内容</w:t>
            </w:r>
          </w:p>
        </w:tc>
        <w:tc>
          <w:tcPr>
            <w:tcW w:w="5216" w:type="dxa"/>
            <w:vMerge w:val="restart"/>
            <w:tcBorders>
              <w:top w:val="outset" w:color="auto" w:sz="6" w:space="0"/>
              <w:left w:val="outset" w:color="auto" w:sz="6" w:space="0"/>
              <w:right w:val="outset" w:color="auto" w:sz="6" w:space="0"/>
            </w:tcBorders>
            <w:vAlign w:val="center"/>
          </w:tcPr>
          <w:p w14:paraId="26A3DA61">
            <w:pPr>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审查因素</w:t>
            </w:r>
          </w:p>
        </w:tc>
        <w:tc>
          <w:tcPr>
            <w:tcW w:w="850" w:type="dxa"/>
            <w:gridSpan w:val="2"/>
            <w:tcBorders>
              <w:top w:val="outset" w:color="auto" w:sz="6" w:space="0"/>
              <w:left w:val="outset" w:color="auto" w:sz="6" w:space="0"/>
              <w:bottom w:val="outset" w:color="auto" w:sz="6" w:space="0"/>
              <w:right w:val="outset" w:color="auto" w:sz="6" w:space="0"/>
            </w:tcBorders>
          </w:tcPr>
          <w:p w14:paraId="5812A360">
            <w:pPr>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是否符合</w:t>
            </w:r>
          </w:p>
        </w:tc>
        <w:tc>
          <w:tcPr>
            <w:tcW w:w="337" w:type="dxa"/>
            <w:vMerge w:val="restart"/>
            <w:tcBorders>
              <w:top w:val="outset" w:color="auto" w:sz="6" w:space="0"/>
              <w:left w:val="outset" w:color="auto" w:sz="6" w:space="0"/>
              <w:right w:val="outset" w:color="auto" w:sz="6" w:space="0"/>
            </w:tcBorders>
            <w:vAlign w:val="center"/>
          </w:tcPr>
          <w:p w14:paraId="6BE8B36C">
            <w:pPr>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说明</w:t>
            </w:r>
          </w:p>
        </w:tc>
      </w:tr>
      <w:tr w14:paraId="33C2C50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left w:val="outset" w:color="auto" w:sz="6" w:space="0"/>
              <w:bottom w:val="outset" w:color="auto" w:sz="6" w:space="0"/>
              <w:right w:val="outset" w:color="auto" w:sz="6" w:space="0"/>
            </w:tcBorders>
            <w:vAlign w:val="center"/>
          </w:tcPr>
          <w:p w14:paraId="3325A911">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p>
        </w:tc>
        <w:tc>
          <w:tcPr>
            <w:tcW w:w="2410" w:type="dxa"/>
            <w:vMerge w:val="continue"/>
            <w:tcBorders>
              <w:left w:val="outset" w:color="auto" w:sz="6" w:space="0"/>
              <w:bottom w:val="outset" w:color="auto" w:sz="6" w:space="0"/>
              <w:right w:val="outset" w:color="auto" w:sz="6" w:space="0"/>
            </w:tcBorders>
            <w:vAlign w:val="center"/>
          </w:tcPr>
          <w:p w14:paraId="281031CB">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5216" w:type="dxa"/>
            <w:vMerge w:val="continue"/>
            <w:tcBorders>
              <w:left w:val="outset" w:color="auto" w:sz="6" w:space="0"/>
              <w:bottom w:val="outset" w:color="auto" w:sz="6" w:space="0"/>
              <w:right w:val="outset" w:color="auto" w:sz="6" w:space="0"/>
            </w:tcBorders>
            <w:vAlign w:val="center"/>
          </w:tcPr>
          <w:p w14:paraId="00A1C388">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4EF9678F">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42D4DC6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vMerge w:val="continue"/>
            <w:tcBorders>
              <w:left w:val="outset" w:color="auto" w:sz="6" w:space="0"/>
              <w:bottom w:val="outset" w:color="auto" w:sz="6" w:space="0"/>
              <w:right w:val="outset" w:color="auto" w:sz="6" w:space="0"/>
            </w:tcBorders>
          </w:tcPr>
          <w:p w14:paraId="36AC1FE7">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3E40557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single" w:color="auto" w:sz="4" w:space="0"/>
              <w:bottom w:val="outset" w:color="auto" w:sz="6" w:space="0"/>
              <w:right w:val="outset" w:color="auto" w:sz="6" w:space="0"/>
            </w:tcBorders>
            <w:vAlign w:val="center"/>
          </w:tcPr>
          <w:p w14:paraId="1412B0F5">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w:t>
            </w:r>
          </w:p>
        </w:tc>
        <w:tc>
          <w:tcPr>
            <w:tcW w:w="2410" w:type="dxa"/>
            <w:tcBorders>
              <w:top w:val="outset" w:color="auto" w:sz="6" w:space="0"/>
              <w:left w:val="outset" w:color="auto" w:sz="6" w:space="0"/>
              <w:bottom w:val="outset" w:color="auto" w:sz="6" w:space="0"/>
              <w:right w:val="outset" w:color="auto" w:sz="6" w:space="0"/>
            </w:tcBorders>
            <w:vAlign w:val="center"/>
          </w:tcPr>
          <w:p w14:paraId="06737F5D">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投标文件签署</w:t>
            </w:r>
          </w:p>
        </w:tc>
        <w:tc>
          <w:tcPr>
            <w:tcW w:w="5216" w:type="dxa"/>
            <w:tcBorders>
              <w:top w:val="outset" w:color="auto" w:sz="6" w:space="0"/>
              <w:left w:val="outset" w:color="auto" w:sz="6" w:space="0"/>
              <w:bottom w:val="outset" w:color="auto" w:sz="6" w:space="0"/>
              <w:right w:val="outset" w:color="auto" w:sz="6" w:space="0"/>
            </w:tcBorders>
            <w:vAlign w:val="center"/>
          </w:tcPr>
          <w:p w14:paraId="08BF936E">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投标文件按招标文件的规定签章或签名</w:t>
            </w:r>
          </w:p>
        </w:tc>
        <w:tc>
          <w:tcPr>
            <w:tcW w:w="425" w:type="dxa"/>
            <w:tcBorders>
              <w:top w:val="outset" w:color="auto" w:sz="6" w:space="0"/>
              <w:left w:val="outset" w:color="auto" w:sz="6" w:space="0"/>
              <w:bottom w:val="outset" w:color="auto" w:sz="6" w:space="0"/>
              <w:right w:val="outset" w:color="auto" w:sz="6" w:space="0"/>
            </w:tcBorders>
          </w:tcPr>
          <w:p w14:paraId="2AC8E5A2">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0D93A0B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3D6FC9AD">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1941581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779388E0">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w:t>
            </w:r>
          </w:p>
        </w:tc>
        <w:tc>
          <w:tcPr>
            <w:tcW w:w="2410" w:type="dxa"/>
            <w:tcBorders>
              <w:top w:val="outset" w:color="auto" w:sz="6" w:space="0"/>
              <w:left w:val="outset" w:color="auto" w:sz="6" w:space="0"/>
              <w:bottom w:val="outset" w:color="auto" w:sz="6" w:space="0"/>
              <w:right w:val="outset" w:color="auto" w:sz="6" w:space="0"/>
            </w:tcBorders>
            <w:vAlign w:val="center"/>
          </w:tcPr>
          <w:p w14:paraId="5E952AAD">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投标文件编制要求</w:t>
            </w:r>
          </w:p>
        </w:tc>
        <w:tc>
          <w:tcPr>
            <w:tcW w:w="5216" w:type="dxa"/>
            <w:tcBorders>
              <w:top w:val="outset" w:color="auto" w:sz="6" w:space="0"/>
              <w:left w:val="outset" w:color="auto" w:sz="6" w:space="0"/>
              <w:bottom w:val="outset" w:color="auto" w:sz="6" w:space="0"/>
              <w:right w:val="outset" w:color="auto" w:sz="6" w:space="0"/>
            </w:tcBorders>
            <w:vAlign w:val="center"/>
          </w:tcPr>
          <w:p w14:paraId="6A1AD4C1">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按照招标文件要求提交投标文件</w:t>
            </w:r>
          </w:p>
        </w:tc>
        <w:tc>
          <w:tcPr>
            <w:tcW w:w="425" w:type="dxa"/>
            <w:tcBorders>
              <w:top w:val="outset" w:color="auto" w:sz="6" w:space="0"/>
              <w:left w:val="outset" w:color="auto" w:sz="6" w:space="0"/>
              <w:bottom w:val="outset" w:color="auto" w:sz="6" w:space="0"/>
              <w:right w:val="outset" w:color="auto" w:sz="6" w:space="0"/>
            </w:tcBorders>
          </w:tcPr>
          <w:p w14:paraId="5E3FA720">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67EE0EA4">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673F9D33">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26C0FF4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171F70A3">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w:t>
            </w:r>
          </w:p>
        </w:tc>
        <w:tc>
          <w:tcPr>
            <w:tcW w:w="2410" w:type="dxa"/>
            <w:tcBorders>
              <w:top w:val="outset" w:color="auto" w:sz="6" w:space="0"/>
              <w:left w:val="outset" w:color="auto" w:sz="6" w:space="0"/>
              <w:bottom w:val="outset" w:color="auto" w:sz="6" w:space="0"/>
              <w:right w:val="outset" w:color="auto" w:sz="6" w:space="0"/>
            </w:tcBorders>
            <w:vAlign w:val="center"/>
          </w:tcPr>
          <w:p w14:paraId="6DCCC606">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投标有效期</w:t>
            </w:r>
          </w:p>
        </w:tc>
        <w:tc>
          <w:tcPr>
            <w:tcW w:w="5216" w:type="dxa"/>
            <w:tcBorders>
              <w:top w:val="outset" w:color="auto" w:sz="6" w:space="0"/>
              <w:left w:val="outset" w:color="auto" w:sz="6" w:space="0"/>
              <w:bottom w:val="outset" w:color="auto" w:sz="6" w:space="0"/>
              <w:right w:val="outset" w:color="auto" w:sz="6" w:space="0"/>
            </w:tcBorders>
            <w:vAlign w:val="center"/>
          </w:tcPr>
          <w:p w14:paraId="105BE982">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符合招标文件前附表的规定</w:t>
            </w:r>
          </w:p>
        </w:tc>
        <w:tc>
          <w:tcPr>
            <w:tcW w:w="425" w:type="dxa"/>
            <w:tcBorders>
              <w:top w:val="outset" w:color="auto" w:sz="6" w:space="0"/>
              <w:left w:val="outset" w:color="auto" w:sz="6" w:space="0"/>
              <w:bottom w:val="outset" w:color="auto" w:sz="6" w:space="0"/>
              <w:right w:val="outset" w:color="auto" w:sz="6" w:space="0"/>
            </w:tcBorders>
          </w:tcPr>
          <w:p w14:paraId="0FB9BE4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4F848A5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61DCF344">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5C32DE0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0F045674">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w:t>
            </w:r>
          </w:p>
        </w:tc>
        <w:tc>
          <w:tcPr>
            <w:tcW w:w="2410" w:type="dxa"/>
            <w:tcBorders>
              <w:top w:val="outset" w:color="auto" w:sz="6" w:space="0"/>
              <w:left w:val="outset" w:color="auto" w:sz="6" w:space="0"/>
              <w:bottom w:val="outset" w:color="auto" w:sz="6" w:space="0"/>
              <w:right w:val="outset" w:color="auto" w:sz="6" w:space="0"/>
            </w:tcBorders>
            <w:vAlign w:val="center"/>
          </w:tcPr>
          <w:p w14:paraId="2708A614">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投标报价</w:t>
            </w:r>
          </w:p>
        </w:tc>
        <w:tc>
          <w:tcPr>
            <w:tcW w:w="5216" w:type="dxa"/>
            <w:tcBorders>
              <w:top w:val="outset" w:color="auto" w:sz="6" w:space="0"/>
              <w:left w:val="outset" w:color="auto" w:sz="6" w:space="0"/>
              <w:bottom w:val="outset" w:color="auto" w:sz="6" w:space="0"/>
              <w:right w:val="outset" w:color="auto" w:sz="6" w:space="0"/>
            </w:tcBorders>
            <w:vAlign w:val="center"/>
          </w:tcPr>
          <w:p w14:paraId="7FACD97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投标报价未超过预算金额或者最高限价；</w:t>
            </w:r>
          </w:p>
          <w:p w14:paraId="6C09624E">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投标报价中不存在重大漏项</w:t>
            </w:r>
          </w:p>
        </w:tc>
        <w:tc>
          <w:tcPr>
            <w:tcW w:w="425" w:type="dxa"/>
            <w:tcBorders>
              <w:top w:val="outset" w:color="auto" w:sz="6" w:space="0"/>
              <w:left w:val="outset" w:color="auto" w:sz="6" w:space="0"/>
              <w:bottom w:val="outset" w:color="auto" w:sz="6" w:space="0"/>
              <w:right w:val="outset" w:color="auto" w:sz="6" w:space="0"/>
            </w:tcBorders>
          </w:tcPr>
          <w:p w14:paraId="7E73918A">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1512678D">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2B1452B5">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287A346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7E793DC3">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5</w:t>
            </w:r>
          </w:p>
        </w:tc>
        <w:tc>
          <w:tcPr>
            <w:tcW w:w="2410" w:type="dxa"/>
            <w:tcBorders>
              <w:top w:val="outset" w:color="auto" w:sz="6" w:space="0"/>
              <w:left w:val="outset" w:color="auto" w:sz="6" w:space="0"/>
              <w:bottom w:val="outset" w:color="auto" w:sz="6" w:space="0"/>
              <w:right w:val="outset" w:color="auto" w:sz="6" w:space="0"/>
            </w:tcBorders>
            <w:vAlign w:val="center"/>
          </w:tcPr>
          <w:p w14:paraId="76317C4D">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投标范围</w:t>
            </w:r>
          </w:p>
        </w:tc>
        <w:tc>
          <w:tcPr>
            <w:tcW w:w="5216" w:type="dxa"/>
            <w:tcBorders>
              <w:top w:val="outset" w:color="auto" w:sz="6" w:space="0"/>
              <w:left w:val="outset" w:color="auto" w:sz="6" w:space="0"/>
              <w:bottom w:val="outset" w:color="auto" w:sz="6" w:space="0"/>
              <w:right w:val="outset" w:color="auto" w:sz="6" w:space="0"/>
            </w:tcBorders>
            <w:vAlign w:val="center"/>
          </w:tcPr>
          <w:p w14:paraId="6CD939E9">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不存在投标范围小于招标文件规定的招标范围情况，未缺漏招标文件要求的内容</w:t>
            </w:r>
          </w:p>
        </w:tc>
        <w:tc>
          <w:tcPr>
            <w:tcW w:w="425" w:type="dxa"/>
            <w:tcBorders>
              <w:top w:val="outset" w:color="auto" w:sz="6" w:space="0"/>
              <w:left w:val="outset" w:color="auto" w:sz="6" w:space="0"/>
              <w:bottom w:val="outset" w:color="auto" w:sz="6" w:space="0"/>
              <w:right w:val="outset" w:color="auto" w:sz="6" w:space="0"/>
            </w:tcBorders>
          </w:tcPr>
          <w:p w14:paraId="7E34B1BE">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6511D0FB">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67CFACD2">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2DC19DF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1718177B">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6</w:t>
            </w:r>
          </w:p>
        </w:tc>
        <w:tc>
          <w:tcPr>
            <w:tcW w:w="2410" w:type="dxa"/>
            <w:tcBorders>
              <w:top w:val="outset" w:color="auto" w:sz="6" w:space="0"/>
              <w:left w:val="outset" w:color="auto" w:sz="6" w:space="0"/>
              <w:bottom w:val="outset" w:color="auto" w:sz="6" w:space="0"/>
              <w:right w:val="outset" w:color="auto" w:sz="6" w:space="0"/>
            </w:tcBorders>
            <w:vAlign w:val="center"/>
          </w:tcPr>
          <w:p w14:paraId="3028ABB2">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供货期及质保期或完工期及服务期</w:t>
            </w:r>
          </w:p>
        </w:tc>
        <w:tc>
          <w:tcPr>
            <w:tcW w:w="5216" w:type="dxa"/>
            <w:tcBorders>
              <w:top w:val="outset" w:color="auto" w:sz="6" w:space="0"/>
              <w:left w:val="outset" w:color="auto" w:sz="6" w:space="0"/>
              <w:bottom w:val="outset" w:color="auto" w:sz="6" w:space="0"/>
              <w:right w:val="outset" w:color="auto" w:sz="6" w:space="0"/>
            </w:tcBorders>
            <w:vAlign w:val="center"/>
          </w:tcPr>
          <w:p w14:paraId="051E9EF6">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满足招标文件的要求</w:t>
            </w:r>
          </w:p>
        </w:tc>
        <w:tc>
          <w:tcPr>
            <w:tcW w:w="425" w:type="dxa"/>
            <w:tcBorders>
              <w:top w:val="outset" w:color="auto" w:sz="6" w:space="0"/>
              <w:left w:val="outset" w:color="auto" w:sz="6" w:space="0"/>
              <w:bottom w:val="outset" w:color="auto" w:sz="6" w:space="0"/>
              <w:right w:val="outset" w:color="auto" w:sz="6" w:space="0"/>
            </w:tcBorders>
          </w:tcPr>
          <w:p w14:paraId="79232E90">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78648B39">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0C7BA34B">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5BAFDBC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6D44137A">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w:t>
            </w:r>
          </w:p>
        </w:tc>
        <w:tc>
          <w:tcPr>
            <w:tcW w:w="2410" w:type="dxa"/>
            <w:tcBorders>
              <w:top w:val="outset" w:color="auto" w:sz="6" w:space="0"/>
              <w:left w:val="outset" w:color="auto" w:sz="6" w:space="0"/>
              <w:bottom w:val="outset" w:color="auto" w:sz="6" w:space="0"/>
              <w:right w:val="outset" w:color="auto" w:sz="6" w:space="0"/>
            </w:tcBorders>
            <w:vAlign w:val="center"/>
          </w:tcPr>
          <w:p w14:paraId="1383F98D">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不能接受的条件</w:t>
            </w:r>
          </w:p>
        </w:tc>
        <w:tc>
          <w:tcPr>
            <w:tcW w:w="5216" w:type="dxa"/>
            <w:tcBorders>
              <w:top w:val="outset" w:color="auto" w:sz="6" w:space="0"/>
              <w:left w:val="outset" w:color="auto" w:sz="6" w:space="0"/>
              <w:bottom w:val="outset" w:color="auto" w:sz="6" w:space="0"/>
              <w:right w:val="outset" w:color="auto" w:sz="6" w:space="0"/>
            </w:tcBorders>
            <w:vAlign w:val="center"/>
          </w:tcPr>
          <w:p w14:paraId="1FFEC0B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投标文件中无采购人不能接受的条件</w:t>
            </w:r>
          </w:p>
        </w:tc>
        <w:tc>
          <w:tcPr>
            <w:tcW w:w="425" w:type="dxa"/>
            <w:tcBorders>
              <w:top w:val="outset" w:color="auto" w:sz="6" w:space="0"/>
              <w:left w:val="outset" w:color="auto" w:sz="6" w:space="0"/>
              <w:bottom w:val="outset" w:color="auto" w:sz="6" w:space="0"/>
              <w:right w:val="outset" w:color="auto" w:sz="6" w:space="0"/>
            </w:tcBorders>
          </w:tcPr>
          <w:p w14:paraId="69F93E60">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76AA80C6">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6F65208E">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53A02C1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36125BE5">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val="en-US" w:eastAsia="zh-CN"/>
              </w:rPr>
              <w:t>8</w:t>
            </w:r>
          </w:p>
        </w:tc>
        <w:tc>
          <w:tcPr>
            <w:tcW w:w="2410" w:type="dxa"/>
            <w:tcBorders>
              <w:top w:val="outset" w:color="auto" w:sz="6" w:space="0"/>
              <w:left w:val="outset" w:color="auto" w:sz="6" w:space="0"/>
              <w:bottom w:val="outset" w:color="auto" w:sz="6" w:space="0"/>
              <w:right w:val="outset" w:color="auto" w:sz="6" w:space="0"/>
            </w:tcBorders>
            <w:vAlign w:val="center"/>
          </w:tcPr>
          <w:p w14:paraId="63982BF4">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违法投标行为</w:t>
            </w:r>
          </w:p>
        </w:tc>
        <w:tc>
          <w:tcPr>
            <w:tcW w:w="5216" w:type="dxa"/>
            <w:tcBorders>
              <w:top w:val="outset" w:color="auto" w:sz="6" w:space="0"/>
              <w:left w:val="outset" w:color="auto" w:sz="6" w:space="0"/>
              <w:bottom w:val="outset" w:color="auto" w:sz="6" w:space="0"/>
              <w:right w:val="outset" w:color="auto" w:sz="6" w:space="0"/>
            </w:tcBorders>
            <w:vAlign w:val="center"/>
          </w:tcPr>
          <w:p w14:paraId="1615B195">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无招标文件</w:t>
            </w:r>
            <w:r>
              <w:rPr>
                <w:rFonts w:hint="default" w:ascii="Times New Roman" w:hAnsi="Times New Roman" w:eastAsia="宋体" w:cs="Times New Roman"/>
                <w:sz w:val="24"/>
                <w:szCs w:val="24"/>
                <w:highlight w:val="none"/>
                <w:lang w:val="en-US" w:eastAsia="zh-CN"/>
              </w:rPr>
              <w:t>30</w:t>
            </w:r>
            <w:r>
              <w:rPr>
                <w:rFonts w:hint="default" w:ascii="Times New Roman" w:hAnsi="Times New Roman" w:eastAsia="宋体" w:cs="Times New Roman"/>
                <w:sz w:val="24"/>
                <w:szCs w:val="24"/>
                <w:highlight w:val="none"/>
              </w:rPr>
              <w:t>款中的任一情形</w:t>
            </w:r>
          </w:p>
        </w:tc>
        <w:tc>
          <w:tcPr>
            <w:tcW w:w="425" w:type="dxa"/>
            <w:tcBorders>
              <w:top w:val="outset" w:color="auto" w:sz="6" w:space="0"/>
              <w:left w:val="outset" w:color="auto" w:sz="6" w:space="0"/>
              <w:bottom w:val="outset" w:color="auto" w:sz="6" w:space="0"/>
              <w:right w:val="outset" w:color="auto" w:sz="6" w:space="0"/>
            </w:tcBorders>
          </w:tcPr>
          <w:p w14:paraId="7B3AC7CF">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43012FDC">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6F96080E">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r w14:paraId="1E8ABA2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outset" w:color="auto" w:sz="6" w:space="0"/>
              <w:left w:val="outset" w:color="auto" w:sz="6" w:space="0"/>
              <w:bottom w:val="outset" w:color="auto" w:sz="6" w:space="0"/>
              <w:right w:val="outset" w:color="auto" w:sz="6" w:space="0"/>
            </w:tcBorders>
            <w:vAlign w:val="center"/>
          </w:tcPr>
          <w:p w14:paraId="6BE92E97">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w:t>
            </w:r>
          </w:p>
        </w:tc>
        <w:tc>
          <w:tcPr>
            <w:tcW w:w="2410" w:type="dxa"/>
            <w:tcBorders>
              <w:top w:val="outset" w:color="auto" w:sz="6" w:space="0"/>
              <w:left w:val="outset" w:color="auto" w:sz="6" w:space="0"/>
              <w:bottom w:val="outset" w:color="auto" w:sz="6" w:space="0"/>
              <w:right w:val="outset" w:color="auto" w:sz="6" w:space="0"/>
            </w:tcBorders>
            <w:vAlign w:val="center"/>
          </w:tcPr>
          <w:p w14:paraId="5259A952">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其他要求</w:t>
            </w:r>
          </w:p>
        </w:tc>
        <w:tc>
          <w:tcPr>
            <w:tcW w:w="5216" w:type="dxa"/>
            <w:tcBorders>
              <w:top w:val="outset" w:color="auto" w:sz="6" w:space="0"/>
              <w:left w:val="outset" w:color="auto" w:sz="6" w:space="0"/>
              <w:bottom w:val="outset" w:color="auto" w:sz="6" w:space="0"/>
              <w:right w:val="outset" w:color="auto" w:sz="6" w:space="0"/>
            </w:tcBorders>
            <w:vAlign w:val="center"/>
          </w:tcPr>
          <w:p w14:paraId="53CB558E">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 xml:space="preserve">符合法律法规和招标文件规定的其他实质性条款；完全满足资格审查条件 </w:t>
            </w:r>
          </w:p>
        </w:tc>
        <w:tc>
          <w:tcPr>
            <w:tcW w:w="425" w:type="dxa"/>
            <w:tcBorders>
              <w:top w:val="outset" w:color="auto" w:sz="6" w:space="0"/>
              <w:left w:val="outset" w:color="auto" w:sz="6" w:space="0"/>
              <w:bottom w:val="outset" w:color="auto" w:sz="6" w:space="0"/>
              <w:right w:val="outset" w:color="auto" w:sz="6" w:space="0"/>
            </w:tcBorders>
          </w:tcPr>
          <w:p w14:paraId="49921197">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425" w:type="dxa"/>
            <w:tcBorders>
              <w:top w:val="outset" w:color="auto" w:sz="6" w:space="0"/>
              <w:left w:val="outset" w:color="auto" w:sz="6" w:space="0"/>
              <w:bottom w:val="outset" w:color="auto" w:sz="6" w:space="0"/>
              <w:right w:val="outset" w:color="auto" w:sz="6" w:space="0"/>
            </w:tcBorders>
          </w:tcPr>
          <w:p w14:paraId="4BA26165">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c>
          <w:tcPr>
            <w:tcW w:w="337" w:type="dxa"/>
            <w:tcBorders>
              <w:top w:val="outset" w:color="auto" w:sz="6" w:space="0"/>
              <w:left w:val="outset" w:color="auto" w:sz="6" w:space="0"/>
              <w:bottom w:val="outset" w:color="auto" w:sz="6" w:space="0"/>
              <w:right w:val="outset" w:color="auto" w:sz="6" w:space="0"/>
            </w:tcBorders>
          </w:tcPr>
          <w:p w14:paraId="12D9D807">
            <w:pPr>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sz w:val="24"/>
                <w:szCs w:val="24"/>
                <w:highlight w:val="none"/>
              </w:rPr>
            </w:pPr>
          </w:p>
        </w:tc>
      </w:tr>
    </w:tbl>
    <w:p w14:paraId="1FA119C0">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000080"/>
          <w:sz w:val="24"/>
          <w:szCs w:val="24"/>
          <w:highlight w:val="none"/>
        </w:rPr>
      </w:pPr>
    </w:p>
    <w:p w14:paraId="5516AF5B">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投标文件如有上述偏差之一的，视为未能对招标文件做出实质性响应，为无效投标，不再进入以后的评标程序。</w:t>
      </w:r>
    </w:p>
    <w:p w14:paraId="23A17B4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.4.2 如有下列情形之一，评标委员会应予以废标，并将理由通知所有投标人。 </w:t>
      </w:r>
    </w:p>
    <w:p w14:paraId="169FCB02">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（1）符合专业条件的投标人或者对招标文件做出实质性响应的投标人不足三家的； </w:t>
      </w:r>
    </w:p>
    <w:p w14:paraId="23D3A97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（2）出现影响采购公正的违法、违规行为的； </w:t>
      </w:r>
    </w:p>
    <w:p w14:paraId="11BDE81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（3）投标人的报价均超过了采购预算金额的； </w:t>
      </w:r>
    </w:p>
    <w:p w14:paraId="5C15657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（4）因重大变故，采购任务取消的。  </w:t>
      </w:r>
    </w:p>
    <w:p w14:paraId="7E45DF8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.4.3 多家代理商提供同一品牌产品投标的，在统计投标人数量时要求如下：</w:t>
      </w:r>
    </w:p>
    <w:p w14:paraId="3AE0665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提供相同品牌产品且通过资格审查、符合性审查的不同投标人参加同一合同项下投标的，按一家投标人计算，评审后综合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3E2DB5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（2）非单一产品采购项目时，多家投标人提供的招标文件载明的核心产品品牌相同的（多个核心产品的，有一种产品品牌相同，即视为提供相同品牌产品），按前（1）规定处理。</w:t>
      </w:r>
    </w:p>
    <w:p w14:paraId="76C772B3">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3</w:t>
      </w:r>
      <w:r>
        <w:rPr>
          <w:rFonts w:hint="default"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 xml:space="preserve">.5 </w:t>
      </w:r>
      <w:r>
        <w:rPr>
          <w:rFonts w:hint="default" w:ascii="Times New Roman" w:hAnsi="Times New Roman" w:eastAsia="宋体" w:cs="Times New Roman"/>
          <w:b/>
          <w:bCs/>
          <w:color w:val="auto"/>
          <w:sz w:val="24"/>
          <w:szCs w:val="24"/>
          <w:highlight w:val="none"/>
        </w:rPr>
        <w:t>澄清有关问题</w:t>
      </w:r>
      <w:r>
        <w:rPr>
          <w:rFonts w:hint="default" w:ascii="Times New Roman" w:hAnsi="Times New Roman" w:eastAsia="宋体" w:cs="Times New Roman"/>
          <w:color w:val="auto"/>
          <w:sz w:val="24"/>
          <w:szCs w:val="24"/>
          <w:highlight w:val="none"/>
        </w:rPr>
        <w:t xml:space="preserve"> </w:t>
      </w:r>
    </w:p>
    <w:p w14:paraId="17E51B4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.5.1对于投标文件中含义不明确、同类问题表述不一致或者有明显文字和计算错误的内容，评标委员会应当以书面形式要求投标人做出必要的澄清、说明或者补正。</w:t>
      </w:r>
    </w:p>
    <w:p w14:paraId="6545153D">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.5.2 评标委员会为了有助于投标文件的评审，可以要求投标人就投标文件中非改变实质性内容的部分做出书面说明并提供相关材料进行澄清，但改变投标文件实质性内容的澄清，评标委员会将不予接受。</w:t>
      </w:r>
    </w:p>
    <w:p w14:paraId="1C3BA083">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33</w:t>
      </w:r>
      <w:r>
        <w:rPr>
          <w:rFonts w:hint="default" w:ascii="Times New Roman" w:hAnsi="Times New Roman" w:eastAsia="宋体" w:cs="Times New Roman"/>
          <w:color w:val="auto"/>
          <w:sz w:val="24"/>
          <w:szCs w:val="24"/>
          <w:highlight w:val="none"/>
        </w:rPr>
        <w:t>.5.3投标人的澄清、说明或者更正应当采用数字电文形式，并根据要求进行电子签章。投标人的澄清、说明或者更正不得超出投标文件的投标范围或者改变投标文件的实质性内容。</w:t>
      </w:r>
    </w:p>
    <w:p w14:paraId="3829FBBD">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.5.4投标文件报价出现前后不一致的，除招标文件另有规定外，按照下列规定修正：</w:t>
      </w:r>
    </w:p>
    <w:p w14:paraId="0991F58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（1）投标文件中《开标一览表》内容与投标文件中相应内容不一致的，以《开标一览表》为准；</w:t>
      </w:r>
    </w:p>
    <w:p w14:paraId="765A1CE0">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（2）大写金额和小写金额不一致的，以大写金额为准；</w:t>
      </w:r>
    </w:p>
    <w:p w14:paraId="1998F43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（3）单价金额小数点或者百分比有明显错位的，以《开标一览表》的总价为准，并修改单价；</w:t>
      </w:r>
    </w:p>
    <w:p w14:paraId="4C3B516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（4）总价金额与按单价汇总金额不一致的，以单价金额计算结果为准。</w:t>
      </w:r>
    </w:p>
    <w:p w14:paraId="08EF563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同时出现两种以上不一致的，按照前款规定的顺序修正。投标人应对修正后的报价进行确认，如不确认，评标时将视为无效投标。 </w:t>
      </w:r>
    </w:p>
    <w:p w14:paraId="346BF9D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.5.5 有效的数字电文澄清材料，是投标文件的补充材料，成为投标文件的组成部分。</w:t>
      </w:r>
    </w:p>
    <w:p w14:paraId="1424CA9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.6 综合评审</w:t>
      </w:r>
      <w:r>
        <w:rPr>
          <w:rFonts w:hint="default" w:ascii="Times New Roman" w:hAnsi="Times New Roman" w:eastAsia="宋体" w:cs="Times New Roman"/>
          <w:color w:val="auto"/>
          <w:sz w:val="24"/>
          <w:szCs w:val="24"/>
          <w:highlight w:val="none"/>
        </w:rPr>
        <w:t xml:space="preserve"> </w:t>
      </w:r>
    </w:p>
    <w:p w14:paraId="3217756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.6.1评标委员会应按照招标文件规定的评审方法和标准，对符合性审查合格的投标文件进行商务和技术评估，综合比较与评价。 </w:t>
      </w:r>
    </w:p>
    <w:p w14:paraId="79E91E05">
      <w:pPr>
        <w:pageBreakBefore w:val="0"/>
        <w:widowControl w:val="0"/>
        <w:kinsoku/>
        <w:wordWrap/>
        <w:overflowPunct/>
        <w:topLinePunct w:val="0"/>
        <w:autoSpaceDE/>
        <w:autoSpaceDN/>
        <w:bidi w:val="0"/>
        <w:adjustRightInd w:val="0"/>
        <w:snapToGrid w:val="0"/>
        <w:spacing w:line="360" w:lineRule="auto"/>
        <w:ind w:left="105" w:leftChars="50" w:firstLine="355" w:firstLineChars="1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.6.2 评标时，评标委员会各成员应当对每一份投标文件进行独立评价、计分。</w:t>
      </w:r>
    </w:p>
    <w:p w14:paraId="5056D11E">
      <w:pPr>
        <w:pageBreakBefore w:val="0"/>
        <w:widowControl w:val="0"/>
        <w:kinsoku/>
        <w:wordWrap/>
        <w:overflowPunct/>
        <w:topLinePunct w:val="0"/>
        <w:autoSpaceDE/>
        <w:autoSpaceDN/>
        <w:bidi w:val="0"/>
        <w:adjustRightInd w:val="0"/>
        <w:snapToGrid w:val="0"/>
        <w:spacing w:line="360" w:lineRule="auto"/>
        <w:ind w:left="105" w:leftChars="50" w:firstLine="355" w:firstLineChars="1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.6.3经济标评审：</w:t>
      </w:r>
    </w:p>
    <w:p w14:paraId="00E00C01">
      <w:pPr>
        <w:pageBreakBefore w:val="0"/>
        <w:widowControl w:val="0"/>
        <w:kinsoku/>
        <w:wordWrap/>
        <w:overflowPunct/>
        <w:topLinePunct w:val="0"/>
        <w:autoSpaceDE/>
        <w:autoSpaceDN/>
        <w:bidi w:val="0"/>
        <w:adjustRightInd w:val="0"/>
        <w:snapToGrid w:val="0"/>
        <w:spacing w:line="360" w:lineRule="auto"/>
        <w:ind w:left="105" w:leftChars="50" w:firstLine="355" w:firstLineChars="1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（1）经济标采用低价优先法计算，即满足招标文件要求且投标价格最低的投标报价为评标基准价，其经济得分为满分，其他有效投标人的价格分统一按照下列公式计算： </w:t>
      </w:r>
    </w:p>
    <w:p w14:paraId="41F1A51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经济标得分=（评标基准价／投标报价）×价格权值×100 </w:t>
      </w:r>
    </w:p>
    <w:p w14:paraId="5B642A1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评标过程中，不得去掉报价中的最高报价和最低报价。</w:t>
      </w:r>
    </w:p>
    <w:p w14:paraId="657D582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（2）因落实政府采购政策进行价格调整的，以调整后的价格参与价格评审。 </w:t>
      </w:r>
    </w:p>
    <w:p w14:paraId="4A51B41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（3）涉及政府采购政策优惠的，按</w:t>
      </w:r>
      <w:r>
        <w:rPr>
          <w:rFonts w:hint="default" w:ascii="Times New Roman" w:hAnsi="Times New Roman" w:eastAsia="宋体" w:cs="Times New Roman"/>
          <w:bCs/>
          <w:color w:val="auto"/>
          <w:sz w:val="24"/>
          <w:szCs w:val="24"/>
          <w:highlight w:val="none"/>
        </w:rPr>
        <w:t>招标文件前附表</w:t>
      </w:r>
      <w:r>
        <w:rPr>
          <w:rFonts w:hint="default" w:ascii="Times New Roman" w:hAnsi="Times New Roman" w:eastAsia="宋体" w:cs="Times New Roman"/>
          <w:color w:val="auto"/>
          <w:sz w:val="24"/>
          <w:szCs w:val="24"/>
          <w:highlight w:val="none"/>
        </w:rPr>
        <w:t xml:space="preserve">规定调整投标人的技术、价格得分或总得分。  </w:t>
      </w:r>
    </w:p>
    <w:p w14:paraId="04548A1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（4）评审中出现下列情形之一的，评审委员会应当启动异常低价投标（响应）审查程序：</w:t>
      </w:r>
    </w:p>
    <w:p w14:paraId="0D0644F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1.投标（响应）报价低于全部通过符合性审查供应商投标（响应）报价平均值50%的，即投标（响应）报价&lt;全部通过符合性审查供应商投标（响应）报价平均值×50%；</w:t>
      </w:r>
    </w:p>
    <w:p w14:paraId="4E3E616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2.投标（响应）报价低于通过符合性审查的次低报价供应商投标（响应）报价50%的，即投标（响应）报价&lt;通过符合性审查的次低报价供应商投标（响应）报价×50%；</w:t>
      </w:r>
    </w:p>
    <w:p w14:paraId="32A79F4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3.投标（响应）报价低于采购项目最高限价45%的，即投标（响应）报价&lt;采购项目最高限价×45%；</w:t>
      </w:r>
    </w:p>
    <w:p w14:paraId="4727FF30">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4.评审委员会基于专业判断，认为供应商报价过低，有可能影响产品质量或者不能诚信履约的其他情形；</w:t>
      </w:r>
    </w:p>
    <w:p w14:paraId="5B2DDE1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5.其他法律法规对供应商报价的有关规定。</w:t>
      </w:r>
    </w:p>
    <w:p w14:paraId="0E8857C0">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6.4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2EC1111">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审委员会在评标现场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FCD754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审委员会在评审现场借助互联网等渠道查询同类项目中标（成交）价格、类似产品市场价格水平、行业人工费用标准、国家有关部门指导行业协会发布的行业平均成本等相关信息的，应当严格遵守评审工作纪律，不得实施影响评审公正的行为。</w:t>
      </w:r>
    </w:p>
    <w:p w14:paraId="01333C0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32D5E5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3</w:t>
      </w:r>
      <w:r>
        <w:rPr>
          <w:rFonts w:hint="default" w:ascii="Times New Roman" w:hAnsi="Times New Roman" w:eastAsia="宋体"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rPr>
        <w:t xml:space="preserve">.6.5 商务、技术标评审： </w:t>
      </w:r>
    </w:p>
    <w:p w14:paraId="6135C64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评标委员会各成员</w:t>
      </w:r>
      <w:r>
        <w:rPr>
          <w:rFonts w:hint="default" w:ascii="Times New Roman" w:hAnsi="Times New Roman" w:eastAsia="宋体" w:cs="Times New Roman"/>
          <w:bCs/>
          <w:color w:val="auto"/>
          <w:sz w:val="24"/>
          <w:szCs w:val="24"/>
          <w:highlight w:val="none"/>
        </w:rPr>
        <w:t>依据评审因素的量化指标及评审原则，对投标文件进行评审打分。</w:t>
      </w:r>
    </w:p>
    <w:p w14:paraId="5F2BB1B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3</w:t>
      </w:r>
      <w:r>
        <w:rPr>
          <w:rFonts w:hint="default" w:ascii="Times New Roman" w:hAnsi="Times New Roman" w:eastAsia="宋体"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rPr>
        <w:t>.6.6 综合得分：</w:t>
      </w:r>
    </w:p>
    <w:p w14:paraId="1312F98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济标得分与商务、技术标得分的总和为投标人的综合得分。计算综合得分时，如有小数，保留两位小数。综合得分最高者为推荐中标候选人，若出现几家投标人综合得分相同的情况，报价最低者为推荐中标候选人。</w:t>
      </w:r>
    </w:p>
    <w:p w14:paraId="5BA86F9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6.7评标委员会若发现招标文件存在歧义、重大缺陷导致评标工作无法进行，或者招标文件内容违反国家有关强制性规定的，应当停止评标工作，与采购人及交易中心沟通并作书面记录。采购人及交易中心确认后，应当修改招标文件，重新组织采购活动。</w:t>
      </w:r>
    </w:p>
    <w:p w14:paraId="7D0DA209">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.7 推荐中标候选人名单及确定中标人</w:t>
      </w:r>
      <w:r>
        <w:rPr>
          <w:rFonts w:hint="default" w:ascii="Times New Roman" w:hAnsi="Times New Roman" w:eastAsia="宋体" w:cs="Times New Roman"/>
          <w:color w:val="auto"/>
          <w:sz w:val="24"/>
          <w:szCs w:val="24"/>
          <w:highlight w:val="none"/>
        </w:rPr>
        <w:t xml:space="preserve"> </w:t>
      </w:r>
    </w:p>
    <w:p w14:paraId="675C347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7.1评标委员会经过初步评审、综合评审后，须按照“真实、公正、可行”的原则，通过审查分析对实质性响应招标文件要求的投标人的投标情况编写评标报告，按综合得分由高到低顺序（综合得分相同的按投标报价由低到高顺序排列。得分且投标报价相同的，由评委会采取随机抽取的方式确定）推荐前3名为中标候选人，排名第一的投标供应商为第一中标候选人，以此类推。</w:t>
      </w:r>
    </w:p>
    <w:p w14:paraId="33798E62">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当采购项目存在多个标段且允许兼投但不兼中时，同一投标人只能中一个标段。如果同一投标人同时在多个标段评审排名第一，则按其所投标段的预算金额由高到低排序，确定预算金额最高的标段为该投标人中标标段（预算金额相同时，按该投标人所投标段顺序确定其中标标段），该投标人在其他标段的中标候选人资格自动失效，由该标段评审排名下一位的合格投标人依次递补。</w:t>
      </w:r>
    </w:p>
    <w:p w14:paraId="768CC9D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.7.2 采购人按评审报告中推荐的中标候选人排序确定中标人。确定中标人的原则：排名第一的中标候选人为中标人。中标人无正当理由不得放弃中标。</w:t>
      </w:r>
    </w:p>
    <w:p w14:paraId="1D7D2736">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92" w:name="EB82c0fecbe01048d9bada6538b71a6fc8"/>
      <w:r>
        <w:rPr>
          <w:rFonts w:hint="default" w:ascii="Times New Roman" w:hAnsi="Times New Roman" w:eastAsia="宋体" w:cs="Times New Roman"/>
          <w:color w:val="auto"/>
          <w:sz w:val="24"/>
          <w:szCs w:val="24"/>
          <w:highlight w:val="none"/>
        </w:rPr>
        <w:t xml:space="preserve"> </w:t>
      </w:r>
      <w:bookmarkEnd w:id="92"/>
      <w:bookmarkStart w:id="93" w:name="EBf924b9be854f498790a9bd5a10df10a4"/>
      <w:r>
        <w:rPr>
          <w:rFonts w:hint="default" w:ascii="Times New Roman" w:hAnsi="Times New Roman" w:eastAsia="宋体" w:cs="Times New Roman"/>
          <w:color w:val="auto"/>
          <w:sz w:val="24"/>
          <w:szCs w:val="24"/>
          <w:highlight w:val="none"/>
        </w:rPr>
        <w:t xml:space="preserve"> </w:t>
      </w:r>
      <w:bookmarkEnd w:id="93"/>
      <w:bookmarkStart w:id="94" w:name="EBb674d48a859343ff9fca1805d71e3914"/>
      <w:r>
        <w:rPr>
          <w:rFonts w:hint="default" w:ascii="Times New Roman" w:hAnsi="Times New Roman" w:eastAsia="宋体" w:cs="Times New Roman"/>
          <w:color w:val="auto"/>
          <w:sz w:val="24"/>
          <w:szCs w:val="24"/>
          <w:highlight w:val="none"/>
        </w:rPr>
        <w:t xml:space="preserve"> </w:t>
      </w:r>
      <w:bookmarkEnd w:id="94"/>
    </w:p>
    <w:p w14:paraId="62A778C6">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95" w:name="_Toc104293462"/>
      <w:bookmarkStart w:id="96" w:name="_Toc23771"/>
      <w:bookmarkStart w:id="97" w:name="_Toc152516867"/>
      <w:bookmarkStart w:id="98" w:name="_Toc1329"/>
      <w:bookmarkStart w:id="99" w:name="_Toc256000014"/>
      <w:r>
        <w:rPr>
          <w:rFonts w:hint="default" w:ascii="Times New Roman" w:hAnsi="Times New Roman" w:eastAsia="宋体" w:cs="Times New Roman"/>
          <w:b/>
          <w:bCs/>
          <w:iCs/>
          <w:color w:val="auto"/>
          <w:kern w:val="2"/>
          <w:sz w:val="24"/>
          <w:szCs w:val="24"/>
          <w:highlight w:val="none"/>
          <w:lang w:val="en-US" w:eastAsia="zh-CN" w:bidi="ar-SA"/>
        </w:rPr>
        <w:t>六、中标结果公告与中标通知书</w:t>
      </w:r>
      <w:bookmarkEnd w:id="95"/>
      <w:bookmarkEnd w:id="96"/>
      <w:bookmarkEnd w:id="97"/>
      <w:bookmarkEnd w:id="98"/>
      <w:bookmarkEnd w:id="99"/>
    </w:p>
    <w:p w14:paraId="6951B378">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3</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中标结果公告</w:t>
      </w:r>
      <w:r>
        <w:rPr>
          <w:rFonts w:hint="default" w:ascii="Times New Roman" w:hAnsi="Times New Roman" w:eastAsia="宋体" w:cs="Times New Roman"/>
          <w:color w:val="auto"/>
          <w:sz w:val="24"/>
          <w:szCs w:val="24"/>
          <w:highlight w:val="none"/>
        </w:rPr>
        <w:t xml:space="preserve"> </w:t>
      </w:r>
    </w:p>
    <w:p w14:paraId="4A84CC2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确定中标人之日起2个工作日内，交易中心在财政部门</w:t>
      </w:r>
      <w:r>
        <w:rPr>
          <w:rFonts w:hint="default" w:ascii="Times New Roman" w:hAnsi="Times New Roman" w:eastAsia="宋体" w:cs="Times New Roman"/>
          <w:color w:val="auto"/>
          <w:sz w:val="24"/>
          <w:szCs w:val="24"/>
          <w:highlight w:val="none"/>
          <w:lang w:eastAsia="zh-CN"/>
        </w:rPr>
        <w:t>规定</w:t>
      </w:r>
      <w:r>
        <w:rPr>
          <w:rFonts w:hint="default" w:ascii="Times New Roman" w:hAnsi="Times New Roman" w:eastAsia="宋体" w:cs="Times New Roman"/>
          <w:color w:val="auto"/>
          <w:sz w:val="24"/>
          <w:szCs w:val="24"/>
          <w:highlight w:val="none"/>
        </w:rPr>
        <w:t>的网站上发布中标结果公告。</w:t>
      </w:r>
    </w:p>
    <w:p w14:paraId="5FB85F8F">
      <w:pPr>
        <w:pageBreakBefore w:val="0"/>
        <w:widowControl w:val="0"/>
        <w:kinsoku/>
        <w:wordWrap/>
        <w:overflowPunct/>
        <w:topLinePunct w:val="0"/>
        <w:autoSpaceDE/>
        <w:autoSpaceDN/>
        <w:bidi w:val="0"/>
        <w:adjustRightInd w:val="0"/>
        <w:snapToGrid w:val="0"/>
        <w:spacing w:line="360" w:lineRule="auto"/>
        <w:ind w:firstLine="477" w:firstLineChars="198"/>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3</w:t>
      </w:r>
      <w:r>
        <w:rPr>
          <w:rFonts w:hint="default" w:ascii="Times New Roman" w:hAnsi="Times New Roman" w:eastAsia="宋体" w:cs="Times New Roman"/>
          <w:b/>
          <w:color w:val="auto"/>
          <w:sz w:val="24"/>
          <w:szCs w:val="24"/>
          <w:highlight w:val="none"/>
          <w:lang w:val="en-US" w:eastAsia="zh-CN"/>
        </w:rPr>
        <w:t>5</w:t>
      </w:r>
      <w:r>
        <w:rPr>
          <w:rFonts w:hint="default" w:ascii="Times New Roman" w:hAnsi="Times New Roman" w:eastAsia="宋体" w:cs="Times New Roman"/>
          <w:b/>
          <w:color w:val="auto"/>
          <w:sz w:val="24"/>
          <w:szCs w:val="24"/>
          <w:highlight w:val="none"/>
        </w:rPr>
        <w:t>. 中标通知书</w:t>
      </w:r>
    </w:p>
    <w:p w14:paraId="534C1C2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.1中标结果公告公示后，交易中心将以数字电文形式向中标人发出《中标通知书》，宣告其投标已被接受。《中标通知书》对采购人和中标人具有同等法律效力。</w:t>
      </w:r>
    </w:p>
    <w:p w14:paraId="5D4ACDB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.2《中标通知书》发出后，采购人不得擅自改变中标结果，中标人无正当理由不得放弃中标。</w:t>
      </w:r>
    </w:p>
    <w:p w14:paraId="5DFC5265">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100" w:name="EBd6c39d72cd434cfb8618145f1917e811"/>
      <w:r>
        <w:rPr>
          <w:rFonts w:hint="default" w:ascii="Times New Roman" w:hAnsi="Times New Roman" w:eastAsia="宋体" w:cs="Times New Roman"/>
          <w:color w:val="auto"/>
          <w:sz w:val="24"/>
          <w:szCs w:val="24"/>
          <w:highlight w:val="none"/>
        </w:rPr>
        <w:t xml:space="preserve"> </w:t>
      </w:r>
      <w:bookmarkEnd w:id="100"/>
      <w:bookmarkStart w:id="101" w:name="EB3efa6e2b5866425989d5275f858bf17e"/>
      <w:r>
        <w:rPr>
          <w:rFonts w:hint="default" w:ascii="Times New Roman" w:hAnsi="Times New Roman" w:eastAsia="宋体" w:cs="Times New Roman"/>
          <w:color w:val="auto"/>
          <w:sz w:val="24"/>
          <w:szCs w:val="24"/>
          <w:highlight w:val="none"/>
        </w:rPr>
        <w:t xml:space="preserve"> </w:t>
      </w:r>
      <w:bookmarkEnd w:id="101"/>
      <w:bookmarkStart w:id="102" w:name="EB4572e35b1e5d42cca83aae77b9c3dff9"/>
      <w:r>
        <w:rPr>
          <w:rFonts w:hint="default" w:ascii="Times New Roman" w:hAnsi="Times New Roman" w:eastAsia="宋体" w:cs="Times New Roman"/>
          <w:color w:val="auto"/>
          <w:sz w:val="24"/>
          <w:szCs w:val="24"/>
          <w:highlight w:val="none"/>
        </w:rPr>
        <w:t xml:space="preserve"> </w:t>
      </w:r>
      <w:bookmarkEnd w:id="102"/>
    </w:p>
    <w:p w14:paraId="02BAC000">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103" w:name="_Toc152516868"/>
      <w:bookmarkStart w:id="104" w:name="_Toc2894"/>
      <w:bookmarkStart w:id="105" w:name="_Toc256000015"/>
      <w:bookmarkStart w:id="106" w:name="_Toc104293463"/>
      <w:bookmarkStart w:id="107" w:name="_Toc1631"/>
      <w:r>
        <w:rPr>
          <w:rFonts w:hint="default" w:ascii="Times New Roman" w:hAnsi="Times New Roman" w:eastAsia="宋体" w:cs="Times New Roman"/>
          <w:b/>
          <w:bCs/>
          <w:iCs/>
          <w:color w:val="auto"/>
          <w:kern w:val="2"/>
          <w:sz w:val="24"/>
          <w:szCs w:val="24"/>
          <w:highlight w:val="none"/>
          <w:lang w:val="en-US" w:eastAsia="zh-CN" w:bidi="ar-SA"/>
        </w:rPr>
        <w:t>七、质疑</w:t>
      </w:r>
      <w:bookmarkEnd w:id="103"/>
      <w:bookmarkEnd w:id="104"/>
      <w:bookmarkEnd w:id="105"/>
      <w:bookmarkEnd w:id="106"/>
      <w:bookmarkEnd w:id="107"/>
      <w:r>
        <w:rPr>
          <w:rFonts w:hint="default" w:ascii="Times New Roman" w:hAnsi="Times New Roman" w:eastAsia="宋体" w:cs="Times New Roman"/>
          <w:b/>
          <w:bCs/>
          <w:iCs/>
          <w:color w:val="auto"/>
          <w:kern w:val="2"/>
          <w:sz w:val="24"/>
          <w:szCs w:val="24"/>
          <w:highlight w:val="none"/>
          <w:lang w:val="en-US" w:eastAsia="zh-CN" w:bidi="ar-SA"/>
        </w:rPr>
        <w:t xml:space="preserve"> </w:t>
      </w:r>
    </w:p>
    <w:p w14:paraId="5510EB6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 提出质疑的供应商应当是直接参与本次采购活动的供应商。质疑函应当使用中文，并采用财政部门制定的范本。</w:t>
      </w:r>
    </w:p>
    <w:p w14:paraId="51015D0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 xml:space="preserve">. 供应商提出质疑和投诉应当坚持依法依规、诚实信用原则。 </w:t>
      </w:r>
    </w:p>
    <w:p w14:paraId="2B05F71E">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 供应商认为采购文件、采购过程和中标结果使自己的权益受到损害的，可以在知道或者应知其权益受到损害之日起七个工作日内，以书面形式提出质疑。投标人针对招标文件内容、开标、评标环节及中标结果等质疑事项必须在法定质疑期内一次性提出。</w:t>
      </w:r>
    </w:p>
    <w:p w14:paraId="2A51E28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39</w:t>
      </w:r>
      <w:r>
        <w:rPr>
          <w:rFonts w:hint="default" w:ascii="Times New Roman" w:hAnsi="Times New Roman" w:eastAsia="宋体" w:cs="Times New Roman"/>
          <w:color w:val="auto"/>
          <w:sz w:val="24"/>
          <w:szCs w:val="24"/>
          <w:highlight w:val="none"/>
        </w:rPr>
        <w:t>. 前款供应商“应知其权益受到损害之日”是指：</w:t>
      </w:r>
    </w:p>
    <w:p w14:paraId="35239E9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（1）对可以质疑的采购文件提出质疑的，为收到采购文件之日或者采购文件公告期限届满之日；</w:t>
      </w:r>
    </w:p>
    <w:p w14:paraId="65AD479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（2）对采购过程提出质疑的，为各采购程序环节结束之日；</w:t>
      </w:r>
    </w:p>
    <w:p w14:paraId="3D5D0D4B">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（3）对中标或者成交结果提出质疑的，为中标或者成交结果公告期限届满之日。</w:t>
      </w:r>
    </w:p>
    <w:p w14:paraId="15EE462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4</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 投标人提出质疑的，应提供质疑函和必要的证明材料。</w:t>
      </w:r>
    </w:p>
    <w:p w14:paraId="5610DD42">
      <w:pPr>
        <w:pageBreakBefore w:val="0"/>
        <w:widowControl w:val="0"/>
        <w:kinsoku/>
        <w:wordWrap/>
        <w:overflowPunct/>
        <w:topLinePunct w:val="0"/>
        <w:autoSpaceDE/>
        <w:autoSpaceDN/>
        <w:bidi w:val="0"/>
        <w:adjustRightInd w:val="0"/>
        <w:snapToGrid w:val="0"/>
        <w:spacing w:line="360" w:lineRule="auto"/>
        <w:ind w:firstLine="595" w:firstLineChars="2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 xml:space="preserve">. 质疑函应当包括以下内容： </w:t>
      </w:r>
    </w:p>
    <w:p w14:paraId="5556C099">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（1）供应商的姓名或者名称、地址、邮编、联系人及联系电话；</w:t>
      </w:r>
    </w:p>
    <w:p w14:paraId="3452C906">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（2）质疑项目的名称、编号；</w:t>
      </w:r>
    </w:p>
    <w:p w14:paraId="00432737">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（3）具体、明确的质疑事项和与质疑事项相关的请求； </w:t>
      </w:r>
    </w:p>
    <w:p w14:paraId="020BFC05">
      <w:pPr>
        <w:pageBreakBefore w:val="0"/>
        <w:widowControl w:val="0"/>
        <w:tabs>
          <w:tab w:val="center" w:pos="4939"/>
        </w:tabs>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（4）事实依据； </w:t>
      </w:r>
      <w:r>
        <w:rPr>
          <w:rFonts w:hint="default" w:ascii="Times New Roman" w:hAnsi="Times New Roman" w:eastAsia="宋体" w:cs="Times New Roman"/>
          <w:color w:val="auto"/>
          <w:sz w:val="24"/>
          <w:szCs w:val="24"/>
          <w:highlight w:val="none"/>
        </w:rPr>
        <w:tab/>
      </w:r>
    </w:p>
    <w:p w14:paraId="20E39DD2">
      <w:pPr>
        <w:pageBreakBefore w:val="0"/>
        <w:widowControl w:val="0"/>
        <w:tabs>
          <w:tab w:val="left" w:pos="4065"/>
        </w:tabs>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（5）必要的法律依据； </w:t>
      </w:r>
      <w:r>
        <w:rPr>
          <w:rFonts w:hint="default" w:ascii="Times New Roman" w:hAnsi="Times New Roman" w:eastAsia="宋体" w:cs="Times New Roman"/>
          <w:color w:val="auto"/>
          <w:sz w:val="24"/>
          <w:szCs w:val="24"/>
          <w:highlight w:val="none"/>
        </w:rPr>
        <w:tab/>
      </w:r>
    </w:p>
    <w:p w14:paraId="6E699EA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（6）提出质疑的日期。</w:t>
      </w:r>
    </w:p>
    <w:p w14:paraId="2BA8AF42">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 xml:space="preserve">. 质疑函应当由供应商法定代表人（或经营者/执行事务合伙人/负责人/自然人）或其授权代表（附授权委托书）签名并加盖公章。 </w:t>
      </w:r>
    </w:p>
    <w:p w14:paraId="79D2EBA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关于质疑函的接收。</w:t>
      </w:r>
    </w:p>
    <w:p w14:paraId="6DFB7D4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递交方式：</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书面形式    </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w:t>
      </w:r>
    </w:p>
    <w:p w14:paraId="118347A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联系部门：</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乌鲁木齐市第七十中学</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w:t>
      </w:r>
    </w:p>
    <w:p w14:paraId="30A0DC4F">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联系电话：</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0991—3656086    </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u w:val="single"/>
        </w:rPr>
        <w:t xml:space="preserve">     </w:t>
      </w:r>
    </w:p>
    <w:p w14:paraId="60BEF638">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通讯地址：</w:t>
      </w:r>
      <w:r>
        <w:rPr>
          <w:rFonts w:hint="default" w:ascii="Times New Roman" w:hAnsi="Times New Roman" w:eastAsia="宋体" w:cs="Times New Roman"/>
          <w:color w:val="auto"/>
          <w:sz w:val="24"/>
          <w:szCs w:val="24"/>
          <w:highlight w:val="none"/>
          <w:u w:val="single"/>
        </w:rPr>
        <w:t xml:space="preserve">  乌鲁木齐市新市区南纬一路54号 </w:t>
      </w:r>
    </w:p>
    <w:p w14:paraId="5E3067B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 xml:space="preserve">.根据中华人民共和国政府采购法第五十二条 供应商认为采购文件、采购过程和中标、成交结果使自己的权益受到损害的，可以在知道或者应知其权益受到损害之日起七个工作日内，以书面形式向采购人提出质疑。  </w:t>
      </w:r>
    </w:p>
    <w:p w14:paraId="2D44C16C">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 xml:space="preserve">. 质疑供应商对采购人、交易中心的答复不满意或者采购人、交易中心未在规定的时间内作出答复的，可以在答复期满后十五个工作日内向同级政府采购监督管理部门投诉。 </w:t>
      </w:r>
    </w:p>
    <w:p w14:paraId="3B7B6156">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108" w:name="EB700175ff62ea4c1cabf97ebe16e818de"/>
      <w:r>
        <w:rPr>
          <w:rFonts w:hint="default" w:ascii="Times New Roman" w:hAnsi="Times New Roman" w:eastAsia="宋体" w:cs="Times New Roman"/>
          <w:color w:val="auto"/>
          <w:sz w:val="24"/>
          <w:szCs w:val="24"/>
          <w:highlight w:val="none"/>
        </w:rPr>
        <w:t xml:space="preserve"> </w:t>
      </w:r>
      <w:bookmarkEnd w:id="108"/>
      <w:bookmarkStart w:id="109" w:name="EB8529f0ddfa97478b84defae020c46ac0"/>
      <w:r>
        <w:rPr>
          <w:rFonts w:hint="default" w:ascii="Times New Roman" w:hAnsi="Times New Roman" w:eastAsia="宋体" w:cs="Times New Roman"/>
          <w:color w:val="auto"/>
          <w:sz w:val="24"/>
          <w:szCs w:val="24"/>
          <w:highlight w:val="none"/>
        </w:rPr>
        <w:t xml:space="preserve"> </w:t>
      </w:r>
      <w:bookmarkEnd w:id="109"/>
      <w:bookmarkStart w:id="110" w:name="EBfa38df4d732a444184c62cad44c7e249"/>
      <w:r>
        <w:rPr>
          <w:rFonts w:hint="default" w:ascii="Times New Roman" w:hAnsi="Times New Roman" w:eastAsia="宋体" w:cs="Times New Roman"/>
          <w:color w:val="auto"/>
          <w:sz w:val="24"/>
          <w:szCs w:val="24"/>
          <w:highlight w:val="none"/>
        </w:rPr>
        <w:t xml:space="preserve"> </w:t>
      </w:r>
      <w:bookmarkEnd w:id="110"/>
    </w:p>
    <w:p w14:paraId="0CF10DDB">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111" w:name="_Toc14007"/>
      <w:bookmarkStart w:id="112" w:name="_Toc104293464"/>
      <w:bookmarkStart w:id="113" w:name="_Toc8489"/>
      <w:bookmarkStart w:id="114" w:name="_Toc152516869"/>
      <w:bookmarkStart w:id="115" w:name="_Toc256000016"/>
      <w:r>
        <w:rPr>
          <w:rFonts w:hint="default" w:ascii="Times New Roman" w:hAnsi="Times New Roman" w:eastAsia="宋体" w:cs="Times New Roman"/>
          <w:b/>
          <w:bCs/>
          <w:iCs/>
          <w:color w:val="auto"/>
          <w:kern w:val="2"/>
          <w:sz w:val="24"/>
          <w:szCs w:val="24"/>
          <w:highlight w:val="none"/>
          <w:lang w:val="en-US" w:eastAsia="zh-CN" w:bidi="ar-SA"/>
        </w:rPr>
        <w:t>八、合同签订</w:t>
      </w:r>
      <w:bookmarkEnd w:id="111"/>
      <w:bookmarkEnd w:id="112"/>
      <w:bookmarkEnd w:id="113"/>
      <w:bookmarkEnd w:id="114"/>
      <w:bookmarkEnd w:id="115"/>
      <w:r>
        <w:rPr>
          <w:rFonts w:hint="default" w:ascii="Times New Roman" w:hAnsi="Times New Roman" w:eastAsia="宋体" w:cs="Times New Roman"/>
          <w:b/>
          <w:bCs/>
          <w:iCs/>
          <w:color w:val="auto"/>
          <w:kern w:val="2"/>
          <w:sz w:val="24"/>
          <w:szCs w:val="24"/>
          <w:highlight w:val="none"/>
          <w:lang w:val="en-US" w:eastAsia="zh-CN" w:bidi="ar-SA"/>
        </w:rPr>
        <w:t xml:space="preserve"> </w:t>
      </w:r>
    </w:p>
    <w:p w14:paraId="482EA4D8">
      <w:pPr>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4</w:t>
      </w:r>
      <w:r>
        <w:rPr>
          <w:rFonts w:hint="default"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 履约保证金</w:t>
      </w:r>
      <w:r>
        <w:rPr>
          <w:rFonts w:hint="default" w:ascii="Times New Roman" w:hAnsi="Times New Roman" w:eastAsia="宋体" w:cs="Times New Roman"/>
          <w:color w:val="auto"/>
          <w:sz w:val="24"/>
          <w:szCs w:val="24"/>
          <w:highlight w:val="none"/>
        </w:rPr>
        <w:t xml:space="preserve"> </w:t>
      </w:r>
    </w:p>
    <w:p w14:paraId="533A712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若采购人需收取履约保证金，采购人、中标（成交）供应商应当在政府采购合同中约定履约保证金退还的方式、时间、条件和不予退还的情形，明确逾期退还履约保证金的违约责任。采购人应当按照约定及时退还履约保证金，不得违规将履约保证金转为“质保金”。</w:t>
      </w:r>
    </w:p>
    <w:p w14:paraId="442DC93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4</w:t>
      </w:r>
      <w:r>
        <w:rPr>
          <w:rFonts w:hint="default" w:ascii="Times New Roman" w:hAnsi="Times New Roman" w:eastAsia="宋体"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  签订合同</w:t>
      </w:r>
      <w:r>
        <w:rPr>
          <w:rFonts w:hint="default" w:ascii="Times New Roman" w:hAnsi="Times New Roman" w:eastAsia="宋体" w:cs="Times New Roman"/>
          <w:color w:val="auto"/>
          <w:sz w:val="24"/>
          <w:szCs w:val="24"/>
          <w:highlight w:val="none"/>
        </w:rPr>
        <w:t xml:space="preserve"> </w:t>
      </w:r>
    </w:p>
    <w:p w14:paraId="7DC29BF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 xml:space="preserve">.1采购人应当自《中标通知书》发出之日起30日内，依据招标文件和中标人的投标文件与中标人签订书面合同。所签订的合同不得对招标文件确定的事项和中标人的投标文件作实质性修改。联合体中标的，联合体各方应当共同与采购人签订合同，就采购合同约定的事项向采购人承担连带责任。 </w:t>
      </w:r>
    </w:p>
    <w:p w14:paraId="4767ACA3">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2合同签订时，采购人和中标人必须以评标委员会确认的投标文件为依据，采购人不得与中标人私自协商变更投标文件“供货一览表”中的设备，降低产品性能，骗取财政性资金。若因系统建设需要，不得不更改产品的品牌及配置，必须经相关部门审核同意后方可变更，否则变更无效。</w:t>
      </w:r>
    </w:p>
    <w:p w14:paraId="1C3912FA">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.3 《中标通知书》将是构成合同的一个组成部分。</w:t>
      </w:r>
    </w:p>
    <w:p w14:paraId="23495335">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.4 合同自签订之日起三个工作日内，中标人应向采购人提供一份详细的工作时间表。</w:t>
      </w:r>
    </w:p>
    <w:p w14:paraId="5BCC97FB">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iCs/>
          <w:color w:val="auto"/>
          <w:sz w:val="24"/>
          <w:szCs w:val="24"/>
          <w:highlight w:val="none"/>
        </w:rPr>
      </w:pPr>
      <w:r>
        <w:rPr>
          <w:rFonts w:hint="default" w:ascii="Times New Roman" w:hAnsi="Times New Roman" w:eastAsia="宋体" w:cs="Times New Roman"/>
          <w:iCs/>
          <w:color w:val="auto"/>
          <w:sz w:val="24"/>
          <w:szCs w:val="24"/>
          <w:highlight w:val="none"/>
        </w:rPr>
        <w:t>4</w:t>
      </w:r>
      <w:r>
        <w:rPr>
          <w:rFonts w:hint="default" w:ascii="Times New Roman" w:hAnsi="Times New Roman" w:eastAsia="宋体" w:cs="Times New Roman"/>
          <w:iCs/>
          <w:color w:val="auto"/>
          <w:sz w:val="24"/>
          <w:szCs w:val="24"/>
          <w:highlight w:val="none"/>
          <w:lang w:val="en-US" w:eastAsia="zh-CN"/>
        </w:rPr>
        <w:t>7</w:t>
      </w:r>
      <w:r>
        <w:rPr>
          <w:rFonts w:hint="default" w:ascii="Times New Roman" w:hAnsi="Times New Roman" w:eastAsia="宋体" w:cs="Times New Roman"/>
          <w:iCs/>
          <w:color w:val="auto"/>
          <w:sz w:val="24"/>
          <w:szCs w:val="24"/>
          <w:highlight w:val="none"/>
        </w:rPr>
        <w:t>.5 合同自签订之日起，采购人应当于七个工作日内在政采云平台完成合同备案。</w:t>
      </w:r>
    </w:p>
    <w:p w14:paraId="6D25DCC4">
      <w:pPr>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Cs/>
          <w:color w:val="auto"/>
          <w:sz w:val="24"/>
          <w:szCs w:val="24"/>
          <w:highlight w:val="none"/>
        </w:rPr>
        <w:t>4</w:t>
      </w:r>
      <w:r>
        <w:rPr>
          <w:rFonts w:hint="default" w:ascii="Times New Roman" w:hAnsi="Times New Roman" w:eastAsia="宋体" w:cs="Times New Roman"/>
          <w:iCs/>
          <w:color w:val="auto"/>
          <w:sz w:val="24"/>
          <w:szCs w:val="24"/>
          <w:highlight w:val="none"/>
          <w:lang w:val="en-US" w:eastAsia="zh-CN"/>
        </w:rPr>
        <w:t>7</w:t>
      </w:r>
      <w:r>
        <w:rPr>
          <w:rFonts w:hint="default" w:ascii="Times New Roman" w:hAnsi="Times New Roman" w:eastAsia="宋体" w:cs="Times New Roman"/>
          <w:iCs/>
          <w:color w:val="auto"/>
          <w:sz w:val="24"/>
          <w:szCs w:val="24"/>
          <w:highlight w:val="none"/>
        </w:rPr>
        <w:t>.6 采购人允许采用分包方式履行合同的，中标人可以依法将中标项目的非主体、非关键性工作采取分包方式履行合同。政府采购合同分包履行的，应当在投标文件中载明分包承担主体，分包承担主体应当具备相应资质条件且不得再次分包，否则投标无效。中标人就采购项目和分包项目向采购人负责，分包供应商就分包项目承担责任。政府采购合同不能转包。</w:t>
      </w:r>
    </w:p>
    <w:p w14:paraId="3F6FF43F">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116" w:name="EB5e6819471adf486dbd5ef38294343217"/>
      <w:r>
        <w:rPr>
          <w:rFonts w:hint="default" w:ascii="Times New Roman" w:hAnsi="Times New Roman" w:eastAsia="宋体" w:cs="Times New Roman"/>
          <w:color w:val="auto"/>
          <w:sz w:val="24"/>
          <w:szCs w:val="24"/>
          <w:highlight w:val="none"/>
        </w:rPr>
        <w:t xml:space="preserve"> </w:t>
      </w:r>
      <w:bookmarkEnd w:id="116"/>
      <w:bookmarkStart w:id="117" w:name="EB96057038a4ca48c599a3216786cbcacf"/>
      <w:r>
        <w:rPr>
          <w:rFonts w:hint="default" w:ascii="Times New Roman" w:hAnsi="Times New Roman" w:eastAsia="宋体" w:cs="Times New Roman"/>
          <w:color w:val="auto"/>
          <w:sz w:val="24"/>
          <w:szCs w:val="24"/>
          <w:highlight w:val="none"/>
        </w:rPr>
        <w:t xml:space="preserve"> </w:t>
      </w:r>
      <w:bookmarkEnd w:id="117"/>
      <w:bookmarkStart w:id="118" w:name="EB6c5b00d97e574ea79d0063307de5de61"/>
      <w:r>
        <w:rPr>
          <w:rFonts w:hint="default" w:ascii="Times New Roman" w:hAnsi="Times New Roman" w:eastAsia="宋体" w:cs="Times New Roman"/>
          <w:color w:val="auto"/>
          <w:sz w:val="24"/>
          <w:szCs w:val="24"/>
          <w:highlight w:val="none"/>
        </w:rPr>
        <w:t xml:space="preserve"> </w:t>
      </w:r>
      <w:bookmarkEnd w:id="118"/>
    </w:p>
    <w:p w14:paraId="1CF79D0A">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119" w:name="_Toc256000017"/>
      <w:bookmarkStart w:id="120" w:name="_Toc104293465"/>
      <w:bookmarkStart w:id="121" w:name="_Toc152516870"/>
      <w:bookmarkStart w:id="122" w:name="_Toc1210"/>
      <w:bookmarkStart w:id="123" w:name="_Toc15472"/>
      <w:r>
        <w:rPr>
          <w:rFonts w:hint="default" w:ascii="Times New Roman" w:hAnsi="Times New Roman" w:eastAsia="宋体" w:cs="Times New Roman"/>
          <w:b/>
          <w:bCs/>
          <w:iCs/>
          <w:color w:val="auto"/>
          <w:kern w:val="2"/>
          <w:sz w:val="24"/>
          <w:szCs w:val="24"/>
          <w:highlight w:val="none"/>
          <w:lang w:val="en-US" w:eastAsia="zh-CN" w:bidi="ar-SA"/>
        </w:rPr>
        <w:t>九、其他规定</w:t>
      </w:r>
      <w:bookmarkEnd w:id="119"/>
      <w:bookmarkEnd w:id="120"/>
      <w:bookmarkEnd w:id="121"/>
      <w:bookmarkEnd w:id="122"/>
      <w:bookmarkEnd w:id="123"/>
      <w:r>
        <w:rPr>
          <w:rFonts w:hint="default" w:ascii="Times New Roman" w:hAnsi="Times New Roman" w:eastAsia="宋体" w:cs="Times New Roman"/>
          <w:b/>
          <w:bCs/>
          <w:iCs/>
          <w:color w:val="auto"/>
          <w:kern w:val="2"/>
          <w:sz w:val="24"/>
          <w:szCs w:val="24"/>
          <w:highlight w:val="none"/>
          <w:lang w:val="en-US" w:eastAsia="zh-CN" w:bidi="ar-SA"/>
        </w:rPr>
        <w:t xml:space="preserve"> </w:t>
      </w:r>
    </w:p>
    <w:p w14:paraId="6FDE8CBD">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
          <w:color w:val="auto"/>
          <w:sz w:val="24"/>
          <w:szCs w:val="24"/>
          <w:highlight w:val="none"/>
        </w:rPr>
        <w:t>4</w:t>
      </w:r>
      <w:r>
        <w:rPr>
          <w:rFonts w:hint="default" w:ascii="Times New Roman" w:hAnsi="Times New Roman" w:eastAsia="宋体"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rPr>
        <w:t>. 保密。</w:t>
      </w:r>
      <w:r>
        <w:rPr>
          <w:rFonts w:hint="default" w:ascii="Times New Roman" w:hAnsi="Times New Roman" w:eastAsia="宋体" w:cs="Times New Roman"/>
          <w:bCs/>
          <w:color w:val="auto"/>
          <w:sz w:val="24"/>
          <w:szCs w:val="24"/>
          <w:highlight w:val="none"/>
        </w:rPr>
        <w:t>参与招标投标活动的各方应对招标文件和投标文件中的商业和技术等秘密保密，否则应承担相应的法律责任。</w:t>
      </w:r>
    </w:p>
    <w:p w14:paraId="093882A8">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4</w:t>
      </w:r>
      <w:r>
        <w:rPr>
          <w:rFonts w:hint="default" w:ascii="Times New Roman" w:hAnsi="Times New Roman" w:eastAsia="宋体" w:cs="Times New Roman"/>
          <w:bCs/>
          <w:color w:val="auto"/>
          <w:sz w:val="24"/>
          <w:szCs w:val="24"/>
          <w:highlight w:val="none"/>
          <w:lang w:val="en-US" w:eastAsia="zh-CN"/>
        </w:rPr>
        <w:t>8</w:t>
      </w:r>
      <w:r>
        <w:rPr>
          <w:rFonts w:hint="default" w:ascii="Times New Roman" w:hAnsi="Times New Roman" w:eastAsia="宋体" w:cs="Times New Roman"/>
          <w:bCs/>
          <w:color w:val="auto"/>
          <w:sz w:val="24"/>
          <w:szCs w:val="24"/>
          <w:highlight w:val="none"/>
        </w:rPr>
        <w:t>.1投标人自获取招标文件之日起，须承担本招标项目保密义务，不得将因本次招标获得的信息向第三人外传。由采购人向投标人提供的图纸、详细资料、样品、模型、模件和所有其它资料，被视为保密资料，仅被用于它所规定的用途。除非得到采购人的同意，不能向任何第三方透露。开标结束后，应采购人要求，投标人应归还所有从采购人处获得的保密资料。</w:t>
      </w:r>
    </w:p>
    <w:p w14:paraId="7680D0BE">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4</w:t>
      </w:r>
      <w:r>
        <w:rPr>
          <w:rFonts w:hint="default" w:ascii="Times New Roman" w:hAnsi="Times New Roman" w:eastAsia="宋体" w:cs="Times New Roman"/>
          <w:bCs/>
          <w:color w:val="auto"/>
          <w:sz w:val="24"/>
          <w:szCs w:val="24"/>
          <w:highlight w:val="none"/>
          <w:lang w:val="en-US" w:eastAsia="zh-CN"/>
        </w:rPr>
        <w:t>8</w:t>
      </w:r>
      <w:r>
        <w:rPr>
          <w:rFonts w:hint="default" w:ascii="Times New Roman" w:hAnsi="Times New Roman" w:eastAsia="宋体" w:cs="Times New Roman"/>
          <w:bCs/>
          <w:color w:val="auto"/>
          <w:sz w:val="24"/>
          <w:szCs w:val="24"/>
          <w:highlight w:val="none"/>
        </w:rPr>
        <w:t>.2采购代理机构有权将投标人提供的所有资料向有关政府部门或评审投标文件的有关人员披露。</w:t>
      </w:r>
    </w:p>
    <w:p w14:paraId="5D074AE8">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4</w:t>
      </w:r>
      <w:r>
        <w:rPr>
          <w:rFonts w:hint="default" w:ascii="Times New Roman" w:hAnsi="Times New Roman" w:eastAsia="宋体" w:cs="Times New Roman"/>
          <w:bCs/>
          <w:color w:val="auto"/>
          <w:sz w:val="24"/>
          <w:szCs w:val="24"/>
          <w:highlight w:val="none"/>
          <w:lang w:val="en-US" w:eastAsia="zh-CN"/>
        </w:rPr>
        <w:t>8</w:t>
      </w:r>
      <w:r>
        <w:rPr>
          <w:rFonts w:hint="default" w:ascii="Times New Roman" w:hAnsi="Times New Roman" w:eastAsia="宋体" w:cs="Times New Roman"/>
          <w:bCs/>
          <w:color w:val="auto"/>
          <w:sz w:val="24"/>
          <w:szCs w:val="24"/>
          <w:highlight w:val="none"/>
        </w:rPr>
        <w:t>.3 各级人民政府财政部门对政府采购活动进行监督检查，有权查阅、复制有关文件、资料，相关单位和人员应当予以配合。</w:t>
      </w:r>
    </w:p>
    <w:p w14:paraId="68D378B7">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49</w:t>
      </w:r>
      <w:r>
        <w:rPr>
          <w:rFonts w:hint="default" w:ascii="Times New Roman" w:hAnsi="Times New Roman" w:eastAsia="宋体" w:cs="Times New Roman"/>
          <w:bCs/>
          <w:color w:val="auto"/>
          <w:sz w:val="24"/>
          <w:szCs w:val="24"/>
          <w:highlight w:val="none"/>
        </w:rPr>
        <w:t>. 本招标文件中提到的日期、时间均为公历、北京时间。除本采购文件另有规定外，文件中出现的类似于“近三年”或“前三年”、“近五年”或“前五年”均指递交投标文件截止时间之前三年或前五年，以此类推。本采购文件所称的“以上”、“以下”、“内”、“以内”，包括本数；所称的“不足”，不包括本数。</w:t>
      </w:r>
    </w:p>
    <w:p w14:paraId="58DB2183">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
          <w:color w:val="auto"/>
          <w:sz w:val="24"/>
          <w:szCs w:val="24"/>
          <w:highlight w:val="none"/>
        </w:rPr>
        <w:t>5</w:t>
      </w:r>
      <w:r>
        <w:rPr>
          <w:rFonts w:hint="default" w:ascii="Times New Roman" w:hAnsi="Times New Roman" w:eastAsia="宋体" w:cs="Times New Roman"/>
          <w:b/>
          <w:color w:val="auto"/>
          <w:sz w:val="24"/>
          <w:szCs w:val="24"/>
          <w:highlight w:val="none"/>
          <w:lang w:val="en-US" w:eastAsia="zh-CN"/>
        </w:rPr>
        <w:t>0</w:t>
      </w:r>
      <w:r>
        <w:rPr>
          <w:rFonts w:hint="default" w:ascii="Times New Roman" w:hAnsi="Times New Roman" w:eastAsia="宋体" w:cs="Times New Roman"/>
          <w:b/>
          <w:color w:val="auto"/>
          <w:sz w:val="24"/>
          <w:szCs w:val="24"/>
          <w:highlight w:val="none"/>
        </w:rPr>
        <w:t>. 适用法律。</w:t>
      </w:r>
      <w:r>
        <w:rPr>
          <w:rFonts w:hint="default" w:ascii="Times New Roman" w:hAnsi="Times New Roman" w:eastAsia="宋体" w:cs="Times New Roman"/>
          <w:bCs/>
          <w:color w:val="auto"/>
          <w:sz w:val="24"/>
          <w:szCs w:val="24"/>
          <w:highlight w:val="none"/>
        </w:rPr>
        <w:t>采购人、采购代理机构及投标人的一切采购活动均适用《中华人民共和国政府采购法》、《中华人民共和国政府采购法实施条例》、《政府采购货物和服务招标投标管理办法》等相关法律法规。</w:t>
      </w:r>
    </w:p>
    <w:p w14:paraId="5523406C">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政府采购合同履约过程中出现的违约责任和争议等情形依据《中华人民共和国民法典》处理。</w:t>
      </w:r>
    </w:p>
    <w:p w14:paraId="72455D40">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5</w:t>
      </w:r>
      <w:r>
        <w:rPr>
          <w:rFonts w:hint="default" w:ascii="Times New Roman" w:hAnsi="Times New Roman" w:eastAsia="宋体" w:cs="Times New Roman"/>
          <w:bCs/>
          <w:color w:val="auto"/>
          <w:sz w:val="24"/>
          <w:szCs w:val="24"/>
          <w:highlight w:val="none"/>
          <w:lang w:val="en-US" w:eastAsia="zh-CN"/>
        </w:rPr>
        <w:t>1</w:t>
      </w:r>
      <w:r>
        <w:rPr>
          <w:rFonts w:hint="default" w:ascii="Times New Roman" w:hAnsi="Times New Roman" w:eastAsia="宋体" w:cs="Times New Roman"/>
          <w:bCs/>
          <w:color w:val="auto"/>
          <w:sz w:val="24"/>
          <w:szCs w:val="24"/>
          <w:highlight w:val="none"/>
        </w:rPr>
        <w:t>.本招标文件的解释权归乌鲁木齐市公共资源交易中心（乌鲁木齐市政府采购中心）所有。</w:t>
      </w:r>
    </w:p>
    <w:p w14:paraId="3FD10AE4">
      <w:pPr>
        <w:pageBreakBefore w:val="0"/>
        <w:widowControl w:val="0"/>
        <w:kinsoku/>
        <w:wordWrap/>
        <w:overflowPunct/>
        <w:topLinePunct w:val="0"/>
        <w:autoSpaceDE/>
        <w:autoSpaceDN/>
        <w:bidi w:val="0"/>
        <w:adjustRightInd w:val="0"/>
        <w:snapToGrid w:val="0"/>
        <w:spacing w:line="360" w:lineRule="auto"/>
        <w:ind w:firstLine="42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52</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bCs/>
          <w:color w:val="auto"/>
          <w:sz w:val="24"/>
          <w:szCs w:val="24"/>
          <w:highlight w:val="none"/>
        </w:rPr>
        <w:t>投标人的营业执照名称、法定代表人等重要信息发生变更，投标人应及时更新其联系信息、法定代表人、地址、电话、电子邮件等重要信息。若投标人未能履行信息变更的义务，或由于信息未及时更新而导致招标方无法与投标人联系，投标人将承担由此产生的所有后果。</w:t>
      </w:r>
    </w:p>
    <w:p w14:paraId="222BB045">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bookmarkStart w:id="124" w:name="EBb2a33e4f21e242a4a4576d137e88a23f"/>
      <w:r>
        <w:rPr>
          <w:rFonts w:hint="default" w:ascii="Times New Roman" w:hAnsi="Times New Roman" w:eastAsia="宋体" w:cs="Times New Roman"/>
          <w:color w:val="auto"/>
          <w:sz w:val="24"/>
          <w:szCs w:val="24"/>
          <w:highlight w:val="none"/>
        </w:rPr>
        <w:t xml:space="preserve"> </w:t>
      </w:r>
      <w:bookmarkEnd w:id="124"/>
      <w:bookmarkStart w:id="125" w:name="EBecb9b2a350bc4d72a60ce0143a343f00"/>
      <w:r>
        <w:rPr>
          <w:rFonts w:hint="default" w:ascii="Times New Roman" w:hAnsi="Times New Roman" w:eastAsia="宋体" w:cs="Times New Roman"/>
          <w:color w:val="auto"/>
          <w:sz w:val="24"/>
          <w:szCs w:val="24"/>
          <w:highlight w:val="none"/>
        </w:rPr>
        <w:t xml:space="preserve"> </w:t>
      </w:r>
      <w:bookmarkEnd w:id="125"/>
      <w:bookmarkStart w:id="126" w:name="EBba34af7bdcfc4cb0b6c734b626c03f88"/>
      <w:r>
        <w:rPr>
          <w:rFonts w:hint="default" w:ascii="Times New Roman" w:hAnsi="Times New Roman" w:eastAsia="宋体" w:cs="Times New Roman"/>
          <w:color w:val="auto"/>
          <w:sz w:val="24"/>
          <w:szCs w:val="24"/>
          <w:highlight w:val="none"/>
        </w:rPr>
        <w:t xml:space="preserve"> </w:t>
      </w:r>
      <w:bookmarkEnd w:id="126"/>
    </w:p>
    <w:p w14:paraId="41A506A2">
      <w:pPr>
        <w:keepNext/>
        <w:pageBreakBefore w:val="0"/>
        <w:widowControl w:val="0"/>
        <w:kinsoku/>
        <w:wordWrap/>
        <w:overflowPunct/>
        <w:topLinePunct w:val="0"/>
        <w:autoSpaceDE/>
        <w:autoSpaceDN/>
        <w:bidi w:val="0"/>
        <w:spacing w:before="60" w:after="60" w:line="360" w:lineRule="auto"/>
        <w:ind w:firstLine="482" w:firstLineChars="200"/>
        <w:jc w:val="left"/>
        <w:textAlignment w:val="auto"/>
        <w:outlineLvl w:val="1"/>
        <w:rPr>
          <w:rFonts w:hint="default" w:ascii="Times New Roman" w:hAnsi="Times New Roman" w:eastAsia="宋体" w:cs="Times New Roman"/>
          <w:b/>
          <w:bCs/>
          <w:iCs/>
          <w:color w:val="auto"/>
          <w:kern w:val="2"/>
          <w:sz w:val="24"/>
          <w:szCs w:val="24"/>
          <w:highlight w:val="none"/>
          <w:lang w:val="en-US" w:eastAsia="zh-CN" w:bidi="ar-SA"/>
        </w:rPr>
      </w:pPr>
      <w:bookmarkStart w:id="127" w:name="_Toc8505"/>
      <w:bookmarkStart w:id="128" w:name="_Toc152516871"/>
      <w:bookmarkStart w:id="129" w:name="_Toc104293466"/>
      <w:bookmarkStart w:id="130" w:name="_Toc4057"/>
      <w:bookmarkStart w:id="131" w:name="_Toc4201"/>
      <w:bookmarkStart w:id="132" w:name="_Toc256000018"/>
      <w:r>
        <w:rPr>
          <w:rFonts w:hint="default" w:ascii="Times New Roman" w:hAnsi="Times New Roman" w:eastAsia="宋体" w:cs="Times New Roman"/>
          <w:b/>
          <w:bCs/>
          <w:iCs/>
          <w:color w:val="auto"/>
          <w:kern w:val="2"/>
          <w:sz w:val="24"/>
          <w:szCs w:val="24"/>
          <w:highlight w:val="none"/>
          <w:lang w:val="en-US" w:eastAsia="zh-CN" w:bidi="ar-SA"/>
        </w:rPr>
        <w:t>十、其他</w:t>
      </w:r>
      <w:bookmarkEnd w:id="127"/>
      <w:r>
        <w:rPr>
          <w:rFonts w:hint="default" w:ascii="Times New Roman" w:hAnsi="Times New Roman" w:eastAsia="宋体" w:cs="Times New Roman"/>
          <w:b/>
          <w:bCs/>
          <w:iCs/>
          <w:color w:val="auto"/>
          <w:kern w:val="2"/>
          <w:sz w:val="24"/>
          <w:szCs w:val="24"/>
          <w:highlight w:val="none"/>
          <w:lang w:val="en-US" w:eastAsia="zh-CN" w:bidi="ar-SA"/>
        </w:rPr>
        <w:t>内容</w:t>
      </w:r>
      <w:bookmarkEnd w:id="128"/>
      <w:bookmarkEnd w:id="129"/>
      <w:bookmarkEnd w:id="130"/>
      <w:bookmarkEnd w:id="131"/>
      <w:bookmarkEnd w:id="132"/>
    </w:p>
    <w:tbl>
      <w:tblPr>
        <w:tblStyle w:val="31"/>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0"/>
      </w:tblGrid>
      <w:tr w14:paraId="6ACD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9620" w:type="dxa"/>
            <w:tcBorders>
              <w:top w:val="single" w:color="auto" w:sz="4" w:space="0"/>
              <w:left w:val="single" w:color="auto" w:sz="4" w:space="0"/>
              <w:bottom w:val="single" w:color="auto" w:sz="4" w:space="0"/>
              <w:right w:val="single" w:color="auto" w:sz="4" w:space="0"/>
            </w:tcBorders>
          </w:tcPr>
          <w:p w14:paraId="7818B60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133" w:name="EBf9c14e2288424d04953348e187389903"/>
            <w:bookmarkEnd w:id="133"/>
          </w:p>
        </w:tc>
      </w:tr>
    </w:tbl>
    <w:p w14:paraId="09D276AC">
      <w:pPr>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w:t>
      </w:r>
      <w:bookmarkEnd w:id="56"/>
    </w:p>
    <w:p w14:paraId="322AD285">
      <w:pPr>
        <w:keepNext/>
        <w:keepLines/>
        <w:pageBreakBefore w:val="0"/>
        <w:widowControl w:val="0"/>
        <w:kinsoku/>
        <w:wordWrap/>
        <w:overflowPunct/>
        <w:topLinePunct w:val="0"/>
        <w:autoSpaceDE/>
        <w:autoSpaceDN/>
        <w:bidi w:val="0"/>
        <w:spacing w:line="360" w:lineRule="auto"/>
        <w:ind w:firstLine="482" w:firstLineChars="200"/>
        <w:jc w:val="left"/>
        <w:textAlignment w:val="auto"/>
        <w:outlineLvl w:val="3"/>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br w:type="page"/>
      </w:r>
    </w:p>
    <w:p w14:paraId="182E6F96">
      <w:pPr>
        <w:pStyle w:val="14"/>
        <w:spacing w:after="0"/>
        <w:ind w:firstLine="884"/>
        <w:jc w:val="center"/>
        <w:rPr>
          <w:rFonts w:ascii="宋体" w:hAnsi="宋体" w:cs="宋体"/>
          <w:b/>
          <w:bCs/>
          <w:color w:val="auto"/>
          <w:spacing w:val="-20"/>
          <w:kern w:val="44"/>
          <w:sz w:val="48"/>
          <w:szCs w:val="48"/>
          <w:highlight w:val="none"/>
        </w:rPr>
      </w:pPr>
    </w:p>
    <w:p w14:paraId="3F61D989">
      <w:pPr>
        <w:pStyle w:val="2"/>
        <w:jc w:val="center"/>
        <w:rPr>
          <w:color w:val="auto"/>
          <w:highlight w:val="none"/>
        </w:rPr>
      </w:pPr>
      <w:bookmarkStart w:id="134" w:name="_Toc256000019"/>
      <w:bookmarkStart w:id="135" w:name="_Toc152516872"/>
      <w:bookmarkStart w:id="136" w:name="_Toc104293467"/>
      <w:bookmarkStart w:id="137" w:name="_Toc12947"/>
      <w:r>
        <w:rPr>
          <w:rFonts w:hint="eastAsia" w:ascii="方正黑体_GBK" w:hAnsi="方正黑体_GBK" w:eastAsia="方正黑体_GBK" w:cs="方正黑体_GBK"/>
          <w:color w:val="auto"/>
          <w:highlight w:val="none"/>
        </w:rPr>
        <w:t>第四章  采购合同</w:t>
      </w:r>
      <w:bookmarkEnd w:id="134"/>
      <w:bookmarkEnd w:id="135"/>
      <w:bookmarkEnd w:id="136"/>
      <w:bookmarkEnd w:id="137"/>
      <w:bookmarkStart w:id="138" w:name="bookmark20"/>
      <w:bookmarkEnd w:id="138"/>
    </w:p>
    <w:p w14:paraId="2EC3A0C1">
      <w:pPr>
        <w:pStyle w:val="14"/>
        <w:spacing w:after="0"/>
        <w:jc w:val="center"/>
        <w:rPr>
          <w:rFonts w:ascii="宋体" w:hAnsi="宋体" w:cs="宋体"/>
          <w:b/>
          <w:bCs/>
          <w:spacing w:val="-20"/>
          <w:kern w:val="44"/>
          <w:sz w:val="48"/>
          <w:szCs w:val="48"/>
          <w:highlight w:val="none"/>
        </w:rPr>
      </w:pPr>
    </w:p>
    <w:p w14:paraId="1756609B">
      <w:pPr>
        <w:pStyle w:val="14"/>
        <w:spacing w:after="0"/>
        <w:jc w:val="center"/>
        <w:rPr>
          <w:rFonts w:ascii="宋体" w:hAnsi="宋体" w:cs="宋体"/>
          <w:b/>
          <w:bCs/>
          <w:spacing w:val="-20"/>
          <w:kern w:val="44"/>
          <w:sz w:val="48"/>
          <w:szCs w:val="48"/>
          <w:highlight w:val="none"/>
        </w:rPr>
      </w:pPr>
    </w:p>
    <w:p w14:paraId="174D1DAA">
      <w:pPr>
        <w:pStyle w:val="14"/>
        <w:spacing w:after="0"/>
        <w:jc w:val="center"/>
        <w:rPr>
          <w:rFonts w:ascii="宋体" w:hAnsi="宋体" w:cs="宋体"/>
          <w:b/>
          <w:bCs/>
          <w:spacing w:val="-20"/>
          <w:kern w:val="44"/>
          <w:sz w:val="48"/>
          <w:szCs w:val="48"/>
          <w:highlight w:val="none"/>
        </w:rPr>
      </w:pPr>
    </w:p>
    <w:p w14:paraId="4BA839BC">
      <w:pPr>
        <w:pStyle w:val="14"/>
        <w:spacing w:after="0"/>
        <w:jc w:val="center"/>
        <w:rPr>
          <w:rFonts w:ascii="宋体" w:hAnsi="宋体" w:cs="宋体"/>
          <w:b/>
          <w:bCs/>
          <w:spacing w:val="-20"/>
          <w:kern w:val="44"/>
          <w:sz w:val="48"/>
          <w:szCs w:val="48"/>
          <w:highlight w:val="none"/>
        </w:rPr>
      </w:pPr>
    </w:p>
    <w:p w14:paraId="446EEC74">
      <w:pPr>
        <w:pStyle w:val="14"/>
        <w:spacing w:after="0"/>
        <w:jc w:val="center"/>
        <w:rPr>
          <w:rFonts w:hint="eastAsia" w:ascii="宋体" w:hAnsi="宋体" w:cs="宋体"/>
          <w:b/>
          <w:bCs/>
          <w:spacing w:val="-20"/>
          <w:kern w:val="44"/>
          <w:sz w:val="48"/>
          <w:szCs w:val="48"/>
          <w:highlight w:val="none"/>
        </w:rPr>
      </w:pPr>
      <w:r>
        <w:rPr>
          <w:rFonts w:hint="eastAsia" w:ascii="宋体" w:hAnsi="宋体" w:cs="宋体"/>
          <w:b/>
          <w:bCs/>
          <w:spacing w:val="-20"/>
          <w:kern w:val="44"/>
          <w:sz w:val="48"/>
          <w:szCs w:val="48"/>
          <w:highlight w:val="none"/>
        </w:rPr>
        <w:t>政府采购</w:t>
      </w:r>
      <w:r>
        <w:rPr>
          <w:rFonts w:hint="eastAsia" w:ascii="宋体" w:hAnsi="宋体" w:cs="宋体"/>
          <w:b/>
          <w:bCs/>
          <w:spacing w:val="-20"/>
          <w:kern w:val="44"/>
          <w:sz w:val="48"/>
          <w:szCs w:val="48"/>
          <w:highlight w:val="none"/>
          <w:lang w:eastAsia="zh-CN"/>
        </w:rPr>
        <w:t>货物买卖</w:t>
      </w:r>
      <w:r>
        <w:rPr>
          <w:rFonts w:hint="eastAsia" w:ascii="宋体" w:hAnsi="宋体" w:cs="宋体"/>
          <w:b/>
          <w:bCs/>
          <w:spacing w:val="-20"/>
          <w:kern w:val="44"/>
          <w:sz w:val="48"/>
          <w:szCs w:val="48"/>
          <w:highlight w:val="none"/>
        </w:rPr>
        <w:t>合同</w:t>
      </w:r>
    </w:p>
    <w:p w14:paraId="2F299D3D">
      <w:pPr>
        <w:pStyle w:val="14"/>
        <w:spacing w:after="0"/>
        <w:jc w:val="center"/>
        <w:rPr>
          <w:rFonts w:hint="eastAsia" w:ascii="宋体" w:hAnsi="宋体" w:eastAsia="宋体" w:cs="宋体"/>
          <w:b/>
          <w:bCs/>
          <w:spacing w:val="-20"/>
          <w:kern w:val="44"/>
          <w:sz w:val="48"/>
          <w:szCs w:val="48"/>
          <w:highlight w:val="none"/>
          <w:lang w:eastAsia="zh-CN"/>
        </w:rPr>
      </w:pPr>
      <w:r>
        <w:rPr>
          <w:rFonts w:hint="eastAsia" w:ascii="宋体" w:hAnsi="宋体" w:cs="宋体"/>
          <w:b/>
          <w:bCs/>
          <w:spacing w:val="-20"/>
          <w:kern w:val="44"/>
          <w:sz w:val="48"/>
          <w:szCs w:val="48"/>
          <w:highlight w:val="none"/>
          <w:lang w:eastAsia="zh-CN"/>
        </w:rPr>
        <w:t>（试行）</w:t>
      </w:r>
    </w:p>
    <w:p w14:paraId="79215030">
      <w:pPr>
        <w:rPr>
          <w:rFonts w:ascii="宋体" w:hAnsi="宋体" w:cs="宋体"/>
          <w:b/>
          <w:bCs/>
          <w:spacing w:val="-20"/>
          <w:kern w:val="44"/>
          <w:sz w:val="40"/>
          <w:szCs w:val="40"/>
          <w:highlight w:val="none"/>
        </w:rPr>
      </w:pPr>
    </w:p>
    <w:p w14:paraId="75286C48">
      <w:pPr>
        <w:rPr>
          <w:rFonts w:ascii="宋体" w:hAnsi="宋体" w:cs="宋体"/>
          <w:b/>
          <w:bCs/>
          <w:spacing w:val="-20"/>
          <w:kern w:val="44"/>
          <w:sz w:val="40"/>
          <w:szCs w:val="40"/>
          <w:highlight w:val="none"/>
        </w:rPr>
      </w:pPr>
    </w:p>
    <w:p w14:paraId="5B87B5B7">
      <w:pPr>
        <w:rPr>
          <w:rFonts w:ascii="宋体" w:hAnsi="宋体" w:cs="宋体"/>
          <w:b/>
          <w:bCs/>
          <w:spacing w:val="-20"/>
          <w:kern w:val="44"/>
          <w:sz w:val="40"/>
          <w:szCs w:val="40"/>
          <w:highlight w:val="none"/>
        </w:rPr>
      </w:pPr>
    </w:p>
    <w:p w14:paraId="6F2E72A7">
      <w:pPr>
        <w:spacing w:line="360" w:lineRule="auto"/>
        <w:ind w:left="2020" w:leftChars="200" w:hanging="1600" w:hangingChars="500"/>
        <w:rPr>
          <w:sz w:val="32"/>
          <w:szCs w:val="32"/>
          <w:highlight w:val="none"/>
        </w:rPr>
      </w:pPr>
      <w:r>
        <w:rPr>
          <w:rFonts w:hint="eastAsia" w:ascii="宋体" w:hAnsi="宋体" w:cs="宋体"/>
          <w:kern w:val="0"/>
          <w:sz w:val="32"/>
          <w:szCs w:val="32"/>
          <w:highlight w:val="none"/>
        </w:rPr>
        <w:t>项目名称：</w:t>
      </w:r>
      <w:r>
        <w:rPr>
          <w:rFonts w:hint="eastAsia"/>
          <w:sz w:val="32"/>
          <w:szCs w:val="32"/>
          <w:highlight w:val="none"/>
          <w:u w:val="single"/>
        </w:rPr>
        <w:t xml:space="preserve"> </w:t>
      </w:r>
      <w:r>
        <w:rPr>
          <w:rFonts w:hint="eastAsia" w:ascii="Times New Roman" w:hAnsi="Times New Roman" w:cs="Times New Roman"/>
          <w:sz w:val="32"/>
          <w:szCs w:val="32"/>
          <w:highlight w:val="none"/>
          <w:u w:val="single"/>
          <w:lang w:eastAsia="zh-CN"/>
        </w:rPr>
        <w:t>2026年乌鲁木齐市第七十中学凌空校区新建项目学科课程基地建设项目（二次）</w:t>
      </w:r>
      <w:r>
        <w:rPr>
          <w:rFonts w:hint="eastAsia"/>
          <w:sz w:val="32"/>
          <w:szCs w:val="32"/>
          <w:highlight w:val="none"/>
          <w:u w:val="single"/>
        </w:rPr>
        <w:t xml:space="preserve"> </w:t>
      </w:r>
    </w:p>
    <w:p w14:paraId="227A164D">
      <w:pPr>
        <w:spacing w:line="360" w:lineRule="auto"/>
        <w:ind w:left="420" w:leftChars="200"/>
        <w:rPr>
          <w:sz w:val="32"/>
          <w:szCs w:val="32"/>
          <w:highlight w:val="none"/>
          <w:u w:val="single"/>
        </w:rPr>
      </w:pPr>
      <w:r>
        <w:rPr>
          <w:rFonts w:hint="eastAsia"/>
          <w:sz w:val="32"/>
          <w:szCs w:val="32"/>
          <w:highlight w:val="none"/>
        </w:rPr>
        <w:t>合同编号：</w:t>
      </w:r>
      <w:r>
        <w:rPr>
          <w:rFonts w:hint="eastAsia"/>
          <w:sz w:val="32"/>
          <w:szCs w:val="32"/>
          <w:highlight w:val="none"/>
          <w:u w:val="single"/>
        </w:rPr>
        <w:t xml:space="preserve">                             </w:t>
      </w:r>
    </w:p>
    <w:p w14:paraId="1DF83911">
      <w:pPr>
        <w:spacing w:line="360" w:lineRule="auto"/>
        <w:ind w:left="420" w:leftChars="200"/>
        <w:rPr>
          <w:sz w:val="32"/>
          <w:szCs w:val="32"/>
          <w:highlight w:val="none"/>
        </w:rPr>
      </w:pPr>
      <w:r>
        <w:rPr>
          <w:rFonts w:hint="eastAsia"/>
          <w:sz w:val="32"/>
          <w:szCs w:val="32"/>
          <w:highlight w:val="none"/>
        </w:rPr>
        <w:t>甲    方：</w:t>
      </w:r>
      <w:r>
        <w:rPr>
          <w:rFonts w:hint="eastAsia"/>
          <w:sz w:val="32"/>
          <w:szCs w:val="32"/>
          <w:highlight w:val="none"/>
          <w:u w:val="single"/>
        </w:rPr>
        <w:t xml:space="preserve"> 乌鲁木齐市第七十中学        </w:t>
      </w:r>
    </w:p>
    <w:p w14:paraId="06479745">
      <w:pPr>
        <w:spacing w:line="360" w:lineRule="auto"/>
        <w:ind w:left="420" w:leftChars="200"/>
        <w:rPr>
          <w:sz w:val="32"/>
          <w:szCs w:val="32"/>
          <w:highlight w:val="none"/>
          <w:u w:val="single"/>
        </w:rPr>
      </w:pPr>
      <w:r>
        <w:rPr>
          <w:rFonts w:hint="eastAsia"/>
          <w:sz w:val="32"/>
          <w:szCs w:val="32"/>
          <w:highlight w:val="none"/>
        </w:rPr>
        <w:t>乙    方：</w:t>
      </w:r>
      <w:r>
        <w:rPr>
          <w:rFonts w:hint="eastAsia"/>
          <w:sz w:val="32"/>
          <w:szCs w:val="32"/>
          <w:highlight w:val="none"/>
          <w:u w:val="single"/>
        </w:rPr>
        <w:t xml:space="preserve">                             </w:t>
      </w:r>
    </w:p>
    <w:p w14:paraId="71291CAA">
      <w:pPr>
        <w:spacing w:line="360" w:lineRule="auto"/>
        <w:ind w:left="420" w:leftChars="200"/>
        <w:rPr>
          <w:sz w:val="32"/>
          <w:szCs w:val="32"/>
          <w:highlight w:val="none"/>
        </w:rPr>
      </w:pPr>
      <w:r>
        <w:rPr>
          <w:rFonts w:hint="eastAsia"/>
          <w:sz w:val="32"/>
          <w:szCs w:val="32"/>
          <w:highlight w:val="none"/>
        </w:rPr>
        <w:t>签订时间：</w:t>
      </w:r>
      <w:r>
        <w:rPr>
          <w:rFonts w:hint="eastAsia"/>
          <w:sz w:val="32"/>
          <w:szCs w:val="32"/>
          <w:highlight w:val="none"/>
          <w:u w:val="single"/>
        </w:rPr>
        <w:t xml:space="preserve">      </w:t>
      </w:r>
      <w:r>
        <w:rPr>
          <w:sz w:val="32"/>
          <w:szCs w:val="32"/>
          <w:highlight w:val="none"/>
          <w:u w:val="single"/>
        </w:rPr>
        <w:t xml:space="preserve">           </w:t>
      </w:r>
      <w:r>
        <w:rPr>
          <w:rFonts w:hint="eastAsia"/>
          <w:sz w:val="32"/>
          <w:szCs w:val="32"/>
          <w:highlight w:val="none"/>
          <w:u w:val="single"/>
        </w:rPr>
        <w:t xml:space="preserve">            </w:t>
      </w:r>
    </w:p>
    <w:p w14:paraId="213A87CE">
      <w:pPr>
        <w:rPr>
          <w:highlight w:val="none"/>
        </w:rPr>
      </w:pPr>
    </w:p>
    <w:p w14:paraId="5FCCB0D5">
      <w:pPr>
        <w:rPr>
          <w:rFonts w:eastAsia="黑体"/>
          <w:sz w:val="44"/>
          <w:szCs w:val="44"/>
          <w:highlight w:val="none"/>
        </w:rPr>
      </w:pPr>
      <w:r>
        <w:rPr>
          <w:rFonts w:eastAsia="黑体"/>
          <w:sz w:val="44"/>
          <w:szCs w:val="44"/>
          <w:highlight w:val="none"/>
        </w:rPr>
        <w:br w:type="page"/>
      </w:r>
    </w:p>
    <w:p w14:paraId="5050F7AF">
      <w:pPr>
        <w:rPr>
          <w:rFonts w:eastAsia="黑体"/>
          <w:sz w:val="44"/>
          <w:szCs w:val="44"/>
          <w:highlight w:val="none"/>
        </w:rPr>
      </w:pPr>
    </w:p>
    <w:p w14:paraId="5905D399">
      <w:pPr>
        <w:rPr>
          <w:rFonts w:eastAsia="黑体"/>
          <w:sz w:val="44"/>
          <w:szCs w:val="44"/>
          <w:highlight w:val="none"/>
        </w:rPr>
      </w:pPr>
    </w:p>
    <w:p w14:paraId="0FBA6513">
      <w:pPr>
        <w:jc w:val="center"/>
        <w:rPr>
          <w:rFonts w:hint="eastAsia" w:eastAsia="黑体"/>
          <w:sz w:val="44"/>
          <w:szCs w:val="44"/>
          <w:highlight w:val="none"/>
          <w:lang w:eastAsia="zh-CN"/>
        </w:rPr>
      </w:pPr>
      <w:r>
        <w:rPr>
          <w:rFonts w:hint="eastAsia" w:eastAsia="黑体"/>
          <w:sz w:val="44"/>
          <w:szCs w:val="44"/>
          <w:highlight w:val="none"/>
          <w:lang w:eastAsia="zh-CN"/>
        </w:rPr>
        <w:t>使</w:t>
      </w:r>
      <w:r>
        <w:rPr>
          <w:rFonts w:hint="eastAsia" w:eastAsia="黑体"/>
          <w:sz w:val="44"/>
          <w:szCs w:val="44"/>
          <w:highlight w:val="none"/>
          <w:lang w:val="en-US" w:eastAsia="zh-CN"/>
        </w:rPr>
        <w:t xml:space="preserve"> </w:t>
      </w:r>
      <w:r>
        <w:rPr>
          <w:rFonts w:hint="eastAsia" w:eastAsia="黑体"/>
          <w:sz w:val="44"/>
          <w:szCs w:val="44"/>
          <w:highlight w:val="none"/>
          <w:lang w:eastAsia="zh-CN"/>
        </w:rPr>
        <w:t>用</w:t>
      </w:r>
      <w:r>
        <w:rPr>
          <w:rFonts w:hint="eastAsia" w:eastAsia="黑体"/>
          <w:sz w:val="44"/>
          <w:szCs w:val="44"/>
          <w:highlight w:val="none"/>
          <w:lang w:val="en-US" w:eastAsia="zh-CN"/>
        </w:rPr>
        <w:t xml:space="preserve"> </w:t>
      </w:r>
      <w:r>
        <w:rPr>
          <w:rFonts w:hint="eastAsia" w:eastAsia="黑体"/>
          <w:sz w:val="44"/>
          <w:szCs w:val="44"/>
          <w:highlight w:val="none"/>
          <w:lang w:eastAsia="zh-CN"/>
        </w:rPr>
        <w:t>说</w:t>
      </w:r>
      <w:r>
        <w:rPr>
          <w:rFonts w:hint="eastAsia" w:eastAsia="黑体"/>
          <w:sz w:val="44"/>
          <w:szCs w:val="44"/>
          <w:highlight w:val="none"/>
          <w:lang w:val="en-US" w:eastAsia="zh-CN"/>
        </w:rPr>
        <w:t xml:space="preserve"> </w:t>
      </w:r>
      <w:r>
        <w:rPr>
          <w:rFonts w:hint="eastAsia" w:eastAsia="黑体"/>
          <w:sz w:val="44"/>
          <w:szCs w:val="44"/>
          <w:highlight w:val="none"/>
          <w:lang w:eastAsia="zh-CN"/>
        </w:rPr>
        <w:t>明</w:t>
      </w:r>
    </w:p>
    <w:p w14:paraId="59B47D92">
      <w:pPr>
        <w:ind w:firstLine="640" w:firstLineChars="200"/>
        <w:rPr>
          <w:rFonts w:hint="eastAsia" w:ascii="仿宋_GB2312" w:hAnsi="仿宋_GB2312" w:eastAsia="仿宋_GB2312" w:cs="仿宋_GB2312"/>
          <w:sz w:val="32"/>
          <w:szCs w:val="32"/>
          <w:highlight w:val="none"/>
          <w:lang w:val="en-US" w:eastAsia="zh-CN"/>
        </w:rPr>
      </w:pPr>
    </w:p>
    <w:p w14:paraId="23254D12">
      <w:pPr>
        <w:ind w:firstLine="640" w:firstLineChars="20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1.本合同标准文本适用于购买现成货物的采购项目，不包括需要供应商定制开发、创新研发的货物采购项目。</w:t>
      </w:r>
    </w:p>
    <w:p w14:paraId="1D35BB3D">
      <w:pPr>
        <w:ind w:firstLine="0" w:firstLineChars="0"/>
        <w:rPr>
          <w:rFonts w:hint="eastAsia" w:ascii="宋体" w:hAnsi="宋体" w:eastAsia="宋体" w:cs="宋体"/>
          <w:sz w:val="44"/>
          <w:szCs w:val="44"/>
          <w:highlight w:val="none"/>
          <w:lang w:val="en-US" w:eastAsia="zh-CN"/>
        </w:rPr>
      </w:pPr>
      <w:r>
        <w:rPr>
          <w:rFonts w:hint="eastAsia" w:ascii="宋体" w:hAnsi="宋体" w:eastAsia="宋体" w:cs="宋体"/>
          <w:sz w:val="44"/>
          <w:szCs w:val="44"/>
          <w:highlight w:val="none"/>
          <w:lang w:val="en-US" w:eastAsia="zh-CN"/>
        </w:rPr>
        <w:t xml:space="preserve">   </w:t>
      </w:r>
      <w:r>
        <w:rPr>
          <w:rFonts w:hint="eastAsia" w:ascii="宋体" w:hAnsi="宋体" w:eastAsia="宋体" w:cs="宋体"/>
          <w:sz w:val="32"/>
          <w:szCs w:val="32"/>
          <w:highlight w:val="none"/>
          <w:lang w:val="en-US" w:eastAsia="zh-CN"/>
        </w:rPr>
        <w:t>2.本合同标准文本为政府采购货物买卖合同编制提供参考，可以结合采购项目具体情况，对文本作必要的调整修订后使用。</w:t>
      </w:r>
    </w:p>
    <w:p w14:paraId="17658F91">
      <w:pPr>
        <w:ind w:firstLine="640" w:firstLineChars="20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3.本合同标准文本各条款中，如涉及填写多家供应商、制造商，多种采购标的、分包主要内容等信息的，可根据采购项目具体情况添加信息项。</w:t>
      </w:r>
    </w:p>
    <w:p w14:paraId="61D79E97">
      <w:pPr>
        <w:ind w:firstLine="880" w:firstLineChars="200"/>
        <w:jc w:val="both"/>
        <w:rPr>
          <w:rFonts w:hint="eastAsia" w:ascii="宋体" w:hAnsi="宋体" w:eastAsia="宋体" w:cs="宋体"/>
          <w:sz w:val="44"/>
          <w:szCs w:val="44"/>
          <w:highlight w:val="none"/>
        </w:rPr>
        <w:sectPr>
          <w:headerReference r:id="rId7" w:type="default"/>
          <w:footerReference r:id="rId8" w:type="default"/>
          <w:pgSz w:w="11906" w:h="16838"/>
          <w:pgMar w:top="1440" w:right="1080" w:bottom="1440" w:left="1080" w:header="851" w:footer="992" w:gutter="0"/>
          <w:pgBorders>
            <w:top w:val="none" w:sz="0" w:space="0"/>
            <w:left w:val="none" w:sz="0" w:space="0"/>
            <w:bottom w:val="none" w:sz="0" w:space="0"/>
            <w:right w:val="none" w:sz="0" w:space="0"/>
          </w:pgBorders>
          <w:pgNumType w:fmt="numberInDash"/>
          <w:cols w:space="425" w:num="1"/>
          <w:titlePg/>
          <w:docGrid w:type="lines" w:linePitch="312" w:charSpace="0"/>
        </w:sectPr>
      </w:pPr>
    </w:p>
    <w:p w14:paraId="399F65BB">
      <w:pPr>
        <w:pStyle w:val="3"/>
        <w:adjustRightInd w:val="0"/>
        <w:snapToGrid w:val="0"/>
        <w:spacing w:beforeLines="0" w:line="400" w:lineRule="exact"/>
        <w:jc w:val="center"/>
        <w:rPr>
          <w:rFonts w:hint="eastAsia" w:ascii="黑体" w:hAnsi="黑体" w:eastAsia="黑体"/>
          <w:sz w:val="28"/>
          <w:szCs w:val="28"/>
          <w:highlight w:val="none"/>
        </w:rPr>
      </w:pPr>
      <w:bookmarkStart w:id="139" w:name="_Toc22209"/>
    </w:p>
    <w:p w14:paraId="3AA9A00A">
      <w:pPr>
        <w:bidi w:val="0"/>
        <w:jc w:val="center"/>
        <w:rPr>
          <w:rFonts w:hint="eastAsia" w:ascii="黑体" w:hAnsi="黑体" w:eastAsia="黑体" w:cs="黑体"/>
          <w:sz w:val="28"/>
          <w:szCs w:val="28"/>
        </w:rPr>
      </w:pPr>
      <w:r>
        <w:rPr>
          <w:rFonts w:hint="eastAsia" w:ascii="黑体" w:hAnsi="黑体" w:eastAsia="黑体" w:cs="黑体"/>
          <w:sz w:val="28"/>
          <w:szCs w:val="28"/>
        </w:rPr>
        <w:t>第一节 政府采购合同协议书</w:t>
      </w:r>
      <w:bookmarkEnd w:id="139"/>
    </w:p>
    <w:p w14:paraId="1FC52785">
      <w:pPr>
        <w:pStyle w:val="3"/>
        <w:adjustRightInd w:val="0"/>
        <w:snapToGrid w:val="0"/>
        <w:spacing w:beforeLines="0" w:line="400" w:lineRule="exact"/>
        <w:jc w:val="center"/>
        <w:rPr>
          <w:rFonts w:hint="eastAsia" w:ascii="黑体" w:hAnsi="华文中宋" w:eastAsia="黑体"/>
          <w:b w:val="0"/>
          <w:bCs w:val="0"/>
          <w:sz w:val="28"/>
          <w:szCs w:val="28"/>
          <w:highlight w:val="none"/>
        </w:rPr>
      </w:pPr>
    </w:p>
    <w:p w14:paraId="0AEEFB31">
      <w:pPr>
        <w:adjustRightInd w:val="0"/>
        <w:snapToGrid w:val="0"/>
        <w:spacing w:before="0" w:beforeLines="0" w:line="400" w:lineRule="exact"/>
        <w:rPr>
          <w:rFonts w:ascii="宋体" w:hAnsi="宋体"/>
          <w:szCs w:val="21"/>
          <w:highlight w:val="none"/>
        </w:rPr>
      </w:pPr>
      <w:r>
        <w:rPr>
          <w:rFonts w:hint="eastAsia" w:ascii="宋体" w:hAnsi="宋体"/>
          <w:szCs w:val="21"/>
          <w:highlight w:val="none"/>
        </w:rPr>
        <w:t>甲方（全称）：</w:t>
      </w:r>
      <w:r>
        <w:rPr>
          <w:rFonts w:hint="eastAsia" w:ascii="宋体" w:hAnsi="宋体"/>
          <w:szCs w:val="21"/>
          <w:highlight w:val="none"/>
          <w:u w:val="single"/>
        </w:rPr>
        <w:t xml:space="preserve"> 乌鲁木齐市第七十中学</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或采购</w:t>
      </w:r>
      <w:r>
        <w:rPr>
          <w:rFonts w:hint="eastAsia" w:ascii="宋体" w:hAnsi="宋体"/>
          <w:szCs w:val="21"/>
          <w:highlight w:val="none"/>
          <w:lang w:val="en-US" w:eastAsia="zh-CN"/>
        </w:rPr>
        <w:tab/>
      </w:r>
      <w:r>
        <w:rPr>
          <w:rFonts w:hint="eastAsia" w:ascii="宋体" w:hAnsi="宋体"/>
          <w:szCs w:val="21"/>
          <w:highlight w:val="none"/>
          <w:lang w:val="en-US" w:eastAsia="zh-CN"/>
        </w:rPr>
        <w:t xml:space="preserve">                                   </w:t>
      </w:r>
      <w:r>
        <w:rPr>
          <w:rFonts w:hint="eastAsia" w:ascii="宋体" w:hAnsi="宋体"/>
          <w:szCs w:val="21"/>
          <w:highlight w:val="none"/>
        </w:rPr>
        <w:t>文件约定的合同甲方）</w:t>
      </w:r>
    </w:p>
    <w:p w14:paraId="16BC3B53">
      <w:pPr>
        <w:adjustRightInd w:val="0"/>
        <w:snapToGrid w:val="0"/>
        <w:spacing w:before="0" w:beforeLines="0" w:line="400" w:lineRule="exact"/>
        <w:rPr>
          <w:rFonts w:ascii="宋体" w:hAnsi="宋体"/>
          <w:szCs w:val="21"/>
          <w:highlight w:val="none"/>
        </w:rPr>
      </w:pPr>
      <w:r>
        <w:rPr>
          <w:rFonts w:hint="eastAsia" w:ascii="宋体" w:hAnsi="宋体"/>
          <w:szCs w:val="21"/>
          <w:highlight w:val="none"/>
        </w:rPr>
        <w:t>乙方</w:t>
      </w:r>
      <w:r>
        <w:rPr>
          <w:rFonts w:hint="eastAsia" w:ascii="宋体" w:hAnsi="宋体"/>
          <w:szCs w:val="21"/>
          <w:highlight w:val="none"/>
          <w:lang w:val="en-US" w:eastAsia="zh-CN"/>
        </w:rPr>
        <w:t>1</w:t>
      </w:r>
      <w:r>
        <w:rPr>
          <w:rFonts w:hint="eastAsia" w:ascii="宋体" w:hAnsi="宋体"/>
          <w:szCs w:val="21"/>
          <w:highlight w:val="none"/>
        </w:rPr>
        <w:t>（全称）：</w:t>
      </w:r>
      <w:r>
        <w:rPr>
          <w:rFonts w:hint="eastAsia" w:ascii="宋体" w:hAnsi="宋体"/>
          <w:szCs w:val="21"/>
          <w:highlight w:val="none"/>
          <w:u w:val="single"/>
        </w:rPr>
        <w:t xml:space="preserve">                       </w:t>
      </w:r>
      <w:r>
        <w:rPr>
          <w:rFonts w:hint="eastAsia" w:ascii="宋体" w:hAnsi="宋体"/>
          <w:szCs w:val="21"/>
          <w:highlight w:val="none"/>
        </w:rPr>
        <w:t>（供应商）</w:t>
      </w:r>
    </w:p>
    <w:p w14:paraId="0CCA365B">
      <w:pPr>
        <w:adjustRightInd w:val="0"/>
        <w:snapToGrid w:val="0"/>
        <w:spacing w:before="0" w:beforeLines="0" w:line="400" w:lineRule="exact"/>
        <w:rPr>
          <w:rFonts w:hint="eastAsia" w:ascii="宋体" w:hAnsi="宋体"/>
          <w:szCs w:val="21"/>
          <w:highlight w:val="none"/>
        </w:rPr>
      </w:pPr>
      <w:r>
        <w:rPr>
          <w:rFonts w:hint="eastAsia" w:ascii="宋体" w:hAnsi="宋体"/>
          <w:szCs w:val="21"/>
          <w:highlight w:val="none"/>
        </w:rPr>
        <w:t>乙方2（全称）：</w:t>
      </w:r>
      <w:r>
        <w:rPr>
          <w:rFonts w:hint="eastAsia" w:ascii="宋体" w:hAnsi="宋体"/>
          <w:szCs w:val="21"/>
          <w:highlight w:val="none"/>
          <w:u w:val="single"/>
        </w:rPr>
        <w:t xml:space="preserve">                        </w:t>
      </w:r>
      <w:r>
        <w:rPr>
          <w:rFonts w:hint="eastAsia" w:ascii="宋体" w:hAnsi="宋体"/>
          <w:szCs w:val="21"/>
          <w:highlight w:val="none"/>
        </w:rPr>
        <w:t>（联合体成员供应商或其他合同主体）（如有）</w:t>
      </w:r>
    </w:p>
    <w:p w14:paraId="429E100F">
      <w:pPr>
        <w:adjustRightInd w:val="0"/>
        <w:snapToGrid w:val="0"/>
        <w:spacing w:before="0" w:beforeLines="0" w:line="400" w:lineRule="exact"/>
        <w:rPr>
          <w:rFonts w:hint="eastAsia" w:ascii="宋体" w:hAnsi="宋体"/>
          <w:szCs w:val="21"/>
          <w:highlight w:val="none"/>
        </w:rPr>
      </w:pPr>
      <w:r>
        <w:rPr>
          <w:rFonts w:hint="eastAsia"/>
          <w:highlight w:val="none"/>
          <w:lang w:eastAsia="zh-CN"/>
        </w:rPr>
        <w:t>乙方</w:t>
      </w:r>
      <w:r>
        <w:rPr>
          <w:rFonts w:hint="eastAsia" w:ascii="宋体" w:hAnsi="宋体"/>
          <w:szCs w:val="21"/>
          <w:highlight w:val="none"/>
          <w:lang w:val="en-US" w:eastAsia="zh-CN"/>
        </w:rPr>
        <w:t>3</w:t>
      </w:r>
      <w:r>
        <w:rPr>
          <w:rFonts w:hint="eastAsia"/>
          <w:highlight w:val="none"/>
          <w:lang w:val="en-US" w:eastAsia="zh-CN"/>
        </w:rPr>
        <w:t>（全称）</w:t>
      </w:r>
      <w:r>
        <w:rPr>
          <w:rFonts w:hint="eastAsia" w:ascii="宋体" w:hAnsi="宋体"/>
          <w:szCs w:val="21"/>
          <w:highlight w:val="none"/>
          <w:u w:val="single"/>
        </w:rPr>
        <w:t xml:space="preserve">                          </w:t>
      </w:r>
      <w:r>
        <w:rPr>
          <w:rFonts w:hint="eastAsia" w:ascii="宋体" w:hAnsi="宋体"/>
          <w:szCs w:val="21"/>
          <w:highlight w:val="none"/>
        </w:rPr>
        <w:t>（联合体成员供应商或其他合同主体）（如有）</w:t>
      </w:r>
    </w:p>
    <w:p w14:paraId="252B5602">
      <w:pPr>
        <w:spacing w:beforeLines="0" w:line="400" w:lineRule="exact"/>
        <w:rPr>
          <w:rFonts w:hint="default" w:eastAsia="宋体"/>
          <w:highlight w:val="none"/>
          <w:lang w:val="en-US" w:eastAsia="zh-CN"/>
        </w:rPr>
      </w:pPr>
    </w:p>
    <w:p w14:paraId="06FC5B68">
      <w:pPr>
        <w:pStyle w:val="15"/>
        <w:adjustRightInd w:val="0"/>
        <w:snapToGrid w:val="0"/>
        <w:spacing w:before="0" w:beforeLines="0" w:after="0" w:line="400" w:lineRule="exact"/>
        <w:ind w:left="0" w:leftChars="0" w:firstLine="420" w:firstLineChars="200"/>
        <w:rPr>
          <w:rFonts w:ascii="宋体" w:hAnsi="宋体"/>
          <w:szCs w:val="21"/>
          <w:highlight w:val="none"/>
        </w:rPr>
      </w:pPr>
      <w:r>
        <w:rPr>
          <w:rFonts w:hint="eastAsia" w:ascii="宋体" w:hAnsi="宋体"/>
          <w:szCs w:val="21"/>
          <w:highlight w:val="none"/>
        </w:rPr>
        <w:t>依据《中华人民共和国民法典》</w:t>
      </w:r>
      <w:r>
        <w:rPr>
          <w:rFonts w:hint="eastAsia" w:ascii="宋体" w:hAnsi="宋体"/>
          <w:szCs w:val="21"/>
          <w:highlight w:val="none"/>
          <w:lang w:eastAsia="zh-CN"/>
        </w:rPr>
        <w:t>、</w:t>
      </w:r>
      <w:r>
        <w:rPr>
          <w:rFonts w:hint="eastAsia" w:ascii="宋体" w:hAnsi="宋体"/>
          <w:szCs w:val="21"/>
          <w:highlight w:val="none"/>
        </w:rPr>
        <w:t>《中华人民共和国政府采购法》等有关的法律法规，以及</w:t>
      </w:r>
      <w:r>
        <w:rPr>
          <w:rFonts w:hint="eastAsia" w:ascii="宋体" w:hAnsi="宋体"/>
          <w:i w:val="0"/>
          <w:iCs w:val="0"/>
          <w:szCs w:val="21"/>
          <w:highlight w:val="none"/>
          <w:u w:val="none"/>
          <w:lang w:eastAsia="zh-CN"/>
        </w:rPr>
        <w:t>本采购项目</w:t>
      </w:r>
      <w:r>
        <w:rPr>
          <w:rFonts w:hint="eastAsia" w:ascii="宋体" w:hAnsi="宋体"/>
          <w:szCs w:val="21"/>
          <w:highlight w:val="none"/>
        </w:rPr>
        <w:t>的</w:t>
      </w:r>
      <w:r>
        <w:rPr>
          <w:rFonts w:hint="eastAsia" w:ascii="宋体" w:hAnsi="宋体"/>
          <w:szCs w:val="21"/>
          <w:highlight w:val="none"/>
          <w:lang w:eastAsia="zh-CN"/>
        </w:rPr>
        <w:t>招标</w:t>
      </w:r>
      <w:r>
        <w:rPr>
          <w:rFonts w:hint="eastAsia" w:ascii="宋体" w:hAnsi="宋体"/>
          <w:szCs w:val="21"/>
          <w:highlight w:val="none"/>
          <w:lang w:val="en-US" w:eastAsia="zh-CN"/>
        </w:rPr>
        <w:t>/谈判</w:t>
      </w:r>
      <w:r>
        <w:rPr>
          <w:rFonts w:hint="eastAsia" w:ascii="宋体" w:hAnsi="宋体"/>
          <w:szCs w:val="21"/>
          <w:highlight w:val="none"/>
          <w:lang w:eastAsia="zh-CN"/>
        </w:rPr>
        <w:t>文件等</w:t>
      </w:r>
      <w:r>
        <w:rPr>
          <w:rFonts w:hint="eastAsia" w:ascii="宋体" w:hAnsi="宋体"/>
          <w:szCs w:val="21"/>
          <w:highlight w:val="none"/>
        </w:rPr>
        <w:t>采购文件</w:t>
      </w:r>
      <w:r>
        <w:rPr>
          <w:rFonts w:hint="eastAsia" w:ascii="宋体" w:hAnsi="宋体"/>
          <w:szCs w:val="21"/>
          <w:highlight w:val="none"/>
          <w:lang w:eastAsia="zh-CN"/>
        </w:rPr>
        <w:t>、</w:t>
      </w:r>
      <w:r>
        <w:rPr>
          <w:rFonts w:hint="eastAsia" w:ascii="宋体" w:hAnsi="宋体"/>
          <w:szCs w:val="21"/>
          <w:highlight w:val="none"/>
        </w:rPr>
        <w:t xml:space="preserve">乙方的《投标（响应）文件》及《中标（成交）通知书》，甲乙双方同意签订本合同。具体情况及要求如下：     </w:t>
      </w:r>
    </w:p>
    <w:p w14:paraId="48EB71D5">
      <w:pPr>
        <w:numPr>
          <w:ilvl w:val="0"/>
          <w:numId w:val="5"/>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项目信息</w:t>
      </w:r>
    </w:p>
    <w:p w14:paraId="1BA41791">
      <w:pPr>
        <w:pStyle w:val="15"/>
        <w:numPr>
          <w:ilvl w:val="0"/>
          <w:numId w:val="6"/>
        </w:numPr>
        <w:adjustRightInd w:val="0"/>
        <w:snapToGrid w:val="0"/>
        <w:spacing w:before="0" w:beforeLines="0" w:after="0" w:line="400" w:lineRule="exact"/>
        <w:ind w:left="0" w:leftChars="0" w:firstLine="420" w:firstLineChars="200"/>
        <w:rPr>
          <w:rFonts w:ascii="宋体" w:hAnsi="宋体"/>
          <w:szCs w:val="21"/>
          <w:highlight w:val="none"/>
          <w:u w:val="single"/>
        </w:rPr>
      </w:pPr>
      <w:r>
        <w:rPr>
          <w:rFonts w:hint="eastAsia" w:ascii="宋体" w:hAnsi="宋体"/>
          <w:szCs w:val="21"/>
          <w:highlight w:val="none"/>
        </w:rPr>
        <w:t>采购项目名称：</w:t>
      </w:r>
      <w:r>
        <w:rPr>
          <w:rFonts w:ascii="宋体" w:hAnsi="宋体"/>
          <w:szCs w:val="21"/>
          <w:highlight w:val="none"/>
          <w:u w:val="single"/>
        </w:rPr>
        <w:t xml:space="preserve"> </w:t>
      </w:r>
      <w:r>
        <w:rPr>
          <w:rFonts w:hint="eastAsia" w:ascii="宋体" w:hAnsi="宋体"/>
          <w:szCs w:val="21"/>
          <w:highlight w:val="none"/>
          <w:u w:val="single"/>
          <w:lang w:eastAsia="zh-CN"/>
        </w:rPr>
        <w:t>2026年乌鲁木齐市第七十中学凌空校区新建项目学科课程基地建设项目（二次）</w:t>
      </w:r>
      <w:r>
        <w:rPr>
          <w:rFonts w:ascii="宋体" w:hAnsi="宋体"/>
          <w:szCs w:val="21"/>
          <w:highlight w:val="none"/>
          <w:u w:val="single"/>
        </w:rPr>
        <w:t xml:space="preserve"> </w:t>
      </w:r>
    </w:p>
    <w:p w14:paraId="0B610BD6">
      <w:pPr>
        <w:pStyle w:val="15"/>
        <w:numPr>
          <w:ilvl w:val="-1"/>
          <w:numId w:val="0"/>
        </w:numPr>
        <w:tabs>
          <w:tab w:val="left" w:pos="999"/>
        </w:tabs>
        <w:adjustRightInd w:val="0"/>
        <w:snapToGrid w:val="0"/>
        <w:spacing w:before="0" w:beforeLines="0" w:after="0" w:line="400" w:lineRule="exact"/>
        <w:ind w:left="0" w:leftChars="0" w:firstLine="0" w:firstLineChars="0"/>
        <w:rPr>
          <w:rFonts w:hint="default" w:ascii="宋体" w:hAnsi="宋体" w:eastAsia="宋体"/>
          <w:szCs w:val="21"/>
          <w:highlight w:val="none"/>
          <w:u w:val="none"/>
          <w:lang w:val="en-US" w:eastAsia="zh-CN"/>
        </w:rPr>
      </w:pPr>
      <w:r>
        <w:rPr>
          <w:rFonts w:hint="eastAsia" w:ascii="宋体" w:hAnsi="宋体"/>
          <w:szCs w:val="21"/>
          <w:highlight w:val="none"/>
          <w:u w:val="none"/>
          <w:lang w:val="en-US" w:eastAsia="zh-CN"/>
        </w:rPr>
        <w:t xml:space="preserve">         采购项目编号：</w:t>
      </w:r>
      <w:r>
        <w:rPr>
          <w:rFonts w:ascii="宋体" w:hAnsi="宋体"/>
          <w:szCs w:val="21"/>
          <w:highlight w:val="none"/>
          <w:u w:val="single"/>
        </w:rPr>
        <w:t xml:space="preserve"> </w:t>
      </w:r>
      <w:r>
        <w:rPr>
          <w:rFonts w:hint="eastAsia" w:ascii="宋体" w:hAnsi="宋体"/>
          <w:szCs w:val="21"/>
          <w:highlight w:val="none"/>
          <w:u w:val="single"/>
          <w:lang w:eastAsia="zh-CN"/>
        </w:rPr>
        <w:t>WZCG-ZCY202601064（2）</w:t>
      </w:r>
      <w:r>
        <w:rPr>
          <w:rFonts w:hint="eastAsia" w:ascii="宋体" w:hAnsi="宋体"/>
          <w:szCs w:val="21"/>
          <w:highlight w:val="none"/>
          <w:u w:val="single"/>
          <w:lang w:val="en-US" w:eastAsia="zh-CN"/>
        </w:rPr>
        <w:t xml:space="preserve"> </w:t>
      </w:r>
      <w:r>
        <w:rPr>
          <w:rFonts w:ascii="宋体" w:hAnsi="宋体"/>
          <w:szCs w:val="21"/>
          <w:highlight w:val="none"/>
          <w:u w:val="single"/>
        </w:rPr>
        <w:t xml:space="preserve">                       </w:t>
      </w:r>
    </w:p>
    <w:p w14:paraId="715F2EA5">
      <w:pPr>
        <w:pStyle w:val="15"/>
        <w:adjustRightInd w:val="0"/>
        <w:snapToGrid w:val="0"/>
        <w:spacing w:before="0" w:beforeLines="0" w:after="0" w:line="400" w:lineRule="exact"/>
        <w:ind w:left="0" w:leftChars="0" w:firstLine="420" w:firstLineChars="200"/>
        <w:rPr>
          <w:rFonts w:ascii="宋体" w:hAnsi="宋体"/>
          <w:szCs w:val="21"/>
          <w:highlight w:val="none"/>
        </w:rPr>
      </w:pPr>
      <w:r>
        <w:rPr>
          <w:rFonts w:hint="eastAsia" w:ascii="宋体" w:hAnsi="宋体"/>
          <w:szCs w:val="21"/>
          <w:highlight w:val="none"/>
        </w:rPr>
        <w:t>（2）采购计划编号：</w:t>
      </w:r>
      <w:r>
        <w:rPr>
          <w:rFonts w:ascii="宋体" w:hAnsi="宋体"/>
          <w:szCs w:val="21"/>
          <w:highlight w:val="none"/>
          <w:u w:val="single"/>
        </w:rPr>
        <w:t xml:space="preserve"> </w:t>
      </w:r>
      <w:r>
        <w:rPr>
          <w:rFonts w:hint="eastAsia" w:ascii="宋体" w:hAnsi="宋体"/>
          <w:szCs w:val="21"/>
          <w:highlight w:val="none"/>
          <w:u w:val="single"/>
        </w:rPr>
        <w:t>[2026]25</w:t>
      </w:r>
      <w:r>
        <w:rPr>
          <w:rFonts w:hint="eastAsia" w:ascii="宋体" w:hAnsi="宋体"/>
          <w:szCs w:val="21"/>
          <w:highlight w:val="none"/>
          <w:u w:val="single"/>
          <w:lang w:val="en-US" w:eastAsia="zh-CN"/>
        </w:rPr>
        <w:t>20</w:t>
      </w:r>
      <w:r>
        <w:rPr>
          <w:rFonts w:hint="eastAsia" w:ascii="宋体" w:hAnsi="宋体"/>
          <w:szCs w:val="21"/>
          <w:highlight w:val="none"/>
          <w:u w:val="single"/>
        </w:rPr>
        <w:t>号</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ascii="宋体" w:hAnsi="宋体"/>
          <w:szCs w:val="21"/>
          <w:highlight w:val="none"/>
        </w:rPr>
        <w:t xml:space="preserve"> </w:t>
      </w:r>
    </w:p>
    <w:p w14:paraId="7DC96F07">
      <w:pPr>
        <w:adjustRightInd w:val="0"/>
        <w:snapToGrid w:val="0"/>
        <w:spacing w:before="0" w:beforeLines="0" w:line="400" w:lineRule="exact"/>
        <w:ind w:firstLine="420" w:firstLineChars="200"/>
        <w:rPr>
          <w:rFonts w:hint="eastAsia" w:ascii="宋体" w:hAnsi="宋体"/>
          <w:szCs w:val="21"/>
          <w:highlight w:val="none"/>
        </w:rPr>
      </w:pPr>
      <w:r>
        <w:rPr>
          <w:rFonts w:hint="eastAsia" w:ascii="宋体" w:hAnsi="宋体"/>
          <w:szCs w:val="21"/>
          <w:highlight w:val="none"/>
        </w:rPr>
        <w:t>（3）项目内容：</w:t>
      </w:r>
    </w:p>
    <w:p w14:paraId="12D66A8D">
      <w:pPr>
        <w:adjustRightInd w:val="0"/>
        <w:snapToGrid w:val="0"/>
        <w:spacing w:before="0" w:beforeLines="0" w:line="400" w:lineRule="exact"/>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 xml:space="preserve">     </w:t>
      </w:r>
      <w:r>
        <w:rPr>
          <w:rFonts w:hint="eastAsia" w:ascii="宋体" w:hAnsi="宋体"/>
          <w:szCs w:val="21"/>
          <w:highlight w:val="none"/>
          <w:lang w:eastAsia="zh-CN"/>
        </w:rPr>
        <w:t>采购标的及数量</w:t>
      </w:r>
      <w:r>
        <w:rPr>
          <w:rFonts w:hint="eastAsia" w:ascii="宋体" w:hAnsi="宋体"/>
          <w:szCs w:val="21"/>
          <w:highlight w:val="none"/>
          <w:lang w:val="en-US" w:eastAsia="zh-CN"/>
        </w:rPr>
        <w:t>（台/套</w:t>
      </w:r>
      <w:r>
        <w:rPr>
          <w:rFonts w:hint="default" w:ascii="宋体" w:hAnsi="宋体"/>
          <w:szCs w:val="21"/>
          <w:highlight w:val="none"/>
          <w:lang w:val="en" w:eastAsia="zh-CN"/>
        </w:rPr>
        <w:t>/</w:t>
      </w:r>
      <w:r>
        <w:rPr>
          <w:rFonts w:hint="eastAsia" w:ascii="宋体" w:hAnsi="宋体"/>
          <w:szCs w:val="21"/>
          <w:highlight w:val="none"/>
          <w:lang w:val="en" w:eastAsia="zh-CN"/>
        </w:rPr>
        <w:t>个</w:t>
      </w:r>
      <w:r>
        <w:rPr>
          <w:rFonts w:hint="default" w:ascii="宋体" w:hAnsi="宋体"/>
          <w:szCs w:val="21"/>
          <w:highlight w:val="none"/>
          <w:lang w:val="en" w:eastAsia="zh-CN"/>
        </w:rPr>
        <w:t>/</w:t>
      </w:r>
      <w:r>
        <w:rPr>
          <w:rFonts w:hint="eastAsia" w:ascii="宋体" w:hAnsi="宋体"/>
          <w:szCs w:val="21"/>
          <w:highlight w:val="none"/>
          <w:lang w:val="en" w:eastAsia="zh-CN"/>
        </w:rPr>
        <w:t>架</w:t>
      </w:r>
      <w:r>
        <w:rPr>
          <w:rFonts w:hint="default" w:ascii="宋体" w:hAnsi="宋体"/>
          <w:szCs w:val="21"/>
          <w:highlight w:val="none"/>
          <w:lang w:val="en" w:eastAsia="zh-CN"/>
        </w:rPr>
        <w:t>/</w:t>
      </w:r>
      <w:r>
        <w:rPr>
          <w:rFonts w:hint="eastAsia" w:ascii="宋体" w:hAnsi="宋体"/>
          <w:szCs w:val="21"/>
          <w:highlight w:val="none"/>
          <w:lang w:val="en" w:eastAsia="zh-CN"/>
        </w:rPr>
        <w:t>组等</w:t>
      </w:r>
      <w:r>
        <w:rPr>
          <w:rFonts w:hint="eastAsia" w:ascii="宋体" w:hAnsi="宋体"/>
          <w:szCs w:val="21"/>
          <w:highlight w:val="none"/>
          <w:lang w:val="en-US" w:eastAsia="zh-CN"/>
        </w:rPr>
        <w:t>）</w:t>
      </w:r>
      <w:r>
        <w:rPr>
          <w:rFonts w:hint="eastAsia" w:ascii="宋体" w:hAnsi="宋体"/>
          <w:szCs w:val="21"/>
          <w:highlight w:val="none"/>
          <w:lang w:eastAsia="zh-CN"/>
        </w:rPr>
        <w:t>：</w:t>
      </w:r>
      <w:r>
        <w:rPr>
          <w:rFonts w:hint="eastAsia" w:ascii="宋体" w:hAnsi="宋体"/>
          <w:szCs w:val="21"/>
          <w:highlight w:val="none"/>
          <w:u w:val="single"/>
          <w:lang w:val="en-US" w:eastAsia="zh-CN"/>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p>
    <w:p w14:paraId="3DB9A75E">
      <w:pPr>
        <w:numPr>
          <w:ilvl w:val="-1"/>
          <w:numId w:val="0"/>
        </w:numPr>
        <w:adjustRightInd w:val="0"/>
        <w:snapToGrid w:val="0"/>
        <w:spacing w:before="0" w:beforeLines="0" w:line="400" w:lineRule="exact"/>
        <w:ind w:firstLine="420" w:firstLineChars="200"/>
        <w:rPr>
          <w:rFonts w:hint="default" w:ascii="宋体" w:hAnsi="宋体" w:cs="宋体"/>
          <w:szCs w:val="21"/>
          <w:highlight w:val="none"/>
          <w:lang w:val="en" w:eastAsia="zh-CN"/>
        </w:rPr>
      </w:pPr>
      <w:r>
        <w:rPr>
          <w:rFonts w:hint="eastAsia" w:ascii="宋体" w:hAnsi="宋体"/>
          <w:szCs w:val="21"/>
          <w:highlight w:val="none"/>
          <w:u w:val="none"/>
          <w:lang w:val="en-US" w:eastAsia="zh-CN"/>
        </w:rPr>
        <w:t xml:space="preserve">     </w:t>
      </w:r>
      <w:r>
        <w:rPr>
          <w:rFonts w:hint="eastAsia" w:ascii="宋体" w:hAnsi="宋体" w:cs="宋体"/>
          <w:szCs w:val="21"/>
          <w:highlight w:val="none"/>
          <w:lang w:val="en-US" w:eastAsia="zh-CN"/>
        </w:rPr>
        <w:t>品牌：</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none"/>
          <w:lang w:val="en" w:eastAsia="zh-CN"/>
        </w:rPr>
        <w:t xml:space="preserve">     </w:t>
      </w:r>
      <w:r>
        <w:rPr>
          <w:rFonts w:hint="eastAsia" w:ascii="宋体" w:hAnsi="宋体" w:cs="宋体"/>
          <w:szCs w:val="21"/>
          <w:highlight w:val="none"/>
          <w:lang w:val="en-US" w:eastAsia="zh-CN"/>
        </w:rPr>
        <w:t>规格型号：</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r>
        <w:rPr>
          <w:rFonts w:hint="eastAsia" w:ascii="宋体" w:hAnsi="宋体" w:cs="宋体"/>
          <w:szCs w:val="21"/>
          <w:highlight w:val="none"/>
          <w:u w:val="single"/>
          <w:lang w:val="en-US" w:eastAsia="zh-CN"/>
        </w:rPr>
        <w:t xml:space="preserve">       </w:t>
      </w:r>
      <w:r>
        <w:rPr>
          <w:rFonts w:hint="default" w:ascii="宋体" w:hAnsi="宋体" w:cs="宋体"/>
          <w:szCs w:val="21"/>
          <w:highlight w:val="none"/>
          <w:u w:val="single"/>
          <w:lang w:val="en" w:eastAsia="zh-CN"/>
        </w:rPr>
        <w:t xml:space="preserve">   </w:t>
      </w:r>
    </w:p>
    <w:p w14:paraId="6E57295A">
      <w:pPr>
        <w:adjustRightInd w:val="0"/>
        <w:snapToGrid w:val="0"/>
        <w:spacing w:before="0" w:beforeLines="0" w:line="400" w:lineRule="exact"/>
        <w:ind w:firstLine="945" w:firstLineChars="450"/>
        <w:rPr>
          <w:rFonts w:ascii="宋体" w:hAnsi="宋体"/>
          <w:szCs w:val="21"/>
          <w:highlight w:val="none"/>
          <w:u w:val="single"/>
        </w:rPr>
      </w:pPr>
      <w:r>
        <w:rPr>
          <w:rFonts w:hint="eastAsia" w:ascii="宋体" w:hAnsi="宋体"/>
          <w:szCs w:val="21"/>
          <w:highlight w:val="none"/>
          <w:u w:val="none"/>
          <w:lang w:val="en-US" w:eastAsia="zh-CN"/>
        </w:rPr>
        <w:t>采购标的的技术要求、商务要求具体见附件。</w:t>
      </w:r>
    </w:p>
    <w:p w14:paraId="1EC20CC3">
      <w:pPr>
        <w:numPr>
          <w:ilvl w:val="-1"/>
          <w:numId w:val="0"/>
        </w:numPr>
        <w:adjustRightInd w:val="0"/>
        <w:snapToGrid w:val="0"/>
        <w:spacing w:before="0" w:beforeLines="0" w:line="400" w:lineRule="exact"/>
        <w:ind w:firstLine="945" w:firstLineChars="450"/>
        <w:rPr>
          <w:rFonts w:hint="eastAsia" w:ascii="宋体" w:hAnsi="宋体" w:cs="宋体"/>
          <w:szCs w:val="21"/>
          <w:highlight w:val="none"/>
          <w:lang w:val="en-US" w:eastAsia="zh-CN"/>
        </w:rPr>
      </w:pPr>
      <w:r>
        <w:rPr>
          <w:rFonts w:hint="eastAsia" w:ascii="汉仪书宋二S" w:hAnsi="汉仪书宋二S" w:eastAsia="汉仪书宋二S" w:cs="汉仪书宋二S"/>
          <w:szCs w:val="21"/>
          <w:highlight w:val="none"/>
          <w:lang w:val="en-US" w:eastAsia="zh-CN"/>
        </w:rPr>
        <w:t>①</w:t>
      </w:r>
      <w:r>
        <w:rPr>
          <w:rFonts w:hint="eastAsia" w:ascii="宋体" w:hAnsi="宋体" w:cs="宋体"/>
          <w:szCs w:val="21"/>
          <w:highlight w:val="none"/>
          <w:lang w:val="en-US" w:eastAsia="zh-CN"/>
        </w:rPr>
        <w:t>涉及信息类产品，请填写该产品关键部件的品牌、型号：</w:t>
      </w:r>
    </w:p>
    <w:p w14:paraId="3FC9A0F6">
      <w:pPr>
        <w:numPr>
          <w:ilvl w:val="-1"/>
          <w:numId w:val="0"/>
        </w:numPr>
        <w:adjustRightInd w:val="0"/>
        <w:snapToGrid w:val="0"/>
        <w:spacing w:before="0" w:beforeLines="0" w:line="400" w:lineRule="exact"/>
        <w:ind w:firstLine="420" w:firstLineChars="200"/>
        <w:rPr>
          <w:rFonts w:hint="eastAsia" w:ascii="宋体" w:hAnsi="宋体" w:cs="宋体"/>
          <w:kern w:val="0"/>
          <w:szCs w:val="21"/>
          <w:highlight w:val="none"/>
          <w:u w:val="single"/>
          <w:lang w:val="en-US" w:eastAsia="zh-CN"/>
        </w:rPr>
      </w:pPr>
      <w:r>
        <w:rPr>
          <w:rFonts w:hint="eastAsia" w:ascii="宋体" w:hAnsi="宋体" w:cs="宋体"/>
          <w:szCs w:val="21"/>
          <w:highlight w:val="none"/>
          <w:lang w:val="en-US" w:eastAsia="zh-CN"/>
        </w:rPr>
        <w:t xml:space="preserve">     标的名称：</w:t>
      </w:r>
      <w:r>
        <w:rPr>
          <w:rFonts w:hint="eastAsia" w:ascii="宋体" w:hAnsi="宋体" w:cs="宋体"/>
          <w:kern w:val="0"/>
          <w:szCs w:val="21"/>
          <w:highlight w:val="none"/>
          <w:u w:val="single"/>
          <w:lang w:val="en-US" w:eastAsia="zh-CN"/>
        </w:rPr>
        <w:t xml:space="preserve">      </w:t>
      </w:r>
      <w:r>
        <w:rPr>
          <w:rFonts w:hint="default" w:ascii="宋体" w:hAnsi="宋体" w:cs="宋体"/>
          <w:kern w:val="0"/>
          <w:szCs w:val="21"/>
          <w:highlight w:val="none"/>
          <w:u w:val="single"/>
          <w:lang w:val="en" w:eastAsia="zh-CN"/>
        </w:rPr>
        <w:t xml:space="preserve">               </w:t>
      </w:r>
      <w:r>
        <w:rPr>
          <w:rFonts w:hint="eastAsia" w:ascii="宋体" w:hAnsi="宋体" w:cs="宋体"/>
          <w:kern w:val="0"/>
          <w:szCs w:val="21"/>
          <w:highlight w:val="none"/>
          <w:u w:val="single"/>
          <w:lang w:val="en-US" w:eastAsia="zh-CN"/>
        </w:rPr>
        <w:t xml:space="preserve">    </w:t>
      </w:r>
    </w:p>
    <w:p w14:paraId="246BFE50">
      <w:pPr>
        <w:numPr>
          <w:ilvl w:val="-1"/>
          <w:numId w:val="0"/>
        </w:numPr>
        <w:adjustRightInd w:val="0"/>
        <w:snapToGrid w:val="0"/>
        <w:spacing w:before="0" w:beforeLines="0" w:line="400" w:lineRule="exact"/>
        <w:ind w:firstLine="420" w:firstLineChars="200"/>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     关键部件：</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none"/>
          <w:lang w:val="en-US" w:eastAsia="zh-CN"/>
        </w:rPr>
        <w:t xml:space="preserve"> </w:t>
      </w:r>
      <w:r>
        <w:rPr>
          <w:rFonts w:hint="eastAsia" w:ascii="宋体" w:hAnsi="宋体" w:cs="宋体"/>
          <w:szCs w:val="21"/>
          <w:highlight w:val="none"/>
          <w:lang w:val="en-US" w:eastAsia="zh-CN"/>
        </w:rPr>
        <w:t>品牌：</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none"/>
          <w:lang w:val="en-US" w:eastAsia="zh-CN"/>
        </w:rPr>
        <w:t xml:space="preserve"> </w:t>
      </w:r>
      <w:r>
        <w:rPr>
          <w:rFonts w:hint="eastAsia" w:ascii="宋体" w:hAnsi="宋体" w:cs="宋体"/>
          <w:szCs w:val="21"/>
          <w:highlight w:val="none"/>
          <w:lang w:val="en-US" w:eastAsia="zh-CN"/>
        </w:rPr>
        <w:t>型号：</w:t>
      </w:r>
      <w:r>
        <w:rPr>
          <w:rFonts w:hint="eastAsia" w:ascii="宋体" w:hAnsi="宋体" w:cs="宋体"/>
          <w:szCs w:val="21"/>
          <w:highlight w:val="none"/>
          <w:u w:val="single"/>
          <w:lang w:val="en-US" w:eastAsia="zh-CN"/>
        </w:rPr>
        <w:t xml:space="preserve">       </w:t>
      </w:r>
      <w:r>
        <w:rPr>
          <w:rFonts w:hint="eastAsia" w:ascii="宋体" w:hAnsi="宋体" w:cs="宋体"/>
          <w:szCs w:val="21"/>
          <w:highlight w:val="none"/>
          <w:lang w:val="en-US" w:eastAsia="zh-CN"/>
        </w:rPr>
        <w:t xml:space="preserve"> </w:t>
      </w:r>
    </w:p>
    <w:p w14:paraId="7C87A407">
      <w:pPr>
        <w:pStyle w:val="40"/>
        <w:spacing w:beforeLine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w:t>
      </w:r>
      <w:r>
        <w:rPr>
          <w:rFonts w:hint="eastAsia" w:ascii="宋体" w:hAnsi="宋体" w:eastAsia="宋体" w:cs="宋体"/>
          <w:kern w:val="2"/>
          <w:sz w:val="21"/>
          <w:szCs w:val="21"/>
          <w:highlight w:val="none"/>
          <w:lang w:val="en-US" w:eastAsia="zh-CN"/>
        </w:rPr>
        <w:t>关键部件</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品牌：</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型号：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val="en-US" w:eastAsia="zh-CN"/>
        </w:rPr>
        <w:t xml:space="preserve"> </w:t>
      </w:r>
    </w:p>
    <w:p w14:paraId="39C546D6">
      <w:pPr>
        <w:pStyle w:val="40"/>
        <w:spacing w:beforeLine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关键部件：</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品牌：</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lang w:val="en-US" w:eastAsia="zh-CN"/>
        </w:rPr>
        <w:t>型号：</w:t>
      </w:r>
      <w:r>
        <w:rPr>
          <w:rFonts w:hint="eastAsia" w:ascii="宋体" w:hAnsi="宋体" w:eastAsia="宋体" w:cs="宋体"/>
          <w:sz w:val="21"/>
          <w:szCs w:val="21"/>
          <w:highlight w:val="none"/>
          <w:u w:val="single"/>
          <w:lang w:val="en-US" w:eastAsia="zh-CN"/>
        </w:rPr>
        <w:t xml:space="preserve">       </w:t>
      </w:r>
    </w:p>
    <w:p w14:paraId="4B474C1C">
      <w:pPr>
        <w:pStyle w:val="40"/>
        <w:numPr>
          <w:ilvl w:val="-1"/>
          <w:numId w:val="0"/>
        </w:numPr>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（注：关键部件是指财政部会同有关部门发布的政府采购需求标准规定的需要通过国家有关部门要求的测评机构开展的安全可靠测评的软硬件，如CPU芯片、操作系统、数据库等。）</w:t>
      </w:r>
    </w:p>
    <w:p w14:paraId="490834AA">
      <w:pPr>
        <w:pStyle w:val="40"/>
        <w:numPr>
          <w:ilvl w:val="-1"/>
          <w:numId w:val="0"/>
        </w:numPr>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w:t>
      </w:r>
      <w:r>
        <w:rPr>
          <w:rFonts w:hint="eastAsia" w:ascii="汉仪书宋二S" w:hAnsi="汉仪书宋二S" w:eastAsia="汉仪书宋二S" w:cs="汉仪书宋二S"/>
          <w:sz w:val="21"/>
          <w:szCs w:val="21"/>
          <w:highlight w:val="none"/>
          <w:lang w:val="en-US" w:eastAsia="zh-CN"/>
        </w:rPr>
        <w:t>②</w:t>
      </w:r>
      <w:r>
        <w:rPr>
          <w:rFonts w:hint="eastAsia" w:ascii="宋体" w:hAnsi="宋体" w:eastAsia="宋体" w:cs="宋体"/>
          <w:sz w:val="21"/>
          <w:szCs w:val="21"/>
          <w:highlight w:val="none"/>
          <w:lang w:val="en-US" w:eastAsia="zh-CN"/>
        </w:rPr>
        <w:t>涉及车辆采购，请填写是否属于新能源汽车：</w:t>
      </w:r>
    </w:p>
    <w:p w14:paraId="60DBF615">
      <w:pPr>
        <w:pStyle w:val="40"/>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rPr>
        <w:t>是</w:t>
      </w:r>
      <w:r>
        <w:rPr>
          <w:rFonts w:hint="eastAsia" w:asciiTheme="minorEastAsia" w:hAnsiTheme="minorEastAsia" w:eastAsiaTheme="minorEastAsia" w:cstheme="minorEastAsia"/>
          <w:iCs w:val="0"/>
          <w:sz w:val="21"/>
          <w:szCs w:val="21"/>
          <w:highlight w:val="none"/>
          <w:lang w:eastAsia="zh-CN"/>
        </w:rPr>
        <w:t>，《政府采购品目分类目录》底级品目名称</w:t>
      </w:r>
      <w:r>
        <w:rPr>
          <w:rFonts w:hint="eastAsia" w:asciiTheme="minorEastAsia" w:hAnsiTheme="minorEastAsia" w:eastAsiaTheme="minorEastAsia" w:cstheme="minorEastAsia"/>
          <w:sz w:val="21"/>
          <w:szCs w:val="21"/>
          <w:highlight w:val="none"/>
          <w:lang w:val="en-US" w:eastAsia="zh-CN"/>
        </w:rPr>
        <w:t>：</w:t>
      </w:r>
      <w:r>
        <w:rPr>
          <w:rFonts w:hint="eastAsia" w:ascii="宋体" w:hAnsi="宋体" w:eastAsia="宋体" w:cs="宋体"/>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 xml:space="preserve"> 数量：</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宋体" w:hAnsi="宋体" w:eastAsia="宋体" w:cs="宋体"/>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 xml:space="preserve"> 金额：</w:t>
      </w:r>
      <w:r>
        <w:rPr>
          <w:rFonts w:hint="eastAsia" w:ascii="宋体" w:hAnsi="宋体" w:eastAsia="宋体" w:cs="宋体"/>
          <w:sz w:val="21"/>
          <w:szCs w:val="21"/>
          <w:highlight w:val="none"/>
          <w:u w:val="single"/>
          <w:lang w:val="en-US" w:eastAsia="zh-CN"/>
        </w:rPr>
        <w:t xml:space="preserve">     </w:t>
      </w:r>
      <w:r>
        <w:rPr>
          <w:rFonts w:hint="eastAsia" w:asciiTheme="minorEastAsia" w:hAnsiTheme="minorEastAsia" w:eastAsiaTheme="minorEastAsia" w:cstheme="minorEastAsia"/>
          <w:iCs w:val="0"/>
          <w:sz w:val="21"/>
          <w:szCs w:val="21"/>
          <w:highlight w:val="none"/>
          <w:lang w:val="en-US" w:eastAsia="zh-CN"/>
        </w:rPr>
        <w:t xml:space="preserve"> </w:t>
      </w:r>
    </w:p>
    <w:p w14:paraId="59F92C4B">
      <w:pPr>
        <w:pStyle w:val="40"/>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highlight w:val="none"/>
          <w:lang w:eastAsia="zh-CN"/>
        </w:rPr>
      </w:pP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否</w:t>
      </w:r>
    </w:p>
    <w:p w14:paraId="64E81FD3">
      <w:pPr>
        <w:pStyle w:val="40"/>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sz w:val="21"/>
          <w:szCs w:val="21"/>
          <w:highlight w:val="none"/>
          <w:lang w:val="en-US" w:eastAsia="zh-CN"/>
        </w:rPr>
      </w:pPr>
      <w:r>
        <w:rPr>
          <w:rFonts w:hint="eastAsia" w:asciiTheme="minorEastAsia" w:hAnsiTheme="minorEastAsia" w:eastAsiaTheme="minorEastAsia" w:cstheme="minorEastAsia"/>
          <w:iCs w:val="0"/>
          <w:sz w:val="21"/>
          <w:szCs w:val="21"/>
          <w:highlight w:val="none"/>
          <w:lang w:val="en-US" w:eastAsia="zh-CN"/>
        </w:rPr>
        <w:t xml:space="preserve">    （</w:t>
      </w:r>
      <w:r>
        <w:rPr>
          <w:rFonts w:hint="default" w:asciiTheme="minorEastAsia" w:hAnsiTheme="minorEastAsia" w:eastAsiaTheme="minorEastAsia" w:cstheme="minorEastAsia"/>
          <w:iCs w:val="0"/>
          <w:sz w:val="21"/>
          <w:szCs w:val="21"/>
          <w:highlight w:val="none"/>
          <w:lang w:val="en" w:eastAsia="zh-CN"/>
        </w:rPr>
        <w:t>4</w:t>
      </w:r>
      <w:r>
        <w:rPr>
          <w:rFonts w:hint="eastAsia" w:asciiTheme="minorEastAsia" w:hAnsiTheme="minorEastAsia" w:eastAsiaTheme="minorEastAsia" w:cstheme="minorEastAsia"/>
          <w:iCs w:val="0"/>
          <w:sz w:val="21"/>
          <w:szCs w:val="21"/>
          <w:highlight w:val="none"/>
          <w:lang w:val="en-US" w:eastAsia="zh-CN"/>
        </w:rPr>
        <w:t>）政府采购组织形式：</w:t>
      </w:r>
      <w:r>
        <w:rPr>
          <w:rFonts w:hint="eastAsia" w:asciiTheme="minorEastAsia" w:hAnsiTheme="minorEastAsia" w:eastAsiaTheme="minorEastAsia" w:cstheme="minorEastAsia"/>
          <w:iCs w:val="0"/>
          <w:sz w:val="21"/>
          <w:szCs w:val="21"/>
          <w:highlight w:val="none"/>
        </w:rPr>
        <w:sym w:font="Wingdings" w:char="00FE"/>
      </w:r>
      <w:r>
        <w:rPr>
          <w:rFonts w:hint="eastAsia" w:asciiTheme="minorEastAsia" w:hAnsiTheme="minorEastAsia" w:eastAsiaTheme="minorEastAsia" w:cstheme="minorEastAsia"/>
          <w:iCs w:val="0"/>
          <w:sz w:val="21"/>
          <w:szCs w:val="21"/>
          <w:highlight w:val="none"/>
          <w:lang w:eastAsia="zh-CN"/>
        </w:rPr>
        <w:t>政府集中采购</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val="en-US" w:eastAsia="zh-CN"/>
        </w:rPr>
        <w:t xml:space="preserve">部门集中采购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val="en-US" w:eastAsia="zh-CN"/>
        </w:rPr>
        <w:t>分散采购</w:t>
      </w:r>
    </w:p>
    <w:p w14:paraId="6E3FA343">
      <w:pPr>
        <w:pStyle w:val="40"/>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highlight w:val="none"/>
          <w:lang w:eastAsia="zh-CN"/>
        </w:rPr>
      </w:pPr>
      <w:r>
        <w:rPr>
          <w:rFonts w:hint="eastAsia" w:asciiTheme="minorEastAsia" w:hAnsiTheme="minorEastAsia" w:eastAsiaTheme="minorEastAsia" w:cstheme="minorEastAsia"/>
          <w:iCs w:val="0"/>
          <w:sz w:val="21"/>
          <w:szCs w:val="21"/>
          <w:highlight w:val="none"/>
          <w:lang w:val="en-US" w:eastAsia="zh-CN"/>
        </w:rPr>
        <w:t>（</w:t>
      </w:r>
      <w:r>
        <w:rPr>
          <w:rFonts w:hint="default" w:asciiTheme="minorEastAsia" w:hAnsiTheme="minorEastAsia" w:eastAsiaTheme="minorEastAsia" w:cstheme="minorEastAsia"/>
          <w:iCs w:val="0"/>
          <w:sz w:val="21"/>
          <w:szCs w:val="21"/>
          <w:highlight w:val="none"/>
          <w:lang w:val="en" w:eastAsia="zh-CN"/>
        </w:rPr>
        <w:t>5</w:t>
      </w:r>
      <w:r>
        <w:rPr>
          <w:rFonts w:hint="eastAsia" w:asciiTheme="minorEastAsia" w:hAnsiTheme="minorEastAsia" w:eastAsiaTheme="minorEastAsia" w:cstheme="minorEastAsia"/>
          <w:iCs w:val="0"/>
          <w:sz w:val="21"/>
          <w:szCs w:val="21"/>
          <w:highlight w:val="none"/>
          <w:lang w:val="en-US" w:eastAsia="zh-CN"/>
        </w:rPr>
        <w:t>）政府采购方式：</w:t>
      </w:r>
      <w:r>
        <w:rPr>
          <w:rFonts w:hint="eastAsia" w:asciiTheme="minorEastAsia" w:hAnsiTheme="minorEastAsia" w:eastAsiaTheme="minorEastAsia" w:cstheme="minorEastAsia"/>
          <w:iCs w:val="0"/>
          <w:sz w:val="21"/>
          <w:szCs w:val="21"/>
          <w:highlight w:val="none"/>
        </w:rPr>
        <w:sym w:font="Wingdings" w:char="00FE"/>
      </w:r>
      <w:r>
        <w:rPr>
          <w:rFonts w:hint="eastAsia" w:asciiTheme="minorEastAsia" w:hAnsiTheme="minorEastAsia" w:eastAsiaTheme="minorEastAsia" w:cstheme="minorEastAsia"/>
          <w:iCs w:val="0"/>
          <w:sz w:val="21"/>
          <w:szCs w:val="21"/>
          <w:highlight w:val="none"/>
          <w:lang w:eastAsia="zh-CN"/>
        </w:rPr>
        <w:t>公开招标</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邀请招标</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竞争性谈判</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竞争性磋商</w:t>
      </w:r>
    </w:p>
    <w:p w14:paraId="1CDEDFD1">
      <w:pPr>
        <w:pStyle w:val="40"/>
        <w:numPr>
          <w:ilvl w:val="-1"/>
          <w:numId w:val="0"/>
        </w:numPr>
        <w:adjustRightInd w:val="0"/>
        <w:snapToGrid w:val="0"/>
        <w:spacing w:before="0" w:beforeLines="0" w:line="400" w:lineRule="exact"/>
        <w:ind w:left="0" w:firstLine="420" w:firstLineChars="0"/>
        <w:rPr>
          <w:rFonts w:hint="eastAsia" w:ascii="宋体" w:hAnsi="宋体" w:eastAsia="宋体" w:cs="宋体"/>
          <w:iCs w:val="0"/>
          <w:sz w:val="21"/>
          <w:szCs w:val="21"/>
          <w:highlight w:val="none"/>
          <w:u w:val="single"/>
          <w:lang w:val="en-US" w:eastAsia="zh-CN"/>
        </w:rPr>
      </w:pPr>
      <w:r>
        <w:rPr>
          <w:rFonts w:hint="eastAsia" w:ascii="宋体" w:hAnsi="宋体" w:cs="宋体"/>
          <w:szCs w:val="21"/>
          <w:highlight w:val="none"/>
          <w:u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询价</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单一来源</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框架协议</w:t>
      </w:r>
      <w:r>
        <w:rPr>
          <w:rFonts w:hint="eastAsia" w:asciiTheme="minorEastAsia" w:hAnsiTheme="minorEastAsia" w:eastAsiaTheme="minorEastAsia" w:cstheme="minorEastAsia"/>
          <w:iCs w:val="0"/>
          <w:sz w:val="21"/>
          <w:szCs w:val="21"/>
          <w:highlight w:val="none"/>
          <w:lang w:val="en-US" w:eastAsia="zh-CN"/>
        </w:rPr>
        <w:t xml:space="preserve"> </w:t>
      </w:r>
      <w:r>
        <w:rPr>
          <w:rFonts w:hint="eastAsia" w:asciiTheme="minorEastAsia" w:hAnsiTheme="minorEastAsia" w:eastAsiaTheme="minorEastAsia" w:cstheme="minorEastAsia"/>
          <w:iCs w:val="0"/>
          <w:sz w:val="21"/>
          <w:szCs w:val="21"/>
          <w:highlight w:val="none"/>
        </w:rPr>
        <w:sym w:font="Wingdings" w:char="00A8"/>
      </w:r>
      <w:r>
        <w:rPr>
          <w:rFonts w:hint="eastAsia" w:asciiTheme="minorEastAsia" w:hAnsiTheme="minorEastAsia" w:eastAsiaTheme="minorEastAsia" w:cstheme="minorEastAsia"/>
          <w:iCs w:val="0"/>
          <w:sz w:val="21"/>
          <w:szCs w:val="21"/>
          <w:highlight w:val="none"/>
          <w:lang w:eastAsia="zh-CN"/>
        </w:rPr>
        <w:t>其他：</w:t>
      </w:r>
      <w:r>
        <w:rPr>
          <w:rFonts w:hint="eastAsia" w:ascii="宋体" w:hAnsi="宋体" w:eastAsia="宋体" w:cs="宋体"/>
          <w:iCs w:val="0"/>
          <w:sz w:val="21"/>
          <w:szCs w:val="21"/>
          <w:highlight w:val="none"/>
          <w:u w:val="single"/>
          <w:lang w:val="en-US" w:eastAsia="zh-CN"/>
        </w:rPr>
        <w:t xml:space="preserve">          </w:t>
      </w:r>
    </w:p>
    <w:p w14:paraId="4B67C0B2">
      <w:pPr>
        <w:pStyle w:val="40"/>
        <w:numPr>
          <w:ilvl w:val="-1"/>
          <w:numId w:val="0"/>
        </w:numPr>
        <w:adjustRightInd w:val="0"/>
        <w:snapToGrid w:val="0"/>
        <w:spacing w:before="0" w:beforeLines="0" w:line="400" w:lineRule="exact"/>
        <w:ind w:left="0" w:firstLine="420" w:firstLineChars="0"/>
        <w:rPr>
          <w:rFonts w:hint="default" w:ascii="宋体" w:hAnsi="宋体" w:eastAsia="宋体" w:cs="宋体"/>
          <w:iCs w:val="0"/>
          <w:sz w:val="21"/>
          <w:szCs w:val="21"/>
          <w:highlight w:val="none"/>
          <w:u w:val="none"/>
          <w:lang w:val="en-US" w:eastAsia="zh-CN"/>
        </w:rPr>
      </w:pPr>
      <w:r>
        <w:rPr>
          <w:rFonts w:hint="eastAsia" w:ascii="宋体" w:hAnsi="宋体" w:eastAsia="宋体" w:cs="宋体"/>
          <w:iCs w:val="0"/>
          <w:sz w:val="21"/>
          <w:szCs w:val="21"/>
          <w:highlight w:val="none"/>
          <w:u w:val="none"/>
          <w:lang w:val="en-US" w:eastAsia="zh-CN"/>
        </w:rPr>
        <w:t>（注：在框架协议采购的第二阶段，可选择使用该合同文本）</w:t>
      </w:r>
    </w:p>
    <w:p w14:paraId="567E2C22">
      <w:pPr>
        <w:pStyle w:val="40"/>
        <w:numPr>
          <w:ilvl w:val="-1"/>
          <w:numId w:val="0"/>
        </w:numPr>
        <w:adjustRightInd w:val="0"/>
        <w:snapToGrid w:val="0"/>
        <w:spacing w:before="0" w:beforeLines="0" w:line="400" w:lineRule="exact"/>
        <w:ind w:firstLine="220" w:firstLineChars="100"/>
        <w:rPr>
          <w:rFonts w:hint="eastAsia" w:ascii="宋体" w:hAnsi="宋体" w:eastAsia="宋体" w:cs="Times New Roman"/>
          <w:w w:val="100"/>
          <w:kern w:val="2"/>
          <w:sz w:val="21"/>
          <w:szCs w:val="21"/>
          <w:highlight w:val="none"/>
          <w:lang w:val="en-US" w:eastAsia="zh-CN" w:bidi="ar-SA"/>
        </w:rPr>
      </w:pPr>
      <w:r>
        <w:rPr>
          <w:rFonts w:hint="eastAsia" w:ascii="宋体" w:hAnsi="宋体"/>
          <w:szCs w:val="21"/>
          <w:highlight w:val="none"/>
          <w:lang w:val="en-US" w:eastAsia="zh-CN"/>
        </w:rPr>
        <w:t xml:space="preserve"> （</w:t>
      </w:r>
      <w:r>
        <w:rPr>
          <w:rFonts w:hint="default" w:ascii="宋体" w:hAnsi="宋体"/>
          <w:szCs w:val="21"/>
          <w:highlight w:val="none"/>
          <w:lang w:val="en" w:eastAsia="zh-CN"/>
        </w:rPr>
        <w:t>6</w:t>
      </w:r>
      <w:r>
        <w:rPr>
          <w:rFonts w:hint="eastAsia" w:ascii="宋体" w:hAnsi="宋体"/>
          <w:szCs w:val="21"/>
          <w:highlight w:val="none"/>
          <w:lang w:val="en-US" w:eastAsia="zh-CN"/>
        </w:rPr>
        <w:t>）</w:t>
      </w:r>
      <w:r>
        <w:rPr>
          <w:rFonts w:hint="eastAsia" w:ascii="宋体" w:hAnsi="宋体" w:eastAsia="宋体" w:cs="Times New Roman"/>
          <w:w w:val="100"/>
          <w:kern w:val="2"/>
          <w:sz w:val="21"/>
          <w:szCs w:val="21"/>
          <w:highlight w:val="none"/>
          <w:lang w:val="en-US" w:eastAsia="zh-CN" w:bidi="ar-SA"/>
        </w:rPr>
        <w:t>中标（成交）采购标的制造商是否为中小企业：</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 xml:space="preserve">是      </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否</w:t>
      </w:r>
    </w:p>
    <w:p w14:paraId="0BF02DB7">
      <w:pPr>
        <w:numPr>
          <w:ilvl w:val="-1"/>
          <w:numId w:val="0"/>
        </w:numPr>
        <w:adjustRightInd w:val="0"/>
        <w:snapToGrid w:val="0"/>
        <w:spacing w:before="0" w:beforeLines="0" w:line="400" w:lineRule="exact"/>
        <w:ind w:left="0" w:leftChars="0" w:firstLine="0" w:firstLineChars="0"/>
        <w:rPr>
          <w:rFonts w:hint="eastAsia" w:ascii="宋体" w:hAnsi="宋体"/>
          <w:iCs/>
          <w:szCs w:val="21"/>
          <w:highlight w:val="none"/>
        </w:rPr>
      </w:pPr>
      <w:r>
        <w:rPr>
          <w:rFonts w:hint="eastAsia" w:ascii="宋体" w:hAnsi="宋体"/>
          <w:w w:val="100"/>
          <w:szCs w:val="21"/>
          <w:highlight w:val="none"/>
          <w:lang w:val="en-US" w:eastAsia="zh-CN"/>
        </w:rPr>
        <w:t xml:space="preserve">         本合同</w:t>
      </w:r>
      <w:r>
        <w:rPr>
          <w:rFonts w:hint="eastAsia" w:ascii="宋体" w:hAnsi="宋体"/>
          <w:w w:val="100"/>
          <w:szCs w:val="21"/>
          <w:highlight w:val="none"/>
        </w:rPr>
        <w:t>是否</w:t>
      </w:r>
      <w:r>
        <w:rPr>
          <w:rFonts w:hint="eastAsia" w:ascii="宋体" w:hAnsi="宋体"/>
          <w:w w:val="100"/>
          <w:szCs w:val="21"/>
          <w:highlight w:val="none"/>
          <w:lang w:eastAsia="zh-CN"/>
        </w:rPr>
        <w:t>为专门面向</w:t>
      </w:r>
      <w:r>
        <w:rPr>
          <w:rFonts w:hint="eastAsia" w:ascii="宋体" w:hAnsi="宋体"/>
          <w:w w:val="100"/>
          <w:szCs w:val="21"/>
          <w:highlight w:val="none"/>
        </w:rPr>
        <w:t>中小企业</w:t>
      </w:r>
      <w:r>
        <w:rPr>
          <w:rFonts w:hint="eastAsia" w:ascii="宋体" w:hAnsi="宋体"/>
          <w:w w:val="100"/>
          <w:szCs w:val="21"/>
          <w:highlight w:val="none"/>
          <w:lang w:eastAsia="zh-CN"/>
        </w:rPr>
        <w:t>的采</w:t>
      </w:r>
      <w:r>
        <w:rPr>
          <w:rFonts w:hint="eastAsia" w:ascii="宋体" w:hAnsi="宋体"/>
          <w:w w:val="100"/>
          <w:szCs w:val="21"/>
          <w:highlight w:val="none"/>
          <w:shd w:val="clear"/>
          <w:lang w:eastAsia="zh-CN"/>
        </w:rPr>
        <w:t>购</w:t>
      </w:r>
      <w:r>
        <w:rPr>
          <w:rFonts w:hint="eastAsia" w:ascii="宋体" w:hAnsi="宋体"/>
          <w:w w:val="100"/>
          <w:szCs w:val="21"/>
          <w:highlight w:val="none"/>
          <w:shd w:val="clear"/>
        </w:rPr>
        <w:t>合同</w:t>
      </w:r>
      <w:r>
        <w:rPr>
          <w:rFonts w:hint="eastAsia" w:ascii="宋体" w:hAnsi="宋体"/>
          <w:w w:val="100"/>
          <w:szCs w:val="21"/>
          <w:highlight w:val="none"/>
          <w:shd w:val="clear"/>
          <w:lang w:eastAsia="zh-CN"/>
        </w:rPr>
        <w:t>（中小企业预留合同）</w:t>
      </w:r>
      <w:r>
        <w:rPr>
          <w:rFonts w:hint="eastAsia" w:ascii="宋体" w:hAnsi="宋体"/>
          <w:szCs w:val="21"/>
          <w:highlight w:val="none"/>
          <w:shd w:val="clear"/>
        </w:rPr>
        <w:t>：</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lang w:val="en-US" w:eastAsia="zh-CN"/>
        </w:rPr>
        <w:t xml:space="preserve">  </w:t>
      </w:r>
      <w:r>
        <w:rPr>
          <w:rFonts w:hint="eastAsia" w:ascii="宋体" w:hAnsi="宋体"/>
          <w:iCs/>
          <w:szCs w:val="21"/>
          <w:highlight w:val="none"/>
        </w:rPr>
        <w:t xml:space="preserve"> </w:t>
      </w:r>
      <w:r>
        <w:rPr>
          <w:rFonts w:hint="eastAsia" w:ascii="宋体" w:hAnsi="宋体"/>
          <w:iCs/>
          <w:szCs w:val="21"/>
          <w:highlight w:val="none"/>
        </w:rPr>
        <w:sym w:font="Wingdings" w:char="00FE"/>
      </w:r>
      <w:r>
        <w:rPr>
          <w:rFonts w:hint="eastAsia" w:ascii="宋体" w:hAnsi="宋体"/>
          <w:iCs/>
          <w:szCs w:val="21"/>
          <w:highlight w:val="none"/>
        </w:rPr>
        <w:t>否</w:t>
      </w:r>
    </w:p>
    <w:p w14:paraId="1F8657D5">
      <w:pPr>
        <w:numPr>
          <w:ilvl w:val="-1"/>
          <w:numId w:val="0"/>
        </w:numPr>
        <w:adjustRightInd w:val="0"/>
        <w:snapToGrid w:val="0"/>
        <w:spacing w:before="0" w:beforeLines="0" w:line="400" w:lineRule="exact"/>
        <w:ind w:firstLine="0" w:firstLineChars="0"/>
        <w:rPr>
          <w:rFonts w:hint="eastAsia" w:ascii="宋体" w:hAnsi="宋体"/>
          <w:iCs/>
          <w:szCs w:val="21"/>
          <w:highlight w:val="none"/>
        </w:rPr>
      </w:pPr>
      <w:r>
        <w:rPr>
          <w:rFonts w:hint="eastAsia"/>
          <w:highlight w:val="none"/>
          <w:lang w:val="en-US" w:eastAsia="zh-CN"/>
        </w:rPr>
        <w:t xml:space="preserve">         若本项目不专门面向中小企业采购，是否给予小微企业评审优惠：</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3455AD72">
      <w:pPr>
        <w:numPr>
          <w:ilvl w:val="-1"/>
          <w:numId w:val="0"/>
        </w:numPr>
        <w:adjustRightInd w:val="0"/>
        <w:snapToGrid w:val="0"/>
        <w:spacing w:before="0" w:beforeLines="0" w:line="400" w:lineRule="exact"/>
        <w:ind w:firstLine="0" w:firstLineChars="0"/>
        <w:rPr>
          <w:rFonts w:hint="eastAsia" w:ascii="宋体" w:hAnsi="宋体"/>
          <w:iCs/>
          <w:szCs w:val="21"/>
          <w:highlight w:val="none"/>
        </w:rPr>
      </w:pPr>
      <w:r>
        <w:rPr>
          <w:rFonts w:hint="eastAsia"/>
          <w:highlight w:val="none"/>
          <w:lang w:val="en-US" w:eastAsia="zh-CN"/>
        </w:rPr>
        <w:t xml:space="preserve">         中标（成交）采购标的制造商是否为残疾人福利性单位：</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1879DA13">
      <w:pPr>
        <w:numPr>
          <w:ilvl w:val="0"/>
          <w:numId w:val="0"/>
        </w:numPr>
        <w:snapToGrid w:val="0"/>
        <w:spacing w:beforeLines="0" w:line="400" w:lineRule="exact"/>
        <w:ind w:firstLine="0" w:firstLineChars="0"/>
        <w:rPr>
          <w:rFonts w:hint="default"/>
          <w:highlight w:val="none"/>
          <w:lang w:val="en-US" w:eastAsia="zh-CN"/>
        </w:rPr>
      </w:pPr>
      <w:r>
        <w:rPr>
          <w:rFonts w:hint="eastAsia"/>
          <w:highlight w:val="none"/>
          <w:lang w:val="en-US" w:eastAsia="zh-CN"/>
        </w:rPr>
        <w:t xml:space="preserve">         中标（成交）采购标的制造商是否为监狱企业：</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577D8CD3">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default" w:ascii="宋体" w:hAnsi="宋体"/>
          <w:szCs w:val="21"/>
          <w:highlight w:val="none"/>
          <w:lang w:val="en" w:eastAsia="zh-CN"/>
        </w:rPr>
        <w:t>7</w:t>
      </w:r>
      <w:r>
        <w:rPr>
          <w:rFonts w:hint="eastAsia" w:ascii="宋体" w:hAnsi="宋体"/>
          <w:szCs w:val="21"/>
          <w:highlight w:val="none"/>
        </w:rPr>
        <w:t>）合同是否分包：</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76407C92">
      <w:pPr>
        <w:adjustRightInd w:val="0"/>
        <w:snapToGrid w:val="0"/>
        <w:spacing w:before="0" w:beforeLines="0" w:line="400" w:lineRule="exact"/>
        <w:ind w:firstLine="840" w:firstLineChars="400"/>
        <w:rPr>
          <w:rFonts w:hint="eastAsia" w:ascii="宋体" w:hAnsi="宋体"/>
          <w:szCs w:val="21"/>
          <w:highlight w:val="none"/>
          <w:u w:val="single"/>
        </w:rPr>
      </w:pPr>
      <w:r>
        <w:rPr>
          <w:rFonts w:hint="eastAsia" w:ascii="宋体" w:hAnsi="宋体"/>
          <w:szCs w:val="21"/>
          <w:highlight w:val="none"/>
          <w:lang w:val="en-US" w:eastAsia="zh-CN"/>
        </w:rPr>
        <w:t xml:space="preserve"> </w:t>
      </w:r>
      <w:r>
        <w:rPr>
          <w:rFonts w:hint="eastAsia" w:ascii="宋体" w:hAnsi="宋体"/>
          <w:szCs w:val="21"/>
          <w:highlight w:val="none"/>
        </w:rPr>
        <w:t>分包主要内容：</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01431931">
      <w:pPr>
        <w:adjustRightInd w:val="0"/>
        <w:snapToGrid w:val="0"/>
        <w:spacing w:before="0" w:beforeLines="0" w:line="400" w:lineRule="exact"/>
        <w:ind w:firstLine="840" w:firstLineChars="400"/>
        <w:rPr>
          <w:rFonts w:hint="eastAsia" w:ascii="宋体" w:hAnsi="宋体"/>
          <w:szCs w:val="21"/>
          <w:highlight w:val="none"/>
        </w:rPr>
      </w:pPr>
      <w:r>
        <w:rPr>
          <w:rFonts w:hint="eastAsia" w:ascii="宋体" w:hAnsi="宋体"/>
          <w:szCs w:val="21"/>
          <w:highlight w:val="none"/>
          <w:u w:val="none"/>
          <w:lang w:val="en-US" w:eastAsia="zh-CN"/>
        </w:rPr>
        <w:t xml:space="preserve"> </w:t>
      </w:r>
      <w:r>
        <w:rPr>
          <w:rFonts w:hint="eastAsia" w:ascii="宋体" w:hAnsi="宋体"/>
          <w:szCs w:val="21"/>
          <w:highlight w:val="none"/>
        </w:rPr>
        <w:t>分包供应商</w:t>
      </w:r>
      <w:r>
        <w:rPr>
          <w:rFonts w:hint="eastAsia" w:ascii="宋体" w:hAnsi="宋体"/>
          <w:szCs w:val="21"/>
          <w:highlight w:val="none"/>
          <w:lang w:eastAsia="zh-CN"/>
        </w:rPr>
        <w:t>/制造商</w:t>
      </w:r>
      <w:r>
        <w:rPr>
          <w:rFonts w:hint="eastAsia" w:ascii="宋体" w:hAnsi="宋体"/>
          <w:szCs w:val="21"/>
          <w:highlight w:val="none"/>
        </w:rPr>
        <w:t>名称</w:t>
      </w:r>
      <w:r>
        <w:rPr>
          <w:rFonts w:hint="eastAsia" w:ascii="宋体" w:hAnsi="宋体"/>
          <w:szCs w:val="21"/>
          <w:highlight w:val="none"/>
          <w:lang w:eastAsia="zh-CN"/>
        </w:rPr>
        <w:t>（如供应商和制造商不同，请分别填写）</w:t>
      </w:r>
      <w:r>
        <w:rPr>
          <w:rFonts w:hint="eastAsia" w:ascii="宋体" w:hAnsi="宋体"/>
          <w:szCs w:val="21"/>
          <w:highlight w:val="none"/>
        </w:rPr>
        <w:t>：</w:t>
      </w:r>
    </w:p>
    <w:p w14:paraId="46FCD059">
      <w:pPr>
        <w:adjustRightInd w:val="0"/>
        <w:snapToGrid w:val="0"/>
        <w:spacing w:before="0" w:beforeLines="0" w:line="400" w:lineRule="exact"/>
        <w:ind w:firstLine="840" w:firstLineChars="400"/>
        <w:rPr>
          <w:rFonts w:ascii="宋体" w:hAnsi="宋体"/>
          <w:szCs w:val="21"/>
          <w:highlight w:val="none"/>
          <w:u w:val="single"/>
        </w:rPr>
      </w:pPr>
      <w:r>
        <w:rPr>
          <w:rFonts w:hint="eastAsia" w:ascii="宋体" w:hAnsi="宋体"/>
          <w:szCs w:val="21"/>
          <w:highlight w:val="none"/>
          <w:u w:val="non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p>
    <w:p w14:paraId="575E25E0">
      <w:pPr>
        <w:adjustRightInd w:val="0"/>
        <w:snapToGrid w:val="0"/>
        <w:spacing w:before="0" w:beforeLines="0" w:line="400" w:lineRule="exact"/>
        <w:ind w:firstLine="840" w:firstLineChars="400"/>
        <w:rPr>
          <w:rFonts w:hint="eastAsia"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rPr>
        <w:t>分包供应商</w:t>
      </w:r>
      <w:r>
        <w:rPr>
          <w:rFonts w:hint="eastAsia" w:ascii="宋体" w:hAnsi="宋体"/>
          <w:szCs w:val="21"/>
          <w:highlight w:val="none"/>
          <w:lang w:val="en-US" w:eastAsia="zh-CN"/>
        </w:rPr>
        <w:t>/</w:t>
      </w:r>
      <w:r>
        <w:rPr>
          <w:rFonts w:hint="eastAsia" w:ascii="宋体" w:hAnsi="宋体"/>
          <w:szCs w:val="21"/>
          <w:highlight w:val="none"/>
          <w:lang w:eastAsia="zh-CN"/>
        </w:rPr>
        <w:t>制造商</w:t>
      </w:r>
      <w:r>
        <w:rPr>
          <w:rFonts w:hint="eastAsia" w:ascii="宋体" w:hAnsi="宋体"/>
          <w:szCs w:val="21"/>
          <w:highlight w:val="none"/>
        </w:rPr>
        <w:t>类型</w:t>
      </w:r>
      <w:r>
        <w:rPr>
          <w:rFonts w:hint="eastAsia" w:ascii="宋体" w:hAnsi="宋体"/>
          <w:szCs w:val="21"/>
          <w:highlight w:val="none"/>
          <w:lang w:eastAsia="zh-CN"/>
        </w:rPr>
        <w:t>（如果供应商和制造商不同，只填写制造商类型）</w:t>
      </w:r>
      <w:r>
        <w:rPr>
          <w:rFonts w:hint="eastAsia" w:ascii="宋体" w:hAnsi="宋体"/>
          <w:szCs w:val="21"/>
          <w:highlight w:val="none"/>
        </w:rPr>
        <w:t>：</w:t>
      </w:r>
    </w:p>
    <w:p w14:paraId="21782C77">
      <w:pPr>
        <w:adjustRightInd w:val="0"/>
        <w:snapToGrid w:val="0"/>
        <w:spacing w:beforeLines="0" w:line="400" w:lineRule="exact"/>
        <w:ind w:firstLine="840" w:firstLineChars="40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rPr>
        <w:t xml:space="preserve">大型企业  </w:t>
      </w:r>
      <w:r>
        <w:rPr>
          <w:rFonts w:hint="eastAsia" w:ascii="宋体" w:hAnsi="宋体"/>
          <w:iCs/>
          <w:szCs w:val="21"/>
          <w:highlight w:val="none"/>
        </w:rPr>
        <w:sym w:font="Wingdings" w:char="00A8"/>
      </w:r>
      <w:r>
        <w:rPr>
          <w:rFonts w:hint="eastAsia" w:ascii="宋体" w:hAnsi="宋体"/>
          <w:iCs/>
          <w:szCs w:val="21"/>
          <w:highlight w:val="none"/>
        </w:rPr>
        <w:t xml:space="preserve">中型企业  </w:t>
      </w:r>
      <w:r>
        <w:rPr>
          <w:rFonts w:hint="eastAsia" w:ascii="宋体" w:hAnsi="宋体"/>
          <w:iCs/>
          <w:szCs w:val="21"/>
          <w:highlight w:val="none"/>
        </w:rPr>
        <w:sym w:font="Wingdings" w:char="00A8"/>
      </w:r>
      <w:r>
        <w:rPr>
          <w:rFonts w:hint="eastAsia" w:ascii="宋体" w:hAnsi="宋体"/>
          <w:iCs/>
          <w:szCs w:val="21"/>
          <w:highlight w:val="none"/>
        </w:rPr>
        <w:t>小微型企业</w:t>
      </w:r>
      <w:r>
        <w:rPr>
          <w:rFonts w:hint="eastAsia" w:ascii="宋体" w:hAnsi="宋体"/>
          <w:iCs/>
          <w:szCs w:val="21"/>
          <w:highlight w:val="none"/>
          <w:lang w:val="en-US" w:eastAsia="zh-CN"/>
        </w:rPr>
        <w:t xml:space="preserve">  </w:t>
      </w:r>
    </w:p>
    <w:p w14:paraId="180655A2">
      <w:pPr>
        <w:adjustRightInd w:val="0"/>
        <w:snapToGrid w:val="0"/>
        <w:spacing w:beforeLines="0" w:line="400" w:lineRule="exact"/>
        <w:ind w:firstLine="840" w:firstLineChars="400"/>
        <w:rPr>
          <w:rFonts w:hint="default" w:eastAsia="华文楷体"/>
          <w:highlight w:val="none"/>
          <w:u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残疾人福利性单位</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监狱</w:t>
      </w:r>
      <w:r>
        <w:rPr>
          <w:rFonts w:hint="eastAsia" w:ascii="宋体" w:hAnsi="宋体"/>
          <w:iCs/>
          <w:szCs w:val="21"/>
          <w:highlight w:val="none"/>
        </w:rPr>
        <w:t>企业</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其他</w:t>
      </w:r>
    </w:p>
    <w:p w14:paraId="55FBE1B0">
      <w:pPr>
        <w:numPr>
          <w:ilvl w:val="-1"/>
          <w:numId w:val="0"/>
        </w:numPr>
        <w:adjustRightInd w:val="0"/>
        <w:snapToGrid w:val="0"/>
        <w:spacing w:before="0" w:beforeLines="0" w:line="400" w:lineRule="exact"/>
        <w:ind w:left="0" w:leftChars="0" w:firstLine="0" w:firstLineChars="0"/>
        <w:rPr>
          <w:rFonts w:hint="eastAsia" w:ascii="宋体" w:hAnsi="宋体" w:cs="宋体"/>
          <w:iCs/>
          <w:szCs w:val="21"/>
          <w:highlight w:val="none"/>
        </w:rPr>
      </w:pPr>
      <w:r>
        <w:rPr>
          <w:rFonts w:hint="eastAsia" w:ascii="宋体" w:hAnsi="宋体"/>
          <w:szCs w:val="21"/>
          <w:highlight w:val="none"/>
          <w:u w:val="none"/>
          <w:lang w:val="en-US" w:eastAsia="zh-CN"/>
        </w:rPr>
        <w:t xml:space="preserve">    </w:t>
      </w:r>
      <w:r>
        <w:rPr>
          <w:rFonts w:hint="eastAsia" w:ascii="宋体" w:hAnsi="宋体" w:cs="宋体"/>
          <w:szCs w:val="21"/>
          <w:highlight w:val="none"/>
          <w:u w:val="none"/>
          <w:lang w:val="en-US" w:eastAsia="zh-CN"/>
        </w:rPr>
        <w:t>（</w:t>
      </w:r>
      <w:r>
        <w:rPr>
          <w:rFonts w:hint="default" w:ascii="宋体" w:hAnsi="宋体" w:cs="宋体"/>
          <w:szCs w:val="21"/>
          <w:highlight w:val="none"/>
          <w:u w:val="none"/>
          <w:lang w:val="en" w:eastAsia="zh-CN"/>
        </w:rPr>
        <w:t>8</w:t>
      </w:r>
      <w:r>
        <w:rPr>
          <w:rFonts w:hint="eastAsia" w:ascii="宋体" w:hAnsi="宋体" w:cs="宋体"/>
          <w:szCs w:val="21"/>
          <w:highlight w:val="none"/>
          <w:u w:val="none"/>
          <w:lang w:val="en-US" w:eastAsia="zh-CN"/>
        </w:rPr>
        <w:t>）中标（成交）供应商是否为外商投资企业：</w:t>
      </w:r>
      <w:r>
        <w:rPr>
          <w:rFonts w:hint="eastAsia" w:ascii="宋体" w:hAnsi="宋体" w:cs="宋体"/>
          <w:iCs/>
          <w:szCs w:val="21"/>
          <w:highlight w:val="none"/>
        </w:rPr>
        <w:sym w:font="Wingdings" w:char="00A8"/>
      </w:r>
      <w:r>
        <w:rPr>
          <w:rFonts w:hint="eastAsia" w:ascii="宋体" w:hAnsi="宋体" w:cs="宋体"/>
          <w:iCs/>
          <w:szCs w:val="21"/>
          <w:highlight w:val="none"/>
        </w:rPr>
        <w:t xml:space="preserve">是       </w:t>
      </w:r>
      <w:r>
        <w:rPr>
          <w:rFonts w:hint="eastAsia" w:ascii="宋体" w:hAnsi="宋体" w:cs="宋体"/>
          <w:iCs/>
          <w:szCs w:val="21"/>
          <w:highlight w:val="none"/>
        </w:rPr>
        <w:sym w:font="Wingdings" w:char="00A8"/>
      </w:r>
      <w:r>
        <w:rPr>
          <w:rFonts w:hint="eastAsia" w:ascii="宋体" w:hAnsi="宋体" w:cs="宋体"/>
          <w:iCs/>
          <w:szCs w:val="21"/>
          <w:highlight w:val="none"/>
        </w:rPr>
        <w:t>否</w:t>
      </w:r>
    </w:p>
    <w:p w14:paraId="42911844">
      <w:pPr>
        <w:pStyle w:val="40"/>
        <w:tabs>
          <w:tab w:val="left" w:pos="1340"/>
        </w:tabs>
        <w:spacing w:beforeLines="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none"/>
          <w:lang w:val="en-US" w:eastAsia="zh-CN"/>
        </w:rPr>
        <w:t xml:space="preserve">     外商投资企业类型：</w:t>
      </w:r>
      <w:r>
        <w:rPr>
          <w:rFonts w:hint="eastAsia" w:ascii="宋体" w:hAnsi="宋体" w:eastAsia="宋体" w:cs="宋体"/>
          <w:iCs/>
          <w:sz w:val="21"/>
          <w:szCs w:val="21"/>
          <w:highlight w:val="none"/>
        </w:rPr>
        <w:sym w:font="Wingdings" w:char="00A8"/>
      </w:r>
      <w:r>
        <w:rPr>
          <w:rFonts w:hint="eastAsia" w:ascii="宋体" w:hAnsi="宋体" w:eastAsia="宋体" w:cs="宋体"/>
          <w:sz w:val="21"/>
          <w:szCs w:val="21"/>
          <w:highlight w:val="none"/>
          <w:u w:val="none"/>
          <w:lang w:val="en-US" w:eastAsia="zh-CN"/>
        </w:rPr>
        <w:t xml:space="preserve">全部由外国投资者投资  </w:t>
      </w:r>
      <w:r>
        <w:rPr>
          <w:rFonts w:hint="eastAsia" w:ascii="宋体" w:hAnsi="宋体" w:eastAsia="宋体" w:cs="宋体"/>
          <w:iCs/>
          <w:sz w:val="21"/>
          <w:szCs w:val="21"/>
          <w:highlight w:val="none"/>
        </w:rPr>
        <w:sym w:font="Wingdings" w:char="00A8"/>
      </w:r>
      <w:r>
        <w:rPr>
          <w:rFonts w:hint="eastAsia" w:ascii="宋体" w:hAnsi="宋体" w:eastAsia="宋体" w:cs="宋体"/>
          <w:iCs/>
          <w:sz w:val="21"/>
          <w:szCs w:val="21"/>
          <w:highlight w:val="none"/>
          <w:lang w:val="en-US" w:eastAsia="zh-CN"/>
        </w:rPr>
        <w:t>部分由外国投资者投资</w:t>
      </w:r>
    </w:p>
    <w:p w14:paraId="0C3AB721">
      <w:pPr>
        <w:numPr>
          <w:ilvl w:val="-1"/>
          <w:numId w:val="0"/>
        </w:numPr>
        <w:adjustRightInd w:val="0"/>
        <w:snapToGrid w:val="0"/>
        <w:spacing w:before="0" w:beforeLines="0" w:line="400" w:lineRule="exact"/>
        <w:ind w:firstLine="420" w:firstLineChars="200"/>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w:t>
      </w:r>
      <w:r>
        <w:rPr>
          <w:rFonts w:hint="default" w:ascii="宋体" w:hAnsi="宋体" w:cs="宋体"/>
          <w:b w:val="0"/>
          <w:bCs w:val="0"/>
          <w:sz w:val="21"/>
          <w:szCs w:val="21"/>
          <w:highlight w:val="none"/>
          <w:u w:val="none"/>
          <w:lang w:val="en" w:eastAsia="zh-CN"/>
        </w:rPr>
        <w:t>9</w:t>
      </w:r>
      <w:r>
        <w:rPr>
          <w:rFonts w:hint="eastAsia" w:ascii="宋体" w:hAnsi="宋体" w:eastAsia="宋体" w:cs="宋体"/>
          <w:b w:val="0"/>
          <w:bCs w:val="0"/>
          <w:sz w:val="21"/>
          <w:szCs w:val="21"/>
          <w:highlight w:val="none"/>
          <w:u w:val="none"/>
          <w:lang w:val="en-US" w:eastAsia="zh-CN"/>
        </w:rPr>
        <w:t>）是否涉及进口产品：</w:t>
      </w:r>
    </w:p>
    <w:p w14:paraId="2023C9EE">
      <w:pPr>
        <w:numPr>
          <w:ilvl w:val="-1"/>
          <w:numId w:val="0"/>
        </w:numPr>
        <w:adjustRightInd w:val="0"/>
        <w:snapToGrid w:val="0"/>
        <w:spacing w:before="0" w:beforeLines="0" w:line="400" w:lineRule="exact"/>
        <w:ind w:firstLine="840" w:firstLineChars="400"/>
        <w:rPr>
          <w:rFonts w:hint="eastAsia" w:ascii="宋体" w:hAnsi="宋体" w:eastAsia="宋体" w:cs="宋体"/>
          <w:szCs w:val="21"/>
          <w:highlight w:val="none"/>
          <w:u w:val="single"/>
          <w:lang w:val="en-US" w:eastAsia="zh-CN"/>
        </w:rPr>
      </w:pPr>
      <w:r>
        <w:rPr>
          <w:rFonts w:hint="eastAsia" w:ascii="宋体" w:hAnsi="宋体" w:cs="宋体"/>
          <w:iCs w:val="0"/>
          <w:szCs w:val="21"/>
          <w:highlight w:val="none"/>
          <w:lang w:val="en-US" w:eastAsia="zh-CN"/>
        </w:rPr>
        <w:t xml:space="preserve"> </w:t>
      </w:r>
      <w:r>
        <w:rPr>
          <w:rFonts w:hint="eastAsia" w:ascii="宋体" w:hAnsi="宋体" w:eastAsia="宋体" w:cs="宋体"/>
          <w:iCs w:val="0"/>
          <w:szCs w:val="21"/>
          <w:highlight w:val="none"/>
        </w:rPr>
        <w:sym w:font="Wingdings" w:char="00A8"/>
      </w:r>
      <w:r>
        <w:rPr>
          <w:rFonts w:hint="eastAsia" w:ascii="宋体" w:hAnsi="宋体" w:eastAsia="宋体" w:cs="宋体"/>
          <w:iCs w:val="0"/>
          <w:szCs w:val="21"/>
          <w:highlight w:val="none"/>
        </w:rPr>
        <w:t>是</w:t>
      </w:r>
      <w:r>
        <w:rPr>
          <w:rFonts w:hint="eastAsia" w:ascii="宋体" w:hAnsi="宋体" w:eastAsia="宋体" w:cs="宋体"/>
          <w:iCs w:val="0"/>
          <w:szCs w:val="21"/>
          <w:highlight w:val="none"/>
          <w:lang w:eastAsia="zh-CN"/>
        </w:rPr>
        <w:t>，</w:t>
      </w:r>
      <w:r>
        <w:rPr>
          <w:rFonts w:hint="eastAsia" w:ascii="宋体" w:hAnsi="宋体" w:cs="宋体"/>
          <w:iCs w:val="0"/>
          <w:szCs w:val="21"/>
          <w:highlight w:val="none"/>
          <w:lang w:eastAsia="zh-CN"/>
        </w:rPr>
        <w:t>《政府采购品目分类目录》底级品目名称</w:t>
      </w:r>
      <w:r>
        <w:rPr>
          <w:rFonts w:hint="eastAsia" w:ascii="宋体" w:hAnsi="宋体" w:eastAsia="宋体" w:cs="宋体"/>
          <w:szCs w:val="21"/>
          <w:highlight w:val="none"/>
          <w:lang w:val="en-US" w:eastAsia="zh-CN"/>
        </w:rPr>
        <w:t>：</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w:t>
      </w:r>
      <w:r>
        <w:rPr>
          <w:rFonts w:hint="eastAsia" w:ascii="宋体" w:hAnsi="宋体" w:cs="宋体"/>
          <w:szCs w:val="21"/>
          <w:highlight w:val="none"/>
          <w:lang w:val="en-US" w:eastAsia="zh-CN"/>
        </w:rPr>
        <w:t>金额：</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u w:val="single"/>
          <w:lang w:val="en-US" w:eastAsia="zh-CN"/>
        </w:rPr>
        <w:t xml:space="preserve"> </w:t>
      </w:r>
    </w:p>
    <w:p w14:paraId="5EF4029D">
      <w:pPr>
        <w:numPr>
          <w:ilvl w:val="-1"/>
          <w:numId w:val="0"/>
        </w:numPr>
        <w:adjustRightInd w:val="0"/>
        <w:snapToGrid w:val="0"/>
        <w:spacing w:before="0" w:beforeLines="0" w:line="400" w:lineRule="exact"/>
        <w:ind w:firstLine="840" w:firstLineChars="400"/>
        <w:rPr>
          <w:rFonts w:hint="eastAsia" w:ascii="宋体" w:hAnsi="宋体" w:eastAsia="宋体"/>
          <w:iCs w:val="0"/>
          <w:szCs w:val="21"/>
          <w:highlight w:val="none"/>
        </w:rPr>
      </w:pPr>
      <w:r>
        <w:rPr>
          <w:rFonts w:hint="eastAsia" w:ascii="宋体" w:hAnsi="宋体" w:cs="宋体"/>
          <w:szCs w:val="21"/>
          <w:highlight w:val="none"/>
          <w:lang w:val="en-US" w:eastAsia="zh-CN"/>
        </w:rPr>
        <w:t xml:space="preserve">        国别：</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规格型号：</w:t>
      </w:r>
      <w:r>
        <w:rPr>
          <w:rFonts w:hint="eastAsia" w:ascii="宋体" w:hAnsi="宋体" w:eastAsia="宋体" w:cs="宋体"/>
          <w:szCs w:val="21"/>
          <w:highlight w:val="none"/>
          <w:u w:val="single"/>
          <w:lang w:val="en-US" w:eastAsia="zh-CN"/>
        </w:rPr>
        <w:t xml:space="preserve">        </w:t>
      </w:r>
      <w:r>
        <w:rPr>
          <w:rFonts w:hint="eastAsia" w:ascii="宋体" w:hAnsi="宋体" w:eastAsia="宋体"/>
          <w:iCs w:val="0"/>
          <w:szCs w:val="21"/>
          <w:highlight w:val="none"/>
        </w:rPr>
        <w:t xml:space="preserve">      </w:t>
      </w:r>
    </w:p>
    <w:p w14:paraId="23A2D7D3">
      <w:pPr>
        <w:adjustRightInd w:val="0"/>
        <w:snapToGrid w:val="0"/>
        <w:spacing w:before="0" w:beforeLines="0" w:line="400" w:lineRule="exact"/>
        <w:ind w:firstLine="840" w:firstLineChars="400"/>
        <w:rPr>
          <w:rFonts w:hint="eastAsia" w:ascii="宋体" w:hAnsi="宋体"/>
          <w:szCs w:val="21"/>
          <w:highlight w:val="none"/>
          <w:u w:val="none"/>
          <w:lang w:val="en-US" w:eastAsia="zh-CN"/>
        </w:rPr>
      </w:pPr>
      <w:r>
        <w:rPr>
          <w:rFonts w:hint="eastAsia" w:ascii="宋体" w:hAnsi="宋体"/>
          <w:iCs w:val="0"/>
          <w:szCs w:val="21"/>
          <w:highlight w:val="none"/>
          <w:lang w:val="en-US" w:eastAsia="zh-CN"/>
        </w:rPr>
        <w:t xml:space="preserve"> </w:t>
      </w:r>
      <w:r>
        <w:rPr>
          <w:rFonts w:hint="eastAsia" w:ascii="宋体" w:hAnsi="宋体"/>
          <w:iCs w:val="0"/>
          <w:szCs w:val="21"/>
          <w:highlight w:val="none"/>
        </w:rPr>
        <w:sym w:font="Wingdings" w:char="00A8"/>
      </w:r>
      <w:r>
        <w:rPr>
          <w:rFonts w:hint="eastAsia" w:ascii="宋体" w:hAnsi="宋体" w:eastAsia="宋体"/>
          <w:iCs w:val="0"/>
          <w:szCs w:val="21"/>
          <w:highlight w:val="none"/>
          <w:lang w:eastAsia="zh-CN"/>
        </w:rPr>
        <w:t>否</w:t>
      </w:r>
    </w:p>
    <w:p w14:paraId="58B0D112">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highlight w:val="none"/>
          <w:u w:val="none"/>
          <w:lang w:val="en-US" w:eastAsia="zh-CN"/>
        </w:rPr>
      </w:pPr>
      <w:r>
        <w:rPr>
          <w:rFonts w:hint="eastAsia" w:ascii="宋体" w:hAnsi="宋体"/>
          <w:b w:val="0"/>
          <w:bCs w:val="0"/>
          <w:sz w:val="21"/>
          <w:szCs w:val="21"/>
          <w:highlight w:val="none"/>
          <w:u w:val="none"/>
          <w:lang w:val="en-US" w:eastAsia="zh-CN"/>
        </w:rPr>
        <w:t xml:space="preserve">    （1</w:t>
      </w:r>
      <w:r>
        <w:rPr>
          <w:rFonts w:hint="default" w:ascii="宋体" w:hAnsi="宋体"/>
          <w:b w:val="0"/>
          <w:bCs w:val="0"/>
          <w:sz w:val="21"/>
          <w:szCs w:val="21"/>
          <w:highlight w:val="none"/>
          <w:u w:val="none"/>
          <w:lang w:val="en" w:eastAsia="zh-CN"/>
        </w:rPr>
        <w:t>0</w:t>
      </w:r>
      <w:r>
        <w:rPr>
          <w:rFonts w:hint="eastAsia" w:ascii="宋体" w:hAnsi="宋体"/>
          <w:b w:val="0"/>
          <w:bCs w:val="0"/>
          <w:sz w:val="21"/>
          <w:szCs w:val="21"/>
          <w:highlight w:val="none"/>
          <w:u w:val="none"/>
          <w:lang w:val="en-US" w:eastAsia="zh-CN"/>
        </w:rPr>
        <w:t>）</w:t>
      </w:r>
      <w:r>
        <w:rPr>
          <w:rFonts w:hint="eastAsia" w:ascii="宋体" w:hAnsi="宋体" w:eastAsia="宋体"/>
          <w:b w:val="0"/>
          <w:bCs w:val="0"/>
          <w:sz w:val="21"/>
          <w:szCs w:val="21"/>
          <w:highlight w:val="none"/>
          <w:u w:val="none"/>
          <w:lang w:val="en-US" w:eastAsia="zh-CN"/>
        </w:rPr>
        <w:t>是否涉及节能产品：</w:t>
      </w:r>
    </w:p>
    <w:p w14:paraId="41044C0C">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是</w:t>
      </w:r>
      <w:r>
        <w:rPr>
          <w:rFonts w:hint="eastAsia" w:ascii="宋体" w:hAnsi="宋体" w:eastAsia="宋体"/>
          <w:iCs w:val="0"/>
          <w:szCs w:val="21"/>
          <w:highlight w:val="none"/>
          <w:lang w:eastAsia="zh-CN"/>
        </w:rPr>
        <w:t>，</w:t>
      </w:r>
      <w:r>
        <w:rPr>
          <w:rFonts w:hint="eastAsia" w:ascii="宋体" w:hAnsi="宋体"/>
          <w:iCs w:val="0"/>
          <w:szCs w:val="21"/>
          <w:highlight w:val="none"/>
          <w:lang w:eastAsia="zh-CN"/>
        </w:rPr>
        <w:t>《节能产品政府采购品目清单》的底级品目名称：</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lang w:val="en-US" w:eastAsia="zh-CN"/>
        </w:rPr>
        <w:t xml:space="preserve">   </w:t>
      </w:r>
      <w:r>
        <w:rPr>
          <w:rFonts w:hint="eastAsia" w:ascii="宋体" w:hAnsi="宋体"/>
          <w:iCs/>
          <w:szCs w:val="21"/>
          <w:highlight w:val="none"/>
          <w:lang w:val="en-US" w:eastAsia="zh-CN"/>
        </w:rPr>
        <w:t xml:space="preserve">     </w:t>
      </w:r>
    </w:p>
    <w:p w14:paraId="011AD3C0">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强制采购</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优先采购</w:t>
      </w:r>
      <w:r>
        <w:rPr>
          <w:rFonts w:hint="eastAsia" w:ascii="宋体" w:hAnsi="宋体"/>
          <w:iCs/>
          <w:szCs w:val="21"/>
          <w:highlight w:val="none"/>
          <w:lang w:val="en-US" w:eastAsia="zh-CN"/>
        </w:rPr>
        <w:t xml:space="preserve">    </w:t>
      </w:r>
    </w:p>
    <w:p w14:paraId="73351B60">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szCs w:val="21"/>
          <w:highlight w:val="none"/>
        </w:rPr>
      </w:pPr>
      <w:r>
        <w:rPr>
          <w:rFonts w:hint="eastAsia" w:ascii="宋体" w:hAnsi="宋体"/>
          <w:iCs/>
          <w:szCs w:val="21"/>
          <w:highlight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否</w:t>
      </w:r>
    </w:p>
    <w:p w14:paraId="52F506D9">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highlight w:val="none"/>
          <w:u w:val="none"/>
          <w:lang w:val="en-US"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b w:val="0"/>
          <w:bCs w:val="0"/>
          <w:sz w:val="21"/>
          <w:szCs w:val="21"/>
          <w:highlight w:val="none"/>
          <w:u w:val="none"/>
          <w:lang w:val="en-US" w:eastAsia="zh-CN"/>
        </w:rPr>
        <w:t>是否涉及</w:t>
      </w:r>
      <w:r>
        <w:rPr>
          <w:rFonts w:hint="eastAsia" w:ascii="宋体" w:hAnsi="宋体"/>
          <w:b w:val="0"/>
          <w:bCs w:val="0"/>
          <w:sz w:val="21"/>
          <w:szCs w:val="21"/>
          <w:highlight w:val="none"/>
          <w:u w:val="none"/>
          <w:lang w:val="en-US" w:eastAsia="zh-CN"/>
        </w:rPr>
        <w:t>环境标志</w:t>
      </w:r>
      <w:r>
        <w:rPr>
          <w:rFonts w:hint="eastAsia" w:ascii="宋体" w:hAnsi="宋体" w:eastAsia="宋体"/>
          <w:b w:val="0"/>
          <w:bCs w:val="0"/>
          <w:sz w:val="21"/>
          <w:szCs w:val="21"/>
          <w:highlight w:val="none"/>
          <w:u w:val="none"/>
          <w:lang w:val="en-US" w:eastAsia="zh-CN"/>
        </w:rPr>
        <w:t>产品：</w:t>
      </w:r>
    </w:p>
    <w:p w14:paraId="69B34B5B">
      <w:pPr>
        <w:numPr>
          <w:ilvl w:val="-1"/>
          <w:numId w:val="0"/>
        </w:numPr>
        <w:tabs>
          <w:tab w:val="left" w:pos="740"/>
        </w:tabs>
        <w:adjustRightInd w:val="0"/>
        <w:snapToGrid w:val="0"/>
        <w:spacing w:before="0" w:beforeLines="0" w:line="400" w:lineRule="exact"/>
        <w:ind w:firstLine="0" w:firstLineChars="0"/>
        <w:rPr>
          <w:rFonts w:hint="eastAsia" w:ascii="宋体" w:hAnsi="宋体"/>
          <w:iCs w:val="0"/>
          <w:szCs w:val="21"/>
          <w:highlight w:val="none"/>
          <w:lang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是</w:t>
      </w:r>
      <w:r>
        <w:rPr>
          <w:rFonts w:hint="eastAsia" w:ascii="宋体" w:hAnsi="宋体" w:eastAsia="宋体"/>
          <w:iCs w:val="0"/>
          <w:szCs w:val="21"/>
          <w:highlight w:val="none"/>
          <w:lang w:eastAsia="zh-CN"/>
        </w:rPr>
        <w:t>，</w:t>
      </w:r>
      <w:r>
        <w:rPr>
          <w:rFonts w:hint="eastAsia" w:ascii="宋体" w:hAnsi="宋体"/>
          <w:iCs w:val="0"/>
          <w:szCs w:val="21"/>
          <w:highlight w:val="none"/>
          <w:lang w:eastAsia="zh-CN"/>
        </w:rPr>
        <w:t>《环境标志产品政府采购品目清单》的底级品目名称：</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lang w:val="en-US" w:eastAsia="zh-CN"/>
        </w:rPr>
        <w:t xml:space="preserve">   </w:t>
      </w:r>
      <w:r>
        <w:rPr>
          <w:rFonts w:hint="eastAsia" w:ascii="宋体" w:hAnsi="宋体"/>
          <w:iCs/>
          <w:szCs w:val="21"/>
          <w:highlight w:val="none"/>
          <w:lang w:val="en-US" w:eastAsia="zh-CN"/>
        </w:rPr>
        <w:t xml:space="preserve"> </w:t>
      </w:r>
    </w:p>
    <w:p w14:paraId="6A4C6D9A">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强制采购</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优先采购</w:t>
      </w:r>
      <w:r>
        <w:rPr>
          <w:rFonts w:hint="eastAsia" w:ascii="宋体" w:hAnsi="宋体"/>
          <w:iCs/>
          <w:szCs w:val="21"/>
          <w:highlight w:val="none"/>
          <w:lang w:val="en-US" w:eastAsia="zh-CN"/>
        </w:rPr>
        <w:t xml:space="preserve">    </w:t>
      </w:r>
    </w:p>
    <w:p w14:paraId="6E2248AE">
      <w:pPr>
        <w:numPr>
          <w:ilvl w:val="-1"/>
          <w:numId w:val="0"/>
        </w:numPr>
        <w:tabs>
          <w:tab w:val="left" w:pos="740"/>
        </w:tabs>
        <w:adjustRightInd w:val="0"/>
        <w:snapToGrid w:val="0"/>
        <w:spacing w:before="0" w:beforeLines="0" w:line="400" w:lineRule="exact"/>
        <w:ind w:firstLine="0" w:firstLineChars="0"/>
        <w:rPr>
          <w:rFonts w:hint="eastAsia" w:ascii="宋体" w:hAnsi="宋体"/>
          <w:b w:val="0"/>
          <w:bCs w:val="0"/>
          <w:sz w:val="21"/>
          <w:szCs w:val="21"/>
          <w:highlight w:val="none"/>
          <w:u w:val="none"/>
          <w:lang w:val="en-US" w:eastAsia="zh-CN"/>
        </w:rPr>
      </w:pPr>
      <w:r>
        <w:rPr>
          <w:rFonts w:hint="eastAsia" w:ascii="宋体" w:hAnsi="宋体"/>
          <w:iCs/>
          <w:szCs w:val="21"/>
          <w:highlight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否</w:t>
      </w:r>
    </w:p>
    <w:p w14:paraId="5F75C7AA">
      <w:pPr>
        <w:pStyle w:val="40"/>
        <w:numPr>
          <w:ilvl w:val="-1"/>
          <w:numId w:val="0"/>
        </w:numPr>
        <w:adjustRightInd w:val="0"/>
        <w:snapToGrid w:val="0"/>
        <w:spacing w:before="0" w:beforeLines="0" w:line="400" w:lineRule="exact"/>
        <w:ind w:firstLine="0" w:firstLineChars="0"/>
        <w:rPr>
          <w:rFonts w:hint="eastAsia" w:ascii="宋体" w:hAnsi="宋体" w:eastAsia="宋体" w:cs="Times New Roman"/>
          <w:iCs w:val="0"/>
          <w:kern w:val="2"/>
          <w:sz w:val="21"/>
          <w:szCs w:val="21"/>
          <w:highlight w:val="none"/>
          <w:u w:val="none"/>
          <w:lang w:val="en-US" w:eastAsia="zh-CN"/>
        </w:rPr>
      </w:pPr>
      <w:r>
        <w:rPr>
          <w:rFonts w:hint="eastAsia" w:ascii="宋体" w:hAnsi="宋体"/>
          <w:b w:val="0"/>
          <w:bCs w:val="0"/>
          <w:sz w:val="21"/>
          <w:szCs w:val="21"/>
          <w:highlight w:val="none"/>
          <w:u w:val="none"/>
          <w:lang w:val="en-US" w:eastAsia="zh-CN"/>
        </w:rPr>
        <w:t xml:space="preserve">          </w:t>
      </w:r>
      <w:r>
        <w:rPr>
          <w:rFonts w:hint="eastAsia" w:ascii="宋体" w:hAnsi="宋体" w:eastAsia="宋体" w:cs="Times New Roman"/>
          <w:b w:val="0"/>
          <w:bCs w:val="0"/>
          <w:kern w:val="2"/>
          <w:sz w:val="21"/>
          <w:szCs w:val="21"/>
          <w:highlight w:val="none"/>
          <w:u w:val="none"/>
          <w:lang w:val="en-US" w:eastAsia="zh-CN"/>
        </w:rPr>
        <w:t>是否涉及绿色产品：</w:t>
      </w:r>
      <w:r>
        <w:rPr>
          <w:rFonts w:hint="eastAsia" w:ascii="宋体" w:hAnsi="宋体" w:eastAsia="宋体" w:cs="Times New Roman"/>
          <w:iCs w:val="0"/>
          <w:kern w:val="2"/>
          <w:sz w:val="21"/>
          <w:szCs w:val="21"/>
          <w:highlight w:val="none"/>
          <w:u w:val="none"/>
          <w:lang w:val="en-US" w:eastAsia="zh-CN"/>
        </w:rPr>
        <w:t xml:space="preserve"> </w:t>
      </w:r>
    </w:p>
    <w:p w14:paraId="1ED35ACF">
      <w:pPr>
        <w:pStyle w:val="40"/>
        <w:spacing w:beforeLines="0"/>
        <w:ind w:firstLine="420" w:firstLineChars="0"/>
        <w:rPr>
          <w:rFonts w:hint="eastAsia" w:ascii="宋体" w:hAnsi="宋体" w:eastAsia="宋体"/>
          <w:szCs w:val="21"/>
          <w:highlight w:val="none"/>
          <w:u w:val="single"/>
          <w:lang w:val="en-US" w:eastAsia="zh-CN"/>
        </w:rPr>
      </w:pPr>
      <w:r>
        <w:rPr>
          <w:rFonts w:hint="eastAsia" w:ascii="宋体" w:hAnsi="宋体" w:eastAsia="宋体" w:cs="Times New Roman"/>
          <w:iCs w:val="0"/>
          <w:kern w:val="2"/>
          <w:sz w:val="21"/>
          <w:szCs w:val="21"/>
          <w:highlight w:val="none"/>
          <w:u w:val="none"/>
          <w:lang w:val="en-US" w:eastAsia="zh-CN"/>
        </w:rPr>
        <w:t xml:space="preserve">     </w:t>
      </w:r>
      <w:r>
        <w:rPr>
          <w:rFonts w:hint="eastAsia" w:ascii="宋体" w:hAnsi="宋体" w:eastAsia="宋体" w:cs="Times New Roman"/>
          <w:iCs w:val="0"/>
          <w:kern w:val="2"/>
          <w:sz w:val="21"/>
          <w:szCs w:val="21"/>
          <w:highlight w:val="none"/>
          <w:u w:val="none"/>
        </w:rPr>
        <w:sym w:font="Wingdings" w:char="00A8"/>
      </w:r>
      <w:r>
        <w:rPr>
          <w:rFonts w:hint="eastAsia" w:ascii="宋体" w:hAnsi="宋体" w:eastAsia="宋体" w:cs="Times New Roman"/>
          <w:iCs w:val="0"/>
          <w:kern w:val="2"/>
          <w:sz w:val="21"/>
          <w:szCs w:val="21"/>
          <w:highlight w:val="none"/>
          <w:u w:val="none"/>
        </w:rPr>
        <w:t>是</w:t>
      </w:r>
      <w:r>
        <w:rPr>
          <w:rFonts w:hint="eastAsia" w:ascii="宋体" w:hAnsi="宋体" w:eastAsia="宋体" w:cs="Times New Roman"/>
          <w:iCs w:val="0"/>
          <w:kern w:val="2"/>
          <w:sz w:val="21"/>
          <w:szCs w:val="21"/>
          <w:highlight w:val="none"/>
          <w:u w:val="none"/>
          <w:lang w:eastAsia="zh-CN"/>
        </w:rPr>
        <w:t>，绿色产品政府采购相关政策确定的底级品目名称：</w:t>
      </w:r>
      <w:r>
        <w:rPr>
          <w:rFonts w:hint="eastAsia" w:ascii="宋体" w:hAnsi="宋体" w:eastAsia="宋体"/>
          <w:szCs w:val="21"/>
          <w:highlight w:val="none"/>
          <w:u w:val="single"/>
          <w:lang w:val="en-US" w:eastAsia="zh-CN"/>
        </w:rPr>
        <w:t xml:space="preserve">         </w:t>
      </w:r>
    </w:p>
    <w:p w14:paraId="5355A0F1">
      <w:pPr>
        <w:numPr>
          <w:ilvl w:val="-1"/>
          <w:numId w:val="0"/>
        </w:numPr>
        <w:tabs>
          <w:tab w:val="left" w:pos="740"/>
        </w:tabs>
        <w:adjustRightInd w:val="0"/>
        <w:snapToGrid w:val="0"/>
        <w:spacing w:before="0" w:beforeLines="0" w:line="400" w:lineRule="exact"/>
        <w:ind w:firstLine="0" w:firstLineChars="0"/>
        <w:rPr>
          <w:rFonts w:hint="eastAsia" w:ascii="宋体" w:hAnsi="宋体"/>
          <w:iCs/>
          <w:szCs w:val="21"/>
          <w:highlight w:val="none"/>
          <w:lang w:val="en-US"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强制采购</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优先采购</w:t>
      </w:r>
      <w:r>
        <w:rPr>
          <w:rFonts w:hint="eastAsia" w:ascii="宋体" w:hAnsi="宋体"/>
          <w:iCs/>
          <w:szCs w:val="21"/>
          <w:highlight w:val="none"/>
          <w:lang w:val="en-US" w:eastAsia="zh-CN"/>
        </w:rPr>
        <w:t xml:space="preserve">    </w:t>
      </w:r>
    </w:p>
    <w:p w14:paraId="00EC0763">
      <w:pPr>
        <w:pStyle w:val="40"/>
        <w:spacing w:beforeLines="0"/>
        <w:ind w:firstLine="420" w:firstLineChars="0"/>
        <w:rPr>
          <w:rFonts w:hint="eastAsia" w:ascii="宋体" w:hAnsi="宋体"/>
          <w:b w:val="0"/>
          <w:bCs w:val="0"/>
          <w:sz w:val="21"/>
          <w:szCs w:val="21"/>
          <w:highlight w:val="none"/>
          <w:u w:val="none"/>
          <w:lang w:val="en-US" w:eastAsia="zh-CN"/>
        </w:rPr>
      </w:pPr>
      <w:r>
        <w:rPr>
          <w:rFonts w:hint="eastAsia" w:ascii="宋体" w:hAnsi="宋体" w:eastAsia="宋体" w:cs="Times New Roman"/>
          <w:iCs w:val="0"/>
          <w:kern w:val="2"/>
          <w:sz w:val="21"/>
          <w:szCs w:val="21"/>
          <w:highlight w:val="none"/>
          <w:u w:val="none"/>
          <w:lang w:val="en-US" w:eastAsia="zh-CN"/>
        </w:rPr>
        <w:t xml:space="preserve">     </w:t>
      </w:r>
      <w:r>
        <w:rPr>
          <w:rFonts w:hint="eastAsia" w:ascii="宋体" w:hAnsi="宋体" w:eastAsia="宋体" w:cs="Times New Roman"/>
          <w:iCs w:val="0"/>
          <w:kern w:val="2"/>
          <w:sz w:val="21"/>
          <w:szCs w:val="21"/>
          <w:highlight w:val="none"/>
          <w:u w:val="none"/>
        </w:rPr>
        <w:sym w:font="Wingdings" w:char="00A8"/>
      </w:r>
      <w:r>
        <w:rPr>
          <w:rFonts w:hint="eastAsia" w:ascii="宋体" w:hAnsi="宋体" w:eastAsia="宋体" w:cs="Times New Roman"/>
          <w:iCs w:val="0"/>
          <w:kern w:val="2"/>
          <w:sz w:val="21"/>
          <w:szCs w:val="21"/>
          <w:highlight w:val="none"/>
          <w:u w:val="none"/>
        </w:rPr>
        <w:t>否</w:t>
      </w:r>
    </w:p>
    <w:p w14:paraId="67EB6618">
      <w:pPr>
        <w:numPr>
          <w:ilvl w:val="-1"/>
          <w:numId w:val="0"/>
        </w:numPr>
        <w:adjustRightInd w:val="0"/>
        <w:snapToGrid w:val="0"/>
        <w:spacing w:before="0" w:beforeLines="0" w:line="400" w:lineRule="exact"/>
        <w:ind w:firstLine="0" w:firstLineChars="0"/>
        <w:rPr>
          <w:rFonts w:hint="eastAsia" w:ascii="宋体" w:hAnsi="宋体" w:eastAsia="宋体"/>
          <w:szCs w:val="21"/>
          <w:highlight w:val="none"/>
          <w:lang w:val="en-US" w:eastAsia="zh-CN"/>
        </w:rPr>
      </w:pPr>
      <w:r>
        <w:rPr>
          <w:rFonts w:hint="eastAsia" w:ascii="宋体" w:hAnsi="宋体"/>
          <w:szCs w:val="21"/>
          <w:highlight w:val="none"/>
          <w:lang w:val="en-US" w:eastAsia="zh-CN"/>
        </w:rPr>
        <w:t xml:space="preserve">    （1</w:t>
      </w:r>
      <w:r>
        <w:rPr>
          <w:rFonts w:hint="default" w:ascii="宋体" w:hAnsi="宋体"/>
          <w:szCs w:val="21"/>
          <w:highlight w:val="none"/>
          <w:lang w:val="en" w:eastAsia="zh-CN"/>
        </w:rPr>
        <w:t>1</w:t>
      </w:r>
      <w:r>
        <w:rPr>
          <w:rFonts w:hint="eastAsia" w:ascii="宋体" w:hAnsi="宋体"/>
          <w:szCs w:val="21"/>
          <w:highlight w:val="none"/>
          <w:lang w:val="en-US" w:eastAsia="zh-CN"/>
        </w:rPr>
        <w:t>）</w:t>
      </w:r>
      <w:r>
        <w:rPr>
          <w:rFonts w:hint="eastAsia" w:ascii="宋体" w:hAnsi="宋体" w:eastAsia="宋体"/>
          <w:szCs w:val="21"/>
          <w:highlight w:val="none"/>
          <w:lang w:val="en-US" w:eastAsia="zh-CN"/>
        </w:rPr>
        <w:t>涉及商品包装和快递包装的，是否参考</w:t>
      </w:r>
      <w:r>
        <w:rPr>
          <w:rFonts w:hint="eastAsia" w:ascii="宋体" w:hAnsi="宋体"/>
          <w:szCs w:val="21"/>
          <w:highlight w:val="none"/>
        </w:rPr>
        <w:t>《商品包装政府采购需求标准（试行）》、《快递包装政府采购需求标准（试行）》</w:t>
      </w:r>
      <w:r>
        <w:rPr>
          <w:rFonts w:hint="eastAsia" w:ascii="宋体" w:hAnsi="宋体" w:eastAsia="宋体"/>
          <w:szCs w:val="21"/>
          <w:highlight w:val="none"/>
          <w:lang w:eastAsia="zh-CN"/>
        </w:rPr>
        <w:t>明确产品及相关快递服务的具体包装要求：</w:t>
      </w:r>
    </w:p>
    <w:p w14:paraId="25B8508A">
      <w:pPr>
        <w:numPr>
          <w:ilvl w:val="-1"/>
          <w:numId w:val="0"/>
        </w:numPr>
        <w:adjustRightInd w:val="0"/>
        <w:snapToGrid w:val="0"/>
        <w:spacing w:before="0" w:beforeLines="0" w:line="400" w:lineRule="exact"/>
        <w:ind w:firstLine="840" w:firstLineChars="400"/>
        <w:rPr>
          <w:rFonts w:hint="eastAsia" w:ascii="宋体" w:hAnsi="宋体" w:eastAsia="宋体"/>
          <w:iCs w:val="0"/>
          <w:szCs w:val="21"/>
          <w:highlight w:val="none"/>
          <w:lang w:val="en-US" w:eastAsia="zh-CN"/>
        </w:rPr>
      </w:pPr>
      <w:r>
        <w:rPr>
          <w:rFonts w:hint="eastAsia" w:ascii="宋体" w:hAnsi="宋体" w:eastAsia="宋体"/>
          <w:iCs w:val="0"/>
          <w:szCs w:val="21"/>
          <w:highlight w:val="none"/>
        </w:rPr>
        <w:sym w:font="Wingdings" w:char="00A8"/>
      </w:r>
      <w:r>
        <w:rPr>
          <w:rFonts w:hint="eastAsia" w:ascii="宋体" w:hAnsi="宋体" w:eastAsia="宋体"/>
          <w:iCs w:val="0"/>
          <w:szCs w:val="21"/>
          <w:highlight w:val="none"/>
        </w:rPr>
        <w:t xml:space="preserve">是       </w:t>
      </w:r>
      <w:r>
        <w:rPr>
          <w:rFonts w:hint="eastAsia" w:ascii="宋体" w:hAnsi="宋体" w:eastAsia="宋体"/>
          <w:iCs w:val="0"/>
          <w:szCs w:val="21"/>
          <w:highlight w:val="none"/>
        </w:rPr>
        <w:sym w:font="Wingdings" w:char="00A8"/>
      </w:r>
      <w:r>
        <w:rPr>
          <w:rFonts w:hint="eastAsia" w:ascii="宋体" w:hAnsi="宋体" w:eastAsia="宋体"/>
          <w:iCs w:val="0"/>
          <w:szCs w:val="21"/>
          <w:highlight w:val="none"/>
        </w:rPr>
        <w:t>否</w:t>
      </w:r>
      <w:r>
        <w:rPr>
          <w:rFonts w:hint="eastAsia" w:ascii="宋体" w:hAnsi="宋体" w:eastAsia="宋体"/>
          <w:iCs w:val="0"/>
          <w:szCs w:val="21"/>
          <w:highlight w:val="none"/>
          <w:lang w:val="en-US" w:eastAsia="zh-CN"/>
        </w:rPr>
        <w:t xml:space="preserve">      </w:t>
      </w:r>
      <w:r>
        <w:rPr>
          <w:rFonts w:hint="eastAsia" w:ascii="宋体" w:hAnsi="宋体" w:eastAsia="宋体"/>
          <w:iCs w:val="0"/>
          <w:szCs w:val="21"/>
          <w:highlight w:val="none"/>
        </w:rPr>
        <w:sym w:font="Wingdings" w:char="00A8"/>
      </w:r>
      <w:r>
        <w:rPr>
          <w:rFonts w:hint="eastAsia" w:ascii="宋体" w:hAnsi="宋体" w:eastAsia="宋体"/>
          <w:iCs w:val="0"/>
          <w:szCs w:val="21"/>
          <w:highlight w:val="none"/>
          <w:lang w:eastAsia="zh-CN"/>
        </w:rPr>
        <w:t>不涉及</w:t>
      </w:r>
    </w:p>
    <w:p w14:paraId="702234BE">
      <w:pPr>
        <w:numPr>
          <w:ilvl w:val="0"/>
          <w:numId w:val="5"/>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合同金额</w:t>
      </w:r>
    </w:p>
    <w:p w14:paraId="720E7CF1">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（1）合同金额小写：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0C828CF1">
      <w:pPr>
        <w:adjustRightInd w:val="0"/>
        <w:snapToGrid w:val="0"/>
        <w:spacing w:before="0" w:beforeLines="0" w:line="400" w:lineRule="exact"/>
        <w:ind w:left="0" w:firstLine="0" w:firstLineChars="0"/>
        <w:rPr>
          <w:rFonts w:ascii="宋体" w:hAnsi="宋体"/>
          <w:szCs w:val="21"/>
          <w:highlight w:val="none"/>
          <w:u w:val="single"/>
        </w:rPr>
      </w:pPr>
      <w:r>
        <w:rPr>
          <w:rFonts w:hint="eastAsia" w:ascii="宋体" w:hAnsi="宋体"/>
          <w:szCs w:val="21"/>
          <w:highlight w:val="none"/>
          <w:lang w:val="en-US" w:eastAsia="zh-CN"/>
        </w:rPr>
        <w:t xml:space="preserve">                 </w:t>
      </w: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0BF3E317">
      <w:pPr>
        <w:adjustRightInd w:val="0"/>
        <w:snapToGrid w:val="0"/>
        <w:spacing w:before="0" w:beforeLines="0" w:line="400" w:lineRule="exact"/>
        <w:ind w:firstLine="0" w:firstLineChars="0"/>
        <w:rPr>
          <w:rFonts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rPr>
        <w:t>分包金额</w:t>
      </w:r>
      <w:r>
        <w:rPr>
          <w:rFonts w:hint="eastAsia" w:ascii="宋体" w:hAnsi="宋体"/>
          <w:szCs w:val="21"/>
          <w:highlight w:val="none"/>
          <w:lang w:eastAsia="zh-CN"/>
        </w:rPr>
        <w:t>（如有）</w:t>
      </w:r>
      <w:r>
        <w:rPr>
          <w:rFonts w:hint="eastAsia" w:ascii="宋体" w:hAnsi="宋体"/>
          <w:szCs w:val="21"/>
          <w:highlight w:val="none"/>
        </w:rPr>
        <w:t>小写：</w:t>
      </w:r>
      <w:r>
        <w:rPr>
          <w:rFonts w:hint="eastAsia" w:ascii="宋体" w:hAnsi="宋体"/>
          <w:szCs w:val="21"/>
          <w:highlight w:val="none"/>
          <w:u w:val="single"/>
        </w:rPr>
        <w:t xml:space="preserve">                   </w:t>
      </w:r>
    </w:p>
    <w:p w14:paraId="58185F57">
      <w:pPr>
        <w:adjustRightInd w:val="0"/>
        <w:snapToGrid w:val="0"/>
        <w:spacing w:before="0" w:beforeLines="0" w:line="400" w:lineRule="exact"/>
        <w:ind w:firstLine="0" w:firstLineChars="0"/>
        <w:rPr>
          <w:rFonts w:hint="eastAsia" w:ascii="宋体" w:hAnsi="宋体"/>
          <w:szCs w:val="21"/>
          <w:highlight w:val="none"/>
          <w:u w:val="single"/>
        </w:rPr>
      </w:pPr>
      <w:r>
        <w:rPr>
          <w:rFonts w:hint="eastAsia" w:ascii="宋体" w:hAnsi="宋体"/>
          <w:szCs w:val="21"/>
          <w:highlight w:val="none"/>
          <w:lang w:val="en-US" w:eastAsia="zh-CN"/>
        </w:rPr>
        <w:t xml:space="preserve">                     </w:t>
      </w: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1DE9F093">
      <w:pPr>
        <w:adjustRightInd w:val="0"/>
        <w:snapToGrid w:val="0"/>
        <w:spacing w:before="0" w:beforeLines="0" w:line="400" w:lineRule="exact"/>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 xml:space="preserve">    （注：固定单价合同应填写单价和最高限价）</w:t>
      </w:r>
    </w:p>
    <w:p w14:paraId="63BFE106">
      <w:pPr>
        <w:numPr>
          <w:ilvl w:val="-1"/>
          <w:numId w:val="0"/>
        </w:numPr>
        <w:adjustRightInd w:val="0"/>
        <w:snapToGrid w:val="0"/>
        <w:spacing w:before="0" w:beforeLines="0" w:line="400" w:lineRule="exact"/>
        <w:ind w:firstLine="0" w:firstLineChars="0"/>
        <w:rPr>
          <w:rFonts w:hint="eastAsia"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w:t>
      </w:r>
      <w:r>
        <w:rPr>
          <w:rFonts w:hint="eastAsia" w:ascii="宋体" w:hAnsi="宋体"/>
          <w:szCs w:val="21"/>
          <w:highlight w:val="none"/>
        </w:rPr>
        <w:t>合同定价方式</w:t>
      </w:r>
      <w:r>
        <w:rPr>
          <w:rFonts w:hint="eastAsia" w:ascii="宋体" w:hAnsi="宋体"/>
          <w:szCs w:val="21"/>
          <w:highlight w:val="none"/>
          <w:lang w:eastAsia="zh-CN"/>
        </w:rPr>
        <w:t>（采用组合定价方式的，可以勾选多项）</w:t>
      </w:r>
      <w:r>
        <w:rPr>
          <w:rFonts w:hint="eastAsia" w:ascii="宋体" w:hAnsi="宋体"/>
          <w:szCs w:val="21"/>
          <w:highlight w:val="none"/>
        </w:rPr>
        <w:t>：</w:t>
      </w:r>
    </w:p>
    <w:p w14:paraId="6E997109">
      <w:pPr>
        <w:adjustRightInd w:val="0"/>
        <w:snapToGrid w:val="0"/>
        <w:spacing w:before="0" w:beforeLines="0" w:line="400" w:lineRule="exact"/>
        <w:ind w:firstLine="420" w:firstLineChars="200"/>
        <w:rPr>
          <w:rFonts w:hint="eastAsia" w:ascii="宋体" w:hAnsi="宋体" w:eastAsia="宋体"/>
          <w:szCs w:val="21"/>
          <w:highlight w:val="none"/>
          <w:lang w:eastAsia="zh-CN"/>
        </w:rPr>
      </w:pP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rPr>
        <w:t xml:space="preserve">固定总价 </w:t>
      </w:r>
      <w:r>
        <w:rPr>
          <w:rFonts w:hint="eastAsia" w:ascii="宋体" w:hAnsi="宋体"/>
          <w:iCs/>
          <w:szCs w:val="21"/>
          <w:highlight w:val="none"/>
        </w:rPr>
        <w:sym w:font="Wingdings" w:char="00A8"/>
      </w:r>
      <w:r>
        <w:rPr>
          <w:rFonts w:hint="eastAsia" w:ascii="宋体" w:hAnsi="宋体"/>
          <w:iCs/>
          <w:szCs w:val="21"/>
          <w:highlight w:val="none"/>
        </w:rPr>
        <w:t>固定单价</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固定费率</w:t>
      </w:r>
      <w:r>
        <w:rPr>
          <w:rFonts w:hint="eastAsia" w:ascii="宋体" w:hAnsi="宋体"/>
          <w:iCs/>
          <w:szCs w:val="21"/>
          <w:highlight w:val="none"/>
        </w:rPr>
        <w:t xml:space="preserve"> </w:t>
      </w:r>
      <w:r>
        <w:rPr>
          <w:rFonts w:hint="eastAsia" w:ascii="宋体" w:hAnsi="宋体"/>
          <w:iCs/>
          <w:szCs w:val="21"/>
          <w:highlight w:val="none"/>
        </w:rPr>
        <w:sym w:font="Wingdings" w:char="00A8"/>
      </w:r>
      <w:r>
        <w:rPr>
          <w:rFonts w:hint="eastAsia" w:ascii="宋体" w:hAnsi="宋体"/>
          <w:iCs/>
          <w:szCs w:val="21"/>
          <w:highlight w:val="none"/>
        </w:rPr>
        <w:t xml:space="preserve">成本补偿 </w:t>
      </w:r>
      <w:r>
        <w:rPr>
          <w:rFonts w:hint="eastAsia" w:ascii="宋体" w:hAnsi="宋体"/>
          <w:iCs/>
          <w:szCs w:val="21"/>
          <w:highlight w:val="none"/>
        </w:rPr>
        <w:sym w:font="Wingdings" w:char="00A8"/>
      </w:r>
      <w:r>
        <w:rPr>
          <w:rFonts w:hint="eastAsia" w:ascii="宋体" w:hAnsi="宋体"/>
          <w:iCs/>
          <w:szCs w:val="21"/>
          <w:highlight w:val="none"/>
        </w:rPr>
        <w:t>绩效激励</w:t>
      </w:r>
      <w:r>
        <w:rPr>
          <w:rFonts w:hint="eastAsia" w:ascii="宋体" w:hAnsi="宋体"/>
          <w:iCs/>
          <w:szCs w:val="21"/>
          <w:highlight w:val="none"/>
          <w:lang w:val="en-US" w:eastAsia="zh-CN"/>
        </w:rPr>
        <w:t xml:space="preserve"> </w:t>
      </w:r>
      <w:r>
        <w:rPr>
          <w:rFonts w:hint="eastAsia" w:ascii="宋体" w:hAnsi="宋体"/>
          <w:iCs/>
          <w:szCs w:val="21"/>
          <w:highlight w:val="none"/>
        </w:rPr>
        <w:sym w:font="Wingdings" w:char="00A8"/>
      </w:r>
      <w:r>
        <w:rPr>
          <w:rFonts w:hint="eastAsia" w:ascii="宋体" w:hAnsi="宋体"/>
          <w:iCs/>
          <w:szCs w:val="21"/>
          <w:highlight w:val="none"/>
          <w:lang w:eastAsia="zh-CN"/>
        </w:rPr>
        <w:t>其他</w:t>
      </w:r>
      <w:r>
        <w:rPr>
          <w:rFonts w:hint="eastAsia" w:ascii="宋体" w:hAnsi="宋体"/>
          <w:szCs w:val="21"/>
          <w:highlight w:val="none"/>
          <w:u w:val="single"/>
        </w:rPr>
        <w:t xml:space="preserve">       </w:t>
      </w:r>
    </w:p>
    <w:p w14:paraId="611C4D3E">
      <w:pPr>
        <w:pStyle w:val="308"/>
        <w:spacing w:beforeLines="0" w:line="400" w:lineRule="exact"/>
        <w:rPr>
          <w:highlight w:val="none"/>
        </w:rPr>
      </w:pP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）付款方式（按项目实际勾选填写）：</w:t>
      </w:r>
    </w:p>
    <w:p w14:paraId="31E1D976">
      <w:pPr>
        <w:adjustRightInd w:val="0"/>
        <w:snapToGrid w:val="0"/>
        <w:spacing w:before="0" w:beforeLines="0" w:line="400" w:lineRule="exact"/>
        <w:ind w:firstLine="630" w:firstLineChars="300"/>
        <w:rPr>
          <w:rFonts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全额付款：</w:t>
      </w:r>
      <w:r>
        <w:rPr>
          <w:rFonts w:hint="eastAsia" w:ascii="宋体" w:hAnsi="宋体"/>
          <w:szCs w:val="21"/>
          <w:highlight w:val="none"/>
          <w:u w:val="single"/>
        </w:rPr>
        <w:t xml:space="preserve">     （应</w:t>
      </w:r>
      <w:r>
        <w:rPr>
          <w:rFonts w:hint="eastAsia" w:ascii="宋体" w:hAnsi="宋体"/>
          <w:szCs w:val="21"/>
          <w:highlight w:val="none"/>
          <w:u w:val="single"/>
          <w:lang w:eastAsia="zh-CN"/>
        </w:rPr>
        <w:t>明确</w:t>
      </w:r>
      <w:r>
        <w:rPr>
          <w:rFonts w:hint="eastAsia" w:ascii="宋体" w:hAnsi="宋体"/>
          <w:szCs w:val="21"/>
          <w:highlight w:val="none"/>
          <w:u w:val="single"/>
        </w:rPr>
        <w:t>一次性支付合同款项</w:t>
      </w:r>
      <w:r>
        <w:rPr>
          <w:rFonts w:hint="eastAsia" w:ascii="宋体" w:hAnsi="宋体"/>
          <w:szCs w:val="21"/>
          <w:highlight w:val="none"/>
          <w:u w:val="single"/>
          <w:lang w:eastAsia="zh-CN"/>
        </w:rPr>
        <w:t>的条件</w:t>
      </w:r>
      <w:r>
        <w:rPr>
          <w:rFonts w:hint="eastAsia" w:ascii="宋体" w:hAnsi="宋体"/>
          <w:szCs w:val="21"/>
          <w:highlight w:val="none"/>
          <w:u w:val="single"/>
        </w:rPr>
        <w:t xml:space="preserve">）                    </w:t>
      </w:r>
    </w:p>
    <w:p w14:paraId="47AE6EF4">
      <w:pPr>
        <w:snapToGrid w:val="0"/>
        <w:spacing w:beforeLines="0" w:line="400" w:lineRule="exact"/>
        <w:ind w:firstLine="630" w:firstLineChars="300"/>
        <w:rPr>
          <w:highlight w:val="none"/>
        </w:rPr>
      </w:pPr>
      <w:r>
        <w:rPr>
          <w:rFonts w:hint="eastAsia" w:ascii="宋体" w:hAnsi="宋体"/>
          <w:szCs w:val="21"/>
          <w:highlight w:val="none"/>
        </w:rPr>
        <w:sym w:font="Wingdings" w:char="00FE"/>
      </w:r>
      <w:r>
        <w:rPr>
          <w:rFonts w:hint="eastAsia" w:ascii="宋体" w:hAnsi="宋体"/>
          <w:szCs w:val="21"/>
          <w:highlight w:val="none"/>
        </w:rPr>
        <w:t>分期付款：</w:t>
      </w:r>
      <w:r>
        <w:rPr>
          <w:rFonts w:hint="eastAsia" w:ascii="宋体" w:hAnsi="宋体"/>
          <w:szCs w:val="21"/>
          <w:highlight w:val="none"/>
          <w:u w:val="single"/>
        </w:rPr>
        <w:t xml:space="preserve">  合同签订后</w:t>
      </w:r>
      <w:r>
        <w:rPr>
          <w:rFonts w:hint="eastAsia" w:ascii="宋体" w:hAnsi="宋体"/>
          <w:szCs w:val="21"/>
          <w:highlight w:val="none"/>
          <w:u w:val="single"/>
          <w:lang w:val="en-US" w:eastAsia="zh-CN"/>
        </w:rPr>
        <w:t>15个工作日内</w:t>
      </w:r>
      <w:r>
        <w:rPr>
          <w:rFonts w:hint="eastAsia" w:ascii="宋体" w:hAnsi="宋体"/>
          <w:szCs w:val="21"/>
          <w:highlight w:val="none"/>
          <w:u w:val="single"/>
        </w:rPr>
        <w:t>支付合同价款的30%，验收合格后</w:t>
      </w:r>
      <w:r>
        <w:rPr>
          <w:rFonts w:hint="eastAsia" w:ascii="宋体" w:hAnsi="宋体"/>
          <w:szCs w:val="21"/>
          <w:highlight w:val="none"/>
          <w:u w:val="single"/>
          <w:lang w:val="en-US" w:eastAsia="zh-CN"/>
        </w:rPr>
        <w:t>20个工作日内</w:t>
      </w:r>
      <w:r>
        <w:rPr>
          <w:rFonts w:hint="eastAsia" w:ascii="宋体" w:hAnsi="宋体"/>
          <w:szCs w:val="21"/>
          <w:highlight w:val="none"/>
          <w:u w:val="single"/>
        </w:rPr>
        <w:t xml:space="preserve">支付剩余的70%。 </w:t>
      </w:r>
      <w:r>
        <w:rPr>
          <w:rFonts w:hint="eastAsia" w:ascii="宋体" w:hAnsi="宋体"/>
          <w:szCs w:val="21"/>
          <w:highlight w:val="none"/>
          <w:u w:val="none"/>
          <w:lang w:eastAsia="zh-CN"/>
        </w:rPr>
        <w:t>，</w:t>
      </w:r>
      <w:r>
        <w:rPr>
          <w:rFonts w:hint="eastAsia" w:ascii="宋体" w:hAnsi="宋体"/>
          <w:szCs w:val="21"/>
          <w:highlight w:val="none"/>
          <w:lang w:eastAsia="zh-CN"/>
        </w:rPr>
        <w:t>其中涉及预付款的</w:t>
      </w:r>
      <w:r>
        <w:rPr>
          <w:rFonts w:hint="eastAsia" w:ascii="宋体" w:hAnsi="宋体"/>
          <w:szCs w:val="21"/>
          <w:highlight w:val="none"/>
        </w:rPr>
        <w:t>：</w:t>
      </w:r>
      <w:r>
        <w:rPr>
          <w:rFonts w:hint="eastAsia" w:ascii="宋体" w:hAnsi="宋体"/>
          <w:szCs w:val="21"/>
          <w:highlight w:val="none"/>
          <w:u w:val="single"/>
        </w:rPr>
        <w:t xml:space="preserve"> 合同签订后</w:t>
      </w:r>
      <w:r>
        <w:rPr>
          <w:rFonts w:hint="eastAsia" w:ascii="宋体" w:hAnsi="宋体"/>
          <w:szCs w:val="21"/>
          <w:highlight w:val="none"/>
          <w:u w:val="single"/>
          <w:lang w:val="en-US" w:eastAsia="zh-CN"/>
        </w:rPr>
        <w:t>15个工作日内</w:t>
      </w:r>
      <w:r>
        <w:rPr>
          <w:rFonts w:hint="eastAsia" w:ascii="宋体" w:hAnsi="宋体"/>
          <w:szCs w:val="21"/>
          <w:highlight w:val="none"/>
          <w:u w:val="single"/>
        </w:rPr>
        <w:t>支付合同价款的30%</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1D586160">
      <w:pPr>
        <w:adjustRightInd w:val="0"/>
        <w:snapToGrid w:val="0"/>
        <w:spacing w:before="0" w:beforeLines="0" w:line="400" w:lineRule="exact"/>
        <w:ind w:firstLine="630" w:firstLineChars="300"/>
        <w:rPr>
          <w:rFonts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成本补偿：</w:t>
      </w:r>
      <w:r>
        <w:rPr>
          <w:rFonts w:hint="eastAsia" w:ascii="宋体" w:hAnsi="宋体"/>
          <w:szCs w:val="21"/>
          <w:highlight w:val="none"/>
          <w:u w:val="single"/>
        </w:rPr>
        <w:t xml:space="preserve">      （应明确按照成本补偿方式的支付方式和支付条件）   </w:t>
      </w:r>
    </w:p>
    <w:p w14:paraId="1367F48C">
      <w:pPr>
        <w:adjustRightInd w:val="0"/>
        <w:snapToGrid w:val="0"/>
        <w:spacing w:before="0" w:beforeLines="0" w:line="400" w:lineRule="exact"/>
        <w:ind w:firstLine="630" w:firstLineChars="300"/>
        <w:rPr>
          <w:rFonts w:ascii="宋体" w:hAnsi="宋体"/>
          <w:szCs w:val="21"/>
          <w:highlight w:val="none"/>
        </w:rPr>
      </w:pPr>
      <w:r>
        <w:rPr>
          <w:rFonts w:hint="eastAsia" w:ascii="宋体" w:hAnsi="宋体"/>
          <w:szCs w:val="21"/>
          <w:highlight w:val="none"/>
        </w:rPr>
        <w:sym w:font="Wingdings" w:char="00A8"/>
      </w:r>
      <w:r>
        <w:rPr>
          <w:rFonts w:hint="eastAsia" w:ascii="宋体" w:hAnsi="宋体"/>
          <w:szCs w:val="21"/>
          <w:highlight w:val="none"/>
        </w:rPr>
        <w:t>绩效激励：</w:t>
      </w:r>
      <w:r>
        <w:rPr>
          <w:rFonts w:hint="eastAsia" w:ascii="宋体" w:hAnsi="宋体"/>
          <w:szCs w:val="21"/>
          <w:highlight w:val="none"/>
          <w:u w:val="single"/>
        </w:rPr>
        <w:t xml:space="preserve">      （应明确按照绩效激励方式的支付方式和支付条件）   </w:t>
      </w:r>
    </w:p>
    <w:p w14:paraId="2A0969B0">
      <w:pPr>
        <w:numPr>
          <w:ilvl w:val="0"/>
          <w:numId w:val="5"/>
        </w:numPr>
        <w:adjustRightInd w:val="0"/>
        <w:snapToGrid w:val="0"/>
        <w:spacing w:before="0" w:beforeLines="0" w:line="400" w:lineRule="exact"/>
        <w:ind w:firstLine="422" w:firstLineChars="200"/>
        <w:rPr>
          <w:rFonts w:ascii="宋体" w:hAnsi="宋体"/>
          <w:b/>
          <w:bCs w:val="0"/>
          <w:szCs w:val="21"/>
          <w:highlight w:val="none"/>
          <w:u w:val="single"/>
        </w:rPr>
      </w:pPr>
      <w:r>
        <w:rPr>
          <w:rFonts w:hint="eastAsia" w:ascii="宋体" w:hAnsi="宋体"/>
          <w:b/>
          <w:bCs w:val="0"/>
          <w:szCs w:val="21"/>
          <w:highlight w:val="none"/>
        </w:rPr>
        <w:t>合同履行</w:t>
      </w:r>
    </w:p>
    <w:p w14:paraId="51142264">
      <w:pPr>
        <w:adjustRightInd w:val="0"/>
        <w:snapToGrid w:val="0"/>
        <w:spacing w:before="0" w:beforeLines="0" w:line="400" w:lineRule="exact"/>
        <w:ind w:firstLine="420" w:firstLineChars="200"/>
        <w:rPr>
          <w:rFonts w:hint="eastAsia" w:ascii="宋体" w:hAnsi="宋体" w:cs="宋体"/>
          <w:szCs w:val="21"/>
          <w:highlight w:val="none"/>
        </w:rPr>
      </w:pPr>
      <w:r>
        <w:rPr>
          <w:rFonts w:hint="eastAsia" w:ascii="宋体" w:hAnsi="宋体" w:cs="宋体"/>
          <w:szCs w:val="21"/>
          <w:highlight w:val="none"/>
        </w:rPr>
        <w:t>（1）起始日期：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日，完成日期：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3EB9341B">
      <w:pPr>
        <w:adjustRightInd w:val="0"/>
        <w:snapToGrid w:val="0"/>
        <w:spacing w:before="0" w:beforeLines="0" w:line="400" w:lineRule="exact"/>
        <w:ind w:firstLine="420" w:firstLineChars="200"/>
        <w:rPr>
          <w:rFonts w:hint="eastAsia" w:ascii="宋体" w:hAnsi="宋体" w:cs="宋体"/>
          <w:szCs w:val="21"/>
          <w:highlight w:val="none"/>
          <w:u w:val="single"/>
        </w:rPr>
      </w:pPr>
      <w:r>
        <w:rPr>
          <w:rFonts w:hint="eastAsia" w:ascii="宋体" w:hAnsi="宋体" w:cs="宋体"/>
          <w:szCs w:val="21"/>
          <w:highlight w:val="none"/>
        </w:rPr>
        <w:t>（2）</w:t>
      </w:r>
      <w:r>
        <w:rPr>
          <w:rFonts w:hint="eastAsia" w:ascii="宋体" w:hAnsi="宋体" w:cs="宋体"/>
          <w:szCs w:val="21"/>
          <w:highlight w:val="none"/>
          <w:lang w:eastAsia="zh-CN"/>
        </w:rPr>
        <w:t>履约</w:t>
      </w:r>
      <w:r>
        <w:rPr>
          <w:rFonts w:hint="eastAsia" w:ascii="宋体" w:hAnsi="宋体" w:cs="宋体"/>
          <w:szCs w:val="21"/>
          <w:highlight w:val="none"/>
        </w:rPr>
        <w:t>地点</w:t>
      </w:r>
      <w:r>
        <w:rPr>
          <w:rFonts w:hint="eastAsia" w:ascii="宋体" w:hAnsi="宋体" w:cs="宋体"/>
          <w:b w:val="0"/>
          <w:bCs/>
          <w:szCs w:val="21"/>
          <w:highlight w:val="none"/>
        </w:rPr>
        <w:t>：</w:t>
      </w:r>
      <w:r>
        <w:rPr>
          <w:rFonts w:hint="eastAsia" w:ascii="宋体" w:hAnsi="宋体" w:cs="宋体"/>
          <w:szCs w:val="21"/>
          <w:highlight w:val="none"/>
          <w:u w:val="single"/>
        </w:rPr>
        <w:t xml:space="preserve">                             </w:t>
      </w:r>
    </w:p>
    <w:p w14:paraId="1DA4FC43">
      <w:pPr>
        <w:adjustRightInd w:val="0"/>
        <w:snapToGrid w:val="0"/>
        <w:spacing w:before="0" w:beforeLines="0" w:line="400" w:lineRule="exact"/>
        <w:ind w:firstLine="420" w:firstLineChars="200"/>
        <w:rPr>
          <w:rFonts w:hint="eastAsia" w:ascii="宋体" w:hAnsi="宋体" w:eastAsia="宋体" w:cs="宋体"/>
          <w:sz w:val="21"/>
          <w:szCs w:val="21"/>
          <w:highlight w:val="none"/>
          <w:lang w:eastAsia="zh-CN"/>
        </w:rPr>
      </w:pPr>
      <w:r>
        <w:rPr>
          <w:rFonts w:hint="eastAsia" w:ascii="宋体" w:hAnsi="宋体" w:cs="宋体"/>
          <w:bCs/>
          <w:szCs w:val="21"/>
          <w:highlight w:val="none"/>
        </w:rPr>
        <w:t>（3）履约担保：</w:t>
      </w:r>
      <w:r>
        <w:rPr>
          <w:rFonts w:hint="eastAsia" w:ascii="宋体" w:hAnsi="宋体" w:eastAsia="宋体" w:cs="宋体"/>
          <w:sz w:val="21"/>
          <w:highlight w:val="none"/>
          <w:lang w:val="en-US" w:eastAsia="zh-CN"/>
        </w:rPr>
        <w:t>是否收取履约保证金：</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是</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否</w:t>
      </w:r>
    </w:p>
    <w:p w14:paraId="3253304E">
      <w:pPr>
        <w:pStyle w:val="40"/>
        <w:spacing w:beforeLines="0"/>
        <w:rPr>
          <w:rFonts w:hint="eastAsia" w:ascii="宋体" w:hAnsi="宋体" w:eastAsia="宋体" w:cs="宋体"/>
          <w:sz w:val="21"/>
          <w:highlight w:val="none"/>
          <w:lang w:val="en-US" w:eastAsia="zh-CN"/>
        </w:rPr>
      </w:pPr>
      <w:r>
        <w:rPr>
          <w:rFonts w:hint="eastAsia" w:ascii="宋体" w:hAnsi="宋体" w:cs="宋体"/>
          <w:bCs/>
          <w:szCs w:val="21"/>
          <w:highlight w:val="none"/>
          <w:u w:val="none"/>
          <w:lang w:val="en-US" w:eastAsia="zh-CN"/>
        </w:rPr>
        <w:t xml:space="preserve">  </w:t>
      </w:r>
      <w:r>
        <w:rPr>
          <w:rFonts w:hint="eastAsia" w:ascii="宋体" w:hAnsi="宋体" w:eastAsia="宋体" w:cs="宋体"/>
          <w:sz w:val="21"/>
          <w:highlight w:val="none"/>
          <w:lang w:val="en-US" w:eastAsia="zh-CN"/>
        </w:rPr>
        <w:t xml:space="preserve">  收取履约保证金形式：</w:t>
      </w:r>
      <w:r>
        <w:rPr>
          <w:rFonts w:hint="eastAsia" w:ascii="宋体" w:hAnsi="宋体" w:eastAsia="宋体" w:cs="宋体"/>
          <w:bCs/>
          <w:sz w:val="21"/>
          <w:szCs w:val="21"/>
          <w:highlight w:val="none"/>
          <w:u w:val="single"/>
        </w:rPr>
        <w:t xml:space="preserve">                            </w:t>
      </w:r>
    </w:p>
    <w:p w14:paraId="5DCA125E">
      <w:pPr>
        <w:pStyle w:val="40"/>
        <w:spacing w:beforeLines="0"/>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 xml:space="preserve">    收取履约保证金金额：</w:t>
      </w:r>
      <w:r>
        <w:rPr>
          <w:rFonts w:hint="eastAsia" w:ascii="宋体" w:hAnsi="宋体" w:eastAsia="宋体" w:cs="宋体"/>
          <w:bCs/>
          <w:sz w:val="21"/>
          <w:szCs w:val="21"/>
          <w:highlight w:val="none"/>
          <w:u w:val="single"/>
        </w:rPr>
        <w:t xml:space="preserve">                            </w:t>
      </w:r>
    </w:p>
    <w:p w14:paraId="3FEA3632">
      <w:pPr>
        <w:snapToGrid w:val="0"/>
        <w:spacing w:beforeLines="0" w:line="400" w:lineRule="exact"/>
        <w:ind w:firstLine="420" w:firstLineChars="200"/>
        <w:rPr>
          <w:rFonts w:hint="eastAsia" w:ascii="宋体" w:hAnsi="宋体" w:eastAsia="宋体" w:cs="宋体"/>
          <w:sz w:val="21"/>
          <w:highlight w:val="none"/>
          <w:lang w:val="en-US" w:eastAsia="zh-CN"/>
        </w:rPr>
      </w:pPr>
      <w:r>
        <w:rPr>
          <w:rFonts w:hint="eastAsia" w:ascii="宋体" w:hAnsi="宋体" w:cs="宋体"/>
          <w:bCs/>
          <w:szCs w:val="21"/>
          <w:highlight w:val="none"/>
          <w:u w:val="none"/>
          <w:lang w:val="en-US" w:eastAsia="zh-CN"/>
        </w:rPr>
        <w:t xml:space="preserve">    履约担保期限</w:t>
      </w:r>
      <w:r>
        <w:rPr>
          <w:rFonts w:hint="eastAsia" w:ascii="宋体" w:hAnsi="宋体" w:cs="宋体"/>
          <w:bCs/>
          <w:szCs w:val="21"/>
          <w:highlight w:val="none"/>
          <w:u w:val="none"/>
          <w:lang w:eastAsia="zh-CN"/>
        </w:rPr>
        <w:t>：</w:t>
      </w:r>
      <w:r>
        <w:rPr>
          <w:rFonts w:hint="eastAsia" w:ascii="宋体" w:hAnsi="宋体" w:eastAsia="宋体" w:cs="宋体"/>
          <w:bCs/>
          <w:sz w:val="21"/>
          <w:szCs w:val="21"/>
          <w:highlight w:val="none"/>
          <w:u w:val="single"/>
        </w:rPr>
        <w:t xml:space="preserve">      </w:t>
      </w:r>
      <w:r>
        <w:rPr>
          <w:rFonts w:hint="eastAsia" w:ascii="宋体" w:hAnsi="宋体"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2861AE64">
      <w:pPr>
        <w:adjustRightInd w:val="0"/>
        <w:snapToGrid w:val="0"/>
        <w:spacing w:before="0" w:beforeLines="0" w:line="400" w:lineRule="exact"/>
        <w:ind w:firstLine="420" w:firstLineChars="200"/>
        <w:rPr>
          <w:rFonts w:hint="eastAsia" w:ascii="宋体" w:hAnsi="宋体" w:cs="宋体"/>
          <w:bCs/>
          <w:szCs w:val="21"/>
          <w:highlight w:val="none"/>
        </w:rPr>
      </w:pPr>
      <w:r>
        <w:rPr>
          <w:rFonts w:hint="eastAsia" w:ascii="宋体" w:hAnsi="宋体" w:cs="宋体"/>
          <w:bCs/>
          <w:szCs w:val="21"/>
          <w:highlight w:val="none"/>
        </w:rPr>
        <w:t>（4）分期履行要求：</w:t>
      </w:r>
      <w:r>
        <w:rPr>
          <w:rFonts w:hint="eastAsia" w:ascii="宋体" w:hAnsi="宋体" w:cs="宋体"/>
          <w:bCs/>
          <w:szCs w:val="21"/>
          <w:highlight w:val="none"/>
          <w:u w:val="single"/>
        </w:rPr>
        <w:t xml:space="preserve">                                                   </w:t>
      </w:r>
      <w:r>
        <w:rPr>
          <w:rFonts w:hint="eastAsia" w:ascii="宋体" w:hAnsi="宋体" w:cs="宋体"/>
          <w:bCs/>
          <w:szCs w:val="21"/>
          <w:highlight w:val="none"/>
          <w:u w:val="single"/>
          <w:lang w:val="en-US" w:eastAsia="zh-CN"/>
        </w:rPr>
        <w:t xml:space="preserve">    </w:t>
      </w:r>
      <w:r>
        <w:rPr>
          <w:rFonts w:hint="eastAsia" w:ascii="宋体" w:hAnsi="宋体" w:cs="宋体"/>
          <w:bCs/>
          <w:szCs w:val="21"/>
          <w:highlight w:val="none"/>
          <w:u w:val="single"/>
        </w:rPr>
        <w:t xml:space="preserve"> </w:t>
      </w:r>
    </w:p>
    <w:p w14:paraId="2A41647C">
      <w:pPr>
        <w:adjustRightInd w:val="0"/>
        <w:snapToGrid w:val="0"/>
        <w:spacing w:before="0" w:beforeLines="0" w:line="400" w:lineRule="exact"/>
        <w:ind w:firstLine="420" w:firstLineChars="200"/>
        <w:rPr>
          <w:rFonts w:hint="eastAsia" w:ascii="宋体" w:hAnsi="宋体" w:cs="宋体"/>
          <w:szCs w:val="21"/>
          <w:highlight w:val="none"/>
          <w:u w:val="single"/>
        </w:rPr>
      </w:pPr>
      <w:r>
        <w:rPr>
          <w:rFonts w:hint="eastAsia" w:ascii="宋体" w:hAnsi="宋体" w:cs="宋体"/>
          <w:bCs/>
          <w:szCs w:val="21"/>
          <w:highlight w:val="none"/>
        </w:rPr>
        <w:t>（5）</w:t>
      </w:r>
      <w:r>
        <w:rPr>
          <w:rFonts w:hint="eastAsia" w:ascii="宋体" w:hAnsi="宋体" w:cs="宋体"/>
          <w:bCs/>
          <w:szCs w:val="21"/>
          <w:highlight w:val="none"/>
          <w:lang w:eastAsia="zh-CN"/>
        </w:rPr>
        <w:t>风险处置措施和替代方案</w:t>
      </w:r>
      <w:r>
        <w:rPr>
          <w:rFonts w:hint="eastAsia" w:ascii="宋体" w:hAnsi="宋体" w:cs="宋体"/>
          <w:bCs/>
          <w:szCs w:val="21"/>
          <w:highlight w:val="none"/>
        </w:rPr>
        <w:t>：</w:t>
      </w:r>
      <w:r>
        <w:rPr>
          <w:rFonts w:hint="eastAsia" w:ascii="宋体" w:hAnsi="宋体" w:cs="宋体"/>
          <w:color w:val="0000FF"/>
          <w:szCs w:val="21"/>
          <w:highlight w:val="none"/>
          <w:u w:val="single"/>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szCs w:val="21"/>
          <w:highlight w:val="none"/>
          <w:u w:val="single"/>
        </w:rPr>
        <w:t xml:space="preserve">                                                </w:t>
      </w:r>
    </w:p>
    <w:p w14:paraId="4AE2DB00">
      <w:pPr>
        <w:numPr>
          <w:ilvl w:val="0"/>
          <w:numId w:val="5"/>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合同验收</w:t>
      </w:r>
    </w:p>
    <w:p w14:paraId="4FA46834">
      <w:pPr>
        <w:numPr>
          <w:ilvl w:val="0"/>
          <w:numId w:val="7"/>
        </w:num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bCs/>
          <w:szCs w:val="21"/>
          <w:highlight w:val="none"/>
        </w:rPr>
        <w:t>验收组织方式：</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bCs/>
          <w:szCs w:val="21"/>
          <w:highlight w:val="none"/>
        </w:rPr>
        <w:t>委托第三方组织</w:t>
      </w:r>
    </w:p>
    <w:p w14:paraId="6614D35B">
      <w:pPr>
        <w:numPr>
          <w:ilvl w:val="0"/>
          <w:numId w:val="0"/>
        </w:numPr>
        <w:adjustRightInd w:val="0"/>
        <w:snapToGrid w:val="0"/>
        <w:spacing w:before="0" w:beforeLines="0" w:line="400" w:lineRule="exact"/>
        <w:rPr>
          <w:rFonts w:ascii="宋体" w:hAnsi="宋体"/>
          <w:bCs/>
          <w:szCs w:val="21"/>
          <w:highlight w:val="none"/>
        </w:rPr>
      </w:pPr>
      <w:r>
        <w:rPr>
          <w:rFonts w:hint="eastAsia" w:ascii="宋体" w:hAnsi="宋体"/>
          <w:bCs/>
          <w:szCs w:val="21"/>
          <w:highlight w:val="none"/>
          <w:lang w:val="en-US" w:eastAsia="zh-CN"/>
        </w:rPr>
        <w:t xml:space="preserve">         </w:t>
      </w:r>
      <w:r>
        <w:rPr>
          <w:rFonts w:hint="eastAsia" w:ascii="宋体" w:hAnsi="宋体"/>
          <w:bCs/>
          <w:szCs w:val="21"/>
          <w:highlight w:val="none"/>
        </w:rPr>
        <w:t>验收主体：</w:t>
      </w:r>
      <w:r>
        <w:rPr>
          <w:rFonts w:hint="eastAsia" w:ascii="宋体" w:hAnsi="宋体"/>
          <w:bCs/>
          <w:szCs w:val="21"/>
          <w:highlight w:val="none"/>
          <w:u w:val="single"/>
        </w:rPr>
        <w:t xml:space="preserve">                  </w:t>
      </w:r>
    </w:p>
    <w:p w14:paraId="14DE3B63">
      <w:pPr>
        <w:adjustRightInd w:val="0"/>
        <w:snapToGrid w:val="0"/>
        <w:spacing w:before="0" w:beforeLines="0" w:line="400" w:lineRule="exact"/>
        <w:ind w:firstLine="0" w:firstLineChars="0"/>
        <w:rPr>
          <w:rFonts w:ascii="宋体" w:hAnsi="宋体"/>
          <w:bCs/>
          <w:szCs w:val="21"/>
          <w:highlight w:val="none"/>
        </w:rPr>
      </w:pPr>
      <w:r>
        <w:rPr>
          <w:rFonts w:hint="eastAsia" w:ascii="宋体" w:hAnsi="宋体"/>
          <w:bCs/>
          <w:szCs w:val="21"/>
          <w:highlight w:val="none"/>
          <w:lang w:val="en-US" w:eastAsia="zh-CN"/>
        </w:rPr>
        <w:t xml:space="preserve">        </w:t>
      </w:r>
      <w:r>
        <w:rPr>
          <w:rFonts w:hint="eastAsia" w:ascii="宋体" w:hAnsi="宋体"/>
          <w:bCs/>
          <w:szCs w:val="21"/>
          <w:highlight w:val="none"/>
        </w:rPr>
        <w:t>是否邀请本项目的其他供应商</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69921F6E">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是否邀请专家</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0F64993A">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是否邀请服务对象</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2E7753B6">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是否邀请第三方检测机构</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1DEE77D7">
      <w:pPr>
        <w:adjustRightInd w:val="0"/>
        <w:snapToGrid w:val="0"/>
        <w:spacing w:before="0" w:beforeLines="0" w:line="400" w:lineRule="exact"/>
        <w:ind w:firstLine="840" w:firstLineChars="400"/>
        <w:rPr>
          <w:rFonts w:hint="eastAsia" w:ascii="宋体" w:hAnsi="宋体"/>
          <w:bCs/>
          <w:szCs w:val="21"/>
          <w:highlight w:val="none"/>
        </w:rPr>
      </w:pPr>
      <w:r>
        <w:rPr>
          <w:rFonts w:hint="eastAsia" w:ascii="宋体" w:hAnsi="宋体"/>
          <w:bCs/>
          <w:szCs w:val="21"/>
          <w:highlight w:val="none"/>
          <w:lang w:eastAsia="zh-CN"/>
        </w:rPr>
        <w:t>是否进行抽查检测：</w:t>
      </w:r>
      <w:r>
        <w:rPr>
          <w:rFonts w:hint="eastAsia" w:ascii="宋体" w:hAnsi="宋体" w:eastAsia="宋体" w:cs="宋体"/>
          <w:sz w:val="21"/>
          <w:szCs w:val="21"/>
          <w:highlight w:val="none"/>
        </w:rPr>
        <w:sym w:font="Wingdings" w:char="00A8"/>
      </w:r>
      <w:r>
        <w:rPr>
          <w:rFonts w:hint="eastAsia" w:ascii="宋体" w:hAnsi="宋体"/>
          <w:bCs/>
          <w:szCs w:val="21"/>
          <w:highlight w:val="none"/>
        </w:rPr>
        <w:t>是</w:t>
      </w:r>
      <w:r>
        <w:rPr>
          <w:rFonts w:hint="eastAsia" w:ascii="宋体" w:hAnsi="宋体"/>
          <w:bCs/>
          <w:szCs w:val="21"/>
          <w:highlight w:val="none"/>
          <w:lang w:eastAsia="zh-CN"/>
        </w:rPr>
        <w:t>，抽查比例：</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 xml:space="preserve">     </w:t>
      </w:r>
      <w:r>
        <w:rPr>
          <w:rFonts w:hint="eastAsia" w:ascii="宋体" w:hAnsi="宋体"/>
          <w:bCs/>
          <w:szCs w:val="21"/>
          <w:highlight w:val="none"/>
        </w:rPr>
        <w:t xml:space="preserve">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6A8B6315">
      <w:pPr>
        <w:adjustRightInd w:val="0"/>
        <w:snapToGrid w:val="0"/>
        <w:spacing w:before="0" w:beforeLines="0" w:line="400" w:lineRule="exact"/>
        <w:ind w:firstLine="840" w:firstLineChars="400"/>
        <w:rPr>
          <w:rFonts w:hint="eastAsia" w:ascii="宋体" w:hAnsi="宋体" w:eastAsia="宋体"/>
          <w:bCs/>
          <w:szCs w:val="21"/>
          <w:highlight w:val="none"/>
          <w:u w:val="single"/>
          <w:lang w:eastAsia="zh-CN"/>
        </w:rPr>
      </w:pPr>
      <w:r>
        <w:rPr>
          <w:rFonts w:hint="eastAsia" w:ascii="宋体" w:hAnsi="宋体" w:eastAsia="宋体"/>
          <w:bCs/>
          <w:szCs w:val="21"/>
          <w:highlight w:val="none"/>
          <w:lang w:val="en-US" w:eastAsia="zh-CN"/>
        </w:rPr>
        <w:t>是否存在破坏性检测：</w:t>
      </w:r>
      <w:r>
        <w:rPr>
          <w:rFonts w:hint="eastAsia" w:ascii="宋体" w:hAnsi="宋体" w:eastAsia="宋体" w:cs="宋体"/>
          <w:sz w:val="21"/>
          <w:szCs w:val="21"/>
          <w:highlight w:val="none"/>
        </w:rPr>
        <w:sym w:font="Wingdings" w:char="00A8"/>
      </w:r>
      <w:r>
        <w:rPr>
          <w:rFonts w:hint="eastAsia" w:ascii="宋体" w:hAnsi="宋体" w:eastAsia="宋体"/>
          <w:bCs/>
          <w:szCs w:val="21"/>
          <w:highlight w:val="none"/>
        </w:rPr>
        <w:t>是</w:t>
      </w:r>
      <w:r>
        <w:rPr>
          <w:rFonts w:hint="eastAsia" w:ascii="宋体" w:hAnsi="宋体" w:eastAsia="宋体"/>
          <w:bCs/>
          <w:szCs w:val="21"/>
          <w:highlight w:val="none"/>
          <w:lang w:eastAsia="zh-CN"/>
        </w:rPr>
        <w:t>，</w:t>
      </w:r>
      <w:r>
        <w:rPr>
          <w:rFonts w:hint="eastAsia" w:ascii="宋体" w:hAnsi="宋体" w:eastAsia="宋体"/>
          <w:bCs/>
          <w:szCs w:val="21"/>
          <w:highlight w:val="none"/>
          <w:u w:val="single"/>
          <w:lang w:eastAsia="zh-CN"/>
        </w:rPr>
        <w:t>（应明确对被破坏的检测产品的处理方式）</w:t>
      </w:r>
    </w:p>
    <w:p w14:paraId="783268B4">
      <w:pPr>
        <w:adjustRightInd w:val="0"/>
        <w:snapToGrid w:val="0"/>
        <w:spacing w:before="0" w:beforeLines="0" w:line="400" w:lineRule="exact"/>
        <w:ind w:firstLine="840" w:firstLineChars="400"/>
        <w:rPr>
          <w:rFonts w:hint="eastAsia" w:ascii="宋体" w:hAnsi="宋体" w:eastAsia="宋体"/>
          <w:bCs/>
          <w:szCs w:val="21"/>
          <w:highlight w:val="none"/>
          <w:lang w:eastAsia="zh-CN"/>
        </w:rPr>
      </w:pPr>
      <w:r>
        <w:rPr>
          <w:rFonts w:hint="eastAsia" w:ascii="宋体" w:hAnsi="宋体" w:eastAsia="宋体"/>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bCs/>
          <w:szCs w:val="21"/>
          <w:highlight w:val="none"/>
        </w:rPr>
        <w:t>否</w:t>
      </w:r>
    </w:p>
    <w:p w14:paraId="1B810FEA">
      <w:pPr>
        <w:adjustRightInd w:val="0"/>
        <w:snapToGrid w:val="0"/>
        <w:spacing w:before="0" w:beforeLines="0" w:line="400" w:lineRule="exact"/>
        <w:ind w:firstLine="840" w:firstLineChars="400"/>
        <w:rPr>
          <w:rFonts w:hint="eastAsia" w:ascii="宋体" w:hAnsi="宋体"/>
          <w:bCs/>
          <w:szCs w:val="21"/>
          <w:highlight w:val="none"/>
          <w:u w:val="single"/>
        </w:rPr>
      </w:pPr>
      <w:r>
        <w:rPr>
          <w:rFonts w:hint="eastAsia" w:ascii="宋体" w:hAnsi="宋体"/>
          <w:bCs/>
          <w:szCs w:val="21"/>
          <w:highlight w:val="none"/>
        </w:rPr>
        <w:t>验收组织的其他事项：</w:t>
      </w:r>
      <w:r>
        <w:rPr>
          <w:rFonts w:hint="eastAsia" w:ascii="宋体" w:hAnsi="宋体"/>
          <w:bCs/>
          <w:szCs w:val="21"/>
          <w:highlight w:val="none"/>
          <w:u w:val="single"/>
        </w:rPr>
        <w:t xml:space="preserve">                </w:t>
      </w:r>
    </w:p>
    <w:p w14:paraId="3B894CC8">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（2）履约验收时间：</w:t>
      </w:r>
      <w:r>
        <w:rPr>
          <w:rFonts w:hint="eastAsia" w:ascii="宋体" w:hAnsi="宋体"/>
          <w:bCs/>
          <w:szCs w:val="21"/>
          <w:highlight w:val="none"/>
          <w:u w:val="single"/>
        </w:rPr>
        <w:t>（计划于何时验收/供应商提出验收申请之日起   日内组织验收）</w:t>
      </w:r>
      <w:r>
        <w:rPr>
          <w:rFonts w:hint="eastAsia" w:ascii="宋体" w:hAnsi="宋体"/>
          <w:bCs/>
          <w:szCs w:val="21"/>
          <w:highlight w:val="none"/>
          <w:u w:val="single"/>
          <w:lang w:val="en-US" w:eastAsia="zh-CN"/>
        </w:rPr>
        <w:t xml:space="preserve"> </w:t>
      </w:r>
    </w:p>
    <w:p w14:paraId="67BF6B7B">
      <w:p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bCs/>
          <w:szCs w:val="21"/>
          <w:highlight w:val="none"/>
        </w:rPr>
        <w:t>（3）履约验收方式：</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一次性验收         </w:t>
      </w:r>
    </w:p>
    <w:p w14:paraId="4E3B0587">
      <w:pPr>
        <w:adjustRightInd w:val="0"/>
        <w:snapToGrid w:val="0"/>
        <w:spacing w:before="0" w:beforeLines="0" w:line="400" w:lineRule="exact"/>
        <w:ind w:firstLine="0" w:firstLineChars="0"/>
        <w:rPr>
          <w:rFonts w:hint="eastAsia" w:ascii="宋体" w:hAnsi="宋体" w:eastAsia="宋体"/>
          <w:bCs/>
          <w:szCs w:val="21"/>
          <w:highlight w:val="none"/>
          <w:lang w:val="en-US" w:eastAsia="zh-CN"/>
        </w:rPr>
      </w:pPr>
      <w:r>
        <w:rPr>
          <w:rFonts w:hint="eastAsia" w:ascii="宋体" w:hAnsi="宋体"/>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bCs/>
          <w:szCs w:val="21"/>
          <w:highlight w:val="none"/>
        </w:rPr>
        <w:t>分期/分项验收</w:t>
      </w:r>
      <w:r>
        <w:rPr>
          <w:rFonts w:hint="eastAsia" w:ascii="宋体" w:hAnsi="宋体"/>
          <w:bCs/>
          <w:szCs w:val="21"/>
          <w:highlight w:val="none"/>
          <w:lang w:eastAsia="zh-CN"/>
        </w:rPr>
        <w:t>：</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（应明确分期</w:t>
      </w:r>
      <w:r>
        <w:rPr>
          <w:rFonts w:hint="default" w:ascii="宋体" w:hAnsi="宋体"/>
          <w:bCs/>
          <w:szCs w:val="21"/>
          <w:highlight w:val="none"/>
          <w:u w:val="single"/>
          <w:lang w:val="en" w:eastAsia="zh-CN"/>
        </w:rPr>
        <w:t>/</w:t>
      </w:r>
      <w:r>
        <w:rPr>
          <w:rFonts w:hint="eastAsia" w:ascii="宋体" w:hAnsi="宋体"/>
          <w:bCs/>
          <w:szCs w:val="21"/>
          <w:highlight w:val="none"/>
          <w:u w:val="single"/>
          <w:lang w:val="en" w:eastAsia="zh-CN"/>
        </w:rPr>
        <w:t>分项验收的工作安排</w:t>
      </w:r>
      <w:r>
        <w:rPr>
          <w:rFonts w:hint="eastAsia" w:ascii="宋体" w:hAnsi="宋体"/>
          <w:bCs/>
          <w:szCs w:val="21"/>
          <w:highlight w:val="none"/>
          <w:u w:val="single"/>
          <w:lang w:eastAsia="zh-CN"/>
        </w:rPr>
        <w:t>）</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 xml:space="preserve"> </w:t>
      </w:r>
    </w:p>
    <w:p w14:paraId="4C18D291">
      <w:pPr>
        <w:adjustRightInd w:val="0"/>
        <w:snapToGrid w:val="0"/>
        <w:spacing w:before="0" w:beforeLines="0" w:line="400" w:lineRule="exact"/>
        <w:ind w:firstLine="420" w:firstLineChars="200"/>
        <w:rPr>
          <w:rFonts w:ascii="宋体" w:hAnsi="宋体"/>
          <w:bCs/>
          <w:szCs w:val="21"/>
          <w:highlight w:val="none"/>
        </w:rPr>
      </w:pPr>
      <w:r>
        <w:rPr>
          <w:rFonts w:hint="eastAsia" w:ascii="宋体" w:hAnsi="宋体"/>
          <w:bCs/>
          <w:szCs w:val="21"/>
          <w:highlight w:val="none"/>
        </w:rPr>
        <w:t>（4）履约验收程序：</w:t>
      </w:r>
      <w:r>
        <w:rPr>
          <w:rFonts w:hint="eastAsia" w:ascii="宋体" w:hAnsi="宋体"/>
          <w:bCs/>
          <w:szCs w:val="21"/>
          <w:highlight w:val="none"/>
          <w:u w:val="single"/>
        </w:rPr>
        <w:t xml:space="preserve">                                         </w:t>
      </w:r>
    </w:p>
    <w:p w14:paraId="41C548C8">
      <w:pPr>
        <w:adjustRightInd w:val="0"/>
        <w:snapToGrid w:val="0"/>
        <w:spacing w:before="0" w:beforeLines="0" w:line="400" w:lineRule="exact"/>
        <w:ind w:firstLine="420" w:firstLineChars="200"/>
        <w:rPr>
          <w:rFonts w:ascii="宋体" w:hAnsi="宋体"/>
          <w:bCs/>
          <w:szCs w:val="21"/>
          <w:highlight w:val="none"/>
          <w:u w:val="single"/>
        </w:rPr>
      </w:pPr>
      <w:r>
        <w:rPr>
          <w:rFonts w:hint="eastAsia" w:ascii="宋体" w:hAnsi="宋体"/>
          <w:bCs/>
          <w:szCs w:val="21"/>
          <w:highlight w:val="none"/>
        </w:rPr>
        <w:t>（5）履约验收的内容：</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bCs/>
          <w:szCs w:val="21"/>
          <w:highlight w:val="none"/>
          <w:u w:val="single"/>
        </w:rPr>
        <w:t xml:space="preserve">                                      </w:t>
      </w:r>
    </w:p>
    <w:p w14:paraId="66CE36BC">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（6）履约验收标准：</w:t>
      </w:r>
      <w:r>
        <w:rPr>
          <w:rFonts w:hint="eastAsia" w:ascii="宋体" w:hAnsi="宋体"/>
          <w:bCs/>
          <w:szCs w:val="21"/>
          <w:highlight w:val="none"/>
          <w:u w:val="single"/>
        </w:rPr>
        <w:t xml:space="preserve">                                         </w:t>
      </w:r>
    </w:p>
    <w:p w14:paraId="3CE387FB">
      <w:pPr>
        <w:pStyle w:val="40"/>
        <w:spacing w:beforeLines="0"/>
        <w:rPr>
          <w:rFonts w:hint="eastAsia" w:ascii="宋体" w:hAnsi="宋体" w:eastAsia="宋体" w:cs="宋体"/>
          <w:sz w:val="21"/>
          <w:highlight w:val="none"/>
          <w:lang w:eastAsia="zh-CN"/>
        </w:rPr>
      </w:pPr>
      <w:r>
        <w:rPr>
          <w:rFonts w:hint="eastAsia" w:ascii="宋体" w:hAnsi="宋体" w:eastAsia="宋体" w:cs="宋体"/>
          <w:bCs/>
          <w:sz w:val="21"/>
          <w:szCs w:val="21"/>
          <w:highlight w:val="none"/>
          <w:u w:val="none"/>
          <w:lang w:eastAsia="zh-CN"/>
        </w:rPr>
        <w:t>（</w:t>
      </w:r>
      <w:r>
        <w:rPr>
          <w:rFonts w:hint="eastAsia" w:ascii="宋体" w:hAnsi="宋体" w:eastAsia="宋体" w:cs="宋体"/>
          <w:bCs/>
          <w:sz w:val="21"/>
          <w:szCs w:val="21"/>
          <w:highlight w:val="none"/>
          <w:u w:val="none"/>
          <w:lang w:val="en-US" w:eastAsia="zh-CN"/>
        </w:rPr>
        <w:t>7</w:t>
      </w:r>
      <w:r>
        <w:rPr>
          <w:rFonts w:hint="eastAsia" w:ascii="宋体" w:hAnsi="宋体" w:eastAsia="宋体" w:cs="宋体"/>
          <w:bCs/>
          <w:sz w:val="21"/>
          <w:szCs w:val="21"/>
          <w:highlight w:val="none"/>
          <w:u w:val="none"/>
          <w:lang w:eastAsia="zh-CN"/>
        </w:rPr>
        <w:t>）是否以采购活动中供应商提供的样品作为参考：</w:t>
      </w:r>
      <w:r>
        <w:rPr>
          <w:rFonts w:hint="eastAsia" w:ascii="宋体" w:hAnsi="宋体" w:eastAsia="宋体" w:cs="宋体"/>
          <w:sz w:val="21"/>
          <w:szCs w:val="21"/>
          <w:highlight w:val="none"/>
        </w:rPr>
        <w:sym w:font="Wingdings" w:char="00A8"/>
      </w:r>
      <w:r>
        <w:rPr>
          <w:rFonts w:hint="eastAsia" w:ascii="宋体" w:hAnsi="宋体" w:eastAsia="宋体" w:cs="宋体"/>
          <w:bCs/>
          <w:sz w:val="21"/>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宋体"/>
          <w:bCs/>
          <w:sz w:val="21"/>
          <w:szCs w:val="21"/>
          <w:highlight w:val="none"/>
        </w:rPr>
        <w:t>否</w:t>
      </w:r>
    </w:p>
    <w:p w14:paraId="75653574">
      <w:pPr>
        <w:adjustRightInd w:val="0"/>
        <w:snapToGrid w:val="0"/>
        <w:spacing w:before="0" w:beforeLines="0" w:line="400" w:lineRule="exact"/>
        <w:ind w:firstLine="420" w:firstLineChars="200"/>
        <w:rPr>
          <w:rFonts w:hint="eastAsia" w:ascii="宋体" w:hAnsi="宋体" w:cs="宋体"/>
          <w:bCs/>
          <w:szCs w:val="21"/>
          <w:highlight w:val="none"/>
          <w:u w:val="single"/>
        </w:rPr>
      </w:pPr>
      <w:r>
        <w:rPr>
          <w:rFonts w:hint="eastAsia" w:ascii="宋体" w:hAnsi="宋体" w:cs="宋体"/>
          <w:bCs/>
          <w:szCs w:val="21"/>
          <w:highlight w:val="none"/>
        </w:rPr>
        <w:t>（8）履约验收其他事项：</w:t>
      </w:r>
      <w:r>
        <w:rPr>
          <w:rFonts w:hint="eastAsia" w:ascii="宋体" w:hAnsi="宋体" w:cs="宋体"/>
          <w:bCs/>
          <w:szCs w:val="21"/>
          <w:highlight w:val="none"/>
          <w:u w:val="single"/>
        </w:rPr>
        <w:t xml:space="preserve">      </w:t>
      </w:r>
      <w:r>
        <w:rPr>
          <w:rFonts w:hint="eastAsia" w:ascii="宋体" w:hAnsi="宋体" w:cs="宋体"/>
          <w:bCs/>
          <w:i w:val="0"/>
          <w:iCs w:val="0"/>
          <w:szCs w:val="21"/>
          <w:highlight w:val="none"/>
          <w:u w:val="single"/>
        </w:rPr>
        <w:t>（产权过户登记等）</w:t>
      </w:r>
      <w:r>
        <w:rPr>
          <w:rFonts w:hint="eastAsia" w:ascii="宋体" w:hAnsi="宋体" w:cs="宋体"/>
          <w:bCs/>
          <w:szCs w:val="21"/>
          <w:highlight w:val="none"/>
          <w:u w:val="single"/>
        </w:rPr>
        <w:t xml:space="preserve">          </w:t>
      </w:r>
    </w:p>
    <w:p w14:paraId="6C501B0E">
      <w:pPr>
        <w:numPr>
          <w:ilvl w:val="0"/>
          <w:numId w:val="5"/>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组成合同的文件</w:t>
      </w:r>
    </w:p>
    <w:p w14:paraId="745B5C25">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本协议书与下列文件一起构成合同文件，如下述文件之间有任何抵触、矛盾或歧义，应按以下顺序解释：</w:t>
      </w:r>
    </w:p>
    <w:p w14:paraId="720C72A7">
      <w:pPr>
        <w:adjustRightInd w:val="0"/>
        <w:snapToGrid w:val="0"/>
        <w:spacing w:before="0" w:beforeLines="0" w:line="400" w:lineRule="exact"/>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政府采购</w:t>
      </w:r>
      <w:r>
        <w:rPr>
          <w:rFonts w:hint="eastAsia" w:ascii="宋体" w:hAnsi="宋体"/>
          <w:color w:val="auto"/>
          <w:szCs w:val="21"/>
          <w:highlight w:val="none"/>
        </w:rPr>
        <w:t>合同协议书及其变更、补充</w:t>
      </w:r>
      <w:r>
        <w:rPr>
          <w:rFonts w:hint="eastAsia" w:ascii="宋体" w:hAnsi="宋体"/>
          <w:color w:val="auto"/>
          <w:szCs w:val="21"/>
          <w:highlight w:val="none"/>
          <w:lang w:eastAsia="zh-CN"/>
        </w:rPr>
        <w:t>协议</w:t>
      </w:r>
    </w:p>
    <w:p w14:paraId="299E98FF">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）政府采购合同专用条款</w:t>
      </w:r>
    </w:p>
    <w:p w14:paraId="60A53B5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）政府采购合同通用条款</w:t>
      </w:r>
    </w:p>
    <w:p w14:paraId="723F363F">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）中标</w:t>
      </w:r>
      <w:r>
        <w:rPr>
          <w:rFonts w:hint="eastAsia" w:ascii="宋体" w:hAnsi="宋体"/>
          <w:color w:val="auto"/>
          <w:szCs w:val="21"/>
          <w:highlight w:val="none"/>
          <w:lang w:eastAsia="zh-CN"/>
        </w:rPr>
        <w:t>（成交）</w:t>
      </w:r>
      <w:r>
        <w:rPr>
          <w:rFonts w:hint="eastAsia" w:ascii="宋体" w:hAnsi="宋体"/>
          <w:color w:val="auto"/>
          <w:szCs w:val="21"/>
          <w:highlight w:val="none"/>
        </w:rPr>
        <w:t>通知书</w:t>
      </w:r>
    </w:p>
    <w:p w14:paraId="4A27254F">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）投标（响应）文件</w:t>
      </w:r>
    </w:p>
    <w:p w14:paraId="190D9376">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（6）采购文件</w:t>
      </w:r>
    </w:p>
    <w:p w14:paraId="65139BE1">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（7）有关技术文件，图纸</w:t>
      </w:r>
    </w:p>
    <w:p w14:paraId="15A02BCD">
      <w:pPr>
        <w:pStyle w:val="40"/>
        <w:spacing w:beforeLines="0"/>
        <w:rPr>
          <w:rFonts w:hint="eastAsia" w:ascii="宋体" w:hAnsi="宋体" w:eastAsia="宋体" w:cs="宋体"/>
          <w:kern w:val="2"/>
          <w:sz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lang w:eastAsia="zh-CN"/>
        </w:rPr>
        <w:t>）</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21D90B6E">
      <w:pPr>
        <w:numPr>
          <w:ilvl w:val="0"/>
          <w:numId w:val="5"/>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合同生效</w:t>
      </w:r>
    </w:p>
    <w:p w14:paraId="60E15EA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本合同自</w:t>
      </w:r>
      <w:r>
        <w:rPr>
          <w:rFonts w:hint="eastAsia" w:ascii="宋体" w:hAnsi="宋体"/>
          <w:szCs w:val="21"/>
          <w:highlight w:val="none"/>
          <w:u w:val="single"/>
        </w:rPr>
        <w:t xml:space="preserve">                             </w:t>
      </w:r>
      <w:r>
        <w:rPr>
          <w:rFonts w:hint="eastAsia" w:ascii="宋体" w:hAnsi="宋体"/>
          <w:szCs w:val="21"/>
          <w:highlight w:val="none"/>
        </w:rPr>
        <w:t>生效。</w:t>
      </w:r>
    </w:p>
    <w:p w14:paraId="4812C529">
      <w:pPr>
        <w:numPr>
          <w:ilvl w:val="0"/>
          <w:numId w:val="5"/>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合同份数</w:t>
      </w:r>
    </w:p>
    <w:p w14:paraId="13E7C7D8">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rPr>
        <w:t xml:space="preserve">    </w:t>
      </w:r>
      <w:r>
        <w:rPr>
          <w:rFonts w:hint="eastAsia" w:ascii="宋体" w:hAnsi="宋体"/>
          <w:szCs w:val="21"/>
          <w:highlight w:val="none"/>
        </w:rPr>
        <w:t>份，</w:t>
      </w:r>
      <w:r>
        <w:rPr>
          <w:rFonts w:hint="eastAsia" w:ascii="宋体" w:hAnsi="宋体"/>
          <w:szCs w:val="21"/>
          <w:highlight w:val="none"/>
          <w:lang w:eastAsia="zh-CN"/>
        </w:rPr>
        <w:t>甲方</w:t>
      </w:r>
      <w:r>
        <w:rPr>
          <w:rFonts w:hint="eastAsia" w:ascii="宋体" w:hAnsi="宋体"/>
          <w:szCs w:val="21"/>
          <w:highlight w:val="none"/>
        </w:rPr>
        <w:t>执</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份，</w:t>
      </w:r>
      <w:r>
        <w:rPr>
          <w:rFonts w:hint="eastAsia" w:ascii="宋体" w:hAnsi="宋体"/>
          <w:szCs w:val="21"/>
          <w:highlight w:val="none"/>
          <w:lang w:eastAsia="zh-CN"/>
        </w:rPr>
        <w:t>乙方</w:t>
      </w:r>
      <w:r>
        <w:rPr>
          <w:rFonts w:hint="eastAsia" w:ascii="宋体" w:hAnsi="宋体"/>
          <w:szCs w:val="21"/>
          <w:highlight w:val="none"/>
        </w:rPr>
        <w:t>执</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份，均具有同等法律效力。</w:t>
      </w:r>
    </w:p>
    <w:p w14:paraId="73CF3EB3">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3826A7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4C42011B">
      <w:pPr>
        <w:adjustRightInd w:val="0"/>
        <w:snapToGrid w:val="0"/>
        <w:spacing w:before="0" w:beforeLines="0" w:line="400" w:lineRule="exact"/>
        <w:ind w:firstLine="420" w:firstLineChars="200"/>
        <w:rPr>
          <w:highlight w:val="none"/>
        </w:rPr>
      </w:pPr>
      <w:r>
        <w:rPr>
          <w:rFonts w:hint="eastAsia" w:ascii="宋体" w:hAnsi="宋体"/>
          <w:szCs w:val="21"/>
          <w:highlight w:val="none"/>
        </w:rPr>
        <w:t>附件：具体标</w:t>
      </w:r>
      <w:r>
        <w:rPr>
          <w:rFonts w:hint="eastAsia" w:ascii="宋体" w:hAnsi="宋体"/>
          <w:szCs w:val="21"/>
          <w:highlight w:val="none"/>
          <w:lang w:eastAsia="zh-CN"/>
        </w:rPr>
        <w:t>的及其</w:t>
      </w:r>
      <w:r>
        <w:rPr>
          <w:rFonts w:hint="eastAsia" w:ascii="宋体" w:hAnsi="宋体"/>
          <w:szCs w:val="21"/>
          <w:highlight w:val="none"/>
          <w:u w:val="none"/>
          <w:lang w:val="en-US" w:eastAsia="zh-CN"/>
        </w:rPr>
        <w:t>技术要求和商务要求</w:t>
      </w:r>
      <w:r>
        <w:rPr>
          <w:rFonts w:hint="eastAsia" w:ascii="宋体" w:hAnsi="宋体"/>
          <w:szCs w:val="21"/>
          <w:highlight w:val="none"/>
        </w:rPr>
        <w:t>、联合协议、分包</w:t>
      </w:r>
      <w:r>
        <w:rPr>
          <w:rFonts w:hint="eastAsia" w:ascii="宋体" w:hAnsi="宋体"/>
          <w:szCs w:val="21"/>
          <w:highlight w:val="none"/>
          <w:lang w:eastAsia="zh-CN"/>
        </w:rPr>
        <w:t>意向</w:t>
      </w:r>
      <w:r>
        <w:rPr>
          <w:rFonts w:hint="eastAsia" w:ascii="宋体" w:hAnsi="宋体"/>
          <w:szCs w:val="21"/>
          <w:highlight w:val="none"/>
        </w:rPr>
        <w:t>协议等。</w:t>
      </w:r>
    </w:p>
    <w:p w14:paraId="0153AC77">
      <w:pPr>
        <w:pStyle w:val="308"/>
        <w:spacing w:beforeLines="0" w:line="400" w:lineRule="exact"/>
        <w:rPr>
          <w:highlight w:val="none"/>
        </w:rPr>
      </w:pPr>
    </w:p>
    <w:p w14:paraId="50B9F7C0">
      <w:pPr>
        <w:pStyle w:val="3"/>
        <w:spacing w:beforeLines="0" w:line="400" w:lineRule="exact"/>
        <w:rPr>
          <w:rFonts w:hint="eastAsia" w:ascii="宋体" w:hAnsi="宋体" w:cs="Times New Roman"/>
          <w:b w:val="0"/>
          <w:bCs w:val="0"/>
          <w:sz w:val="21"/>
          <w:szCs w:val="21"/>
          <w:highlight w:val="none"/>
          <w:lang w:val="en-US" w:eastAsia="zh-CN"/>
        </w:rPr>
      </w:pPr>
      <w:r>
        <w:rPr>
          <w:rFonts w:hint="default"/>
          <w:highlight w:val="none"/>
          <w:lang w:val="en"/>
        </w:rPr>
        <w:t xml:space="preserve">   </w:t>
      </w:r>
    </w:p>
    <w:p w14:paraId="36A0DE19">
      <w:pPr>
        <w:rPr>
          <w:rFonts w:hint="eastAsia"/>
          <w:highlight w:val="none"/>
        </w:rPr>
      </w:pPr>
      <w:r>
        <w:rPr>
          <w:rFonts w:hint="eastAsia"/>
          <w:highlight w:val="none"/>
        </w:rPr>
        <w:br w:type="page"/>
      </w:r>
    </w:p>
    <w:p w14:paraId="6CF11010">
      <w:pPr>
        <w:pStyle w:val="308"/>
        <w:rPr>
          <w:rFonts w:hint="eastAsia"/>
          <w:highlight w:val="none"/>
        </w:rPr>
      </w:pPr>
    </w:p>
    <w:tbl>
      <w:tblPr>
        <w:tblStyle w:val="3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6FC462C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146A0A3C">
            <w:pPr>
              <w:adjustRightInd w:val="0"/>
              <w:snapToGrid w:val="0"/>
              <w:spacing w:line="300" w:lineRule="exact"/>
              <w:jc w:val="center"/>
              <w:rPr>
                <w:highlight w:val="none"/>
              </w:rPr>
            </w:pPr>
            <w:r>
              <w:rPr>
                <w:szCs w:val="21"/>
                <w:highlight w:val="none"/>
              </w:rPr>
              <w:t>甲方</w:t>
            </w:r>
            <w:r>
              <w:rPr>
                <w:rFonts w:hint="eastAsia"/>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w:t>
            </w:r>
            <w:r>
              <w:rPr>
                <w:rFonts w:hint="eastAsia"/>
                <w:szCs w:val="21"/>
                <w:highlight w:val="none"/>
              </w:rPr>
              <w:t>采购文件约定的合同甲方）</w:t>
            </w:r>
          </w:p>
        </w:tc>
        <w:tc>
          <w:tcPr>
            <w:tcW w:w="2437" w:type="pct"/>
            <w:gridSpan w:val="2"/>
            <w:tcBorders>
              <w:left w:val="single" w:color="auto" w:sz="2" w:space="0"/>
              <w:bottom w:val="single" w:color="auto" w:sz="2" w:space="0"/>
            </w:tcBorders>
            <w:vAlign w:val="center"/>
          </w:tcPr>
          <w:p w14:paraId="76B9F5BF">
            <w:pPr>
              <w:adjustRightInd w:val="0"/>
              <w:snapToGrid w:val="0"/>
              <w:spacing w:line="300" w:lineRule="exact"/>
              <w:jc w:val="center"/>
              <w:rPr>
                <w:highlight w:val="none"/>
              </w:rPr>
            </w:pPr>
            <w:r>
              <w:rPr>
                <w:szCs w:val="21"/>
                <w:highlight w:val="none"/>
              </w:rPr>
              <w:t>乙方</w:t>
            </w:r>
            <w:r>
              <w:rPr>
                <w:rFonts w:hint="eastAsia"/>
                <w:szCs w:val="21"/>
                <w:highlight w:val="none"/>
              </w:rPr>
              <w:t>（供应商）</w:t>
            </w:r>
          </w:p>
        </w:tc>
      </w:tr>
      <w:tr w14:paraId="72E6DC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766729AD">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436" w:type="pct"/>
            <w:tcBorders>
              <w:top w:val="single" w:color="auto" w:sz="2" w:space="0"/>
              <w:left w:val="single" w:color="auto" w:sz="2" w:space="0"/>
              <w:bottom w:val="single" w:color="auto" w:sz="2" w:space="0"/>
              <w:right w:val="single" w:color="auto" w:sz="2" w:space="0"/>
            </w:tcBorders>
            <w:vAlign w:val="center"/>
          </w:tcPr>
          <w:p w14:paraId="72906287">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0C5E92D">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259" w:type="pct"/>
            <w:tcBorders>
              <w:top w:val="single" w:color="auto" w:sz="2" w:space="0"/>
              <w:left w:val="single" w:color="auto" w:sz="2" w:space="0"/>
              <w:bottom w:val="single" w:color="auto" w:sz="2" w:space="0"/>
            </w:tcBorders>
            <w:vAlign w:val="center"/>
          </w:tcPr>
          <w:p w14:paraId="0F1204C0">
            <w:pPr>
              <w:adjustRightInd w:val="0"/>
              <w:snapToGrid w:val="0"/>
              <w:spacing w:line="300" w:lineRule="exact"/>
              <w:jc w:val="center"/>
              <w:rPr>
                <w:spacing w:val="20"/>
                <w:szCs w:val="21"/>
                <w:highlight w:val="none"/>
              </w:rPr>
            </w:pPr>
          </w:p>
        </w:tc>
      </w:tr>
      <w:tr w14:paraId="3E31CF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6ED24DE7">
            <w:pPr>
              <w:adjustRightInd w:val="0"/>
              <w:snapToGrid w:val="0"/>
              <w:spacing w:line="300" w:lineRule="exact"/>
              <w:jc w:val="center"/>
              <w:rPr>
                <w:szCs w:val="21"/>
                <w:highlight w:val="none"/>
              </w:rPr>
            </w:pPr>
            <w:r>
              <w:rPr>
                <w:szCs w:val="21"/>
                <w:highlight w:val="none"/>
              </w:rPr>
              <w:t>法定代表人</w:t>
            </w:r>
          </w:p>
          <w:p w14:paraId="2BF54090">
            <w:pPr>
              <w:adjustRightInd w:val="0"/>
              <w:snapToGrid w:val="0"/>
              <w:spacing w:line="300" w:lineRule="exact"/>
              <w:ind w:firstLine="100" w:firstLineChars="48"/>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57E3F4ED">
            <w:pPr>
              <w:adjustRightInd w:val="0"/>
              <w:snapToGrid w:val="0"/>
              <w:spacing w:line="300" w:lineRule="exact"/>
              <w:jc w:val="center"/>
              <w:rPr>
                <w:szCs w:val="21"/>
                <w:highlight w:val="none"/>
              </w:rPr>
            </w:pPr>
          </w:p>
        </w:tc>
        <w:tc>
          <w:tcPr>
            <w:tcW w:w="1178" w:type="pct"/>
            <w:tcBorders>
              <w:top w:val="single" w:color="auto" w:sz="2" w:space="0"/>
              <w:left w:val="single" w:color="auto" w:sz="2" w:space="0"/>
              <w:right w:val="single" w:color="auto" w:sz="2" w:space="0"/>
            </w:tcBorders>
            <w:vAlign w:val="center"/>
          </w:tcPr>
          <w:p w14:paraId="4719888E">
            <w:pPr>
              <w:adjustRightInd w:val="0"/>
              <w:snapToGrid w:val="0"/>
              <w:spacing w:line="300" w:lineRule="exact"/>
              <w:jc w:val="center"/>
              <w:rPr>
                <w:szCs w:val="21"/>
                <w:highlight w:val="none"/>
              </w:rPr>
            </w:pPr>
            <w:r>
              <w:rPr>
                <w:szCs w:val="21"/>
                <w:highlight w:val="none"/>
              </w:rPr>
              <w:t>法定代表人</w:t>
            </w:r>
          </w:p>
          <w:p w14:paraId="6FBF5D4A">
            <w:pPr>
              <w:adjustRightInd w:val="0"/>
              <w:snapToGrid w:val="0"/>
              <w:spacing w:line="300" w:lineRule="exact"/>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259" w:type="pct"/>
            <w:tcBorders>
              <w:top w:val="single" w:color="auto" w:sz="2" w:space="0"/>
              <w:left w:val="single" w:color="auto" w:sz="2" w:space="0"/>
              <w:bottom w:val="single" w:color="auto" w:sz="2" w:space="0"/>
            </w:tcBorders>
            <w:vAlign w:val="center"/>
          </w:tcPr>
          <w:p w14:paraId="090A3698">
            <w:pPr>
              <w:adjustRightInd w:val="0"/>
              <w:snapToGrid w:val="0"/>
              <w:spacing w:line="300" w:lineRule="exact"/>
              <w:jc w:val="center"/>
              <w:rPr>
                <w:szCs w:val="21"/>
                <w:highlight w:val="none"/>
              </w:rPr>
            </w:pPr>
          </w:p>
        </w:tc>
      </w:tr>
      <w:tr w14:paraId="33E95F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38AD8C7">
            <w:pPr>
              <w:adjustRightInd w:val="0"/>
              <w:snapToGrid w:val="0"/>
              <w:spacing w:line="300" w:lineRule="exact"/>
              <w:jc w:val="center"/>
              <w:rPr>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783AB2F9">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609EE3B">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拥有者性别</w:t>
            </w:r>
          </w:p>
        </w:tc>
        <w:tc>
          <w:tcPr>
            <w:tcW w:w="1259" w:type="pct"/>
            <w:tcBorders>
              <w:top w:val="single" w:color="auto" w:sz="2" w:space="0"/>
              <w:left w:val="single" w:color="auto" w:sz="2" w:space="0"/>
              <w:bottom w:val="single" w:color="auto" w:sz="2" w:space="0"/>
            </w:tcBorders>
            <w:vAlign w:val="center"/>
          </w:tcPr>
          <w:p w14:paraId="1E814480">
            <w:pPr>
              <w:adjustRightInd w:val="0"/>
              <w:snapToGrid w:val="0"/>
              <w:spacing w:line="300" w:lineRule="exact"/>
              <w:jc w:val="center"/>
              <w:rPr>
                <w:spacing w:val="20"/>
                <w:szCs w:val="21"/>
                <w:highlight w:val="none"/>
              </w:rPr>
            </w:pPr>
          </w:p>
        </w:tc>
      </w:tr>
      <w:tr w14:paraId="04E1A0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7B61B26">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57760F13">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139AC50">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259" w:type="pct"/>
            <w:tcBorders>
              <w:top w:val="single" w:color="auto" w:sz="2" w:space="0"/>
              <w:left w:val="single" w:color="auto" w:sz="2" w:space="0"/>
              <w:bottom w:val="single" w:color="auto" w:sz="2" w:space="0"/>
            </w:tcBorders>
            <w:vAlign w:val="center"/>
          </w:tcPr>
          <w:p w14:paraId="3A40E6E8">
            <w:pPr>
              <w:adjustRightInd w:val="0"/>
              <w:snapToGrid w:val="0"/>
              <w:spacing w:line="300" w:lineRule="exact"/>
              <w:jc w:val="center"/>
              <w:rPr>
                <w:spacing w:val="20"/>
                <w:szCs w:val="21"/>
                <w:highlight w:val="none"/>
              </w:rPr>
            </w:pPr>
          </w:p>
        </w:tc>
      </w:tr>
      <w:tr w14:paraId="021668D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B267693">
            <w:pPr>
              <w:adjustRightInd w:val="0"/>
              <w:snapToGrid w:val="0"/>
              <w:spacing w:line="300" w:lineRule="exact"/>
              <w:jc w:val="center"/>
              <w:rPr>
                <w:szCs w:val="21"/>
                <w:highlight w:val="none"/>
              </w:rPr>
            </w:pPr>
            <w:r>
              <w:rPr>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515B15F0">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3D8BEA4">
            <w:pPr>
              <w:adjustRightInd w:val="0"/>
              <w:snapToGrid w:val="0"/>
              <w:spacing w:line="300" w:lineRule="exact"/>
              <w:jc w:val="center"/>
              <w:rPr>
                <w:szCs w:val="21"/>
                <w:highlight w:val="none"/>
              </w:rPr>
            </w:pPr>
            <w:r>
              <w:rPr>
                <w:szCs w:val="21"/>
                <w:highlight w:val="none"/>
              </w:rPr>
              <w:t>联 系 人</w:t>
            </w:r>
          </w:p>
        </w:tc>
        <w:tc>
          <w:tcPr>
            <w:tcW w:w="1259" w:type="pct"/>
            <w:tcBorders>
              <w:top w:val="single" w:color="auto" w:sz="2" w:space="0"/>
              <w:left w:val="single" w:color="auto" w:sz="2" w:space="0"/>
              <w:bottom w:val="single" w:color="auto" w:sz="2" w:space="0"/>
            </w:tcBorders>
            <w:vAlign w:val="center"/>
          </w:tcPr>
          <w:p w14:paraId="488A8CCD">
            <w:pPr>
              <w:adjustRightInd w:val="0"/>
              <w:snapToGrid w:val="0"/>
              <w:spacing w:line="300" w:lineRule="exact"/>
              <w:jc w:val="center"/>
              <w:rPr>
                <w:spacing w:val="20"/>
                <w:szCs w:val="21"/>
                <w:highlight w:val="none"/>
              </w:rPr>
            </w:pPr>
          </w:p>
        </w:tc>
      </w:tr>
      <w:tr w14:paraId="576ED90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B6518F9">
            <w:pPr>
              <w:adjustRightInd w:val="0"/>
              <w:snapToGrid w:val="0"/>
              <w:spacing w:line="300" w:lineRule="exact"/>
              <w:jc w:val="center"/>
              <w:rPr>
                <w:szCs w:val="21"/>
                <w:highlight w:val="none"/>
              </w:rPr>
            </w:pPr>
            <w:r>
              <w:rPr>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0587CD67">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D536C4">
            <w:pPr>
              <w:adjustRightInd w:val="0"/>
              <w:snapToGrid w:val="0"/>
              <w:spacing w:line="300" w:lineRule="exact"/>
              <w:jc w:val="center"/>
              <w:rPr>
                <w:szCs w:val="21"/>
                <w:highlight w:val="none"/>
              </w:rPr>
            </w:pPr>
            <w:r>
              <w:rPr>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32A58F6C">
            <w:pPr>
              <w:adjustRightInd w:val="0"/>
              <w:snapToGrid w:val="0"/>
              <w:spacing w:line="300" w:lineRule="exact"/>
              <w:jc w:val="center"/>
              <w:rPr>
                <w:spacing w:val="20"/>
                <w:szCs w:val="21"/>
                <w:highlight w:val="none"/>
              </w:rPr>
            </w:pPr>
          </w:p>
        </w:tc>
      </w:tr>
      <w:tr w14:paraId="7E4B575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FBA3F3A">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654E0440">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FB25F1C">
            <w:pPr>
              <w:adjustRightInd w:val="0"/>
              <w:snapToGrid w:val="0"/>
              <w:spacing w:line="300" w:lineRule="exact"/>
              <w:jc w:val="center"/>
              <w:rPr>
                <w:szCs w:val="21"/>
                <w:highlight w:val="none"/>
              </w:rPr>
            </w:pPr>
            <w:r>
              <w:rPr>
                <w:rFonts w:hint="eastAsia"/>
                <w:szCs w:val="21"/>
                <w:highlight w:val="none"/>
                <w:lang w:eastAsia="zh-CN"/>
              </w:rPr>
              <w:t>通信地址</w:t>
            </w:r>
          </w:p>
        </w:tc>
        <w:tc>
          <w:tcPr>
            <w:tcW w:w="1259" w:type="pct"/>
            <w:tcBorders>
              <w:top w:val="single" w:color="auto" w:sz="2" w:space="0"/>
              <w:left w:val="single" w:color="auto" w:sz="2" w:space="0"/>
              <w:bottom w:val="single" w:color="auto" w:sz="2" w:space="0"/>
            </w:tcBorders>
            <w:vAlign w:val="center"/>
          </w:tcPr>
          <w:p w14:paraId="7C752462">
            <w:pPr>
              <w:adjustRightInd w:val="0"/>
              <w:snapToGrid w:val="0"/>
              <w:spacing w:line="300" w:lineRule="exact"/>
              <w:jc w:val="center"/>
              <w:rPr>
                <w:spacing w:val="20"/>
                <w:szCs w:val="21"/>
                <w:highlight w:val="none"/>
              </w:rPr>
            </w:pPr>
          </w:p>
        </w:tc>
      </w:tr>
      <w:tr w14:paraId="17F53DF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11FE1D4">
            <w:pPr>
              <w:adjustRightInd w:val="0"/>
              <w:snapToGrid w:val="0"/>
              <w:spacing w:line="300" w:lineRule="exact"/>
              <w:jc w:val="center"/>
              <w:rPr>
                <w:szCs w:val="21"/>
                <w:highlight w:val="none"/>
              </w:rPr>
            </w:pPr>
            <w:r>
              <w:rPr>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23AC9A71">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C5F7B94">
            <w:pPr>
              <w:adjustRightInd w:val="0"/>
              <w:snapToGrid w:val="0"/>
              <w:spacing w:line="300" w:lineRule="exact"/>
              <w:jc w:val="center"/>
              <w:rPr>
                <w:szCs w:val="21"/>
                <w:highlight w:val="none"/>
              </w:rPr>
            </w:pPr>
            <w:r>
              <w:rPr>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6C302FF4">
            <w:pPr>
              <w:adjustRightInd w:val="0"/>
              <w:snapToGrid w:val="0"/>
              <w:spacing w:line="300" w:lineRule="exact"/>
              <w:jc w:val="center"/>
              <w:rPr>
                <w:spacing w:val="20"/>
                <w:szCs w:val="21"/>
                <w:highlight w:val="none"/>
              </w:rPr>
            </w:pPr>
          </w:p>
        </w:tc>
      </w:tr>
      <w:tr w14:paraId="657516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7F9A066">
            <w:pPr>
              <w:adjustRightInd w:val="0"/>
              <w:snapToGrid w:val="0"/>
              <w:spacing w:line="300" w:lineRule="exact"/>
              <w:jc w:val="center"/>
              <w:rPr>
                <w:szCs w:val="21"/>
                <w:highlight w:val="none"/>
              </w:rPr>
            </w:pPr>
            <w:r>
              <w:rPr>
                <w:rFonts w:hint="eastAsia"/>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094C539E">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8C4259F">
            <w:pPr>
              <w:adjustRightInd w:val="0"/>
              <w:snapToGrid w:val="0"/>
              <w:spacing w:line="300" w:lineRule="exact"/>
              <w:jc w:val="center"/>
              <w:rPr>
                <w:szCs w:val="21"/>
                <w:highlight w:val="none"/>
              </w:rPr>
            </w:pPr>
            <w:r>
              <w:rPr>
                <w:rFonts w:hint="eastAsia"/>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691DF245">
            <w:pPr>
              <w:adjustRightInd w:val="0"/>
              <w:snapToGrid w:val="0"/>
              <w:spacing w:line="300" w:lineRule="exact"/>
              <w:jc w:val="center"/>
              <w:rPr>
                <w:spacing w:val="20"/>
                <w:szCs w:val="21"/>
                <w:highlight w:val="none"/>
              </w:rPr>
            </w:pPr>
          </w:p>
        </w:tc>
      </w:tr>
      <w:tr w14:paraId="501A01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8A15507">
            <w:pPr>
              <w:adjustRightInd w:val="0"/>
              <w:snapToGrid w:val="0"/>
              <w:spacing w:line="300" w:lineRule="exact"/>
              <w:jc w:val="center"/>
              <w:rPr>
                <w:szCs w:val="21"/>
                <w:highlight w:val="none"/>
              </w:rPr>
            </w:pPr>
            <w:r>
              <w:rPr>
                <w:rFonts w:hint="eastAsia"/>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7D539A12">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273489D">
            <w:pPr>
              <w:adjustRightInd w:val="0"/>
              <w:snapToGrid w:val="0"/>
              <w:spacing w:line="300" w:lineRule="exact"/>
              <w:jc w:val="center"/>
              <w:rPr>
                <w:szCs w:val="21"/>
                <w:highlight w:val="none"/>
              </w:rPr>
            </w:pPr>
            <w:r>
              <w:rPr>
                <w:rFonts w:hint="eastAsia"/>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5197989C">
            <w:pPr>
              <w:adjustRightInd w:val="0"/>
              <w:snapToGrid w:val="0"/>
              <w:spacing w:line="300" w:lineRule="exact"/>
              <w:jc w:val="center"/>
              <w:rPr>
                <w:spacing w:val="20"/>
                <w:szCs w:val="21"/>
                <w:highlight w:val="none"/>
              </w:rPr>
            </w:pPr>
          </w:p>
        </w:tc>
      </w:tr>
      <w:tr w14:paraId="2D48C1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3825DB9">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77F84BB0">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8408C82">
            <w:pPr>
              <w:adjustRightInd w:val="0"/>
              <w:snapToGrid w:val="0"/>
              <w:spacing w:line="300" w:lineRule="exact"/>
              <w:jc w:val="center"/>
              <w:rPr>
                <w:szCs w:val="21"/>
                <w:highlight w:val="none"/>
              </w:rPr>
            </w:pPr>
            <w:r>
              <w:rPr>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6633C727">
            <w:pPr>
              <w:adjustRightInd w:val="0"/>
              <w:snapToGrid w:val="0"/>
              <w:spacing w:line="300" w:lineRule="exact"/>
              <w:jc w:val="center"/>
              <w:rPr>
                <w:spacing w:val="20"/>
                <w:szCs w:val="21"/>
                <w:highlight w:val="none"/>
              </w:rPr>
            </w:pPr>
          </w:p>
        </w:tc>
      </w:tr>
      <w:tr w14:paraId="38C9CF7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0C28F8D">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7455E5A">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9010608">
            <w:pPr>
              <w:adjustRightInd w:val="0"/>
              <w:snapToGrid w:val="0"/>
              <w:spacing w:line="300" w:lineRule="exact"/>
              <w:jc w:val="center"/>
              <w:rPr>
                <w:szCs w:val="21"/>
                <w:highlight w:val="none"/>
              </w:rPr>
            </w:pPr>
            <w:r>
              <w:rPr>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7B8C51AA">
            <w:pPr>
              <w:adjustRightInd w:val="0"/>
              <w:snapToGrid w:val="0"/>
              <w:spacing w:line="300" w:lineRule="exact"/>
              <w:jc w:val="center"/>
              <w:rPr>
                <w:spacing w:val="20"/>
                <w:szCs w:val="21"/>
                <w:highlight w:val="none"/>
              </w:rPr>
            </w:pPr>
          </w:p>
        </w:tc>
      </w:tr>
      <w:tr w14:paraId="1B8B3E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9E4680F">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7CC3E39">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6109042">
            <w:pPr>
              <w:adjustRightInd w:val="0"/>
              <w:snapToGrid w:val="0"/>
              <w:spacing w:line="300" w:lineRule="exact"/>
              <w:jc w:val="center"/>
              <w:rPr>
                <w:szCs w:val="21"/>
                <w:highlight w:val="none"/>
              </w:rPr>
            </w:pPr>
            <w:r>
              <w:rPr>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08408E2F">
            <w:pPr>
              <w:adjustRightInd w:val="0"/>
              <w:snapToGrid w:val="0"/>
              <w:spacing w:line="300" w:lineRule="exact"/>
              <w:jc w:val="center"/>
              <w:rPr>
                <w:spacing w:val="20"/>
                <w:szCs w:val="21"/>
                <w:highlight w:val="none"/>
              </w:rPr>
            </w:pPr>
          </w:p>
        </w:tc>
      </w:tr>
      <w:tr w14:paraId="25F30B9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1AFEC021">
            <w:pPr>
              <w:pStyle w:val="15"/>
              <w:adjustRightInd w:val="0"/>
              <w:snapToGrid w:val="0"/>
              <w:spacing w:before="156" w:beforeLines="50" w:after="0" w:line="360" w:lineRule="auto"/>
              <w:ind w:left="0" w:leftChars="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76D6817E">
      <w:pPr>
        <w:pStyle w:val="3"/>
        <w:adjustRightInd w:val="0"/>
        <w:snapToGrid w:val="0"/>
        <w:spacing w:before="156" w:beforeLines="50"/>
        <w:jc w:val="center"/>
        <w:rPr>
          <w:rFonts w:hint="eastAsia" w:ascii="黑体" w:hAnsi="黑体" w:eastAsia="黑体" w:cs="黑体"/>
          <w:b w:val="0"/>
          <w:bCs w:val="0"/>
          <w:sz w:val="28"/>
          <w:szCs w:val="28"/>
        </w:rPr>
      </w:pPr>
      <w:r>
        <w:rPr>
          <w:rFonts w:ascii="宋体" w:hAnsi="宋体"/>
          <w:sz w:val="21"/>
          <w:szCs w:val="21"/>
          <w:highlight w:val="none"/>
          <w:u w:val="single"/>
        </w:rPr>
        <w:br w:type="page"/>
      </w:r>
      <w:bookmarkStart w:id="140" w:name="_Toc27624"/>
      <w:bookmarkStart w:id="141" w:name="_Toc16104"/>
      <w:r>
        <w:rPr>
          <w:rFonts w:hint="eastAsia" w:ascii="黑体" w:hAnsi="黑体" w:eastAsia="黑体" w:cs="黑体"/>
          <w:b w:val="0"/>
          <w:bCs w:val="0"/>
          <w:sz w:val="28"/>
          <w:szCs w:val="28"/>
        </w:rPr>
        <w:t>第二节 政府采购合同通用条款</w:t>
      </w:r>
      <w:bookmarkEnd w:id="140"/>
      <w:bookmarkEnd w:id="141"/>
    </w:p>
    <w:p w14:paraId="422C9E79">
      <w:pPr>
        <w:tabs>
          <w:tab w:val="left" w:pos="8820"/>
          <w:tab w:val="left" w:pos="9345"/>
          <w:tab w:val="left" w:pos="9765"/>
        </w:tabs>
        <w:adjustRightInd w:val="0"/>
        <w:snapToGrid w:val="0"/>
        <w:spacing w:before="0" w:line="400" w:lineRule="exact"/>
        <w:jc w:val="left"/>
        <w:rPr>
          <w:rFonts w:ascii="宋体" w:hAnsi="宋体"/>
          <w:b/>
          <w:bCs/>
          <w:sz w:val="24"/>
          <w:highlight w:val="none"/>
        </w:rPr>
      </w:pPr>
      <w:r>
        <w:rPr>
          <w:rFonts w:hint="eastAsia" w:ascii="宋体" w:hAnsi="宋体"/>
          <w:b/>
          <w:sz w:val="24"/>
          <w:highlight w:val="none"/>
        </w:rPr>
        <w:t>1.</w:t>
      </w:r>
      <w:r>
        <w:rPr>
          <w:rFonts w:hint="eastAsia" w:ascii="宋体" w:hAnsi="宋体"/>
          <w:b/>
          <w:sz w:val="24"/>
          <w:highlight w:val="none"/>
          <w:lang w:val="en-US" w:eastAsia="zh-CN"/>
        </w:rPr>
        <w:t xml:space="preserve"> </w:t>
      </w:r>
      <w:r>
        <w:rPr>
          <w:rFonts w:hint="eastAsia" w:ascii="宋体" w:hAnsi="宋体"/>
          <w:b/>
          <w:bCs/>
          <w:sz w:val="24"/>
          <w:highlight w:val="none"/>
        </w:rPr>
        <w:t>定义</w:t>
      </w:r>
    </w:p>
    <w:p w14:paraId="75E921B6">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1361265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05E4FB5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0BE677F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000000" w:themeColor="text1"/>
          <w:szCs w:val="21"/>
          <w:highlight w:val="none"/>
          <w14:textFill>
            <w14:solidFill>
              <w14:schemeClr w14:val="tx1"/>
            </w14:solidFill>
          </w14:textFill>
        </w:rPr>
        <w:t>依法参与合同缔结或履行，享有权利、承担义务的合同当事人</w:t>
      </w:r>
      <w:r>
        <w:rPr>
          <w:rFonts w:hint="eastAsia" w:ascii="宋体" w:hAnsi="宋体"/>
          <w:color w:val="auto"/>
          <w:szCs w:val="21"/>
          <w:highlight w:val="none"/>
        </w:rPr>
        <w:t>。</w:t>
      </w:r>
    </w:p>
    <w:p w14:paraId="4E7876F5">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00D0169F">
      <w:pPr>
        <w:adjustRightInd w:val="0"/>
        <w:snapToGrid w:val="0"/>
        <w:spacing w:before="0" w:beforeLines="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000000" w:themeColor="text1"/>
          <w:szCs w:val="21"/>
          <w:highlight w:val="none"/>
          <w14:textFill>
            <w14:solidFill>
              <w14:schemeClr w14:val="tx1"/>
            </w14:solidFill>
          </w14:textFill>
        </w:rPr>
        <w:t>合同当事人意思表示达成一致的任何协议，包括签署的</w:t>
      </w:r>
      <w:r>
        <w:rPr>
          <w:rFonts w:hint="eastAsia" w:ascii="宋体" w:hAnsi="宋体"/>
          <w:color w:val="auto"/>
          <w:szCs w:val="21"/>
          <w:highlight w:val="none"/>
          <w:lang w:eastAsia="zh-CN"/>
        </w:rPr>
        <w:t>政府采购</w:t>
      </w:r>
      <w:r>
        <w:rPr>
          <w:rFonts w:hint="eastAsia" w:ascii="宋体" w:hAnsi="宋体"/>
          <w:color w:val="auto"/>
          <w:szCs w:val="21"/>
          <w:highlight w:val="none"/>
        </w:rPr>
        <w:t>合同协议书及其变更、补充</w:t>
      </w:r>
      <w:r>
        <w:rPr>
          <w:rFonts w:hint="eastAsia" w:ascii="宋体" w:hAnsi="宋体"/>
          <w:color w:val="auto"/>
          <w:szCs w:val="21"/>
          <w:highlight w:val="none"/>
          <w:lang w:eastAsia="zh-CN"/>
        </w:rPr>
        <w:t>协议，</w:t>
      </w:r>
      <w:r>
        <w:rPr>
          <w:rFonts w:hint="eastAsia" w:ascii="宋体" w:hAnsi="宋体"/>
          <w:szCs w:val="21"/>
          <w:highlight w:val="none"/>
        </w:rPr>
        <w:t>政府采购合同专用条款</w:t>
      </w:r>
      <w:r>
        <w:rPr>
          <w:rFonts w:hint="eastAsia" w:ascii="宋体" w:hAnsi="宋体"/>
          <w:szCs w:val="21"/>
          <w:highlight w:val="none"/>
          <w:lang w:eastAsia="zh-CN"/>
        </w:rPr>
        <w:t>，</w:t>
      </w:r>
      <w:r>
        <w:rPr>
          <w:rFonts w:hint="eastAsia" w:ascii="宋体" w:hAnsi="宋体"/>
          <w:szCs w:val="21"/>
          <w:highlight w:val="none"/>
        </w:rPr>
        <w:t>政府采购合同通用条款</w:t>
      </w:r>
      <w:r>
        <w:rPr>
          <w:rFonts w:hint="eastAsia" w:ascii="宋体" w:hAnsi="宋体"/>
          <w:szCs w:val="21"/>
          <w:highlight w:val="none"/>
          <w:lang w:eastAsia="zh-CN"/>
        </w:rPr>
        <w:t>，</w:t>
      </w:r>
      <w:r>
        <w:rPr>
          <w:rFonts w:hint="eastAsia" w:ascii="宋体" w:hAnsi="宋体"/>
          <w:color w:val="auto"/>
          <w:szCs w:val="21"/>
          <w:highlight w:val="none"/>
        </w:rPr>
        <w:t>中标</w:t>
      </w:r>
      <w:r>
        <w:rPr>
          <w:rFonts w:hint="eastAsia" w:ascii="宋体" w:hAnsi="宋体"/>
          <w:color w:val="auto"/>
          <w:szCs w:val="21"/>
          <w:highlight w:val="none"/>
          <w:lang w:eastAsia="zh-CN"/>
        </w:rPr>
        <w:t>（成交）</w:t>
      </w:r>
      <w:r>
        <w:rPr>
          <w:rFonts w:hint="eastAsia" w:ascii="宋体" w:hAnsi="宋体"/>
          <w:color w:val="auto"/>
          <w:szCs w:val="21"/>
          <w:highlight w:val="none"/>
        </w:rPr>
        <w:t>通知书</w:t>
      </w:r>
      <w:r>
        <w:rPr>
          <w:rFonts w:hint="eastAsia" w:ascii="宋体" w:hAnsi="宋体"/>
          <w:color w:val="auto"/>
          <w:szCs w:val="21"/>
          <w:highlight w:val="none"/>
          <w:lang w:eastAsia="zh-CN"/>
        </w:rPr>
        <w:t>，</w:t>
      </w:r>
      <w:r>
        <w:rPr>
          <w:rFonts w:hint="eastAsia" w:ascii="宋体" w:hAnsi="宋体"/>
          <w:szCs w:val="21"/>
          <w:highlight w:val="none"/>
        </w:rPr>
        <w:t>投标（响应）文件</w:t>
      </w:r>
      <w:r>
        <w:rPr>
          <w:rFonts w:hint="eastAsia" w:ascii="宋体" w:hAnsi="宋体"/>
          <w:szCs w:val="21"/>
          <w:highlight w:val="none"/>
          <w:lang w:eastAsia="zh-CN"/>
        </w:rPr>
        <w:t>，</w:t>
      </w:r>
      <w:r>
        <w:rPr>
          <w:rFonts w:hint="eastAsia" w:ascii="宋体" w:hAnsi="宋体"/>
          <w:szCs w:val="21"/>
          <w:highlight w:val="none"/>
        </w:rPr>
        <w:t>采购文件</w:t>
      </w:r>
      <w:r>
        <w:rPr>
          <w:rFonts w:hint="eastAsia" w:ascii="宋体" w:hAnsi="宋体"/>
          <w:szCs w:val="21"/>
          <w:highlight w:val="none"/>
          <w:lang w:eastAsia="zh-CN"/>
        </w:rPr>
        <w:t>，</w:t>
      </w:r>
      <w:r>
        <w:rPr>
          <w:rFonts w:hint="eastAsia" w:ascii="宋体" w:hAnsi="宋体"/>
          <w:szCs w:val="21"/>
          <w:highlight w:val="none"/>
        </w:rPr>
        <w:t>有关技术文件</w:t>
      </w:r>
      <w:r>
        <w:rPr>
          <w:rFonts w:hint="eastAsia" w:ascii="宋体" w:hAnsi="宋体"/>
          <w:szCs w:val="21"/>
          <w:highlight w:val="none"/>
          <w:lang w:eastAsia="zh-CN"/>
        </w:rPr>
        <w:t>和</w:t>
      </w:r>
      <w:r>
        <w:rPr>
          <w:rFonts w:hint="eastAsia" w:ascii="宋体" w:hAnsi="宋体"/>
          <w:szCs w:val="21"/>
          <w:highlight w:val="none"/>
        </w:rPr>
        <w:t>图纸</w:t>
      </w:r>
      <w:r>
        <w:rPr>
          <w:rFonts w:hint="eastAsia" w:ascii="宋体" w:hAnsi="宋体"/>
          <w:szCs w:val="21"/>
          <w:highlight w:val="none"/>
          <w:lang w:eastAsia="zh-CN"/>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color w:val="auto"/>
          <w:szCs w:val="21"/>
          <w:highlight w:val="none"/>
        </w:rPr>
        <w:t>。</w:t>
      </w:r>
    </w:p>
    <w:p w14:paraId="449CCF15">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44A4DE2F">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w:t>
      </w:r>
      <w:r>
        <w:rPr>
          <w:rFonts w:hint="eastAsia" w:ascii="宋体" w:hAnsi="宋体"/>
          <w:color w:val="000000" w:themeColor="text1"/>
          <w:szCs w:val="21"/>
          <w:highlight w:val="none"/>
          <w14:textFill>
            <w14:solidFill>
              <w14:schemeClr w14:val="tx1"/>
            </w14:solidFill>
          </w14:textFill>
        </w:rPr>
        <w:t>包括软件）及相关的其备品备件、工具、手册及</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技术资料和材料</w:t>
      </w:r>
      <w:r>
        <w:rPr>
          <w:rFonts w:hint="eastAsia" w:ascii="宋体" w:hAnsi="宋体"/>
          <w:color w:val="000000" w:themeColor="text1"/>
          <w:szCs w:val="21"/>
          <w:highlight w:val="none"/>
          <w:lang w:eastAsia="zh-CN"/>
          <w14:textFill>
            <w14:solidFill>
              <w14:schemeClr w14:val="tx1"/>
            </w14:solidFill>
          </w14:textFill>
        </w:rPr>
        <w:t>等</w:t>
      </w:r>
      <w:r>
        <w:rPr>
          <w:rFonts w:hint="eastAsia" w:ascii="宋体" w:hAnsi="宋体"/>
          <w:color w:val="000000" w:themeColor="text1"/>
          <w:szCs w:val="21"/>
          <w:highlight w:val="none"/>
          <w14:textFill>
            <w14:solidFill>
              <w14:schemeClr w14:val="tx1"/>
            </w14:solidFill>
          </w14:textFill>
        </w:rPr>
        <w:t>。</w:t>
      </w:r>
    </w:p>
    <w:p w14:paraId="07B57C44">
      <w:pPr>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auto"/>
          <w:szCs w:val="21"/>
          <w:highlight w:val="none"/>
          <w:lang w:val="en-US" w:eastAsia="zh-CN"/>
        </w:rPr>
        <w:t>相关</w:t>
      </w:r>
      <w:r>
        <w:rPr>
          <w:rFonts w:hint="eastAsia" w:ascii="宋体" w:hAnsi="宋体"/>
          <w:color w:val="000000" w:themeColor="text1"/>
          <w:szCs w:val="21"/>
          <w:highlight w:val="none"/>
          <w14:textFill>
            <w14:solidFill>
              <w14:schemeClr w14:val="tx1"/>
            </w14:solidFill>
          </w14:textFill>
        </w:rPr>
        <w:t>服务”系指根据合同规定，乙方应提供的</w:t>
      </w:r>
      <w:r>
        <w:rPr>
          <w:rFonts w:hint="eastAsia" w:ascii="宋体" w:hAnsi="宋体"/>
          <w:color w:val="000000" w:themeColor="text1"/>
          <w:szCs w:val="21"/>
          <w:highlight w:val="none"/>
          <w:lang w:val="en-US" w:eastAsia="zh-CN"/>
          <w14:textFill>
            <w14:solidFill>
              <w14:schemeClr w14:val="tx1"/>
            </w14:solidFill>
          </w14:textFill>
        </w:rPr>
        <w:t>与货物有关的</w:t>
      </w:r>
      <w:r>
        <w:rPr>
          <w:rFonts w:hint="eastAsia" w:ascii="宋体" w:hAnsi="宋体"/>
          <w:color w:val="000000" w:themeColor="text1"/>
          <w:szCs w:val="21"/>
          <w:highlight w:val="none"/>
          <w14:textFill>
            <w14:solidFill>
              <w14:schemeClr w14:val="tx1"/>
            </w14:solidFill>
          </w14:textFill>
        </w:rPr>
        <w:t>技术、管理和</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color w:val="000000" w:themeColor="text1"/>
          <w:szCs w:val="21"/>
          <w:highlight w:val="none"/>
          <w:lang w:eastAsia="zh-CN"/>
          <w14:textFill>
            <w14:solidFill>
              <w14:schemeClr w14:val="tx1"/>
            </w14:solidFill>
          </w14:textFill>
        </w:rPr>
        <w:t>废弃处置、</w:t>
      </w:r>
      <w:r>
        <w:rPr>
          <w:rFonts w:hint="eastAsia" w:ascii="宋体" w:hAnsi="宋体"/>
          <w:color w:val="000000" w:themeColor="text1"/>
          <w:szCs w:val="21"/>
          <w:highlight w:val="none"/>
          <w14:textFill>
            <w14:solidFill>
              <w14:schemeClr w14:val="tx1"/>
            </w14:solidFill>
          </w14:textFill>
        </w:rPr>
        <w:t>技术支持等以及合同中规定乙方应承担的</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义务。</w:t>
      </w:r>
    </w:p>
    <w:p w14:paraId="78D19AE6">
      <w:pPr>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）“分包”系指中标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供应商按采购文件、投标（响应）文件的规定，根据分包意向协议，将中标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项目中的部分履约内容，分给具有相应资质条件的供应商履行合同的行为。</w:t>
      </w:r>
    </w:p>
    <w:p w14:paraId="19A41D59">
      <w:pPr>
        <w:tabs>
          <w:tab w:val="left" w:pos="570"/>
          <w:tab w:val="left" w:pos="9240"/>
          <w:tab w:val="left" w:pos="9555"/>
        </w:tabs>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hint="eastAsia" w:ascii="宋体" w:hAnsi="宋体"/>
          <w:szCs w:val="21"/>
          <w:highlight w:val="none"/>
        </w:rPr>
        <w:t>“联合体”系指</w:t>
      </w:r>
      <w:r>
        <w:rPr>
          <w:rFonts w:hint="eastAsia" w:ascii="宋体" w:hAnsi="宋体"/>
          <w:szCs w:val="21"/>
          <w:highlight w:val="none"/>
          <w:lang w:eastAsia="zh-CN"/>
        </w:rPr>
        <w:t>由</w:t>
      </w:r>
      <w:r>
        <w:rPr>
          <w:rFonts w:hint="eastAsia" w:ascii="宋体" w:hAnsi="宋体"/>
          <w:szCs w:val="21"/>
          <w:highlight w:val="none"/>
        </w:rPr>
        <w:t>两个以上的自然人、法人或者</w:t>
      </w:r>
      <w:r>
        <w:rPr>
          <w:rFonts w:hint="eastAsia" w:ascii="宋体" w:hAnsi="宋体"/>
          <w:szCs w:val="21"/>
          <w:highlight w:val="none"/>
          <w:lang w:val="en-US" w:eastAsia="zh-CN"/>
        </w:rPr>
        <w:t>非法人</w:t>
      </w:r>
      <w:r>
        <w:rPr>
          <w:rFonts w:hint="eastAsia" w:ascii="宋体" w:hAnsi="宋体"/>
          <w:szCs w:val="21"/>
          <w:highlight w:val="none"/>
        </w:rPr>
        <w:t>组织组成，</w:t>
      </w:r>
      <w:r>
        <w:rPr>
          <w:rFonts w:hint="eastAsia" w:ascii="宋体" w:hAnsi="宋体"/>
          <w:szCs w:val="21"/>
          <w:highlight w:val="none"/>
          <w:lang w:eastAsia="zh-CN"/>
        </w:rPr>
        <w:t>以一个供应商的身份共同参加政府采购的主体</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000000" w:themeColor="text1"/>
          <w:szCs w:val="21"/>
          <w:highlight w:val="none"/>
          <w:lang w:eastAsia="zh-CN"/>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承担连带责任。联合体具体要求见【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1F9D4634">
      <w:pPr>
        <w:tabs>
          <w:tab w:val="left" w:pos="570"/>
          <w:tab w:val="left" w:pos="9240"/>
          <w:tab w:val="left" w:pos="9555"/>
        </w:tabs>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）其他术语解释，见【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6A914214">
      <w:pPr>
        <w:numPr>
          <w:ilvl w:val="0"/>
          <w:numId w:val="8"/>
        </w:num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合同标的及金额</w:t>
      </w:r>
    </w:p>
    <w:p w14:paraId="6FF4AC0B">
      <w:pPr>
        <w:autoSpaceDE w:val="0"/>
        <w:autoSpaceDN w:val="0"/>
        <w:adjustRightInd w:val="0"/>
        <w:snapToGrid w:val="0"/>
        <w:spacing w:before="0" w:line="400" w:lineRule="exact"/>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中，甲方不再另行支付</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任何费用。</w:t>
      </w:r>
    </w:p>
    <w:p w14:paraId="381EC33E">
      <w:pPr>
        <w:adjustRightInd w:val="0"/>
        <w:snapToGrid w:val="0"/>
        <w:spacing w:before="0" w:line="40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履行合同的时间、地点和方式</w:t>
      </w:r>
    </w:p>
    <w:p w14:paraId="25AD1BBF">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.1 </w:t>
      </w:r>
      <w:r>
        <w:rPr>
          <w:rFonts w:hint="eastAsia" w:ascii="宋体" w:hAnsi="宋体" w:eastAsia="宋体" w:cs="宋体"/>
          <w:szCs w:val="21"/>
          <w:highlight w:val="none"/>
        </w:rPr>
        <w:t>乙方应当在约定的时间、地点</w:t>
      </w:r>
      <w:r>
        <w:rPr>
          <w:rFonts w:hint="eastAsia" w:ascii="宋体" w:hAnsi="宋体" w:cs="宋体"/>
          <w:szCs w:val="21"/>
          <w:highlight w:val="none"/>
          <w:lang w:eastAsia="zh-CN"/>
        </w:rPr>
        <w:t>，按照约定</w:t>
      </w:r>
      <w:r>
        <w:rPr>
          <w:rFonts w:hint="eastAsia" w:ascii="宋体" w:hAnsi="宋体" w:eastAsia="宋体" w:cs="宋体"/>
          <w:szCs w:val="21"/>
          <w:highlight w:val="none"/>
        </w:rPr>
        <w:t>方式履行合同。</w:t>
      </w:r>
    </w:p>
    <w:p w14:paraId="60EB8CD5">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4</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甲方的权利和义务</w:t>
      </w:r>
    </w:p>
    <w:p w14:paraId="23AE7258">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 xml:space="preserve"> 签署合同后，甲方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r>
        <w:rPr>
          <w:rFonts w:hint="eastAsia" w:ascii="宋体" w:hAnsi="宋体"/>
          <w:color w:val="000000" w:themeColor="text1"/>
          <w:szCs w:val="21"/>
          <w:highlight w:val="none"/>
          <w14:textFill>
            <w14:solidFill>
              <w14:schemeClr w14:val="tx1"/>
            </w14:solidFill>
          </w14:textFill>
        </w:rPr>
        <w:t>甲方有权对乙方的履约行为进行检查，并</w:t>
      </w:r>
      <w:r>
        <w:rPr>
          <w:rFonts w:ascii="宋体" w:hAnsi="宋体"/>
          <w:color w:val="000000" w:themeColor="text1"/>
          <w:szCs w:val="21"/>
          <w:highlight w:val="none"/>
          <w14:textFill>
            <w14:solidFill>
              <w14:schemeClr w14:val="tx1"/>
            </w14:solidFill>
          </w14:textFill>
        </w:rPr>
        <w:t>及时确认乙方提交的事项</w:t>
      </w:r>
      <w:r>
        <w:rPr>
          <w:rFonts w:hint="eastAsia" w:ascii="宋体" w:hAnsi="宋体"/>
          <w:color w:val="000000" w:themeColor="text1"/>
          <w:szCs w:val="21"/>
          <w:highlight w:val="none"/>
          <w14:textFill>
            <w14:solidFill>
              <w14:schemeClr w14:val="tx1"/>
            </w14:solidFill>
          </w14:textFill>
        </w:rPr>
        <w:t>。甲方应当</w:t>
      </w:r>
      <w:r>
        <w:rPr>
          <w:rFonts w:ascii="宋体" w:hAnsi="宋体"/>
          <w:color w:val="000000" w:themeColor="text1"/>
          <w:szCs w:val="21"/>
          <w:highlight w:val="none"/>
          <w14:textFill>
            <w14:solidFill>
              <w14:schemeClr w14:val="tx1"/>
            </w14:solidFill>
          </w14:textFill>
        </w:rPr>
        <w:t>配合乙方完成</w:t>
      </w:r>
      <w:r>
        <w:rPr>
          <w:rFonts w:hint="eastAsia" w:ascii="宋体" w:hAnsi="宋体"/>
          <w:color w:val="000000" w:themeColor="text1"/>
          <w:szCs w:val="21"/>
          <w:highlight w:val="none"/>
          <w14:textFill>
            <w14:solidFill>
              <w14:schemeClr w14:val="tx1"/>
            </w14:solidFill>
          </w14:textFill>
        </w:rPr>
        <w:t>相关项目</w:t>
      </w:r>
      <w:r>
        <w:rPr>
          <w:rFonts w:ascii="宋体" w:hAnsi="宋体"/>
          <w:color w:val="000000" w:themeColor="text1"/>
          <w:szCs w:val="21"/>
          <w:highlight w:val="none"/>
          <w14:textFill>
            <w14:solidFill>
              <w14:schemeClr w14:val="tx1"/>
            </w14:solidFill>
          </w14:textFill>
        </w:rPr>
        <w:t>实施工作。</w:t>
      </w:r>
    </w:p>
    <w:p w14:paraId="5782ADFB">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.2 </w:t>
      </w:r>
      <w:r>
        <w:rPr>
          <w:rFonts w:ascii="宋体" w:hAnsi="宋体"/>
          <w:color w:val="000000" w:themeColor="text1"/>
          <w:szCs w:val="21"/>
          <w:highlight w:val="none"/>
          <w14:textFill>
            <w14:solidFill>
              <w14:schemeClr w14:val="tx1"/>
            </w14:solidFill>
          </w14:textFill>
        </w:rPr>
        <w:t>甲方有权要求乙方按时提交各阶段有关</w:t>
      </w:r>
      <w:r>
        <w:rPr>
          <w:rFonts w:hint="eastAsia" w:ascii="宋体" w:hAnsi="宋体"/>
          <w:color w:val="000000" w:themeColor="text1"/>
          <w:szCs w:val="21"/>
          <w:highlight w:val="none"/>
          <w14:textFill>
            <w14:solidFill>
              <w14:schemeClr w14:val="tx1"/>
            </w14:solidFill>
          </w14:textFill>
        </w:rPr>
        <w:t>安排计划</w:t>
      </w:r>
      <w:r>
        <w:rPr>
          <w:rFonts w:ascii="宋体" w:hAnsi="宋体"/>
          <w:color w:val="000000" w:themeColor="text1"/>
          <w:szCs w:val="21"/>
          <w:highlight w:val="none"/>
          <w14:textFill>
            <w14:solidFill>
              <w14:schemeClr w14:val="tx1"/>
            </w14:solidFill>
          </w14:textFill>
        </w:rPr>
        <w:t>，并有权</w:t>
      </w:r>
      <w:r>
        <w:rPr>
          <w:rFonts w:hint="eastAsia" w:ascii="宋体" w:hAnsi="宋体"/>
          <w:color w:val="000000" w:themeColor="text1"/>
          <w:szCs w:val="21"/>
          <w:highlight w:val="none"/>
          <w14:textFill>
            <w14:solidFill>
              <w14:schemeClr w14:val="tx1"/>
            </w14:solidFill>
          </w14:textFill>
        </w:rPr>
        <w:t>定期核对乙方提供货物数量、规格、质量等内容。甲方</w:t>
      </w:r>
      <w:r>
        <w:rPr>
          <w:rFonts w:ascii="宋体" w:hAnsi="宋体"/>
          <w:color w:val="000000" w:themeColor="text1"/>
          <w:szCs w:val="21"/>
          <w:highlight w:val="none"/>
          <w14:textFill>
            <w14:solidFill>
              <w14:schemeClr w14:val="tx1"/>
            </w14:solidFill>
          </w14:textFill>
        </w:rPr>
        <w:t>有权督促乙方工作并要求乙方</w:t>
      </w:r>
      <w:r>
        <w:rPr>
          <w:rFonts w:hint="eastAsia" w:ascii="宋体" w:hAnsi="宋体"/>
          <w:color w:val="000000" w:themeColor="text1"/>
          <w:szCs w:val="21"/>
          <w:highlight w:val="none"/>
          <w14:textFill>
            <w14:solidFill>
              <w14:schemeClr w14:val="tx1"/>
            </w14:solidFill>
          </w14:textFill>
        </w:rPr>
        <w:t>更</w:t>
      </w:r>
      <w:r>
        <w:rPr>
          <w:rFonts w:ascii="宋体" w:hAnsi="宋体"/>
          <w:color w:val="000000" w:themeColor="text1"/>
          <w:szCs w:val="21"/>
          <w:highlight w:val="none"/>
          <w14:textFill>
            <w14:solidFill>
              <w14:schemeClr w14:val="tx1"/>
            </w14:solidFill>
          </w14:textFill>
        </w:rPr>
        <w:t>换不符合要求的</w:t>
      </w: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w:t>
      </w:r>
    </w:p>
    <w:p w14:paraId="4BD9C200">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有权要求乙方对缺陷部分予以修复，并按合同约定享有货物保修及其他合同约定的权利。</w:t>
      </w:r>
    </w:p>
    <w:p w14:paraId="48265746">
      <w:pPr>
        <w:snapToGrid w:val="0"/>
        <w:spacing w:line="400" w:lineRule="exact"/>
        <w:ind w:firstLine="420" w:firstLineChars="200"/>
        <w:rPr>
          <w:rFonts w:hint="eastAsia" w:eastAsia="华文楷体"/>
          <w:highlight w:val="none"/>
          <w:lang w:val="en-US" w:eastAsia="zh-CN"/>
        </w:rPr>
      </w:pPr>
      <w:r>
        <w:rPr>
          <w:rFonts w:hint="default" w:ascii="宋体" w:hAnsi="宋体"/>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s="宋体"/>
          <w:b w:val="0"/>
          <w:bCs w:val="0"/>
          <w:szCs w:val="21"/>
          <w:highlight w:val="none"/>
          <w:lang w:eastAsia="zh-CN"/>
        </w:rPr>
        <w:t>未</w:t>
      </w:r>
      <w:r>
        <w:rPr>
          <w:rFonts w:hint="eastAsia" w:ascii="宋体" w:hAnsi="宋体"/>
          <w:color w:val="000000" w:themeColor="text1"/>
          <w:szCs w:val="21"/>
          <w:highlight w:val="none"/>
          <w:lang w:val="en-US" w:eastAsia="zh-CN"/>
          <w14:textFill>
            <w14:solidFill>
              <w14:schemeClr w14:val="tx1"/>
            </w14:solidFill>
          </w14:textFill>
        </w:rPr>
        <w:t>在</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约定的期限内对乙方履约提出任何异议或者向乙方作出任何说明的，</w:t>
      </w:r>
      <w:r>
        <w:rPr>
          <w:rFonts w:hint="eastAsia" w:ascii="宋体" w:hAnsi="宋体"/>
          <w:color w:val="000000" w:themeColor="text1"/>
          <w:szCs w:val="21"/>
          <w:highlight w:val="none"/>
          <w:lang w:val="en-US" w:eastAsia="zh-CN"/>
          <w14:textFill>
            <w14:solidFill>
              <w14:schemeClr w14:val="tx1"/>
            </w14:solidFill>
          </w14:textFill>
        </w:rPr>
        <w:t>视为验收通过。</w:t>
      </w:r>
    </w:p>
    <w:p w14:paraId="3859F7AE">
      <w:pPr>
        <w:autoSpaceDE w:val="0"/>
        <w:autoSpaceDN w:val="0"/>
        <w:adjustRightInd w:val="0"/>
        <w:snapToGrid w:val="0"/>
        <w:spacing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default"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default" w:ascii="宋体" w:hAnsi="宋体"/>
          <w:color w:val="000000" w:themeColor="text1"/>
          <w:szCs w:val="21"/>
          <w:highlight w:val="none"/>
          <w:lang w:val="en-US" w:eastAsia="zh-CN"/>
          <w14:textFill>
            <w14:solidFill>
              <w14:schemeClr w14:val="tx1"/>
            </w14:solidFill>
          </w14:textFill>
        </w:rPr>
        <w:t>5</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甲方应当根据合同约定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color w:val="000000" w:themeColor="text1"/>
          <w:szCs w:val="21"/>
          <w:highlight w:val="none"/>
          <w14:textFill>
            <w14:solidFill>
              <w14:schemeClr w14:val="tx1"/>
            </w14:solidFill>
          </w14:textFill>
        </w:rPr>
        <w:t>时向乙方支付</w:t>
      </w:r>
      <w:r>
        <w:rPr>
          <w:rFonts w:hint="eastAsia" w:ascii="宋体" w:hAnsi="宋体"/>
          <w:color w:val="000000" w:themeColor="text1"/>
          <w:szCs w:val="21"/>
          <w:highlight w:val="none"/>
          <w:lang w:eastAsia="zh-CN"/>
          <w14:textFill>
            <w14:solidFill>
              <w14:schemeClr w14:val="tx1"/>
            </w14:solidFill>
          </w14:textFill>
        </w:rPr>
        <w:t>合同价款</w:t>
      </w:r>
      <w:r>
        <w:rPr>
          <w:rFonts w:hint="default" w:ascii="宋体" w:hAnsi="宋体"/>
          <w:color w:val="000000" w:themeColor="text1"/>
          <w:szCs w:val="21"/>
          <w:highlight w:val="none"/>
          <w:lang w:eastAsia="zh-CN"/>
          <w14:textFill>
            <w14:solidFill>
              <w14:schemeClr w14:val="tx1"/>
            </w14:solidFill>
          </w14:textFill>
        </w:rPr>
        <w:t>，不得以内部人员变更、履行内部付款流程等为由，拒绝或迟延支付。</w:t>
      </w:r>
    </w:p>
    <w:p w14:paraId="13F98029">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lang w:eastAsia="zh-CN"/>
          <w14:textFill>
            <w14:solidFill>
              <w14:schemeClr w14:val="tx1"/>
            </w14:solidFill>
          </w14:textFill>
        </w:rPr>
        <w:t>约定应</w:t>
      </w:r>
      <w:r>
        <w:rPr>
          <w:rFonts w:hint="eastAsia" w:ascii="宋体" w:hAnsi="宋体"/>
          <w:color w:val="000000" w:themeColor="text1"/>
          <w:szCs w:val="21"/>
          <w:highlight w:val="none"/>
          <w14:textFill>
            <w14:solidFill>
              <w14:schemeClr w14:val="tx1"/>
            </w14:solidFill>
          </w14:textFill>
        </w:rPr>
        <w:t>由甲方承担的其他义务和责任。</w:t>
      </w:r>
    </w:p>
    <w:p w14:paraId="3BE4692B">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5</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乙方的权利和义务</w:t>
      </w:r>
    </w:p>
    <w:p w14:paraId="449481E5">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 xml:space="preserve">.1 </w:t>
      </w:r>
      <w:r>
        <w:rPr>
          <w:rFonts w:ascii="宋体" w:hAnsi="宋体"/>
          <w:color w:val="000000" w:themeColor="text1"/>
          <w:szCs w:val="21"/>
          <w:highlight w:val="none"/>
          <w14:textFill>
            <w14:solidFill>
              <w14:schemeClr w14:val="tx1"/>
            </w14:solidFill>
          </w14:textFill>
        </w:rPr>
        <w:t>签署合同后，乙方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p>
    <w:p w14:paraId="159CD0F3">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 乙方应按照合同要求</w:t>
      </w:r>
      <w:r>
        <w:rPr>
          <w:rFonts w:hint="eastAsia" w:ascii="宋体" w:hAnsi="宋体"/>
          <w:color w:val="000000" w:themeColor="text1"/>
          <w:szCs w:val="21"/>
          <w:highlight w:val="none"/>
          <w14:textFill>
            <w14:solidFill>
              <w14:schemeClr w14:val="tx1"/>
            </w14:solidFill>
          </w14:textFill>
        </w:rPr>
        <w:t>履约</w:t>
      </w:r>
      <w:r>
        <w:rPr>
          <w:rFonts w:ascii="宋体" w:hAnsi="宋体"/>
          <w:color w:val="000000" w:themeColor="text1"/>
          <w:szCs w:val="21"/>
          <w:highlight w:val="none"/>
          <w14:textFill>
            <w14:solidFill>
              <w14:schemeClr w14:val="tx1"/>
            </w14:solidFill>
          </w14:textFill>
        </w:rPr>
        <w:t>，充分合理安排，确保</w:t>
      </w:r>
      <w:r>
        <w:rPr>
          <w:rFonts w:hint="eastAsia" w:ascii="宋体" w:hAnsi="宋体"/>
          <w:color w:val="000000" w:themeColor="text1"/>
          <w:szCs w:val="21"/>
          <w:highlight w:val="none"/>
          <w14:textFill>
            <w14:solidFill>
              <w14:schemeClr w14:val="tx1"/>
            </w14:solidFill>
          </w14:textFill>
        </w:rPr>
        <w:t>提供的货物</w:t>
      </w:r>
      <w:r>
        <w:rPr>
          <w:rFonts w:hint="eastAsia" w:ascii="宋体" w:hAnsi="宋体"/>
          <w:color w:val="000000" w:themeColor="text1"/>
          <w:szCs w:val="21"/>
          <w:highlight w:val="none"/>
          <w:lang w:eastAsia="zh-CN"/>
          <w14:textFill>
            <w14:solidFill>
              <w14:schemeClr w14:val="tx1"/>
            </w14:solidFill>
          </w14:textFill>
        </w:rPr>
        <w:t>及相关</w:t>
      </w:r>
      <w:r>
        <w:rPr>
          <w:rFonts w:hint="eastAsia" w:ascii="宋体" w:hAnsi="宋体"/>
          <w:color w:val="000000" w:themeColor="text1"/>
          <w:szCs w:val="21"/>
          <w:highlight w:val="none"/>
          <w14:textFill>
            <w14:solidFill>
              <w14:schemeClr w14:val="tx1"/>
            </w14:solidFill>
          </w14:textFill>
        </w:rPr>
        <w:t>服务符合合同</w:t>
      </w:r>
      <w:r>
        <w:rPr>
          <w:rFonts w:hint="eastAsia" w:ascii="宋体" w:hAnsi="宋体"/>
          <w:color w:val="000000" w:themeColor="text1"/>
          <w:szCs w:val="21"/>
          <w:highlight w:val="none"/>
          <w:lang w:eastAsia="zh-CN"/>
          <w14:textFill>
            <w14:solidFill>
              <w14:schemeClr w14:val="tx1"/>
            </w14:solidFill>
          </w14:textFill>
        </w:rPr>
        <w:t>有关</w:t>
      </w:r>
      <w:r>
        <w:rPr>
          <w:rFonts w:ascii="宋体" w:hAnsi="宋体"/>
          <w:color w:val="000000" w:themeColor="text1"/>
          <w:szCs w:val="21"/>
          <w:highlight w:val="none"/>
          <w14:textFill>
            <w14:solidFill>
              <w14:schemeClr w14:val="tx1"/>
            </w14:solidFill>
          </w14:textFill>
        </w:rPr>
        <w:t>要求</w:t>
      </w:r>
      <w:r>
        <w:rPr>
          <w:rFonts w:hint="eastAsia" w:ascii="宋体" w:hAnsi="宋体"/>
          <w:color w:val="000000" w:themeColor="text1"/>
          <w:szCs w:val="21"/>
          <w:highlight w:val="none"/>
          <w14:textFill>
            <w14:solidFill>
              <w14:schemeClr w14:val="tx1"/>
            </w14:solidFill>
          </w14:textFill>
        </w:rPr>
        <w:t>。接受项目行业管理部门及政府有关部门的指导，配合甲方的履约检查</w:t>
      </w:r>
      <w:r>
        <w:rPr>
          <w:rFonts w:hint="eastAsia" w:ascii="宋体" w:hAnsi="宋体"/>
          <w:color w:val="000000" w:themeColor="text1"/>
          <w:szCs w:val="21"/>
          <w:highlight w:val="none"/>
          <w:lang w:eastAsia="zh-CN"/>
          <w14:textFill>
            <w14:solidFill>
              <w14:schemeClr w14:val="tx1"/>
            </w14:solidFill>
          </w14:textFill>
        </w:rPr>
        <w:t>及验收</w:t>
      </w:r>
      <w:r>
        <w:rPr>
          <w:rFonts w:hint="eastAsia" w:ascii="宋体" w:hAnsi="宋体"/>
          <w:color w:val="000000" w:themeColor="text1"/>
          <w:szCs w:val="21"/>
          <w:highlight w:val="none"/>
          <w14:textFill>
            <w14:solidFill>
              <w14:schemeClr w14:val="tx1"/>
            </w14:solidFill>
          </w14:textFill>
        </w:rPr>
        <w:t>，并</w:t>
      </w:r>
      <w:r>
        <w:rPr>
          <w:rFonts w:ascii="宋体" w:hAnsi="宋体"/>
          <w:color w:val="000000" w:themeColor="text1"/>
          <w:szCs w:val="21"/>
          <w:highlight w:val="none"/>
          <w14:textFill>
            <w14:solidFill>
              <w14:schemeClr w14:val="tx1"/>
            </w14:solidFill>
          </w14:textFill>
        </w:rPr>
        <w:t>负责项目实施过程中的所有协调工作。</w:t>
      </w:r>
    </w:p>
    <w:p w14:paraId="02ADEF23">
      <w:pPr>
        <w:pStyle w:val="14"/>
        <w:spacing w:after="0" w:line="400" w:lineRule="exact"/>
        <w:ind w:firstLine="369"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乙方有权</w:t>
      </w:r>
      <w:r>
        <w:rPr>
          <w:rFonts w:hint="eastAsia" w:ascii="宋体" w:hAnsi="宋体" w:cs="宋体"/>
          <w:color w:val="000000" w:themeColor="text1"/>
          <w:szCs w:val="21"/>
          <w:highlight w:val="none"/>
          <w14:textFill>
            <w14:solidFill>
              <w14:schemeClr w14:val="tx1"/>
            </w14:solidFill>
          </w14:textFill>
        </w:rPr>
        <w:t>根据合同约定向甲方收取</w:t>
      </w:r>
      <w:r>
        <w:rPr>
          <w:rFonts w:hint="eastAsia" w:ascii="宋体" w:hAnsi="宋体" w:cs="宋体"/>
          <w:color w:val="000000" w:themeColor="text1"/>
          <w:szCs w:val="21"/>
          <w:highlight w:val="none"/>
          <w:lang w:eastAsia="zh-CN"/>
          <w14:textFill>
            <w14:solidFill>
              <w14:schemeClr w14:val="tx1"/>
            </w14:solidFill>
          </w14:textFill>
        </w:rPr>
        <w:t>合同价款</w:t>
      </w:r>
      <w:r>
        <w:rPr>
          <w:rFonts w:hint="eastAsia" w:ascii="宋体" w:hAnsi="宋体" w:cs="宋体"/>
          <w:color w:val="000000" w:themeColor="text1"/>
          <w:szCs w:val="21"/>
          <w:highlight w:val="none"/>
          <w14:textFill>
            <w14:solidFill>
              <w14:schemeClr w14:val="tx1"/>
            </w14:solidFill>
          </w14:textFill>
        </w:rPr>
        <w:t>。</w:t>
      </w:r>
    </w:p>
    <w:p w14:paraId="6401B602">
      <w:pPr>
        <w:pStyle w:val="14"/>
        <w:spacing w:after="0" w:line="400" w:lineRule="exact"/>
        <w:ind w:firstLine="369"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约定应</w:t>
      </w:r>
      <w:r>
        <w:rPr>
          <w:rFonts w:hint="eastAsia" w:ascii="宋体" w:hAnsi="宋体" w:cs="宋体"/>
          <w:color w:val="000000" w:themeColor="text1"/>
          <w:szCs w:val="21"/>
          <w:highlight w:val="none"/>
          <w14:textFill>
            <w14:solidFill>
              <w14:schemeClr w14:val="tx1"/>
            </w14:solidFill>
          </w14:textFill>
        </w:rPr>
        <w:t>由乙方承担的其他义务和责任。</w:t>
      </w:r>
    </w:p>
    <w:p w14:paraId="161BCF3D">
      <w:pPr>
        <w:numPr>
          <w:ilvl w:val="0"/>
          <w:numId w:val="9"/>
        </w:numPr>
        <w:autoSpaceDE w:val="0"/>
        <w:autoSpaceDN w:val="0"/>
        <w:adjustRightInd w:val="0"/>
        <w:snapToGrid w:val="0"/>
        <w:spacing w:before="0" w:line="400" w:lineRule="exact"/>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合同履</w:t>
      </w:r>
      <w:r>
        <w:rPr>
          <w:rFonts w:hint="eastAsia" w:ascii="宋体" w:hAnsi="宋体"/>
          <w:b/>
          <w:bCs/>
          <w:color w:val="000000" w:themeColor="text1"/>
          <w:sz w:val="24"/>
          <w:highlight w:val="none"/>
          <w:lang w:val="en-US" w:eastAsia="zh-CN"/>
          <w14:textFill>
            <w14:solidFill>
              <w14:schemeClr w14:val="tx1"/>
            </w14:solidFill>
          </w14:textFill>
        </w:rPr>
        <w:t>行</w:t>
      </w:r>
    </w:p>
    <w:p w14:paraId="7326EDFB">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.1 甲乙双方应当按照</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14:textFill>
            <w14:solidFill>
              <w14:schemeClr w14:val="tx1"/>
            </w14:solidFill>
          </w14:textFill>
        </w:rPr>
        <w:t>约定顺序履行合同义务；如果没有先后顺序的，应当同时履行。</w:t>
      </w:r>
    </w:p>
    <w:p w14:paraId="1D7F2D1A">
      <w:pPr>
        <w:autoSpaceDE w:val="0"/>
        <w:autoSpaceDN w:val="0"/>
        <w:adjustRightInd w:val="0"/>
        <w:snapToGrid w:val="0"/>
        <w:spacing w:before="0" w:line="400" w:lineRule="exact"/>
        <w:ind w:firstLine="420" w:firstLineChars="200"/>
        <w:jc w:val="left"/>
        <w:rPr>
          <w:highlight w:val="none"/>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3AE51E23">
      <w:pPr>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7</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货物包装、运输</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b/>
          <w:bCs/>
          <w:color w:val="000000" w:themeColor="text1"/>
          <w:sz w:val="24"/>
          <w:highlight w:val="none"/>
          <w14:textFill>
            <w14:solidFill>
              <w14:schemeClr w14:val="tx1"/>
            </w14:solidFill>
          </w14:textFill>
        </w:rPr>
        <w:t>保险</w:t>
      </w:r>
      <w:r>
        <w:rPr>
          <w:rFonts w:hint="eastAsia" w:ascii="宋体" w:hAnsi="宋体"/>
          <w:b/>
          <w:bCs/>
          <w:color w:val="000000" w:themeColor="text1"/>
          <w:sz w:val="24"/>
          <w:highlight w:val="none"/>
          <w:lang w:eastAsia="zh-CN"/>
          <w14:textFill>
            <w14:solidFill>
              <w14:schemeClr w14:val="tx1"/>
            </w14:solidFill>
          </w14:textFill>
        </w:rPr>
        <w:t>和交付</w:t>
      </w:r>
      <w:r>
        <w:rPr>
          <w:rFonts w:hint="eastAsia" w:ascii="宋体" w:hAnsi="宋体"/>
          <w:b/>
          <w:bCs/>
          <w:color w:val="000000" w:themeColor="text1"/>
          <w:sz w:val="24"/>
          <w:highlight w:val="none"/>
          <w14:textFill>
            <w14:solidFill>
              <w14:schemeClr w14:val="tx1"/>
            </w14:solidFill>
          </w14:textFill>
        </w:rPr>
        <w:t>要求</w:t>
      </w:r>
    </w:p>
    <w:p w14:paraId="524C1BEA">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.1 本合同</w:t>
      </w:r>
      <w:r>
        <w:rPr>
          <w:rFonts w:hint="eastAsia" w:ascii="宋体" w:hAnsi="宋体"/>
          <w:bCs/>
          <w:color w:val="000000" w:themeColor="text1"/>
          <w:szCs w:val="21"/>
          <w:highlight w:val="none"/>
          <w14:textFill>
            <w14:solidFill>
              <w14:schemeClr w14:val="tx1"/>
            </w14:solidFill>
          </w14:textFill>
        </w:rPr>
        <w:t>涉及商品包装</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快递包装的，</w:t>
      </w:r>
      <w:r>
        <w:rPr>
          <w:rFonts w:hint="eastAsia" w:ascii="宋体" w:hAnsi="宋体"/>
          <w:color w:val="000000" w:themeColor="text1"/>
          <w:szCs w:val="21"/>
          <w:highlight w:val="none"/>
          <w14:textFill>
            <w14:solidFill>
              <w14:schemeClr w14:val="tx1"/>
            </w14:solidFill>
          </w14:textFill>
        </w:rPr>
        <w:t>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 w:val="0"/>
          <w:bCs/>
          <w:color w:val="000000" w:themeColor="text1"/>
          <w:szCs w:val="21"/>
          <w:highlight w:val="none"/>
          <w:lang w:eastAsia="zh-CN"/>
          <w14:textFill>
            <w14:solidFill>
              <w14:schemeClr w14:val="tx1"/>
            </w14:solidFill>
          </w14:textFill>
        </w:rPr>
        <w:t>约定的</w:t>
      </w:r>
      <w:r>
        <w:rPr>
          <w:rFonts w:hint="eastAsia" w:ascii="宋体" w:hAnsi="宋体"/>
          <w:color w:val="000000" w:themeColor="text1"/>
          <w:szCs w:val="21"/>
          <w:highlight w:val="none"/>
          <w:lang w:eastAsia="zh-CN"/>
          <w14:textFill>
            <w14:solidFill>
              <w14:schemeClr w14:val="tx1"/>
            </w14:solidFill>
          </w14:textFill>
        </w:rPr>
        <w:t>要求</w:t>
      </w:r>
      <w:r>
        <w:rPr>
          <w:rFonts w:hint="eastAsia" w:ascii="宋体" w:hAnsi="宋体"/>
          <w:color w:val="000000" w:themeColor="text1"/>
          <w:szCs w:val="21"/>
          <w:highlight w:val="none"/>
          <w14:textFill>
            <w14:solidFill>
              <w14:schemeClr w14:val="tx1"/>
            </w14:solidFill>
          </w14:textFill>
        </w:rPr>
        <w:t>现场。</w:t>
      </w:r>
    </w:p>
    <w:p w14:paraId="793364EA">
      <w:pPr>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.2 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乙方负责办理将货物运抵本合同规定的交货地点</w:t>
      </w:r>
      <w:r>
        <w:rPr>
          <w:rFonts w:hint="eastAsia" w:ascii="宋体" w:hAnsi="宋体"/>
          <w:color w:val="000000" w:themeColor="text1"/>
          <w:szCs w:val="21"/>
          <w:highlight w:val="none"/>
          <w:lang w:eastAsia="zh-CN"/>
          <w14:textFill>
            <w14:solidFill>
              <w14:schemeClr w14:val="tx1"/>
            </w14:solidFill>
          </w14:textFill>
        </w:rPr>
        <w:t>，并装卸、交付至甲方</w:t>
      </w:r>
      <w:r>
        <w:rPr>
          <w:rFonts w:hint="eastAsia" w:ascii="宋体" w:hAnsi="宋体"/>
          <w:color w:val="000000" w:themeColor="text1"/>
          <w:szCs w:val="21"/>
          <w:highlight w:val="none"/>
          <w14:textFill>
            <w14:solidFill>
              <w14:schemeClr w14:val="tx1"/>
            </w14:solidFill>
          </w14:textFill>
        </w:rPr>
        <w:t>的一切运输事项，相关费用应</w:t>
      </w:r>
      <w:r>
        <w:rPr>
          <w:rFonts w:hint="eastAsia" w:ascii="宋体" w:hAnsi="宋体"/>
          <w:color w:val="000000" w:themeColor="text1"/>
          <w:szCs w:val="21"/>
          <w:highlight w:val="none"/>
          <w:lang w:eastAsia="zh-CN"/>
          <w14:textFill>
            <w14:solidFill>
              <w14:schemeClr w14:val="tx1"/>
            </w14:solidFill>
          </w14:textFill>
        </w:rPr>
        <w:t>包含</w:t>
      </w:r>
      <w:r>
        <w:rPr>
          <w:rFonts w:hint="eastAsia" w:ascii="宋体" w:hAnsi="宋体"/>
          <w:color w:val="000000" w:themeColor="text1"/>
          <w:szCs w:val="21"/>
          <w:highlight w:val="none"/>
          <w14:textFill>
            <w14:solidFill>
              <w14:schemeClr w14:val="tx1"/>
            </w14:solidFill>
          </w14:textFill>
        </w:rPr>
        <w:t>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w:t>
      </w:r>
    </w:p>
    <w:p w14:paraId="2995B699">
      <w:pPr>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.3 货物保险要求按</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规定执行</w:t>
      </w:r>
      <w:r>
        <w:rPr>
          <w:rFonts w:hint="eastAsia" w:ascii="宋体" w:hAnsi="宋体"/>
          <w:color w:val="000000" w:themeColor="text1"/>
          <w:szCs w:val="21"/>
          <w:highlight w:val="none"/>
          <w14:textFill>
            <w14:solidFill>
              <w14:schemeClr w14:val="tx1"/>
            </w14:solidFill>
          </w14:textFill>
        </w:rPr>
        <w:t>。</w:t>
      </w:r>
    </w:p>
    <w:p w14:paraId="03637F0C">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 xml:space="preserve">.4 </w:t>
      </w:r>
      <w:r>
        <w:rPr>
          <w:rFonts w:hint="eastAsia" w:ascii="宋体" w:hAnsi="宋体"/>
          <w:color w:val="000000" w:themeColor="text1"/>
          <w:szCs w:val="21"/>
          <w:highlight w:val="none"/>
          <w:lang w:val="en-US" w:eastAsia="zh-CN"/>
          <w14:textFill>
            <w14:solidFill>
              <w14:schemeClr w14:val="tx1"/>
            </w14:solidFill>
          </w14:textFill>
        </w:rPr>
        <w:t>除采购活动</w:t>
      </w:r>
      <w:r>
        <w:rPr>
          <w:rFonts w:hint="eastAsia" w:ascii="宋体" w:hAnsi="宋体"/>
          <w:color w:val="000000" w:themeColor="text1"/>
          <w:szCs w:val="21"/>
          <w:highlight w:val="none"/>
          <w14:textFill>
            <w14:solidFill>
              <w14:schemeClr w14:val="tx1"/>
            </w14:solidFill>
          </w14:textFill>
        </w:rPr>
        <w:t>对商品包装</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w:t>
      </w:r>
      <w:r>
        <w:rPr>
          <w:rFonts w:hint="eastAsia" w:ascii="宋体" w:hAnsi="宋体"/>
          <w:color w:val="000000" w:themeColor="text1"/>
          <w:szCs w:val="21"/>
          <w:highlight w:val="none"/>
          <w:lang w:val="en-US" w:eastAsia="zh-CN"/>
          <w14:textFill>
            <w14:solidFill>
              <w14:schemeClr w14:val="tx1"/>
            </w14:solidFill>
          </w14:textFill>
        </w:rPr>
        <w:t>达成具体约定外</w:t>
      </w:r>
      <w:r>
        <w:rPr>
          <w:rFonts w:hint="eastAsia" w:ascii="宋体" w:hAnsi="宋体"/>
          <w:color w:val="000000" w:themeColor="text1"/>
          <w:szCs w:val="21"/>
          <w:highlight w:val="none"/>
          <w14:textFill>
            <w14:solidFill>
              <w14:schemeClr w14:val="tx1"/>
            </w14:solidFill>
          </w14:textFill>
        </w:rPr>
        <w:t>，乙方提供产品及相关快递服务</w:t>
      </w:r>
      <w:r>
        <w:rPr>
          <w:rFonts w:hint="eastAsia" w:ascii="宋体" w:hAnsi="宋体"/>
          <w:color w:val="000000" w:themeColor="text1"/>
          <w:szCs w:val="21"/>
          <w:highlight w:val="none"/>
          <w:lang w:val="en-US" w:eastAsia="zh-CN"/>
          <w14:textFill>
            <w14:solidFill>
              <w14:schemeClr w14:val="tx1"/>
            </w14:solidFill>
          </w14:textFill>
        </w:rPr>
        <w:t>涉及到</w:t>
      </w:r>
      <w:r>
        <w:rPr>
          <w:rFonts w:hint="eastAsia" w:ascii="宋体" w:hAnsi="宋体"/>
          <w:color w:val="000000" w:themeColor="text1"/>
          <w:szCs w:val="21"/>
          <w:highlight w:val="none"/>
          <w14:textFill>
            <w14:solidFill>
              <w14:schemeClr w14:val="tx1"/>
            </w14:solidFill>
          </w14:textFill>
        </w:rPr>
        <w:t>具体包装要求</w:t>
      </w:r>
      <w:r>
        <w:rPr>
          <w:rFonts w:hint="eastAsia" w:ascii="宋体" w:hAnsi="宋体"/>
          <w:color w:val="000000" w:themeColor="text1"/>
          <w:szCs w:val="21"/>
          <w:highlight w:val="none"/>
          <w:lang w:val="en-US" w:eastAsia="zh-CN"/>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应</w:t>
      </w:r>
      <w:r>
        <w:rPr>
          <w:rFonts w:hint="eastAsia" w:ascii="宋体" w:hAnsi="宋体"/>
          <w:color w:val="000000" w:themeColor="text1"/>
          <w:szCs w:val="21"/>
          <w:highlight w:val="none"/>
          <w:lang w:val="en-US" w:eastAsia="zh-CN"/>
          <w14:textFill>
            <w14:solidFill>
              <w14:schemeClr w14:val="tx1"/>
            </w14:solidFill>
          </w14:textFill>
        </w:rPr>
        <w:t>不低于</w:t>
      </w:r>
      <w:r>
        <w:rPr>
          <w:rFonts w:hint="eastAsia" w:ascii="宋体" w:hAnsi="宋体"/>
          <w:color w:val="000000" w:themeColor="text1"/>
          <w:szCs w:val="21"/>
          <w:highlight w:val="none"/>
          <w14:textFill>
            <w14:solidFill>
              <w14:schemeClr w14:val="tx1"/>
            </w14:solidFill>
          </w14:textFill>
        </w:rPr>
        <w:t>《商品包装政府采购需求标准（试行）</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快递包装政府采购需求标准（试行）》</w:t>
      </w:r>
      <w:r>
        <w:rPr>
          <w:rFonts w:hint="eastAsia" w:ascii="宋体" w:hAnsi="宋体"/>
          <w:color w:val="000000" w:themeColor="text1"/>
          <w:szCs w:val="21"/>
          <w:highlight w:val="none"/>
          <w:lang w:val="en-US" w:eastAsia="zh-CN"/>
          <w14:textFill>
            <w14:solidFill>
              <w14:schemeClr w14:val="tx1"/>
            </w14:solidFill>
          </w14:textFill>
        </w:rPr>
        <w:t>标准</w:t>
      </w:r>
      <w:r>
        <w:rPr>
          <w:rFonts w:hint="eastAsia" w:ascii="宋体" w:hAnsi="宋体"/>
          <w:color w:val="000000" w:themeColor="text1"/>
          <w:szCs w:val="21"/>
          <w:highlight w:val="none"/>
          <w14:textFill>
            <w14:solidFill>
              <w14:schemeClr w14:val="tx1"/>
            </w14:solidFill>
          </w14:textFill>
        </w:rPr>
        <w:t>，并作为履约验收的内容，必要时甲方可以要求乙方在履约验收环节出具检测报告。</w:t>
      </w:r>
    </w:p>
    <w:p w14:paraId="0CF1CF54">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 xml:space="preserve">7.5 </w:t>
      </w:r>
      <w:r>
        <w:rPr>
          <w:rFonts w:hint="eastAsia" w:ascii="宋体" w:hAnsi="宋体" w:eastAsia="宋体" w:cs="宋体"/>
          <w:color w:val="000000"/>
          <w:szCs w:val="21"/>
          <w:highlight w:val="none"/>
        </w:rPr>
        <w:t>乙方在运输到达之前</w:t>
      </w:r>
      <w:r>
        <w:rPr>
          <w:rFonts w:hint="eastAsia" w:ascii="宋体" w:hAnsi="宋体" w:cs="宋体"/>
          <w:color w:val="000000"/>
          <w:szCs w:val="21"/>
          <w:highlight w:val="none"/>
          <w:lang w:eastAsia="zh-CN"/>
        </w:rPr>
        <w:t>应</w:t>
      </w:r>
      <w:r>
        <w:rPr>
          <w:rFonts w:hint="eastAsia" w:ascii="宋体" w:hAnsi="宋体" w:eastAsia="宋体" w:cs="宋体"/>
          <w:color w:val="000000"/>
          <w:szCs w:val="21"/>
          <w:highlight w:val="none"/>
        </w:rPr>
        <w:t>提前通知</w:t>
      </w:r>
      <w:r>
        <w:rPr>
          <w:rFonts w:hint="eastAsia" w:ascii="宋体" w:hAnsi="宋体" w:cs="宋体"/>
          <w:color w:val="000000"/>
          <w:szCs w:val="21"/>
          <w:highlight w:val="none"/>
          <w:lang w:eastAsia="zh-CN"/>
        </w:rPr>
        <w:t>甲方</w:t>
      </w:r>
      <w:r>
        <w:rPr>
          <w:rFonts w:hint="eastAsia" w:ascii="宋体" w:hAnsi="宋体" w:eastAsia="宋体" w:cs="宋体"/>
          <w:color w:val="000000"/>
          <w:szCs w:val="21"/>
          <w:highlight w:val="none"/>
        </w:rPr>
        <w:t>，并提示货物运输装卸的注意事项</w:t>
      </w:r>
      <w:r>
        <w:rPr>
          <w:rFonts w:hint="eastAsia" w:ascii="宋体" w:hAnsi="宋体" w:cs="宋体"/>
          <w:color w:val="000000"/>
          <w:szCs w:val="21"/>
          <w:highlight w:val="none"/>
          <w:lang w:eastAsia="zh-CN"/>
        </w:rPr>
        <w:t>，甲方配合乙方做好货物的接收工作。</w:t>
      </w:r>
    </w:p>
    <w:p w14:paraId="2E4C5B05">
      <w:pPr>
        <w:pStyle w:val="40"/>
        <w:rPr>
          <w:rFonts w:hint="default" w:eastAsia="华文楷体"/>
          <w:sz w:val="21"/>
          <w:highlight w:val="none"/>
          <w:lang w:val="en-US" w:eastAsia="zh-CN"/>
        </w:rPr>
      </w:pPr>
      <w:r>
        <w:rPr>
          <w:rFonts w:hint="eastAsia" w:ascii="宋体" w:hAnsi="宋体" w:eastAsia="宋体" w:cs="Times New Roman"/>
          <w:color w:val="000000" w:themeColor="text1"/>
          <w:kern w:val="2"/>
          <w:sz w:val="21"/>
          <w:szCs w:val="21"/>
          <w:highlight w:val="none"/>
          <w:lang w:val="en-US" w:eastAsia="zh-CN"/>
          <w14:textFill>
            <w14:solidFill>
              <w14:schemeClr w14:val="tx1"/>
            </w14:solidFill>
          </w14:textFill>
        </w:rPr>
        <w:t xml:space="preserve">7.6 </w:t>
      </w:r>
      <w:r>
        <w:rPr>
          <w:rFonts w:hint="eastAsia" w:ascii="宋体" w:hAnsi="宋体" w:eastAsia="宋体" w:cs="Times New Roman"/>
          <w:color w:val="000000"/>
          <w:kern w:val="2"/>
          <w:sz w:val="21"/>
          <w:szCs w:val="21"/>
          <w:highlight w:val="none"/>
        </w:rPr>
        <w:t>如因包装</w:t>
      </w:r>
      <w:r>
        <w:rPr>
          <w:rFonts w:hint="eastAsia" w:ascii="宋体" w:hAnsi="宋体" w:eastAsia="宋体" w:cs="Times New Roman"/>
          <w:color w:val="000000"/>
          <w:kern w:val="2"/>
          <w:sz w:val="21"/>
          <w:szCs w:val="21"/>
          <w:highlight w:val="none"/>
          <w:lang w:eastAsia="zh-CN"/>
        </w:rPr>
        <w:t>、运输</w:t>
      </w:r>
      <w:r>
        <w:rPr>
          <w:rFonts w:hint="eastAsia" w:ascii="宋体" w:hAnsi="宋体" w:eastAsia="宋体" w:cs="Times New Roman"/>
          <w:color w:val="000000"/>
          <w:kern w:val="2"/>
          <w:sz w:val="21"/>
          <w:szCs w:val="21"/>
          <w:highlight w:val="none"/>
        </w:rPr>
        <w:t>问题导致货物</w:t>
      </w:r>
      <w:r>
        <w:rPr>
          <w:rFonts w:hint="eastAsia" w:ascii="宋体" w:hAnsi="宋体" w:eastAsia="宋体" w:cs="Times New Roman"/>
          <w:color w:val="000000" w:themeColor="text1"/>
          <w:kern w:val="2"/>
          <w:sz w:val="21"/>
          <w:szCs w:val="21"/>
          <w:highlight w:val="none"/>
          <w:lang w:eastAsia="zh-CN"/>
          <w14:textFill>
            <w14:solidFill>
              <w14:schemeClr w14:val="tx1"/>
            </w14:solidFill>
          </w14:textFill>
        </w:rPr>
        <w:t>损毁、丢失</w:t>
      </w:r>
      <w:r>
        <w:rPr>
          <w:rFonts w:hint="eastAsia" w:ascii="宋体" w:hAnsi="宋体" w:eastAsia="宋体" w:cs="Times New Roman"/>
          <w:color w:val="000000"/>
          <w:kern w:val="2"/>
          <w:sz w:val="21"/>
          <w:szCs w:val="21"/>
          <w:highlight w:val="none"/>
        </w:rPr>
        <w:t>或者品质下降，</w:t>
      </w:r>
      <w:r>
        <w:rPr>
          <w:rFonts w:hint="eastAsia" w:ascii="宋体" w:hAnsi="宋体" w:eastAsia="宋体" w:cs="Times New Roman"/>
          <w:color w:val="000000"/>
          <w:kern w:val="2"/>
          <w:sz w:val="21"/>
          <w:szCs w:val="21"/>
          <w:highlight w:val="none"/>
          <w:lang w:eastAsia="zh-CN"/>
        </w:rPr>
        <w:t>甲方</w:t>
      </w:r>
      <w:r>
        <w:rPr>
          <w:rFonts w:hint="eastAsia" w:ascii="宋体" w:hAnsi="宋体" w:eastAsia="宋体" w:cs="Times New Roman"/>
          <w:color w:val="000000"/>
          <w:kern w:val="2"/>
          <w:sz w:val="21"/>
          <w:szCs w:val="21"/>
          <w:highlight w:val="none"/>
        </w:rPr>
        <w:t>有权要求降价、换货、拒收部分或整批货物，由此</w:t>
      </w:r>
      <w:r>
        <w:rPr>
          <w:rFonts w:hint="eastAsia" w:ascii="宋体" w:hAnsi="宋体" w:eastAsia="宋体" w:cs="Times New Roman"/>
          <w:color w:val="000000"/>
          <w:kern w:val="2"/>
          <w:sz w:val="21"/>
          <w:szCs w:val="21"/>
          <w:highlight w:val="none"/>
          <w:lang w:eastAsia="zh-CN"/>
        </w:rPr>
        <w:t>产生</w:t>
      </w:r>
      <w:r>
        <w:rPr>
          <w:rFonts w:hint="eastAsia" w:ascii="宋体" w:hAnsi="宋体" w:eastAsia="宋体" w:cs="Times New Roman"/>
          <w:color w:val="000000"/>
          <w:kern w:val="2"/>
          <w:sz w:val="21"/>
          <w:szCs w:val="21"/>
          <w:highlight w:val="none"/>
        </w:rPr>
        <w:t>的费用和损失，均由</w:t>
      </w:r>
      <w:r>
        <w:rPr>
          <w:rFonts w:hint="eastAsia" w:ascii="宋体" w:hAnsi="宋体" w:eastAsia="宋体" w:cs="Times New Roman"/>
          <w:color w:val="000000"/>
          <w:kern w:val="2"/>
          <w:sz w:val="21"/>
          <w:szCs w:val="21"/>
          <w:highlight w:val="none"/>
          <w:lang w:eastAsia="zh-CN"/>
        </w:rPr>
        <w:t>乙方</w:t>
      </w:r>
      <w:r>
        <w:rPr>
          <w:rFonts w:hint="eastAsia" w:ascii="宋体" w:hAnsi="宋体" w:eastAsia="宋体" w:cs="Times New Roman"/>
          <w:color w:val="000000"/>
          <w:kern w:val="2"/>
          <w:sz w:val="21"/>
          <w:szCs w:val="21"/>
          <w:highlight w:val="none"/>
        </w:rPr>
        <w:t>承担。</w:t>
      </w:r>
    </w:p>
    <w:p w14:paraId="643A7BF6">
      <w:pPr>
        <w:adjustRightInd w:val="0"/>
        <w:snapToGrid w:val="0"/>
        <w:spacing w:before="0" w:line="400" w:lineRule="exact"/>
        <w:jc w:val="left"/>
        <w:rPr>
          <w:rFonts w:ascii="宋体" w:hAnsi="宋体"/>
          <w:b/>
          <w:color w:val="auto"/>
          <w:sz w:val="24"/>
          <w:highlight w:val="none"/>
        </w:rPr>
      </w:pPr>
      <w:r>
        <w:rPr>
          <w:rFonts w:hint="eastAsia" w:ascii="宋体" w:hAnsi="宋体"/>
          <w:b/>
          <w:color w:val="000000" w:themeColor="text1"/>
          <w:sz w:val="24"/>
          <w:highlight w:val="none"/>
          <w:lang w:eastAsia="zh-CN"/>
          <w14:textFill>
            <w14:solidFill>
              <w14:schemeClr w14:val="tx1"/>
            </w14:solidFill>
          </w14:textFill>
        </w:rPr>
        <w:t>8</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auto"/>
          <w:sz w:val="24"/>
          <w:highlight w:val="none"/>
        </w:rPr>
        <w:t>质量标准和保证</w:t>
      </w:r>
    </w:p>
    <w:p w14:paraId="398D0B17">
      <w:pPr>
        <w:pStyle w:val="17"/>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lang w:eastAsia="zh-CN"/>
        </w:rPr>
        <w:t>8</w:t>
      </w:r>
      <w:r>
        <w:rPr>
          <w:rFonts w:hint="eastAsia" w:hAnsi="宋体"/>
          <w:color w:val="auto"/>
          <w:highlight w:val="none"/>
        </w:rPr>
        <w:t>.1 质量标准</w:t>
      </w:r>
    </w:p>
    <w:p w14:paraId="056DA735">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000000"/>
          <w:szCs w:val="21"/>
          <w:highlight w:val="none"/>
          <w:lang w:eastAsia="zh-CN"/>
        </w:rPr>
        <w:t>约</w:t>
      </w:r>
      <w:r>
        <w:rPr>
          <w:rFonts w:hint="eastAsia" w:ascii="宋体" w:hAnsi="宋体" w:eastAsia="宋体" w:cs="宋体"/>
          <w:color w:val="000000"/>
          <w:szCs w:val="21"/>
          <w:highlight w:val="none"/>
        </w:rPr>
        <w:t>定的</w:t>
      </w:r>
      <w:r>
        <w:rPr>
          <w:rFonts w:hint="eastAsia" w:ascii="宋体" w:hAnsi="宋体" w:eastAsia="宋体" w:cs="宋体"/>
          <w:szCs w:val="21"/>
          <w:highlight w:val="none"/>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716C0D0B">
      <w:pPr>
        <w:pStyle w:val="17"/>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37F74A4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505656D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0ED2D05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2417954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highlight w:val="none"/>
        </w:rPr>
        <w:t>在其使用寿命期内具</w:t>
      </w:r>
      <w:r>
        <w:rPr>
          <w:rFonts w:hint="eastAsia" w:ascii="宋体" w:hAnsi="宋体" w:cs="宋体"/>
          <w:szCs w:val="21"/>
          <w:highlight w:val="none"/>
          <w:lang w:eastAsia="zh-CN"/>
        </w:rPr>
        <w:t>备合同约定</w:t>
      </w:r>
      <w:r>
        <w:rPr>
          <w:rFonts w:hint="eastAsia" w:ascii="宋体" w:hAnsi="宋体" w:eastAsia="宋体" w:cs="宋体"/>
          <w:szCs w:val="21"/>
          <w:highlight w:val="none"/>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5E3D6F8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799EC70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104DD5D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auto"/>
          <w:szCs w:val="21"/>
          <w:highlight w:val="none"/>
        </w:rPr>
        <w:t>.1条规定以书面形式</w:t>
      </w:r>
      <w:r>
        <w:rPr>
          <w:rFonts w:hint="eastAsia" w:ascii="宋体" w:hAnsi="宋体"/>
          <w:color w:val="000000" w:themeColor="text1"/>
          <w:szCs w:val="21"/>
          <w:highlight w:val="none"/>
          <w:lang w:eastAsia="zh-CN"/>
          <w14:textFill>
            <w14:solidFill>
              <w14:schemeClr w14:val="tx1"/>
            </w14:solidFill>
          </w14:textFill>
        </w:rPr>
        <w:t>追究</w:t>
      </w:r>
      <w:r>
        <w:rPr>
          <w:rFonts w:hint="eastAsia" w:ascii="宋体" w:hAnsi="宋体"/>
          <w:color w:val="auto"/>
          <w:szCs w:val="21"/>
          <w:highlight w:val="none"/>
        </w:rPr>
        <w:t>乙方</w:t>
      </w:r>
      <w:r>
        <w:rPr>
          <w:rFonts w:hint="eastAsia" w:ascii="宋体" w:hAnsi="宋体"/>
          <w:color w:val="000000" w:themeColor="text1"/>
          <w:szCs w:val="21"/>
          <w:highlight w:val="none"/>
          <w:lang w:eastAsia="zh-CN"/>
          <w14:textFill>
            <w14:solidFill>
              <w14:schemeClr w14:val="tx1"/>
            </w14:solidFill>
          </w14:textFill>
        </w:rPr>
        <w:t>的违约责任</w:t>
      </w:r>
      <w:r>
        <w:rPr>
          <w:rFonts w:hint="eastAsia" w:ascii="宋体" w:hAnsi="宋体"/>
          <w:color w:val="auto"/>
          <w:szCs w:val="21"/>
          <w:highlight w:val="none"/>
        </w:rPr>
        <w:t>。</w:t>
      </w:r>
    </w:p>
    <w:p w14:paraId="384B782C">
      <w:pPr>
        <w:adjustRightInd w:val="0"/>
        <w:snapToGrid w:val="0"/>
        <w:spacing w:before="0"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56CC4F5B">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000000" w:themeColor="text1"/>
          <w:sz w:val="24"/>
          <w:highlight w:val="none"/>
          <w:lang w:eastAsia="zh-CN"/>
          <w14:textFill>
            <w14:solidFill>
              <w14:schemeClr w14:val="tx1"/>
            </w14:solidFill>
          </w14:textFill>
        </w:rPr>
        <w:t>9</w:t>
      </w:r>
      <w:r>
        <w:rPr>
          <w:rFonts w:hint="eastAsia" w:ascii="宋体" w:hAnsi="宋体"/>
          <w:b/>
          <w:bCs/>
          <w:color w:val="auto"/>
          <w:sz w:val="24"/>
          <w:highlight w:val="none"/>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auto"/>
          <w:sz w:val="24"/>
          <w:highlight w:val="none"/>
        </w:rPr>
        <w:t>权利瑕疵担保</w:t>
      </w:r>
    </w:p>
    <w:p w14:paraId="164E0E76">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.1 乙方保证对其出售的货物享有合法的权利。</w:t>
      </w:r>
    </w:p>
    <w:p w14:paraId="60A84D85">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 xml:space="preserve">.2 </w:t>
      </w:r>
      <w:r>
        <w:rPr>
          <w:rFonts w:hint="eastAsia" w:ascii="宋体" w:hAnsi="宋体" w:eastAsia="宋体" w:cs="宋体"/>
          <w:szCs w:val="15"/>
          <w:highlight w:val="none"/>
        </w:rPr>
        <w:t>乙方保证在交付的货物上不存在抵押权等担保物权。</w:t>
      </w:r>
    </w:p>
    <w:p w14:paraId="24641BB9">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.3 如甲方使用</w:t>
      </w:r>
      <w:r>
        <w:rPr>
          <w:rFonts w:hint="eastAsia" w:ascii="宋体" w:hAnsi="宋体"/>
          <w:color w:val="000000" w:themeColor="text1"/>
          <w:szCs w:val="21"/>
          <w:highlight w:val="none"/>
          <w:lang w:val="en-US" w:eastAsia="zh-CN"/>
          <w14:textFill>
            <w14:solidFill>
              <w14:schemeClr w14:val="tx1"/>
            </w14:solidFill>
          </w14:textFill>
        </w:rPr>
        <w:t>上述</w:t>
      </w:r>
      <w:r>
        <w:rPr>
          <w:rFonts w:hint="eastAsia" w:ascii="宋体" w:hAnsi="宋体"/>
          <w:color w:val="000000" w:themeColor="text1"/>
          <w:szCs w:val="21"/>
          <w:highlight w:val="none"/>
          <w14:textFill>
            <w14:solidFill>
              <w14:schemeClr w14:val="tx1"/>
            </w14:solidFill>
          </w14:textFill>
        </w:rPr>
        <w:t>货物构成</w:t>
      </w:r>
      <w:r>
        <w:rPr>
          <w:rFonts w:hint="eastAsia" w:ascii="宋体" w:hAnsi="宋体"/>
          <w:color w:val="000000" w:themeColor="text1"/>
          <w:szCs w:val="21"/>
          <w:highlight w:val="none"/>
          <w:lang w:val="en-US" w:eastAsia="zh-CN"/>
          <w14:textFill>
            <w14:solidFill>
              <w14:schemeClr w14:val="tx1"/>
            </w14:solidFill>
          </w14:textFill>
        </w:rPr>
        <w:t>对第三人</w:t>
      </w:r>
      <w:r>
        <w:rPr>
          <w:rFonts w:hint="eastAsia" w:ascii="宋体" w:hAnsi="宋体"/>
          <w:color w:val="000000" w:themeColor="text1"/>
          <w:szCs w:val="21"/>
          <w:highlight w:val="none"/>
          <w14:textFill>
            <w14:solidFill>
              <w14:schemeClr w14:val="tx1"/>
            </w14:solidFill>
          </w14:textFill>
        </w:rPr>
        <w:t>侵权的，则由乙方承担全部责任。</w:t>
      </w:r>
    </w:p>
    <w:p w14:paraId="62A8C198">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lang w:eastAsia="zh-CN"/>
          <w14:textFill>
            <w14:solidFill>
              <w14:schemeClr w14:val="tx1"/>
            </w14:solidFill>
          </w14:textFill>
        </w:rPr>
        <w:t>0</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知识产权保护</w:t>
      </w:r>
    </w:p>
    <w:p w14:paraId="383D1A0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142" w:name="_Hlk163047038"/>
      <w:r>
        <w:rPr>
          <w:rFonts w:hint="eastAsia" w:ascii="宋体" w:hAnsi="宋体" w:eastAsia="宋体" w:cs="宋体"/>
          <w:szCs w:val="15"/>
          <w:highlight w:val="none"/>
        </w:rPr>
        <w:t>因违反前述约定对第三人构成侵权的，应当由乙方向第三人承担法律责任；甲方依法向第三人赔偿后，有权向乙方追偿。甲方有其他损失的，乙方应当赔偿</w:t>
      </w:r>
      <w:bookmarkEnd w:id="142"/>
      <w:r>
        <w:rPr>
          <w:rFonts w:hint="eastAsia" w:ascii="宋体" w:hAnsi="宋体"/>
          <w:color w:val="auto"/>
          <w:szCs w:val="21"/>
          <w:highlight w:val="none"/>
        </w:rPr>
        <w:t>。</w:t>
      </w:r>
    </w:p>
    <w:p w14:paraId="134E1073">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265B63BC">
      <w:pPr>
        <w:autoSpaceDE w:val="0"/>
        <w:autoSpaceDN w:val="0"/>
        <w:adjustRightInd w:val="0"/>
        <w:snapToGrid w:val="0"/>
        <w:spacing w:before="0" w:line="400" w:lineRule="exact"/>
        <w:ind w:firstLine="420" w:firstLineChars="200"/>
        <w:jc w:val="left"/>
        <w:rPr>
          <w:rFonts w:hint="eastAsia" w:ascii="宋体" w:hAnsi="宋体" w:eastAsia="宋体" w:cs="宋体"/>
          <w:szCs w:val="15"/>
          <w:highlight w:val="none"/>
        </w:rPr>
      </w:pPr>
      <w:r>
        <w:rPr>
          <w:rFonts w:hint="eastAsia" w:ascii="宋体" w:hAnsi="宋体" w:cs="宋体"/>
          <w:szCs w:val="15"/>
          <w:highlight w:val="none"/>
          <w:lang w:val="en-US" w:eastAsia="zh-CN"/>
        </w:rPr>
        <w:t xml:space="preserve">11.1 </w:t>
      </w:r>
      <w:r>
        <w:rPr>
          <w:rFonts w:hint="eastAsia" w:ascii="宋体" w:hAnsi="宋体" w:eastAsia="宋体" w:cs="宋体"/>
          <w:szCs w:val="15"/>
          <w:highlight w:val="none"/>
        </w:rPr>
        <w:t>甲、乙双方</w:t>
      </w:r>
      <w:r>
        <w:rPr>
          <w:rFonts w:hint="eastAsia" w:ascii="宋体" w:hAnsi="宋体" w:cs="宋体"/>
          <w:szCs w:val="15"/>
          <w:highlight w:val="none"/>
          <w:lang w:eastAsia="zh-CN"/>
        </w:rPr>
        <w:t>对</w:t>
      </w:r>
      <w:r>
        <w:rPr>
          <w:rFonts w:hint="eastAsia" w:ascii="宋体" w:hAnsi="宋体" w:eastAsia="宋体" w:cs="宋体"/>
          <w:szCs w:val="15"/>
          <w:highlight w:val="none"/>
        </w:rPr>
        <w:t>采购和合同履行过程中所获悉的</w:t>
      </w:r>
      <w:r>
        <w:rPr>
          <w:rFonts w:hint="eastAsia" w:ascii="宋体" w:hAnsi="宋体" w:cs="宋体"/>
          <w:szCs w:val="15"/>
          <w:highlight w:val="none"/>
          <w:lang w:eastAsia="zh-CN"/>
        </w:rPr>
        <w:t>国家秘密、工作秘密、</w:t>
      </w:r>
      <w:r>
        <w:rPr>
          <w:rFonts w:hint="eastAsia" w:ascii="宋体" w:hAnsi="宋体" w:eastAsia="宋体" w:cs="宋体"/>
          <w:szCs w:val="15"/>
          <w:highlight w:val="none"/>
        </w:rPr>
        <w:t>商业秘密或者其他应当保密的信息，均有保密义务</w:t>
      </w:r>
      <w:r>
        <w:rPr>
          <w:rFonts w:hint="eastAsia" w:ascii="宋体" w:hAnsi="宋体" w:cs="宋体"/>
          <w:szCs w:val="15"/>
          <w:highlight w:val="none"/>
          <w:lang w:eastAsia="zh-CN"/>
        </w:rPr>
        <w:t>且不受合同有效期所限，直至该信息成为公开信息</w:t>
      </w:r>
      <w:r>
        <w:rPr>
          <w:rFonts w:hint="eastAsia" w:ascii="宋体" w:hAnsi="宋体" w:eastAsia="宋体" w:cs="宋体"/>
          <w:szCs w:val="15"/>
          <w:highlight w:val="none"/>
        </w:rPr>
        <w:t>。泄露、不正当地使用</w:t>
      </w:r>
      <w:r>
        <w:rPr>
          <w:rFonts w:hint="eastAsia" w:ascii="宋体" w:hAnsi="宋体" w:cs="宋体"/>
          <w:szCs w:val="15"/>
          <w:highlight w:val="none"/>
          <w:lang w:eastAsia="zh-CN"/>
        </w:rPr>
        <w:t>国家秘密、工作秘密、</w:t>
      </w:r>
      <w:r>
        <w:rPr>
          <w:rFonts w:hint="eastAsia" w:ascii="宋体" w:hAnsi="宋体" w:eastAsia="宋体" w:cs="宋体"/>
          <w:szCs w:val="15"/>
          <w:highlight w:val="none"/>
        </w:rPr>
        <w:t>商业秘密或者</w:t>
      </w:r>
      <w:r>
        <w:rPr>
          <w:rFonts w:hint="eastAsia" w:ascii="宋体" w:hAnsi="宋体" w:cs="宋体"/>
          <w:szCs w:val="15"/>
          <w:highlight w:val="none"/>
          <w:lang w:eastAsia="zh-CN"/>
        </w:rPr>
        <w:t>其他应当保密的</w:t>
      </w:r>
      <w:r>
        <w:rPr>
          <w:rFonts w:hint="eastAsia" w:ascii="宋体" w:hAnsi="宋体" w:eastAsia="宋体" w:cs="宋体"/>
          <w:szCs w:val="15"/>
          <w:highlight w:val="none"/>
        </w:rPr>
        <w:t>信息，应当承担</w:t>
      </w:r>
      <w:r>
        <w:rPr>
          <w:rFonts w:hint="eastAsia" w:ascii="宋体" w:hAnsi="宋体" w:cs="宋体"/>
          <w:szCs w:val="15"/>
          <w:highlight w:val="none"/>
          <w:lang w:eastAsia="zh-CN"/>
        </w:rPr>
        <w:t>相应</w:t>
      </w:r>
      <w:r>
        <w:rPr>
          <w:rFonts w:hint="eastAsia" w:ascii="宋体" w:hAnsi="宋体" w:eastAsia="宋体" w:cs="宋体"/>
          <w:szCs w:val="15"/>
          <w:highlight w:val="none"/>
        </w:rPr>
        <w:t>责任。其他应当保密的信息由双方在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中约定。</w:t>
      </w:r>
    </w:p>
    <w:p w14:paraId="0008C265">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355966BC">
      <w:pPr>
        <w:autoSpaceDE/>
        <w:autoSpaceDN/>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10223EA6">
      <w:pPr>
        <w:adjustRightInd w:val="0"/>
        <w:snapToGrid w:val="0"/>
        <w:spacing w:before="0" w:line="400" w:lineRule="exact"/>
        <w:ind w:firstLine="420" w:firstLineChars="200"/>
        <w:jc w:val="left"/>
        <w:rPr>
          <w:rFonts w:hint="eastAsia" w:ascii="宋体" w:hAnsi="宋体" w:eastAsia="宋体" w:cs="宋体"/>
          <w:szCs w:val="15"/>
          <w:highlight w:val="none"/>
          <w:lang w:eastAsia="zh-CN"/>
        </w:rPr>
      </w:pPr>
      <w:r>
        <w:rPr>
          <w:rFonts w:hint="eastAsia" w:ascii="宋体" w:hAnsi="宋体" w:eastAsia="宋体" w:cs="宋体"/>
          <w:szCs w:val="15"/>
          <w:highlight w:val="none"/>
          <w:lang w:val="en-US" w:eastAsia="zh-CN"/>
        </w:rPr>
        <w:t xml:space="preserve">12.2 </w:t>
      </w:r>
      <w:r>
        <w:rPr>
          <w:rFonts w:hint="eastAsia" w:ascii="宋体" w:hAnsi="宋体" w:eastAsia="宋体" w:cs="宋体"/>
          <w:szCs w:val="15"/>
          <w:highlight w:val="none"/>
        </w:rPr>
        <w:t>对于满足合同约定支付条件的，</w:t>
      </w:r>
      <w:r>
        <w:rPr>
          <w:rFonts w:hint="eastAsia" w:ascii="宋体" w:hAnsi="宋体" w:eastAsia="宋体" w:cs="宋体"/>
          <w:szCs w:val="15"/>
          <w:highlight w:val="none"/>
          <w:lang w:val="en-US" w:eastAsia="zh-CN"/>
        </w:rPr>
        <w:t>甲方</w:t>
      </w:r>
      <w:r>
        <w:rPr>
          <w:rFonts w:hint="eastAsia" w:ascii="宋体" w:hAnsi="宋体" w:eastAsia="宋体" w:cs="宋体"/>
          <w:szCs w:val="15"/>
          <w:highlight w:val="none"/>
        </w:rPr>
        <w:t>原则上应当自收到发票后10个工作日内将资金支付到合同约定的</w:t>
      </w:r>
      <w:r>
        <w:rPr>
          <w:rFonts w:hint="eastAsia" w:ascii="宋体" w:hAnsi="宋体" w:eastAsia="宋体" w:cs="宋体"/>
          <w:szCs w:val="15"/>
          <w:highlight w:val="none"/>
          <w:lang w:eastAsia="zh-CN"/>
        </w:rPr>
        <w:t>乙方</w:t>
      </w:r>
      <w:r>
        <w:rPr>
          <w:rFonts w:hint="eastAsia" w:ascii="宋体" w:hAnsi="宋体" w:eastAsia="宋体" w:cs="宋体"/>
          <w:szCs w:val="15"/>
          <w:highlight w:val="none"/>
        </w:rPr>
        <w:t>账户，不得以机构变动、人员更替、政策调整等为由迟延付款，不得将采购文件和合同中未规定的义务作为向</w:t>
      </w:r>
      <w:r>
        <w:rPr>
          <w:rFonts w:hint="eastAsia" w:ascii="宋体" w:hAnsi="宋体" w:eastAsia="宋体" w:cs="宋体"/>
          <w:szCs w:val="15"/>
          <w:highlight w:val="none"/>
          <w:lang w:val="en-US" w:eastAsia="zh-CN"/>
        </w:rPr>
        <w:t>乙方</w:t>
      </w:r>
      <w:r>
        <w:rPr>
          <w:rFonts w:hint="eastAsia" w:ascii="宋体" w:hAnsi="宋体" w:eastAsia="宋体" w:cs="宋体"/>
          <w:szCs w:val="15"/>
          <w:highlight w:val="none"/>
        </w:rPr>
        <w:t>付款的条件。具体合同价款支付时间在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w:t>
      </w:r>
      <w:r>
        <w:rPr>
          <w:rFonts w:hint="eastAsia" w:ascii="宋体" w:hAnsi="宋体" w:eastAsia="宋体" w:cs="宋体"/>
          <w:szCs w:val="15"/>
          <w:highlight w:val="none"/>
          <w:lang w:eastAsia="zh-CN"/>
        </w:rPr>
        <w:t>约</w:t>
      </w:r>
      <w:r>
        <w:rPr>
          <w:rFonts w:hint="eastAsia" w:ascii="宋体" w:hAnsi="宋体" w:eastAsia="宋体" w:cs="宋体"/>
          <w:szCs w:val="15"/>
          <w:highlight w:val="none"/>
        </w:rPr>
        <w:t>定。</w:t>
      </w:r>
    </w:p>
    <w:p w14:paraId="138D5E32">
      <w:pPr>
        <w:pStyle w:val="14"/>
        <w:spacing w:after="0" w:line="400" w:lineRule="exact"/>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3</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履约保证金</w:t>
      </w:r>
    </w:p>
    <w:p w14:paraId="1A5CDCB6">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szCs w:val="15"/>
          <w:highlight w:val="none"/>
        </w:rPr>
        <w:t>乙方应当以支票、汇票、本票或者金融机构、担保机构出具的保函等非现金形式提交。</w:t>
      </w:r>
    </w:p>
    <w:p w14:paraId="59554358">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cs="宋体"/>
          <w:b w:val="0"/>
          <w:bCs w:val="0"/>
          <w:szCs w:val="15"/>
          <w:highlight w:val="none"/>
          <w:lang w:eastAsia="zh-CN"/>
        </w:rPr>
        <w:t>约定情形的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70A3BD2D">
      <w:pPr>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32C859C4">
      <w:p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24C0F6D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745D0A8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741E99A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1FB2881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7751DC64">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要求</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szCs w:val="15"/>
          <w:highlight w:val="none"/>
          <w:lang w:eastAsia="zh-CN"/>
        </w:rPr>
        <w:t>；</w:t>
      </w:r>
    </w:p>
    <w:p w14:paraId="794B20BC">
      <w:pPr>
        <w:pStyle w:val="40"/>
        <w:rPr>
          <w:rFonts w:hint="eastAsia" w:ascii="宋体" w:hAnsi="宋体" w:eastAsia="宋体" w:cs="宋体"/>
          <w:sz w:val="21"/>
          <w:szCs w:val="21"/>
          <w:highlight w:val="none"/>
        </w:rPr>
      </w:pPr>
      <w:r>
        <w:rPr>
          <w:rFonts w:hint="eastAsia" w:ascii="宋体" w:hAnsi="宋体" w:eastAsia="宋体" w:cs="宋体"/>
          <w:sz w:val="21"/>
          <w:szCs w:val="21"/>
          <w:highlight w:val="none"/>
        </w:rPr>
        <w:t>（5）依照法律、行政法规的规定或者按照</w:t>
      </w:r>
      <w:r>
        <w:rPr>
          <w:rFonts w:hint="eastAsia" w:ascii="宋体" w:hAnsi="宋体" w:eastAsia="宋体" w:cs="宋体"/>
          <w:b/>
          <w:bCs/>
          <w:sz w:val="21"/>
          <w:szCs w:val="21"/>
          <w:highlight w:val="none"/>
        </w:rPr>
        <w:t>【政府采购合同专用条款】</w:t>
      </w:r>
      <w:r>
        <w:rPr>
          <w:rFonts w:hint="eastAsia" w:ascii="宋体" w:hAnsi="宋体" w:eastAsia="宋体" w:cs="宋体"/>
          <w:sz w:val="21"/>
          <w:szCs w:val="21"/>
          <w:highlight w:val="none"/>
        </w:rPr>
        <w:t>约定，货物在有效使用年限届满后应予回收的，乙方负有自行或者委托第三人对货物予以回收的义务；</w:t>
      </w:r>
    </w:p>
    <w:p w14:paraId="37F569F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4230E3B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42929B87">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2C39F8D2">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0CB89E67">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0FC4DAD3">
      <w:pPr>
        <w:autoSpaceDE w:val="0"/>
        <w:autoSpaceDN w:val="0"/>
        <w:adjustRightInd w:val="0"/>
        <w:snapToGrid w:val="0"/>
        <w:spacing w:before="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4C65BDD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5D5A5ED6">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073935C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68269AD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7E801345">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2871CE6E">
      <w:pPr>
        <w:numPr>
          <w:ilvl w:val="0"/>
          <w:numId w:val="1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00C3F33E">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7B6890F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60E53C95">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3CAF28D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02B6B263">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52BC3D46">
      <w:pPr>
        <w:pStyle w:val="40"/>
        <w:jc w:val="both"/>
        <w:rPr>
          <w:sz w:val="21"/>
          <w:highlight w:val="none"/>
        </w:rPr>
      </w:pPr>
      <w:r>
        <w:rPr>
          <w:rFonts w:hint="eastAsia" w:ascii="宋体" w:hAnsi="宋体" w:eastAsia="宋体" w:cs="宋体"/>
          <w:sz w:val="21"/>
          <w:highlight w:val="none"/>
        </w:rPr>
        <w:t>（3）乙方分立、合并或者变更住所的，应当及时以书面形式告知甲方。乙方没有</w:t>
      </w:r>
      <w:r>
        <w:rPr>
          <w:rFonts w:hint="eastAsia" w:ascii="宋体" w:hAnsi="宋体" w:eastAsia="宋体" w:cs="宋体"/>
          <w:sz w:val="21"/>
          <w:highlight w:val="none"/>
          <w:lang w:eastAsia="zh-CN"/>
        </w:rPr>
        <w:t>及时告知</w:t>
      </w:r>
      <w:r>
        <w:rPr>
          <w:rFonts w:hint="eastAsia" w:ascii="宋体" w:hAnsi="宋体" w:eastAsia="宋体" w:cs="宋体"/>
          <w:sz w:val="21"/>
          <w:highlight w:val="none"/>
        </w:rPr>
        <w:t>甲方，致使</w:t>
      </w:r>
      <w:r>
        <w:rPr>
          <w:rFonts w:hint="eastAsia" w:ascii="宋体" w:hAnsi="宋体" w:eastAsia="宋体" w:cs="宋体"/>
          <w:sz w:val="21"/>
          <w:highlight w:val="none"/>
          <w:lang w:eastAsia="zh-CN"/>
        </w:rPr>
        <w:t>合同</w:t>
      </w:r>
      <w:r>
        <w:rPr>
          <w:rFonts w:hint="eastAsia" w:ascii="宋体" w:hAnsi="宋体" w:eastAsia="宋体" w:cs="宋体"/>
          <w:sz w:val="21"/>
          <w:highlight w:val="none"/>
        </w:rPr>
        <w:t>履行发生困难的，甲方可以中止合同履行并要求乙方承担由此给甲方造成的损失。</w:t>
      </w:r>
    </w:p>
    <w:p w14:paraId="066C120C">
      <w:pPr>
        <w:snapToGrid w:val="0"/>
        <w:spacing w:line="400" w:lineRule="exact"/>
        <w:ind w:firstLine="420" w:firstLineChars="200"/>
        <w:jc w:val="left"/>
        <w:rPr>
          <w:sz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3165F069">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769B90A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0D4BBBD5">
      <w:pPr>
        <w:snapToGrid w:val="0"/>
        <w:spacing w:line="400" w:lineRule="exact"/>
        <w:ind w:firstLine="420" w:firstLineChars="200"/>
        <w:rPr>
          <w:rFonts w:hint="eastAsia" w:ascii="宋体" w:hAnsi="宋体" w:eastAsia="宋体" w:cs="宋体"/>
          <w:szCs w:val="21"/>
          <w:highlight w:val="none"/>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szCs w:val="21"/>
          <w:highlight w:val="none"/>
        </w:rPr>
        <w:t>并追究乙方的违约责</w:t>
      </w:r>
      <w:r>
        <w:rPr>
          <w:rFonts w:hint="eastAsia" w:ascii="宋体" w:hAnsi="宋体" w:cs="宋体"/>
          <w:szCs w:val="21"/>
          <w:highlight w:val="none"/>
          <w:lang w:val="en-US" w:eastAsia="zh-CN"/>
        </w:rPr>
        <w:t>任</w:t>
      </w:r>
      <w:r>
        <w:rPr>
          <w:rFonts w:hint="eastAsia" w:ascii="宋体" w:hAnsi="宋体"/>
          <w:color w:val="auto"/>
          <w:szCs w:val="21"/>
          <w:highlight w:val="none"/>
        </w:rPr>
        <w:t>。</w:t>
      </w:r>
    </w:p>
    <w:p w14:paraId="123BB3FB">
      <w:pPr>
        <w:pStyle w:val="4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16.4 </w:t>
      </w:r>
      <w:r>
        <w:rPr>
          <w:rFonts w:hint="eastAsia" w:ascii="宋体" w:hAnsi="宋体" w:eastAsia="宋体" w:cs="Times New Roman"/>
          <w:color w:val="auto"/>
          <w:kern w:val="2"/>
          <w:sz w:val="21"/>
          <w:szCs w:val="21"/>
          <w:highlight w:val="none"/>
          <w:lang w:val="en-US" w:eastAsia="zh-CN"/>
        </w:rPr>
        <w:t>涉及国家利益、社会公共利益的情形</w:t>
      </w:r>
    </w:p>
    <w:p w14:paraId="2ABCB885">
      <w:pPr>
        <w:pStyle w:val="40"/>
        <w:jc w:val="both"/>
        <w:rPr>
          <w:sz w:val="21"/>
          <w:highlight w:val="none"/>
        </w:rPr>
      </w:pPr>
      <w:r>
        <w:rPr>
          <w:rFonts w:hint="eastAsia" w:ascii="宋体" w:hAnsi="宋体" w:eastAsia="宋体" w:cs="宋体"/>
          <w:sz w:val="21"/>
          <w:highlight w:val="none"/>
        </w:rPr>
        <w:t>政府采购合同继续履行将损害国家利益和社会公共利益的，双方当事人</w:t>
      </w:r>
      <w:r>
        <w:rPr>
          <w:rFonts w:hint="eastAsia" w:ascii="宋体" w:hAnsi="宋体" w:eastAsia="宋体" w:cs="宋体"/>
          <w:sz w:val="21"/>
          <w:highlight w:val="none"/>
          <w:lang w:val="en-US" w:eastAsia="zh-CN"/>
        </w:rPr>
        <w:t>应当变更、</w:t>
      </w:r>
      <w:r>
        <w:rPr>
          <w:rFonts w:hint="eastAsia" w:ascii="宋体" w:hAnsi="宋体" w:eastAsia="宋体" w:cs="宋体"/>
          <w:sz w:val="21"/>
          <w:highlight w:val="none"/>
        </w:rPr>
        <w:t>中止</w:t>
      </w:r>
      <w:r>
        <w:rPr>
          <w:rFonts w:hint="eastAsia" w:ascii="宋体" w:hAnsi="宋体" w:eastAsia="宋体" w:cs="宋体"/>
          <w:sz w:val="21"/>
          <w:highlight w:val="none"/>
          <w:lang w:eastAsia="zh-CN"/>
        </w:rPr>
        <w:t>或者终止</w:t>
      </w:r>
      <w:r>
        <w:rPr>
          <w:rFonts w:hint="eastAsia" w:ascii="宋体" w:hAnsi="宋体" w:eastAsia="宋体" w:cs="宋体"/>
          <w:sz w:val="21"/>
          <w:highlight w:val="none"/>
        </w:rPr>
        <w:t>合同。有过错的一方应当承担赔偿责任，双方都有过错的，各自承担相应的责任。</w:t>
      </w:r>
    </w:p>
    <w:p w14:paraId="3D87FF16">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6C7BB6D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5BF478D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46917D1A">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089A3A2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25F1EAE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39F20C0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7DFED3EC">
      <w:p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372A0D04">
      <w:pPr>
        <w:pStyle w:val="40"/>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.1 因本合同及合同有关事项发生的争议，由</w:t>
      </w:r>
      <w:r>
        <w:rPr>
          <w:rFonts w:hint="eastAsia" w:ascii="宋体" w:hAnsi="宋体" w:eastAsia="宋体" w:cs="宋体"/>
          <w:sz w:val="21"/>
          <w:highlight w:val="none"/>
          <w:lang w:eastAsia="zh-CN"/>
        </w:rPr>
        <w:t>甲乙双</w:t>
      </w:r>
      <w:r>
        <w:rPr>
          <w:rFonts w:hint="eastAsia" w:ascii="宋体" w:hAnsi="宋体" w:eastAsia="宋体" w:cs="宋体"/>
          <w:sz w:val="21"/>
          <w:highlight w:val="none"/>
        </w:rPr>
        <w:t>方友好协商解决。协商不成时，可以</w:t>
      </w:r>
      <w:r>
        <w:rPr>
          <w:rFonts w:hint="eastAsia" w:ascii="宋体" w:hAnsi="宋体" w:eastAsia="宋体" w:cs="宋体"/>
          <w:sz w:val="21"/>
          <w:highlight w:val="none"/>
          <w:lang w:eastAsia="zh-CN"/>
        </w:rPr>
        <w:t>向有关组织申请</w:t>
      </w:r>
      <w:r>
        <w:rPr>
          <w:rFonts w:hint="eastAsia" w:ascii="宋体" w:hAnsi="宋体" w:eastAsia="宋体" w:cs="宋体"/>
          <w:sz w:val="21"/>
          <w:highlight w:val="none"/>
        </w:rPr>
        <w:t>调解。合同一方或</w:t>
      </w:r>
      <w:r>
        <w:rPr>
          <w:rFonts w:hint="eastAsia" w:ascii="宋体" w:hAnsi="宋体" w:eastAsia="宋体" w:cs="宋体"/>
          <w:sz w:val="21"/>
          <w:highlight w:val="none"/>
          <w:lang w:eastAsia="zh-CN"/>
        </w:rPr>
        <w:t>双</w:t>
      </w:r>
      <w:r>
        <w:rPr>
          <w:rFonts w:hint="eastAsia" w:ascii="宋体" w:hAnsi="宋体" w:eastAsia="宋体" w:cs="宋体"/>
          <w:sz w:val="21"/>
          <w:highlight w:val="none"/>
        </w:rPr>
        <w:t>方不愿调解或调解不成的，可以通过仲裁或诉讼的方式解决争议。</w:t>
      </w:r>
    </w:p>
    <w:p w14:paraId="47D38A0C">
      <w:pPr>
        <w:pStyle w:val="40"/>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.2 选择仲裁的，应在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highlight w:val="none"/>
        </w:rPr>
        <w:t>中明确仲裁机构及仲裁地；通过诉讼方式解决的，可以在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highlight w:val="none"/>
        </w:rPr>
        <w:t>中进一步约定选择与争议有实际联系的地点的人民法院管辖，但管辖法院的约定不得违反级别管辖和专属管辖的规定。</w:t>
      </w:r>
    </w:p>
    <w:p w14:paraId="142FEBA2">
      <w:pPr>
        <w:pStyle w:val="40"/>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.3 如</w:t>
      </w:r>
      <w:r>
        <w:rPr>
          <w:rFonts w:hint="eastAsia" w:ascii="宋体" w:hAnsi="宋体" w:eastAsia="宋体" w:cs="宋体"/>
          <w:sz w:val="21"/>
          <w:highlight w:val="none"/>
          <w:lang w:eastAsia="zh-CN"/>
        </w:rPr>
        <w:t>甲乙双方</w:t>
      </w:r>
      <w:r>
        <w:rPr>
          <w:rFonts w:hint="eastAsia" w:ascii="宋体" w:hAnsi="宋体" w:eastAsia="宋体" w:cs="宋体"/>
          <w:sz w:val="21"/>
          <w:highlight w:val="none"/>
        </w:rPr>
        <w:t>有争议的事项不影响合同其他部分的履行，在争议解决期间，合同其他部分应</w:t>
      </w:r>
      <w:r>
        <w:rPr>
          <w:rFonts w:hint="eastAsia" w:ascii="宋体" w:hAnsi="宋体" w:eastAsia="宋体" w:cs="宋体"/>
          <w:sz w:val="21"/>
          <w:highlight w:val="none"/>
          <w:lang w:eastAsia="zh-CN"/>
        </w:rPr>
        <w:t>当</w:t>
      </w:r>
      <w:r>
        <w:rPr>
          <w:rFonts w:hint="eastAsia" w:ascii="宋体" w:hAnsi="宋体" w:eastAsia="宋体" w:cs="宋体"/>
          <w:sz w:val="21"/>
          <w:highlight w:val="none"/>
        </w:rPr>
        <w:t>继续履行。</w:t>
      </w:r>
    </w:p>
    <w:p w14:paraId="7E29BB25">
      <w:pPr>
        <w:autoSpaceDE w:val="0"/>
        <w:autoSpaceDN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52024885">
      <w:pPr>
        <w:autoSpaceDE w:val="0"/>
        <w:autoSpaceDN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highlight w:val="none"/>
          <w:lang w:val="en-GB"/>
        </w:rPr>
        <w:t>本合同应当按照规定执行政府采购政策。</w:t>
      </w:r>
    </w:p>
    <w:p w14:paraId="315708F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sz w:val="21"/>
          <w:highlight w:val="none"/>
          <w:lang w:eastAsia="zh-CN"/>
        </w:rPr>
        <w:t>甲乙双方</w:t>
      </w:r>
      <w:r>
        <w:rPr>
          <w:rFonts w:hint="eastAsia" w:ascii="宋体" w:hAnsi="宋体" w:eastAsia="宋体" w:cs="宋体"/>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1AA9C0F1">
      <w:pPr>
        <w:pStyle w:val="14"/>
        <w:spacing w:after="0" w:line="400" w:lineRule="exact"/>
        <w:ind w:firstLine="420" w:firstLineChars="200"/>
        <w:rPr>
          <w:color w:val="auto"/>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 xml:space="preserve"> 对于</w:t>
      </w:r>
      <w:r>
        <w:rPr>
          <w:rFonts w:hint="eastAsia" w:ascii="宋体" w:hAnsi="宋体"/>
          <w:color w:val="auto"/>
          <w:szCs w:val="21"/>
          <w:highlight w:val="none"/>
          <w:lang w:eastAsia="zh-CN"/>
        </w:rPr>
        <w:t>为落实中小企业支持政策，</w:t>
      </w:r>
      <w:r>
        <w:rPr>
          <w:rFonts w:hint="eastAsia" w:ascii="宋体" w:hAnsi="宋体"/>
          <w:color w:val="auto"/>
          <w:szCs w:val="21"/>
          <w:highlight w:val="none"/>
        </w:rPr>
        <w:t>通过采购项目</w:t>
      </w:r>
      <w:r>
        <w:rPr>
          <w:rFonts w:hint="eastAsia" w:ascii="宋体" w:hAnsi="宋体"/>
          <w:color w:val="auto"/>
          <w:szCs w:val="21"/>
          <w:highlight w:val="none"/>
          <w:lang w:eastAsia="zh-CN"/>
        </w:rPr>
        <w:t>整体</w:t>
      </w:r>
      <w:r>
        <w:rPr>
          <w:rFonts w:hint="eastAsia" w:ascii="宋体" w:hAnsi="宋体"/>
          <w:color w:val="auto"/>
          <w:szCs w:val="21"/>
          <w:highlight w:val="none"/>
        </w:rPr>
        <w:t>预留、</w:t>
      </w:r>
      <w:r>
        <w:rPr>
          <w:rFonts w:hint="eastAsia" w:ascii="宋体" w:hAnsi="宋体"/>
          <w:color w:val="auto"/>
          <w:szCs w:val="21"/>
          <w:highlight w:val="none"/>
          <w:lang w:eastAsia="zh-CN"/>
        </w:rPr>
        <w:t>设置</w:t>
      </w:r>
      <w:r>
        <w:rPr>
          <w:rFonts w:hint="eastAsia" w:ascii="宋体" w:hAnsi="宋体"/>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EFF850E">
      <w:pPr>
        <w:autoSpaceDE w:val="0"/>
        <w:autoSpaceDN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1D02085F">
      <w:pPr>
        <w:pStyle w:val="40"/>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.1 本合同的订立、生效、解释、履行及与本合同有关的争议解决，均适用法律、行政法规。</w:t>
      </w:r>
    </w:p>
    <w:p w14:paraId="3A952BEE">
      <w:pPr>
        <w:pStyle w:val="40"/>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.2 本合同条款与法律、行政法规的强制性规定不一致的，双方当事人应按照法律、行政法规的强制性规定修改本合同的相关条款。</w:t>
      </w:r>
    </w:p>
    <w:p w14:paraId="02A23EEA">
      <w:pPr>
        <w:numPr>
          <w:ilvl w:val="-1"/>
          <w:numId w:val="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72B9EC87">
      <w:pPr>
        <w:pStyle w:val="40"/>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.1</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本合同任何一方向对方发出的通知、信件、数据电文等，应当发送至本合同第一部分《政府采购合同协议书》所约定的通讯地址、联系人、联系电话或电子邮箱。</w:t>
      </w:r>
    </w:p>
    <w:p w14:paraId="77335C8E">
      <w:pPr>
        <w:pStyle w:val="40"/>
        <w:ind w:firstLine="0" w:firstLineChars="0"/>
        <w:jc w:val="both"/>
        <w:rPr>
          <w:sz w:val="21"/>
          <w:highlight w:val="none"/>
        </w:rPr>
      </w:pP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2</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.2</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一方当事人变更名称、</w:t>
      </w:r>
      <w:r>
        <w:rPr>
          <w:rFonts w:hint="eastAsia" w:ascii="宋体" w:hAnsi="宋体" w:eastAsia="宋体" w:cs="宋体"/>
          <w:sz w:val="21"/>
          <w:highlight w:val="none"/>
          <w:lang w:eastAsia="zh-CN"/>
        </w:rPr>
        <w:t>住所</w:t>
      </w:r>
      <w:r>
        <w:rPr>
          <w:rFonts w:hint="eastAsia" w:ascii="宋体" w:hAnsi="宋体" w:eastAsia="宋体" w:cs="宋体"/>
          <w:sz w:val="21"/>
          <w:highlight w:val="none"/>
        </w:rPr>
        <w:t>、联系人、联系电话或电子邮箱</w:t>
      </w:r>
      <w:r>
        <w:rPr>
          <w:rFonts w:hint="eastAsia" w:ascii="宋体" w:hAnsi="宋体" w:eastAsia="宋体" w:cs="宋体"/>
          <w:sz w:val="21"/>
          <w:highlight w:val="none"/>
          <w:lang w:eastAsia="zh-CN"/>
        </w:rPr>
        <w:t>等信息</w:t>
      </w:r>
      <w:r>
        <w:rPr>
          <w:rFonts w:hint="eastAsia" w:ascii="宋体" w:hAnsi="宋体" w:eastAsia="宋体" w:cs="宋体"/>
          <w:sz w:val="21"/>
          <w:highlight w:val="none"/>
        </w:rPr>
        <w:t>的，应当在变更后3日内及时书面通知对方，对方实际收到变更通知前的送达仍为有效送达。</w:t>
      </w:r>
    </w:p>
    <w:p w14:paraId="4CB8C42E">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49ADEC27">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6D25FE03">
      <w:pPr>
        <w:numPr>
          <w:ilvl w:val="0"/>
          <w:numId w:val="11"/>
        </w:num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2853AFBF">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3</w:t>
      </w:r>
      <w:r>
        <w:rPr>
          <w:rFonts w:hint="eastAsia" w:ascii="宋体" w:hAnsi="宋体"/>
          <w:bCs/>
          <w:color w:val="auto"/>
          <w:szCs w:val="21"/>
          <w:highlight w:val="none"/>
        </w:rPr>
        <w:t>.1合同未尽事项见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2C5A0FDB">
      <w:pPr>
        <w:adjustRightInd w:val="0"/>
        <w:snapToGrid w:val="0"/>
        <w:spacing w:line="400" w:lineRule="exact"/>
        <w:ind w:firstLine="0" w:firstLineChars="0"/>
        <w:jc w:val="left"/>
        <w:rPr>
          <w:rFonts w:ascii="黑体" w:hAnsi="华文中宋" w:eastAsia="黑体"/>
          <w:color w:val="auto"/>
          <w:sz w:val="28"/>
          <w:szCs w:val="28"/>
          <w:highlight w:val="none"/>
        </w:rPr>
      </w:pPr>
      <w:r>
        <w:rPr>
          <w:rFonts w:hint="eastAsia" w:ascii="宋体" w:hAnsi="宋体"/>
          <w:bCs/>
          <w:color w:val="auto"/>
          <w:szCs w:val="21"/>
          <w:highlight w:val="none"/>
          <w:lang w:val="en-US" w:eastAsia="zh-CN"/>
        </w:rPr>
        <w:t xml:space="preserve">    23.2 合同附件与合同正文具有同等的法律效力。</w:t>
      </w:r>
      <w:bookmarkStart w:id="143" w:name="_Toc20313"/>
    </w:p>
    <w:p w14:paraId="5EFED62F">
      <w:pPr>
        <w:adjustRightInd w:val="0"/>
        <w:snapToGrid w:val="0"/>
        <w:jc w:val="center"/>
        <w:rPr>
          <w:rFonts w:hint="eastAsia" w:ascii="黑体" w:hAnsi="华文中宋" w:eastAsia="黑体"/>
          <w:b w:val="0"/>
          <w:bCs w:val="0"/>
          <w:sz w:val="28"/>
          <w:szCs w:val="28"/>
          <w:highlight w:val="none"/>
        </w:rPr>
      </w:pPr>
      <w:r>
        <w:rPr>
          <w:rFonts w:hint="eastAsia" w:ascii="黑体" w:hAnsi="华文中宋" w:eastAsia="黑体"/>
          <w:b w:val="0"/>
          <w:bCs w:val="0"/>
          <w:sz w:val="28"/>
          <w:szCs w:val="28"/>
          <w:highlight w:val="none"/>
        </w:rPr>
        <w:br w:type="page"/>
      </w:r>
    </w:p>
    <w:p w14:paraId="593DAA4D">
      <w:pPr>
        <w:bidi w:val="0"/>
        <w:jc w:val="center"/>
        <w:rPr>
          <w:rFonts w:hint="eastAsia" w:ascii="黑体" w:hAnsi="黑体" w:eastAsia="黑体" w:cs="黑体"/>
          <w:sz w:val="28"/>
          <w:szCs w:val="28"/>
        </w:rPr>
      </w:pPr>
      <w:r>
        <w:rPr>
          <w:rFonts w:hint="eastAsia" w:ascii="黑体" w:hAnsi="黑体" w:eastAsia="黑体" w:cs="黑体"/>
          <w:sz w:val="28"/>
          <w:szCs w:val="28"/>
        </w:rPr>
        <w:t>第三节 政府采购合同专用条款</w:t>
      </w:r>
      <w:bookmarkEnd w:id="143"/>
    </w:p>
    <w:tbl>
      <w:tblPr>
        <w:tblStyle w:val="31"/>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2F95EB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26576DD1">
            <w:pPr>
              <w:adjustRightInd w:val="0"/>
              <w:snapToGrid w:val="0"/>
              <w:jc w:val="center"/>
              <w:rPr>
                <w:rFonts w:ascii="宋体" w:hAnsi="宋体"/>
                <w:szCs w:val="21"/>
                <w:highlight w:val="none"/>
              </w:rPr>
            </w:pPr>
            <w:r>
              <w:rPr>
                <w:rFonts w:hint="eastAsia" w:ascii="宋体" w:hAnsi="宋体"/>
                <w:szCs w:val="21"/>
                <w:highlight w:val="none"/>
              </w:rPr>
              <w:t>第二节</w:t>
            </w:r>
          </w:p>
          <w:p w14:paraId="56C2C045">
            <w:pPr>
              <w:adjustRightInd w:val="0"/>
              <w:snapToGrid w:val="0"/>
              <w:jc w:val="center"/>
              <w:rPr>
                <w:rFonts w:ascii="宋体" w:hAnsi="宋体"/>
                <w:szCs w:val="21"/>
                <w:highlight w:val="none"/>
              </w:rPr>
            </w:pPr>
            <w:r>
              <w:rPr>
                <w:rFonts w:hint="eastAsia" w:ascii="宋体" w:hAnsi="宋体"/>
                <w:szCs w:val="21"/>
                <w:highlight w:val="none"/>
              </w:rPr>
              <w:t>第1.2（</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vAlign w:val="center"/>
          </w:tcPr>
          <w:p w14:paraId="60B8979E">
            <w:pPr>
              <w:adjustRightInd w:val="0"/>
              <w:snapToGrid w:val="0"/>
              <w:jc w:val="left"/>
              <w:rPr>
                <w:rFonts w:ascii="宋体" w:hAnsi="宋体"/>
                <w:szCs w:val="21"/>
                <w:highlight w:val="none"/>
              </w:rPr>
            </w:pPr>
            <w:r>
              <w:rPr>
                <w:rFonts w:hint="eastAsia" w:ascii="宋体" w:hAnsi="宋体"/>
                <w:szCs w:val="21"/>
                <w:highlight w:val="none"/>
                <w:lang w:eastAsia="zh-CN"/>
              </w:rPr>
              <w:t>联合体具体要求</w:t>
            </w:r>
          </w:p>
        </w:tc>
        <w:tc>
          <w:tcPr>
            <w:tcW w:w="5170" w:type="dxa"/>
            <w:vAlign w:val="center"/>
          </w:tcPr>
          <w:p w14:paraId="5314CA26">
            <w:pPr>
              <w:adjustRightInd w:val="0"/>
              <w:snapToGrid w:val="0"/>
              <w:jc w:val="left"/>
              <w:rPr>
                <w:rFonts w:ascii="宋体" w:hAnsi="宋体"/>
                <w:szCs w:val="21"/>
                <w:highlight w:val="none"/>
              </w:rPr>
            </w:pPr>
          </w:p>
        </w:tc>
      </w:tr>
      <w:tr w14:paraId="3CA084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vAlign w:val="center"/>
          </w:tcPr>
          <w:p w14:paraId="448D7578">
            <w:pPr>
              <w:adjustRightInd w:val="0"/>
              <w:snapToGrid w:val="0"/>
              <w:jc w:val="center"/>
              <w:rPr>
                <w:rFonts w:ascii="宋体" w:hAnsi="宋体"/>
                <w:szCs w:val="21"/>
                <w:highlight w:val="none"/>
              </w:rPr>
            </w:pPr>
            <w:r>
              <w:rPr>
                <w:rFonts w:hint="eastAsia" w:ascii="宋体" w:hAnsi="宋体"/>
                <w:szCs w:val="21"/>
                <w:highlight w:val="none"/>
              </w:rPr>
              <w:t>第二节</w:t>
            </w:r>
          </w:p>
          <w:p w14:paraId="08244325">
            <w:pPr>
              <w:adjustRightInd w:val="0"/>
              <w:snapToGrid w:val="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第1.2（</w:t>
            </w:r>
            <w:r>
              <w:rPr>
                <w:rFonts w:hint="eastAsia" w:ascii="宋体" w:hAnsi="宋体"/>
                <w:szCs w:val="21"/>
                <w:highlight w:val="none"/>
                <w:lang w:val="en-US" w:eastAsia="zh-CN"/>
              </w:rPr>
              <w:t>7</w:t>
            </w:r>
            <w:r>
              <w:rPr>
                <w:rFonts w:hint="eastAsia" w:ascii="宋体" w:hAnsi="宋体"/>
                <w:szCs w:val="21"/>
                <w:highlight w:val="none"/>
              </w:rPr>
              <w:t>）项</w:t>
            </w:r>
          </w:p>
        </w:tc>
        <w:tc>
          <w:tcPr>
            <w:tcW w:w="1742" w:type="dxa"/>
            <w:vAlign w:val="center"/>
          </w:tcPr>
          <w:p w14:paraId="4C62700D">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其他术语解释</w:t>
            </w:r>
          </w:p>
        </w:tc>
        <w:tc>
          <w:tcPr>
            <w:tcW w:w="5170" w:type="dxa"/>
            <w:vAlign w:val="center"/>
          </w:tcPr>
          <w:p w14:paraId="5D9BC3F0">
            <w:pPr>
              <w:adjustRightInd w:val="0"/>
              <w:snapToGrid w:val="0"/>
              <w:jc w:val="left"/>
              <w:rPr>
                <w:rFonts w:ascii="宋体" w:hAnsi="宋体" w:eastAsia="宋体" w:cs="Times New Roman"/>
                <w:kern w:val="2"/>
                <w:sz w:val="21"/>
                <w:szCs w:val="21"/>
                <w:highlight w:val="none"/>
                <w:lang w:val="en-US" w:eastAsia="zh-CN" w:bidi="ar-SA"/>
              </w:rPr>
            </w:pPr>
          </w:p>
        </w:tc>
      </w:tr>
      <w:tr w14:paraId="27A149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69E10B6B">
            <w:pPr>
              <w:adjustRightInd w:val="0"/>
              <w:snapToGrid w:val="0"/>
              <w:jc w:val="center"/>
              <w:rPr>
                <w:rFonts w:ascii="宋体" w:hAnsi="宋体"/>
                <w:szCs w:val="21"/>
                <w:highlight w:val="none"/>
              </w:rPr>
            </w:pPr>
            <w:r>
              <w:rPr>
                <w:rFonts w:hint="eastAsia" w:ascii="宋体" w:hAnsi="宋体"/>
                <w:szCs w:val="21"/>
                <w:highlight w:val="none"/>
              </w:rPr>
              <w:t>第二节</w:t>
            </w:r>
          </w:p>
          <w:p w14:paraId="382BE6C5">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4.4款</w:t>
            </w:r>
          </w:p>
        </w:tc>
        <w:tc>
          <w:tcPr>
            <w:tcW w:w="1742" w:type="dxa"/>
            <w:vAlign w:val="center"/>
          </w:tcPr>
          <w:p w14:paraId="7D8E738B">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履约验收中甲方提出异议或作出说明的期限</w:t>
            </w:r>
          </w:p>
        </w:tc>
        <w:tc>
          <w:tcPr>
            <w:tcW w:w="5170" w:type="dxa"/>
            <w:vAlign w:val="center"/>
          </w:tcPr>
          <w:p w14:paraId="7FDC0B5B">
            <w:pPr>
              <w:adjustRightInd w:val="0"/>
              <w:snapToGrid w:val="0"/>
              <w:jc w:val="left"/>
              <w:rPr>
                <w:rFonts w:ascii="宋体" w:hAnsi="宋体" w:eastAsia="宋体" w:cs="Times New Roman"/>
                <w:kern w:val="2"/>
                <w:sz w:val="21"/>
                <w:szCs w:val="21"/>
                <w:highlight w:val="none"/>
                <w:lang w:val="en-US" w:eastAsia="zh-CN" w:bidi="ar-SA"/>
              </w:rPr>
            </w:pPr>
          </w:p>
        </w:tc>
      </w:tr>
      <w:tr w14:paraId="5AC350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A2F1F8E">
            <w:pPr>
              <w:adjustRightInd w:val="0"/>
              <w:snapToGrid w:val="0"/>
              <w:jc w:val="center"/>
              <w:rPr>
                <w:rFonts w:ascii="宋体" w:hAnsi="宋体"/>
                <w:szCs w:val="21"/>
                <w:highlight w:val="none"/>
              </w:rPr>
            </w:pPr>
            <w:r>
              <w:rPr>
                <w:rFonts w:hint="eastAsia" w:ascii="宋体" w:hAnsi="宋体"/>
                <w:szCs w:val="21"/>
                <w:highlight w:val="none"/>
              </w:rPr>
              <w:t>第二节</w:t>
            </w:r>
          </w:p>
          <w:p w14:paraId="7836D574">
            <w:pPr>
              <w:adjustRightInd w:val="0"/>
              <w:snapToGrid w:val="0"/>
              <w:jc w:val="center"/>
              <w:rPr>
                <w:rFonts w:hint="eastAsia" w:ascii="宋体" w:hAnsi="宋体"/>
                <w:szCs w:val="21"/>
                <w:highlight w:val="none"/>
              </w:rPr>
            </w:pPr>
            <w:r>
              <w:rPr>
                <w:rFonts w:hint="eastAsia" w:ascii="宋体" w:hAnsi="宋体"/>
                <w:szCs w:val="21"/>
                <w:highlight w:val="none"/>
                <w:lang w:eastAsia="zh-CN"/>
              </w:rPr>
              <w:t>第</w:t>
            </w:r>
            <w:r>
              <w:rPr>
                <w:rFonts w:hint="eastAsia" w:ascii="宋体" w:hAnsi="宋体"/>
                <w:szCs w:val="21"/>
                <w:highlight w:val="none"/>
                <w:lang w:val="en-US" w:eastAsia="zh-CN"/>
              </w:rPr>
              <w:t>4.6款</w:t>
            </w:r>
          </w:p>
        </w:tc>
        <w:tc>
          <w:tcPr>
            <w:tcW w:w="1742" w:type="dxa"/>
            <w:vAlign w:val="center"/>
          </w:tcPr>
          <w:p w14:paraId="63C0A181">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约定甲方承担的其他义务和责任</w:t>
            </w:r>
          </w:p>
        </w:tc>
        <w:tc>
          <w:tcPr>
            <w:tcW w:w="5170" w:type="dxa"/>
            <w:vAlign w:val="center"/>
          </w:tcPr>
          <w:p w14:paraId="06A77EB8">
            <w:pPr>
              <w:adjustRightInd w:val="0"/>
              <w:snapToGrid w:val="0"/>
              <w:jc w:val="left"/>
              <w:rPr>
                <w:rFonts w:ascii="宋体" w:hAnsi="宋体" w:eastAsia="宋体" w:cs="Times New Roman"/>
                <w:kern w:val="2"/>
                <w:sz w:val="21"/>
                <w:szCs w:val="21"/>
                <w:highlight w:val="none"/>
                <w:lang w:val="en-US" w:eastAsia="zh-CN" w:bidi="ar-SA"/>
              </w:rPr>
            </w:pPr>
          </w:p>
        </w:tc>
      </w:tr>
      <w:tr w14:paraId="2212AF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0CC0BC9">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686F1114">
            <w:pPr>
              <w:snapToGrid w:val="0"/>
              <w:jc w:val="center"/>
              <w:rPr>
                <w:rFonts w:hint="default"/>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5.4款</w:t>
            </w:r>
          </w:p>
        </w:tc>
        <w:tc>
          <w:tcPr>
            <w:tcW w:w="1742" w:type="dxa"/>
            <w:vAlign w:val="center"/>
          </w:tcPr>
          <w:p w14:paraId="7321D396">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约定乙方承担的其他义务和责任</w:t>
            </w:r>
          </w:p>
        </w:tc>
        <w:tc>
          <w:tcPr>
            <w:tcW w:w="5170" w:type="dxa"/>
            <w:vAlign w:val="center"/>
          </w:tcPr>
          <w:p w14:paraId="16F525DB">
            <w:pPr>
              <w:adjustRightInd w:val="0"/>
              <w:snapToGrid w:val="0"/>
              <w:jc w:val="left"/>
              <w:rPr>
                <w:rFonts w:ascii="宋体" w:hAnsi="宋体" w:eastAsia="宋体" w:cs="Times New Roman"/>
                <w:kern w:val="2"/>
                <w:sz w:val="21"/>
                <w:szCs w:val="21"/>
                <w:highlight w:val="none"/>
                <w:lang w:val="en-US" w:eastAsia="zh-CN" w:bidi="ar-SA"/>
              </w:rPr>
            </w:pPr>
          </w:p>
        </w:tc>
      </w:tr>
      <w:tr w14:paraId="527299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09CCF44">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746B8E17">
            <w:pPr>
              <w:snapToGrid w:val="0"/>
              <w:jc w:val="center"/>
              <w:rPr>
                <w:rFonts w:hint="eastAsia" w:ascii="宋体" w:hAnsi="宋体"/>
                <w:szCs w:val="21"/>
                <w:highlight w:val="none"/>
                <w:lang w:eastAsia="zh-CN"/>
              </w:rPr>
            </w:pPr>
            <w:r>
              <w:rPr>
                <w:rFonts w:hint="eastAsia" w:ascii="宋体" w:hAnsi="宋体"/>
                <w:szCs w:val="21"/>
                <w:highlight w:val="none"/>
                <w:lang w:eastAsia="zh-CN"/>
              </w:rPr>
              <w:t>第</w:t>
            </w:r>
            <w:r>
              <w:rPr>
                <w:rFonts w:hint="eastAsia" w:ascii="宋体" w:hAnsi="宋体"/>
                <w:szCs w:val="21"/>
                <w:highlight w:val="none"/>
                <w:lang w:val="en-US" w:eastAsia="zh-CN"/>
              </w:rPr>
              <w:t>6.1款</w:t>
            </w:r>
          </w:p>
        </w:tc>
        <w:tc>
          <w:tcPr>
            <w:tcW w:w="1742" w:type="dxa"/>
            <w:vAlign w:val="center"/>
          </w:tcPr>
          <w:p w14:paraId="4E6428F7">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履行合同义务的顺序</w:t>
            </w:r>
          </w:p>
        </w:tc>
        <w:tc>
          <w:tcPr>
            <w:tcW w:w="5170" w:type="dxa"/>
            <w:vAlign w:val="center"/>
          </w:tcPr>
          <w:p w14:paraId="04B6BA02">
            <w:pPr>
              <w:adjustRightInd w:val="0"/>
              <w:snapToGrid w:val="0"/>
              <w:jc w:val="left"/>
              <w:rPr>
                <w:rFonts w:ascii="宋体" w:hAnsi="宋体" w:eastAsia="宋体" w:cs="Times New Roman"/>
                <w:kern w:val="2"/>
                <w:sz w:val="21"/>
                <w:szCs w:val="21"/>
                <w:highlight w:val="none"/>
                <w:lang w:val="en-US" w:eastAsia="zh-CN" w:bidi="ar-SA"/>
              </w:rPr>
            </w:pPr>
          </w:p>
        </w:tc>
      </w:tr>
      <w:tr w14:paraId="708246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vAlign w:val="center"/>
          </w:tcPr>
          <w:p w14:paraId="7B213FE8">
            <w:pPr>
              <w:adjustRightInd w:val="0"/>
              <w:snapToGrid w:val="0"/>
              <w:jc w:val="center"/>
              <w:rPr>
                <w:rFonts w:ascii="宋体" w:hAnsi="宋体"/>
                <w:szCs w:val="21"/>
                <w:highlight w:val="none"/>
              </w:rPr>
            </w:pPr>
            <w:r>
              <w:rPr>
                <w:rFonts w:hint="eastAsia" w:ascii="宋体" w:hAnsi="宋体"/>
                <w:szCs w:val="21"/>
                <w:highlight w:val="none"/>
              </w:rPr>
              <w:t>第二节</w:t>
            </w:r>
          </w:p>
          <w:p w14:paraId="187787E7">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.1</w:t>
            </w:r>
            <w:r>
              <w:rPr>
                <w:rFonts w:hint="eastAsia" w:ascii="宋体" w:hAnsi="宋体"/>
                <w:szCs w:val="21"/>
                <w:highlight w:val="none"/>
                <w:lang w:val="en-US" w:eastAsia="zh-CN"/>
              </w:rPr>
              <w:t>款</w:t>
            </w:r>
          </w:p>
        </w:tc>
        <w:tc>
          <w:tcPr>
            <w:tcW w:w="1742" w:type="dxa"/>
            <w:vAlign w:val="center"/>
          </w:tcPr>
          <w:p w14:paraId="692ABF65">
            <w:pPr>
              <w:adjustRightInd w:val="0"/>
              <w:snapToGrid w:val="0"/>
              <w:jc w:val="left"/>
              <w:rPr>
                <w:rFonts w:ascii="宋体" w:hAnsi="宋体"/>
                <w:szCs w:val="21"/>
                <w:highlight w:val="none"/>
              </w:rPr>
            </w:pPr>
            <w:r>
              <w:rPr>
                <w:rFonts w:hint="eastAsia" w:ascii="宋体" w:hAnsi="宋体"/>
                <w:szCs w:val="21"/>
                <w:highlight w:val="none"/>
              </w:rPr>
              <w:t>包装</w:t>
            </w:r>
            <w:r>
              <w:rPr>
                <w:rFonts w:hint="eastAsia" w:ascii="宋体" w:hAnsi="宋体"/>
                <w:szCs w:val="21"/>
                <w:highlight w:val="none"/>
                <w:lang w:eastAsia="zh-CN"/>
              </w:rPr>
              <w:t>特殊要求</w:t>
            </w:r>
          </w:p>
        </w:tc>
        <w:tc>
          <w:tcPr>
            <w:tcW w:w="5170" w:type="dxa"/>
            <w:vAlign w:val="center"/>
          </w:tcPr>
          <w:p w14:paraId="28D0CC51">
            <w:pPr>
              <w:rPr>
                <w:highlight w:val="none"/>
              </w:rPr>
            </w:pPr>
          </w:p>
        </w:tc>
      </w:tr>
      <w:tr w14:paraId="73707D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vAlign w:val="center"/>
          </w:tcPr>
          <w:p w14:paraId="411AC3AE">
            <w:pPr>
              <w:adjustRightInd w:val="0"/>
              <w:snapToGrid w:val="0"/>
              <w:jc w:val="center"/>
              <w:rPr>
                <w:rFonts w:hint="eastAsia" w:ascii="宋体" w:hAnsi="宋体"/>
                <w:szCs w:val="21"/>
                <w:highlight w:val="none"/>
              </w:rPr>
            </w:pPr>
          </w:p>
        </w:tc>
        <w:tc>
          <w:tcPr>
            <w:tcW w:w="1742" w:type="dxa"/>
            <w:vAlign w:val="center"/>
          </w:tcPr>
          <w:p w14:paraId="2CFFB266">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要求现场</w:t>
            </w:r>
          </w:p>
        </w:tc>
        <w:tc>
          <w:tcPr>
            <w:tcW w:w="5170" w:type="dxa"/>
            <w:vAlign w:val="center"/>
          </w:tcPr>
          <w:p w14:paraId="653354FB">
            <w:pPr>
              <w:rPr>
                <w:rFonts w:hint="eastAsia"/>
                <w:highlight w:val="none"/>
              </w:rPr>
            </w:pPr>
          </w:p>
        </w:tc>
      </w:tr>
      <w:tr w14:paraId="276599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vAlign w:val="center"/>
          </w:tcPr>
          <w:p w14:paraId="16CA663B">
            <w:pPr>
              <w:adjustRightInd w:val="0"/>
              <w:snapToGrid w:val="0"/>
              <w:jc w:val="center"/>
              <w:rPr>
                <w:rFonts w:ascii="宋体" w:hAnsi="宋体"/>
                <w:szCs w:val="21"/>
                <w:highlight w:val="none"/>
              </w:rPr>
            </w:pPr>
            <w:r>
              <w:rPr>
                <w:rFonts w:hint="eastAsia" w:ascii="宋体" w:hAnsi="宋体"/>
                <w:szCs w:val="21"/>
                <w:highlight w:val="none"/>
              </w:rPr>
              <w:t>第二节</w:t>
            </w:r>
          </w:p>
          <w:p w14:paraId="74113D3B">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vAlign w:val="center"/>
          </w:tcPr>
          <w:p w14:paraId="4A76BF50">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运输特殊要求</w:t>
            </w:r>
          </w:p>
        </w:tc>
        <w:tc>
          <w:tcPr>
            <w:tcW w:w="5170" w:type="dxa"/>
            <w:vAlign w:val="center"/>
          </w:tcPr>
          <w:p w14:paraId="092B6B76">
            <w:pPr>
              <w:rPr>
                <w:rFonts w:hint="eastAsia"/>
                <w:highlight w:val="none"/>
              </w:rPr>
            </w:pPr>
          </w:p>
        </w:tc>
      </w:tr>
      <w:tr w14:paraId="437AB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Align w:val="center"/>
          </w:tcPr>
          <w:p w14:paraId="6B386D0A">
            <w:pPr>
              <w:adjustRightInd w:val="0"/>
              <w:snapToGrid w:val="0"/>
              <w:jc w:val="center"/>
              <w:rPr>
                <w:rFonts w:ascii="宋体" w:hAnsi="宋体"/>
                <w:szCs w:val="21"/>
                <w:highlight w:val="none"/>
              </w:rPr>
            </w:pPr>
            <w:r>
              <w:rPr>
                <w:rFonts w:hint="eastAsia" w:ascii="宋体" w:hAnsi="宋体"/>
                <w:szCs w:val="21"/>
                <w:highlight w:val="none"/>
              </w:rPr>
              <w:t>第二节</w:t>
            </w:r>
          </w:p>
          <w:p w14:paraId="18750478">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.3</w:t>
            </w:r>
            <w:r>
              <w:rPr>
                <w:rFonts w:hint="eastAsia" w:ascii="宋体" w:hAnsi="宋体"/>
                <w:szCs w:val="21"/>
                <w:highlight w:val="none"/>
                <w:lang w:val="en-US" w:eastAsia="zh-CN"/>
              </w:rPr>
              <w:t>款</w:t>
            </w:r>
          </w:p>
        </w:tc>
        <w:tc>
          <w:tcPr>
            <w:tcW w:w="1742" w:type="dxa"/>
            <w:vAlign w:val="center"/>
          </w:tcPr>
          <w:p w14:paraId="659BDF3D">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保险要求</w:t>
            </w:r>
          </w:p>
        </w:tc>
        <w:tc>
          <w:tcPr>
            <w:tcW w:w="5170" w:type="dxa"/>
            <w:vAlign w:val="center"/>
          </w:tcPr>
          <w:p w14:paraId="78621044">
            <w:pPr>
              <w:rPr>
                <w:rFonts w:hint="eastAsia"/>
                <w:highlight w:val="none"/>
              </w:rPr>
            </w:pPr>
          </w:p>
        </w:tc>
      </w:tr>
      <w:tr w14:paraId="4AE7F0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74BA21A9">
            <w:pPr>
              <w:adjustRightInd w:val="0"/>
              <w:snapToGrid w:val="0"/>
              <w:jc w:val="center"/>
              <w:rPr>
                <w:rFonts w:ascii="宋体" w:hAnsi="宋体"/>
                <w:szCs w:val="21"/>
                <w:highlight w:val="none"/>
              </w:rPr>
            </w:pPr>
            <w:r>
              <w:rPr>
                <w:rFonts w:hint="eastAsia" w:ascii="宋体" w:hAnsi="宋体"/>
                <w:szCs w:val="21"/>
                <w:highlight w:val="none"/>
              </w:rPr>
              <w:t>第二节</w:t>
            </w:r>
          </w:p>
          <w:p w14:paraId="5B59825C">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.2（1）项</w:t>
            </w:r>
          </w:p>
        </w:tc>
        <w:tc>
          <w:tcPr>
            <w:tcW w:w="1742" w:type="dxa"/>
            <w:vAlign w:val="center"/>
          </w:tcPr>
          <w:p w14:paraId="45384BF1">
            <w:pPr>
              <w:adjustRightInd w:val="0"/>
              <w:snapToGrid w:val="0"/>
              <w:jc w:val="left"/>
              <w:rPr>
                <w:rFonts w:ascii="宋体" w:hAnsi="宋体"/>
                <w:szCs w:val="21"/>
                <w:highlight w:val="none"/>
              </w:rPr>
            </w:pPr>
            <w:r>
              <w:rPr>
                <w:rFonts w:hint="eastAsia" w:ascii="宋体" w:hAnsi="宋体"/>
                <w:szCs w:val="21"/>
                <w:highlight w:val="none"/>
              </w:rPr>
              <w:t>质量保证期</w:t>
            </w:r>
          </w:p>
        </w:tc>
        <w:tc>
          <w:tcPr>
            <w:tcW w:w="5170" w:type="dxa"/>
            <w:vAlign w:val="center"/>
          </w:tcPr>
          <w:p w14:paraId="387FCD28">
            <w:pPr>
              <w:autoSpaceDE w:val="0"/>
              <w:autoSpaceDN w:val="0"/>
              <w:adjustRightInd w:val="0"/>
              <w:snapToGrid w:val="0"/>
              <w:ind w:firstLine="420" w:firstLineChars="200"/>
              <w:jc w:val="left"/>
              <w:rPr>
                <w:rFonts w:ascii="宋体" w:hAnsi="宋体"/>
                <w:szCs w:val="21"/>
                <w:highlight w:val="none"/>
              </w:rPr>
            </w:pPr>
          </w:p>
        </w:tc>
      </w:tr>
      <w:tr w14:paraId="19DE54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2BF8080C">
            <w:pPr>
              <w:adjustRightInd w:val="0"/>
              <w:snapToGrid w:val="0"/>
              <w:jc w:val="center"/>
              <w:rPr>
                <w:rFonts w:ascii="宋体" w:hAnsi="宋体"/>
                <w:szCs w:val="21"/>
                <w:highlight w:val="none"/>
              </w:rPr>
            </w:pPr>
            <w:r>
              <w:rPr>
                <w:rFonts w:hint="eastAsia" w:ascii="宋体" w:hAnsi="宋体"/>
                <w:szCs w:val="21"/>
                <w:highlight w:val="none"/>
              </w:rPr>
              <w:t>第二节</w:t>
            </w:r>
          </w:p>
          <w:p w14:paraId="1CEFD951">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.2（3）项</w:t>
            </w:r>
          </w:p>
        </w:tc>
        <w:tc>
          <w:tcPr>
            <w:tcW w:w="1742" w:type="dxa"/>
            <w:vAlign w:val="center"/>
          </w:tcPr>
          <w:p w14:paraId="6FB97994">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货物质量缺陷</w:t>
            </w:r>
          </w:p>
          <w:p w14:paraId="24EF964A">
            <w:pPr>
              <w:adjustRightInd w:val="0"/>
              <w:snapToGrid w:val="0"/>
              <w:jc w:val="left"/>
              <w:rPr>
                <w:rFonts w:ascii="宋体" w:hAnsi="宋体"/>
                <w:szCs w:val="21"/>
                <w:highlight w:val="none"/>
              </w:rPr>
            </w:pPr>
            <w:r>
              <w:rPr>
                <w:rFonts w:hint="eastAsia" w:ascii="宋体" w:hAnsi="宋体"/>
                <w:szCs w:val="21"/>
                <w:highlight w:val="none"/>
              </w:rPr>
              <w:t>响应时间</w:t>
            </w:r>
          </w:p>
        </w:tc>
        <w:tc>
          <w:tcPr>
            <w:tcW w:w="5170" w:type="dxa"/>
            <w:vAlign w:val="center"/>
          </w:tcPr>
          <w:p w14:paraId="0116C28E">
            <w:pPr>
              <w:adjustRightInd w:val="0"/>
              <w:snapToGrid w:val="0"/>
              <w:jc w:val="left"/>
              <w:rPr>
                <w:rFonts w:ascii="宋体" w:hAnsi="宋体"/>
                <w:szCs w:val="21"/>
                <w:highlight w:val="none"/>
              </w:rPr>
            </w:pPr>
          </w:p>
        </w:tc>
      </w:tr>
      <w:tr w14:paraId="103954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011D5473">
            <w:pPr>
              <w:snapToGrid w:val="0"/>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第二节</w:t>
            </w:r>
          </w:p>
          <w:p w14:paraId="4E543684">
            <w:pPr>
              <w:pStyle w:val="40"/>
              <w:ind w:firstLine="0" w:firstLineChars="0"/>
              <w:jc w:val="center"/>
              <w:rPr>
                <w:rFonts w:hint="default"/>
                <w:highlight w:val="none"/>
                <w:lang w:val="en-US" w:eastAsia="zh-CN"/>
              </w:rPr>
            </w:pPr>
            <w:r>
              <w:rPr>
                <w:rFonts w:hint="eastAsia" w:ascii="宋体" w:hAnsi="宋体" w:eastAsia="宋体" w:cs="宋体"/>
                <w:szCs w:val="21"/>
                <w:highlight w:val="none"/>
                <w:lang w:val="en-US" w:eastAsia="zh-CN"/>
              </w:rPr>
              <w:t>第11.1款</w:t>
            </w:r>
          </w:p>
        </w:tc>
        <w:tc>
          <w:tcPr>
            <w:tcW w:w="1742" w:type="dxa"/>
            <w:vAlign w:val="center"/>
          </w:tcPr>
          <w:p w14:paraId="395B54F9">
            <w:pPr>
              <w:adjustRightInd w:val="0"/>
              <w:snapToGrid w:val="0"/>
              <w:jc w:val="both"/>
              <w:rPr>
                <w:rFonts w:hint="default" w:ascii="宋体" w:hAnsi="宋体" w:eastAsia="宋体"/>
                <w:szCs w:val="21"/>
                <w:highlight w:val="none"/>
                <w:lang w:val="en-US" w:eastAsia="zh-CN"/>
              </w:rPr>
            </w:pPr>
            <w:r>
              <w:rPr>
                <w:rFonts w:hint="eastAsia" w:ascii="宋体" w:hAnsi="宋体"/>
                <w:szCs w:val="21"/>
                <w:highlight w:val="none"/>
                <w:lang w:val="en-US" w:eastAsia="zh-CN"/>
              </w:rPr>
              <w:t>其他应当保密的信息</w:t>
            </w:r>
          </w:p>
        </w:tc>
        <w:tc>
          <w:tcPr>
            <w:tcW w:w="5170" w:type="dxa"/>
            <w:vAlign w:val="center"/>
          </w:tcPr>
          <w:p w14:paraId="43C65C64">
            <w:pPr>
              <w:adjustRightInd w:val="0"/>
              <w:snapToGrid w:val="0"/>
              <w:jc w:val="left"/>
              <w:rPr>
                <w:rFonts w:ascii="宋体" w:hAnsi="宋体"/>
                <w:szCs w:val="21"/>
                <w:highlight w:val="none"/>
              </w:rPr>
            </w:pPr>
          </w:p>
        </w:tc>
      </w:tr>
      <w:tr w14:paraId="411723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14:paraId="72D12553">
            <w:pPr>
              <w:adjustRightInd w:val="0"/>
              <w:snapToGrid w:val="0"/>
              <w:jc w:val="center"/>
              <w:rPr>
                <w:rFonts w:ascii="宋体" w:hAnsi="宋体"/>
                <w:szCs w:val="21"/>
                <w:highlight w:val="none"/>
              </w:rPr>
            </w:pPr>
            <w:r>
              <w:rPr>
                <w:rFonts w:hint="eastAsia" w:ascii="宋体" w:hAnsi="宋体"/>
                <w:szCs w:val="21"/>
                <w:highlight w:val="none"/>
              </w:rPr>
              <w:t>第二节</w:t>
            </w:r>
          </w:p>
          <w:p w14:paraId="51A9ECBA">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2</w:t>
            </w:r>
            <w:r>
              <w:rPr>
                <w:rFonts w:hint="eastAsia" w:ascii="宋体" w:hAnsi="宋体"/>
                <w:szCs w:val="21"/>
                <w:highlight w:val="none"/>
              </w:rPr>
              <w:t>.2款</w:t>
            </w:r>
          </w:p>
        </w:tc>
        <w:tc>
          <w:tcPr>
            <w:tcW w:w="1742" w:type="dxa"/>
            <w:vAlign w:val="center"/>
          </w:tcPr>
          <w:p w14:paraId="31DFB96B">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rPr>
              <w:t>合同价款支付</w:t>
            </w:r>
            <w:r>
              <w:rPr>
                <w:rFonts w:hint="eastAsia" w:ascii="宋体" w:hAnsi="宋体"/>
                <w:szCs w:val="21"/>
                <w:highlight w:val="none"/>
                <w:lang w:eastAsia="zh-CN"/>
              </w:rPr>
              <w:t>时间</w:t>
            </w:r>
          </w:p>
        </w:tc>
        <w:tc>
          <w:tcPr>
            <w:tcW w:w="5170" w:type="dxa"/>
            <w:vAlign w:val="center"/>
          </w:tcPr>
          <w:p w14:paraId="14FE7A9B">
            <w:pPr>
              <w:adjustRightInd w:val="0"/>
              <w:snapToGrid w:val="0"/>
              <w:jc w:val="left"/>
              <w:rPr>
                <w:rFonts w:ascii="宋体" w:hAnsi="宋体"/>
                <w:szCs w:val="21"/>
                <w:highlight w:val="none"/>
              </w:rPr>
            </w:pPr>
          </w:p>
        </w:tc>
      </w:tr>
      <w:tr w14:paraId="4A33B3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14:paraId="4E911B58">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7B9F74A0">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13.2</w:t>
            </w:r>
            <w:r>
              <w:rPr>
                <w:rFonts w:hint="eastAsia" w:ascii="宋体" w:hAnsi="宋体"/>
                <w:szCs w:val="21"/>
                <w:highlight w:val="none"/>
              </w:rPr>
              <w:t>款</w:t>
            </w:r>
          </w:p>
        </w:tc>
        <w:tc>
          <w:tcPr>
            <w:tcW w:w="1742" w:type="dxa"/>
            <w:vAlign w:val="center"/>
          </w:tcPr>
          <w:p w14:paraId="06EE23EE">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履约保证金不予退还的情形</w:t>
            </w:r>
          </w:p>
        </w:tc>
        <w:tc>
          <w:tcPr>
            <w:tcW w:w="5170" w:type="dxa"/>
            <w:vAlign w:val="center"/>
          </w:tcPr>
          <w:p w14:paraId="0091EDFE">
            <w:pPr>
              <w:adjustRightInd w:val="0"/>
              <w:snapToGrid w:val="0"/>
              <w:jc w:val="left"/>
              <w:rPr>
                <w:rFonts w:ascii="宋体" w:hAnsi="宋体"/>
                <w:szCs w:val="21"/>
                <w:highlight w:val="none"/>
              </w:rPr>
            </w:pPr>
          </w:p>
        </w:tc>
      </w:tr>
      <w:tr w14:paraId="43925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18482EA">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1BFE6722">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13.3</w:t>
            </w:r>
            <w:r>
              <w:rPr>
                <w:rFonts w:hint="eastAsia" w:ascii="宋体" w:hAnsi="宋体"/>
                <w:szCs w:val="21"/>
                <w:highlight w:val="none"/>
              </w:rPr>
              <w:t>款</w:t>
            </w:r>
          </w:p>
        </w:tc>
        <w:tc>
          <w:tcPr>
            <w:tcW w:w="1742" w:type="dxa"/>
            <w:vAlign w:val="center"/>
          </w:tcPr>
          <w:p w14:paraId="024804AA">
            <w:pPr>
              <w:adjustRightInd w:val="0"/>
              <w:snapToGrid w:val="0"/>
              <w:jc w:val="left"/>
              <w:rPr>
                <w:rFonts w:ascii="宋体" w:hAnsi="宋体"/>
                <w:szCs w:val="21"/>
                <w:highlight w:val="none"/>
              </w:rPr>
            </w:pPr>
            <w:r>
              <w:rPr>
                <w:rFonts w:hint="eastAsia" w:ascii="宋体" w:hAnsi="宋体"/>
                <w:szCs w:val="21"/>
                <w:highlight w:val="none"/>
              </w:rPr>
              <w:t>履约保证金退还时间及</w:t>
            </w:r>
            <w:r>
              <w:rPr>
                <w:rFonts w:hint="eastAsia" w:ascii="宋体" w:hAnsi="宋体"/>
                <w:szCs w:val="21"/>
                <w:highlight w:val="none"/>
                <w:lang w:eastAsia="zh-CN"/>
              </w:rPr>
              <w:t>逾期退还的</w:t>
            </w:r>
            <w:r>
              <w:rPr>
                <w:rFonts w:hint="eastAsia" w:ascii="宋体" w:hAnsi="宋体"/>
                <w:szCs w:val="21"/>
                <w:highlight w:val="none"/>
              </w:rPr>
              <w:t>违约金</w:t>
            </w:r>
          </w:p>
        </w:tc>
        <w:tc>
          <w:tcPr>
            <w:tcW w:w="5170" w:type="dxa"/>
            <w:vAlign w:val="center"/>
          </w:tcPr>
          <w:p w14:paraId="6402BADC">
            <w:pPr>
              <w:adjustRightInd w:val="0"/>
              <w:snapToGrid w:val="0"/>
              <w:jc w:val="left"/>
              <w:rPr>
                <w:rFonts w:ascii="宋体" w:hAnsi="宋体"/>
                <w:szCs w:val="21"/>
                <w:highlight w:val="none"/>
              </w:rPr>
            </w:pPr>
          </w:p>
        </w:tc>
      </w:tr>
      <w:tr w14:paraId="0CD02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14:paraId="66B97F1F">
            <w:pPr>
              <w:adjustRightInd w:val="0"/>
              <w:snapToGrid w:val="0"/>
              <w:jc w:val="center"/>
              <w:rPr>
                <w:rFonts w:ascii="宋体" w:hAnsi="宋体"/>
                <w:szCs w:val="21"/>
                <w:highlight w:val="none"/>
              </w:rPr>
            </w:pPr>
            <w:r>
              <w:rPr>
                <w:rFonts w:hint="eastAsia" w:ascii="宋体" w:hAnsi="宋体"/>
                <w:szCs w:val="21"/>
                <w:highlight w:val="none"/>
              </w:rPr>
              <w:t>第二节</w:t>
            </w:r>
          </w:p>
          <w:p w14:paraId="11C83E60">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）项</w:t>
            </w:r>
          </w:p>
        </w:tc>
        <w:tc>
          <w:tcPr>
            <w:tcW w:w="1742" w:type="dxa"/>
            <w:vAlign w:val="center"/>
          </w:tcPr>
          <w:p w14:paraId="3B201E33">
            <w:pPr>
              <w:adjustRightInd w:val="0"/>
              <w:snapToGrid w:val="0"/>
              <w:jc w:val="left"/>
              <w:rPr>
                <w:rFonts w:hint="eastAsia" w:ascii="宋体" w:hAnsi="宋体"/>
                <w:szCs w:val="21"/>
                <w:highlight w:val="none"/>
                <w:lang w:val="en-US" w:eastAsia="zh-CN"/>
              </w:rPr>
            </w:pPr>
            <w:r>
              <w:rPr>
                <w:rFonts w:hint="eastAsia" w:ascii="宋体" w:hAnsi="宋体"/>
                <w:szCs w:val="21"/>
                <w:highlight w:val="none"/>
                <w:lang w:val="en-US" w:eastAsia="zh-CN"/>
              </w:rPr>
              <w:t>运行监督、维修期限</w:t>
            </w:r>
          </w:p>
        </w:tc>
        <w:tc>
          <w:tcPr>
            <w:tcW w:w="5170" w:type="dxa"/>
            <w:vAlign w:val="center"/>
          </w:tcPr>
          <w:p w14:paraId="4457ED7D">
            <w:pPr>
              <w:adjustRightInd w:val="0"/>
              <w:snapToGrid w:val="0"/>
              <w:jc w:val="left"/>
              <w:rPr>
                <w:rFonts w:ascii="宋体" w:hAnsi="宋体"/>
                <w:szCs w:val="21"/>
                <w:highlight w:val="none"/>
              </w:rPr>
            </w:pPr>
          </w:p>
        </w:tc>
      </w:tr>
      <w:tr w14:paraId="66DEF6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14:paraId="21A2E4D7">
            <w:pPr>
              <w:adjustRightInd w:val="0"/>
              <w:snapToGrid w:val="0"/>
              <w:jc w:val="center"/>
              <w:rPr>
                <w:rFonts w:ascii="宋体" w:hAnsi="宋体"/>
                <w:szCs w:val="21"/>
                <w:highlight w:val="none"/>
              </w:rPr>
            </w:pPr>
            <w:r>
              <w:rPr>
                <w:rFonts w:hint="eastAsia" w:ascii="宋体" w:hAnsi="宋体"/>
                <w:szCs w:val="21"/>
                <w:highlight w:val="none"/>
              </w:rPr>
              <w:t>第二节</w:t>
            </w:r>
          </w:p>
          <w:p w14:paraId="2F0363A6">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）项</w:t>
            </w:r>
          </w:p>
        </w:tc>
        <w:tc>
          <w:tcPr>
            <w:tcW w:w="1742" w:type="dxa"/>
            <w:vAlign w:val="center"/>
          </w:tcPr>
          <w:p w14:paraId="1F44020F">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货物回收的约定</w:t>
            </w:r>
          </w:p>
        </w:tc>
        <w:tc>
          <w:tcPr>
            <w:tcW w:w="5170" w:type="dxa"/>
            <w:vAlign w:val="center"/>
          </w:tcPr>
          <w:p w14:paraId="0B2370C6">
            <w:pPr>
              <w:adjustRightInd w:val="0"/>
              <w:snapToGrid w:val="0"/>
              <w:jc w:val="left"/>
              <w:rPr>
                <w:rFonts w:ascii="宋体" w:hAnsi="宋体"/>
                <w:szCs w:val="21"/>
                <w:highlight w:val="none"/>
              </w:rPr>
            </w:pPr>
          </w:p>
        </w:tc>
      </w:tr>
      <w:tr w14:paraId="06791B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7DC55FEF">
            <w:pPr>
              <w:adjustRightInd w:val="0"/>
              <w:snapToGrid w:val="0"/>
              <w:jc w:val="center"/>
              <w:rPr>
                <w:rFonts w:ascii="宋体" w:hAnsi="宋体"/>
                <w:szCs w:val="21"/>
                <w:highlight w:val="none"/>
              </w:rPr>
            </w:pPr>
            <w:r>
              <w:rPr>
                <w:rFonts w:hint="eastAsia" w:ascii="宋体" w:hAnsi="宋体"/>
                <w:szCs w:val="21"/>
                <w:highlight w:val="none"/>
              </w:rPr>
              <w:t>第二节</w:t>
            </w:r>
          </w:p>
          <w:p w14:paraId="59591828">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vAlign w:val="center"/>
          </w:tcPr>
          <w:p w14:paraId="5897A590">
            <w:pPr>
              <w:adjustRightInd w:val="0"/>
              <w:snapToGrid w:val="0"/>
              <w:jc w:val="left"/>
              <w:rPr>
                <w:rFonts w:ascii="宋体" w:hAnsi="宋体"/>
                <w:szCs w:val="21"/>
                <w:highlight w:val="none"/>
              </w:rPr>
            </w:pPr>
            <w:r>
              <w:rPr>
                <w:rFonts w:hint="eastAsia" w:ascii="宋体" w:hAnsi="宋体"/>
                <w:szCs w:val="21"/>
                <w:highlight w:val="none"/>
              </w:rPr>
              <w:t>乙方提供的其他服务</w:t>
            </w:r>
          </w:p>
        </w:tc>
        <w:tc>
          <w:tcPr>
            <w:tcW w:w="5170" w:type="dxa"/>
            <w:vAlign w:val="center"/>
          </w:tcPr>
          <w:p w14:paraId="7E494770">
            <w:pPr>
              <w:adjustRightInd w:val="0"/>
              <w:snapToGrid w:val="0"/>
              <w:jc w:val="left"/>
              <w:rPr>
                <w:rFonts w:ascii="宋体" w:hAnsi="宋体"/>
                <w:szCs w:val="21"/>
                <w:highlight w:val="none"/>
              </w:rPr>
            </w:pPr>
          </w:p>
        </w:tc>
      </w:tr>
      <w:tr w14:paraId="76ECAD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446F8104">
            <w:pPr>
              <w:adjustRightInd w:val="0"/>
              <w:snapToGrid w:val="0"/>
              <w:jc w:val="center"/>
              <w:rPr>
                <w:rFonts w:ascii="宋体" w:hAnsi="宋体"/>
                <w:szCs w:val="21"/>
                <w:highlight w:val="none"/>
              </w:rPr>
            </w:pPr>
            <w:r>
              <w:rPr>
                <w:rFonts w:hint="eastAsia" w:ascii="宋体" w:hAnsi="宋体"/>
                <w:szCs w:val="21"/>
                <w:highlight w:val="none"/>
              </w:rPr>
              <w:t>第二节</w:t>
            </w:r>
          </w:p>
          <w:p w14:paraId="2B1BAFEF">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1款</w:t>
            </w:r>
          </w:p>
        </w:tc>
        <w:tc>
          <w:tcPr>
            <w:tcW w:w="1742" w:type="dxa"/>
            <w:vAlign w:val="center"/>
          </w:tcPr>
          <w:p w14:paraId="5DC5958A">
            <w:pPr>
              <w:adjustRightInd w:val="0"/>
              <w:snapToGrid w:val="0"/>
              <w:jc w:val="left"/>
              <w:rPr>
                <w:rFonts w:hint="eastAsia" w:ascii="宋体" w:hAnsi="宋体"/>
                <w:szCs w:val="21"/>
                <w:highlight w:val="none"/>
              </w:rPr>
            </w:pPr>
            <w:r>
              <w:rPr>
                <w:rFonts w:hint="eastAsia" w:ascii="宋体" w:hAnsi="宋体"/>
                <w:color w:val="auto"/>
                <w:szCs w:val="21"/>
                <w:highlight w:val="none"/>
                <w:lang w:eastAsia="zh-CN"/>
              </w:rPr>
              <w:t>修理、重作、更换相关具体规定</w:t>
            </w:r>
          </w:p>
        </w:tc>
        <w:tc>
          <w:tcPr>
            <w:tcW w:w="5170" w:type="dxa"/>
            <w:vAlign w:val="center"/>
          </w:tcPr>
          <w:p w14:paraId="0655BB0D">
            <w:pPr>
              <w:adjustRightInd w:val="0"/>
              <w:snapToGrid w:val="0"/>
              <w:jc w:val="left"/>
              <w:rPr>
                <w:rFonts w:ascii="宋体" w:hAnsi="宋体"/>
                <w:szCs w:val="21"/>
                <w:highlight w:val="none"/>
              </w:rPr>
            </w:pPr>
          </w:p>
        </w:tc>
      </w:tr>
      <w:tr w14:paraId="0F761B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69CEA117">
            <w:pPr>
              <w:adjustRightInd w:val="0"/>
              <w:snapToGrid w:val="0"/>
              <w:jc w:val="center"/>
              <w:rPr>
                <w:rFonts w:ascii="宋体" w:hAnsi="宋体"/>
                <w:szCs w:val="21"/>
                <w:highlight w:val="none"/>
              </w:rPr>
            </w:pPr>
            <w:r>
              <w:rPr>
                <w:rFonts w:hint="eastAsia" w:ascii="宋体" w:hAnsi="宋体"/>
                <w:szCs w:val="21"/>
                <w:highlight w:val="none"/>
              </w:rPr>
              <w:t>第二节</w:t>
            </w:r>
          </w:p>
          <w:p w14:paraId="13960989">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.2（2）项</w:t>
            </w:r>
          </w:p>
        </w:tc>
        <w:tc>
          <w:tcPr>
            <w:tcW w:w="1742" w:type="dxa"/>
            <w:vAlign w:val="center"/>
          </w:tcPr>
          <w:p w14:paraId="7B1816B6">
            <w:pPr>
              <w:adjustRightInd w:val="0"/>
              <w:snapToGrid w:val="0"/>
              <w:jc w:val="left"/>
              <w:rPr>
                <w:rFonts w:ascii="宋体" w:hAnsi="宋体"/>
                <w:szCs w:val="21"/>
                <w:highlight w:val="none"/>
              </w:rPr>
            </w:pPr>
            <w:r>
              <w:rPr>
                <w:rFonts w:hint="eastAsia" w:ascii="宋体" w:hAnsi="宋体"/>
                <w:szCs w:val="21"/>
                <w:highlight w:val="none"/>
              </w:rPr>
              <w:t>迟延交货赔偿费</w:t>
            </w:r>
          </w:p>
        </w:tc>
        <w:tc>
          <w:tcPr>
            <w:tcW w:w="5170" w:type="dxa"/>
            <w:vAlign w:val="center"/>
          </w:tcPr>
          <w:p w14:paraId="0CD23489">
            <w:pPr>
              <w:adjustRightInd w:val="0"/>
              <w:snapToGrid w:val="0"/>
              <w:jc w:val="left"/>
              <w:rPr>
                <w:rFonts w:ascii="宋体" w:hAnsi="宋体"/>
                <w:szCs w:val="21"/>
                <w:highlight w:val="none"/>
                <w:u w:val="single"/>
              </w:rPr>
            </w:pPr>
          </w:p>
        </w:tc>
      </w:tr>
      <w:tr w14:paraId="61A172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C96C4E9">
            <w:pPr>
              <w:adjustRightInd w:val="0"/>
              <w:snapToGrid w:val="0"/>
              <w:jc w:val="center"/>
              <w:rPr>
                <w:rFonts w:ascii="宋体" w:hAnsi="宋体"/>
                <w:szCs w:val="21"/>
                <w:highlight w:val="none"/>
              </w:rPr>
            </w:pPr>
            <w:r>
              <w:rPr>
                <w:rFonts w:hint="eastAsia" w:ascii="宋体" w:hAnsi="宋体"/>
                <w:szCs w:val="21"/>
                <w:highlight w:val="none"/>
              </w:rPr>
              <w:t>第二节</w:t>
            </w:r>
          </w:p>
          <w:p w14:paraId="114F05F4">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3款</w:t>
            </w:r>
          </w:p>
        </w:tc>
        <w:tc>
          <w:tcPr>
            <w:tcW w:w="1742" w:type="dxa"/>
            <w:vAlign w:val="center"/>
          </w:tcPr>
          <w:p w14:paraId="64566A9A">
            <w:pPr>
              <w:adjustRightInd w:val="0"/>
              <w:snapToGrid w:val="0"/>
              <w:jc w:val="left"/>
              <w:rPr>
                <w:rFonts w:hint="eastAsia" w:ascii="宋体" w:hAnsi="宋体"/>
                <w:szCs w:val="21"/>
                <w:highlight w:val="none"/>
              </w:rPr>
            </w:pPr>
            <w:r>
              <w:rPr>
                <w:rFonts w:hint="eastAsia" w:ascii="宋体" w:hAnsi="宋体"/>
                <w:szCs w:val="21"/>
                <w:highlight w:val="none"/>
              </w:rPr>
              <w:t>逾期付款利息</w:t>
            </w:r>
          </w:p>
        </w:tc>
        <w:tc>
          <w:tcPr>
            <w:tcW w:w="5170" w:type="dxa"/>
            <w:vAlign w:val="center"/>
          </w:tcPr>
          <w:p w14:paraId="636BE01E">
            <w:pPr>
              <w:adjustRightInd w:val="0"/>
              <w:snapToGrid w:val="0"/>
              <w:jc w:val="left"/>
              <w:rPr>
                <w:rFonts w:ascii="宋体" w:hAnsi="宋体"/>
                <w:szCs w:val="21"/>
                <w:highlight w:val="none"/>
                <w:u w:val="single"/>
              </w:rPr>
            </w:pPr>
          </w:p>
        </w:tc>
      </w:tr>
      <w:tr w14:paraId="43DFB5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vAlign w:val="center"/>
          </w:tcPr>
          <w:p w14:paraId="7FDDADA7">
            <w:pPr>
              <w:adjustRightInd w:val="0"/>
              <w:snapToGrid w:val="0"/>
              <w:jc w:val="center"/>
              <w:rPr>
                <w:rFonts w:ascii="宋体" w:hAnsi="宋体"/>
                <w:szCs w:val="21"/>
                <w:highlight w:val="none"/>
              </w:rPr>
            </w:pPr>
            <w:r>
              <w:rPr>
                <w:rFonts w:hint="eastAsia" w:ascii="宋体" w:hAnsi="宋体"/>
                <w:szCs w:val="21"/>
                <w:highlight w:val="none"/>
              </w:rPr>
              <w:t>第二节</w:t>
            </w:r>
          </w:p>
          <w:p w14:paraId="75390CF2">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.4</w:t>
            </w:r>
            <w:r>
              <w:rPr>
                <w:rFonts w:hint="eastAsia" w:ascii="宋体" w:hAnsi="宋体"/>
                <w:szCs w:val="21"/>
                <w:highlight w:val="none"/>
                <w:lang w:val="en-US" w:eastAsia="zh-CN"/>
              </w:rPr>
              <w:t>款</w:t>
            </w:r>
          </w:p>
        </w:tc>
        <w:tc>
          <w:tcPr>
            <w:tcW w:w="1742" w:type="dxa"/>
            <w:tcBorders>
              <w:left w:val="single" w:color="auto" w:sz="2" w:space="0"/>
              <w:bottom w:val="single" w:color="auto" w:sz="2" w:space="0"/>
              <w:right w:val="single" w:color="auto" w:sz="2" w:space="0"/>
            </w:tcBorders>
            <w:vAlign w:val="center"/>
          </w:tcPr>
          <w:p w14:paraId="1AC5BF78">
            <w:pPr>
              <w:adjustRightInd w:val="0"/>
              <w:snapToGrid w:val="0"/>
              <w:jc w:val="left"/>
              <w:rPr>
                <w:rFonts w:ascii="宋体" w:hAnsi="宋体"/>
                <w:szCs w:val="21"/>
                <w:highlight w:val="none"/>
              </w:rPr>
            </w:pPr>
            <w:r>
              <w:rPr>
                <w:rFonts w:hint="eastAsia" w:ascii="宋体" w:hAnsi="宋体"/>
                <w:szCs w:val="21"/>
                <w:highlight w:val="none"/>
              </w:rPr>
              <w:t>其他违约责任</w:t>
            </w:r>
          </w:p>
        </w:tc>
        <w:tc>
          <w:tcPr>
            <w:tcW w:w="5170" w:type="dxa"/>
            <w:tcBorders>
              <w:left w:val="single" w:color="auto" w:sz="2" w:space="0"/>
              <w:bottom w:val="single" w:color="auto" w:sz="2" w:space="0"/>
            </w:tcBorders>
            <w:vAlign w:val="center"/>
          </w:tcPr>
          <w:p w14:paraId="4576FA42">
            <w:pPr>
              <w:adjustRightInd w:val="0"/>
              <w:snapToGrid w:val="0"/>
              <w:jc w:val="left"/>
              <w:rPr>
                <w:rFonts w:ascii="宋体" w:hAnsi="宋体"/>
                <w:szCs w:val="21"/>
                <w:highlight w:val="none"/>
                <w:u w:val="single"/>
              </w:rPr>
            </w:pPr>
          </w:p>
        </w:tc>
      </w:tr>
      <w:tr w14:paraId="7E6D0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vAlign w:val="center"/>
          </w:tcPr>
          <w:p w14:paraId="2DFD0A5F">
            <w:pPr>
              <w:adjustRightInd w:val="0"/>
              <w:snapToGrid w:val="0"/>
              <w:jc w:val="center"/>
              <w:rPr>
                <w:rFonts w:ascii="宋体" w:hAnsi="宋体"/>
                <w:szCs w:val="21"/>
                <w:highlight w:val="none"/>
              </w:rPr>
            </w:pPr>
            <w:r>
              <w:rPr>
                <w:rFonts w:hint="eastAsia" w:ascii="宋体" w:hAnsi="宋体"/>
                <w:szCs w:val="21"/>
                <w:highlight w:val="none"/>
              </w:rPr>
              <w:t>第二节</w:t>
            </w:r>
          </w:p>
          <w:p w14:paraId="7B28F0BB">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19</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tcBorders>
              <w:top w:val="single" w:color="auto" w:sz="2" w:space="0"/>
              <w:left w:val="single" w:color="auto" w:sz="2" w:space="0"/>
              <w:right w:val="single" w:color="auto" w:sz="2" w:space="0"/>
            </w:tcBorders>
            <w:vAlign w:val="center"/>
          </w:tcPr>
          <w:p w14:paraId="6B9209E9">
            <w:pPr>
              <w:adjustRightInd w:val="0"/>
              <w:snapToGrid w:val="0"/>
              <w:jc w:val="left"/>
              <w:rPr>
                <w:rFonts w:ascii="宋体" w:hAnsi="宋体"/>
                <w:szCs w:val="21"/>
                <w:highlight w:val="none"/>
              </w:rPr>
            </w:pPr>
            <w:r>
              <w:rPr>
                <w:rFonts w:hint="eastAsia" w:ascii="宋体" w:hAnsi="宋体"/>
                <w:szCs w:val="21"/>
                <w:highlight w:val="none"/>
                <w:lang w:val="en-US" w:eastAsia="zh-CN"/>
              </w:rPr>
              <w:t>解决争议的方法</w:t>
            </w:r>
          </w:p>
        </w:tc>
        <w:tc>
          <w:tcPr>
            <w:tcW w:w="5170" w:type="dxa"/>
            <w:tcBorders>
              <w:top w:val="single" w:color="auto" w:sz="2" w:space="0"/>
              <w:left w:val="single" w:color="auto" w:sz="2" w:space="0"/>
            </w:tcBorders>
            <w:vAlign w:val="center"/>
          </w:tcPr>
          <w:p w14:paraId="6E52D277">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因本合同及合同有关事项发生的争议，按下列第</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种方式解决：</w:t>
            </w:r>
          </w:p>
          <w:p w14:paraId="528301CA">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（1）向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仲裁委员会申请仲裁，仲裁地点为</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w:t>
            </w:r>
          </w:p>
          <w:p w14:paraId="10AD8545">
            <w:pPr>
              <w:adjustRightInd w:val="0"/>
              <w:snapToGrid w:val="0"/>
              <w:ind w:firstLine="0" w:firstLineChars="0"/>
              <w:jc w:val="left"/>
              <w:rPr>
                <w:rFonts w:ascii="宋体" w:hAnsi="宋体"/>
                <w:szCs w:val="21"/>
                <w:highlight w:val="none"/>
                <w:u w:val="single"/>
              </w:rPr>
            </w:pPr>
            <w:r>
              <w:rPr>
                <w:rFonts w:hint="eastAsia" w:ascii="宋体" w:hAnsi="宋体" w:eastAsia="宋体" w:cs="宋体"/>
                <w:b w:val="0"/>
                <w:bCs w:val="0"/>
                <w:iCs/>
                <w:szCs w:val="21"/>
                <w:highlight w:val="none"/>
              </w:rPr>
              <w:t>（2）向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人民法院起诉。</w:t>
            </w:r>
          </w:p>
        </w:tc>
      </w:tr>
      <w:tr w14:paraId="5789EF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vAlign w:val="center"/>
          </w:tcPr>
          <w:p w14:paraId="2571A782">
            <w:pPr>
              <w:adjustRightInd w:val="0"/>
              <w:snapToGrid w:val="0"/>
              <w:jc w:val="center"/>
              <w:rPr>
                <w:rFonts w:ascii="宋体" w:hAnsi="宋体"/>
                <w:szCs w:val="21"/>
                <w:highlight w:val="none"/>
              </w:rPr>
            </w:pPr>
            <w:r>
              <w:rPr>
                <w:rFonts w:hint="eastAsia" w:ascii="宋体" w:hAnsi="宋体"/>
                <w:szCs w:val="21"/>
                <w:highlight w:val="none"/>
              </w:rPr>
              <w:t>第二节</w:t>
            </w:r>
          </w:p>
          <w:p w14:paraId="0648B032">
            <w:pPr>
              <w:adjustRightInd w:val="0"/>
              <w:snapToGrid w:val="0"/>
              <w:jc w:val="center"/>
              <w:rPr>
                <w:rFonts w:ascii="宋体" w:hAnsi="宋体"/>
                <w:szCs w:val="21"/>
                <w:highlight w:val="none"/>
              </w:rPr>
            </w:pPr>
            <w:r>
              <w:rPr>
                <w:rFonts w:hint="eastAsia" w:ascii="宋体" w:hAnsi="宋体"/>
                <w:szCs w:val="21"/>
                <w:highlight w:val="none"/>
              </w:rPr>
              <w:t>第2</w:t>
            </w:r>
            <w:r>
              <w:rPr>
                <w:rFonts w:hint="eastAsia" w:ascii="宋体" w:hAnsi="宋体"/>
                <w:szCs w:val="21"/>
                <w:highlight w:val="none"/>
                <w:lang w:val="en-US" w:eastAsia="zh-CN"/>
              </w:rPr>
              <w:t>3.1</w:t>
            </w:r>
            <w:r>
              <w:rPr>
                <w:rFonts w:hint="eastAsia" w:ascii="宋体" w:hAnsi="宋体"/>
                <w:szCs w:val="21"/>
                <w:highlight w:val="none"/>
                <w:lang w:eastAsia="zh-CN"/>
              </w:rPr>
              <w:t>款</w:t>
            </w:r>
          </w:p>
        </w:tc>
        <w:tc>
          <w:tcPr>
            <w:tcW w:w="1742" w:type="dxa"/>
            <w:vAlign w:val="center"/>
          </w:tcPr>
          <w:p w14:paraId="3B778C71">
            <w:pPr>
              <w:adjustRightInd w:val="0"/>
              <w:snapToGrid w:val="0"/>
              <w:jc w:val="left"/>
              <w:rPr>
                <w:rFonts w:ascii="宋体" w:hAnsi="宋体"/>
                <w:szCs w:val="21"/>
                <w:highlight w:val="none"/>
              </w:rPr>
            </w:pPr>
            <w:r>
              <w:rPr>
                <w:rFonts w:hint="eastAsia" w:ascii="宋体" w:hAnsi="宋体"/>
                <w:bCs/>
                <w:color w:val="auto"/>
                <w:szCs w:val="21"/>
                <w:highlight w:val="none"/>
                <w:lang w:eastAsia="zh-CN"/>
              </w:rPr>
              <w:t>其他专用条款</w:t>
            </w:r>
          </w:p>
        </w:tc>
        <w:tc>
          <w:tcPr>
            <w:tcW w:w="5170" w:type="dxa"/>
            <w:vAlign w:val="center"/>
          </w:tcPr>
          <w:p w14:paraId="6045DCE6">
            <w:pPr>
              <w:adjustRightInd w:val="0"/>
              <w:snapToGrid w:val="0"/>
              <w:jc w:val="left"/>
              <w:rPr>
                <w:rFonts w:hint="default" w:ascii="宋体" w:hAnsi="宋体" w:eastAsia="宋体"/>
                <w:szCs w:val="21"/>
                <w:highlight w:val="none"/>
                <w:lang w:val="en-US" w:eastAsia="zh-CN"/>
              </w:rPr>
            </w:pPr>
          </w:p>
        </w:tc>
      </w:tr>
    </w:tbl>
    <w:p w14:paraId="0B843D38">
      <w:pPr>
        <w:rPr>
          <w:highlight w:val="none"/>
        </w:rPr>
      </w:pPr>
    </w:p>
    <w:p w14:paraId="63924C55">
      <w:pPr>
        <w:rPr>
          <w:rFonts w:hint="default"/>
          <w:highlight w:val="none"/>
        </w:rPr>
      </w:pPr>
    </w:p>
    <w:p w14:paraId="6C91D9FC">
      <w:pPr>
        <w:pStyle w:val="23"/>
        <w:rPr>
          <w:color w:val="auto"/>
          <w:highlight w:val="none"/>
        </w:rPr>
      </w:pPr>
    </w:p>
    <w:p w14:paraId="41AF7214">
      <w:pPr>
        <w:rPr>
          <w:rFonts w:ascii="Times New Roman" w:hAnsi="Times New Roman"/>
          <w:color w:val="auto"/>
          <w:highlight w:val="none"/>
        </w:rPr>
      </w:pPr>
      <w:r>
        <w:rPr>
          <w:rFonts w:ascii="Times New Roman" w:hAnsi="Times New Roman"/>
          <w:color w:val="auto"/>
          <w:highlight w:val="none"/>
        </w:rPr>
        <w:br w:type="page"/>
      </w:r>
    </w:p>
    <w:p w14:paraId="798D1FB5">
      <w:pPr>
        <w:keepNext/>
        <w:widowControl w:val="0"/>
        <w:bidi w:val="0"/>
        <w:spacing w:before="240" w:after="60"/>
        <w:jc w:val="center"/>
        <w:outlineLvl w:val="0"/>
        <w:rPr>
          <w:rFonts w:hint="default" w:ascii="Times New Roman" w:hAnsi="Times New Roman" w:eastAsia="黑体" w:cs="Times New Roman"/>
          <w:bCs/>
          <w:kern w:val="32"/>
          <w:sz w:val="36"/>
          <w:szCs w:val="48"/>
          <w:lang w:val="en-US" w:eastAsia="zh-CN" w:bidi="ar-SA"/>
        </w:rPr>
      </w:pPr>
      <w:bookmarkStart w:id="144" w:name="_Toc30183"/>
      <w:r>
        <w:rPr>
          <w:rFonts w:hint="eastAsia" w:ascii="方正黑体_GBK" w:hAnsi="方正黑体_GBK" w:eastAsia="方正黑体_GBK" w:cs="方正黑体_GBK"/>
          <w:bCs/>
          <w:kern w:val="32"/>
          <w:sz w:val="36"/>
          <w:szCs w:val="48"/>
          <w:lang w:val="en-US" w:eastAsia="zh-CN" w:bidi="ar-SA"/>
        </w:rPr>
        <w:t>第五章  评标方法及标准</w:t>
      </w:r>
      <w:bookmarkEnd w:id="144"/>
    </w:p>
    <w:tbl>
      <w:tblPr>
        <w:tblStyle w:val="31"/>
        <w:tblW w:w="51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4"/>
        <w:gridCol w:w="2218"/>
        <w:gridCol w:w="2078"/>
        <w:gridCol w:w="2392"/>
      </w:tblGrid>
      <w:tr w14:paraId="31EC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66" w:type="pct"/>
            <w:tcBorders>
              <w:top w:val="single" w:color="000000" w:sz="2" w:space="0"/>
              <w:left w:val="single" w:color="000000" w:sz="2" w:space="0"/>
              <w:bottom w:val="single" w:color="000000" w:sz="2" w:space="0"/>
              <w:right w:val="single" w:color="000000" w:sz="2" w:space="0"/>
            </w:tcBorders>
            <w:noWrap/>
            <w:tcMar>
              <w:top w:w="100" w:type="dxa"/>
              <w:left w:w="108" w:type="dxa"/>
              <w:bottom w:w="100" w:type="dxa"/>
              <w:right w:w="108" w:type="dxa"/>
            </w:tcMar>
            <w:vAlign w:val="center"/>
          </w:tcPr>
          <w:p w14:paraId="52C0A70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名称</w:t>
            </w:r>
          </w:p>
        </w:tc>
        <w:tc>
          <w:tcPr>
            <w:tcW w:w="1172" w:type="pct"/>
            <w:tcBorders>
              <w:top w:val="single" w:color="000000" w:sz="2" w:space="0"/>
              <w:left w:val="single" w:color="000000" w:sz="2" w:space="0"/>
              <w:bottom w:val="single" w:color="000000" w:sz="2" w:space="0"/>
              <w:right w:val="single" w:color="000000" w:sz="2" w:space="0"/>
            </w:tcBorders>
            <w:noWrap/>
            <w:tcMar>
              <w:top w:w="100" w:type="dxa"/>
              <w:left w:w="108" w:type="dxa"/>
              <w:bottom w:w="100" w:type="dxa"/>
              <w:right w:w="108" w:type="dxa"/>
            </w:tcMar>
            <w:vAlign w:val="center"/>
          </w:tcPr>
          <w:p w14:paraId="0D13B3F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评审因素</w:t>
            </w:r>
          </w:p>
        </w:tc>
        <w:tc>
          <w:tcPr>
            <w:tcW w:w="1098" w:type="pct"/>
            <w:tcBorders>
              <w:top w:val="single" w:color="000000" w:sz="2" w:space="0"/>
              <w:left w:val="single" w:color="000000" w:sz="2" w:space="0"/>
              <w:bottom w:val="single" w:color="000000" w:sz="2" w:space="0"/>
              <w:right w:val="single" w:color="000000" w:sz="2" w:space="0"/>
            </w:tcBorders>
            <w:vAlign w:val="center"/>
          </w:tcPr>
          <w:p w14:paraId="23B32F4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分值</w:t>
            </w:r>
          </w:p>
        </w:tc>
        <w:tc>
          <w:tcPr>
            <w:tcW w:w="1262" w:type="pct"/>
            <w:tcBorders>
              <w:top w:val="single" w:color="000000" w:sz="2" w:space="0"/>
              <w:left w:val="single" w:color="000000" w:sz="2" w:space="0"/>
              <w:bottom w:val="single" w:color="000000" w:sz="2" w:space="0"/>
              <w:right w:val="single" w:color="000000" w:sz="2" w:space="0"/>
            </w:tcBorders>
            <w:vAlign w:val="center"/>
          </w:tcPr>
          <w:p w14:paraId="6DA9EEF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权值</w:t>
            </w:r>
          </w:p>
        </w:tc>
      </w:tr>
      <w:tr w14:paraId="3A0F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66" w:type="pct"/>
            <w:tcBorders>
              <w:top w:val="single" w:color="000000" w:sz="2" w:space="0"/>
              <w:left w:val="single" w:color="000000" w:sz="2" w:space="0"/>
              <w:bottom w:val="single" w:color="000000" w:sz="2" w:space="0"/>
              <w:right w:val="single" w:color="000000" w:sz="2" w:space="0"/>
            </w:tcBorders>
            <w:noWrap/>
            <w:tcMar>
              <w:top w:w="100" w:type="dxa"/>
              <w:left w:w="108" w:type="dxa"/>
              <w:bottom w:w="100" w:type="dxa"/>
              <w:right w:w="108" w:type="dxa"/>
            </w:tcMar>
            <w:vAlign w:val="center"/>
          </w:tcPr>
          <w:p w14:paraId="62D8A5FE">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F1经济标</w:t>
            </w:r>
          </w:p>
        </w:tc>
        <w:tc>
          <w:tcPr>
            <w:tcW w:w="1172" w:type="pct"/>
            <w:tcBorders>
              <w:top w:val="single" w:color="000000" w:sz="2" w:space="0"/>
              <w:left w:val="single" w:color="000000" w:sz="2" w:space="0"/>
              <w:bottom w:val="single" w:color="000000" w:sz="2" w:space="0"/>
              <w:right w:val="single" w:color="000000" w:sz="2" w:space="0"/>
            </w:tcBorders>
            <w:noWrap/>
            <w:tcMar>
              <w:top w:w="100" w:type="dxa"/>
              <w:left w:w="108" w:type="dxa"/>
              <w:bottom w:w="100" w:type="dxa"/>
              <w:right w:w="108" w:type="dxa"/>
            </w:tcMar>
            <w:vAlign w:val="center"/>
          </w:tcPr>
          <w:p w14:paraId="345999F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投标报价</w:t>
            </w:r>
          </w:p>
        </w:tc>
        <w:tc>
          <w:tcPr>
            <w:tcW w:w="1098" w:type="pct"/>
            <w:tcBorders>
              <w:top w:val="single" w:color="000000" w:sz="2" w:space="0"/>
              <w:left w:val="single" w:color="000000" w:sz="2" w:space="0"/>
              <w:bottom w:val="single" w:color="000000" w:sz="2" w:space="0"/>
              <w:right w:val="single" w:color="000000" w:sz="2" w:space="0"/>
            </w:tcBorders>
            <w:vAlign w:val="center"/>
          </w:tcPr>
          <w:p w14:paraId="3944FC7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30</w:t>
            </w:r>
          </w:p>
        </w:tc>
        <w:tc>
          <w:tcPr>
            <w:tcW w:w="1262" w:type="pct"/>
            <w:tcBorders>
              <w:top w:val="single" w:color="000000" w:sz="2" w:space="0"/>
              <w:left w:val="single" w:color="000000" w:sz="2" w:space="0"/>
              <w:bottom w:val="single" w:color="000000" w:sz="2" w:space="0"/>
              <w:right w:val="single" w:color="000000" w:sz="2" w:space="0"/>
            </w:tcBorders>
            <w:vAlign w:val="center"/>
          </w:tcPr>
          <w:p w14:paraId="7BC821FB">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color w:val="000000"/>
                <w:kern w:val="0"/>
                <w:sz w:val="24"/>
                <w:szCs w:val="24"/>
                <w:highlight w:val="none"/>
                <w:lang w:val="en-US" w:eastAsia="zh-CN"/>
              </w:rPr>
              <w:t>30</w:t>
            </w:r>
            <w:r>
              <w:rPr>
                <w:rFonts w:hint="default" w:ascii="Times New Roman" w:hAnsi="Times New Roman" w:eastAsia="宋体" w:cs="Times New Roman"/>
                <w:color w:val="000000"/>
                <w:kern w:val="0"/>
                <w:sz w:val="24"/>
                <w:szCs w:val="24"/>
                <w:highlight w:val="none"/>
              </w:rPr>
              <w:t>.00%</w:t>
            </w:r>
          </w:p>
        </w:tc>
      </w:tr>
      <w:tr w14:paraId="2C39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66" w:type="pct"/>
            <w:tcBorders>
              <w:top w:val="single" w:color="000000" w:sz="2" w:space="0"/>
              <w:left w:val="single" w:color="000000" w:sz="2" w:space="0"/>
              <w:bottom w:val="single" w:color="000000" w:sz="2" w:space="0"/>
              <w:right w:val="single" w:color="000000" w:sz="2" w:space="0"/>
            </w:tcBorders>
            <w:noWrap/>
            <w:tcMar>
              <w:top w:w="100" w:type="dxa"/>
              <w:left w:w="108" w:type="dxa"/>
              <w:bottom w:w="100" w:type="dxa"/>
              <w:right w:w="108" w:type="dxa"/>
            </w:tcMar>
            <w:vAlign w:val="center"/>
          </w:tcPr>
          <w:p w14:paraId="6F56373E">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F2商务</w:t>
            </w:r>
            <w:r>
              <w:rPr>
                <w:rFonts w:hint="default" w:ascii="Times New Roman" w:hAnsi="Times New Roman" w:eastAsia="宋体" w:cs="Times New Roman"/>
                <w:kern w:val="0"/>
                <w:sz w:val="24"/>
                <w:szCs w:val="24"/>
                <w:highlight w:val="none"/>
                <w:lang w:val="en-US" w:eastAsia="zh-CN"/>
              </w:rPr>
              <w:t>技术</w:t>
            </w:r>
            <w:r>
              <w:rPr>
                <w:rFonts w:hint="default" w:ascii="Times New Roman" w:hAnsi="Times New Roman" w:eastAsia="宋体" w:cs="Times New Roman"/>
                <w:kern w:val="0"/>
                <w:sz w:val="24"/>
                <w:szCs w:val="24"/>
                <w:highlight w:val="none"/>
              </w:rPr>
              <w:t>标</w:t>
            </w:r>
          </w:p>
        </w:tc>
        <w:tc>
          <w:tcPr>
            <w:tcW w:w="1172" w:type="pct"/>
            <w:tcBorders>
              <w:top w:val="single" w:color="000000" w:sz="2" w:space="0"/>
              <w:left w:val="single" w:color="000000" w:sz="2" w:space="0"/>
              <w:bottom w:val="single" w:color="000000" w:sz="2" w:space="0"/>
              <w:right w:val="single" w:color="000000" w:sz="2" w:space="0"/>
            </w:tcBorders>
            <w:noWrap/>
            <w:tcMar>
              <w:top w:w="100" w:type="dxa"/>
              <w:left w:w="108" w:type="dxa"/>
              <w:bottom w:w="100" w:type="dxa"/>
              <w:right w:w="108" w:type="dxa"/>
            </w:tcMar>
            <w:vAlign w:val="center"/>
          </w:tcPr>
          <w:p w14:paraId="1288542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商务</w:t>
            </w:r>
            <w:r>
              <w:rPr>
                <w:rFonts w:hint="default" w:ascii="Times New Roman" w:hAnsi="Times New Roman" w:eastAsia="宋体" w:cs="Times New Roman"/>
                <w:kern w:val="0"/>
                <w:sz w:val="24"/>
                <w:szCs w:val="24"/>
                <w:highlight w:val="none"/>
                <w:lang w:val="en-US" w:eastAsia="zh-CN"/>
              </w:rPr>
              <w:t>技术</w:t>
            </w:r>
            <w:r>
              <w:rPr>
                <w:rFonts w:hint="default" w:ascii="Times New Roman" w:hAnsi="Times New Roman" w:eastAsia="宋体" w:cs="Times New Roman"/>
                <w:kern w:val="0"/>
                <w:sz w:val="24"/>
                <w:szCs w:val="24"/>
                <w:highlight w:val="none"/>
              </w:rPr>
              <w:t>要求</w:t>
            </w:r>
          </w:p>
        </w:tc>
        <w:tc>
          <w:tcPr>
            <w:tcW w:w="1098" w:type="pct"/>
            <w:tcBorders>
              <w:top w:val="single" w:color="000000" w:sz="2" w:space="0"/>
              <w:left w:val="single" w:color="000000" w:sz="2" w:space="0"/>
              <w:bottom w:val="single" w:color="000000" w:sz="2" w:space="0"/>
              <w:right w:val="single" w:color="000000" w:sz="2" w:space="0"/>
            </w:tcBorders>
            <w:vAlign w:val="center"/>
          </w:tcPr>
          <w:p w14:paraId="0D62385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70</w:t>
            </w:r>
          </w:p>
        </w:tc>
        <w:tc>
          <w:tcPr>
            <w:tcW w:w="1262" w:type="pct"/>
            <w:tcBorders>
              <w:top w:val="single" w:color="000000" w:sz="2" w:space="0"/>
              <w:left w:val="single" w:color="000000" w:sz="2" w:space="0"/>
              <w:bottom w:val="single" w:color="000000" w:sz="2" w:space="0"/>
              <w:right w:val="single" w:color="000000" w:sz="2" w:space="0"/>
            </w:tcBorders>
            <w:vAlign w:val="center"/>
          </w:tcPr>
          <w:p w14:paraId="0C385C3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color w:val="000000"/>
                <w:kern w:val="0"/>
                <w:sz w:val="24"/>
                <w:szCs w:val="24"/>
                <w:highlight w:val="none"/>
                <w:lang w:val="en-US" w:eastAsia="zh-CN"/>
              </w:rPr>
              <w:t>70</w:t>
            </w:r>
            <w:r>
              <w:rPr>
                <w:rFonts w:hint="default" w:ascii="Times New Roman" w:hAnsi="Times New Roman" w:eastAsia="宋体" w:cs="Times New Roman"/>
                <w:color w:val="000000"/>
                <w:kern w:val="0"/>
                <w:sz w:val="24"/>
                <w:szCs w:val="24"/>
                <w:highlight w:val="none"/>
              </w:rPr>
              <w:t>.00%</w:t>
            </w:r>
          </w:p>
        </w:tc>
      </w:tr>
      <w:tr w14:paraId="594F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gridSpan w:val="4"/>
            <w:tcBorders>
              <w:top w:val="single" w:color="000000" w:sz="2" w:space="0"/>
              <w:left w:val="single" w:color="000000" w:sz="2" w:space="0"/>
              <w:bottom w:val="single" w:color="auto" w:sz="4" w:space="0"/>
              <w:right w:val="single" w:color="000000" w:sz="2" w:space="0"/>
            </w:tcBorders>
            <w:noWrap/>
            <w:tcMar>
              <w:top w:w="100" w:type="dxa"/>
              <w:left w:w="108" w:type="dxa"/>
              <w:bottom w:w="100" w:type="dxa"/>
              <w:right w:w="108" w:type="dxa"/>
            </w:tcMar>
            <w:vAlign w:val="center"/>
          </w:tcPr>
          <w:p w14:paraId="576BAEE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sz w:val="24"/>
                <w:szCs w:val="24"/>
                <w:highlight w:val="none"/>
              </w:rPr>
              <w:t>F1、F2分别为各项评审因素的汇总得分</w:t>
            </w:r>
          </w:p>
        </w:tc>
      </w:tr>
      <w:tr w14:paraId="7C81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gridSpan w:val="4"/>
            <w:tcBorders>
              <w:top w:val="single" w:color="000000" w:sz="2" w:space="0"/>
              <w:left w:val="single" w:color="000000" w:sz="2" w:space="0"/>
              <w:bottom w:val="single" w:color="auto" w:sz="4" w:space="0"/>
              <w:right w:val="single" w:color="000000" w:sz="2" w:space="0"/>
            </w:tcBorders>
            <w:noWrap/>
            <w:tcMar>
              <w:top w:w="100" w:type="dxa"/>
              <w:left w:w="108" w:type="dxa"/>
              <w:bottom w:w="100" w:type="dxa"/>
              <w:right w:w="108" w:type="dxa"/>
            </w:tcMar>
            <w:vAlign w:val="center"/>
          </w:tcPr>
          <w:p w14:paraId="0007846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评审细则（详见下表）</w:t>
            </w:r>
          </w:p>
        </w:tc>
      </w:tr>
      <w:tr w14:paraId="7854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gridSpan w:val="4"/>
            <w:tcBorders>
              <w:top w:val="single" w:color="000000" w:sz="6" w:space="0"/>
              <w:left w:val="single" w:color="000000" w:sz="6" w:space="0"/>
              <w:bottom w:val="single" w:color="000000" w:sz="6" w:space="0"/>
              <w:right w:val="single" w:color="000000" w:sz="6" w:space="0"/>
            </w:tcBorders>
            <w:noWrap/>
            <w:tcMar>
              <w:top w:w="100" w:type="dxa"/>
              <w:left w:w="108" w:type="dxa"/>
              <w:bottom w:w="100" w:type="dxa"/>
              <w:right w:w="108" w:type="dxa"/>
            </w:tcMar>
            <w:vAlign w:val="center"/>
          </w:tcPr>
          <w:p w14:paraId="25BD999D">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综合得分=F1+F2</w:t>
            </w:r>
          </w:p>
        </w:tc>
      </w:tr>
      <w:tr w14:paraId="7569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gridSpan w:val="4"/>
            <w:tcBorders>
              <w:top w:val="single" w:color="000000" w:sz="6" w:space="0"/>
              <w:left w:val="single" w:color="000000" w:sz="6" w:space="0"/>
              <w:bottom w:val="single" w:color="000000" w:sz="6" w:space="0"/>
              <w:right w:val="single" w:color="000000" w:sz="6" w:space="0"/>
            </w:tcBorders>
            <w:noWrap/>
            <w:tcMar>
              <w:top w:w="100" w:type="dxa"/>
              <w:left w:w="108" w:type="dxa"/>
              <w:bottom w:w="100" w:type="dxa"/>
              <w:right w:w="108" w:type="dxa"/>
            </w:tcMar>
            <w:vAlign w:val="center"/>
          </w:tcPr>
          <w:p w14:paraId="01CE0D17">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kern w:val="0"/>
                <w:sz w:val="24"/>
                <w:szCs w:val="24"/>
                <w:highlight w:val="none"/>
              </w:rPr>
              <w:t>公式：F1</w:t>
            </w:r>
            <w:r>
              <w:rPr>
                <w:rFonts w:hint="default" w:ascii="Times New Roman" w:hAnsi="Times New Roman" w:eastAsia="宋体" w:cs="Times New Roman"/>
                <w:sz w:val="24"/>
                <w:szCs w:val="24"/>
                <w:highlight w:val="none"/>
              </w:rPr>
              <w:t>=（评标基准价／投标报价）×价格权值×100</w:t>
            </w:r>
          </w:p>
        </w:tc>
      </w:tr>
      <w:tr w14:paraId="3368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gridSpan w:val="4"/>
            <w:tcBorders>
              <w:top w:val="single" w:color="000000" w:sz="6" w:space="0"/>
              <w:left w:val="single" w:color="000000" w:sz="6" w:space="0"/>
              <w:bottom w:val="single" w:color="000000" w:sz="6" w:space="0"/>
              <w:right w:val="single" w:color="000000" w:sz="6" w:space="0"/>
            </w:tcBorders>
            <w:noWrap/>
            <w:tcMar>
              <w:top w:w="100" w:type="dxa"/>
              <w:left w:w="108" w:type="dxa"/>
              <w:bottom w:w="100" w:type="dxa"/>
              <w:right w:w="108" w:type="dxa"/>
            </w:tcMar>
            <w:vAlign w:val="center"/>
          </w:tcPr>
          <w:p w14:paraId="1814E07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F2=评标委员会各成员对商务</w:t>
            </w:r>
            <w:r>
              <w:rPr>
                <w:rFonts w:hint="default" w:ascii="Times New Roman" w:hAnsi="Times New Roman" w:eastAsia="宋体" w:cs="Times New Roman"/>
                <w:sz w:val="24"/>
                <w:szCs w:val="24"/>
                <w:highlight w:val="none"/>
                <w:lang w:eastAsia="zh-CN"/>
              </w:rPr>
              <w:t>技术</w:t>
            </w:r>
            <w:r>
              <w:rPr>
                <w:rFonts w:hint="default" w:ascii="Times New Roman" w:hAnsi="Times New Roman" w:eastAsia="宋体" w:cs="Times New Roman"/>
                <w:sz w:val="24"/>
                <w:szCs w:val="24"/>
                <w:highlight w:val="none"/>
              </w:rPr>
              <w:t>标评分总和的算术平均值</w:t>
            </w:r>
          </w:p>
        </w:tc>
      </w:tr>
      <w:tr w14:paraId="3F65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66" w:type="pct"/>
            <w:tcBorders>
              <w:top w:val="single" w:color="000000" w:sz="6" w:space="0"/>
              <w:left w:val="single" w:color="000000" w:sz="6" w:space="0"/>
              <w:bottom w:val="single" w:color="000000" w:sz="6" w:space="0"/>
              <w:right w:val="single" w:color="auto" w:sz="4" w:space="0"/>
            </w:tcBorders>
            <w:noWrap/>
            <w:tcMar>
              <w:top w:w="100" w:type="dxa"/>
              <w:left w:w="108" w:type="dxa"/>
              <w:bottom w:w="100" w:type="dxa"/>
              <w:right w:w="108" w:type="dxa"/>
            </w:tcMar>
            <w:vAlign w:val="center"/>
          </w:tcPr>
          <w:p w14:paraId="38F8F14E">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推荐的中标候选人数量 </w:t>
            </w:r>
          </w:p>
        </w:tc>
        <w:tc>
          <w:tcPr>
            <w:tcW w:w="3533" w:type="pct"/>
            <w:gridSpan w:val="3"/>
            <w:tcBorders>
              <w:top w:val="single" w:color="000000" w:sz="6" w:space="0"/>
              <w:left w:val="single" w:color="auto" w:sz="4" w:space="0"/>
              <w:bottom w:val="single" w:color="000000" w:sz="6" w:space="0"/>
              <w:right w:val="single" w:color="000000" w:sz="6" w:space="0"/>
            </w:tcBorders>
            <w:vAlign w:val="center"/>
          </w:tcPr>
          <w:p w14:paraId="386B1ECC">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三名</w:t>
            </w:r>
          </w:p>
        </w:tc>
      </w:tr>
      <w:tr w14:paraId="693D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blHeader/>
        </w:trPr>
        <w:tc>
          <w:tcPr>
            <w:tcW w:w="1466" w:type="pct"/>
            <w:tcBorders>
              <w:top w:val="single" w:color="000000" w:sz="6" w:space="0"/>
              <w:left w:val="single" w:color="000000" w:sz="6" w:space="0"/>
              <w:bottom w:val="single" w:color="000000" w:sz="6" w:space="0"/>
              <w:right w:val="single" w:color="auto" w:sz="4" w:space="0"/>
            </w:tcBorders>
            <w:noWrap/>
            <w:tcMar>
              <w:top w:w="100" w:type="dxa"/>
              <w:left w:w="108" w:type="dxa"/>
              <w:bottom w:w="100" w:type="dxa"/>
              <w:right w:w="108" w:type="dxa"/>
            </w:tcMar>
            <w:vAlign w:val="center"/>
          </w:tcPr>
          <w:p w14:paraId="15DCF713">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说明</w:t>
            </w:r>
          </w:p>
        </w:tc>
        <w:tc>
          <w:tcPr>
            <w:tcW w:w="3533" w:type="pct"/>
            <w:gridSpan w:val="3"/>
            <w:tcBorders>
              <w:top w:val="single" w:color="000000" w:sz="6" w:space="0"/>
              <w:left w:val="single" w:color="000000" w:sz="6" w:space="0"/>
              <w:bottom w:val="single" w:color="000000" w:sz="6" w:space="0"/>
              <w:right w:val="single" w:color="000000" w:sz="6" w:space="0"/>
            </w:tcBorders>
            <w:vAlign w:val="center"/>
          </w:tcPr>
          <w:p w14:paraId="02EFF87D">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1、价格权值：综合评分法中货物或服务项目的价格分值占总分值（100分）的比重。</w:t>
            </w:r>
          </w:p>
          <w:p w14:paraId="190A5935">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2、计算过程中，算术平均值保留2位小数（百分比亦取2位小数），第三位小数四舍五入。</w:t>
            </w:r>
          </w:p>
        </w:tc>
      </w:tr>
    </w:tbl>
    <w:p w14:paraId="28558910">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4"/>
          <w:szCs w:val="24"/>
          <w:highlight w:val="none"/>
        </w:rPr>
      </w:pPr>
    </w:p>
    <w:tbl>
      <w:tblPr>
        <w:tblStyle w:val="31"/>
        <w:tblW w:w="5160" w:type="pct"/>
        <w:tblInd w:w="0" w:type="dxa"/>
        <w:tblLayout w:type="fixed"/>
        <w:tblCellMar>
          <w:top w:w="0" w:type="dxa"/>
          <w:left w:w="108" w:type="dxa"/>
          <w:bottom w:w="0" w:type="dxa"/>
          <w:right w:w="108" w:type="dxa"/>
        </w:tblCellMar>
      </w:tblPr>
      <w:tblGrid>
        <w:gridCol w:w="816"/>
        <w:gridCol w:w="593"/>
        <w:gridCol w:w="1397"/>
        <w:gridCol w:w="5273"/>
        <w:gridCol w:w="493"/>
        <w:gridCol w:w="896"/>
      </w:tblGrid>
      <w:tr w14:paraId="3B675C89">
        <w:tblPrEx>
          <w:tblCellMar>
            <w:top w:w="0" w:type="dxa"/>
            <w:left w:w="108" w:type="dxa"/>
            <w:bottom w:w="0" w:type="dxa"/>
            <w:right w:w="108" w:type="dxa"/>
          </w:tblCellMar>
        </w:tblPrEx>
        <w:trPr>
          <w:trHeight w:val="525" w:hRule="atLeast"/>
        </w:trPr>
        <w:tc>
          <w:tcPr>
            <w:tcW w:w="5000" w:type="pct"/>
            <w:gridSpan w:val="6"/>
            <w:tcBorders>
              <w:top w:val="single" w:color="auto" w:sz="4" w:space="0"/>
              <w:left w:val="single" w:color="auto" w:sz="4" w:space="0"/>
              <w:bottom w:val="single" w:color="auto" w:sz="4" w:space="0"/>
              <w:right w:val="single" w:color="auto" w:sz="4" w:space="0"/>
            </w:tcBorders>
            <w:vAlign w:val="center"/>
          </w:tcPr>
          <w:p w14:paraId="75F8087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b/>
                <w:bCs/>
                <w:sz w:val="24"/>
                <w:szCs w:val="24"/>
                <w:highlight w:val="none"/>
              </w:rPr>
              <w:t>评审细则表</w:t>
            </w:r>
          </w:p>
        </w:tc>
      </w:tr>
      <w:tr w14:paraId="489B7CEF">
        <w:tblPrEx>
          <w:tblCellMar>
            <w:top w:w="0" w:type="dxa"/>
            <w:left w:w="108" w:type="dxa"/>
            <w:bottom w:w="0" w:type="dxa"/>
            <w:right w:w="108" w:type="dxa"/>
          </w:tblCellMar>
        </w:tblPrEx>
        <w:trPr>
          <w:trHeight w:val="480" w:hRule="atLeast"/>
        </w:trPr>
        <w:tc>
          <w:tcPr>
            <w:tcW w:w="744" w:type="pct"/>
            <w:gridSpan w:val="2"/>
            <w:tcBorders>
              <w:top w:val="single" w:color="auto" w:sz="4" w:space="0"/>
              <w:left w:val="single" w:color="auto" w:sz="4" w:space="0"/>
              <w:bottom w:val="single" w:color="auto" w:sz="4" w:space="0"/>
              <w:right w:val="single" w:color="auto" w:sz="4" w:space="0"/>
            </w:tcBorders>
            <w:vAlign w:val="center"/>
          </w:tcPr>
          <w:p w14:paraId="21B15E7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名称</w:t>
            </w:r>
          </w:p>
        </w:tc>
        <w:tc>
          <w:tcPr>
            <w:tcW w:w="3522" w:type="pct"/>
            <w:gridSpan w:val="2"/>
            <w:tcBorders>
              <w:top w:val="single" w:color="auto" w:sz="4" w:space="0"/>
              <w:left w:val="nil"/>
              <w:bottom w:val="single" w:color="auto" w:sz="4" w:space="0"/>
              <w:right w:val="single" w:color="auto" w:sz="4" w:space="0"/>
            </w:tcBorders>
            <w:vAlign w:val="center"/>
          </w:tcPr>
          <w:p w14:paraId="19289E0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评审因素</w:t>
            </w:r>
          </w:p>
        </w:tc>
        <w:tc>
          <w:tcPr>
            <w:tcW w:w="733" w:type="pct"/>
            <w:gridSpan w:val="2"/>
            <w:tcBorders>
              <w:top w:val="single" w:color="auto" w:sz="4" w:space="0"/>
              <w:left w:val="nil"/>
              <w:bottom w:val="single" w:color="auto" w:sz="4" w:space="0"/>
              <w:right w:val="single" w:color="auto" w:sz="4" w:space="0"/>
            </w:tcBorders>
            <w:vAlign w:val="center"/>
          </w:tcPr>
          <w:p w14:paraId="650BC04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权值</w:t>
            </w:r>
          </w:p>
        </w:tc>
      </w:tr>
      <w:tr w14:paraId="767852A4">
        <w:tblPrEx>
          <w:tblCellMar>
            <w:top w:w="0" w:type="dxa"/>
            <w:left w:w="108" w:type="dxa"/>
            <w:bottom w:w="0" w:type="dxa"/>
            <w:right w:w="108" w:type="dxa"/>
          </w:tblCellMar>
        </w:tblPrEx>
        <w:trPr>
          <w:trHeight w:val="480" w:hRule="atLeast"/>
        </w:trPr>
        <w:tc>
          <w:tcPr>
            <w:tcW w:w="744" w:type="pct"/>
            <w:gridSpan w:val="2"/>
            <w:tcBorders>
              <w:top w:val="single" w:color="auto" w:sz="4" w:space="0"/>
              <w:left w:val="single" w:color="auto" w:sz="4" w:space="0"/>
              <w:bottom w:val="single" w:color="auto" w:sz="4" w:space="0"/>
              <w:right w:val="single" w:color="auto" w:sz="4" w:space="0"/>
            </w:tcBorders>
            <w:vAlign w:val="center"/>
          </w:tcPr>
          <w:p w14:paraId="47DFF5D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F1经济部分</w:t>
            </w:r>
          </w:p>
        </w:tc>
        <w:tc>
          <w:tcPr>
            <w:tcW w:w="3522" w:type="pct"/>
            <w:gridSpan w:val="2"/>
            <w:tcBorders>
              <w:top w:val="single" w:color="auto" w:sz="4" w:space="0"/>
              <w:left w:val="nil"/>
              <w:bottom w:val="single" w:color="auto" w:sz="4" w:space="0"/>
              <w:right w:val="single" w:color="auto" w:sz="4" w:space="0"/>
            </w:tcBorders>
            <w:vAlign w:val="center"/>
          </w:tcPr>
          <w:p w14:paraId="4B099532">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sz w:val="24"/>
                <w:szCs w:val="24"/>
                <w:highlight w:val="none"/>
              </w:rPr>
              <w:t>投标</w:t>
            </w:r>
            <w:r>
              <w:rPr>
                <w:rFonts w:hint="default" w:ascii="Times New Roman" w:hAnsi="Times New Roman" w:eastAsia="宋体" w:cs="Times New Roman"/>
                <w:kern w:val="0"/>
                <w:sz w:val="24"/>
                <w:szCs w:val="24"/>
                <w:highlight w:val="none"/>
              </w:rPr>
              <w:t>报价</w:t>
            </w:r>
          </w:p>
        </w:tc>
        <w:tc>
          <w:tcPr>
            <w:tcW w:w="733" w:type="pct"/>
            <w:gridSpan w:val="2"/>
            <w:tcBorders>
              <w:top w:val="single" w:color="auto" w:sz="4" w:space="0"/>
              <w:left w:val="nil"/>
              <w:bottom w:val="single" w:color="auto" w:sz="4" w:space="0"/>
              <w:right w:val="single" w:color="auto" w:sz="4" w:space="0"/>
            </w:tcBorders>
            <w:shd w:val="clear" w:color="auto" w:fill="auto"/>
            <w:vAlign w:val="center"/>
          </w:tcPr>
          <w:p w14:paraId="205BA069">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val="en-US" w:eastAsia="zh-CN"/>
              </w:rPr>
              <w:t>30</w:t>
            </w:r>
            <w:r>
              <w:rPr>
                <w:rFonts w:hint="default" w:ascii="Times New Roman" w:hAnsi="Times New Roman" w:eastAsia="宋体" w:cs="Times New Roman"/>
                <w:color w:val="000000"/>
                <w:kern w:val="0"/>
                <w:sz w:val="24"/>
                <w:szCs w:val="24"/>
                <w:highlight w:val="none"/>
              </w:rPr>
              <w:t>.00%</w:t>
            </w:r>
          </w:p>
        </w:tc>
      </w:tr>
      <w:tr w14:paraId="38521C46">
        <w:tblPrEx>
          <w:tblCellMar>
            <w:top w:w="0" w:type="dxa"/>
            <w:left w:w="108" w:type="dxa"/>
            <w:bottom w:w="0" w:type="dxa"/>
            <w:right w:w="108" w:type="dxa"/>
          </w:tblCellMar>
        </w:tblPrEx>
        <w:trPr>
          <w:trHeight w:val="480" w:hRule="atLeast"/>
        </w:trPr>
        <w:tc>
          <w:tcPr>
            <w:tcW w:w="744" w:type="pct"/>
            <w:gridSpan w:val="2"/>
            <w:tcBorders>
              <w:top w:val="single" w:color="auto" w:sz="4" w:space="0"/>
              <w:left w:val="single" w:color="auto" w:sz="4" w:space="0"/>
              <w:bottom w:val="single" w:color="auto" w:sz="4" w:space="0"/>
              <w:right w:val="single" w:color="auto" w:sz="4" w:space="0"/>
            </w:tcBorders>
            <w:vAlign w:val="center"/>
          </w:tcPr>
          <w:p w14:paraId="37F7287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F2商务</w:t>
            </w:r>
            <w:r>
              <w:rPr>
                <w:rFonts w:hint="default" w:ascii="Times New Roman" w:hAnsi="Times New Roman" w:eastAsia="宋体" w:cs="Times New Roman"/>
                <w:kern w:val="0"/>
                <w:sz w:val="24"/>
                <w:szCs w:val="24"/>
                <w:highlight w:val="none"/>
                <w:lang w:val="en-US" w:eastAsia="zh-CN"/>
              </w:rPr>
              <w:t>技术</w:t>
            </w:r>
            <w:r>
              <w:rPr>
                <w:rFonts w:hint="default" w:ascii="Times New Roman" w:hAnsi="Times New Roman" w:eastAsia="宋体" w:cs="Times New Roman"/>
                <w:kern w:val="0"/>
                <w:sz w:val="24"/>
                <w:szCs w:val="24"/>
                <w:highlight w:val="none"/>
              </w:rPr>
              <w:t>部分</w:t>
            </w:r>
          </w:p>
        </w:tc>
        <w:tc>
          <w:tcPr>
            <w:tcW w:w="3522" w:type="pct"/>
            <w:gridSpan w:val="2"/>
            <w:tcBorders>
              <w:top w:val="single" w:color="auto" w:sz="4" w:space="0"/>
              <w:left w:val="nil"/>
              <w:bottom w:val="single" w:color="auto" w:sz="4" w:space="0"/>
              <w:right w:val="single" w:color="auto" w:sz="4" w:space="0"/>
            </w:tcBorders>
            <w:vAlign w:val="center"/>
          </w:tcPr>
          <w:p w14:paraId="3DF4AE7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商务</w:t>
            </w:r>
            <w:r>
              <w:rPr>
                <w:rFonts w:hint="default" w:ascii="Times New Roman" w:hAnsi="Times New Roman" w:eastAsia="宋体" w:cs="Times New Roman"/>
                <w:kern w:val="0"/>
                <w:sz w:val="24"/>
                <w:szCs w:val="24"/>
                <w:highlight w:val="none"/>
                <w:lang w:val="en-US" w:eastAsia="zh-CN"/>
              </w:rPr>
              <w:t>技术</w:t>
            </w:r>
            <w:r>
              <w:rPr>
                <w:rFonts w:hint="default" w:ascii="Times New Roman" w:hAnsi="Times New Roman" w:eastAsia="宋体" w:cs="Times New Roman"/>
                <w:kern w:val="0"/>
                <w:sz w:val="24"/>
                <w:szCs w:val="24"/>
                <w:highlight w:val="none"/>
              </w:rPr>
              <w:t>要求</w:t>
            </w:r>
          </w:p>
        </w:tc>
        <w:tc>
          <w:tcPr>
            <w:tcW w:w="733" w:type="pct"/>
            <w:gridSpan w:val="2"/>
            <w:tcBorders>
              <w:top w:val="single" w:color="auto" w:sz="4" w:space="0"/>
              <w:left w:val="nil"/>
              <w:bottom w:val="single" w:color="auto" w:sz="4" w:space="0"/>
              <w:right w:val="single" w:color="auto" w:sz="4" w:space="0"/>
            </w:tcBorders>
            <w:shd w:val="clear" w:color="auto" w:fill="auto"/>
            <w:vAlign w:val="center"/>
          </w:tcPr>
          <w:p w14:paraId="5EC7DB2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val="en-US" w:eastAsia="zh-CN"/>
              </w:rPr>
              <w:t>70</w:t>
            </w:r>
            <w:r>
              <w:rPr>
                <w:rFonts w:hint="default" w:ascii="Times New Roman" w:hAnsi="Times New Roman" w:eastAsia="宋体" w:cs="Times New Roman"/>
                <w:color w:val="000000"/>
                <w:kern w:val="0"/>
                <w:sz w:val="24"/>
                <w:szCs w:val="24"/>
                <w:highlight w:val="none"/>
              </w:rPr>
              <w:t>.00%</w:t>
            </w:r>
          </w:p>
        </w:tc>
      </w:tr>
      <w:tr w14:paraId="0F2B50B2">
        <w:tblPrEx>
          <w:tblCellMar>
            <w:top w:w="0" w:type="dxa"/>
            <w:left w:w="108" w:type="dxa"/>
            <w:bottom w:w="0" w:type="dxa"/>
            <w:right w:w="108" w:type="dxa"/>
          </w:tblCellMar>
        </w:tblPrEx>
        <w:trPr>
          <w:trHeight w:val="480" w:hRule="atLeast"/>
        </w:trPr>
        <w:tc>
          <w:tcPr>
            <w:tcW w:w="5000" w:type="pct"/>
            <w:gridSpan w:val="6"/>
            <w:tcBorders>
              <w:top w:val="single" w:color="auto" w:sz="4" w:space="0"/>
              <w:left w:val="single" w:color="auto" w:sz="4" w:space="0"/>
              <w:bottom w:val="single" w:color="auto" w:sz="4" w:space="0"/>
              <w:right w:val="single" w:color="auto" w:sz="4" w:space="0"/>
            </w:tcBorders>
            <w:vAlign w:val="center"/>
          </w:tcPr>
          <w:p w14:paraId="715FD43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F1、F</w:t>
            </w:r>
            <w:r>
              <w:rPr>
                <w:rFonts w:hint="default" w:ascii="Times New Roman" w:hAnsi="Times New Roman" w:eastAsia="宋体" w:cs="Times New Roman"/>
                <w:kern w:val="0"/>
                <w:sz w:val="24"/>
                <w:szCs w:val="24"/>
                <w:highlight w:val="none"/>
                <w:lang w:val="en-US" w:eastAsia="zh-CN"/>
              </w:rPr>
              <w:t>2</w:t>
            </w:r>
            <w:r>
              <w:rPr>
                <w:rFonts w:hint="default" w:ascii="Times New Roman" w:hAnsi="Times New Roman" w:eastAsia="宋体" w:cs="Times New Roman"/>
                <w:kern w:val="0"/>
                <w:sz w:val="24"/>
                <w:szCs w:val="24"/>
                <w:highlight w:val="none"/>
              </w:rPr>
              <w:t>分别为各项评审因素的汇总得分</w:t>
            </w:r>
          </w:p>
        </w:tc>
      </w:tr>
      <w:tr w14:paraId="789C6C6A">
        <w:tblPrEx>
          <w:tblCellMar>
            <w:top w:w="0" w:type="dxa"/>
            <w:left w:w="108" w:type="dxa"/>
            <w:bottom w:w="0" w:type="dxa"/>
            <w:right w:w="108" w:type="dxa"/>
          </w:tblCellMar>
        </w:tblPrEx>
        <w:trPr>
          <w:trHeight w:val="702" w:hRule="atLeast"/>
        </w:trPr>
        <w:tc>
          <w:tcPr>
            <w:tcW w:w="430" w:type="pct"/>
            <w:tcBorders>
              <w:top w:val="nil"/>
              <w:left w:val="single" w:color="auto" w:sz="4" w:space="0"/>
              <w:bottom w:val="single" w:color="auto" w:sz="4" w:space="0"/>
              <w:right w:val="single" w:color="auto" w:sz="4" w:space="0"/>
            </w:tcBorders>
            <w:vAlign w:val="center"/>
          </w:tcPr>
          <w:p w14:paraId="01DC481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评审因素</w:t>
            </w:r>
          </w:p>
        </w:tc>
        <w:tc>
          <w:tcPr>
            <w:tcW w:w="313" w:type="pct"/>
            <w:tcBorders>
              <w:top w:val="nil"/>
              <w:left w:val="nil"/>
              <w:bottom w:val="single" w:color="auto" w:sz="4" w:space="0"/>
              <w:right w:val="single" w:color="auto" w:sz="4" w:space="0"/>
            </w:tcBorders>
            <w:vAlign w:val="center"/>
          </w:tcPr>
          <w:p w14:paraId="1888BA26">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序号</w:t>
            </w:r>
          </w:p>
        </w:tc>
        <w:tc>
          <w:tcPr>
            <w:tcW w:w="737" w:type="pct"/>
            <w:tcBorders>
              <w:top w:val="nil"/>
              <w:left w:val="nil"/>
              <w:bottom w:val="single" w:color="auto" w:sz="4" w:space="0"/>
              <w:right w:val="single" w:color="auto" w:sz="4" w:space="0"/>
            </w:tcBorders>
            <w:vAlign w:val="center"/>
          </w:tcPr>
          <w:p w14:paraId="69A46EE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评审点名称</w:t>
            </w:r>
          </w:p>
        </w:tc>
        <w:tc>
          <w:tcPr>
            <w:tcW w:w="2785" w:type="pct"/>
            <w:tcBorders>
              <w:top w:val="nil"/>
              <w:left w:val="nil"/>
              <w:bottom w:val="single" w:color="auto" w:sz="4" w:space="0"/>
              <w:right w:val="single" w:color="auto" w:sz="4" w:space="0"/>
            </w:tcBorders>
            <w:vAlign w:val="center"/>
          </w:tcPr>
          <w:p w14:paraId="24397CF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评审标准</w:t>
            </w:r>
          </w:p>
        </w:tc>
        <w:tc>
          <w:tcPr>
            <w:tcW w:w="260" w:type="pct"/>
            <w:tcBorders>
              <w:top w:val="nil"/>
              <w:left w:val="nil"/>
              <w:bottom w:val="single" w:color="auto" w:sz="4" w:space="0"/>
              <w:right w:val="single" w:color="auto" w:sz="4" w:space="0"/>
            </w:tcBorders>
            <w:vAlign w:val="center"/>
          </w:tcPr>
          <w:p w14:paraId="7987E15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分值</w:t>
            </w:r>
          </w:p>
        </w:tc>
        <w:tc>
          <w:tcPr>
            <w:tcW w:w="472" w:type="pct"/>
            <w:tcBorders>
              <w:top w:val="nil"/>
              <w:left w:val="nil"/>
              <w:bottom w:val="single" w:color="auto" w:sz="4" w:space="0"/>
              <w:right w:val="single" w:color="auto" w:sz="4" w:space="0"/>
            </w:tcBorders>
            <w:vAlign w:val="center"/>
          </w:tcPr>
          <w:p w14:paraId="48320E4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kern w:val="0"/>
                <w:sz w:val="24"/>
                <w:szCs w:val="24"/>
                <w:highlight w:val="none"/>
              </w:rPr>
            </w:pPr>
            <w:r>
              <w:rPr>
                <w:rFonts w:hint="default" w:ascii="Times New Roman" w:hAnsi="Times New Roman" w:eastAsia="宋体" w:cs="Times New Roman"/>
                <w:b/>
                <w:bCs/>
                <w:kern w:val="0"/>
                <w:sz w:val="24"/>
                <w:szCs w:val="24"/>
                <w:highlight w:val="none"/>
              </w:rPr>
              <w:t>权值</w:t>
            </w:r>
          </w:p>
        </w:tc>
      </w:tr>
      <w:tr w14:paraId="0EA88B60">
        <w:tblPrEx>
          <w:tblCellMar>
            <w:top w:w="0" w:type="dxa"/>
            <w:left w:w="108" w:type="dxa"/>
            <w:bottom w:w="0" w:type="dxa"/>
            <w:right w:w="108" w:type="dxa"/>
          </w:tblCellMar>
        </w:tblPrEx>
        <w:trPr>
          <w:trHeight w:val="1482" w:hRule="atLeast"/>
        </w:trPr>
        <w:tc>
          <w:tcPr>
            <w:tcW w:w="430" w:type="pct"/>
            <w:vMerge w:val="restart"/>
            <w:tcBorders>
              <w:top w:val="nil"/>
              <w:left w:val="single" w:color="auto" w:sz="4" w:space="0"/>
              <w:bottom w:val="single" w:color="auto" w:sz="4" w:space="0"/>
              <w:right w:val="single" w:color="auto" w:sz="4" w:space="0"/>
            </w:tcBorders>
            <w:vAlign w:val="center"/>
          </w:tcPr>
          <w:p w14:paraId="56681576">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经济部分</w:t>
            </w:r>
          </w:p>
        </w:tc>
        <w:tc>
          <w:tcPr>
            <w:tcW w:w="313" w:type="pct"/>
            <w:vMerge w:val="restart"/>
            <w:tcBorders>
              <w:top w:val="nil"/>
              <w:left w:val="single" w:color="auto" w:sz="4" w:space="0"/>
              <w:bottom w:val="single" w:color="auto" w:sz="4" w:space="0"/>
              <w:right w:val="single" w:color="auto" w:sz="4" w:space="0"/>
            </w:tcBorders>
            <w:vAlign w:val="center"/>
          </w:tcPr>
          <w:p w14:paraId="304E90F5">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w:t>
            </w:r>
          </w:p>
        </w:tc>
        <w:tc>
          <w:tcPr>
            <w:tcW w:w="737" w:type="pct"/>
            <w:vMerge w:val="restart"/>
            <w:tcBorders>
              <w:top w:val="nil"/>
              <w:left w:val="single" w:color="auto" w:sz="4" w:space="0"/>
              <w:bottom w:val="single" w:color="auto" w:sz="4" w:space="0"/>
              <w:right w:val="single" w:color="auto" w:sz="4" w:space="0"/>
            </w:tcBorders>
            <w:vAlign w:val="center"/>
          </w:tcPr>
          <w:p w14:paraId="5062F8B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价格评审</w:t>
            </w:r>
          </w:p>
        </w:tc>
        <w:tc>
          <w:tcPr>
            <w:tcW w:w="2785" w:type="pct"/>
            <w:tcBorders>
              <w:top w:val="nil"/>
              <w:left w:val="nil"/>
              <w:bottom w:val="single" w:color="auto" w:sz="4" w:space="0"/>
              <w:right w:val="single" w:color="auto" w:sz="4" w:space="0"/>
            </w:tcBorders>
            <w:vAlign w:val="center"/>
          </w:tcPr>
          <w:p w14:paraId="0B235626">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经济部分采用低价优先法计算，即满足招标文件要求且投标价格最低的报价为评审基准价，其经济得分为满分，其他有效供应商的经济得分统一按照下列公式计算：</w:t>
            </w:r>
          </w:p>
        </w:tc>
        <w:tc>
          <w:tcPr>
            <w:tcW w:w="260" w:type="pct"/>
            <w:vMerge w:val="restart"/>
            <w:tcBorders>
              <w:top w:val="nil"/>
              <w:left w:val="single" w:color="auto" w:sz="4" w:space="0"/>
              <w:bottom w:val="single" w:color="auto" w:sz="4" w:space="0"/>
              <w:right w:val="single" w:color="auto" w:sz="4" w:space="0"/>
            </w:tcBorders>
            <w:vAlign w:val="center"/>
          </w:tcPr>
          <w:p w14:paraId="1FC7B1BB">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30</w:t>
            </w:r>
          </w:p>
        </w:tc>
        <w:tc>
          <w:tcPr>
            <w:tcW w:w="472" w:type="pct"/>
            <w:vMerge w:val="restart"/>
            <w:tcBorders>
              <w:top w:val="nil"/>
              <w:left w:val="single" w:color="auto" w:sz="4" w:space="0"/>
              <w:bottom w:val="single" w:color="auto" w:sz="4" w:space="0"/>
              <w:right w:val="single" w:color="auto" w:sz="4" w:space="0"/>
            </w:tcBorders>
            <w:vAlign w:val="center"/>
          </w:tcPr>
          <w:p w14:paraId="48268A9E">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30</w:t>
            </w:r>
            <w:r>
              <w:rPr>
                <w:rFonts w:hint="default" w:ascii="Times New Roman" w:hAnsi="Times New Roman" w:eastAsia="宋体" w:cs="Times New Roman"/>
                <w:color w:val="auto"/>
                <w:kern w:val="0"/>
                <w:sz w:val="24"/>
                <w:szCs w:val="24"/>
                <w:highlight w:val="none"/>
              </w:rPr>
              <w:t>.00%</w:t>
            </w:r>
          </w:p>
        </w:tc>
      </w:tr>
      <w:tr w14:paraId="5B1275B1">
        <w:tblPrEx>
          <w:tblCellMar>
            <w:top w:w="0" w:type="dxa"/>
            <w:left w:w="108" w:type="dxa"/>
            <w:bottom w:w="0" w:type="dxa"/>
            <w:right w:w="108" w:type="dxa"/>
          </w:tblCellMar>
        </w:tblPrEx>
        <w:trPr>
          <w:trHeight w:val="799" w:hRule="atLeast"/>
        </w:trPr>
        <w:tc>
          <w:tcPr>
            <w:tcW w:w="430" w:type="pct"/>
            <w:vMerge w:val="continue"/>
            <w:tcBorders>
              <w:top w:val="nil"/>
              <w:left w:val="single" w:color="auto" w:sz="4" w:space="0"/>
              <w:bottom w:val="single" w:color="auto" w:sz="4" w:space="0"/>
              <w:right w:val="single" w:color="auto" w:sz="4" w:space="0"/>
            </w:tcBorders>
            <w:vAlign w:val="center"/>
          </w:tcPr>
          <w:p w14:paraId="44275675">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313" w:type="pct"/>
            <w:vMerge w:val="continue"/>
            <w:tcBorders>
              <w:top w:val="nil"/>
              <w:left w:val="single" w:color="auto" w:sz="4" w:space="0"/>
              <w:bottom w:val="single" w:color="auto" w:sz="4" w:space="0"/>
              <w:right w:val="single" w:color="auto" w:sz="4" w:space="0"/>
            </w:tcBorders>
            <w:vAlign w:val="center"/>
          </w:tcPr>
          <w:p w14:paraId="3C863FDD">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737" w:type="pct"/>
            <w:vMerge w:val="continue"/>
            <w:tcBorders>
              <w:top w:val="nil"/>
              <w:left w:val="single" w:color="auto" w:sz="4" w:space="0"/>
              <w:bottom w:val="single" w:color="auto" w:sz="4" w:space="0"/>
              <w:right w:val="single" w:color="auto" w:sz="4" w:space="0"/>
            </w:tcBorders>
            <w:vAlign w:val="center"/>
          </w:tcPr>
          <w:p w14:paraId="6CCBBB4B">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2785" w:type="pct"/>
            <w:tcBorders>
              <w:top w:val="nil"/>
              <w:left w:val="nil"/>
              <w:bottom w:val="single" w:color="auto" w:sz="4" w:space="0"/>
              <w:right w:val="single" w:color="auto" w:sz="4" w:space="0"/>
            </w:tcBorders>
            <w:vAlign w:val="center"/>
          </w:tcPr>
          <w:p w14:paraId="5286F650">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经济得分=（评审基准价／投标报价）× 价格权值×100</w:t>
            </w:r>
          </w:p>
        </w:tc>
        <w:tc>
          <w:tcPr>
            <w:tcW w:w="260" w:type="pct"/>
            <w:vMerge w:val="continue"/>
            <w:tcBorders>
              <w:top w:val="nil"/>
              <w:left w:val="single" w:color="auto" w:sz="4" w:space="0"/>
              <w:bottom w:val="single" w:color="auto" w:sz="4" w:space="0"/>
              <w:right w:val="single" w:color="auto" w:sz="4" w:space="0"/>
            </w:tcBorders>
            <w:vAlign w:val="center"/>
          </w:tcPr>
          <w:p w14:paraId="472A5B7F">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472" w:type="pct"/>
            <w:vMerge w:val="continue"/>
            <w:tcBorders>
              <w:top w:val="nil"/>
              <w:left w:val="single" w:color="auto" w:sz="4" w:space="0"/>
              <w:bottom w:val="single" w:color="auto" w:sz="4" w:space="0"/>
              <w:right w:val="single" w:color="auto" w:sz="4" w:space="0"/>
            </w:tcBorders>
            <w:vAlign w:val="center"/>
          </w:tcPr>
          <w:p w14:paraId="40865EEE">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r>
      <w:tr w14:paraId="620F2A6E">
        <w:tblPrEx>
          <w:tblCellMar>
            <w:top w:w="0" w:type="dxa"/>
            <w:left w:w="108" w:type="dxa"/>
            <w:bottom w:w="0" w:type="dxa"/>
            <w:right w:w="108" w:type="dxa"/>
          </w:tblCellMar>
        </w:tblPrEx>
        <w:trPr>
          <w:trHeight w:val="799" w:hRule="atLeast"/>
        </w:trPr>
        <w:tc>
          <w:tcPr>
            <w:tcW w:w="430" w:type="pct"/>
            <w:vMerge w:val="continue"/>
            <w:tcBorders>
              <w:top w:val="nil"/>
              <w:left w:val="single" w:color="auto" w:sz="4" w:space="0"/>
              <w:bottom w:val="single" w:color="auto" w:sz="4" w:space="0"/>
              <w:right w:val="single" w:color="auto" w:sz="4" w:space="0"/>
            </w:tcBorders>
            <w:vAlign w:val="center"/>
          </w:tcPr>
          <w:p w14:paraId="3D636D9A">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313" w:type="pct"/>
            <w:vMerge w:val="continue"/>
            <w:tcBorders>
              <w:top w:val="nil"/>
              <w:left w:val="single" w:color="auto" w:sz="4" w:space="0"/>
              <w:bottom w:val="single" w:color="auto" w:sz="4" w:space="0"/>
              <w:right w:val="single" w:color="auto" w:sz="4" w:space="0"/>
            </w:tcBorders>
            <w:vAlign w:val="center"/>
          </w:tcPr>
          <w:p w14:paraId="5278A282">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737" w:type="pct"/>
            <w:vMerge w:val="continue"/>
            <w:tcBorders>
              <w:top w:val="nil"/>
              <w:left w:val="single" w:color="auto" w:sz="4" w:space="0"/>
              <w:bottom w:val="single" w:color="auto" w:sz="4" w:space="0"/>
              <w:right w:val="single" w:color="auto" w:sz="4" w:space="0"/>
            </w:tcBorders>
            <w:vAlign w:val="center"/>
          </w:tcPr>
          <w:p w14:paraId="7E913307">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2785" w:type="pct"/>
            <w:tcBorders>
              <w:top w:val="nil"/>
              <w:left w:val="nil"/>
              <w:bottom w:val="single" w:color="auto" w:sz="4" w:space="0"/>
              <w:right w:val="single" w:color="auto" w:sz="4" w:space="0"/>
            </w:tcBorders>
            <w:vAlign w:val="center"/>
          </w:tcPr>
          <w:p w14:paraId="4C50C8F6">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评审过程中，不得去掉报价中的最高报价和最低报价。</w:t>
            </w:r>
          </w:p>
        </w:tc>
        <w:tc>
          <w:tcPr>
            <w:tcW w:w="260" w:type="pct"/>
            <w:vMerge w:val="continue"/>
            <w:tcBorders>
              <w:top w:val="nil"/>
              <w:left w:val="single" w:color="auto" w:sz="4" w:space="0"/>
              <w:bottom w:val="single" w:color="auto" w:sz="4" w:space="0"/>
              <w:right w:val="single" w:color="auto" w:sz="4" w:space="0"/>
            </w:tcBorders>
            <w:vAlign w:val="center"/>
          </w:tcPr>
          <w:p w14:paraId="02DB332F">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c>
          <w:tcPr>
            <w:tcW w:w="472" w:type="pct"/>
            <w:vMerge w:val="continue"/>
            <w:tcBorders>
              <w:top w:val="nil"/>
              <w:left w:val="single" w:color="auto" w:sz="4" w:space="0"/>
              <w:bottom w:val="single" w:color="auto" w:sz="4" w:space="0"/>
              <w:right w:val="single" w:color="auto" w:sz="4" w:space="0"/>
            </w:tcBorders>
            <w:vAlign w:val="center"/>
          </w:tcPr>
          <w:p w14:paraId="24857DAA">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0"/>
                <w:sz w:val="24"/>
                <w:szCs w:val="24"/>
                <w:highlight w:val="none"/>
              </w:rPr>
            </w:pPr>
          </w:p>
        </w:tc>
      </w:tr>
      <w:tr w14:paraId="0FBD8236">
        <w:tblPrEx>
          <w:tblCellMar>
            <w:top w:w="0" w:type="dxa"/>
            <w:left w:w="108" w:type="dxa"/>
            <w:bottom w:w="0" w:type="dxa"/>
            <w:right w:w="108" w:type="dxa"/>
          </w:tblCellMar>
        </w:tblPrEx>
        <w:trPr>
          <w:trHeight w:val="2178" w:hRule="atLeast"/>
        </w:trPr>
        <w:tc>
          <w:tcPr>
            <w:tcW w:w="430" w:type="pct"/>
            <w:vMerge w:val="restart"/>
            <w:tcBorders>
              <w:top w:val="single" w:color="auto" w:sz="4" w:space="0"/>
              <w:left w:val="single" w:color="auto" w:sz="4" w:space="0"/>
              <w:right w:val="single" w:color="auto" w:sz="4" w:space="0"/>
            </w:tcBorders>
            <w:vAlign w:val="center"/>
          </w:tcPr>
          <w:p w14:paraId="7B4638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商</w:t>
            </w:r>
          </w:p>
          <w:p w14:paraId="481DB0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务</w:t>
            </w:r>
          </w:p>
          <w:p w14:paraId="283553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w:t>
            </w:r>
          </w:p>
          <w:p w14:paraId="2E65D6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术</w:t>
            </w:r>
          </w:p>
          <w:p w14:paraId="378CC6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部</w:t>
            </w:r>
          </w:p>
          <w:p w14:paraId="1F10AE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分</w:t>
            </w:r>
          </w:p>
        </w:tc>
        <w:tc>
          <w:tcPr>
            <w:tcW w:w="313" w:type="pct"/>
            <w:tcBorders>
              <w:top w:val="single" w:color="auto" w:sz="4" w:space="0"/>
              <w:left w:val="single" w:color="auto" w:sz="4" w:space="0"/>
              <w:bottom w:val="single" w:color="auto" w:sz="4" w:space="0"/>
              <w:right w:val="single" w:color="auto" w:sz="4" w:space="0"/>
            </w:tcBorders>
            <w:vAlign w:val="top"/>
          </w:tcPr>
          <w:p w14:paraId="63DA01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2135AC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1875A8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6D5E46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1</w:t>
            </w:r>
          </w:p>
        </w:tc>
        <w:tc>
          <w:tcPr>
            <w:tcW w:w="737" w:type="pct"/>
            <w:tcBorders>
              <w:top w:val="single" w:color="auto" w:sz="4" w:space="0"/>
              <w:left w:val="single" w:color="auto" w:sz="4" w:space="0"/>
              <w:bottom w:val="single" w:color="auto" w:sz="4" w:space="0"/>
              <w:right w:val="single" w:color="auto" w:sz="4" w:space="0"/>
            </w:tcBorders>
            <w:shd w:val="clear" w:color="auto" w:fill="auto"/>
            <w:vAlign w:val="top"/>
          </w:tcPr>
          <w:p w14:paraId="621B2887">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rPr>
            </w:pPr>
          </w:p>
          <w:p w14:paraId="6C0B4B25">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rPr>
            </w:pPr>
          </w:p>
          <w:p w14:paraId="74AAA47D">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rPr>
            </w:pPr>
          </w:p>
          <w:p w14:paraId="154298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类似业绩</w:t>
            </w:r>
          </w:p>
        </w:tc>
        <w:tc>
          <w:tcPr>
            <w:tcW w:w="2785" w:type="pct"/>
            <w:tcBorders>
              <w:top w:val="single" w:color="auto" w:sz="4" w:space="0"/>
              <w:left w:val="single" w:color="auto" w:sz="4" w:space="0"/>
              <w:bottom w:val="single" w:color="auto" w:sz="4" w:space="0"/>
              <w:right w:val="single" w:color="auto" w:sz="4" w:space="0"/>
            </w:tcBorders>
            <w:shd w:val="clear" w:color="auto" w:fill="auto"/>
            <w:vAlign w:val="top"/>
          </w:tcPr>
          <w:p w14:paraId="2F4A16F9">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结合本项目的具体特点和实际需要，投标人提供自2023年1月1日起至今（以合同签订日期为准）以来的类似合同原件扫描件，每提供一个有效业绩得2分，满分6分。</w:t>
            </w:r>
          </w:p>
          <w:p w14:paraId="76B1C283">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若合同页数过多，则可只上传主要页，须能清晰反应项目内容等关键信息（包括采购具体内容、签约日期、双方盖章等内容）。业绩证明材料需清晰可辨认，否则视为无效业绩。</w:t>
            </w:r>
          </w:p>
        </w:tc>
        <w:tc>
          <w:tcPr>
            <w:tcW w:w="260" w:type="pct"/>
            <w:tcBorders>
              <w:top w:val="single" w:color="auto" w:sz="4" w:space="0"/>
              <w:left w:val="single" w:color="auto" w:sz="4" w:space="0"/>
              <w:bottom w:val="single" w:color="auto" w:sz="4" w:space="0"/>
              <w:right w:val="single" w:color="auto" w:sz="4" w:space="0"/>
            </w:tcBorders>
            <w:vAlign w:val="top"/>
          </w:tcPr>
          <w:p w14:paraId="2A8061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3EB2A1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239661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2BB045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w:t>
            </w:r>
          </w:p>
        </w:tc>
        <w:tc>
          <w:tcPr>
            <w:tcW w:w="472" w:type="pct"/>
            <w:vMerge w:val="restart"/>
            <w:tcBorders>
              <w:top w:val="single" w:color="auto" w:sz="4" w:space="0"/>
              <w:left w:val="single" w:color="auto" w:sz="4" w:space="0"/>
              <w:right w:val="single" w:color="auto" w:sz="4" w:space="0"/>
            </w:tcBorders>
            <w:vAlign w:val="top"/>
          </w:tcPr>
          <w:p w14:paraId="0F65DC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50BDD5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03799B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5A3A96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2D12DF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65B2F48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44198A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5AAF1A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3AEDC3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780A6C2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21396F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30B6F1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5EA3B3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48A8CA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526E0F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1DDB90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262C2A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p>
          <w:p w14:paraId="02EC25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70%</w:t>
            </w:r>
          </w:p>
        </w:tc>
      </w:tr>
      <w:tr w14:paraId="56E7C6AA">
        <w:tblPrEx>
          <w:tblCellMar>
            <w:top w:w="0" w:type="dxa"/>
            <w:left w:w="108" w:type="dxa"/>
            <w:bottom w:w="0" w:type="dxa"/>
            <w:right w:w="108" w:type="dxa"/>
          </w:tblCellMar>
        </w:tblPrEx>
        <w:trPr>
          <w:trHeight w:val="2178" w:hRule="atLeast"/>
        </w:trPr>
        <w:tc>
          <w:tcPr>
            <w:tcW w:w="430" w:type="pct"/>
            <w:vMerge w:val="continue"/>
            <w:tcBorders>
              <w:left w:val="single" w:color="auto" w:sz="4" w:space="0"/>
              <w:right w:val="single" w:color="auto" w:sz="4" w:space="0"/>
            </w:tcBorders>
            <w:vAlign w:val="top"/>
          </w:tcPr>
          <w:p w14:paraId="672378DF">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lang w:val="en-US" w:eastAsia="zh-CN"/>
              </w:rPr>
            </w:pPr>
          </w:p>
        </w:tc>
        <w:tc>
          <w:tcPr>
            <w:tcW w:w="313" w:type="pct"/>
            <w:tcBorders>
              <w:top w:val="single" w:color="auto" w:sz="4" w:space="0"/>
              <w:left w:val="single" w:color="auto" w:sz="4" w:space="0"/>
              <w:bottom w:val="single" w:color="auto" w:sz="4" w:space="0"/>
              <w:right w:val="single" w:color="auto" w:sz="4" w:space="0"/>
            </w:tcBorders>
            <w:vAlign w:val="center"/>
          </w:tcPr>
          <w:p w14:paraId="6183AB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w:t>
            </w:r>
          </w:p>
          <w:p w14:paraId="5C33A17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rPr>
            </w:pPr>
          </w:p>
          <w:p w14:paraId="20336A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p>
        </w:tc>
        <w:tc>
          <w:tcPr>
            <w:tcW w:w="737" w:type="pct"/>
            <w:tcBorders>
              <w:top w:val="single" w:color="auto" w:sz="4" w:space="0"/>
              <w:left w:val="single" w:color="auto" w:sz="4" w:space="0"/>
              <w:bottom w:val="single" w:color="auto" w:sz="4" w:space="0"/>
              <w:right w:val="single" w:color="auto" w:sz="4" w:space="0"/>
            </w:tcBorders>
            <w:vAlign w:val="center"/>
          </w:tcPr>
          <w:p w14:paraId="0951EDE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rPr>
            </w:pPr>
            <w:bookmarkStart w:id="145" w:name="OLE_LINK7"/>
            <w:r>
              <w:rPr>
                <w:rFonts w:hint="default" w:ascii="Times New Roman" w:hAnsi="Times New Roman" w:eastAsia="宋体" w:cs="Times New Roman"/>
                <w:sz w:val="24"/>
                <w:szCs w:val="24"/>
                <w:highlight w:val="none"/>
              </w:rPr>
              <w:t>配置及性能指标</w:t>
            </w:r>
            <w:bookmarkEnd w:id="145"/>
          </w:p>
        </w:tc>
        <w:tc>
          <w:tcPr>
            <w:tcW w:w="2785" w:type="pct"/>
            <w:tcBorders>
              <w:top w:val="single" w:color="auto" w:sz="4" w:space="0"/>
              <w:left w:val="single" w:color="auto" w:sz="4" w:space="0"/>
              <w:bottom w:val="single" w:color="auto" w:sz="4" w:space="0"/>
              <w:right w:val="single" w:color="auto" w:sz="4" w:space="0"/>
            </w:tcBorders>
            <w:vAlign w:val="center"/>
          </w:tcPr>
          <w:p w14:paraId="4E44530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0"/>
                <w:sz w:val="24"/>
                <w:szCs w:val="24"/>
                <w:highlight w:val="none"/>
              </w:rPr>
            </w:pPr>
            <w:bookmarkStart w:id="146" w:name="OLE_LINK8"/>
            <w:r>
              <w:rPr>
                <w:rFonts w:hint="default" w:ascii="Times New Roman" w:hAnsi="Times New Roman" w:eastAsia="宋体" w:cs="Times New Roman"/>
                <w:kern w:val="0"/>
                <w:sz w:val="24"/>
                <w:szCs w:val="24"/>
                <w:highlight w:val="none"/>
              </w:rPr>
              <w:t>评标专家根据各投标人的投标文件中相关证明资料进行综合评审。投标人须以招标文件的技术参数要求为基准，对技术偏离表逐条对比撰写，技术规格部分得分需根据所投产品的配置与性能指标的响应程度打分。</w:t>
            </w:r>
          </w:p>
          <w:p w14:paraId="2C4FF0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t>全部满足</w:t>
            </w:r>
            <w:r>
              <w:rPr>
                <w:rFonts w:hint="default" w:ascii="Times New Roman" w:hAnsi="Times New Roman" w:eastAsia="宋体" w:cs="Times New Roman"/>
                <w:kern w:val="0"/>
                <w:sz w:val="24"/>
                <w:szCs w:val="24"/>
                <w:highlight w:val="none"/>
                <w:lang w:eastAsia="zh-CN"/>
              </w:rPr>
              <w:t>参数需求</w:t>
            </w:r>
            <w:r>
              <w:rPr>
                <w:rFonts w:hint="default" w:ascii="Times New Roman" w:hAnsi="Times New Roman" w:eastAsia="宋体" w:cs="Times New Roman"/>
                <w:kern w:val="0"/>
                <w:sz w:val="24"/>
                <w:szCs w:val="24"/>
                <w:highlight w:val="none"/>
              </w:rPr>
              <w:t>得</w:t>
            </w:r>
            <w:r>
              <w:rPr>
                <w:rFonts w:hint="default" w:ascii="Times New Roman" w:hAnsi="Times New Roman" w:eastAsia="宋体" w:cs="Times New Roman"/>
                <w:kern w:val="0"/>
                <w:sz w:val="24"/>
                <w:szCs w:val="24"/>
                <w:highlight w:val="none"/>
                <w:lang w:val="en-US" w:eastAsia="zh-CN"/>
              </w:rPr>
              <w:t>44</w:t>
            </w:r>
            <w:r>
              <w:rPr>
                <w:rFonts w:hint="default" w:ascii="Times New Roman" w:hAnsi="Times New Roman" w:eastAsia="宋体" w:cs="Times New Roman"/>
                <w:kern w:val="0"/>
                <w:sz w:val="24"/>
                <w:szCs w:val="24"/>
                <w:highlight w:val="none"/>
              </w:rPr>
              <w:t>分，每有一项出现不满足或负偏离的扣</w:t>
            </w:r>
            <w:r>
              <w:rPr>
                <w:rFonts w:hint="default" w:ascii="Times New Roman" w:hAnsi="Times New Roman" w:eastAsia="宋体" w:cs="Times New Roman"/>
                <w:kern w:val="0"/>
                <w:sz w:val="24"/>
                <w:szCs w:val="24"/>
                <w:highlight w:val="none"/>
                <w:lang w:val="en-US" w:eastAsia="zh-CN"/>
              </w:rPr>
              <w:t>0.1</w:t>
            </w:r>
            <w:r>
              <w:rPr>
                <w:rFonts w:hint="default" w:ascii="Times New Roman" w:hAnsi="Times New Roman" w:eastAsia="宋体" w:cs="Times New Roman"/>
                <w:kern w:val="0"/>
                <w:sz w:val="24"/>
                <w:szCs w:val="24"/>
                <w:highlight w:val="none"/>
              </w:rPr>
              <w:t>分，</w:t>
            </w:r>
            <w:r>
              <w:rPr>
                <w:rFonts w:hint="default" w:ascii="Times New Roman" w:hAnsi="Times New Roman" w:eastAsia="宋体" w:cs="Times New Roman"/>
                <w:kern w:val="0"/>
                <w:sz w:val="24"/>
                <w:szCs w:val="24"/>
                <w:highlight w:val="none"/>
                <w:lang w:eastAsia="zh-CN"/>
              </w:rPr>
              <w:t>扣完为止，</w:t>
            </w:r>
            <w:r>
              <w:rPr>
                <w:rFonts w:hint="default" w:ascii="Times New Roman" w:hAnsi="Times New Roman" w:eastAsia="宋体" w:cs="Times New Roman"/>
                <w:kern w:val="0"/>
                <w:sz w:val="24"/>
                <w:szCs w:val="24"/>
                <w:highlight w:val="none"/>
              </w:rPr>
              <w:t>最低得0分。</w:t>
            </w:r>
          </w:p>
          <w:p w14:paraId="5BBC7DC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kern w:val="0"/>
                <w:sz w:val="24"/>
                <w:szCs w:val="24"/>
                <w:highlight w:val="none"/>
                <w:lang w:val="en-US" w:eastAsia="zh-CN"/>
              </w:rPr>
              <w:t>注：负偏离评审依据：①所提供产品技术参数低于招标文件要求的；②技术参数响应条款（以投标文件内技术偏离表为准）与招标文件对比有缺项、漏项的；③投标文件内技术偏离表完全复制招标文件技术参数的（不涉及具体参数指标的描述性技术要求除外），④如未按招标文件要求提供佐证材料（检测报告、证书）等视为负偏离。</w:t>
            </w:r>
            <w:bookmarkEnd w:id="146"/>
          </w:p>
        </w:tc>
        <w:tc>
          <w:tcPr>
            <w:tcW w:w="260" w:type="pct"/>
            <w:tcBorders>
              <w:top w:val="single" w:color="auto" w:sz="4" w:space="0"/>
              <w:left w:val="single" w:color="auto" w:sz="4" w:space="0"/>
              <w:bottom w:val="single" w:color="auto" w:sz="4" w:space="0"/>
              <w:right w:val="single" w:color="auto" w:sz="4" w:space="0"/>
            </w:tcBorders>
            <w:vAlign w:val="center"/>
          </w:tcPr>
          <w:p w14:paraId="0111A9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44</w:t>
            </w:r>
          </w:p>
        </w:tc>
        <w:tc>
          <w:tcPr>
            <w:tcW w:w="472" w:type="pct"/>
            <w:vMerge w:val="continue"/>
            <w:tcBorders>
              <w:left w:val="single" w:color="auto" w:sz="4" w:space="0"/>
              <w:right w:val="single" w:color="auto" w:sz="4" w:space="0"/>
            </w:tcBorders>
            <w:vAlign w:val="center"/>
          </w:tcPr>
          <w:p w14:paraId="681764DF">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r>
      <w:tr w14:paraId="61E29E12">
        <w:tblPrEx>
          <w:tblCellMar>
            <w:top w:w="0" w:type="dxa"/>
            <w:left w:w="108" w:type="dxa"/>
            <w:bottom w:w="0" w:type="dxa"/>
            <w:right w:w="108" w:type="dxa"/>
          </w:tblCellMar>
        </w:tblPrEx>
        <w:trPr>
          <w:trHeight w:val="1086" w:hRule="atLeast"/>
        </w:trPr>
        <w:tc>
          <w:tcPr>
            <w:tcW w:w="430" w:type="pct"/>
            <w:vMerge w:val="continue"/>
            <w:tcBorders>
              <w:left w:val="single" w:color="auto" w:sz="4" w:space="0"/>
              <w:right w:val="single" w:color="auto" w:sz="4" w:space="0"/>
            </w:tcBorders>
            <w:vAlign w:val="top"/>
          </w:tcPr>
          <w:p w14:paraId="18D782A9">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c>
          <w:tcPr>
            <w:tcW w:w="313" w:type="pct"/>
            <w:tcBorders>
              <w:top w:val="nil"/>
              <w:left w:val="nil"/>
              <w:bottom w:val="single" w:color="auto" w:sz="4" w:space="0"/>
              <w:right w:val="single" w:color="auto" w:sz="4" w:space="0"/>
            </w:tcBorders>
            <w:vAlign w:val="center"/>
          </w:tcPr>
          <w:p w14:paraId="01D174F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w:t>
            </w:r>
          </w:p>
        </w:tc>
        <w:tc>
          <w:tcPr>
            <w:tcW w:w="737" w:type="pct"/>
            <w:tcBorders>
              <w:top w:val="nil"/>
              <w:left w:val="nil"/>
              <w:bottom w:val="single" w:color="auto" w:sz="4" w:space="0"/>
              <w:right w:val="single" w:color="auto" w:sz="4" w:space="0"/>
            </w:tcBorders>
            <w:shd w:val="clear" w:color="auto" w:fill="auto"/>
            <w:vAlign w:val="center"/>
          </w:tcPr>
          <w:p w14:paraId="1723987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2"/>
                <w:sz w:val="24"/>
                <w:szCs w:val="24"/>
                <w:lang w:val="zh-CN" w:eastAsia="zh-CN" w:bidi="ar-SA"/>
              </w:rPr>
              <w:t>实施方案</w:t>
            </w:r>
          </w:p>
        </w:tc>
        <w:tc>
          <w:tcPr>
            <w:tcW w:w="2785" w:type="pct"/>
            <w:tcBorders>
              <w:top w:val="nil"/>
              <w:left w:val="nil"/>
              <w:bottom w:val="single" w:color="auto" w:sz="4" w:space="0"/>
              <w:right w:val="single" w:color="auto" w:sz="4" w:space="0"/>
            </w:tcBorders>
            <w:shd w:val="clear" w:color="auto" w:fill="auto"/>
            <w:vAlign w:val="center"/>
          </w:tcPr>
          <w:p w14:paraId="734CCD5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投标人须结合本项目采购需求，编制贴合项目实际、可落地的项目实施方案，方案须包含：①实施前期准备及工期进度计划；②实施团队配置及人员分工安排；③项目实施策略、管控措施及整体实施流程；④系统部署、安装、测试及试运行保障措施四大核心模块，由评审专家进行评审。</w:t>
            </w:r>
          </w:p>
          <w:p w14:paraId="7567965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bCs/>
                <w:kern w:val="0"/>
                <w:sz w:val="24"/>
                <w:szCs w:val="24"/>
                <w:highlight w:val="none"/>
                <w:lang w:val="en-US" w:eastAsia="zh-CN" w:bidi="ar-SA"/>
              </w:rPr>
              <w:t>一、方案完整性评分（满分4分）</w:t>
            </w:r>
          </w:p>
          <w:p w14:paraId="275828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以四大核心模块为独立评审单元，无内容、空白、仅标题无实质阐述的，视为未提供，逐项计分：</w:t>
            </w:r>
          </w:p>
          <w:p w14:paraId="617058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1.详实提供项目实施前期准备工作、科学合理的工期进度计划，得1分，未提供得0分；</w:t>
            </w:r>
          </w:p>
          <w:p w14:paraId="2C02073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2.明确项目实施团队架构、人员配置及岗位职责分工，得1分，未提供得0分；</w:t>
            </w:r>
          </w:p>
          <w:p w14:paraId="00A0EED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3.阐述完善的项目实施策略、全过程管控措施及标准化实施流程，得1分，未提供得0分；</w:t>
            </w:r>
          </w:p>
          <w:p w14:paraId="6AA2F99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4.提供系统部署、安装调试、功能测试及试运行专项方案及保障措施，得1分，未提供得0分。</w:t>
            </w:r>
          </w:p>
          <w:p w14:paraId="5C17694D">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扣分规则：每缺失1项核心模块扣1分，累计扣减，扣完4分为止。</w:t>
            </w:r>
          </w:p>
          <w:p w14:paraId="0FF791B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bCs/>
                <w:kern w:val="0"/>
                <w:sz w:val="24"/>
                <w:szCs w:val="24"/>
                <w:highlight w:val="none"/>
                <w:lang w:val="en-US" w:eastAsia="zh-CN" w:bidi="ar-SA"/>
              </w:rPr>
              <w:t>二、方案质量考评扣分（满分2分）</w:t>
            </w:r>
          </w:p>
          <w:p w14:paraId="7A9519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方案具备实质内容的，不再扣完整性分值，存在以下缺陷的，单条缺陷扣0.5分，累计扣分，扣完2分为止：</w:t>
            </w:r>
          </w:p>
          <w:p w14:paraId="19DD9C1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1.模板化套用，内容通用空洞，与本项目实际实施场景、设备需求明显不符；</w:t>
            </w:r>
          </w:p>
          <w:p w14:paraId="1E6C636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2.存在大量与本项目无关内容，对采购需求理解偏差、缺位、逻辑混乱；</w:t>
            </w:r>
          </w:p>
          <w:p w14:paraId="5342BB5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3.方案内容不完善、重点缺失、流程模糊，可操作性差，无法指导项目落地；</w:t>
            </w:r>
          </w:p>
          <w:p w14:paraId="3DF99A3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4.内容编造失真、前后矛盾、存在逻辑错误；引用规范标准错误、失效废止；</w:t>
            </w:r>
          </w:p>
          <w:p w14:paraId="23D309E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5.项目名称、实施地点等关键基础信息错误、与招标文件要求不一致。</w:t>
            </w:r>
          </w:p>
          <w:p w14:paraId="79A084A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eastAsia" w:ascii="Times New Roman" w:hAnsi="Times New Roman" w:cs="Times New Roman"/>
                <w:b/>
                <w:bCs/>
                <w:kern w:val="0"/>
                <w:sz w:val="24"/>
                <w:szCs w:val="24"/>
                <w:highlight w:val="none"/>
                <w:lang w:val="en-US" w:eastAsia="zh-CN" w:bidi="ar-SA"/>
              </w:rPr>
              <w:t>注：</w:t>
            </w:r>
            <w:r>
              <w:rPr>
                <w:rFonts w:hint="default" w:ascii="Times New Roman" w:hAnsi="Times New Roman" w:eastAsia="宋体" w:cs="Times New Roman"/>
                <w:b/>
                <w:bCs/>
                <w:kern w:val="0"/>
                <w:sz w:val="24"/>
                <w:szCs w:val="24"/>
                <w:highlight w:val="none"/>
                <w:lang w:val="en-US" w:eastAsia="zh-CN" w:bidi="ar-SA"/>
              </w:rPr>
              <w:t>统一评审规则</w:t>
            </w:r>
            <w:r>
              <w:rPr>
                <w:rFonts w:hint="default" w:ascii="Times New Roman" w:hAnsi="Times New Roman" w:eastAsia="宋体" w:cs="Times New Roman"/>
                <w:b w:val="0"/>
                <w:bCs w:val="0"/>
                <w:kern w:val="0"/>
                <w:sz w:val="24"/>
                <w:szCs w:val="24"/>
                <w:highlight w:val="none"/>
                <w:lang w:val="en-US" w:eastAsia="zh-CN" w:bidi="ar-SA"/>
              </w:rPr>
              <w:t>（后续所有方案类评审项，评审规则均按本条款统一执行。）</w:t>
            </w:r>
          </w:p>
          <w:p w14:paraId="3B2678A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1.仅列标题、无实质内容、纯模板化无项目针对性的，判定为未提供对应模块，扣除对应完整性分值；</w:t>
            </w:r>
          </w:p>
          <w:p w14:paraId="19D396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2.内容完整但存在瑕疵、适配度不足、细节不完善的，仅按缺陷项扣除质量分值；</w:t>
            </w:r>
          </w:p>
          <w:p w14:paraId="0EBF4D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3.同一内容存在多项缺陷、不同模块存在多处缺陷的，均累计扣分；</w:t>
            </w:r>
          </w:p>
          <w:p w14:paraId="2E5BBE9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val="0"/>
                <w:bCs w:val="0"/>
                <w:kern w:val="0"/>
                <w:sz w:val="24"/>
                <w:szCs w:val="24"/>
                <w:highlight w:val="none"/>
                <w:lang w:val="en-US" w:eastAsia="zh-CN" w:bidi="ar-SA"/>
              </w:rPr>
              <w:t>4.本项分值最低为0分。</w:t>
            </w:r>
          </w:p>
        </w:tc>
        <w:tc>
          <w:tcPr>
            <w:tcW w:w="260" w:type="pct"/>
            <w:tcBorders>
              <w:top w:val="nil"/>
              <w:left w:val="nil"/>
              <w:bottom w:val="single" w:color="auto" w:sz="4" w:space="0"/>
              <w:right w:val="single" w:color="auto" w:sz="4" w:space="0"/>
            </w:tcBorders>
            <w:vAlign w:val="center"/>
          </w:tcPr>
          <w:p w14:paraId="771CDAE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6</w:t>
            </w:r>
          </w:p>
        </w:tc>
        <w:tc>
          <w:tcPr>
            <w:tcW w:w="472" w:type="pct"/>
            <w:vMerge w:val="continue"/>
            <w:tcBorders>
              <w:left w:val="single" w:color="auto" w:sz="4" w:space="0"/>
              <w:right w:val="single" w:color="auto" w:sz="4" w:space="0"/>
            </w:tcBorders>
            <w:vAlign w:val="top"/>
          </w:tcPr>
          <w:p w14:paraId="513553CE">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r>
      <w:tr w14:paraId="46CADC0B">
        <w:tblPrEx>
          <w:tblCellMar>
            <w:top w:w="0" w:type="dxa"/>
            <w:left w:w="108" w:type="dxa"/>
            <w:bottom w:w="0" w:type="dxa"/>
            <w:right w:w="108" w:type="dxa"/>
          </w:tblCellMar>
        </w:tblPrEx>
        <w:trPr>
          <w:trHeight w:val="1086" w:hRule="atLeast"/>
        </w:trPr>
        <w:tc>
          <w:tcPr>
            <w:tcW w:w="430" w:type="pct"/>
            <w:vMerge w:val="continue"/>
            <w:tcBorders>
              <w:left w:val="single" w:color="auto" w:sz="4" w:space="0"/>
              <w:right w:val="single" w:color="auto" w:sz="4" w:space="0"/>
            </w:tcBorders>
            <w:vAlign w:val="top"/>
          </w:tcPr>
          <w:p w14:paraId="1FDE686D">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c>
          <w:tcPr>
            <w:tcW w:w="313" w:type="pct"/>
            <w:tcBorders>
              <w:top w:val="nil"/>
              <w:left w:val="nil"/>
              <w:bottom w:val="single" w:color="auto" w:sz="4" w:space="0"/>
              <w:right w:val="single" w:color="auto" w:sz="4" w:space="0"/>
            </w:tcBorders>
            <w:vAlign w:val="center"/>
          </w:tcPr>
          <w:p w14:paraId="494954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w:t>
            </w:r>
          </w:p>
        </w:tc>
        <w:tc>
          <w:tcPr>
            <w:tcW w:w="737" w:type="pct"/>
            <w:tcBorders>
              <w:top w:val="nil"/>
              <w:left w:val="nil"/>
              <w:bottom w:val="single" w:color="auto" w:sz="4" w:space="0"/>
              <w:right w:val="single" w:color="auto" w:sz="4" w:space="0"/>
            </w:tcBorders>
            <w:shd w:val="clear" w:color="auto" w:fill="auto"/>
            <w:vAlign w:val="center"/>
          </w:tcPr>
          <w:p w14:paraId="71EEDB2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rPr>
            </w:pPr>
            <w:bookmarkStart w:id="147" w:name="OLE_LINK9"/>
            <w:r>
              <w:rPr>
                <w:rFonts w:hint="default" w:ascii="Times New Roman" w:hAnsi="Times New Roman" w:eastAsia="宋体" w:cs="Times New Roman"/>
                <w:sz w:val="24"/>
                <w:szCs w:val="24"/>
                <w:highlight w:val="none"/>
                <w:lang w:val="en-US" w:eastAsia="zh-CN"/>
              </w:rPr>
              <w:t>售后服务</w:t>
            </w:r>
            <w:bookmarkEnd w:id="147"/>
          </w:p>
        </w:tc>
        <w:tc>
          <w:tcPr>
            <w:tcW w:w="2785" w:type="pct"/>
            <w:tcBorders>
              <w:top w:val="nil"/>
              <w:left w:val="nil"/>
              <w:bottom w:val="single" w:color="auto" w:sz="4" w:space="0"/>
              <w:right w:val="single" w:color="auto" w:sz="4" w:space="0"/>
            </w:tcBorders>
            <w:shd w:val="clear" w:color="auto" w:fill="auto"/>
            <w:vAlign w:val="center"/>
          </w:tcPr>
          <w:p w14:paraId="41ADEB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投标人须结合本项目需求，编制贴合项目实际、可落地的售后服务方案，方案须包含：①售后服务承诺；②售后响应时间保障；③完整售后服务流程（含故障处理、上门维护、紧急维护、重点保障、电话回访维护等）；④售后服务台账记录机制（含服务报告、质量考核、满意度调查、回访记录）四大核心模块，由评审专家进行评审。</w:t>
            </w:r>
          </w:p>
          <w:p w14:paraId="5F41B8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bookmarkStart w:id="148" w:name="OLE_LINK10"/>
            <w:r>
              <w:rPr>
                <w:rFonts w:hint="default" w:ascii="Times New Roman" w:hAnsi="Times New Roman" w:eastAsia="宋体" w:cs="Times New Roman"/>
                <w:b/>
                <w:bCs/>
                <w:kern w:val="0"/>
                <w:sz w:val="24"/>
                <w:szCs w:val="24"/>
                <w:highlight w:val="none"/>
                <w:lang w:val="en-US" w:eastAsia="zh-CN" w:bidi="ar-SA"/>
              </w:rPr>
              <w:t>一、方案完整性评分（满分4分）</w:t>
            </w:r>
          </w:p>
          <w:p w14:paraId="7971D8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以四大核心模块为独立评审单元，无内容、空白、仅标题无实质阐述的，视为未提供，逐项计分：</w:t>
            </w:r>
          </w:p>
          <w:p w14:paraId="08A298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1.内容完整、明确作出贴合本项目的售后服务承诺，得1分，未提供得0分；</w:t>
            </w:r>
          </w:p>
          <w:p w14:paraId="3A698C5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2.清晰列明故障报修、上门处置、紧急保障的响应时限标准，得1分，未提供得0分；</w:t>
            </w:r>
          </w:p>
          <w:p w14:paraId="141B9F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3.建立涵盖故障处理、上门维护、紧急维护、重点服务、回访维护的完整服务流程，得1分，未提供得0分；</w:t>
            </w:r>
          </w:p>
          <w:p w14:paraId="5F6488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4.明确服务报告、质量考核、满意度调查、电话回访等售后台账及记录管理制度，得1分，未提供得0分。</w:t>
            </w:r>
          </w:p>
          <w:p w14:paraId="69A23C15">
            <w:pPr>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扣分规则：每缺失1项核心模块扣1分，累计扣减，扣完4分为止。</w:t>
            </w:r>
            <w:bookmarkEnd w:id="148"/>
          </w:p>
          <w:p w14:paraId="002034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kern w:val="0"/>
                <w:sz w:val="24"/>
                <w:szCs w:val="24"/>
                <w:highlight w:val="none"/>
                <w:lang w:val="en-US" w:eastAsia="zh-CN" w:bidi="ar-SA"/>
              </w:rPr>
            </w:pPr>
            <w:r>
              <w:rPr>
                <w:rFonts w:hint="default" w:ascii="Times New Roman" w:hAnsi="Times New Roman" w:eastAsia="宋体" w:cs="Times New Roman"/>
                <w:b/>
                <w:bCs/>
                <w:kern w:val="0"/>
                <w:sz w:val="24"/>
                <w:szCs w:val="24"/>
                <w:highlight w:val="none"/>
                <w:lang w:val="en-US" w:eastAsia="zh-CN" w:bidi="ar-SA"/>
              </w:rPr>
              <w:t>二、方案质量考评扣分（满分2分）</w:t>
            </w:r>
          </w:p>
          <w:p w14:paraId="51EB0C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方案具备实质内容的，不再扣完整性分值，存在以下缺陷的，单条缺陷扣0.5分，累计扣分，扣完2分为止：</w:t>
            </w:r>
          </w:p>
          <w:p w14:paraId="591FB4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1.售后要素不满足本项目采购要求，条款缺失、标准偏低；</w:t>
            </w:r>
          </w:p>
          <w:p w14:paraId="6099ED1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2.方案内容通用模板化，脱离本项目实际使用场景，适配性差；</w:t>
            </w:r>
          </w:p>
          <w:p w14:paraId="773AE8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kern w:val="0"/>
                <w:sz w:val="24"/>
                <w:szCs w:val="24"/>
                <w:highlight w:val="none"/>
                <w:lang w:val="en-US" w:eastAsia="zh-CN" w:bidi="ar-SA"/>
              </w:rPr>
            </w:pPr>
            <w:r>
              <w:rPr>
                <w:rFonts w:hint="default" w:ascii="Times New Roman" w:hAnsi="Times New Roman" w:eastAsia="宋体" w:cs="Times New Roman"/>
                <w:b w:val="0"/>
                <w:bCs w:val="0"/>
                <w:kern w:val="0"/>
                <w:sz w:val="24"/>
                <w:szCs w:val="24"/>
                <w:highlight w:val="none"/>
                <w:lang w:val="en-US" w:eastAsia="zh-CN" w:bidi="ar-SA"/>
              </w:rPr>
              <w:t>3.存在与本项目无关内容，无法为本项目售后保障提供有效支撑。</w:t>
            </w:r>
          </w:p>
        </w:tc>
        <w:tc>
          <w:tcPr>
            <w:tcW w:w="260" w:type="pct"/>
            <w:tcBorders>
              <w:top w:val="nil"/>
              <w:left w:val="nil"/>
              <w:bottom w:val="single" w:color="auto" w:sz="4" w:space="0"/>
              <w:right w:val="single" w:color="auto" w:sz="4" w:space="0"/>
            </w:tcBorders>
            <w:vAlign w:val="center"/>
          </w:tcPr>
          <w:p w14:paraId="0471576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6</w:t>
            </w:r>
          </w:p>
        </w:tc>
        <w:tc>
          <w:tcPr>
            <w:tcW w:w="472" w:type="pct"/>
            <w:vMerge w:val="continue"/>
            <w:tcBorders>
              <w:left w:val="single" w:color="auto" w:sz="4" w:space="0"/>
              <w:right w:val="single" w:color="auto" w:sz="4" w:space="0"/>
            </w:tcBorders>
            <w:vAlign w:val="top"/>
          </w:tcPr>
          <w:p w14:paraId="07B08F68">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r>
      <w:tr w14:paraId="3EB0A949">
        <w:tblPrEx>
          <w:tblCellMar>
            <w:top w:w="0" w:type="dxa"/>
            <w:left w:w="108" w:type="dxa"/>
            <w:bottom w:w="0" w:type="dxa"/>
            <w:right w:w="108" w:type="dxa"/>
          </w:tblCellMar>
        </w:tblPrEx>
        <w:trPr>
          <w:trHeight w:val="1022" w:hRule="atLeast"/>
        </w:trPr>
        <w:tc>
          <w:tcPr>
            <w:tcW w:w="430" w:type="pct"/>
            <w:vMerge w:val="continue"/>
            <w:tcBorders>
              <w:left w:val="single" w:color="auto" w:sz="4" w:space="0"/>
              <w:right w:val="single" w:color="auto" w:sz="4" w:space="0"/>
            </w:tcBorders>
            <w:vAlign w:val="top"/>
          </w:tcPr>
          <w:p w14:paraId="308E6DA6">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c>
          <w:tcPr>
            <w:tcW w:w="313" w:type="pct"/>
            <w:tcBorders>
              <w:top w:val="nil"/>
              <w:left w:val="nil"/>
              <w:bottom w:val="single" w:color="auto" w:sz="4" w:space="0"/>
              <w:right w:val="single" w:color="auto" w:sz="4" w:space="0"/>
            </w:tcBorders>
            <w:vAlign w:val="center"/>
          </w:tcPr>
          <w:p w14:paraId="3F2018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w:t>
            </w:r>
          </w:p>
        </w:tc>
        <w:tc>
          <w:tcPr>
            <w:tcW w:w="737" w:type="pct"/>
            <w:tcBorders>
              <w:top w:val="nil"/>
              <w:left w:val="nil"/>
              <w:bottom w:val="single" w:color="auto" w:sz="4" w:space="0"/>
              <w:right w:val="single" w:color="auto" w:sz="4" w:space="0"/>
            </w:tcBorders>
            <w:shd w:val="clear" w:color="auto" w:fill="auto"/>
            <w:vAlign w:val="center"/>
          </w:tcPr>
          <w:p w14:paraId="5EA6507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rPr>
            </w:pPr>
            <w:bookmarkStart w:id="149" w:name="OLE_LINK11"/>
            <w:r>
              <w:rPr>
                <w:rFonts w:hint="default" w:ascii="Times New Roman" w:hAnsi="Times New Roman" w:eastAsia="宋体" w:cs="Times New Roman"/>
                <w:kern w:val="0"/>
                <w:sz w:val="24"/>
                <w:szCs w:val="24"/>
                <w:lang w:val="en-US" w:eastAsia="zh-CN"/>
              </w:rPr>
              <w:t>培训方案</w:t>
            </w:r>
            <w:bookmarkEnd w:id="149"/>
          </w:p>
        </w:tc>
        <w:tc>
          <w:tcPr>
            <w:tcW w:w="2785" w:type="pct"/>
            <w:tcBorders>
              <w:top w:val="nil"/>
              <w:left w:val="nil"/>
              <w:bottom w:val="single" w:color="auto" w:sz="4" w:space="0"/>
              <w:right w:val="single" w:color="auto" w:sz="4" w:space="0"/>
            </w:tcBorders>
            <w:shd w:val="clear" w:color="auto" w:fill="auto"/>
            <w:vAlign w:val="center"/>
          </w:tcPr>
          <w:p w14:paraId="68BB50F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bookmarkStart w:id="150" w:name="OLE_LINK12"/>
            <w:r>
              <w:rPr>
                <w:rFonts w:hint="default" w:ascii="Times New Roman" w:hAnsi="Times New Roman" w:eastAsia="宋体" w:cs="Times New Roman"/>
                <w:b w:val="0"/>
                <w:bCs w:val="0"/>
                <w:color w:val="auto"/>
                <w:kern w:val="0"/>
                <w:sz w:val="24"/>
                <w:szCs w:val="24"/>
                <w:highlight w:val="none"/>
                <w:lang w:val="en-US" w:eastAsia="zh-CN"/>
              </w:rPr>
              <w:t>投标人须结合本项目需求，编制贴合项目实际的技术培训方案，方案须包含①培训人员配置、②培训课程体系、③培训计划安排、④培训实施周期四大核心模块，确保采购单位人员熟练掌握设备操作、日常维护及常态化使用技能，由评审专家进行评审。</w:t>
            </w:r>
          </w:p>
          <w:bookmarkEnd w:id="150"/>
          <w:p w14:paraId="30F6E7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bookmarkStart w:id="151" w:name="OLE_LINK13"/>
            <w:r>
              <w:rPr>
                <w:rFonts w:hint="default" w:ascii="Times New Roman" w:hAnsi="Times New Roman" w:eastAsia="宋体" w:cs="Times New Roman"/>
                <w:b/>
                <w:bCs/>
                <w:color w:val="auto"/>
                <w:kern w:val="0"/>
                <w:sz w:val="24"/>
                <w:szCs w:val="24"/>
                <w:highlight w:val="none"/>
                <w:lang w:val="en-US" w:eastAsia="zh-CN"/>
              </w:rPr>
              <w:t>一、方案完整性评分（满分4分）</w:t>
            </w:r>
          </w:p>
          <w:p w14:paraId="08AC0A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以四大核心模块为独立评审单元，无内容、空白、仅标题无实质阐述的，视为未提供，逐项计分：</w:t>
            </w:r>
          </w:p>
          <w:p w14:paraId="5CB6A5E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1.详实提供培训人员数量、资质、岗位分工配置内容，得1分，未提供得0分；</w:t>
            </w:r>
          </w:p>
          <w:p w14:paraId="14EDE9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2.提供贴合本项目的培训课程内容、课程大纲、培训重难点，得1分，未提供得0分；</w:t>
            </w:r>
          </w:p>
          <w:p w14:paraId="691930A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3.制定分阶段、分应用场景的详细培训计划，得1分，未提供得0分；</w:t>
            </w:r>
          </w:p>
          <w:p w14:paraId="0CB7870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4.明确整体培训周期、各阶段时长及培训时效安排，得1分，未提供得0分。</w:t>
            </w:r>
          </w:p>
          <w:p w14:paraId="468F36A4">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扣分规则：每缺失1项核心模块扣1分，累计扣减，扣完4分为止。</w:t>
            </w:r>
          </w:p>
          <w:bookmarkEnd w:id="151"/>
          <w:p w14:paraId="6F437A3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二、方案质量考评扣分（满分2分）</w:t>
            </w:r>
          </w:p>
          <w:p w14:paraId="3B05CFE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方案内容具备实质内容的，不再扣完整性分值，存在以下缺陷的，单条缺陷扣0.5分，累计扣分，扣完2分为止，具体缺陷界定如下：</w:t>
            </w:r>
          </w:p>
          <w:p w14:paraId="29BBDDF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1.基础信息错误：项目名称、服务地点、服务周期、执行标准等关键信息与招标文件要求不符、错误或缺失；</w:t>
            </w:r>
          </w:p>
          <w:p w14:paraId="746FCE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2.适配性不足：培训内容、计划、人员及周期安排脱离本项目设备及教学场景，套用通用模板、内容空洞、与项目需求不匹配；</w:t>
            </w:r>
          </w:p>
          <w:p w14:paraId="5816F4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3.逻辑表述问题：方案前后矛盾、存在逻辑漏洞、表述歧义、夸大不实，不具备落地性；</w:t>
            </w:r>
          </w:p>
          <w:p w14:paraId="376AF6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4.落地性欠缺：无实操培训内容、无实施细节、无培训考核验收方式，内容简单堆砌，无法保障培训效果。</w:t>
            </w:r>
          </w:p>
        </w:tc>
        <w:tc>
          <w:tcPr>
            <w:tcW w:w="260" w:type="pct"/>
            <w:tcBorders>
              <w:top w:val="nil"/>
              <w:left w:val="nil"/>
              <w:bottom w:val="single" w:color="auto" w:sz="4" w:space="0"/>
              <w:right w:val="single" w:color="auto" w:sz="4" w:space="0"/>
            </w:tcBorders>
            <w:vAlign w:val="center"/>
          </w:tcPr>
          <w:p w14:paraId="25DFF3E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6</w:t>
            </w:r>
          </w:p>
        </w:tc>
        <w:tc>
          <w:tcPr>
            <w:tcW w:w="472" w:type="pct"/>
            <w:vMerge w:val="continue"/>
            <w:tcBorders>
              <w:left w:val="single" w:color="auto" w:sz="4" w:space="0"/>
              <w:right w:val="single" w:color="auto" w:sz="4" w:space="0"/>
            </w:tcBorders>
            <w:vAlign w:val="top"/>
          </w:tcPr>
          <w:p w14:paraId="135D40BF">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r>
      <w:tr w14:paraId="0A30B43B">
        <w:tblPrEx>
          <w:tblCellMar>
            <w:top w:w="0" w:type="dxa"/>
            <w:left w:w="108" w:type="dxa"/>
            <w:bottom w:w="0" w:type="dxa"/>
            <w:right w:w="108" w:type="dxa"/>
          </w:tblCellMar>
        </w:tblPrEx>
        <w:trPr>
          <w:trHeight w:val="1022" w:hRule="atLeast"/>
        </w:trPr>
        <w:tc>
          <w:tcPr>
            <w:tcW w:w="430" w:type="pct"/>
            <w:tcBorders>
              <w:left w:val="single" w:color="auto" w:sz="4" w:space="0"/>
              <w:right w:val="single" w:color="auto" w:sz="4" w:space="0"/>
            </w:tcBorders>
            <w:vAlign w:val="top"/>
          </w:tcPr>
          <w:p w14:paraId="1D2B02D3">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bookmarkStart w:id="152" w:name="_Toc152516874"/>
          </w:p>
        </w:tc>
        <w:tc>
          <w:tcPr>
            <w:tcW w:w="313" w:type="pct"/>
            <w:tcBorders>
              <w:top w:val="nil"/>
              <w:left w:val="nil"/>
              <w:bottom w:val="single" w:color="auto" w:sz="4" w:space="0"/>
              <w:right w:val="single" w:color="auto" w:sz="4" w:space="0"/>
            </w:tcBorders>
            <w:vAlign w:val="center"/>
          </w:tcPr>
          <w:p w14:paraId="684ED41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w:t>
            </w:r>
          </w:p>
        </w:tc>
        <w:tc>
          <w:tcPr>
            <w:tcW w:w="737" w:type="pct"/>
            <w:tcBorders>
              <w:top w:val="nil"/>
              <w:left w:val="nil"/>
              <w:bottom w:val="single" w:color="auto" w:sz="4" w:space="0"/>
              <w:right w:val="single" w:color="auto" w:sz="4" w:space="0"/>
            </w:tcBorders>
            <w:shd w:val="clear" w:color="auto" w:fill="auto"/>
            <w:vAlign w:val="center"/>
          </w:tcPr>
          <w:p w14:paraId="6028958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视频演示</w:t>
            </w:r>
          </w:p>
        </w:tc>
        <w:tc>
          <w:tcPr>
            <w:tcW w:w="2785" w:type="pct"/>
            <w:tcBorders>
              <w:top w:val="nil"/>
              <w:left w:val="nil"/>
              <w:bottom w:val="single" w:color="auto" w:sz="4" w:space="0"/>
              <w:right w:val="single" w:color="auto" w:sz="4" w:space="0"/>
            </w:tcBorders>
            <w:shd w:val="clear" w:color="auto" w:fill="auto"/>
            <w:vAlign w:val="center"/>
          </w:tcPr>
          <w:p w14:paraId="4C1A8C5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eastAsia="zh-CN"/>
              </w:rPr>
            </w:pPr>
            <w:bookmarkStart w:id="153" w:name="OLE_LINK14"/>
            <w:r>
              <w:rPr>
                <w:rFonts w:hint="default" w:ascii="Times New Roman" w:hAnsi="Times New Roman" w:eastAsia="宋体" w:cs="Times New Roman"/>
                <w:color w:val="auto"/>
                <w:kern w:val="0"/>
                <w:sz w:val="24"/>
                <w:szCs w:val="24"/>
                <w:highlight w:val="none"/>
                <w:lang w:eastAsia="zh-CN"/>
              </w:rPr>
              <w:t>投标人在投标文件</w:t>
            </w:r>
            <w:r>
              <w:rPr>
                <w:rFonts w:hint="default" w:ascii="Times New Roman" w:hAnsi="Times New Roman" w:eastAsia="宋体" w:cs="Times New Roman"/>
                <w:color w:val="auto"/>
                <w:kern w:val="0"/>
                <w:sz w:val="24"/>
                <w:szCs w:val="24"/>
                <w:highlight w:val="none"/>
              </w:rPr>
              <w:t>提供设备</w:t>
            </w:r>
            <w:r>
              <w:rPr>
                <w:rFonts w:hint="default" w:ascii="Times New Roman" w:hAnsi="Times New Roman" w:eastAsia="宋体" w:cs="Times New Roman"/>
                <w:color w:val="auto"/>
                <w:kern w:val="0"/>
                <w:sz w:val="24"/>
                <w:szCs w:val="24"/>
                <w:highlight w:val="none"/>
                <w:lang w:eastAsia="zh-CN"/>
              </w:rPr>
              <w:t>功能</w:t>
            </w:r>
            <w:r>
              <w:rPr>
                <w:rFonts w:hint="default" w:ascii="Times New Roman" w:hAnsi="Times New Roman" w:eastAsia="宋体" w:cs="Times New Roman"/>
                <w:color w:val="auto"/>
                <w:kern w:val="0"/>
                <w:sz w:val="24"/>
                <w:szCs w:val="24"/>
                <w:highlight w:val="none"/>
              </w:rPr>
              <w:t>录制演示视频</w:t>
            </w:r>
            <w:r>
              <w:rPr>
                <w:rFonts w:hint="default" w:ascii="Times New Roman" w:hAnsi="Times New Roman" w:eastAsia="宋体" w:cs="Times New Roman"/>
                <w:color w:val="auto"/>
                <w:kern w:val="0"/>
                <w:sz w:val="24"/>
                <w:szCs w:val="24"/>
                <w:highlight w:val="none"/>
                <w:lang w:eastAsia="zh-CN"/>
              </w:rPr>
              <w:t>（介质或有效访问链接）</w:t>
            </w:r>
            <w:r>
              <w:rPr>
                <w:rFonts w:hint="default" w:ascii="Times New Roman" w:hAnsi="Times New Roman" w:eastAsia="宋体" w:cs="Times New Roman"/>
                <w:color w:val="auto"/>
                <w:kern w:val="0"/>
                <w:sz w:val="24"/>
                <w:szCs w:val="24"/>
                <w:highlight w:val="none"/>
              </w:rPr>
              <w:t>，按完整性打分</w:t>
            </w:r>
            <w:r>
              <w:rPr>
                <w:rFonts w:hint="default" w:ascii="Times New Roman" w:hAnsi="Times New Roman" w:eastAsia="宋体" w:cs="Times New Roman"/>
                <w:color w:val="auto"/>
                <w:kern w:val="0"/>
                <w:sz w:val="24"/>
                <w:szCs w:val="24"/>
                <w:highlight w:val="none"/>
                <w:lang w:eastAsia="zh-CN"/>
              </w:rPr>
              <w:t>。视频清晰可辨，对采购需求所列设备（图形计算器）全部功能进行实操演示：</w:t>
            </w:r>
          </w:p>
          <w:p w14:paraId="14507F1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1. 全部功能均完成真机实操演示，得</w:t>
            </w: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eastAsia="zh-CN"/>
              </w:rPr>
              <w:t>分；</w:t>
            </w:r>
          </w:p>
          <w:p w14:paraId="702D03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2. 每有1项功能未在视频中实操演示（仅文字描述、图片、PPT展示等静态演示不算演示）扣</w:t>
            </w:r>
            <w:r>
              <w:rPr>
                <w:rFonts w:hint="default" w:ascii="Times New Roman" w:hAnsi="Times New Roman"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eastAsia="zh-CN"/>
              </w:rPr>
              <w:t>分，扣完为止；</w:t>
            </w:r>
          </w:p>
          <w:p w14:paraId="39449EF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3. 未提供视频，或视频无法正常播放、或视频访问链接无法正常打开，本项得0分；</w:t>
            </w:r>
          </w:p>
          <w:p w14:paraId="6B6B15D8">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注：演示内容顺序须与招标文件罗列顺序一致，视频时长不得超过1</w:t>
            </w:r>
            <w:r>
              <w:rPr>
                <w:rFonts w:hint="default"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eastAsia="zh-CN"/>
              </w:rPr>
              <w:t>分钟，超出时长部分不计入得分。演示视频若以介质提供的，需以光盘形式密封提交（不接受U盘），视频格式为.mp4格式。光盘提交时间及地点：请于开标当日投标截止时间前递交至乌鲁木齐市公共资源交易中心（乌鲁木齐市政府采购中心）开标6厅，逾期不予受理。</w:t>
            </w:r>
            <w:bookmarkEnd w:id="153"/>
          </w:p>
        </w:tc>
        <w:tc>
          <w:tcPr>
            <w:tcW w:w="260" w:type="pct"/>
            <w:tcBorders>
              <w:top w:val="nil"/>
              <w:left w:val="nil"/>
              <w:bottom w:val="single" w:color="auto" w:sz="4" w:space="0"/>
              <w:right w:val="single" w:color="auto" w:sz="4" w:space="0"/>
            </w:tcBorders>
            <w:vAlign w:val="center"/>
          </w:tcPr>
          <w:p w14:paraId="74C906D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lang w:val="en-US" w:eastAsia="zh-CN"/>
              </w:rPr>
              <w:t>2</w:t>
            </w:r>
          </w:p>
        </w:tc>
        <w:tc>
          <w:tcPr>
            <w:tcW w:w="472" w:type="pct"/>
            <w:tcBorders>
              <w:left w:val="single" w:color="auto" w:sz="4" w:space="0"/>
              <w:right w:val="single" w:color="auto" w:sz="4" w:space="0"/>
            </w:tcBorders>
            <w:vAlign w:val="top"/>
          </w:tcPr>
          <w:p w14:paraId="6EA21F15">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4"/>
                <w:szCs w:val="24"/>
                <w:highlight w:val="none"/>
              </w:rPr>
            </w:pPr>
          </w:p>
        </w:tc>
      </w:tr>
      <w:tr w14:paraId="4D20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5000" w:type="pct"/>
            <w:gridSpan w:val="6"/>
            <w:vAlign w:val="center"/>
          </w:tcPr>
          <w:p w14:paraId="4F898A85">
            <w:pPr>
              <w:keepNext w:val="0"/>
              <w:keepLines w:val="0"/>
              <w:pageBreakBefore w:val="0"/>
              <w:widowControl/>
              <w:kinsoku/>
              <w:wordWrap/>
              <w:overflowPunct/>
              <w:topLinePunct w:val="0"/>
              <w:autoSpaceDE/>
              <w:autoSpaceDN/>
              <w:bidi w:val="0"/>
              <w:spacing w:line="240" w:lineRule="auto"/>
              <w:jc w:val="left"/>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合计：100分</w:t>
            </w:r>
          </w:p>
        </w:tc>
      </w:tr>
    </w:tbl>
    <w:p w14:paraId="0DBD959C">
      <w:pPr>
        <w:rPr>
          <w:color w:val="auto"/>
          <w:sz w:val="40"/>
          <w:szCs w:val="40"/>
          <w:highlight w:val="none"/>
        </w:rPr>
      </w:pPr>
      <w:bookmarkStart w:id="154" w:name="_Toc24259"/>
    </w:p>
    <w:p w14:paraId="4981C0BC">
      <w:pPr>
        <w:rPr>
          <w:color w:val="auto"/>
          <w:sz w:val="40"/>
          <w:szCs w:val="40"/>
          <w:highlight w:val="none"/>
        </w:rPr>
      </w:pPr>
    </w:p>
    <w:p w14:paraId="266A4782">
      <w:pPr>
        <w:pStyle w:val="2"/>
        <w:bidi w:val="0"/>
        <w:spacing w:before="0" w:after="0"/>
        <w:jc w:val="center"/>
        <w:rPr>
          <w:rFonts w:hint="eastAsia" w:ascii="方正黑体_GBK" w:hAnsi="方正黑体_GBK" w:eastAsia="方正黑体_GBK" w:cs="方正黑体_GBK"/>
        </w:rPr>
      </w:pPr>
      <w:r>
        <w:rPr>
          <w:rFonts w:hint="eastAsia" w:ascii="方正黑体_GBK" w:hAnsi="方正黑体_GBK" w:eastAsia="方正黑体_GBK" w:cs="方正黑体_GBK"/>
        </w:rPr>
        <w:t>第六章  采购内容与要求</w:t>
      </w:r>
      <w:bookmarkEnd w:id="152"/>
      <w:bookmarkEnd w:id="154"/>
    </w:p>
    <w:p w14:paraId="1C650293">
      <w:pPr>
        <w:spacing w:line="360" w:lineRule="auto"/>
        <w:contextualSpacing/>
        <w:rPr>
          <w:rFonts w:hint="eastAsia"/>
          <w:color w:val="auto"/>
          <w:sz w:val="24"/>
          <w:highlight w:val="none"/>
        </w:rPr>
      </w:pPr>
    </w:p>
    <w:p w14:paraId="3E27C626">
      <w:pPr>
        <w:spacing w:line="360" w:lineRule="auto"/>
        <w:contextualSpacing/>
        <w:rPr>
          <w:color w:val="auto"/>
          <w:sz w:val="24"/>
          <w:highlight w:val="none"/>
        </w:rPr>
      </w:pPr>
      <w:r>
        <w:rPr>
          <w:rFonts w:hint="eastAsia"/>
          <w:color w:val="auto"/>
          <w:sz w:val="24"/>
          <w:highlight w:val="none"/>
        </w:rPr>
        <w:t>《示范文本》说明（供采购人参考）：</w:t>
      </w:r>
    </w:p>
    <w:p w14:paraId="7D860F96">
      <w:pPr>
        <w:spacing w:line="360" w:lineRule="auto"/>
        <w:contextualSpacing/>
        <w:rPr>
          <w:color w:val="auto"/>
          <w:sz w:val="24"/>
          <w:highlight w:val="none"/>
        </w:rPr>
      </w:pPr>
      <w:r>
        <w:rPr>
          <w:rFonts w:hint="eastAsia"/>
          <w:color w:val="auto"/>
          <w:sz w:val="24"/>
          <w:highlight w:val="none"/>
        </w:rPr>
        <w:t>1</w:t>
      </w:r>
      <w:r>
        <w:rPr>
          <w:color w:val="auto"/>
          <w:sz w:val="24"/>
          <w:highlight w:val="none"/>
        </w:rPr>
        <w:t>. 当采购项目涉及政务信息系统时，采购需求应当符合《政务信息系统政府采购管理暂行办法》（财库〔2017〕210号）的相关要求。</w:t>
      </w:r>
    </w:p>
    <w:p w14:paraId="3B07B040">
      <w:pPr>
        <w:spacing w:line="360" w:lineRule="auto"/>
        <w:contextualSpacing/>
        <w:rPr>
          <w:color w:val="auto"/>
          <w:sz w:val="24"/>
          <w:highlight w:val="none"/>
        </w:rPr>
      </w:pPr>
      <w:r>
        <w:rPr>
          <w:rFonts w:hint="eastAsia"/>
          <w:color w:val="auto"/>
          <w:sz w:val="24"/>
          <w:highlight w:val="none"/>
        </w:rPr>
        <w:t>2</w:t>
      </w:r>
      <w:r>
        <w:rPr>
          <w:color w:val="auto"/>
          <w:sz w:val="24"/>
          <w:highlight w:val="none"/>
        </w:rPr>
        <w:t xml:space="preserve">. </w:t>
      </w:r>
      <w:r>
        <w:rPr>
          <w:rFonts w:hint="eastAsia"/>
          <w:color w:val="auto"/>
          <w:sz w:val="24"/>
          <w:highlight w:val="none"/>
        </w:rPr>
        <w:t>采购人及采购代理机构应关注财政部门会同有关部门制定发布的需求标准，结合具体应用场景，根据对应《需求标准》确定采购需求。</w:t>
      </w:r>
    </w:p>
    <w:p w14:paraId="3C636BBB">
      <w:pPr>
        <w:spacing w:line="360" w:lineRule="auto"/>
        <w:contextualSpacing/>
        <w:rPr>
          <w:color w:val="auto"/>
          <w:sz w:val="24"/>
          <w:highlight w:val="none"/>
        </w:rPr>
      </w:pPr>
      <w:r>
        <w:rPr>
          <w:rFonts w:hint="eastAsia"/>
          <w:color w:val="auto"/>
          <w:sz w:val="24"/>
          <w:highlight w:val="none"/>
        </w:rPr>
        <w:t>已发布的需求标准如下：</w:t>
      </w:r>
    </w:p>
    <w:p w14:paraId="6A213408">
      <w:pPr>
        <w:spacing w:line="360" w:lineRule="auto"/>
        <w:contextualSpacing/>
        <w:rPr>
          <w:color w:val="auto"/>
          <w:sz w:val="24"/>
          <w:highlight w:val="none"/>
        </w:rPr>
      </w:pPr>
      <w:r>
        <w:rPr>
          <w:color w:val="auto"/>
          <w:sz w:val="24"/>
          <w:highlight w:val="none"/>
        </w:rPr>
        <w:t>《关于印发〈商品包装政府采购需求标准（试行）〉、〈快递包装政府采购需求标准（试行）〉的通知》（财办库﹝2020﹞123号）</w:t>
      </w:r>
    </w:p>
    <w:p w14:paraId="615164FA">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《绿色数据中心政府采购需求标准（试行）》（财库〔2023〕7号）</w:t>
      </w:r>
    </w:p>
    <w:p w14:paraId="661D8413">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《台式计算机政府采购需求标准（2023年版）》（财库〔2023〕29号）</w:t>
      </w:r>
    </w:p>
    <w:p w14:paraId="2205EF51">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《便携式计算机政府采购需求标准（2023年版）》（财库〔2023〕30号）</w:t>
      </w:r>
    </w:p>
    <w:p w14:paraId="74664037">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《一体式计算机政府采购需求标准（2023年版）》（财库〔2023〕31号）</w:t>
      </w:r>
    </w:p>
    <w:p w14:paraId="7ADE8995">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《工作站政府采购需求标准（2023年版）》（财库〔2023〕32号）</w:t>
      </w:r>
    </w:p>
    <w:p w14:paraId="452E698C">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《通用服务器政府采购需求标准（2023年版）》（财库〔2023〕33号）</w:t>
      </w:r>
    </w:p>
    <w:p w14:paraId="1CED1E32">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《操作系统政府采购需求标准（2023年版）》（财库〔2023〕34号）</w:t>
      </w:r>
    </w:p>
    <w:p w14:paraId="7541BE88">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《数据库政府采购需求标准（2023年版）》（财库〔2023〕35号）</w:t>
      </w:r>
    </w:p>
    <w:p w14:paraId="1A282B7E">
      <w:pPr>
        <w:pStyle w:val="348"/>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《物业管理服务政府采购需求标准（办公场所类）（试行）》</w:t>
      </w:r>
      <w:r>
        <w:rPr>
          <w:rFonts w:hint="eastAsia" w:ascii="Times New Roman" w:hAnsi="Times New Roman" w:cs="Times New Roman"/>
          <w:color w:val="auto"/>
          <w:kern w:val="2"/>
          <w:highlight w:val="none"/>
        </w:rPr>
        <w:t>（财办库〔2024〕113号）</w:t>
      </w:r>
    </w:p>
    <w:p w14:paraId="5914A134">
      <w:pPr>
        <w:rPr>
          <w:rFonts w:ascii="Times New Roman" w:hAnsi="Times New Roman" w:eastAsia="仿宋"/>
          <w:color w:val="auto"/>
          <w:sz w:val="28"/>
          <w:szCs w:val="32"/>
          <w:highlight w:val="none"/>
        </w:rPr>
      </w:pPr>
      <w:r>
        <w:rPr>
          <w:rFonts w:hint="eastAsia"/>
          <w:color w:val="auto"/>
          <w:sz w:val="24"/>
          <w:highlight w:val="none"/>
        </w:rPr>
        <w:t>如有更新或增加，以财政部门发布为准。</w:t>
      </w:r>
    </w:p>
    <w:p w14:paraId="2AF0DF16">
      <w:pPr>
        <w:pStyle w:val="23"/>
        <w:jc w:val="center"/>
        <w:rPr>
          <w:rFonts w:ascii="Times New Roman" w:hAnsi="Times New Roman" w:eastAsia="仿宋"/>
          <w:b/>
          <w:bCs/>
          <w:color w:val="auto"/>
          <w:sz w:val="32"/>
          <w:szCs w:val="36"/>
          <w:highlight w:val="none"/>
        </w:rPr>
      </w:pPr>
    </w:p>
    <w:p w14:paraId="3CC00477">
      <w:pPr>
        <w:rPr>
          <w:rFonts w:ascii="Times New Roman" w:hAnsi="Times New Roman" w:eastAsia="仿宋"/>
          <w:b/>
          <w:bCs/>
          <w:color w:val="auto"/>
          <w:sz w:val="32"/>
          <w:szCs w:val="36"/>
          <w:highlight w:val="none"/>
        </w:rPr>
      </w:pPr>
    </w:p>
    <w:p w14:paraId="7D31065D">
      <w:pPr>
        <w:pStyle w:val="11"/>
        <w:rPr>
          <w:rFonts w:ascii="Times New Roman" w:hAnsi="Times New Roman" w:eastAsia="仿宋"/>
          <w:b/>
          <w:bCs/>
          <w:color w:val="auto"/>
          <w:sz w:val="32"/>
          <w:szCs w:val="36"/>
          <w:highlight w:val="none"/>
        </w:rPr>
      </w:pPr>
    </w:p>
    <w:p w14:paraId="37CFCB30">
      <w:pPr>
        <w:pStyle w:val="12"/>
      </w:pPr>
    </w:p>
    <w:p w14:paraId="48A7B15A">
      <w:pPr>
        <w:pStyle w:val="11"/>
        <w:rPr>
          <w:rFonts w:hint="eastAsia"/>
          <w:lang w:val="en-US" w:eastAsia="zh-CN"/>
        </w:rPr>
      </w:pPr>
      <w:bookmarkStart w:id="155" w:name="_Toc1738585672"/>
      <w:bookmarkStart w:id="156" w:name="_Toc104293470"/>
      <w:bookmarkStart w:id="157" w:name="_Toc152516875"/>
      <w:bookmarkStart w:id="158" w:name="EBf83faab37a5e498880c4f2b1190e47ca"/>
    </w:p>
    <w:p w14:paraId="45F3B389">
      <w:pPr>
        <w:keepNext w:val="0"/>
        <w:keepLines w:val="0"/>
        <w:pageBreakBefore w:val="0"/>
        <w:widowControl w:val="0"/>
        <w:kinsoku/>
        <w:wordWrap w:val="0"/>
        <w:overflowPunct/>
        <w:topLinePunct w:val="0"/>
        <w:autoSpaceDE/>
        <w:autoSpaceDN/>
        <w:bidi w:val="0"/>
        <w:adjustRightInd/>
        <w:ind w:firstLine="480"/>
        <w:jc w:val="both"/>
        <w:textAlignment w:val="auto"/>
        <w:rPr>
          <w:rFonts w:hint="eastAsia" w:eastAsia="方正黑体_GBK"/>
          <w:b w:val="0"/>
          <w:bCs w:val="0"/>
          <w:color w:val="auto"/>
          <w:sz w:val="32"/>
          <w:szCs w:val="32"/>
          <w:highlight w:val="none"/>
          <w:lang w:eastAsia="zh-CN"/>
        </w:rPr>
      </w:pPr>
      <w:r>
        <w:rPr>
          <w:rFonts w:hint="eastAsia" w:ascii="Times New Roman" w:hAnsi="Times New Roman" w:eastAsia="方正黑体_GBK" w:cs="Times New Roman"/>
          <w:b w:val="0"/>
          <w:bCs w:val="0"/>
          <w:color w:val="auto"/>
          <w:sz w:val="32"/>
          <w:szCs w:val="32"/>
          <w:highlight w:val="none"/>
          <w:lang w:eastAsia="zh-CN"/>
        </w:rPr>
        <w:t>一、</w:t>
      </w:r>
      <w:bookmarkEnd w:id="155"/>
      <w:r>
        <w:rPr>
          <w:rFonts w:hint="eastAsia" w:eastAsia="方正黑体_GBK"/>
          <w:b w:val="0"/>
          <w:bCs w:val="0"/>
          <w:color w:val="auto"/>
          <w:sz w:val="32"/>
          <w:szCs w:val="32"/>
          <w:highlight w:val="none"/>
          <w:lang w:eastAsia="zh-CN"/>
        </w:rPr>
        <w:t>采购标的</w:t>
      </w:r>
    </w:p>
    <w:p w14:paraId="68CB6901">
      <w:pPr>
        <w:jc w:val="center"/>
        <w:rPr>
          <w:rFonts w:ascii="Times New Roman" w:hAnsi="Times New Roman" w:eastAsia="方正小标宋_GBK" w:cs="Times New Roman"/>
          <w:sz w:val="28"/>
          <w:szCs w:val="28"/>
        </w:rPr>
      </w:pPr>
      <w:r>
        <w:rPr>
          <w:rFonts w:hint="eastAsia" w:ascii="Times New Roman" w:hAnsi="Times New Roman" w:eastAsia="方正小标宋_GBK" w:cs="Times New Roman"/>
          <w:sz w:val="28"/>
          <w:szCs w:val="28"/>
        </w:rPr>
        <w:t>语文课程基地</w:t>
      </w:r>
      <w:r>
        <w:rPr>
          <w:rFonts w:ascii="Times New Roman" w:hAnsi="Times New Roman" w:eastAsia="方正小标宋_GBK" w:cs="Times New Roman"/>
          <w:sz w:val="28"/>
          <w:szCs w:val="28"/>
        </w:rPr>
        <w:t>清单</w:t>
      </w:r>
    </w:p>
    <w:tbl>
      <w:tblPr>
        <w:tblStyle w:val="31"/>
        <w:tblW w:w="5108" w:type="pct"/>
        <w:tblInd w:w="0" w:type="dxa"/>
        <w:tblLayout w:type="fixed"/>
        <w:tblCellMar>
          <w:top w:w="0" w:type="dxa"/>
          <w:left w:w="108" w:type="dxa"/>
          <w:bottom w:w="0" w:type="dxa"/>
          <w:right w:w="108" w:type="dxa"/>
        </w:tblCellMar>
      </w:tblPr>
      <w:tblGrid>
        <w:gridCol w:w="430"/>
        <w:gridCol w:w="1155"/>
        <w:gridCol w:w="5923"/>
        <w:gridCol w:w="448"/>
        <w:gridCol w:w="644"/>
        <w:gridCol w:w="772"/>
      </w:tblGrid>
      <w:tr w14:paraId="7E1BA655">
        <w:tblPrEx>
          <w:tblCellMar>
            <w:top w:w="0" w:type="dxa"/>
            <w:left w:w="108" w:type="dxa"/>
            <w:bottom w:w="0" w:type="dxa"/>
            <w:right w:w="108" w:type="dxa"/>
          </w:tblCellMar>
        </w:tblPrEx>
        <w:trPr>
          <w:trHeight w:val="403" w:hRule="atLeast"/>
          <w:tblHeader/>
        </w:trPr>
        <w:tc>
          <w:tcPr>
            <w:tcW w:w="229"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11E810FA">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序号</w:t>
            </w:r>
          </w:p>
        </w:tc>
        <w:tc>
          <w:tcPr>
            <w:tcW w:w="616"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EFB5EBA">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名称</w:t>
            </w:r>
          </w:p>
        </w:tc>
        <w:tc>
          <w:tcPr>
            <w:tcW w:w="3158"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1251C392">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规格型号参数</w:t>
            </w:r>
          </w:p>
        </w:tc>
        <w:tc>
          <w:tcPr>
            <w:tcW w:w="239"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61DE0F58">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单位</w:t>
            </w:r>
          </w:p>
        </w:tc>
        <w:tc>
          <w:tcPr>
            <w:tcW w:w="343"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6783F4CB">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数量</w:t>
            </w:r>
          </w:p>
        </w:tc>
        <w:tc>
          <w:tcPr>
            <w:tcW w:w="41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3C5DF0CB">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备注</w:t>
            </w:r>
          </w:p>
        </w:tc>
      </w:tr>
      <w:tr w14:paraId="17D292A3">
        <w:tblPrEx>
          <w:tblCellMar>
            <w:top w:w="0" w:type="dxa"/>
            <w:left w:w="108" w:type="dxa"/>
            <w:bottom w:w="0" w:type="dxa"/>
            <w:right w:w="108" w:type="dxa"/>
          </w:tblCellMar>
        </w:tblPrEx>
        <w:trPr>
          <w:trHeight w:val="400" w:hRule="atLeast"/>
        </w:trPr>
        <w:tc>
          <w:tcPr>
            <w:tcW w:w="846" w:type="pct"/>
            <w:gridSpan w:val="2"/>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E3ED86D">
            <w:pPr>
              <w:widowControl/>
              <w:jc w:val="left"/>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一、基础建设</w:t>
            </w:r>
          </w:p>
        </w:tc>
        <w:tc>
          <w:tcPr>
            <w:tcW w:w="3158"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24D7D6C5">
            <w:pPr>
              <w:widowControl/>
              <w:jc w:val="left"/>
              <w:textAlignment w:val="center"/>
              <w:rPr>
                <w:rFonts w:hint="eastAsia" w:ascii="宋体" w:hAnsi="宋体" w:eastAsia="宋体" w:cs="宋体"/>
                <w:b/>
                <w:bCs/>
                <w:color w:val="000000"/>
                <w:kern w:val="0"/>
                <w:sz w:val="20"/>
                <w:szCs w:val="20"/>
                <w:highlight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2F949014">
            <w:pPr>
              <w:widowControl/>
              <w:jc w:val="left"/>
              <w:textAlignment w:val="center"/>
              <w:rPr>
                <w:rFonts w:hint="eastAsia" w:ascii="宋体" w:hAnsi="宋体" w:eastAsia="宋体" w:cs="宋体"/>
                <w:b/>
                <w:bCs/>
                <w:color w:val="000000"/>
                <w:kern w:val="0"/>
                <w:sz w:val="20"/>
                <w:szCs w:val="20"/>
                <w:highlight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022A1A5">
            <w:pPr>
              <w:widowControl/>
              <w:jc w:val="left"/>
              <w:textAlignment w:val="center"/>
              <w:rPr>
                <w:rFonts w:hint="eastAsia" w:ascii="宋体" w:hAnsi="宋体" w:eastAsia="宋体" w:cs="宋体"/>
                <w:b/>
                <w:bCs/>
                <w:color w:val="000000"/>
                <w:kern w:val="0"/>
                <w:sz w:val="20"/>
                <w:szCs w:val="20"/>
                <w:highlight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5141E43F">
            <w:pPr>
              <w:widowControl/>
              <w:jc w:val="left"/>
              <w:textAlignment w:val="center"/>
              <w:rPr>
                <w:rFonts w:hint="eastAsia" w:ascii="宋体" w:hAnsi="宋体" w:eastAsia="宋体" w:cs="宋体"/>
                <w:b/>
                <w:bCs/>
                <w:color w:val="000000"/>
                <w:kern w:val="0"/>
                <w:sz w:val="20"/>
                <w:szCs w:val="20"/>
                <w:highlight w:val="none"/>
              </w:rPr>
            </w:pPr>
          </w:p>
        </w:tc>
      </w:tr>
      <w:tr w14:paraId="3802C64C">
        <w:tblPrEx>
          <w:tblCellMar>
            <w:top w:w="0" w:type="dxa"/>
            <w:left w:w="108" w:type="dxa"/>
            <w:bottom w:w="0" w:type="dxa"/>
            <w:right w:w="108" w:type="dxa"/>
          </w:tblCellMar>
        </w:tblPrEx>
        <w:trPr>
          <w:trHeight w:val="400" w:hRule="atLeast"/>
        </w:trPr>
        <w:tc>
          <w:tcPr>
            <w:tcW w:w="4005" w:type="pct"/>
            <w:gridSpan w:val="3"/>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06D71AB">
            <w:pPr>
              <w:widowControl/>
              <w:jc w:val="left"/>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1.课程实践区</w:t>
            </w:r>
          </w:p>
        </w:tc>
        <w:tc>
          <w:tcPr>
            <w:tcW w:w="239"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593EC45F">
            <w:pPr>
              <w:widowControl/>
              <w:jc w:val="left"/>
              <w:textAlignment w:val="center"/>
              <w:rPr>
                <w:rFonts w:hint="eastAsia" w:ascii="宋体" w:hAnsi="宋体" w:eastAsia="宋体" w:cs="宋体"/>
                <w:b/>
                <w:bCs/>
                <w:color w:val="000000"/>
                <w:kern w:val="0"/>
                <w:sz w:val="20"/>
                <w:szCs w:val="20"/>
                <w:highlight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229305D">
            <w:pPr>
              <w:widowControl/>
              <w:jc w:val="left"/>
              <w:textAlignment w:val="center"/>
              <w:rPr>
                <w:rFonts w:hint="eastAsia" w:ascii="宋体" w:hAnsi="宋体" w:eastAsia="宋体" w:cs="宋体"/>
                <w:b/>
                <w:bCs/>
                <w:color w:val="000000"/>
                <w:kern w:val="0"/>
                <w:sz w:val="20"/>
                <w:szCs w:val="20"/>
                <w:highlight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8C363B8">
            <w:pPr>
              <w:widowControl/>
              <w:jc w:val="left"/>
              <w:textAlignment w:val="center"/>
              <w:rPr>
                <w:rFonts w:hint="eastAsia" w:ascii="宋体" w:hAnsi="宋体" w:eastAsia="宋体" w:cs="宋体"/>
                <w:b/>
                <w:bCs/>
                <w:color w:val="000000"/>
                <w:kern w:val="0"/>
                <w:sz w:val="20"/>
                <w:szCs w:val="20"/>
                <w:highlight w:val="none"/>
              </w:rPr>
            </w:pPr>
          </w:p>
        </w:tc>
      </w:tr>
      <w:tr w14:paraId="5A4E0D03">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7C1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2448">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多媒体教室讲台</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E66A">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规格</w:t>
            </w:r>
            <w:r>
              <w:rPr>
                <w:rFonts w:ascii="Times New Roman" w:hAnsi="Times New Roman" w:eastAsia="宋体" w:cs="Times New Roman"/>
                <w:color w:val="000000"/>
                <w:kern w:val="0"/>
                <w:sz w:val="20"/>
                <w:szCs w:val="20"/>
                <w:highlight w:val="none"/>
              </w:rPr>
              <w:t>≥D1500*W600*H1012mm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材质：抗倍特板</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钢板；</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工艺：桌面采用抗倍特一体成型，厚度</w:t>
            </w:r>
            <w:r>
              <w:rPr>
                <w:rFonts w:ascii="Times New Roman" w:hAnsi="Times New Roman" w:eastAsia="宋体" w:cs="Times New Roman"/>
                <w:color w:val="000000"/>
                <w:kern w:val="0"/>
                <w:sz w:val="20"/>
                <w:szCs w:val="20"/>
                <w:highlight w:val="none"/>
              </w:rPr>
              <w:t>≥11mm</w:t>
            </w:r>
            <w:r>
              <w:rPr>
                <w:rFonts w:hint="eastAsia" w:ascii="宋体" w:hAnsi="宋体" w:eastAsia="宋体" w:cs="宋体"/>
                <w:color w:val="000000"/>
                <w:kern w:val="0"/>
                <w:sz w:val="20"/>
                <w:szCs w:val="20"/>
                <w:highlight w:val="none"/>
              </w:rPr>
              <w:t>，面板四周采</w:t>
            </w:r>
            <w:r>
              <w:rPr>
                <w:rFonts w:ascii="Times New Roman" w:hAnsi="Times New Roman" w:eastAsia="宋体" w:cs="Times New Roman"/>
                <w:color w:val="000000"/>
                <w:kern w:val="0"/>
                <w:sz w:val="20"/>
                <w:szCs w:val="20"/>
                <w:highlight w:val="none"/>
              </w:rPr>
              <w:t>CNC</w:t>
            </w:r>
            <w:r>
              <w:rPr>
                <w:rFonts w:hint="eastAsia" w:ascii="宋体" w:hAnsi="宋体" w:eastAsia="宋体" w:cs="宋体"/>
                <w:color w:val="000000"/>
                <w:kern w:val="0"/>
                <w:sz w:val="20"/>
                <w:szCs w:val="20"/>
                <w:highlight w:val="none"/>
              </w:rPr>
              <w:t>修边，四周倒角。柜体采用厚</w:t>
            </w:r>
            <w:r>
              <w:rPr>
                <w:rFonts w:ascii="Times New Roman" w:hAnsi="Times New Roman" w:eastAsia="宋体" w:cs="Times New Roman"/>
                <w:color w:val="000000"/>
                <w:kern w:val="0"/>
                <w:sz w:val="20"/>
                <w:szCs w:val="20"/>
                <w:highlight w:val="none"/>
              </w:rPr>
              <w:t>≥0.8mm,</w:t>
            </w:r>
            <w:r>
              <w:rPr>
                <w:rFonts w:hint="eastAsia" w:ascii="宋体" w:hAnsi="宋体" w:eastAsia="宋体" w:cs="宋体"/>
                <w:color w:val="000000"/>
                <w:kern w:val="0"/>
                <w:sz w:val="20"/>
                <w:szCs w:val="20"/>
                <w:highlight w:val="none"/>
              </w:rPr>
              <w:t>镀锌钢板，采用三维立体激光微缝切割，柜体一体成型，打磨酸洗磷化后，经高温粉体烤漆处理；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功能：（</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）桌面预留隐藏式机构放置显示屏、可倾斜方便操作。（</w:t>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）内设预留中控面板、终端机、扩音功放、智能箱、电脑主机、网络接口、键盘鼠标、常态录播控制系统等设备的位置。</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EA9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B40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60CF6">
            <w:pPr>
              <w:jc w:val="center"/>
              <w:rPr>
                <w:rFonts w:ascii="宋体" w:hAnsi="宋体" w:eastAsia="宋体" w:cs="宋体"/>
                <w:color w:val="000000"/>
                <w:sz w:val="20"/>
                <w:szCs w:val="20"/>
                <w:highlight w:val="none"/>
              </w:rPr>
            </w:pPr>
          </w:p>
        </w:tc>
      </w:tr>
      <w:tr w14:paraId="477221A2">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755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2B89">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明式文韵桌椅</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0DB2">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桌面采用≥</w:t>
            </w:r>
            <w:r>
              <w:rPr>
                <w:rFonts w:ascii="Times New Roman" w:hAnsi="Times New Roman" w:eastAsia="宋体" w:cs="Times New Roman"/>
                <w:color w:val="000000"/>
                <w:kern w:val="0"/>
                <w:sz w:val="20"/>
                <w:szCs w:val="20"/>
                <w:highlight w:val="none"/>
              </w:rPr>
              <w:t>18mm</w:t>
            </w:r>
            <w:r>
              <w:rPr>
                <w:rFonts w:hint="eastAsia" w:ascii="宋体" w:hAnsi="宋体" w:eastAsia="宋体" w:cs="宋体"/>
                <w:color w:val="000000"/>
                <w:kern w:val="0"/>
                <w:sz w:val="20"/>
                <w:szCs w:val="20"/>
                <w:highlight w:val="none"/>
              </w:rPr>
              <w:t>厚度优质橡胶木制作，四周加厚至</w:t>
            </w:r>
            <w:r>
              <w:rPr>
                <w:rFonts w:ascii="Times New Roman" w:hAnsi="Times New Roman" w:eastAsia="宋体" w:cs="Times New Roman"/>
                <w:color w:val="000000"/>
                <w:kern w:val="0"/>
                <w:sz w:val="20"/>
                <w:szCs w:val="20"/>
                <w:highlight w:val="none"/>
              </w:rPr>
              <w:t>36mm</w:t>
            </w:r>
            <w:r>
              <w:rPr>
                <w:rFonts w:hint="eastAsia" w:ascii="宋体" w:hAnsi="宋体" w:eastAsia="宋体" w:cs="宋体"/>
                <w:color w:val="000000"/>
                <w:kern w:val="0"/>
                <w:sz w:val="20"/>
                <w:szCs w:val="20"/>
                <w:highlight w:val="none"/>
              </w:rPr>
              <w:t>；</w:t>
            </w:r>
            <w:r>
              <w:rPr>
                <w:rFonts w:hint="eastAsia" w:ascii="宋体" w:hAnsi="宋体" w:eastAsia="宋体" w:cs="宋体"/>
                <w:color w:val="000000"/>
                <w:kern w:val="0"/>
                <w:sz w:val="20"/>
                <w:szCs w:val="20"/>
                <w:highlight w:val="none"/>
              </w:rPr>
              <w:br w:type="textWrapping"/>
            </w:r>
            <w:r>
              <w:rPr>
                <w:rFonts w:hint="eastAsia" w:ascii="宋体" w:hAnsi="宋体" w:eastAsia="宋体" w:cs="宋体"/>
                <w:color w:val="000000"/>
                <w:kern w:val="0"/>
                <w:sz w:val="20"/>
                <w:szCs w:val="20"/>
                <w:highlight w:val="none"/>
              </w:rPr>
              <w:t>桌腿采用进口红榉，桌腿截面不小于宽度</w:t>
            </w:r>
            <w:r>
              <w:rPr>
                <w:rFonts w:ascii="Times New Roman" w:hAnsi="Times New Roman" w:eastAsia="宋体" w:cs="Times New Roman"/>
                <w:color w:val="000000"/>
                <w:kern w:val="0"/>
                <w:sz w:val="20"/>
                <w:szCs w:val="20"/>
                <w:highlight w:val="none"/>
              </w:rPr>
              <w:t>43mm</w:t>
            </w:r>
            <w:r>
              <w:rPr>
                <w:rFonts w:hint="eastAsia" w:ascii="宋体" w:hAnsi="宋体" w:eastAsia="宋体" w:cs="宋体"/>
                <w:color w:val="000000"/>
                <w:kern w:val="0"/>
                <w:sz w:val="20"/>
                <w:szCs w:val="20"/>
                <w:highlight w:val="none"/>
              </w:rPr>
              <w:t>，长度≥</w:t>
            </w:r>
            <w:r>
              <w:rPr>
                <w:rFonts w:ascii="Times New Roman" w:hAnsi="Times New Roman" w:eastAsia="宋体" w:cs="Times New Roman"/>
                <w:color w:val="000000"/>
                <w:kern w:val="0"/>
                <w:sz w:val="20"/>
                <w:szCs w:val="20"/>
                <w:highlight w:val="none"/>
              </w:rPr>
              <w:t>63mm</w:t>
            </w:r>
            <w:r>
              <w:rPr>
                <w:rFonts w:hint="eastAsia" w:ascii="宋体" w:hAnsi="宋体" w:eastAsia="宋体" w:cs="宋体"/>
                <w:color w:val="000000"/>
                <w:kern w:val="0"/>
                <w:sz w:val="20"/>
                <w:szCs w:val="20"/>
                <w:highlight w:val="none"/>
              </w:rPr>
              <w:t>；</w:t>
            </w:r>
            <w:r>
              <w:rPr>
                <w:rFonts w:hint="eastAsia" w:ascii="宋体" w:hAnsi="宋体" w:eastAsia="宋体" w:cs="宋体"/>
                <w:color w:val="000000"/>
                <w:kern w:val="0"/>
                <w:sz w:val="20"/>
                <w:szCs w:val="20"/>
                <w:highlight w:val="none"/>
              </w:rPr>
              <w:br w:type="textWrapping"/>
            </w:r>
            <w:r>
              <w:rPr>
                <w:rFonts w:hint="eastAsia" w:ascii="宋体" w:hAnsi="宋体" w:eastAsia="宋体" w:cs="宋体"/>
                <w:color w:val="000000"/>
                <w:kern w:val="0"/>
                <w:sz w:val="20"/>
                <w:szCs w:val="20"/>
                <w:highlight w:val="none"/>
              </w:rPr>
              <w:t>横梁横截面不小于</w:t>
            </w:r>
            <w:r>
              <w:rPr>
                <w:rFonts w:ascii="Times New Roman" w:hAnsi="Times New Roman" w:eastAsia="宋体" w:cs="Times New Roman"/>
                <w:color w:val="000000"/>
                <w:kern w:val="0"/>
                <w:sz w:val="20"/>
                <w:szCs w:val="20"/>
                <w:highlight w:val="none"/>
              </w:rPr>
              <w:t>23*43mm</w:t>
            </w:r>
            <w:r>
              <w:rPr>
                <w:rFonts w:hint="eastAsia" w:ascii="宋体" w:hAnsi="宋体" w:eastAsia="宋体" w:cs="宋体"/>
                <w:color w:val="000000"/>
                <w:kern w:val="0"/>
                <w:sz w:val="20"/>
                <w:szCs w:val="20"/>
                <w:highlight w:val="none"/>
              </w:rPr>
              <w:t>，采用≥</w:t>
            </w:r>
            <w:r>
              <w:rPr>
                <w:rFonts w:ascii="Times New Roman" w:hAnsi="Times New Roman" w:eastAsia="宋体" w:cs="Times New Roman"/>
                <w:color w:val="000000"/>
                <w:kern w:val="0"/>
                <w:sz w:val="20"/>
                <w:szCs w:val="20"/>
                <w:highlight w:val="none"/>
              </w:rPr>
              <w:t>12mm</w:t>
            </w:r>
            <w:r>
              <w:rPr>
                <w:rFonts w:hint="eastAsia" w:ascii="宋体" w:hAnsi="宋体" w:eastAsia="宋体" w:cs="宋体"/>
                <w:color w:val="000000"/>
                <w:kern w:val="0"/>
                <w:sz w:val="20"/>
                <w:szCs w:val="20"/>
                <w:highlight w:val="none"/>
              </w:rPr>
              <w:t>厚橡木板制作。</w:t>
            </w:r>
            <w:r>
              <w:rPr>
                <w:rFonts w:hint="eastAsia" w:ascii="宋体" w:hAnsi="宋体" w:eastAsia="宋体" w:cs="宋体"/>
                <w:color w:val="000000"/>
                <w:kern w:val="0"/>
                <w:sz w:val="20"/>
                <w:szCs w:val="20"/>
                <w:highlight w:val="none"/>
              </w:rPr>
              <w:br w:type="textWrapping"/>
            </w:r>
            <w:r>
              <w:rPr>
                <w:rFonts w:hint="eastAsia" w:ascii="宋体" w:hAnsi="宋体" w:eastAsia="宋体" w:cs="宋体"/>
                <w:color w:val="000000"/>
                <w:kern w:val="0"/>
                <w:sz w:val="20"/>
                <w:szCs w:val="20"/>
                <w:highlight w:val="none"/>
              </w:rPr>
              <w:t>采用榫卯结构，结实牢靠。采用环保净味油漆，三底两面工艺制作而成。</w:t>
            </w:r>
            <w:r>
              <w:rPr>
                <w:rFonts w:hint="eastAsia" w:ascii="宋体" w:hAnsi="宋体" w:eastAsia="宋体" w:cs="宋体"/>
                <w:color w:val="000000"/>
                <w:kern w:val="0"/>
                <w:sz w:val="20"/>
                <w:szCs w:val="20"/>
                <w:highlight w:val="none"/>
              </w:rPr>
              <w:br w:type="textWrapping"/>
            </w:r>
            <w:r>
              <w:rPr>
                <w:rFonts w:hint="eastAsia" w:ascii="宋体" w:hAnsi="宋体" w:eastAsia="宋体" w:cs="宋体"/>
                <w:color w:val="000000"/>
                <w:kern w:val="0"/>
                <w:sz w:val="20"/>
                <w:szCs w:val="20"/>
                <w:highlight w:val="none"/>
              </w:rPr>
              <w:t>该书法桌简洁大方，纹理通达清晰，边角打磨光滑，外观鲜明光亮，漆面均匀。</w:t>
            </w:r>
            <w:r>
              <w:rPr>
                <w:rFonts w:hint="eastAsia" w:ascii="宋体" w:hAnsi="宋体" w:eastAsia="宋体" w:cs="宋体"/>
                <w:color w:val="000000"/>
                <w:kern w:val="0"/>
                <w:sz w:val="20"/>
                <w:szCs w:val="20"/>
                <w:highlight w:val="none"/>
              </w:rPr>
              <w:br w:type="textWrapping"/>
            </w:r>
            <w:r>
              <w:rPr>
                <w:rFonts w:hint="eastAsia" w:ascii="宋体" w:hAnsi="宋体" w:eastAsia="宋体" w:cs="宋体"/>
                <w:color w:val="000000"/>
                <w:kern w:val="0"/>
                <w:sz w:val="20"/>
                <w:szCs w:val="20"/>
                <w:highlight w:val="none"/>
              </w:rPr>
              <w:t>凳面采用≥</w:t>
            </w:r>
            <w:r>
              <w:rPr>
                <w:rFonts w:ascii="Times New Roman" w:hAnsi="Times New Roman" w:eastAsia="宋体" w:cs="Times New Roman"/>
                <w:color w:val="000000"/>
                <w:kern w:val="0"/>
                <w:sz w:val="20"/>
                <w:szCs w:val="20"/>
                <w:highlight w:val="none"/>
              </w:rPr>
              <w:t>18mm</w:t>
            </w:r>
            <w:r>
              <w:rPr>
                <w:rFonts w:hint="eastAsia" w:ascii="宋体" w:hAnsi="宋体" w:eastAsia="宋体" w:cs="宋体"/>
                <w:color w:val="000000"/>
                <w:kern w:val="0"/>
                <w:sz w:val="20"/>
                <w:szCs w:val="20"/>
                <w:highlight w:val="none"/>
              </w:rPr>
              <w:t>厚度进口优质橡胶木制作；凳腿采用红榉，截面不小于宽度</w:t>
            </w:r>
            <w:r>
              <w:rPr>
                <w:rFonts w:ascii="Times New Roman" w:hAnsi="Times New Roman" w:eastAsia="宋体" w:cs="Times New Roman"/>
                <w:color w:val="000000"/>
                <w:kern w:val="0"/>
                <w:sz w:val="20"/>
                <w:szCs w:val="20"/>
                <w:highlight w:val="none"/>
              </w:rPr>
              <w:t>36mm</w:t>
            </w:r>
            <w:r>
              <w:rPr>
                <w:rFonts w:hint="eastAsia" w:ascii="宋体" w:hAnsi="宋体" w:eastAsia="宋体" w:cs="宋体"/>
                <w:color w:val="000000"/>
                <w:kern w:val="0"/>
                <w:sz w:val="20"/>
                <w:szCs w:val="20"/>
                <w:highlight w:val="none"/>
              </w:rPr>
              <w:t>，长度≥</w:t>
            </w:r>
            <w:r>
              <w:rPr>
                <w:rFonts w:ascii="Times New Roman" w:hAnsi="Times New Roman" w:eastAsia="宋体" w:cs="Times New Roman"/>
                <w:color w:val="000000"/>
                <w:kern w:val="0"/>
                <w:sz w:val="20"/>
                <w:szCs w:val="20"/>
                <w:highlight w:val="none"/>
              </w:rPr>
              <w:t>36mm</w:t>
            </w:r>
            <w:r>
              <w:rPr>
                <w:rFonts w:hint="eastAsia" w:ascii="宋体" w:hAnsi="宋体" w:eastAsia="宋体" w:cs="宋体"/>
                <w:color w:val="000000"/>
                <w:kern w:val="0"/>
                <w:sz w:val="20"/>
                <w:szCs w:val="20"/>
                <w:highlight w:val="none"/>
              </w:rPr>
              <w:t>；横梁横截面不小于</w:t>
            </w:r>
            <w:r>
              <w:rPr>
                <w:rFonts w:ascii="Times New Roman" w:hAnsi="Times New Roman" w:eastAsia="宋体" w:cs="Times New Roman"/>
                <w:color w:val="000000"/>
                <w:kern w:val="0"/>
                <w:sz w:val="20"/>
                <w:szCs w:val="20"/>
                <w:highlight w:val="none"/>
              </w:rPr>
              <w:t>18*28mm</w:t>
            </w:r>
            <w:r>
              <w:rPr>
                <w:rFonts w:hint="eastAsia" w:ascii="宋体" w:hAnsi="宋体" w:eastAsia="宋体" w:cs="宋体"/>
                <w:color w:val="000000"/>
                <w:kern w:val="0"/>
                <w:sz w:val="20"/>
                <w:szCs w:val="20"/>
                <w:highlight w:val="none"/>
              </w:rPr>
              <w:t>，采用≥</w:t>
            </w:r>
            <w:r>
              <w:rPr>
                <w:rFonts w:ascii="Times New Roman" w:hAnsi="Times New Roman" w:eastAsia="宋体" w:cs="Times New Roman"/>
                <w:color w:val="000000"/>
                <w:kern w:val="0"/>
                <w:sz w:val="20"/>
                <w:szCs w:val="20"/>
                <w:highlight w:val="none"/>
              </w:rPr>
              <w:t>18mm</w:t>
            </w:r>
            <w:r>
              <w:rPr>
                <w:rFonts w:hint="eastAsia" w:ascii="宋体" w:hAnsi="宋体" w:eastAsia="宋体" w:cs="宋体"/>
                <w:color w:val="000000"/>
                <w:kern w:val="0"/>
                <w:sz w:val="20"/>
                <w:szCs w:val="20"/>
                <w:highlight w:val="none"/>
              </w:rPr>
              <w:t>厚橡木板制作。</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B35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93D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28</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2071">
            <w:pPr>
              <w:jc w:val="center"/>
              <w:rPr>
                <w:rFonts w:ascii="宋体" w:hAnsi="宋体" w:eastAsia="宋体" w:cs="宋体"/>
                <w:color w:val="000000"/>
                <w:sz w:val="20"/>
                <w:szCs w:val="20"/>
                <w:highlight w:val="none"/>
              </w:rPr>
            </w:pPr>
          </w:p>
        </w:tc>
      </w:tr>
      <w:tr w14:paraId="52ACFD1A">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355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4E00">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语文教室专用授课设备</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AFEDD">
            <w:pPr>
              <w:widowControl/>
              <w:jc w:val="left"/>
              <w:textAlignment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一、硬件参数：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要求产品正面显示为一个由三块拼接而成的平面普通黑板，中间为触控主屏，两侧为书写副板。整个黑板平面满足白板笔、无尘粉笔、水性无尘粉笔与普通粉笔书写的功能，可实现整块黑板在同一平面书写。可实现书写副板的板书内容同步到主屏白板软件上，形成原笔迹电子化板书。</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整机钢化玻璃和液晶显示层无间隙，减少显示面板与玻璃间的偏光、散射，画面显示更加清晰通透、可视角度更广、视差更小。强光条件下仍然保持清晰显示。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整体尺寸：宽</w:t>
            </w:r>
            <w:r>
              <w:rPr>
                <w:rFonts w:ascii="Times New Roman" w:hAnsi="Times New Roman" w:eastAsia="宋体" w:cs="Times New Roman"/>
                <w:color w:val="000000"/>
                <w:kern w:val="0"/>
                <w:sz w:val="20"/>
                <w:szCs w:val="20"/>
                <w:highlight w:val="none"/>
              </w:rPr>
              <w:t xml:space="preserve">≥5000mm </w:t>
            </w:r>
            <w:r>
              <w:rPr>
                <w:rFonts w:hint="eastAsia" w:ascii="宋体" w:hAnsi="宋体" w:eastAsia="宋体" w:cs="宋体"/>
                <w:color w:val="000000"/>
                <w:kern w:val="0"/>
                <w:sz w:val="20"/>
                <w:szCs w:val="20"/>
                <w:highlight w:val="none"/>
              </w:rPr>
              <w:t>，高</w:t>
            </w:r>
            <w:r>
              <w:rPr>
                <w:rFonts w:ascii="Times New Roman" w:hAnsi="Times New Roman" w:eastAsia="宋体" w:cs="Times New Roman"/>
                <w:color w:val="000000"/>
                <w:kern w:val="0"/>
                <w:sz w:val="20"/>
                <w:szCs w:val="20"/>
                <w:highlight w:val="none"/>
              </w:rPr>
              <w:t>≥1460mm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显示尺寸：</w:t>
            </w:r>
            <w:r>
              <w:rPr>
                <w:rFonts w:ascii="Times New Roman" w:hAnsi="Times New Roman" w:eastAsia="宋体" w:cs="Times New Roman"/>
                <w:color w:val="000000"/>
                <w:kern w:val="0"/>
                <w:sz w:val="20"/>
                <w:szCs w:val="20"/>
                <w:highlight w:val="none"/>
              </w:rPr>
              <w:t>≥110</w:t>
            </w:r>
            <w:r>
              <w:rPr>
                <w:rFonts w:hint="eastAsia" w:ascii="宋体" w:hAnsi="宋体" w:eastAsia="宋体" w:cs="宋体"/>
                <w:color w:val="000000"/>
                <w:kern w:val="0"/>
                <w:sz w:val="20"/>
                <w:szCs w:val="20"/>
                <w:highlight w:val="none"/>
              </w:rPr>
              <w:t>英寸。显示分辨率：</w:t>
            </w:r>
            <w:r>
              <w:rPr>
                <w:rFonts w:ascii="Times New Roman" w:hAnsi="Times New Roman" w:eastAsia="宋体" w:cs="Times New Roman"/>
                <w:color w:val="000000"/>
                <w:kern w:val="0"/>
                <w:sz w:val="20"/>
                <w:szCs w:val="20"/>
                <w:highlight w:val="none"/>
              </w:rPr>
              <w:t>3840(H)×2160(V)</w:t>
            </w:r>
            <w:r>
              <w:rPr>
                <w:rFonts w:hint="eastAsia" w:ascii="宋体" w:hAnsi="宋体" w:eastAsia="宋体" w:cs="宋体"/>
                <w:color w:val="000000"/>
                <w:kern w:val="0"/>
                <w:sz w:val="20"/>
                <w:szCs w:val="20"/>
                <w:highlight w:val="none"/>
              </w:rPr>
              <w:t>；显示比例：</w:t>
            </w:r>
            <w:r>
              <w:rPr>
                <w:rFonts w:ascii="Times New Roman" w:hAnsi="Times New Roman" w:eastAsia="宋体" w:cs="Times New Roman"/>
                <w:color w:val="000000"/>
                <w:kern w:val="0"/>
                <w:sz w:val="20"/>
                <w:szCs w:val="20"/>
                <w:highlight w:val="none"/>
              </w:rPr>
              <w:t>16:9</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内置扬声器，前朝向发声避免干扰，总功率</w:t>
            </w:r>
            <w:r>
              <w:rPr>
                <w:rFonts w:ascii="Times New Roman" w:hAnsi="Times New Roman" w:eastAsia="宋体" w:cs="Times New Roman"/>
                <w:color w:val="000000"/>
                <w:kern w:val="0"/>
                <w:sz w:val="20"/>
                <w:szCs w:val="20"/>
                <w:highlight w:val="none"/>
              </w:rPr>
              <w:t>≥60W</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亮度：</w:t>
            </w:r>
            <w:r>
              <w:rPr>
                <w:rFonts w:ascii="Times New Roman" w:hAnsi="Times New Roman" w:eastAsia="宋体" w:cs="Times New Roman"/>
                <w:color w:val="000000"/>
                <w:kern w:val="0"/>
                <w:sz w:val="20"/>
                <w:szCs w:val="20"/>
                <w:highlight w:val="none"/>
              </w:rPr>
              <w:t>≥350 cd/</w:t>
            </w:r>
            <w:r>
              <w:rPr>
                <w:rFonts w:hint="eastAsia" w:ascii="宋体" w:hAnsi="宋体" w:eastAsia="宋体" w:cs="宋体"/>
                <w:color w:val="000000"/>
                <w:kern w:val="0"/>
                <w:sz w:val="20"/>
                <w:szCs w:val="20"/>
                <w:highlight w:val="none"/>
              </w:rPr>
              <w:t>㎡；对比度：</w:t>
            </w:r>
            <w:r>
              <w:rPr>
                <w:rFonts w:ascii="Times New Roman" w:hAnsi="Times New Roman" w:eastAsia="宋体" w:cs="Times New Roman"/>
                <w:color w:val="000000"/>
                <w:kern w:val="0"/>
                <w:sz w:val="20"/>
                <w:szCs w:val="20"/>
                <w:highlight w:val="none"/>
              </w:rPr>
              <w:t>≥1000</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；可视角度：</w:t>
            </w:r>
            <w:r>
              <w:rPr>
                <w:rFonts w:ascii="Times New Roman" w:hAnsi="Times New Roman" w:eastAsia="宋体" w:cs="Times New Roman"/>
                <w:color w:val="000000"/>
                <w:kern w:val="0"/>
                <w:sz w:val="20"/>
                <w:szCs w:val="20"/>
                <w:highlight w:val="none"/>
              </w:rPr>
              <w:t>≥178°</w:t>
            </w:r>
            <w:r>
              <w:rPr>
                <w:rFonts w:hint="eastAsia" w:ascii="宋体" w:hAnsi="宋体" w:eastAsia="宋体" w:cs="宋体"/>
                <w:color w:val="000000"/>
                <w:kern w:val="0"/>
                <w:sz w:val="20"/>
                <w:szCs w:val="20"/>
                <w:highlight w:val="none"/>
              </w:rPr>
              <w:t>。</w:t>
            </w:r>
          </w:p>
          <w:p w14:paraId="6488A3AB">
            <w:pPr>
              <w:widowControl/>
              <w:jc w:val="left"/>
              <w:textAlignment w:val="center"/>
              <w:rPr>
                <w:rFonts w:hint="eastAsia" w:ascii="宋体" w:hAnsi="宋体" w:eastAsia="宋体" w:cs="宋体"/>
                <w:color w:val="000000"/>
                <w:kern w:val="0"/>
                <w:sz w:val="20"/>
                <w:szCs w:val="20"/>
                <w:highlight w:val="none"/>
              </w:rPr>
            </w:pPr>
            <w:r>
              <w:rPr>
                <w:rFonts w:ascii="Times New Roman" w:hAnsi="Times New Roman" w:eastAsia="宋体" w:cs="Times New Roman"/>
                <w:color w:val="000000"/>
                <w:kern w:val="0"/>
                <w:sz w:val="20"/>
                <w:szCs w:val="20"/>
                <w:highlight w:val="none"/>
              </w:rPr>
              <w:t>7.</w:t>
            </w:r>
            <w:r>
              <w:rPr>
                <w:rFonts w:hint="eastAsia" w:ascii="宋体" w:hAnsi="宋体" w:eastAsia="宋体" w:cs="宋体"/>
                <w:color w:val="000000"/>
                <w:kern w:val="0"/>
                <w:sz w:val="20"/>
                <w:szCs w:val="20"/>
                <w:highlight w:val="none"/>
              </w:rPr>
              <w:t>显示颜色：</w:t>
            </w:r>
            <w:r>
              <w:rPr>
                <w:rFonts w:ascii="Times New Roman" w:hAnsi="Times New Roman" w:eastAsia="宋体" w:cs="Times New Roman"/>
                <w:color w:val="000000"/>
                <w:kern w:val="0"/>
                <w:sz w:val="20"/>
                <w:szCs w:val="20"/>
                <w:highlight w:val="none"/>
              </w:rPr>
              <w:t>10bit</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1.07B Colors</w:t>
            </w:r>
            <w:r>
              <w:rPr>
                <w:rFonts w:hint="eastAsia" w:ascii="宋体" w:hAnsi="宋体" w:eastAsia="宋体" w:cs="宋体"/>
                <w:color w:val="000000"/>
                <w:kern w:val="0"/>
                <w:sz w:val="20"/>
                <w:szCs w:val="20"/>
                <w:highlight w:val="none"/>
              </w:rPr>
              <w:t>；透光率＞</w:t>
            </w:r>
            <w:r>
              <w:rPr>
                <w:rFonts w:ascii="Times New Roman" w:hAnsi="Times New Roman" w:eastAsia="宋体" w:cs="Times New Roman"/>
                <w:color w:val="000000"/>
                <w:kern w:val="0"/>
                <w:sz w:val="20"/>
                <w:szCs w:val="20"/>
                <w:highlight w:val="none"/>
              </w:rPr>
              <w:t>95%</w:t>
            </w:r>
            <w:r>
              <w:rPr>
                <w:rFonts w:hint="eastAsia" w:ascii="宋体" w:hAnsi="宋体" w:eastAsia="宋体" w:cs="宋体"/>
                <w:color w:val="000000"/>
                <w:kern w:val="0"/>
                <w:sz w:val="20"/>
                <w:szCs w:val="20"/>
                <w:highlight w:val="none"/>
              </w:rPr>
              <w:t>；色彩覆盖率：</w:t>
            </w:r>
            <w:r>
              <w:rPr>
                <w:rFonts w:ascii="Times New Roman" w:hAnsi="Times New Roman" w:eastAsia="宋体" w:cs="Times New Roman"/>
                <w:color w:val="000000"/>
                <w:kern w:val="0"/>
                <w:sz w:val="20"/>
                <w:szCs w:val="20"/>
                <w:highlight w:val="none"/>
              </w:rPr>
              <w:t>≥130%</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w:t>
            </w:r>
            <w:r>
              <w:rPr>
                <w:rFonts w:hint="eastAsia" w:ascii="宋体" w:hAnsi="宋体" w:eastAsia="宋体" w:cs="宋体"/>
                <w:color w:val="000000"/>
                <w:kern w:val="0"/>
                <w:sz w:val="20"/>
                <w:szCs w:val="20"/>
                <w:highlight w:val="none"/>
              </w:rPr>
              <w:t>屏幕表面采用</w:t>
            </w:r>
            <w:r>
              <w:rPr>
                <w:rFonts w:ascii="Times New Roman" w:hAnsi="Times New Roman" w:eastAsia="宋体" w:cs="Times New Roman"/>
                <w:color w:val="000000"/>
                <w:kern w:val="0"/>
                <w:sz w:val="20"/>
                <w:szCs w:val="20"/>
                <w:highlight w:val="none"/>
              </w:rPr>
              <w:t>≤3.2mm</w:t>
            </w:r>
            <w:r>
              <w:rPr>
                <w:rFonts w:hint="eastAsia" w:ascii="宋体" w:hAnsi="宋体" w:eastAsia="宋体" w:cs="宋体"/>
                <w:color w:val="000000"/>
                <w:kern w:val="0"/>
                <w:sz w:val="20"/>
                <w:szCs w:val="20"/>
                <w:highlight w:val="none"/>
              </w:rPr>
              <w:t>全钢化防眩光玻璃；表面硬度</w:t>
            </w:r>
            <w:r>
              <w:rPr>
                <w:rFonts w:ascii="Times New Roman" w:hAnsi="Times New Roman" w:eastAsia="宋体" w:cs="Times New Roman"/>
                <w:color w:val="000000"/>
                <w:kern w:val="0"/>
                <w:sz w:val="20"/>
                <w:szCs w:val="20"/>
                <w:highlight w:val="none"/>
              </w:rPr>
              <w:t>≥9H</w:t>
            </w:r>
            <w:r>
              <w:rPr>
                <w:rFonts w:hint="eastAsia" w:ascii="宋体" w:hAnsi="宋体" w:eastAsia="宋体" w:cs="宋体"/>
                <w:color w:val="000000"/>
                <w:kern w:val="0"/>
                <w:sz w:val="20"/>
                <w:szCs w:val="20"/>
                <w:highlight w:val="none"/>
              </w:rPr>
              <w:t>，使用</w:t>
            </w:r>
            <w:r>
              <w:rPr>
                <w:rFonts w:ascii="Times New Roman" w:hAnsi="Times New Roman" w:eastAsia="宋体" w:cs="Times New Roman"/>
                <w:color w:val="000000"/>
                <w:kern w:val="0"/>
                <w:sz w:val="20"/>
                <w:szCs w:val="20"/>
                <w:highlight w:val="none"/>
              </w:rPr>
              <w:t>≥1.5Kg</w:t>
            </w:r>
            <w:r>
              <w:rPr>
                <w:rFonts w:hint="eastAsia" w:ascii="宋体" w:hAnsi="宋体" w:eastAsia="宋体" w:cs="宋体"/>
                <w:color w:val="000000"/>
                <w:kern w:val="0"/>
                <w:sz w:val="20"/>
                <w:szCs w:val="20"/>
                <w:highlight w:val="none"/>
              </w:rPr>
              <w:t>钢珠</w:t>
            </w:r>
            <w:r>
              <w:rPr>
                <w:rFonts w:ascii="Times New Roman" w:hAnsi="Times New Roman" w:eastAsia="宋体" w:cs="Times New Roman"/>
                <w:color w:val="000000"/>
                <w:kern w:val="0"/>
                <w:sz w:val="20"/>
                <w:szCs w:val="20"/>
                <w:highlight w:val="none"/>
              </w:rPr>
              <w:t>≥2.0</w:t>
            </w:r>
            <w:r>
              <w:rPr>
                <w:rFonts w:hint="eastAsia" w:ascii="宋体" w:hAnsi="宋体" w:eastAsia="宋体" w:cs="宋体"/>
                <w:color w:val="000000"/>
                <w:kern w:val="0"/>
                <w:sz w:val="20"/>
                <w:szCs w:val="20"/>
                <w:highlight w:val="none"/>
              </w:rPr>
              <w:t>米高度进行自由落体撞击试验，防护钢化玻璃无损伤，功能无异常。（供应商提供由国家认可的第三方检验机构出具的有效检测报告进行佐证，检测报告的检测内容应当至少包含该项参数响应内容；检测报告须体现清晰可见的报告编号，且通过报告编号可在全国认证认可信息公共服务平台查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w:t>
            </w:r>
            <w:r>
              <w:rPr>
                <w:rFonts w:hint="eastAsia" w:ascii="宋体" w:hAnsi="宋体" w:eastAsia="宋体" w:cs="宋体"/>
                <w:color w:val="000000"/>
                <w:kern w:val="0"/>
                <w:sz w:val="20"/>
                <w:szCs w:val="20"/>
                <w:highlight w:val="none"/>
              </w:rPr>
              <w:t>触摸分辨率：</w:t>
            </w:r>
            <w:r>
              <w:rPr>
                <w:rFonts w:ascii="Times New Roman" w:hAnsi="Times New Roman" w:eastAsia="宋体" w:cs="Times New Roman"/>
                <w:color w:val="000000"/>
                <w:kern w:val="0"/>
                <w:sz w:val="20"/>
                <w:szCs w:val="20"/>
                <w:highlight w:val="none"/>
              </w:rPr>
              <w:t>≥32768*32768</w:t>
            </w:r>
            <w:r>
              <w:rPr>
                <w:rFonts w:hint="eastAsia" w:ascii="宋体" w:hAnsi="宋体" w:eastAsia="宋体" w:cs="宋体"/>
                <w:color w:val="000000"/>
                <w:kern w:val="0"/>
                <w:sz w:val="20"/>
                <w:szCs w:val="20"/>
                <w:highlight w:val="none"/>
              </w:rPr>
              <w:t>；触摸精准度：</w:t>
            </w:r>
            <w:r>
              <w:rPr>
                <w:rFonts w:ascii="Times New Roman" w:hAnsi="Times New Roman" w:eastAsia="宋体" w:cs="Times New Roman"/>
                <w:color w:val="000000"/>
                <w:kern w:val="0"/>
                <w:sz w:val="20"/>
                <w:szCs w:val="20"/>
                <w:highlight w:val="none"/>
              </w:rPr>
              <w:t>≤1mm</w:t>
            </w:r>
            <w:r>
              <w:rPr>
                <w:rFonts w:hint="eastAsia" w:ascii="宋体" w:hAnsi="宋体" w:eastAsia="宋体" w:cs="宋体"/>
                <w:color w:val="000000"/>
                <w:kern w:val="0"/>
                <w:sz w:val="20"/>
                <w:szCs w:val="20"/>
                <w:highlight w:val="none"/>
              </w:rPr>
              <w:t>；光标速度：</w:t>
            </w:r>
            <w:r>
              <w:rPr>
                <w:rFonts w:ascii="Times New Roman" w:hAnsi="Times New Roman" w:eastAsia="宋体" w:cs="Times New Roman"/>
                <w:color w:val="000000"/>
                <w:kern w:val="0"/>
                <w:sz w:val="20"/>
                <w:szCs w:val="20"/>
                <w:highlight w:val="none"/>
              </w:rPr>
              <w:t>≥300</w:t>
            </w:r>
            <w:r>
              <w:rPr>
                <w:rFonts w:hint="eastAsia" w:ascii="宋体" w:hAnsi="宋体" w:eastAsia="宋体" w:cs="宋体"/>
                <w:color w:val="000000"/>
                <w:kern w:val="0"/>
                <w:sz w:val="20"/>
                <w:szCs w:val="20"/>
                <w:highlight w:val="none"/>
              </w:rPr>
              <w:t>点</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秒；定位精度：</w:t>
            </w:r>
            <w:r>
              <w:rPr>
                <w:rFonts w:ascii="Times New Roman" w:hAnsi="Times New Roman" w:eastAsia="宋体" w:cs="Times New Roman"/>
                <w:color w:val="000000"/>
                <w:kern w:val="0"/>
                <w:sz w:val="20"/>
                <w:szCs w:val="20"/>
                <w:highlight w:val="none"/>
              </w:rPr>
              <w:t>≤1mm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w:t>
            </w:r>
            <w:r>
              <w:rPr>
                <w:rFonts w:hint="eastAsia" w:ascii="宋体" w:hAnsi="宋体" w:eastAsia="宋体" w:cs="宋体"/>
                <w:color w:val="000000"/>
                <w:kern w:val="0"/>
                <w:sz w:val="20"/>
                <w:szCs w:val="20"/>
                <w:highlight w:val="none"/>
              </w:rPr>
              <w:t>要求采用红外多点触摸感应技术，在</w:t>
            </w:r>
            <w:r>
              <w:rPr>
                <w:rFonts w:ascii="Times New Roman" w:hAnsi="Times New Roman" w:eastAsia="宋体" w:cs="Times New Roman"/>
                <w:color w:val="000000"/>
                <w:kern w:val="0"/>
                <w:sz w:val="20"/>
                <w:szCs w:val="20"/>
                <w:highlight w:val="none"/>
              </w:rPr>
              <w:t>Windows</w:t>
            </w:r>
            <w:r>
              <w:rPr>
                <w:rFonts w:hint="eastAsia" w:ascii="宋体" w:hAnsi="宋体" w:eastAsia="宋体" w:cs="宋体"/>
                <w:color w:val="000000"/>
                <w:kern w:val="0"/>
                <w:sz w:val="20"/>
                <w:szCs w:val="20"/>
                <w:highlight w:val="none"/>
              </w:rPr>
              <w:t>系统可支持</w:t>
            </w:r>
            <w:r>
              <w:rPr>
                <w:rFonts w:ascii="Times New Roman" w:hAnsi="Times New Roman" w:eastAsia="宋体" w:cs="Times New Roman"/>
                <w:color w:val="000000"/>
                <w:kern w:val="0"/>
                <w:sz w:val="20"/>
                <w:szCs w:val="20"/>
                <w:highlight w:val="none"/>
              </w:rPr>
              <w:t>≥40</w:t>
            </w:r>
            <w:r>
              <w:rPr>
                <w:rFonts w:hint="eastAsia" w:ascii="宋体" w:hAnsi="宋体" w:eastAsia="宋体" w:cs="宋体"/>
                <w:color w:val="000000"/>
                <w:kern w:val="0"/>
                <w:sz w:val="20"/>
                <w:szCs w:val="20"/>
                <w:highlight w:val="none"/>
              </w:rPr>
              <w:t>点触摸，在</w:t>
            </w:r>
            <w:r>
              <w:rPr>
                <w:rFonts w:ascii="Times New Roman" w:hAnsi="Times New Roman" w:eastAsia="宋体" w:cs="Times New Roman"/>
                <w:color w:val="000000"/>
                <w:kern w:val="0"/>
                <w:sz w:val="20"/>
                <w:szCs w:val="20"/>
                <w:highlight w:val="none"/>
              </w:rPr>
              <w:t>Android</w:t>
            </w:r>
            <w:r>
              <w:rPr>
                <w:rFonts w:hint="eastAsia" w:ascii="宋体" w:hAnsi="宋体" w:eastAsia="宋体" w:cs="宋体"/>
                <w:color w:val="000000"/>
                <w:kern w:val="0"/>
                <w:sz w:val="20"/>
                <w:szCs w:val="20"/>
                <w:highlight w:val="none"/>
              </w:rPr>
              <w:t>系统可支持</w:t>
            </w:r>
            <w:r>
              <w:rPr>
                <w:rFonts w:ascii="Times New Roman" w:hAnsi="Times New Roman" w:eastAsia="宋体" w:cs="Times New Roman"/>
                <w:color w:val="000000"/>
                <w:kern w:val="0"/>
                <w:sz w:val="20"/>
                <w:szCs w:val="20"/>
                <w:highlight w:val="none"/>
              </w:rPr>
              <w:t>≥20</w:t>
            </w:r>
            <w:r>
              <w:rPr>
                <w:rFonts w:hint="eastAsia" w:ascii="宋体" w:hAnsi="宋体" w:eastAsia="宋体" w:cs="宋体"/>
                <w:color w:val="000000"/>
                <w:kern w:val="0"/>
                <w:sz w:val="20"/>
                <w:szCs w:val="20"/>
                <w:highlight w:val="none"/>
              </w:rPr>
              <w:t>点触摸。</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w:t>
            </w:r>
            <w:r>
              <w:rPr>
                <w:rFonts w:hint="eastAsia" w:ascii="宋体" w:hAnsi="宋体" w:eastAsia="宋体" w:cs="宋体"/>
                <w:color w:val="000000"/>
                <w:kern w:val="0"/>
                <w:sz w:val="20"/>
                <w:szCs w:val="20"/>
                <w:highlight w:val="none"/>
              </w:rPr>
              <w:t>安卓系统配置：安卓系统</w:t>
            </w:r>
            <w:r>
              <w:rPr>
                <w:rFonts w:ascii="Times New Roman" w:hAnsi="Times New Roman" w:eastAsia="宋体" w:cs="Times New Roman"/>
                <w:color w:val="000000"/>
                <w:kern w:val="0"/>
                <w:sz w:val="20"/>
                <w:szCs w:val="20"/>
                <w:highlight w:val="none"/>
              </w:rPr>
              <w:t>≥13.0</w:t>
            </w:r>
            <w:r>
              <w:rPr>
                <w:rFonts w:hint="eastAsia" w:ascii="宋体" w:hAnsi="宋体" w:eastAsia="宋体" w:cs="宋体"/>
                <w:color w:val="000000"/>
                <w:kern w:val="0"/>
                <w:sz w:val="20"/>
                <w:szCs w:val="20"/>
                <w:highlight w:val="none"/>
              </w:rPr>
              <w:t>，内存</w:t>
            </w:r>
            <w:r>
              <w:rPr>
                <w:rFonts w:ascii="Times New Roman" w:hAnsi="Times New Roman" w:eastAsia="宋体" w:cs="Times New Roman"/>
                <w:color w:val="000000"/>
                <w:kern w:val="0"/>
                <w:sz w:val="20"/>
                <w:szCs w:val="20"/>
                <w:highlight w:val="none"/>
              </w:rPr>
              <w:t>≥4G</w:t>
            </w:r>
            <w:r>
              <w:rPr>
                <w:rFonts w:hint="eastAsia" w:ascii="宋体" w:hAnsi="宋体" w:eastAsia="宋体" w:cs="宋体"/>
                <w:color w:val="000000"/>
                <w:kern w:val="0"/>
                <w:sz w:val="20"/>
                <w:szCs w:val="20"/>
                <w:highlight w:val="none"/>
              </w:rPr>
              <w:t>，存储内置</w:t>
            </w:r>
            <w:r>
              <w:rPr>
                <w:rFonts w:ascii="Times New Roman" w:hAnsi="Times New Roman" w:eastAsia="宋体" w:cs="Times New Roman"/>
                <w:color w:val="000000"/>
                <w:kern w:val="0"/>
                <w:sz w:val="20"/>
                <w:szCs w:val="20"/>
                <w:highlight w:val="none"/>
              </w:rPr>
              <w:t>≥32G</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w:t>
            </w:r>
            <w:r>
              <w:rPr>
                <w:rFonts w:hint="eastAsia" w:ascii="宋体" w:hAnsi="宋体" w:eastAsia="宋体" w:cs="宋体"/>
                <w:color w:val="000000"/>
                <w:kern w:val="0"/>
                <w:sz w:val="20"/>
                <w:szCs w:val="20"/>
                <w:highlight w:val="none"/>
              </w:rPr>
              <w:t>具备通屏笔槽设计，便于放置粉笔、书写笔等小件物品；前置</w:t>
            </w:r>
            <w:r>
              <w:rPr>
                <w:rFonts w:ascii="Times New Roman" w:hAnsi="Times New Roman" w:eastAsia="宋体" w:cs="Times New Roman"/>
                <w:color w:val="000000"/>
                <w:kern w:val="0"/>
                <w:sz w:val="20"/>
                <w:szCs w:val="20"/>
                <w:highlight w:val="none"/>
              </w:rPr>
              <w:t>≥9</w:t>
            </w:r>
            <w:r>
              <w:rPr>
                <w:rFonts w:hint="eastAsia" w:ascii="宋体" w:hAnsi="宋体" w:eastAsia="宋体" w:cs="宋体"/>
                <w:color w:val="000000"/>
                <w:kern w:val="0"/>
                <w:sz w:val="20"/>
                <w:szCs w:val="20"/>
                <w:highlight w:val="none"/>
              </w:rPr>
              <w:t>个物理按键，至少具备电源、主页、护眼、信号源、触控、音量</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、音量</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PC</w:t>
            </w:r>
            <w:r>
              <w:rPr>
                <w:rFonts w:hint="eastAsia" w:ascii="宋体" w:hAnsi="宋体" w:eastAsia="宋体" w:cs="宋体"/>
                <w:color w:val="000000"/>
                <w:kern w:val="0"/>
                <w:sz w:val="20"/>
                <w:szCs w:val="20"/>
                <w:highlight w:val="none"/>
              </w:rPr>
              <w:t>、自定义等按键功能；同时前置常用外接接口：</w:t>
            </w:r>
            <w:r>
              <w:rPr>
                <w:rFonts w:ascii="Times New Roman" w:hAnsi="Times New Roman" w:eastAsia="宋体" w:cs="Times New Roman"/>
                <w:color w:val="000000"/>
                <w:kern w:val="0"/>
                <w:sz w:val="20"/>
                <w:szCs w:val="20"/>
                <w:highlight w:val="none"/>
              </w:rPr>
              <w:t>USB</w:t>
            </w:r>
            <w:r>
              <w:rPr>
                <w:rFonts w:hint="eastAsia" w:ascii="宋体" w:hAnsi="宋体" w:eastAsia="宋体" w:cs="宋体"/>
                <w:color w:val="000000"/>
                <w:kern w:val="0"/>
                <w:sz w:val="20"/>
                <w:szCs w:val="20"/>
                <w:highlight w:val="none"/>
              </w:rPr>
              <w:t>接口</w:t>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路、</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接口</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路、</w:t>
            </w:r>
            <w:r>
              <w:rPr>
                <w:rFonts w:ascii="Times New Roman" w:hAnsi="Times New Roman" w:eastAsia="宋体" w:cs="Times New Roman"/>
                <w:color w:val="000000"/>
                <w:kern w:val="0"/>
                <w:sz w:val="20"/>
                <w:szCs w:val="20"/>
                <w:highlight w:val="none"/>
              </w:rPr>
              <w:t>HDMI</w:t>
            </w:r>
            <w:r>
              <w:rPr>
                <w:rFonts w:hint="eastAsia" w:ascii="宋体" w:hAnsi="宋体" w:eastAsia="宋体" w:cs="宋体"/>
                <w:color w:val="000000"/>
                <w:kern w:val="0"/>
                <w:sz w:val="20"/>
                <w:szCs w:val="20"/>
                <w:highlight w:val="none"/>
              </w:rPr>
              <w:t>接口</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路、</w:t>
            </w:r>
            <w:r>
              <w:rPr>
                <w:rFonts w:ascii="Times New Roman" w:hAnsi="Times New Roman" w:eastAsia="宋体" w:cs="Times New Roman"/>
                <w:color w:val="000000"/>
                <w:kern w:val="0"/>
                <w:sz w:val="20"/>
                <w:szCs w:val="20"/>
                <w:highlight w:val="none"/>
              </w:rPr>
              <w:t>Touch USB</w:t>
            </w:r>
            <w:r>
              <w:rPr>
                <w:rFonts w:hint="eastAsia" w:ascii="宋体" w:hAnsi="宋体" w:eastAsia="宋体" w:cs="宋体"/>
                <w:color w:val="000000"/>
                <w:kern w:val="0"/>
                <w:sz w:val="20"/>
                <w:szCs w:val="20"/>
                <w:highlight w:val="none"/>
              </w:rPr>
              <w:t>接口</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路，前置接口采用隐藏式内嵌结构，须具备防撞挡板保护，使用时通过按压打开挡板，不使用时合上挡板，阻挡灰尘、水汽。（投标文件需提供整机实物照片加盖公章，照片需体现以上参数要求）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w:t>
            </w:r>
            <w:r>
              <w:rPr>
                <w:rFonts w:hint="eastAsia" w:ascii="宋体" w:hAnsi="宋体" w:eastAsia="宋体" w:cs="宋体"/>
                <w:color w:val="000000"/>
                <w:kern w:val="0"/>
                <w:sz w:val="20"/>
                <w:szCs w:val="20"/>
                <w:highlight w:val="none"/>
              </w:rPr>
              <w:t>整机具备前置</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，通过</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接口实现音视频输入，外接电脑设备通过标准</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线连接至整机</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口，即可把外接电脑设备画面投到整机上，同时在整机上操作画面，可实现触摸电脑的操作，无需再连接触控</w:t>
            </w:r>
            <w:r>
              <w:rPr>
                <w:rFonts w:ascii="Times New Roman" w:hAnsi="Times New Roman" w:eastAsia="宋体" w:cs="Times New Roman"/>
                <w:color w:val="000000"/>
                <w:kern w:val="0"/>
                <w:sz w:val="20"/>
                <w:szCs w:val="20"/>
                <w:highlight w:val="none"/>
              </w:rPr>
              <w:t>USB</w:t>
            </w:r>
            <w:r>
              <w:rPr>
                <w:rFonts w:hint="eastAsia" w:ascii="宋体" w:hAnsi="宋体" w:eastAsia="宋体" w:cs="宋体"/>
                <w:color w:val="000000"/>
                <w:kern w:val="0"/>
                <w:sz w:val="20"/>
                <w:szCs w:val="20"/>
                <w:highlight w:val="none"/>
              </w:rPr>
              <w:t>线。当教学中使用外接电脑，外接电脑的摄像头、麦克风无法满足教学需求时，外接电脑设备通过</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线连接至整机</w:t>
            </w:r>
            <w:r>
              <w:rPr>
                <w:rFonts w:ascii="Times New Roman" w:hAnsi="Times New Roman" w:eastAsia="宋体" w:cs="Times New Roman"/>
                <w:color w:val="000000"/>
                <w:kern w:val="0"/>
                <w:sz w:val="20"/>
                <w:szCs w:val="20"/>
                <w:highlight w:val="none"/>
              </w:rPr>
              <w:t>Type-C</w:t>
            </w:r>
            <w:r>
              <w:rPr>
                <w:rFonts w:hint="eastAsia" w:ascii="宋体" w:hAnsi="宋体" w:eastAsia="宋体" w:cs="宋体"/>
                <w:color w:val="000000"/>
                <w:kern w:val="0"/>
                <w:sz w:val="20"/>
                <w:szCs w:val="20"/>
                <w:highlight w:val="none"/>
              </w:rPr>
              <w:t>口，可直接调用整机内置的摄像头、麦克风、扬声器，在外接电脑可拍摄教室画面。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w:t>
            </w:r>
            <w:r>
              <w:rPr>
                <w:rFonts w:hint="eastAsia" w:ascii="宋体" w:hAnsi="宋体" w:eastAsia="宋体" w:cs="宋体"/>
                <w:color w:val="000000"/>
                <w:kern w:val="0"/>
                <w:sz w:val="20"/>
                <w:szCs w:val="20"/>
                <w:highlight w:val="none"/>
              </w:rPr>
              <w:t>整机内置高清摄像头，非外接摄像头不占用设备接口，外部无可见连接线，可拍摄不低于</w:t>
            </w:r>
            <w:r>
              <w:rPr>
                <w:rFonts w:ascii="Times New Roman" w:hAnsi="Times New Roman" w:eastAsia="宋体" w:cs="Times New Roman"/>
                <w:color w:val="000000"/>
                <w:kern w:val="0"/>
                <w:sz w:val="20"/>
                <w:szCs w:val="20"/>
                <w:highlight w:val="none"/>
              </w:rPr>
              <w:t>1300</w:t>
            </w:r>
            <w:r>
              <w:rPr>
                <w:rFonts w:hint="eastAsia" w:ascii="宋体" w:hAnsi="宋体" w:eastAsia="宋体" w:cs="宋体"/>
                <w:color w:val="000000"/>
                <w:kern w:val="0"/>
                <w:sz w:val="20"/>
                <w:szCs w:val="20"/>
                <w:highlight w:val="none"/>
              </w:rPr>
              <w:t>万像素数的照片，对角角度</w:t>
            </w:r>
            <w:r>
              <w:rPr>
                <w:rFonts w:ascii="Times New Roman" w:hAnsi="Times New Roman" w:eastAsia="宋体" w:cs="Times New Roman"/>
                <w:color w:val="000000"/>
                <w:kern w:val="0"/>
                <w:sz w:val="20"/>
                <w:szCs w:val="20"/>
                <w:highlight w:val="none"/>
              </w:rPr>
              <w:t>≥135°</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w:t>
            </w:r>
            <w:r>
              <w:rPr>
                <w:rFonts w:hint="eastAsia" w:ascii="宋体" w:hAnsi="宋体" w:eastAsia="宋体" w:cs="宋体"/>
                <w:color w:val="000000"/>
                <w:kern w:val="0"/>
                <w:sz w:val="20"/>
                <w:szCs w:val="20"/>
                <w:highlight w:val="none"/>
              </w:rPr>
              <w:t>设备可设置开机默认通道，在任意通道关机时可实现设置的默认通道开机。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w:t>
            </w:r>
            <w:r>
              <w:rPr>
                <w:rFonts w:hint="eastAsia" w:ascii="宋体" w:hAnsi="宋体" w:eastAsia="宋体" w:cs="宋体"/>
                <w:color w:val="000000"/>
                <w:kern w:val="0"/>
                <w:sz w:val="20"/>
                <w:szCs w:val="20"/>
                <w:highlight w:val="none"/>
              </w:rPr>
              <w:t>整机在振动台上频率</w:t>
            </w:r>
            <w:r>
              <w:rPr>
                <w:rFonts w:ascii="Times New Roman" w:hAnsi="Times New Roman" w:eastAsia="宋体" w:cs="Times New Roman"/>
                <w:color w:val="000000"/>
                <w:kern w:val="0"/>
                <w:sz w:val="20"/>
                <w:szCs w:val="20"/>
                <w:highlight w:val="none"/>
              </w:rPr>
              <w:t xml:space="preserve"> 5-50Hz, </w:t>
            </w:r>
            <w:r>
              <w:rPr>
                <w:rFonts w:hint="eastAsia" w:ascii="宋体" w:hAnsi="宋体" w:eastAsia="宋体" w:cs="宋体"/>
                <w:color w:val="000000"/>
                <w:kern w:val="0"/>
                <w:sz w:val="20"/>
                <w:szCs w:val="20"/>
                <w:highlight w:val="none"/>
              </w:rPr>
              <w:t>振动方向</w:t>
            </w:r>
            <w:r>
              <w:rPr>
                <w:rFonts w:ascii="Times New Roman" w:hAnsi="Times New Roman" w:eastAsia="宋体" w:cs="Times New Roman"/>
                <w:color w:val="000000"/>
                <w:kern w:val="0"/>
                <w:sz w:val="20"/>
                <w:szCs w:val="20"/>
                <w:highlight w:val="none"/>
              </w:rPr>
              <w:t xml:space="preserve"> X</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Y</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 xml:space="preserve">Z </w:t>
            </w:r>
            <w:r>
              <w:rPr>
                <w:rFonts w:hint="eastAsia" w:ascii="宋体" w:hAnsi="宋体" w:eastAsia="宋体" w:cs="宋体"/>
                <w:color w:val="000000"/>
                <w:kern w:val="0"/>
                <w:sz w:val="20"/>
                <w:szCs w:val="20"/>
                <w:highlight w:val="none"/>
              </w:rPr>
              <w:t>三个方向的上下（</w:t>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度测试）</w:t>
            </w:r>
            <w:r>
              <w:rPr>
                <w:rFonts w:ascii="Times New Roman" w:hAnsi="Times New Roman" w:eastAsia="宋体" w:cs="Times New Roman"/>
                <w:color w:val="000000"/>
                <w:kern w:val="0"/>
                <w:sz w:val="20"/>
                <w:szCs w:val="20"/>
                <w:highlight w:val="none"/>
              </w:rPr>
              <w:t xml:space="preserve">≥60 </w:t>
            </w:r>
            <w:r>
              <w:rPr>
                <w:rFonts w:hint="eastAsia" w:ascii="宋体" w:hAnsi="宋体" w:eastAsia="宋体" w:cs="宋体"/>
                <w:color w:val="000000"/>
                <w:kern w:val="0"/>
                <w:sz w:val="20"/>
                <w:szCs w:val="20"/>
                <w:highlight w:val="none"/>
              </w:rPr>
              <w:t>分钟的振动试验，外观无损伤、破裂、部件松动，整机可正常运行。</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w:t>
            </w:r>
            <w:r>
              <w:rPr>
                <w:rFonts w:hint="eastAsia" w:ascii="宋体" w:hAnsi="宋体" w:eastAsia="宋体" w:cs="宋体"/>
                <w:color w:val="000000"/>
                <w:kern w:val="0"/>
                <w:sz w:val="20"/>
                <w:szCs w:val="20"/>
                <w:highlight w:val="none"/>
              </w:rPr>
              <w:t>触摸次数</w:t>
            </w:r>
            <w:r>
              <w:rPr>
                <w:rFonts w:ascii="Times New Roman" w:hAnsi="Times New Roman" w:eastAsia="宋体" w:cs="Times New Roman"/>
                <w:color w:val="000000"/>
                <w:kern w:val="0"/>
                <w:sz w:val="20"/>
                <w:szCs w:val="20"/>
                <w:highlight w:val="none"/>
              </w:rPr>
              <w:t xml:space="preserve">≥80,000,000 </w:t>
            </w:r>
            <w:r>
              <w:rPr>
                <w:rFonts w:hint="eastAsia" w:ascii="宋体" w:hAnsi="宋体" w:eastAsia="宋体" w:cs="宋体"/>
                <w:color w:val="000000"/>
                <w:kern w:val="0"/>
                <w:sz w:val="20"/>
                <w:szCs w:val="20"/>
                <w:highlight w:val="none"/>
              </w:rPr>
              <w:t>次点击</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18.</w:t>
            </w:r>
            <w:r>
              <w:rPr>
                <w:rFonts w:hint="eastAsia" w:ascii="宋体" w:hAnsi="宋体" w:eastAsia="宋体" w:cs="宋体"/>
                <w:color w:val="000000"/>
                <w:kern w:val="0"/>
                <w:sz w:val="20"/>
                <w:szCs w:val="20"/>
                <w:highlight w:val="none"/>
              </w:rPr>
              <w:t>高温高湿：高温工作状态，（</w:t>
            </w:r>
            <w:r>
              <w:rPr>
                <w:rFonts w:ascii="Times New Roman" w:hAnsi="Times New Roman" w:eastAsia="宋体" w:cs="Times New Roman"/>
                <w:color w:val="000000"/>
                <w:kern w:val="0"/>
                <w:sz w:val="20"/>
                <w:szCs w:val="20"/>
                <w:highlight w:val="none"/>
              </w:rPr>
              <w:t>85℃±3℃</w:t>
            </w:r>
            <w:r>
              <w:rPr>
                <w:rFonts w:hint="eastAsia" w:ascii="宋体" w:hAnsi="宋体" w:eastAsia="宋体" w:cs="宋体"/>
                <w:color w:val="000000"/>
                <w:kern w:val="0"/>
                <w:sz w:val="20"/>
                <w:szCs w:val="20"/>
                <w:highlight w:val="none"/>
              </w:rPr>
              <w:t>）工作</w:t>
            </w:r>
            <w:r>
              <w:rPr>
                <w:rFonts w:ascii="Times New Roman" w:hAnsi="Times New Roman" w:eastAsia="宋体" w:cs="Times New Roman"/>
                <w:color w:val="000000"/>
                <w:kern w:val="0"/>
                <w:sz w:val="20"/>
                <w:szCs w:val="20"/>
                <w:highlight w:val="none"/>
              </w:rPr>
              <w:t>≥7H</w:t>
            </w:r>
            <w:r>
              <w:rPr>
                <w:rFonts w:hint="eastAsia" w:ascii="宋体" w:hAnsi="宋体" w:eastAsia="宋体" w:cs="宋体"/>
                <w:color w:val="000000"/>
                <w:kern w:val="0"/>
                <w:sz w:val="20"/>
                <w:szCs w:val="20"/>
                <w:highlight w:val="none"/>
              </w:rPr>
              <w:t>，低温（</w:t>
            </w:r>
            <w:r>
              <w:rPr>
                <w:rFonts w:ascii="Times New Roman" w:hAnsi="Times New Roman" w:eastAsia="宋体" w:cs="Times New Roman"/>
                <w:color w:val="000000"/>
                <w:kern w:val="0"/>
                <w:sz w:val="20"/>
                <w:szCs w:val="20"/>
                <w:highlight w:val="none"/>
              </w:rPr>
              <w:t>-20℃±3℃</w:t>
            </w:r>
            <w:r>
              <w:rPr>
                <w:rFonts w:hint="eastAsia" w:ascii="宋体" w:hAnsi="宋体" w:eastAsia="宋体" w:cs="宋体"/>
                <w:color w:val="000000"/>
                <w:kern w:val="0"/>
                <w:sz w:val="20"/>
                <w:szCs w:val="20"/>
                <w:highlight w:val="none"/>
              </w:rPr>
              <w:t>），湿度</w:t>
            </w:r>
            <w:r>
              <w:rPr>
                <w:rFonts w:ascii="Times New Roman" w:hAnsi="Times New Roman" w:eastAsia="宋体" w:cs="Times New Roman"/>
                <w:color w:val="000000"/>
                <w:kern w:val="0"/>
                <w:sz w:val="20"/>
                <w:szCs w:val="20"/>
                <w:highlight w:val="none"/>
              </w:rPr>
              <w:t>≥85%PH</w:t>
            </w:r>
            <w:r>
              <w:rPr>
                <w:rFonts w:hint="eastAsia" w:ascii="宋体" w:hAnsi="宋体" w:eastAsia="宋体" w:cs="宋体"/>
                <w:color w:val="000000"/>
                <w:kern w:val="0"/>
                <w:sz w:val="20"/>
                <w:szCs w:val="20"/>
                <w:highlight w:val="none"/>
              </w:rPr>
              <w:t>，各工作</w:t>
            </w:r>
            <w:r>
              <w:rPr>
                <w:rFonts w:ascii="Times New Roman" w:hAnsi="Times New Roman" w:eastAsia="宋体" w:cs="Times New Roman"/>
                <w:color w:val="000000"/>
                <w:kern w:val="0"/>
                <w:sz w:val="20"/>
                <w:szCs w:val="20"/>
                <w:highlight w:val="none"/>
              </w:rPr>
              <w:t>≥7H</w:t>
            </w:r>
            <w:r>
              <w:rPr>
                <w:rFonts w:hint="eastAsia" w:ascii="宋体" w:hAnsi="宋体" w:eastAsia="宋体" w:cs="宋体"/>
                <w:color w:val="000000"/>
                <w:kern w:val="0"/>
                <w:sz w:val="20"/>
                <w:szCs w:val="20"/>
                <w:highlight w:val="none"/>
              </w:rPr>
              <w:t>，高温结束后，常温</w:t>
            </w:r>
            <w:r>
              <w:rPr>
                <w:rFonts w:ascii="Times New Roman" w:hAnsi="Times New Roman" w:eastAsia="宋体" w:cs="Times New Roman"/>
                <w:color w:val="000000"/>
                <w:kern w:val="0"/>
                <w:sz w:val="20"/>
                <w:szCs w:val="20"/>
                <w:highlight w:val="none"/>
              </w:rPr>
              <w:t>2H</w:t>
            </w:r>
            <w:r>
              <w:rPr>
                <w:rFonts w:hint="eastAsia" w:ascii="宋体" w:hAnsi="宋体" w:eastAsia="宋体" w:cs="宋体"/>
                <w:color w:val="000000"/>
                <w:kern w:val="0"/>
                <w:sz w:val="20"/>
                <w:szCs w:val="20"/>
                <w:highlight w:val="none"/>
              </w:rPr>
              <w:t>后进行低温测试。高低温工作结束后立即进行检查外观。常温恢复</w:t>
            </w:r>
            <w:r>
              <w:rPr>
                <w:rFonts w:ascii="Times New Roman" w:hAnsi="Times New Roman" w:eastAsia="宋体" w:cs="Times New Roman"/>
                <w:color w:val="000000"/>
                <w:kern w:val="0"/>
                <w:sz w:val="20"/>
                <w:szCs w:val="20"/>
                <w:highlight w:val="none"/>
              </w:rPr>
              <w:t>2H</w:t>
            </w:r>
            <w:r>
              <w:rPr>
                <w:rFonts w:hint="eastAsia" w:ascii="宋体" w:hAnsi="宋体" w:eastAsia="宋体" w:cs="宋体"/>
                <w:color w:val="000000"/>
                <w:kern w:val="0"/>
                <w:sz w:val="20"/>
                <w:szCs w:val="20"/>
                <w:highlight w:val="none"/>
              </w:rPr>
              <w:t>后再次进行外观、功能检查，需无异常。</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19.</w:t>
            </w:r>
            <w:bookmarkStart w:id="159" w:name="OLE_LINK1"/>
            <w:bookmarkStart w:id="160" w:name="OLE_LINK2"/>
            <w:r>
              <w:rPr>
                <w:rFonts w:ascii="Times New Roman" w:hAnsi="Times New Roman" w:eastAsia="宋体" w:cs="Times New Roman"/>
                <w:color w:val="000000"/>
                <w:kern w:val="0"/>
                <w:sz w:val="20"/>
                <w:szCs w:val="20"/>
                <w:highlight w:val="none"/>
              </w:rPr>
              <w:t>▲</w:t>
            </w:r>
            <w:bookmarkEnd w:id="159"/>
            <w:bookmarkEnd w:id="160"/>
            <w:r>
              <w:rPr>
                <w:rFonts w:hint="eastAsia" w:ascii="宋体" w:hAnsi="宋体" w:eastAsia="宋体" w:cs="宋体"/>
                <w:color w:val="000000"/>
                <w:kern w:val="0"/>
                <w:sz w:val="20"/>
                <w:szCs w:val="20"/>
                <w:highlight w:val="none"/>
              </w:rPr>
              <w:t>整机按照</w:t>
            </w:r>
            <w:r>
              <w:rPr>
                <w:rFonts w:ascii="Times New Roman" w:hAnsi="Times New Roman" w:eastAsia="宋体" w:cs="Times New Roman"/>
                <w:color w:val="000000"/>
                <w:kern w:val="0"/>
                <w:sz w:val="20"/>
                <w:szCs w:val="20"/>
                <w:highlight w:val="none"/>
              </w:rPr>
              <w:t>GB/T 18978.307-2015</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GB/T 20145-2006</w:t>
            </w:r>
            <w:r>
              <w:rPr>
                <w:rFonts w:hint="eastAsia" w:ascii="宋体" w:hAnsi="宋体" w:eastAsia="宋体" w:cs="宋体"/>
                <w:color w:val="000000"/>
                <w:kern w:val="0"/>
                <w:sz w:val="20"/>
                <w:szCs w:val="20"/>
                <w:highlight w:val="none"/>
              </w:rPr>
              <w:t>等相关规范进行测试，符合</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无频闪效应</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和</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无蓝光危险</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的要求。（供应商提供由国家认可的第三方检验机构出具的有效检测报告进行佐证，检测报告的检测内容应当至少包含该项参数响应内容；检测报告须体现清晰可见的报告编号，且通过报告编号可在全国认证认可信息公共服务平台查询）</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二、内置电脑模块</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要求标准的</w:t>
            </w:r>
            <w:r>
              <w:rPr>
                <w:rFonts w:ascii="Times New Roman" w:hAnsi="Times New Roman" w:eastAsia="宋体" w:cs="Times New Roman"/>
                <w:color w:val="000000"/>
                <w:kern w:val="0"/>
                <w:sz w:val="20"/>
                <w:szCs w:val="20"/>
                <w:highlight w:val="none"/>
              </w:rPr>
              <w:t>80</w:t>
            </w:r>
            <w:r>
              <w:rPr>
                <w:rFonts w:hint="eastAsia" w:ascii="宋体" w:hAnsi="宋体" w:eastAsia="宋体" w:cs="宋体"/>
                <w:color w:val="000000"/>
                <w:kern w:val="0"/>
                <w:sz w:val="20"/>
                <w:szCs w:val="20"/>
                <w:highlight w:val="none"/>
              </w:rPr>
              <w:t>针可拔插式电脑</w:t>
            </w:r>
            <w:r>
              <w:rPr>
                <w:rFonts w:ascii="Times New Roman" w:hAnsi="Times New Roman" w:eastAsia="宋体" w:cs="Times New Roman"/>
                <w:color w:val="000000"/>
                <w:kern w:val="0"/>
                <w:sz w:val="20"/>
                <w:szCs w:val="20"/>
                <w:highlight w:val="none"/>
              </w:rPr>
              <w:t>OPS</w:t>
            </w:r>
            <w:r>
              <w:rPr>
                <w:rFonts w:hint="eastAsia" w:ascii="宋体" w:hAnsi="宋体" w:eastAsia="宋体" w:cs="宋体"/>
                <w:color w:val="000000"/>
                <w:kern w:val="0"/>
                <w:sz w:val="20"/>
                <w:szCs w:val="20"/>
                <w:highlight w:val="none"/>
              </w:rPr>
              <w:t>电脑，采用模块化电脑方案，</w:t>
            </w:r>
            <w:r>
              <w:rPr>
                <w:rFonts w:ascii="Times New Roman" w:hAnsi="Times New Roman" w:eastAsia="宋体" w:cs="Times New Roman"/>
                <w:color w:val="000000"/>
                <w:kern w:val="0"/>
                <w:sz w:val="20"/>
                <w:szCs w:val="20"/>
                <w:highlight w:val="none"/>
              </w:rPr>
              <w:t>PC</w:t>
            </w:r>
            <w:r>
              <w:rPr>
                <w:rFonts w:hint="eastAsia" w:ascii="宋体" w:hAnsi="宋体" w:eastAsia="宋体" w:cs="宋体"/>
                <w:color w:val="000000"/>
                <w:kern w:val="0"/>
                <w:sz w:val="20"/>
                <w:szCs w:val="20"/>
                <w:highlight w:val="none"/>
              </w:rPr>
              <w:t>模块按压式插入整机，无任何裸露，无需工具即可快速拆卸电脑模块。</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处理器性能参考不低于：</w:t>
            </w:r>
            <w:r>
              <w:rPr>
                <w:rFonts w:ascii="Times New Roman" w:hAnsi="Times New Roman" w:eastAsia="宋体" w:cs="Times New Roman"/>
                <w:color w:val="000000"/>
                <w:kern w:val="0"/>
                <w:sz w:val="20"/>
                <w:szCs w:val="20"/>
                <w:highlight w:val="none"/>
              </w:rPr>
              <w:t>≥Intel i5</w:t>
            </w:r>
            <w:r>
              <w:rPr>
                <w:rFonts w:hint="eastAsia" w:ascii="宋体" w:hAnsi="宋体" w:eastAsia="宋体" w:cs="宋体"/>
                <w:color w:val="000000"/>
                <w:kern w:val="0"/>
                <w:sz w:val="20"/>
                <w:szCs w:val="20"/>
                <w:highlight w:val="none"/>
              </w:rPr>
              <w:t>十二代性能相当或以上；内存：</w:t>
            </w:r>
            <w:r>
              <w:rPr>
                <w:rFonts w:ascii="Times New Roman" w:hAnsi="Times New Roman" w:eastAsia="宋体" w:cs="Times New Roman"/>
                <w:color w:val="000000"/>
                <w:kern w:val="0"/>
                <w:sz w:val="20"/>
                <w:szCs w:val="20"/>
                <w:highlight w:val="none"/>
              </w:rPr>
              <w:t>≥8GB</w:t>
            </w:r>
            <w:r>
              <w:rPr>
                <w:rFonts w:hint="eastAsia" w:ascii="宋体" w:hAnsi="宋体" w:eastAsia="宋体" w:cs="宋体"/>
                <w:color w:val="000000"/>
                <w:kern w:val="0"/>
                <w:sz w:val="20"/>
                <w:szCs w:val="20"/>
                <w:highlight w:val="none"/>
              </w:rPr>
              <w:t>；硬盘：</w:t>
            </w:r>
            <w:r>
              <w:rPr>
                <w:rFonts w:ascii="Times New Roman" w:hAnsi="Times New Roman" w:eastAsia="宋体" w:cs="Times New Roman"/>
                <w:color w:val="000000"/>
                <w:kern w:val="0"/>
                <w:sz w:val="20"/>
                <w:szCs w:val="20"/>
                <w:highlight w:val="none"/>
              </w:rPr>
              <w:t xml:space="preserve">≥256GB </w:t>
            </w:r>
            <w:r>
              <w:rPr>
                <w:rFonts w:hint="eastAsia" w:ascii="宋体" w:hAnsi="宋体" w:eastAsia="宋体" w:cs="宋体"/>
                <w:color w:val="000000"/>
                <w:kern w:val="0"/>
                <w:sz w:val="20"/>
                <w:szCs w:val="20"/>
                <w:highlight w:val="none"/>
              </w:rPr>
              <w:t>固态硬盘；</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模块具有多个独立非外扩展的电脑</w:t>
            </w:r>
            <w:r>
              <w:rPr>
                <w:rFonts w:ascii="Times New Roman" w:hAnsi="Times New Roman" w:eastAsia="宋体" w:cs="Times New Roman"/>
                <w:color w:val="000000"/>
                <w:kern w:val="0"/>
                <w:sz w:val="20"/>
                <w:szCs w:val="20"/>
                <w:highlight w:val="none"/>
              </w:rPr>
              <w:t>USB</w:t>
            </w:r>
            <w:r>
              <w:rPr>
                <w:rFonts w:hint="eastAsia" w:ascii="宋体" w:hAnsi="宋体" w:eastAsia="宋体" w:cs="宋体"/>
                <w:color w:val="000000"/>
                <w:kern w:val="0"/>
                <w:sz w:val="20"/>
                <w:szCs w:val="20"/>
                <w:highlight w:val="none"/>
              </w:rPr>
              <w:t>接口：电脑上至少有</w:t>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个</w:t>
            </w:r>
            <w:r>
              <w:rPr>
                <w:rFonts w:ascii="Times New Roman" w:hAnsi="Times New Roman" w:eastAsia="宋体" w:cs="Times New Roman"/>
                <w:color w:val="000000"/>
                <w:kern w:val="0"/>
                <w:sz w:val="20"/>
                <w:szCs w:val="20"/>
                <w:highlight w:val="none"/>
              </w:rPr>
              <w:t>USB</w:t>
            </w:r>
            <w:r>
              <w:rPr>
                <w:rFonts w:hint="eastAsia" w:ascii="宋体" w:hAnsi="宋体" w:eastAsia="宋体" w:cs="宋体"/>
                <w:color w:val="000000"/>
                <w:kern w:val="0"/>
                <w:sz w:val="20"/>
                <w:szCs w:val="20"/>
                <w:highlight w:val="none"/>
              </w:rPr>
              <w:t>接口（其中不少于</w:t>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路</w:t>
            </w:r>
            <w:r>
              <w:rPr>
                <w:rFonts w:ascii="Times New Roman" w:hAnsi="Times New Roman" w:eastAsia="宋体" w:cs="Times New Roman"/>
                <w:color w:val="000000"/>
                <w:kern w:val="0"/>
                <w:sz w:val="20"/>
                <w:szCs w:val="20"/>
                <w:highlight w:val="none"/>
              </w:rPr>
              <w:t>USB 3.0</w:t>
            </w:r>
            <w:r>
              <w:rPr>
                <w:rFonts w:hint="eastAsia" w:ascii="宋体" w:hAnsi="宋体" w:eastAsia="宋体" w:cs="宋体"/>
                <w:color w:val="000000"/>
                <w:kern w:val="0"/>
                <w:sz w:val="20"/>
                <w:szCs w:val="20"/>
                <w:highlight w:val="none"/>
              </w:rPr>
              <w:t>），具有独立非外扩展的视频输出接口：</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路</w:t>
            </w:r>
            <w:r>
              <w:rPr>
                <w:rFonts w:ascii="Times New Roman" w:hAnsi="Times New Roman" w:eastAsia="宋体" w:cs="Times New Roman"/>
                <w:color w:val="000000"/>
                <w:kern w:val="0"/>
                <w:sz w:val="20"/>
                <w:szCs w:val="20"/>
                <w:highlight w:val="none"/>
              </w:rPr>
              <w:t>HDMI</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路</w:t>
            </w:r>
            <w:r>
              <w:rPr>
                <w:rFonts w:ascii="Times New Roman" w:hAnsi="Times New Roman" w:eastAsia="宋体" w:cs="Times New Roman"/>
                <w:color w:val="000000"/>
                <w:kern w:val="0"/>
                <w:sz w:val="20"/>
                <w:szCs w:val="20"/>
                <w:highlight w:val="none"/>
              </w:rPr>
              <w:t>DP</w:t>
            </w:r>
            <w:r>
              <w:rPr>
                <w:rFonts w:hint="eastAsia" w:ascii="宋体" w:hAnsi="宋体" w:eastAsia="宋体" w:cs="宋体"/>
                <w:color w:val="000000"/>
                <w:kern w:val="0"/>
                <w:sz w:val="20"/>
                <w:szCs w:val="20"/>
                <w:highlight w:val="none"/>
              </w:rPr>
              <w:t>。</w:t>
            </w:r>
          </w:p>
          <w:p w14:paraId="26F9601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三、备授课软件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软件采用备授课一体化框架设计，操作界面根据备课和授课使用场景不同而区别设计，可根据教学场景自由切换备课模式和授课模式，满足教室、办公室等不同教学环境需求，并提供移动端实现数据同步、移动授课等功能。</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（一）备课模式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软件须支持使用方全体教师自行进行个人账号注册登录使用，可通过数字账号、扫描二维码、手机验证码、硬件密钥方式（如绑定</w:t>
            </w:r>
            <w:r>
              <w:rPr>
                <w:rFonts w:ascii="Times New Roman" w:hAnsi="Times New Roman" w:eastAsia="宋体" w:cs="Times New Roman"/>
                <w:color w:val="000000"/>
                <w:kern w:val="0"/>
                <w:sz w:val="20"/>
                <w:szCs w:val="20"/>
                <w:highlight w:val="none"/>
              </w:rPr>
              <w:t>U</w:t>
            </w:r>
            <w:r>
              <w:rPr>
                <w:rFonts w:hint="eastAsia" w:ascii="宋体" w:hAnsi="宋体" w:eastAsia="宋体" w:cs="宋体"/>
                <w:color w:val="000000"/>
                <w:kern w:val="0"/>
                <w:sz w:val="20"/>
                <w:szCs w:val="20"/>
                <w:highlight w:val="none"/>
              </w:rPr>
              <w:t>盘）等多种方式登录教师个人账号以及通过验证码修改登录密码操作。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软件为所有教师提供安全可靠的云存储空间，保证可随时存储、使用资源，无需携带</w:t>
            </w:r>
            <w:r>
              <w:rPr>
                <w:rFonts w:ascii="Times New Roman" w:hAnsi="Times New Roman" w:eastAsia="宋体" w:cs="Times New Roman"/>
                <w:color w:val="000000"/>
                <w:kern w:val="0"/>
                <w:sz w:val="20"/>
                <w:szCs w:val="20"/>
                <w:highlight w:val="none"/>
              </w:rPr>
              <w:t>U</w:t>
            </w:r>
            <w:r>
              <w:rPr>
                <w:rFonts w:hint="eastAsia" w:ascii="宋体" w:hAnsi="宋体" w:eastAsia="宋体" w:cs="宋体"/>
                <w:color w:val="000000"/>
                <w:kern w:val="0"/>
                <w:sz w:val="20"/>
                <w:szCs w:val="20"/>
                <w:highlight w:val="none"/>
              </w:rPr>
              <w:t>盘等硬件设备，每个账号的云端存储空间不少于</w:t>
            </w:r>
            <w:r>
              <w:rPr>
                <w:rFonts w:ascii="Times New Roman" w:hAnsi="Times New Roman" w:eastAsia="宋体" w:cs="Times New Roman"/>
                <w:color w:val="000000"/>
                <w:kern w:val="0"/>
                <w:sz w:val="20"/>
                <w:szCs w:val="20"/>
                <w:highlight w:val="none"/>
              </w:rPr>
              <w:t>50G</w:t>
            </w:r>
            <w:r>
              <w:rPr>
                <w:rFonts w:hint="eastAsia" w:ascii="宋体" w:hAnsi="宋体" w:eastAsia="宋体" w:cs="宋体"/>
                <w:color w:val="000000"/>
                <w:kern w:val="0"/>
                <w:sz w:val="20"/>
                <w:szCs w:val="20"/>
                <w:highlight w:val="none"/>
              </w:rPr>
              <w:t>，无需任何操作即可获取。</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软件提供事项编辑处理功能，可创建</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编辑</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处理</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查看事项，支持添加事项名称、时间、描述及附件等信息，逾期事项有红色感叹号标识，能够提醒教师及时处理事务，更好地组织和管理教学工作，提高工作效率，确保教学任务的顺利完成。</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软件提供全部事项列表，分别显示待处理和已处理事项，方便复盘工作。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软件提供课表功能，可查看个人课表及授课班级课表，方便掌握教学安排及了解班级课程计划。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软件提供通知功能，在接收到学校通知或其余用户分享文件时具有红点提示，可选择接收或拒绝。</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w:t>
            </w:r>
            <w:r>
              <w:rPr>
                <w:rFonts w:hint="eastAsia" w:ascii="宋体" w:hAnsi="宋体" w:eastAsia="宋体" w:cs="宋体"/>
                <w:color w:val="000000"/>
                <w:kern w:val="0"/>
                <w:sz w:val="20"/>
                <w:szCs w:val="20"/>
                <w:highlight w:val="none"/>
              </w:rPr>
              <w:t>软件具备课程库功能，支持将备课内容同步到通用教材的章节目录之中或自建备课课程目录，并可导入课件、视频等多种格式资源，备课思路一目了然。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w:t>
            </w:r>
            <w:r>
              <w:rPr>
                <w:rFonts w:hint="eastAsia" w:ascii="宋体" w:hAnsi="宋体" w:eastAsia="宋体" w:cs="宋体"/>
                <w:color w:val="000000"/>
                <w:kern w:val="0"/>
                <w:sz w:val="20"/>
                <w:szCs w:val="20"/>
                <w:highlight w:val="none"/>
              </w:rPr>
              <w:t>软件具备资源中心模块，提供便捷、高效的资源管理方案，提供个人资源以及校本资源模块，并提供国家公共资源平台的链接跳转。</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w:t>
            </w:r>
            <w:r>
              <w:rPr>
                <w:rFonts w:hint="eastAsia" w:ascii="宋体" w:hAnsi="宋体" w:eastAsia="宋体" w:cs="宋体"/>
                <w:color w:val="000000"/>
                <w:kern w:val="0"/>
                <w:sz w:val="20"/>
                <w:szCs w:val="20"/>
                <w:highlight w:val="none"/>
              </w:rPr>
              <w:t>个人资源支持不少于三种分享方式：支持校本分享，可直接分享到校本资源库的指定目录；支持定向精准分享，可精准推送至指定接收方账号云空间，接收方可在云空间接收并打开分享课件；支持一对多分享，可生成分享链接和二维码，接收方可点击链接或扫描二维码，通过网页方式浏览课件并获取课件，其中课件链接可设置访问有效期以及加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w:t>
            </w:r>
            <w:r>
              <w:rPr>
                <w:rFonts w:hint="eastAsia" w:ascii="宋体" w:hAnsi="宋体" w:eastAsia="宋体" w:cs="宋体"/>
                <w:color w:val="000000"/>
                <w:kern w:val="0"/>
                <w:sz w:val="20"/>
                <w:szCs w:val="20"/>
                <w:highlight w:val="none"/>
              </w:rPr>
              <w:t>可选择新建备课课件，或者直接将</w:t>
            </w:r>
            <w:r>
              <w:rPr>
                <w:rFonts w:ascii="Times New Roman" w:hAnsi="Times New Roman" w:eastAsia="宋体" w:cs="Times New Roman"/>
                <w:color w:val="000000"/>
                <w:kern w:val="0"/>
                <w:sz w:val="20"/>
                <w:szCs w:val="20"/>
                <w:highlight w:val="none"/>
              </w:rPr>
              <w:t>PPT</w:t>
            </w:r>
            <w:r>
              <w:rPr>
                <w:rFonts w:hint="eastAsia" w:ascii="宋体" w:hAnsi="宋体" w:eastAsia="宋体" w:cs="宋体"/>
                <w:color w:val="000000"/>
                <w:kern w:val="0"/>
                <w:sz w:val="20"/>
                <w:szCs w:val="20"/>
                <w:highlight w:val="none"/>
              </w:rPr>
              <w:t>导入到软件中进行备课，节约备课时间。</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w:t>
            </w:r>
            <w:r>
              <w:rPr>
                <w:rFonts w:hint="eastAsia" w:ascii="宋体" w:hAnsi="宋体" w:eastAsia="宋体" w:cs="宋体"/>
                <w:color w:val="000000"/>
                <w:kern w:val="0"/>
                <w:sz w:val="20"/>
                <w:szCs w:val="20"/>
                <w:highlight w:val="none"/>
              </w:rPr>
              <w:t>备课模块采用类</w:t>
            </w:r>
            <w:r>
              <w:rPr>
                <w:rFonts w:ascii="Times New Roman" w:hAnsi="Times New Roman" w:eastAsia="宋体" w:cs="Times New Roman"/>
                <w:color w:val="000000"/>
                <w:kern w:val="0"/>
                <w:sz w:val="20"/>
                <w:szCs w:val="20"/>
                <w:highlight w:val="none"/>
              </w:rPr>
              <w:t>PPT</w:t>
            </w:r>
            <w:r>
              <w:rPr>
                <w:rFonts w:hint="eastAsia" w:ascii="宋体" w:hAnsi="宋体" w:eastAsia="宋体" w:cs="宋体"/>
                <w:color w:val="000000"/>
                <w:kern w:val="0"/>
                <w:sz w:val="20"/>
                <w:szCs w:val="20"/>
                <w:highlight w:val="none"/>
              </w:rPr>
              <w:t>界面，更大程度符合老师的日常使用习惯，节约学习时间。</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w:t>
            </w:r>
            <w:r>
              <w:rPr>
                <w:rFonts w:hint="eastAsia" w:ascii="宋体" w:hAnsi="宋体" w:eastAsia="宋体" w:cs="宋体"/>
                <w:color w:val="000000"/>
                <w:kern w:val="0"/>
                <w:sz w:val="20"/>
                <w:szCs w:val="20"/>
                <w:highlight w:val="none"/>
              </w:rPr>
              <w:t>课件背景：提供不少于</w:t>
            </w:r>
            <w:r>
              <w:rPr>
                <w:rFonts w:ascii="Times New Roman" w:hAnsi="Times New Roman" w:eastAsia="宋体" w:cs="Times New Roman"/>
                <w:color w:val="000000"/>
                <w:kern w:val="0"/>
                <w:sz w:val="20"/>
                <w:szCs w:val="20"/>
                <w:highlight w:val="none"/>
              </w:rPr>
              <w:t>35</w:t>
            </w:r>
            <w:r>
              <w:rPr>
                <w:rFonts w:hint="eastAsia" w:ascii="宋体" w:hAnsi="宋体" w:eastAsia="宋体" w:cs="宋体"/>
                <w:color w:val="000000"/>
                <w:kern w:val="0"/>
                <w:sz w:val="20"/>
                <w:szCs w:val="20"/>
                <w:highlight w:val="none"/>
              </w:rPr>
              <w:t>个背景模板供老师选择；支持自定义更换各种纯色背景，提供不少于</w:t>
            </w:r>
            <w:r>
              <w:rPr>
                <w:rFonts w:ascii="Times New Roman" w:hAnsi="Times New Roman" w:eastAsia="宋体" w:cs="Times New Roman"/>
                <w:color w:val="000000"/>
                <w:kern w:val="0"/>
                <w:sz w:val="20"/>
                <w:szCs w:val="20"/>
                <w:highlight w:val="none"/>
              </w:rPr>
              <w:t>18</w:t>
            </w:r>
            <w:r>
              <w:rPr>
                <w:rFonts w:hint="eastAsia" w:ascii="宋体" w:hAnsi="宋体" w:eastAsia="宋体" w:cs="宋体"/>
                <w:color w:val="000000"/>
                <w:kern w:val="0"/>
                <w:sz w:val="20"/>
                <w:szCs w:val="20"/>
                <w:highlight w:val="none"/>
              </w:rPr>
              <w:t>种颜色选择，支持使用吸管工具吸取电脑上任意位置的颜色作为背景；支持使用图片作为课件背景，设置后支持进行主题应用，一键替换所有页面，保证课件页面的风格统一。</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w:t>
            </w:r>
            <w:r>
              <w:rPr>
                <w:rFonts w:hint="eastAsia" w:ascii="宋体" w:hAnsi="宋体" w:eastAsia="宋体" w:cs="宋体"/>
                <w:color w:val="000000"/>
                <w:kern w:val="0"/>
                <w:sz w:val="20"/>
                <w:szCs w:val="20"/>
                <w:highlight w:val="none"/>
              </w:rPr>
              <w:t>学科工具：提供丰富的学科工具，数量不少于</w:t>
            </w:r>
            <w:r>
              <w:rPr>
                <w:rFonts w:ascii="Times New Roman" w:hAnsi="Times New Roman" w:eastAsia="宋体" w:cs="Times New Roman"/>
                <w:color w:val="000000"/>
                <w:kern w:val="0"/>
                <w:sz w:val="20"/>
                <w:szCs w:val="20"/>
                <w:highlight w:val="none"/>
              </w:rPr>
              <w:t>15</w:t>
            </w:r>
            <w:r>
              <w:rPr>
                <w:rFonts w:hint="eastAsia" w:ascii="宋体" w:hAnsi="宋体" w:eastAsia="宋体" w:cs="宋体"/>
                <w:color w:val="000000"/>
                <w:kern w:val="0"/>
                <w:sz w:val="20"/>
                <w:szCs w:val="20"/>
                <w:highlight w:val="none"/>
              </w:rPr>
              <w:t>种，并至少包含以下学科工具：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a)</w:t>
            </w:r>
            <w:r>
              <w:rPr>
                <w:rFonts w:hint="eastAsia" w:ascii="宋体" w:hAnsi="宋体" w:eastAsia="宋体" w:cs="宋体"/>
                <w:color w:val="000000"/>
                <w:kern w:val="0"/>
                <w:sz w:val="20"/>
                <w:szCs w:val="20"/>
                <w:highlight w:val="none"/>
              </w:rPr>
              <w:t>语文学科：具备汉字、拼音、古诗词、注音等学科工具；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b)</w:t>
            </w:r>
            <w:r>
              <w:rPr>
                <w:rFonts w:hint="eastAsia" w:ascii="宋体" w:hAnsi="宋体" w:eastAsia="宋体" w:cs="宋体"/>
                <w:color w:val="000000"/>
                <w:kern w:val="0"/>
                <w:sz w:val="20"/>
                <w:szCs w:val="20"/>
                <w:highlight w:val="none"/>
              </w:rPr>
              <w:t>数学学科：具备形状、几何、公式、函数、统计图表、数学画板等学科工具；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c)</w:t>
            </w:r>
            <w:r>
              <w:rPr>
                <w:rFonts w:hint="eastAsia" w:ascii="宋体" w:hAnsi="宋体" w:eastAsia="宋体" w:cs="宋体"/>
                <w:color w:val="000000"/>
                <w:kern w:val="0"/>
                <w:sz w:val="20"/>
                <w:szCs w:val="20"/>
                <w:highlight w:val="none"/>
              </w:rPr>
              <w:t>英文学科：具备四线三格、英汉词典等学科工具；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d)</w:t>
            </w:r>
            <w:r>
              <w:rPr>
                <w:rFonts w:hint="eastAsia" w:ascii="宋体" w:hAnsi="宋体" w:eastAsia="宋体" w:cs="宋体"/>
                <w:color w:val="000000"/>
                <w:kern w:val="0"/>
                <w:sz w:val="20"/>
                <w:szCs w:val="20"/>
                <w:highlight w:val="none"/>
              </w:rPr>
              <w:t>物理学科：具备物理线图学科工具；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e)</w:t>
            </w:r>
            <w:r>
              <w:rPr>
                <w:rFonts w:hint="eastAsia" w:ascii="宋体" w:hAnsi="宋体" w:eastAsia="宋体" w:cs="宋体"/>
                <w:color w:val="000000"/>
                <w:kern w:val="0"/>
                <w:sz w:val="20"/>
                <w:szCs w:val="20"/>
                <w:highlight w:val="none"/>
              </w:rPr>
              <w:t>化学学科：具备化学方程式、元素周期表等学科工具；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f)</w:t>
            </w:r>
            <w:r>
              <w:rPr>
                <w:rFonts w:hint="eastAsia" w:ascii="宋体" w:hAnsi="宋体" w:eastAsia="宋体" w:cs="宋体"/>
                <w:color w:val="000000"/>
                <w:kern w:val="0"/>
                <w:sz w:val="20"/>
                <w:szCs w:val="20"/>
                <w:highlight w:val="none"/>
              </w:rPr>
              <w:t>地理学科：具备星球工具。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w:t>
            </w:r>
            <w:r>
              <w:rPr>
                <w:rFonts w:hint="eastAsia" w:ascii="宋体" w:hAnsi="宋体" w:eastAsia="宋体" w:cs="宋体"/>
                <w:color w:val="000000"/>
                <w:kern w:val="0"/>
                <w:sz w:val="20"/>
                <w:szCs w:val="20"/>
                <w:highlight w:val="none"/>
              </w:rPr>
              <w:t>仿真实验：提供初高中的物理、化学和生物的仿真实验。</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w:t>
            </w:r>
            <w:r>
              <w:rPr>
                <w:rFonts w:hint="eastAsia" w:ascii="宋体" w:hAnsi="宋体" w:eastAsia="宋体" w:cs="宋体"/>
                <w:color w:val="000000"/>
                <w:kern w:val="0"/>
                <w:sz w:val="20"/>
                <w:szCs w:val="20"/>
                <w:highlight w:val="none"/>
              </w:rPr>
              <w:t>课堂活动：具备</w:t>
            </w:r>
            <w:r>
              <w:rPr>
                <w:rFonts w:ascii="Times New Roman" w:hAnsi="Times New Roman" w:eastAsia="宋体" w:cs="Times New Roman"/>
                <w:color w:val="000000"/>
                <w:kern w:val="0"/>
                <w:sz w:val="20"/>
                <w:szCs w:val="20"/>
                <w:highlight w:val="none"/>
              </w:rPr>
              <w:t>≥9</w:t>
            </w:r>
            <w:r>
              <w:rPr>
                <w:rFonts w:hint="eastAsia" w:ascii="宋体" w:hAnsi="宋体" w:eastAsia="宋体" w:cs="宋体"/>
                <w:color w:val="000000"/>
                <w:kern w:val="0"/>
                <w:sz w:val="20"/>
                <w:szCs w:val="20"/>
                <w:highlight w:val="none"/>
              </w:rPr>
              <w:t>种类型的课堂趣味活动，包括但不限于分类、配对、趣味选择、争分夺秒、看题填词、翻翻卡、比大小、连词成句、判断对错等，每种课堂活动类型均提供</w:t>
            </w:r>
            <w:r>
              <w:rPr>
                <w:rFonts w:ascii="Times New Roman" w:hAnsi="Times New Roman" w:eastAsia="宋体" w:cs="Times New Roman"/>
                <w:color w:val="000000"/>
                <w:kern w:val="0"/>
                <w:sz w:val="20"/>
                <w:szCs w:val="20"/>
                <w:highlight w:val="none"/>
              </w:rPr>
              <w:t>≥12</w:t>
            </w:r>
            <w:r>
              <w:rPr>
                <w:rFonts w:hint="eastAsia" w:ascii="宋体" w:hAnsi="宋体" w:eastAsia="宋体" w:cs="宋体"/>
                <w:color w:val="000000"/>
                <w:kern w:val="0"/>
                <w:sz w:val="20"/>
                <w:szCs w:val="20"/>
                <w:highlight w:val="none"/>
              </w:rPr>
              <w:t>种游戏模板。</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（二）授课部分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为方便老师使用，备课页面具有授课开始按键，可快速切换备授课模式；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在授课模式下，支持导入</w:t>
            </w:r>
            <w:r>
              <w:rPr>
                <w:rFonts w:ascii="Times New Roman" w:hAnsi="Times New Roman" w:eastAsia="宋体" w:cs="Times New Roman"/>
                <w:color w:val="000000"/>
                <w:kern w:val="0"/>
                <w:sz w:val="20"/>
                <w:szCs w:val="20"/>
                <w:highlight w:val="none"/>
              </w:rPr>
              <w:t>PPT</w:t>
            </w:r>
            <w:r>
              <w:rPr>
                <w:rFonts w:hint="eastAsia" w:ascii="宋体" w:hAnsi="宋体" w:eastAsia="宋体" w:cs="宋体"/>
                <w:color w:val="000000"/>
                <w:kern w:val="0"/>
                <w:sz w:val="20"/>
                <w:szCs w:val="20"/>
                <w:highlight w:val="none"/>
              </w:rPr>
              <w:t>、图片、音频、视频等进行演示。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支持将授课课件及板书内容一起导出为图片。</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画笔工具：具备不少于三种笔触类型，部分笔尖的粗细、颜色可实时进行调整。</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选择工具：根据教学需要老师可以选择单一对象，或者框选多个对象进行移动、放大、缩小、旋转，也可以对选中的对象进行置顶、克隆、删除等操作。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擦除功能：为了满足不同擦除需要和便捷性，提供按点擦除和一键清屏功能，除了擦除画笔的笔迹，也可以支持手势擦除，同时板刷支持调整大小。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w:t>
            </w:r>
            <w:r>
              <w:rPr>
                <w:rFonts w:hint="eastAsia" w:ascii="宋体" w:hAnsi="宋体" w:eastAsia="宋体" w:cs="宋体"/>
                <w:color w:val="000000"/>
                <w:kern w:val="0"/>
                <w:sz w:val="20"/>
                <w:szCs w:val="20"/>
                <w:highlight w:val="none"/>
              </w:rPr>
              <w:t>投屏：在授课过程中，教师可随时打开手机，通过扫描授课模式下的投屏码进行投屏，平时不使用时，投屏码隐藏在页面底端，不遮挡显示内容。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w:t>
            </w:r>
            <w:r>
              <w:rPr>
                <w:rFonts w:hint="eastAsia" w:ascii="宋体" w:hAnsi="宋体" w:eastAsia="宋体" w:cs="宋体"/>
                <w:color w:val="000000"/>
                <w:kern w:val="0"/>
                <w:sz w:val="20"/>
                <w:szCs w:val="20"/>
                <w:highlight w:val="none"/>
              </w:rPr>
              <w:t>通用工具：至少提供形状、放大镜、聚光灯、遮幕、板中板、计时器、截图、微课录制、计算器等通用工具。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w:t>
            </w:r>
            <w:r>
              <w:rPr>
                <w:rFonts w:hint="eastAsia" w:ascii="宋体" w:hAnsi="宋体" w:eastAsia="宋体" w:cs="宋体"/>
                <w:color w:val="000000"/>
                <w:kern w:val="0"/>
                <w:sz w:val="20"/>
                <w:szCs w:val="20"/>
                <w:highlight w:val="none"/>
              </w:rPr>
              <w:t>学科工具：可在授课过程中调取学科工具，至少提供汉字、拼音、古诗词、函数、几何、英汉字典、画板、星球、尺规等学科工具。</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（三）移动授课助手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移动授课助手需支持</w:t>
            </w:r>
            <w:r>
              <w:rPr>
                <w:rFonts w:ascii="Times New Roman" w:hAnsi="Times New Roman" w:eastAsia="宋体" w:cs="Times New Roman"/>
                <w:color w:val="000000"/>
                <w:kern w:val="0"/>
                <w:sz w:val="20"/>
                <w:szCs w:val="20"/>
                <w:highlight w:val="none"/>
              </w:rPr>
              <w:t>android</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IOS</w:t>
            </w:r>
            <w:r>
              <w:rPr>
                <w:rFonts w:hint="eastAsia" w:ascii="宋体" w:hAnsi="宋体" w:eastAsia="宋体" w:cs="宋体"/>
                <w:color w:val="000000"/>
                <w:kern w:val="0"/>
                <w:sz w:val="20"/>
                <w:szCs w:val="20"/>
                <w:highlight w:val="none"/>
              </w:rPr>
              <w:t>系统手机使用；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支持手机号码登录、微信登陆两种登陆方式；为方便用户使用，移动授课助手与大屏白板软件使用统一身份认证；</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云课件：在手机上登录账号后，支持以列表的方式查看该账号里所有的云课件，并支持打开其中某份课件在线预览，预览时支持显示缩略图目录，支持通过缩略图目录跳页。可对课件进行分享、重命名、移动和删除操作；支持课件批量移动、删除。无需拷贝课件，大屏端云课件内容与手机保持一致。</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课件分享：支持在手机端分享老师备课课件，可一键分享至微信、朋友圈、</w:t>
            </w:r>
            <w:r>
              <w:rPr>
                <w:rFonts w:ascii="Times New Roman" w:hAnsi="Times New Roman" w:eastAsia="宋体" w:cs="Times New Roman"/>
                <w:color w:val="000000"/>
                <w:kern w:val="0"/>
                <w:sz w:val="20"/>
                <w:szCs w:val="20"/>
                <w:highlight w:val="none"/>
              </w:rPr>
              <w:t>QQ</w:t>
            </w:r>
            <w:r>
              <w:rPr>
                <w:rFonts w:hint="eastAsia" w:ascii="宋体" w:hAnsi="宋体" w:eastAsia="宋体" w:cs="宋体"/>
                <w:color w:val="000000"/>
                <w:kern w:val="0"/>
                <w:sz w:val="20"/>
                <w:szCs w:val="20"/>
                <w:highlight w:val="none"/>
              </w:rPr>
              <w:t>，或使用链接进行分享；同时其他老师分享给自己的课件，也可以在云课件中进行接收和保存；通过扫码等方式获取课件后，在课件列表下拉刷新即可显示待接收课件，选择所需课件点击接收，即可将该课件接收至个人的云课件列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移动授课：可在手机端选择任意课件开始授课，支持预览课件缩略图，可在缩略图任意选择播放页面，或使用按键实现上下翻页；同时可通过手机对播放页面进行远程批注、擦除等操作，操作过程同步显示在大屏上，方便老师走动教学使用，移动授课时支持不少于</w:t>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种颜色、</w:t>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种笔迹批注选择。</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手机投屏：可将手机屏幕内容实时投影到电脑端。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w:t>
            </w:r>
            <w:r>
              <w:rPr>
                <w:rFonts w:hint="eastAsia" w:ascii="宋体" w:hAnsi="宋体" w:eastAsia="宋体" w:cs="宋体"/>
                <w:color w:val="000000"/>
                <w:kern w:val="0"/>
                <w:sz w:val="20"/>
                <w:szCs w:val="20"/>
                <w:highlight w:val="none"/>
              </w:rPr>
              <w:t>资料夹：移动授课助手自带资料夹，可将实时拍摄照片、手机上存储的图片、音视频资源等内容存储在资料夹中，只需要登录同一账号即可下载之前保存的文件内容，即使手机丢失也不影响资料的使用。</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回收站：老师误删除的课件及其他资源，可在回收站中找到并恢复，找回期限不少于</w:t>
            </w:r>
            <w:r>
              <w:rPr>
                <w:rFonts w:ascii="Times New Roman" w:hAnsi="Times New Roman" w:eastAsia="宋体" w:cs="Times New Roman"/>
                <w:color w:val="000000"/>
                <w:kern w:val="0"/>
                <w:sz w:val="20"/>
                <w:szCs w:val="20"/>
                <w:highlight w:val="none"/>
              </w:rPr>
              <w:t>30</w:t>
            </w:r>
            <w:r>
              <w:rPr>
                <w:rFonts w:hint="eastAsia" w:ascii="宋体" w:hAnsi="宋体" w:eastAsia="宋体" w:cs="宋体"/>
                <w:color w:val="000000"/>
                <w:kern w:val="0"/>
                <w:sz w:val="20"/>
                <w:szCs w:val="20"/>
                <w:highlight w:val="none"/>
              </w:rPr>
              <w:t>天</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8B6A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AE5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B414">
            <w:pPr>
              <w:jc w:val="center"/>
              <w:rPr>
                <w:rFonts w:ascii="宋体" w:hAnsi="宋体" w:eastAsia="宋体" w:cs="宋体"/>
                <w:color w:val="000000"/>
                <w:sz w:val="20"/>
                <w:szCs w:val="20"/>
                <w:highlight w:val="none"/>
              </w:rPr>
            </w:pPr>
          </w:p>
        </w:tc>
      </w:tr>
      <w:tr w14:paraId="327EF581">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984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81C26">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语文教室专用舞台</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3DAF">
            <w:pPr>
              <w:widowControl/>
              <w:jc w:val="left"/>
              <w:textAlignment w:val="center"/>
              <w:rPr>
                <w:rFonts w:ascii="宋体" w:hAnsi="宋体" w:eastAsia="宋体" w:cs="宋体"/>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、内置框架为多层木板框架；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、板面采用工程板，厚度</w:t>
            </w:r>
            <w:r>
              <w:rPr>
                <w:rFonts w:ascii="Times New Roman" w:hAnsi="Times New Roman" w:eastAsia="宋体" w:cs="Times New Roman"/>
                <w:color w:val="000000"/>
                <w:kern w:val="0"/>
                <w:sz w:val="20"/>
                <w:szCs w:val="20"/>
                <w:highlight w:val="none"/>
              </w:rPr>
              <w:t>≥15mm</w:t>
            </w:r>
            <w:r>
              <w:rPr>
                <w:rFonts w:hint="eastAsia" w:ascii="宋体" w:hAnsi="宋体" w:eastAsia="宋体" w:cs="宋体"/>
                <w:color w:val="000000"/>
                <w:kern w:val="0"/>
                <w:sz w:val="20"/>
                <w:szCs w:val="20"/>
                <w:highlight w:val="none"/>
              </w:rPr>
              <w:t>，外层另加耐磨强化复合地板，厚度</w:t>
            </w:r>
            <w:r>
              <w:rPr>
                <w:rFonts w:ascii="Times New Roman" w:hAnsi="Times New Roman" w:eastAsia="宋体" w:cs="Times New Roman"/>
                <w:color w:val="000000"/>
                <w:kern w:val="0"/>
                <w:sz w:val="20"/>
                <w:szCs w:val="20"/>
                <w:highlight w:val="none"/>
              </w:rPr>
              <w:t>≥12mm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、两侧采用不锈钢圆形护角；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、包边采用铝合金包边，颜色为磨砂金黄色，壁厚</w:t>
            </w:r>
            <w:r>
              <w:rPr>
                <w:rFonts w:ascii="Times New Roman" w:hAnsi="Times New Roman" w:eastAsia="宋体" w:cs="Times New Roman"/>
                <w:color w:val="000000"/>
                <w:kern w:val="0"/>
                <w:sz w:val="20"/>
                <w:szCs w:val="20"/>
                <w:highlight w:val="none"/>
              </w:rPr>
              <w:t>≥1mm</w:t>
            </w:r>
            <w:r>
              <w:rPr>
                <w:rFonts w:hint="eastAsia" w:ascii="宋体" w:hAnsi="宋体" w:eastAsia="宋体" w:cs="宋体"/>
                <w:color w:val="000000"/>
                <w:kern w:val="0"/>
                <w:sz w:val="20"/>
                <w:szCs w:val="20"/>
                <w:highlight w:val="none"/>
              </w:rPr>
              <w:t>，断面</w:t>
            </w:r>
            <w:r>
              <w:rPr>
                <w:rFonts w:ascii="Times New Roman" w:hAnsi="Times New Roman" w:eastAsia="宋体" w:cs="Times New Roman"/>
                <w:color w:val="000000"/>
                <w:kern w:val="0"/>
                <w:sz w:val="20"/>
                <w:szCs w:val="20"/>
                <w:highlight w:val="none"/>
              </w:rPr>
              <w:t>30*40mm</w:t>
            </w:r>
            <w:r>
              <w:rPr>
                <w:rFonts w:hint="eastAsia" w:ascii="宋体" w:hAnsi="宋体" w:eastAsia="宋体" w:cs="宋体"/>
                <w:color w:val="000000"/>
                <w:kern w:val="0"/>
                <w:sz w:val="20"/>
                <w:szCs w:val="20"/>
                <w:highlight w:val="none"/>
              </w:rPr>
              <w:t>；采用高密度螺丝连接；</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、底部与地面连接处有橡胶缓冲垫，吸音，防震，找平不摇晃。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、小舞台配套简易灯光及音响、幕布</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340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BA6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27</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F3067">
            <w:pPr>
              <w:jc w:val="center"/>
              <w:rPr>
                <w:rFonts w:ascii="宋体" w:hAnsi="宋体" w:eastAsia="宋体" w:cs="宋体"/>
                <w:color w:val="000000"/>
                <w:sz w:val="20"/>
                <w:szCs w:val="20"/>
                <w:highlight w:val="none"/>
              </w:rPr>
            </w:pPr>
          </w:p>
        </w:tc>
      </w:tr>
      <w:tr w14:paraId="0F9D0CD3">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320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BFC4">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语文教室专用舞台面光灯</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C39F">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类型：</w:t>
            </w:r>
            <w:r>
              <w:rPr>
                <w:rFonts w:ascii="Times New Roman" w:hAnsi="Times New Roman" w:eastAsia="宋体" w:cs="Times New Roman"/>
                <w:color w:val="000000"/>
                <w:kern w:val="0"/>
                <w:sz w:val="20"/>
                <w:szCs w:val="20"/>
                <w:highlight w:val="none"/>
              </w:rPr>
              <w:t xml:space="preserve">LED </w:t>
            </w:r>
            <w:r>
              <w:rPr>
                <w:rFonts w:hint="eastAsia" w:ascii="宋体" w:hAnsi="宋体" w:eastAsia="宋体" w:cs="宋体"/>
                <w:color w:val="000000"/>
                <w:kern w:val="0"/>
                <w:sz w:val="20"/>
                <w:szCs w:val="20"/>
                <w:highlight w:val="none"/>
              </w:rPr>
              <w:t>成像面光灯</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色温：</w:t>
            </w:r>
            <w:r>
              <w:rPr>
                <w:rFonts w:ascii="Times New Roman" w:hAnsi="Times New Roman" w:eastAsia="宋体" w:cs="Times New Roman"/>
                <w:color w:val="000000"/>
                <w:kern w:val="0"/>
                <w:sz w:val="20"/>
                <w:szCs w:val="20"/>
                <w:highlight w:val="none"/>
              </w:rPr>
              <w:t>3200K</w:t>
            </w:r>
            <w:r>
              <w:rPr>
                <w:rFonts w:hint="eastAsia" w:ascii="宋体" w:hAnsi="宋体" w:eastAsia="宋体" w:cs="宋体"/>
                <w:color w:val="000000"/>
                <w:kern w:val="0"/>
                <w:sz w:val="20"/>
                <w:szCs w:val="20"/>
                <w:highlight w:val="none"/>
              </w:rPr>
              <w:t>（暖白）</w:t>
            </w:r>
            <w:r>
              <w:rPr>
                <w:rFonts w:ascii="Times New Roman" w:hAnsi="Times New Roman" w:eastAsia="宋体" w:cs="Times New Roman"/>
                <w:color w:val="000000"/>
                <w:kern w:val="0"/>
                <w:sz w:val="20"/>
                <w:szCs w:val="20"/>
                <w:highlight w:val="none"/>
              </w:rPr>
              <w:t>~5600K</w:t>
            </w:r>
            <w:r>
              <w:rPr>
                <w:rFonts w:hint="eastAsia" w:ascii="宋体" w:hAnsi="宋体" w:eastAsia="宋体" w:cs="宋体"/>
                <w:color w:val="000000"/>
                <w:kern w:val="0"/>
                <w:sz w:val="20"/>
                <w:szCs w:val="20"/>
                <w:highlight w:val="none"/>
              </w:rPr>
              <w:t>（冷白）可调</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5DC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个</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B82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C1AE">
            <w:pPr>
              <w:jc w:val="center"/>
              <w:rPr>
                <w:rFonts w:ascii="宋体" w:hAnsi="宋体" w:eastAsia="宋体" w:cs="宋体"/>
                <w:color w:val="000000"/>
                <w:sz w:val="20"/>
                <w:szCs w:val="20"/>
                <w:highlight w:val="none"/>
              </w:rPr>
            </w:pPr>
          </w:p>
        </w:tc>
      </w:tr>
      <w:tr w14:paraId="07CBD483">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E84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2F5A">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语文教室专用舞台幕布</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C1253">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材质：编织</w:t>
            </w:r>
            <w:r>
              <w:rPr>
                <w:rFonts w:ascii="Times New Roman" w:hAnsi="Times New Roman" w:eastAsia="宋体" w:cs="Times New Roman"/>
                <w:color w:val="000000"/>
                <w:kern w:val="0"/>
                <w:sz w:val="20"/>
                <w:szCs w:val="20"/>
                <w:highlight w:val="none"/>
              </w:rPr>
              <w:t xml:space="preserve"> / </w:t>
            </w:r>
            <w:r>
              <w:rPr>
                <w:rFonts w:hint="eastAsia" w:ascii="宋体" w:hAnsi="宋体" w:eastAsia="宋体" w:cs="宋体"/>
                <w:color w:val="000000"/>
                <w:kern w:val="0"/>
                <w:sz w:val="20"/>
                <w:szCs w:val="20"/>
                <w:highlight w:val="none"/>
              </w:rPr>
              <w:t>微孔透声材质</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BA2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组</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722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9C09">
            <w:pPr>
              <w:jc w:val="center"/>
              <w:rPr>
                <w:rFonts w:ascii="宋体" w:hAnsi="宋体" w:eastAsia="宋体" w:cs="宋体"/>
                <w:color w:val="000000"/>
                <w:sz w:val="20"/>
                <w:szCs w:val="20"/>
                <w:highlight w:val="none"/>
              </w:rPr>
            </w:pPr>
          </w:p>
        </w:tc>
      </w:tr>
      <w:tr w14:paraId="777B0FC6">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0C2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2D2D">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壁挂听书机</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2B995">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基本信息：</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尺寸：不小于</w:t>
            </w:r>
            <w:r>
              <w:rPr>
                <w:rFonts w:ascii="Times New Roman" w:hAnsi="Times New Roman" w:eastAsia="宋体" w:cs="Times New Roman"/>
                <w:color w:val="000000"/>
                <w:kern w:val="0"/>
                <w:sz w:val="20"/>
                <w:szCs w:val="20"/>
                <w:highlight w:val="none"/>
              </w:rPr>
              <w:t>21.5inch</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分辨率：不低于</w:t>
            </w:r>
            <w:r>
              <w:rPr>
                <w:rFonts w:ascii="Times New Roman" w:hAnsi="Times New Roman" w:eastAsia="宋体" w:cs="Times New Roman"/>
                <w:color w:val="000000"/>
                <w:kern w:val="0"/>
                <w:sz w:val="20"/>
                <w:szCs w:val="20"/>
                <w:highlight w:val="none"/>
              </w:rPr>
              <w:t>1920*1080</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显示面积：≥</w:t>
            </w:r>
            <w:r>
              <w:rPr>
                <w:rFonts w:ascii="Times New Roman" w:hAnsi="Times New Roman" w:eastAsia="宋体" w:cs="Times New Roman"/>
                <w:color w:val="000000"/>
                <w:kern w:val="0"/>
                <w:sz w:val="20"/>
                <w:szCs w:val="20"/>
                <w:highlight w:val="none"/>
              </w:rPr>
              <w:t>476mm*268mm</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亮度：</w:t>
            </w:r>
            <w:r>
              <w:rPr>
                <w:rFonts w:ascii="Times New Roman" w:hAnsi="Times New Roman" w:eastAsia="宋体" w:cs="Times New Roman"/>
                <w:color w:val="000000"/>
                <w:kern w:val="0"/>
                <w:sz w:val="20"/>
                <w:szCs w:val="20"/>
                <w:highlight w:val="none"/>
              </w:rPr>
              <w:t>250cd/</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对比度：</w:t>
            </w:r>
            <w:r>
              <w:rPr>
                <w:rFonts w:ascii="Times New Roman" w:hAnsi="Times New Roman" w:eastAsia="宋体" w:cs="Times New Roman"/>
                <w:color w:val="000000"/>
                <w:kern w:val="0"/>
                <w:sz w:val="20"/>
                <w:szCs w:val="20"/>
                <w:highlight w:val="none"/>
              </w:rPr>
              <w:t>1000:01:00</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视角：</w:t>
            </w:r>
            <w:r>
              <w:rPr>
                <w:rFonts w:ascii="Times New Roman" w:hAnsi="Times New Roman" w:eastAsia="宋体" w:cs="Times New Roman"/>
                <w:color w:val="000000"/>
                <w:kern w:val="0"/>
                <w:sz w:val="20"/>
                <w:szCs w:val="20"/>
                <w:highlight w:val="none"/>
              </w:rPr>
              <w:t>85°/85°/80°/80°</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L/R/U/D</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响应时间：≤</w:t>
            </w:r>
            <w:r>
              <w:rPr>
                <w:rFonts w:ascii="Times New Roman" w:hAnsi="Times New Roman" w:eastAsia="宋体" w:cs="Times New Roman"/>
                <w:color w:val="000000"/>
                <w:kern w:val="0"/>
                <w:sz w:val="20"/>
                <w:szCs w:val="20"/>
                <w:highlight w:val="none"/>
              </w:rPr>
              <w:t>10ms</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功耗：不高于</w:t>
            </w:r>
            <w:r>
              <w:rPr>
                <w:rFonts w:ascii="Times New Roman" w:hAnsi="Times New Roman" w:eastAsia="宋体" w:cs="Times New Roman"/>
                <w:color w:val="000000"/>
                <w:kern w:val="0"/>
                <w:sz w:val="20"/>
                <w:szCs w:val="20"/>
                <w:highlight w:val="none"/>
              </w:rPr>
              <w:t>30W</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输入：</w:t>
            </w:r>
            <w:r>
              <w:rPr>
                <w:rFonts w:ascii="Times New Roman" w:hAnsi="Times New Roman" w:eastAsia="宋体" w:cs="Times New Roman"/>
                <w:color w:val="000000"/>
                <w:kern w:val="0"/>
                <w:sz w:val="20"/>
                <w:szCs w:val="20"/>
                <w:highlight w:val="none"/>
              </w:rPr>
              <w:t>100-240VAC,50/60HZ</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室内音响：</w:t>
            </w:r>
            <w:r>
              <w:rPr>
                <w:rFonts w:ascii="Times New Roman" w:hAnsi="Times New Roman" w:eastAsia="宋体" w:cs="Times New Roman"/>
                <w:color w:val="000000"/>
                <w:kern w:val="0"/>
                <w:sz w:val="20"/>
                <w:szCs w:val="20"/>
                <w:highlight w:val="none"/>
              </w:rPr>
              <w:t>2*3W</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安装方式：壁挂</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正面玻璃：全钢化高防暴玻璃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Cpu</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3288</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内存：≥</w:t>
            </w:r>
            <w:r>
              <w:rPr>
                <w:rFonts w:ascii="Times New Roman" w:hAnsi="Times New Roman" w:eastAsia="宋体" w:cs="Times New Roman"/>
                <w:color w:val="000000"/>
                <w:kern w:val="0"/>
                <w:sz w:val="20"/>
                <w:szCs w:val="20"/>
                <w:highlight w:val="none"/>
              </w:rPr>
              <w:t>2G</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存储：≥</w:t>
            </w:r>
            <w:r>
              <w:rPr>
                <w:rFonts w:ascii="Times New Roman" w:hAnsi="Times New Roman" w:eastAsia="宋体" w:cs="Times New Roman"/>
                <w:color w:val="000000"/>
                <w:kern w:val="0"/>
                <w:sz w:val="20"/>
                <w:szCs w:val="20"/>
                <w:highlight w:val="none"/>
              </w:rPr>
              <w:t>16G</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听书方式：按钮切换耳机</w:t>
            </w:r>
            <w:r>
              <w:rPr>
                <w:rFonts w:ascii="Times New Roman" w:hAnsi="Times New Roman" w:eastAsia="宋体" w:cs="Times New Roman"/>
                <w:color w:val="000000"/>
                <w:kern w:val="0"/>
                <w:sz w:val="20"/>
                <w:szCs w:val="20"/>
                <w:highlight w:val="none"/>
              </w:rPr>
              <w:t>or</w:t>
            </w:r>
            <w:r>
              <w:rPr>
                <w:rFonts w:hint="eastAsia" w:ascii="宋体" w:hAnsi="宋体" w:eastAsia="宋体" w:cs="宋体"/>
                <w:color w:val="000000"/>
                <w:kern w:val="0"/>
                <w:sz w:val="20"/>
                <w:szCs w:val="20"/>
                <w:highlight w:val="none"/>
              </w:rPr>
              <w:t>喇叭发声</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耳机：声丽</w:t>
            </w:r>
            <w:r>
              <w:rPr>
                <w:rFonts w:ascii="Times New Roman" w:hAnsi="Times New Roman" w:eastAsia="宋体" w:cs="Times New Roman"/>
                <w:color w:val="000000"/>
                <w:kern w:val="0"/>
                <w:sz w:val="20"/>
                <w:szCs w:val="20"/>
                <w:highlight w:val="none"/>
              </w:rPr>
              <w:t>st-80</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附件：包含但不限于壁挂板、钥匙、电源线、膨胀螺丝、说明书、合格证、保修卡、遥控器</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系统参数</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软件功能：</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系统模块：图书、视频、音频、公告、专题、云资源、期刊</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虚拟桌面：为便于设备的监管维护，需安装虚拟桌面系统，支持对于设备应用的管理，监控。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虚拟桌面提供密码管理功能，防止非管理人员退出软件界面，支持软件崩溃定时启动，时刻保证软件在前台显示。</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系统支持个人微信扫码登录功能，便于资源同步到个人微信端。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支持</w:t>
            </w:r>
            <w:r>
              <w:rPr>
                <w:rFonts w:ascii="Times New Roman" w:hAnsi="Times New Roman" w:eastAsia="宋体" w:cs="Times New Roman"/>
                <w:color w:val="000000"/>
                <w:kern w:val="0"/>
                <w:sz w:val="20"/>
                <w:szCs w:val="20"/>
                <w:highlight w:val="none"/>
              </w:rPr>
              <w:t>PDF</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epub</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MP4</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MP3</w:t>
            </w:r>
            <w:r>
              <w:rPr>
                <w:rFonts w:hint="eastAsia" w:ascii="宋体" w:hAnsi="宋体" w:eastAsia="宋体" w:cs="宋体"/>
                <w:color w:val="000000"/>
                <w:kern w:val="0"/>
                <w:sz w:val="20"/>
                <w:szCs w:val="20"/>
                <w:highlight w:val="none"/>
              </w:rPr>
              <w:t>等资源的展示，公告支持图文、音视频的组合展示。</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系统支持总分模式，支持上级的资源推送和专题运营。</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w:t>
            </w:r>
            <w:r>
              <w:rPr>
                <w:rFonts w:hint="eastAsia" w:ascii="宋体" w:hAnsi="宋体" w:eastAsia="宋体" w:cs="宋体"/>
                <w:color w:val="000000"/>
                <w:kern w:val="0"/>
                <w:sz w:val="20"/>
                <w:szCs w:val="20"/>
                <w:highlight w:val="none"/>
              </w:rPr>
              <w:t>系统支持用户自己运营，并从出版集团资源库挑选适合自己的图书、音频、视频、期刊等资源展示。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w:t>
            </w:r>
            <w:r>
              <w:rPr>
                <w:rFonts w:hint="eastAsia" w:ascii="宋体" w:hAnsi="宋体" w:eastAsia="宋体" w:cs="宋体"/>
                <w:color w:val="000000"/>
                <w:kern w:val="0"/>
                <w:sz w:val="20"/>
                <w:szCs w:val="20"/>
                <w:highlight w:val="none"/>
              </w:rPr>
              <w:t>系统支持设备的单台管理也支持设备的群组化管理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w:t>
            </w:r>
            <w:r>
              <w:rPr>
                <w:rFonts w:hint="eastAsia" w:ascii="宋体" w:hAnsi="宋体" w:eastAsia="宋体" w:cs="宋体"/>
                <w:color w:val="000000"/>
                <w:kern w:val="0"/>
                <w:sz w:val="20"/>
                <w:szCs w:val="20"/>
                <w:highlight w:val="none"/>
              </w:rPr>
              <w:t>微信扫码端提供书城、个人书架管理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w:t>
            </w:r>
            <w:r>
              <w:rPr>
                <w:rFonts w:hint="eastAsia" w:ascii="宋体" w:hAnsi="宋体" w:eastAsia="宋体" w:cs="宋体"/>
                <w:color w:val="000000"/>
                <w:kern w:val="0"/>
                <w:sz w:val="20"/>
                <w:szCs w:val="20"/>
                <w:highlight w:val="none"/>
              </w:rPr>
              <w:t>提供云资源，包含图书、听书、视频</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数字资源：</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内置资源数量：要求电子图书≥</w:t>
            </w:r>
            <w:r>
              <w:rPr>
                <w:rFonts w:ascii="Times New Roman" w:hAnsi="Times New Roman" w:eastAsia="宋体" w:cs="Times New Roman"/>
                <w:color w:val="000000"/>
                <w:kern w:val="0"/>
                <w:sz w:val="20"/>
                <w:szCs w:val="20"/>
                <w:highlight w:val="none"/>
              </w:rPr>
              <w:t>2000</w:t>
            </w:r>
            <w:r>
              <w:rPr>
                <w:rFonts w:hint="eastAsia" w:ascii="宋体" w:hAnsi="宋体" w:eastAsia="宋体" w:cs="宋体"/>
                <w:color w:val="000000"/>
                <w:kern w:val="0"/>
                <w:sz w:val="20"/>
                <w:szCs w:val="20"/>
                <w:highlight w:val="none"/>
              </w:rPr>
              <w:t>册，≥</w:t>
            </w:r>
            <w:r>
              <w:rPr>
                <w:rFonts w:ascii="Times New Roman" w:hAnsi="Times New Roman" w:eastAsia="宋体" w:cs="Times New Roman"/>
                <w:color w:val="000000"/>
                <w:kern w:val="0"/>
                <w:sz w:val="20"/>
                <w:szCs w:val="20"/>
                <w:highlight w:val="none"/>
              </w:rPr>
              <w:t>3000</w:t>
            </w:r>
            <w:r>
              <w:rPr>
                <w:rFonts w:hint="eastAsia" w:ascii="宋体" w:hAnsi="宋体" w:eastAsia="宋体" w:cs="宋体"/>
                <w:color w:val="000000"/>
                <w:kern w:val="0"/>
                <w:sz w:val="20"/>
                <w:szCs w:val="20"/>
                <w:highlight w:val="none"/>
              </w:rPr>
              <w:t>集听书资源，≥</w:t>
            </w:r>
            <w:r>
              <w:rPr>
                <w:rFonts w:ascii="Times New Roman" w:hAnsi="Times New Roman" w:eastAsia="宋体" w:cs="Times New Roman"/>
                <w:color w:val="000000"/>
                <w:kern w:val="0"/>
                <w:sz w:val="20"/>
                <w:szCs w:val="20"/>
                <w:highlight w:val="none"/>
              </w:rPr>
              <w:t>100</w:t>
            </w:r>
            <w:r>
              <w:rPr>
                <w:rFonts w:hint="eastAsia" w:ascii="宋体" w:hAnsi="宋体" w:eastAsia="宋体" w:cs="宋体"/>
                <w:color w:val="000000"/>
                <w:kern w:val="0"/>
                <w:sz w:val="20"/>
                <w:szCs w:val="20"/>
                <w:highlight w:val="none"/>
              </w:rPr>
              <w:t>节视频。</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支持图书、听书资源的扫码借阅。</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提供微信扫码借阅</w:t>
            </w:r>
            <w:r>
              <w:rPr>
                <w:rFonts w:ascii="Times New Roman" w:hAnsi="Times New Roman" w:eastAsia="宋体" w:cs="Times New Roman"/>
                <w:color w:val="000000"/>
                <w:kern w:val="0"/>
                <w:sz w:val="20"/>
                <w:szCs w:val="20"/>
                <w:highlight w:val="none"/>
              </w:rPr>
              <w:t>,</w:t>
            </w:r>
            <w:r>
              <w:rPr>
                <w:rFonts w:hint="eastAsia" w:ascii="宋体" w:hAnsi="宋体" w:eastAsia="宋体" w:cs="宋体"/>
                <w:color w:val="000000"/>
                <w:kern w:val="0"/>
                <w:sz w:val="20"/>
                <w:szCs w:val="20"/>
                <w:highlight w:val="none"/>
              </w:rPr>
              <w:t>微信端提供书城模块。</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 xml:space="preserve">4. </w:t>
            </w:r>
            <w:r>
              <w:rPr>
                <w:rFonts w:hint="eastAsia" w:ascii="宋体" w:hAnsi="宋体" w:eastAsia="宋体" w:cs="宋体"/>
                <w:color w:val="000000"/>
                <w:kern w:val="0"/>
                <w:sz w:val="20"/>
                <w:szCs w:val="20"/>
                <w:highlight w:val="none"/>
              </w:rPr>
              <w:t>为保证用户使用资源的正版性质，提供的资源需要完全解决版权问题，不能存在任何的版权纠纷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数据更新量：所有数据更新年度不小于</w:t>
            </w:r>
            <w:r>
              <w:rPr>
                <w:rFonts w:ascii="Times New Roman" w:hAnsi="Times New Roman" w:eastAsia="宋体" w:cs="Times New Roman"/>
                <w:color w:val="000000"/>
                <w:kern w:val="0"/>
                <w:sz w:val="20"/>
                <w:szCs w:val="20"/>
                <w:highlight w:val="none"/>
              </w:rPr>
              <w:t>10%</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w:t>
            </w:r>
            <w:r>
              <w:rPr>
                <w:rFonts w:hint="eastAsia" w:ascii="宋体" w:hAnsi="宋体" w:eastAsia="宋体" w:cs="宋体"/>
                <w:color w:val="000000"/>
                <w:kern w:val="0"/>
                <w:sz w:val="20"/>
                <w:szCs w:val="20"/>
                <w:highlight w:val="none"/>
              </w:rPr>
              <w:t>电子图书须为</w:t>
            </w:r>
            <w:r>
              <w:rPr>
                <w:rFonts w:ascii="Times New Roman" w:hAnsi="Times New Roman" w:eastAsia="宋体" w:cs="Times New Roman"/>
                <w:color w:val="000000"/>
                <w:kern w:val="0"/>
                <w:sz w:val="20"/>
                <w:szCs w:val="20"/>
                <w:highlight w:val="none"/>
              </w:rPr>
              <w:t>EPUB</w:t>
            </w:r>
            <w:r>
              <w:rPr>
                <w:rFonts w:hint="eastAsia" w:ascii="宋体" w:hAnsi="宋体" w:eastAsia="宋体" w:cs="宋体"/>
                <w:color w:val="000000"/>
                <w:kern w:val="0"/>
                <w:sz w:val="20"/>
                <w:szCs w:val="20"/>
                <w:highlight w:val="none"/>
              </w:rPr>
              <w:t>或</w:t>
            </w:r>
            <w:r>
              <w:rPr>
                <w:rFonts w:ascii="Times New Roman" w:hAnsi="Times New Roman" w:eastAsia="宋体" w:cs="Times New Roman"/>
                <w:color w:val="000000"/>
                <w:kern w:val="0"/>
                <w:sz w:val="20"/>
                <w:szCs w:val="20"/>
                <w:highlight w:val="none"/>
              </w:rPr>
              <w:t>PDF</w:t>
            </w:r>
            <w:r>
              <w:rPr>
                <w:rFonts w:hint="eastAsia" w:ascii="宋体" w:hAnsi="宋体" w:eastAsia="宋体" w:cs="宋体"/>
                <w:color w:val="000000"/>
                <w:kern w:val="0"/>
                <w:sz w:val="20"/>
                <w:szCs w:val="20"/>
                <w:highlight w:val="none"/>
              </w:rPr>
              <w:t>格式，以保证图书的阅读体验和阅读</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CBA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82A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D6505">
            <w:pPr>
              <w:jc w:val="center"/>
              <w:rPr>
                <w:rFonts w:ascii="宋体" w:hAnsi="宋体" w:eastAsia="宋体" w:cs="宋体"/>
                <w:color w:val="000000"/>
                <w:sz w:val="20"/>
                <w:szCs w:val="20"/>
                <w:highlight w:val="none"/>
              </w:rPr>
            </w:pPr>
          </w:p>
        </w:tc>
      </w:tr>
      <w:tr w14:paraId="0948144F">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D9D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8</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1B87">
            <w:pPr>
              <w:widowControl/>
              <w:jc w:val="center"/>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文化卷轴互动墙</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53677">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t>AR</w:t>
            </w:r>
            <w:r>
              <w:rPr>
                <w:rFonts w:hint="eastAsia" w:ascii="宋体" w:hAnsi="宋体" w:eastAsia="宋体" w:cs="宋体"/>
                <w:color w:val="000000"/>
                <w:kern w:val="0"/>
                <w:sz w:val="20"/>
                <w:szCs w:val="20"/>
                <w:highlight w:val="none"/>
              </w:rPr>
              <w:t>中国古代史历史卷轴</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包含从原始农耕社会阶段历史开始到清朝历史止的历史事件，卷轴图中标注有重点历史事件、国家宝藏及国家重点博物馆，通过</w:t>
            </w:r>
            <w:r>
              <w:rPr>
                <w:rFonts w:ascii="Times New Roman" w:hAnsi="Times New Roman" w:eastAsia="宋体" w:cs="Times New Roman"/>
                <w:color w:val="000000"/>
                <w:kern w:val="0"/>
                <w:sz w:val="20"/>
                <w:szCs w:val="20"/>
                <w:highlight w:val="none"/>
              </w:rPr>
              <w:t>AR</w:t>
            </w:r>
            <w:r>
              <w:rPr>
                <w:rFonts w:hint="eastAsia" w:ascii="宋体" w:hAnsi="宋体" w:eastAsia="宋体" w:cs="宋体"/>
                <w:color w:val="000000"/>
                <w:kern w:val="0"/>
                <w:sz w:val="20"/>
                <w:szCs w:val="20"/>
                <w:highlight w:val="none"/>
              </w:rPr>
              <w:t>识别后能够呈现国家重点博物馆</w:t>
            </w:r>
            <w:r>
              <w:rPr>
                <w:rFonts w:ascii="Times New Roman" w:hAnsi="Times New Roman" w:eastAsia="宋体" w:cs="Times New Roman"/>
                <w:color w:val="000000"/>
                <w:kern w:val="0"/>
                <w:sz w:val="20"/>
                <w:szCs w:val="20"/>
                <w:highlight w:val="none"/>
              </w:rPr>
              <w:t>720VR</w:t>
            </w:r>
            <w:r>
              <w:rPr>
                <w:rFonts w:hint="eastAsia" w:ascii="宋体" w:hAnsi="宋体" w:eastAsia="宋体" w:cs="宋体"/>
                <w:color w:val="000000"/>
                <w:kern w:val="0"/>
                <w:sz w:val="20"/>
                <w:szCs w:val="20"/>
                <w:highlight w:val="none"/>
              </w:rPr>
              <w:t>实景</w:t>
            </w:r>
            <w:r>
              <w:rPr>
                <w:rFonts w:ascii="Times New Roman" w:hAnsi="Times New Roman" w:eastAsia="宋体" w:cs="Times New Roman"/>
                <w:color w:val="000000"/>
                <w:kern w:val="0"/>
                <w:sz w:val="20"/>
                <w:szCs w:val="20"/>
                <w:highlight w:val="none"/>
              </w:rPr>
              <w:t>≥20</w:t>
            </w:r>
            <w:r>
              <w:rPr>
                <w:rFonts w:hint="eastAsia" w:ascii="宋体" w:hAnsi="宋体" w:eastAsia="宋体" w:cs="宋体"/>
                <w:color w:val="000000"/>
                <w:kern w:val="0"/>
                <w:sz w:val="20"/>
                <w:szCs w:val="20"/>
                <w:highlight w:val="none"/>
              </w:rPr>
              <w:t>个，每个实景中包含博物馆外观及馆内各个部分的实景，可以</w:t>
            </w:r>
            <w:r>
              <w:rPr>
                <w:rFonts w:ascii="Times New Roman" w:hAnsi="Times New Roman" w:eastAsia="宋体" w:cs="Times New Roman"/>
                <w:color w:val="000000"/>
                <w:kern w:val="0"/>
                <w:sz w:val="20"/>
                <w:szCs w:val="20"/>
                <w:highlight w:val="none"/>
              </w:rPr>
              <w:t>720°</w:t>
            </w:r>
            <w:r>
              <w:rPr>
                <w:rFonts w:hint="eastAsia" w:ascii="宋体" w:hAnsi="宋体" w:eastAsia="宋体" w:cs="宋体"/>
                <w:color w:val="000000"/>
                <w:kern w:val="0"/>
                <w:sz w:val="20"/>
                <w:szCs w:val="20"/>
                <w:highlight w:val="none"/>
              </w:rPr>
              <w:t>线上参观，对于每个馆的场景可以语音进行介绍历史背景资料、国家宝藏文物</w:t>
            </w:r>
            <w:r>
              <w:rPr>
                <w:rFonts w:ascii="Times New Roman" w:hAnsi="Times New Roman" w:eastAsia="宋体" w:cs="Times New Roman"/>
                <w:color w:val="000000"/>
                <w:kern w:val="0"/>
                <w:sz w:val="20"/>
                <w:szCs w:val="20"/>
                <w:highlight w:val="none"/>
              </w:rPr>
              <w:t>33</w:t>
            </w:r>
            <w:r>
              <w:rPr>
                <w:rFonts w:hint="eastAsia" w:ascii="宋体" w:hAnsi="宋体" w:eastAsia="宋体" w:cs="宋体"/>
                <w:color w:val="000000"/>
                <w:kern w:val="0"/>
                <w:sz w:val="20"/>
                <w:szCs w:val="20"/>
                <w:highlight w:val="none"/>
              </w:rPr>
              <w:t>个，文物呈现方式以裸眼</w:t>
            </w:r>
            <w:r>
              <w:rPr>
                <w:rFonts w:ascii="Times New Roman" w:hAnsi="Times New Roman" w:eastAsia="宋体" w:cs="Times New Roman"/>
                <w:color w:val="000000"/>
                <w:kern w:val="0"/>
                <w:sz w:val="20"/>
                <w:szCs w:val="20"/>
                <w:highlight w:val="none"/>
              </w:rPr>
              <w:t>3D</w:t>
            </w:r>
            <w:r>
              <w:rPr>
                <w:rFonts w:hint="eastAsia" w:ascii="宋体" w:hAnsi="宋体" w:eastAsia="宋体" w:cs="宋体"/>
                <w:color w:val="000000"/>
                <w:kern w:val="0"/>
                <w:sz w:val="20"/>
                <w:szCs w:val="20"/>
                <w:highlight w:val="none"/>
              </w:rPr>
              <w:t>方式，文物可以触控各个角度进行鉴赏，放大学校重点纹饰铭文等可以标记，文物重要特点具有语音介绍功能、每个历史阶段时期的语音介绍</w:t>
            </w:r>
            <w:r>
              <w:rPr>
                <w:rFonts w:ascii="Times New Roman" w:hAnsi="Times New Roman" w:eastAsia="宋体" w:cs="Times New Roman"/>
                <w:color w:val="000000"/>
                <w:kern w:val="0"/>
                <w:sz w:val="20"/>
                <w:szCs w:val="20"/>
                <w:highlight w:val="none"/>
              </w:rPr>
              <w:t>≥26</w:t>
            </w:r>
            <w:r>
              <w:rPr>
                <w:rFonts w:hint="eastAsia" w:ascii="宋体" w:hAnsi="宋体" w:eastAsia="宋体" w:cs="宋体"/>
                <w:color w:val="000000"/>
                <w:kern w:val="0"/>
                <w:sz w:val="20"/>
                <w:szCs w:val="20"/>
                <w:highlight w:val="none"/>
              </w:rPr>
              <w:t>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、国宝讲堂</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名师讲解与科技的力量，</w:t>
            </w:r>
            <w:r>
              <w:rPr>
                <w:rFonts w:ascii="Times New Roman" w:hAnsi="Times New Roman" w:eastAsia="宋体" w:cs="Times New Roman"/>
                <w:color w:val="000000"/>
                <w:kern w:val="0"/>
                <w:sz w:val="20"/>
                <w:szCs w:val="20"/>
                <w:highlight w:val="none"/>
              </w:rPr>
              <w:t>≥40</w:t>
            </w:r>
            <w:r>
              <w:rPr>
                <w:rFonts w:hint="eastAsia" w:ascii="宋体" w:hAnsi="宋体" w:eastAsia="宋体" w:cs="宋体"/>
                <w:color w:val="000000"/>
                <w:kern w:val="0"/>
                <w:sz w:val="20"/>
                <w:szCs w:val="20"/>
                <w:highlight w:val="none"/>
              </w:rPr>
              <w:t>余套历史名师国宝讲堂，让我们突破时空，与国宝对话</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、博物馆里的中国故事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w:t>
            </w:r>
            <w:r>
              <w:rPr>
                <w:rFonts w:hint="eastAsia" w:ascii="宋体" w:hAnsi="宋体" w:eastAsia="宋体" w:cs="宋体"/>
                <w:color w:val="000000"/>
                <w:kern w:val="0"/>
                <w:sz w:val="20"/>
                <w:szCs w:val="20"/>
                <w:highlight w:val="none"/>
              </w:rPr>
              <w:t>节视频课程，内容从史前时期、夏商西周、春秋战国、秦、汉、三国，到两晋、南北朝、隋、唐、五代十国、宋、元、明、清，再到中华民国，直至中华人民共和国成立。每节课时</w:t>
            </w:r>
            <w:r>
              <w:rPr>
                <w:rFonts w:ascii="Times New Roman" w:hAnsi="Times New Roman" w:eastAsia="宋体" w:cs="Times New Roman"/>
                <w:color w:val="000000"/>
                <w:kern w:val="0"/>
                <w:sz w:val="20"/>
                <w:szCs w:val="20"/>
                <w:highlight w:val="none"/>
              </w:rPr>
              <w:t>40-60</w:t>
            </w:r>
            <w:r>
              <w:rPr>
                <w:rFonts w:hint="eastAsia" w:ascii="宋体" w:hAnsi="宋体" w:eastAsia="宋体" w:cs="宋体"/>
                <w:color w:val="000000"/>
                <w:kern w:val="0"/>
                <w:sz w:val="20"/>
                <w:szCs w:val="20"/>
                <w:highlight w:val="none"/>
              </w:rPr>
              <w:t>分钟，课程内容构成包括但不限于：</w:t>
            </w:r>
            <w:r>
              <w:rPr>
                <w:rFonts w:ascii="Times New Roman" w:hAnsi="Times New Roman" w:eastAsia="宋体" w:cs="Times New Roman"/>
                <w:color w:val="000000"/>
                <w:kern w:val="0"/>
                <w:sz w:val="20"/>
                <w:szCs w:val="20"/>
                <w:highlight w:val="none"/>
              </w:rPr>
              <w:t>3D</w:t>
            </w:r>
            <w:r>
              <w:rPr>
                <w:rFonts w:hint="eastAsia" w:ascii="宋体" w:hAnsi="宋体" w:eastAsia="宋体" w:cs="宋体"/>
                <w:color w:val="000000"/>
                <w:kern w:val="0"/>
                <w:sz w:val="20"/>
                <w:szCs w:val="20"/>
                <w:highlight w:val="none"/>
              </w:rPr>
              <w:t>文物部分（</w:t>
            </w:r>
            <w:r>
              <w:rPr>
                <w:rFonts w:ascii="Times New Roman" w:hAnsi="Times New Roman" w:eastAsia="宋体" w:cs="Times New Roman"/>
                <w:color w:val="000000"/>
                <w:kern w:val="0"/>
                <w:sz w:val="20"/>
                <w:szCs w:val="20"/>
                <w:highlight w:val="none"/>
              </w:rPr>
              <w:t>20-30</w:t>
            </w:r>
            <w:r>
              <w:rPr>
                <w:rFonts w:hint="eastAsia" w:ascii="宋体" w:hAnsi="宋体" w:eastAsia="宋体" w:cs="宋体"/>
                <w:color w:val="000000"/>
                <w:kern w:val="0"/>
                <w:sz w:val="20"/>
                <w:szCs w:val="20"/>
                <w:highlight w:val="none"/>
              </w:rPr>
              <w:t>分钟）：以时代典型事件为课程内容，用博物馆经典文物作为历史史料，通过</w:t>
            </w:r>
            <w:r>
              <w:rPr>
                <w:rFonts w:ascii="Times New Roman" w:hAnsi="Times New Roman" w:eastAsia="宋体" w:cs="Times New Roman"/>
                <w:color w:val="000000"/>
                <w:kern w:val="0"/>
                <w:sz w:val="20"/>
                <w:szCs w:val="20"/>
                <w:highlight w:val="none"/>
              </w:rPr>
              <w:t>AR</w:t>
            </w:r>
            <w:r>
              <w:rPr>
                <w:rFonts w:hint="eastAsia" w:ascii="宋体" w:hAnsi="宋体" w:eastAsia="宋体" w:cs="宋体"/>
                <w:color w:val="000000"/>
                <w:kern w:val="0"/>
                <w:sz w:val="20"/>
                <w:szCs w:val="20"/>
                <w:highlight w:val="none"/>
              </w:rPr>
              <w:t>增强现实技术立体呈现，</w:t>
            </w:r>
            <w:r>
              <w:rPr>
                <w:rFonts w:ascii="Times New Roman" w:hAnsi="Times New Roman" w:eastAsia="宋体" w:cs="Times New Roman"/>
                <w:color w:val="000000"/>
                <w:kern w:val="0"/>
                <w:sz w:val="20"/>
                <w:szCs w:val="20"/>
                <w:highlight w:val="none"/>
              </w:rPr>
              <w:t>360°</w:t>
            </w:r>
            <w:r>
              <w:rPr>
                <w:rFonts w:hint="eastAsia" w:ascii="宋体" w:hAnsi="宋体" w:eastAsia="宋体" w:cs="宋体"/>
                <w:color w:val="000000"/>
                <w:kern w:val="0"/>
                <w:sz w:val="20"/>
                <w:szCs w:val="20"/>
                <w:highlight w:val="none"/>
              </w:rPr>
              <w:t>互动鉴赏。</w:t>
            </w:r>
            <w:r>
              <w:rPr>
                <w:rFonts w:ascii="Times New Roman" w:hAnsi="Times New Roman" w:eastAsia="宋体" w:cs="Times New Roman"/>
                <w:color w:val="000000"/>
                <w:kern w:val="0"/>
                <w:sz w:val="20"/>
                <w:szCs w:val="20"/>
                <w:highlight w:val="none"/>
              </w:rPr>
              <w:t>720°VR</w:t>
            </w:r>
            <w:r>
              <w:rPr>
                <w:rFonts w:hint="eastAsia" w:ascii="宋体" w:hAnsi="宋体" w:eastAsia="宋体" w:cs="宋体"/>
                <w:color w:val="000000"/>
                <w:kern w:val="0"/>
                <w:sz w:val="20"/>
                <w:szCs w:val="20"/>
                <w:highlight w:val="none"/>
              </w:rPr>
              <w:t>博物馆（</w:t>
            </w:r>
            <w:r>
              <w:rPr>
                <w:rFonts w:ascii="Times New Roman" w:hAnsi="Times New Roman" w:eastAsia="宋体" w:cs="Times New Roman"/>
                <w:color w:val="000000"/>
                <w:kern w:val="0"/>
                <w:sz w:val="20"/>
                <w:szCs w:val="20"/>
                <w:highlight w:val="none"/>
              </w:rPr>
              <w:t>5-10</w:t>
            </w:r>
            <w:r>
              <w:rPr>
                <w:rFonts w:hint="eastAsia" w:ascii="宋体" w:hAnsi="宋体" w:eastAsia="宋体" w:cs="宋体"/>
                <w:color w:val="000000"/>
                <w:kern w:val="0"/>
                <w:sz w:val="20"/>
                <w:szCs w:val="20"/>
                <w:highlight w:val="none"/>
              </w:rPr>
              <w:t>分钟）：依每课主题，甄选一处博物馆，由讲师在线导览及讲述，通过</w:t>
            </w:r>
            <w:r>
              <w:rPr>
                <w:rFonts w:ascii="Times New Roman" w:hAnsi="Times New Roman" w:eastAsia="宋体" w:cs="Times New Roman"/>
                <w:color w:val="000000"/>
                <w:kern w:val="0"/>
                <w:sz w:val="20"/>
                <w:szCs w:val="20"/>
                <w:highlight w:val="none"/>
              </w:rPr>
              <w:t>VR</w:t>
            </w:r>
            <w:r>
              <w:rPr>
                <w:rFonts w:hint="eastAsia" w:ascii="宋体" w:hAnsi="宋体" w:eastAsia="宋体" w:cs="宋体"/>
                <w:color w:val="000000"/>
                <w:kern w:val="0"/>
                <w:sz w:val="20"/>
                <w:szCs w:val="20"/>
                <w:highlight w:val="none"/>
              </w:rPr>
              <w:t>虚拟现实技术沉浸式游览，轻松实现博物馆云研学。趣味拓展有得益（</w:t>
            </w:r>
            <w:r>
              <w:rPr>
                <w:rFonts w:ascii="Times New Roman" w:hAnsi="Times New Roman" w:eastAsia="宋体" w:cs="Times New Roman"/>
                <w:color w:val="000000"/>
                <w:kern w:val="0"/>
                <w:sz w:val="20"/>
                <w:szCs w:val="20"/>
                <w:highlight w:val="none"/>
              </w:rPr>
              <w:t>5-20</w:t>
            </w:r>
            <w:r>
              <w:rPr>
                <w:rFonts w:hint="eastAsia" w:ascii="宋体" w:hAnsi="宋体" w:eastAsia="宋体" w:cs="宋体"/>
                <w:color w:val="000000"/>
                <w:kern w:val="0"/>
                <w:sz w:val="20"/>
                <w:szCs w:val="20"/>
                <w:highlight w:val="none"/>
              </w:rPr>
              <w:t>分钟）：趣味游戏，互动问答即时评测，每节课都有对应总结互动小游戏，总计</w:t>
            </w:r>
            <w:r>
              <w:rPr>
                <w:rFonts w:ascii="Times New Roman" w:hAnsi="Times New Roman" w:eastAsia="宋体" w:cs="Times New Roman"/>
                <w:color w:val="000000"/>
                <w:kern w:val="0"/>
                <w:sz w:val="20"/>
                <w:szCs w:val="20"/>
                <w:highlight w:val="none"/>
              </w:rPr>
              <w:t>16</w:t>
            </w:r>
            <w:r>
              <w:rPr>
                <w:rFonts w:hint="eastAsia" w:ascii="宋体" w:hAnsi="宋体" w:eastAsia="宋体" w:cs="宋体"/>
                <w:color w:val="000000"/>
                <w:kern w:val="0"/>
                <w:sz w:val="20"/>
                <w:szCs w:val="20"/>
                <w:highlight w:val="none"/>
              </w:rPr>
              <w:t>款课堂互动历史知识小游戏；</w:t>
            </w:r>
            <w:r>
              <w:rPr>
                <w:rFonts w:ascii="Times New Roman" w:hAnsi="Times New Roman" w:eastAsia="宋体" w:cs="Times New Roman"/>
                <w:color w:val="000000"/>
                <w:kern w:val="0"/>
                <w:sz w:val="20"/>
                <w:szCs w:val="20"/>
                <w:highlight w:val="none"/>
              </w:rPr>
              <w:t>≥19</w:t>
            </w:r>
            <w:r>
              <w:rPr>
                <w:rFonts w:hint="eastAsia" w:ascii="宋体" w:hAnsi="宋体" w:eastAsia="宋体" w:cs="宋体"/>
                <w:color w:val="000000"/>
                <w:kern w:val="0"/>
                <w:sz w:val="20"/>
                <w:szCs w:val="20"/>
                <w:highlight w:val="none"/>
              </w:rPr>
              <w:t>处</w:t>
            </w:r>
            <w:r>
              <w:rPr>
                <w:rFonts w:ascii="Times New Roman" w:hAnsi="Times New Roman" w:eastAsia="宋体" w:cs="Times New Roman"/>
                <w:color w:val="000000"/>
                <w:kern w:val="0"/>
                <w:sz w:val="20"/>
                <w:szCs w:val="20"/>
                <w:highlight w:val="none"/>
              </w:rPr>
              <w:t>720°VR</w:t>
            </w:r>
            <w:r>
              <w:rPr>
                <w:rFonts w:hint="eastAsia" w:ascii="宋体" w:hAnsi="宋体" w:eastAsia="宋体" w:cs="宋体"/>
                <w:color w:val="000000"/>
                <w:kern w:val="0"/>
                <w:sz w:val="20"/>
                <w:szCs w:val="20"/>
                <w:highlight w:val="none"/>
              </w:rPr>
              <w:t>主题博物馆、</w:t>
            </w:r>
            <w:r>
              <w:rPr>
                <w:rFonts w:ascii="Times New Roman" w:hAnsi="Times New Roman" w:eastAsia="宋体" w:cs="Times New Roman"/>
                <w:color w:val="000000"/>
                <w:kern w:val="0"/>
                <w:sz w:val="20"/>
                <w:szCs w:val="20"/>
                <w:highlight w:val="none"/>
              </w:rPr>
              <w:t>≥25</w:t>
            </w:r>
            <w:r>
              <w:rPr>
                <w:rFonts w:hint="eastAsia" w:ascii="宋体" w:hAnsi="宋体" w:eastAsia="宋体" w:cs="宋体"/>
                <w:color w:val="000000"/>
                <w:kern w:val="0"/>
                <w:sz w:val="20"/>
                <w:szCs w:val="20"/>
                <w:highlight w:val="none"/>
              </w:rPr>
              <w:t>件裸眼</w:t>
            </w:r>
            <w:r>
              <w:rPr>
                <w:rFonts w:ascii="Times New Roman" w:hAnsi="Times New Roman" w:eastAsia="宋体" w:cs="Times New Roman"/>
                <w:color w:val="000000"/>
                <w:kern w:val="0"/>
                <w:sz w:val="20"/>
                <w:szCs w:val="20"/>
                <w:highlight w:val="none"/>
              </w:rPr>
              <w:t>3D</w:t>
            </w:r>
            <w:r>
              <w:rPr>
                <w:rFonts w:hint="eastAsia" w:ascii="宋体" w:hAnsi="宋体" w:eastAsia="宋体" w:cs="宋体"/>
                <w:color w:val="000000"/>
                <w:kern w:val="0"/>
                <w:sz w:val="20"/>
                <w:szCs w:val="20"/>
                <w:highlight w:val="none"/>
              </w:rPr>
              <w:t>镇馆典藏器物、</w:t>
            </w:r>
            <w:r>
              <w:rPr>
                <w:rFonts w:ascii="Times New Roman" w:hAnsi="Times New Roman" w:eastAsia="宋体" w:cs="Times New Roman"/>
                <w:color w:val="000000"/>
                <w:kern w:val="0"/>
                <w:sz w:val="20"/>
                <w:szCs w:val="20"/>
                <w:highlight w:val="none"/>
              </w:rPr>
              <w:t>≥24</w:t>
            </w:r>
            <w:r>
              <w:rPr>
                <w:rFonts w:hint="eastAsia" w:ascii="宋体" w:hAnsi="宋体" w:eastAsia="宋体" w:cs="宋体"/>
                <w:color w:val="000000"/>
                <w:kern w:val="0"/>
                <w:sz w:val="20"/>
                <w:szCs w:val="20"/>
                <w:highlight w:val="none"/>
              </w:rPr>
              <w:t>幅主要朝代全盛时期形式图可单独调出学习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、长卷</w:t>
            </w:r>
            <w:r>
              <w:rPr>
                <w:rFonts w:ascii="Times New Roman" w:hAnsi="Times New Roman" w:eastAsia="宋体" w:cs="Times New Roman"/>
                <w:color w:val="000000"/>
                <w:kern w:val="0"/>
                <w:sz w:val="20"/>
                <w:szCs w:val="20"/>
                <w:highlight w:val="none"/>
              </w:rPr>
              <w:t>AR</w:t>
            </w:r>
            <w:r>
              <w:rPr>
                <w:rFonts w:hint="eastAsia" w:ascii="宋体" w:hAnsi="宋体" w:eastAsia="宋体" w:cs="宋体"/>
                <w:color w:val="000000"/>
                <w:kern w:val="0"/>
                <w:sz w:val="20"/>
                <w:szCs w:val="20"/>
                <w:highlight w:val="none"/>
              </w:rPr>
              <w:t>识别图使用、历史资源永久授权</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0DD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319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776B">
            <w:pPr>
              <w:jc w:val="center"/>
              <w:rPr>
                <w:rFonts w:ascii="宋体" w:hAnsi="宋体" w:eastAsia="宋体" w:cs="宋体"/>
                <w:color w:val="000000"/>
                <w:sz w:val="20"/>
                <w:szCs w:val="20"/>
                <w:highlight w:val="none"/>
              </w:rPr>
            </w:pPr>
          </w:p>
        </w:tc>
      </w:tr>
      <w:tr w14:paraId="29BF0273">
        <w:tblPrEx>
          <w:tblCellMar>
            <w:top w:w="0" w:type="dxa"/>
            <w:left w:w="108" w:type="dxa"/>
            <w:bottom w:w="0" w:type="dxa"/>
            <w:right w:w="108" w:type="dxa"/>
          </w:tblCellMar>
        </w:tblPrEx>
        <w:trPr>
          <w:trHeight w:val="400" w:hRule="atLeast"/>
        </w:trPr>
        <w:tc>
          <w:tcPr>
            <w:tcW w:w="4005" w:type="pct"/>
            <w:gridSpan w:val="3"/>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A2E7A15">
            <w:pPr>
              <w:widowControl/>
              <w:jc w:val="left"/>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2.AI智阅批改区</w:t>
            </w:r>
          </w:p>
        </w:tc>
        <w:tc>
          <w:tcPr>
            <w:tcW w:w="239"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4A52219">
            <w:pPr>
              <w:widowControl/>
              <w:jc w:val="left"/>
              <w:textAlignment w:val="center"/>
              <w:rPr>
                <w:rFonts w:hint="eastAsia" w:ascii="宋体" w:hAnsi="宋体" w:eastAsia="宋体" w:cs="宋体"/>
                <w:b/>
                <w:bCs/>
                <w:color w:val="000000"/>
                <w:kern w:val="0"/>
                <w:sz w:val="20"/>
                <w:szCs w:val="20"/>
                <w:highlight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F8E4C75">
            <w:pPr>
              <w:widowControl/>
              <w:jc w:val="left"/>
              <w:textAlignment w:val="center"/>
              <w:rPr>
                <w:rFonts w:hint="eastAsia" w:ascii="宋体" w:hAnsi="宋体" w:eastAsia="宋体" w:cs="宋体"/>
                <w:b/>
                <w:bCs/>
                <w:color w:val="000000"/>
                <w:kern w:val="0"/>
                <w:sz w:val="20"/>
                <w:szCs w:val="20"/>
                <w:highlight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A37E230">
            <w:pPr>
              <w:widowControl/>
              <w:jc w:val="left"/>
              <w:textAlignment w:val="center"/>
              <w:rPr>
                <w:rFonts w:hint="eastAsia" w:ascii="宋体" w:hAnsi="宋体" w:eastAsia="宋体" w:cs="宋体"/>
                <w:b/>
                <w:bCs/>
                <w:color w:val="000000"/>
                <w:kern w:val="0"/>
                <w:sz w:val="20"/>
                <w:szCs w:val="20"/>
                <w:highlight w:val="none"/>
              </w:rPr>
            </w:pPr>
          </w:p>
        </w:tc>
      </w:tr>
      <w:tr w14:paraId="2F401DE9">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C41A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E19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AI信息查询机</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8EC2D">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≥32英寸屏幕，4K超高清显示，低蓝光护眼，可触控类纸屏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≥8G+≥256G</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eastAsia="宋体" w:cs="Times New Roman"/>
                <w:color w:val="000000"/>
                <w:kern w:val="0"/>
                <w:sz w:val="20"/>
                <w:szCs w:val="20"/>
                <w:highlight w:val="none"/>
              </w:rPr>
              <w:t>包含</w:t>
            </w:r>
            <w:r>
              <w:rPr>
                <w:rFonts w:ascii="Times New Roman" w:hAnsi="Times New Roman" w:eastAsia="宋体" w:cs="Times New Roman"/>
                <w:color w:val="000000"/>
                <w:kern w:val="0"/>
                <w:sz w:val="20"/>
                <w:szCs w:val="20"/>
                <w:highlight w:val="none"/>
              </w:rPr>
              <w:t>HDMI接口Type C</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含鼠标键盘</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8F6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FAB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719E">
            <w:pPr>
              <w:jc w:val="center"/>
              <w:rPr>
                <w:rFonts w:ascii="宋体" w:hAnsi="宋体" w:eastAsia="宋体" w:cs="宋体"/>
                <w:color w:val="000000"/>
                <w:sz w:val="20"/>
                <w:szCs w:val="20"/>
                <w:highlight w:val="none"/>
              </w:rPr>
            </w:pPr>
          </w:p>
        </w:tc>
      </w:tr>
      <w:tr w14:paraId="4196DF02">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26CB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F5E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智能作业扫描留痕</w:t>
            </w:r>
            <w:r>
              <w:rPr>
                <w:rFonts w:hint="eastAsia" w:ascii="Times New Roman" w:hAnsi="Times New Roman" w:eastAsia="宋体" w:cs="Times New Roman"/>
                <w:color w:val="000000"/>
                <w:kern w:val="0"/>
                <w:sz w:val="20"/>
                <w:szCs w:val="20"/>
                <w:highlight w:val="none"/>
              </w:rPr>
              <w:t>批改</w:t>
            </w:r>
            <w:r>
              <w:rPr>
                <w:rFonts w:ascii="Times New Roman" w:hAnsi="Times New Roman" w:eastAsia="宋体" w:cs="Times New Roman"/>
                <w:color w:val="000000"/>
                <w:kern w:val="0"/>
                <w:sz w:val="20"/>
                <w:szCs w:val="20"/>
                <w:highlight w:val="none"/>
              </w:rPr>
              <w:t>一体机</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EDA5">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支持作业云打印、作业扫描、作业批改痕迹留痕打印一体，读卡器自动识别，双纸盒，最大支持A3幅面，扫描速度单面60页/分，双面120页/分，可实现教师布置作业后，远程刷卡打印本班批改留痕作业。</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1328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C1D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75B4">
            <w:pPr>
              <w:jc w:val="center"/>
              <w:rPr>
                <w:rFonts w:ascii="宋体" w:hAnsi="宋体" w:eastAsia="宋体" w:cs="宋体"/>
                <w:color w:val="000000"/>
                <w:sz w:val="20"/>
                <w:szCs w:val="20"/>
                <w:highlight w:val="none"/>
              </w:rPr>
            </w:pPr>
          </w:p>
        </w:tc>
      </w:tr>
      <w:tr w14:paraId="27619DB9">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CEC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D0AF">
            <w:pPr>
              <w:widowControl/>
              <w:jc w:val="center"/>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kern w:val="0"/>
                <w:sz w:val="20"/>
                <w:szCs w:val="20"/>
                <w:highlight w:val="none"/>
              </w:rPr>
              <w:t>语文教室</w:t>
            </w:r>
            <w:r>
              <w:rPr>
                <w:rFonts w:ascii="Times New Roman" w:hAnsi="Times New Roman" w:eastAsia="宋体" w:cs="Times New Roman"/>
                <w:color w:val="000000"/>
                <w:kern w:val="0"/>
                <w:sz w:val="20"/>
                <w:szCs w:val="20"/>
                <w:highlight w:val="none"/>
              </w:rPr>
              <w:t>文心雅座</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BDCE">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实木材质</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8E1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组</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9C7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EF09">
            <w:pPr>
              <w:jc w:val="center"/>
              <w:rPr>
                <w:rFonts w:ascii="宋体" w:hAnsi="宋体" w:eastAsia="宋体" w:cs="宋体"/>
                <w:color w:val="000000"/>
                <w:sz w:val="20"/>
                <w:szCs w:val="20"/>
                <w:highlight w:val="none"/>
              </w:rPr>
            </w:pPr>
          </w:p>
        </w:tc>
      </w:tr>
      <w:tr w14:paraId="63FD479A">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037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556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语文教室专用置物架</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AD62">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1、基材：采用优质三聚氰胺板,优质绿色环保产品,含水 率10.8%，甲醛释放量5.1mg/100g, 2、粘合剂：优质乳胶,游离甲醛含量＜0.05g/kg， 3、封边用材：1mm厚PVC胶边，热熔胶.          4、品牌优质五金配件；</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DE2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658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726D">
            <w:pPr>
              <w:jc w:val="center"/>
              <w:rPr>
                <w:rFonts w:ascii="宋体" w:hAnsi="宋体" w:eastAsia="宋体" w:cs="宋体"/>
                <w:color w:val="000000"/>
                <w:sz w:val="20"/>
                <w:szCs w:val="20"/>
                <w:highlight w:val="none"/>
              </w:rPr>
            </w:pPr>
          </w:p>
        </w:tc>
      </w:tr>
      <w:tr w14:paraId="3E27C148">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A19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CD2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语文教室专用造型书架</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0F13">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1.柜体规格:≥8400mm*3000mm进深500mm</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2.材料种类、规格:成品20厚实木免漆板（机械封边）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3.上端新做单层书柜，含背板、成品20厚实木免漆板（机械封边）；一层门洞区域新做内外双层书柜，含背板成品20厚实木免漆板（机械封边）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4.新做弧形门洞边框，4mm厚木纹金属复合板（30*30*2热镀锌方管骨架@400(弯曲））</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C59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项</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4FD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E22C">
            <w:pPr>
              <w:jc w:val="center"/>
              <w:rPr>
                <w:rFonts w:ascii="宋体" w:hAnsi="宋体" w:eastAsia="宋体" w:cs="宋体"/>
                <w:color w:val="000000"/>
                <w:sz w:val="20"/>
                <w:szCs w:val="20"/>
                <w:highlight w:val="none"/>
              </w:rPr>
            </w:pPr>
          </w:p>
        </w:tc>
      </w:tr>
      <w:tr w14:paraId="10D03984">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C64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F18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语文教室专用隔断</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E282">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樟子松，图案可</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3AB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扇</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9F7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675D">
            <w:pPr>
              <w:jc w:val="center"/>
              <w:rPr>
                <w:rFonts w:ascii="宋体" w:hAnsi="宋体" w:eastAsia="宋体" w:cs="宋体"/>
                <w:color w:val="000000"/>
                <w:sz w:val="20"/>
                <w:szCs w:val="20"/>
                <w:highlight w:val="none"/>
              </w:rPr>
            </w:pPr>
          </w:p>
        </w:tc>
      </w:tr>
      <w:tr w14:paraId="676B98D5">
        <w:tblPrEx>
          <w:tblCellMar>
            <w:top w:w="0" w:type="dxa"/>
            <w:left w:w="108" w:type="dxa"/>
            <w:bottom w:w="0" w:type="dxa"/>
            <w:right w:w="108" w:type="dxa"/>
          </w:tblCellMar>
        </w:tblPrEx>
        <w:trPr>
          <w:trHeight w:val="400" w:hRule="atLeast"/>
        </w:trPr>
        <w:tc>
          <w:tcPr>
            <w:tcW w:w="4005" w:type="pct"/>
            <w:gridSpan w:val="3"/>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1F5C8B71">
            <w:pPr>
              <w:widowControl/>
              <w:jc w:val="left"/>
              <w:textAlignment w:val="center"/>
              <w:rPr>
                <w:rFonts w:hint="eastAsia"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val="en-US" w:eastAsia="zh-CN"/>
              </w:rPr>
              <w:t>3.精准教学讨论区</w:t>
            </w:r>
          </w:p>
        </w:tc>
        <w:tc>
          <w:tcPr>
            <w:tcW w:w="239"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AFCAD1C">
            <w:pPr>
              <w:widowControl/>
              <w:jc w:val="left"/>
              <w:textAlignment w:val="center"/>
              <w:rPr>
                <w:rFonts w:ascii="宋体" w:hAnsi="宋体" w:eastAsia="宋体" w:cs="宋体"/>
                <w:b/>
                <w:bCs/>
                <w:color w:val="000000"/>
                <w:sz w:val="20"/>
                <w:szCs w:val="20"/>
                <w:highlight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5E1E0014">
            <w:pPr>
              <w:widowControl/>
              <w:jc w:val="left"/>
              <w:textAlignment w:val="center"/>
              <w:rPr>
                <w:rFonts w:ascii="宋体" w:hAnsi="宋体" w:eastAsia="宋体" w:cs="宋体"/>
                <w:b/>
                <w:bCs/>
                <w:color w:val="000000"/>
                <w:sz w:val="20"/>
                <w:szCs w:val="20"/>
                <w:highlight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806B083">
            <w:pPr>
              <w:widowControl/>
              <w:jc w:val="left"/>
              <w:textAlignment w:val="center"/>
              <w:rPr>
                <w:rFonts w:ascii="宋体" w:hAnsi="宋体" w:eastAsia="宋体" w:cs="宋体"/>
                <w:b/>
                <w:bCs/>
                <w:color w:val="000000"/>
                <w:sz w:val="20"/>
                <w:szCs w:val="20"/>
                <w:highlight w:val="none"/>
              </w:rPr>
            </w:pPr>
          </w:p>
        </w:tc>
      </w:tr>
      <w:tr w14:paraId="5AB9EB30">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6C0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0B1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语文教室教研专用桌</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196E0">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材质：采用符合E1级环保要求的三聚氰胺板，厚度≥25mm；；封边用材：≥2mm厚PVC胶边，全自动封边机热熔胶封边；桌架采用优质国标碳素钢，桌架壁厚度≥1.2mm，截面≥50*15mm，表面经酸洗磷化、纯环氧树脂塑粉高温固化处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2、优质国标五金配件，隐藏式插座、接线盒。</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A28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DD9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C23A">
            <w:pPr>
              <w:jc w:val="center"/>
              <w:rPr>
                <w:rFonts w:ascii="宋体" w:hAnsi="宋体" w:eastAsia="宋体" w:cs="宋体"/>
                <w:color w:val="000000"/>
                <w:sz w:val="20"/>
                <w:szCs w:val="20"/>
                <w:highlight w:val="none"/>
              </w:rPr>
            </w:pPr>
          </w:p>
        </w:tc>
      </w:tr>
      <w:tr w14:paraId="2DC0A1E0">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67B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F82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语文教室教研专用椅</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29DD">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规格≥460*470*930mm；靠背采用网布材料；座垫内置高回弹定型海绵，外罩网布；PP扶手；电镀钢制弓形腿。</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C03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把</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1BCC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12</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391E">
            <w:pPr>
              <w:jc w:val="center"/>
              <w:rPr>
                <w:rFonts w:ascii="宋体" w:hAnsi="宋体" w:eastAsia="宋体" w:cs="宋体"/>
                <w:color w:val="000000"/>
                <w:sz w:val="20"/>
                <w:szCs w:val="20"/>
                <w:highlight w:val="none"/>
              </w:rPr>
            </w:pPr>
          </w:p>
        </w:tc>
      </w:tr>
      <w:tr w14:paraId="59031067">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FBE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25F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一体机支架</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D53D8">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移动支架通过防倾斜实验，正负</w:t>
            </w:r>
            <w:r>
              <w:rPr>
                <w:rFonts w:ascii="Times New Roman" w:hAnsi="Times New Roman" w:eastAsia="宋体" w:cs="Times New Roman"/>
                <w:color w:val="000000"/>
                <w:kern w:val="0"/>
                <w:sz w:val="20"/>
                <w:szCs w:val="20"/>
                <w:highlight w:val="none"/>
              </w:rPr>
              <w:t>10</w:t>
            </w:r>
            <w:r>
              <w:rPr>
                <w:rFonts w:hint="eastAsia" w:ascii="宋体" w:hAnsi="宋体" w:eastAsia="宋体" w:cs="宋体"/>
                <w:color w:val="000000"/>
                <w:kern w:val="0"/>
                <w:sz w:val="20"/>
                <w:szCs w:val="20"/>
                <w:highlight w:val="none"/>
              </w:rPr>
              <w:t>度倾斜角度下不能翻倒；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承挂</w:t>
            </w:r>
            <w:r>
              <w:rPr>
                <w:rFonts w:ascii="Times New Roman" w:hAnsi="Times New Roman" w:eastAsia="宋体" w:cs="Times New Roman"/>
                <w:color w:val="000000"/>
                <w:kern w:val="0"/>
                <w:sz w:val="20"/>
                <w:szCs w:val="20"/>
                <w:highlight w:val="none"/>
              </w:rPr>
              <w:t>≥100kg</w:t>
            </w:r>
            <w:r>
              <w:rPr>
                <w:rFonts w:hint="eastAsia" w:ascii="宋体" w:hAnsi="宋体" w:eastAsia="宋体" w:cs="宋体"/>
                <w:color w:val="000000"/>
                <w:kern w:val="0"/>
                <w:sz w:val="20"/>
                <w:szCs w:val="20"/>
                <w:highlight w:val="none"/>
              </w:rPr>
              <w:t>；整体高度</w:t>
            </w:r>
            <w:r>
              <w:rPr>
                <w:rFonts w:ascii="Times New Roman" w:hAnsi="Times New Roman" w:eastAsia="宋体" w:cs="Times New Roman"/>
                <w:color w:val="000000"/>
                <w:kern w:val="0"/>
                <w:sz w:val="20"/>
                <w:szCs w:val="20"/>
                <w:highlight w:val="none"/>
              </w:rPr>
              <w:t>≥1597mm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托盘承重</w:t>
            </w:r>
            <w:r>
              <w:rPr>
                <w:rFonts w:ascii="Times New Roman" w:hAnsi="Times New Roman" w:eastAsia="宋体" w:cs="Times New Roman"/>
                <w:color w:val="000000"/>
                <w:kern w:val="0"/>
                <w:sz w:val="20"/>
                <w:szCs w:val="20"/>
                <w:highlight w:val="none"/>
              </w:rPr>
              <w:t>25KG,</w:t>
            </w:r>
            <w:r>
              <w:rPr>
                <w:rFonts w:hint="eastAsia" w:ascii="宋体" w:hAnsi="宋体" w:eastAsia="宋体" w:cs="宋体"/>
                <w:color w:val="000000"/>
                <w:kern w:val="0"/>
                <w:sz w:val="20"/>
                <w:szCs w:val="20"/>
                <w:highlight w:val="none"/>
              </w:rPr>
              <w:t>模具设置</w:t>
            </w:r>
            <w:r>
              <w:rPr>
                <w:rFonts w:ascii="Times New Roman" w:hAnsi="Times New Roman" w:eastAsia="宋体" w:cs="Times New Roman"/>
                <w:color w:val="000000"/>
                <w:kern w:val="0"/>
                <w:sz w:val="20"/>
                <w:szCs w:val="20"/>
                <w:highlight w:val="none"/>
              </w:rPr>
              <w:t>U</w:t>
            </w:r>
            <w:r>
              <w:rPr>
                <w:rFonts w:hint="eastAsia" w:ascii="宋体" w:hAnsi="宋体" w:eastAsia="宋体" w:cs="宋体"/>
                <w:color w:val="000000"/>
                <w:kern w:val="0"/>
                <w:sz w:val="20"/>
                <w:szCs w:val="20"/>
                <w:highlight w:val="none"/>
              </w:rPr>
              <w:t>型置物槽，方便触摸笔、遥控器等物品放置；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支撑立杆采用壁厚</w:t>
            </w:r>
            <w:r>
              <w:rPr>
                <w:rFonts w:ascii="Times New Roman" w:hAnsi="Times New Roman" w:eastAsia="宋体" w:cs="Times New Roman"/>
                <w:color w:val="000000"/>
                <w:kern w:val="0"/>
                <w:sz w:val="20"/>
                <w:szCs w:val="20"/>
                <w:highlight w:val="none"/>
              </w:rPr>
              <w:t>≥1.8mm</w:t>
            </w:r>
            <w:r>
              <w:rPr>
                <w:rFonts w:hint="eastAsia" w:ascii="宋体" w:hAnsi="宋体" w:eastAsia="宋体" w:cs="宋体"/>
                <w:color w:val="000000"/>
                <w:kern w:val="0"/>
                <w:sz w:val="20"/>
                <w:szCs w:val="20"/>
                <w:highlight w:val="none"/>
              </w:rPr>
              <w:t>方通冷轧钢材质，表面黑色喷涂；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脚轮为万向轮，聚氨酯（</w:t>
            </w:r>
            <w:r>
              <w:rPr>
                <w:rFonts w:ascii="Times New Roman" w:hAnsi="Times New Roman" w:eastAsia="宋体" w:cs="Times New Roman"/>
                <w:color w:val="000000"/>
                <w:kern w:val="0"/>
                <w:sz w:val="20"/>
                <w:szCs w:val="20"/>
                <w:highlight w:val="none"/>
              </w:rPr>
              <w:t>PU</w:t>
            </w:r>
            <w:r>
              <w:rPr>
                <w:rFonts w:hint="eastAsia" w:ascii="宋体" w:hAnsi="宋体" w:eastAsia="宋体" w:cs="宋体"/>
                <w:color w:val="000000"/>
                <w:kern w:val="0"/>
                <w:sz w:val="20"/>
                <w:szCs w:val="20"/>
                <w:highlight w:val="none"/>
              </w:rPr>
              <w:t>）材质，均带脚刹，直径不小于∮</w:t>
            </w:r>
            <w:r>
              <w:rPr>
                <w:rFonts w:ascii="Times New Roman" w:hAnsi="Times New Roman" w:eastAsia="宋体" w:cs="Times New Roman"/>
                <w:color w:val="000000"/>
                <w:kern w:val="0"/>
                <w:sz w:val="20"/>
                <w:szCs w:val="20"/>
                <w:highlight w:val="none"/>
              </w:rPr>
              <w:t>75mm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脚轮中心距横向</w:t>
            </w:r>
            <w:r>
              <w:rPr>
                <w:rFonts w:ascii="Times New Roman" w:hAnsi="Times New Roman" w:eastAsia="宋体" w:cs="Times New Roman"/>
                <w:color w:val="000000"/>
                <w:kern w:val="0"/>
                <w:sz w:val="20"/>
                <w:szCs w:val="20"/>
                <w:highlight w:val="none"/>
              </w:rPr>
              <w:t>≥1115mm</w:t>
            </w:r>
            <w:r>
              <w:rPr>
                <w:rFonts w:hint="eastAsia" w:ascii="宋体" w:hAnsi="宋体" w:eastAsia="宋体" w:cs="宋体"/>
                <w:color w:val="000000"/>
                <w:kern w:val="0"/>
                <w:sz w:val="20"/>
                <w:szCs w:val="20"/>
                <w:highlight w:val="none"/>
              </w:rPr>
              <w:t>，纵向</w:t>
            </w:r>
            <w:r>
              <w:rPr>
                <w:rFonts w:ascii="Times New Roman" w:hAnsi="Times New Roman" w:eastAsia="宋体" w:cs="Times New Roman"/>
                <w:color w:val="000000"/>
                <w:kern w:val="0"/>
                <w:sz w:val="20"/>
                <w:szCs w:val="20"/>
                <w:highlight w:val="none"/>
              </w:rPr>
              <w:t>≥627mm</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E59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1D1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A495">
            <w:pPr>
              <w:jc w:val="center"/>
              <w:rPr>
                <w:rFonts w:ascii="宋体" w:hAnsi="宋体" w:eastAsia="宋体" w:cs="宋体"/>
                <w:color w:val="000000"/>
                <w:sz w:val="20"/>
                <w:szCs w:val="20"/>
                <w:highlight w:val="none"/>
              </w:rPr>
            </w:pPr>
          </w:p>
        </w:tc>
      </w:tr>
      <w:tr w14:paraId="745868FD">
        <w:tblPrEx>
          <w:tblCellMar>
            <w:top w:w="0" w:type="dxa"/>
            <w:left w:w="108" w:type="dxa"/>
            <w:bottom w:w="0" w:type="dxa"/>
            <w:right w:w="108" w:type="dxa"/>
          </w:tblCellMar>
        </w:tblPrEx>
        <w:trPr>
          <w:trHeight w:val="400" w:hRule="atLeast"/>
        </w:trPr>
        <w:tc>
          <w:tcPr>
            <w:tcW w:w="4005" w:type="pct"/>
            <w:gridSpan w:val="3"/>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C500B7B">
            <w:pPr>
              <w:widowControl/>
              <w:jc w:val="left"/>
              <w:textAlignment w:val="center"/>
              <w:rPr>
                <w:rFonts w:hint="default"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eastAsia="zh-CN"/>
              </w:rPr>
              <w:t>二、空间建设</w:t>
            </w:r>
          </w:p>
        </w:tc>
        <w:tc>
          <w:tcPr>
            <w:tcW w:w="239"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71DE0AB1">
            <w:pPr>
              <w:widowControl/>
              <w:jc w:val="left"/>
              <w:textAlignment w:val="center"/>
              <w:rPr>
                <w:rFonts w:ascii="宋体" w:hAnsi="宋体" w:eastAsia="宋体" w:cs="宋体"/>
                <w:b/>
                <w:bCs/>
                <w:color w:val="000000"/>
                <w:sz w:val="20"/>
                <w:szCs w:val="20"/>
                <w:highlight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6B1A56A">
            <w:pPr>
              <w:widowControl/>
              <w:jc w:val="left"/>
              <w:textAlignment w:val="center"/>
              <w:rPr>
                <w:rFonts w:ascii="宋体" w:hAnsi="宋体" w:eastAsia="宋体" w:cs="宋体"/>
                <w:b/>
                <w:bCs/>
                <w:color w:val="000000"/>
                <w:sz w:val="20"/>
                <w:szCs w:val="20"/>
                <w:highlight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279FDEDD">
            <w:pPr>
              <w:widowControl/>
              <w:jc w:val="left"/>
              <w:textAlignment w:val="center"/>
              <w:rPr>
                <w:rFonts w:ascii="宋体" w:hAnsi="宋体" w:eastAsia="宋体" w:cs="宋体"/>
                <w:b/>
                <w:bCs/>
                <w:color w:val="000000"/>
                <w:sz w:val="20"/>
                <w:szCs w:val="20"/>
                <w:highlight w:val="none"/>
              </w:rPr>
            </w:pPr>
          </w:p>
        </w:tc>
      </w:tr>
      <w:tr w14:paraId="4AC88EC4">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F457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034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空间氛围建设</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4DA1">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墙面学科文化内容与排版，文化布展的制作与安装；</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根据设计要求进行相关的电路接线（室内需有符合布局的预留线管并穿线）；</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墙面造型及安装；</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造型吊顶，设计，包含吊顶安装及调试。</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6DA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737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156</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20AE">
            <w:pPr>
              <w:jc w:val="center"/>
              <w:rPr>
                <w:rFonts w:ascii="宋体" w:hAnsi="宋体" w:eastAsia="宋体" w:cs="宋体"/>
                <w:color w:val="000000"/>
                <w:sz w:val="20"/>
                <w:szCs w:val="20"/>
                <w:highlight w:val="none"/>
              </w:rPr>
            </w:pPr>
          </w:p>
        </w:tc>
      </w:tr>
      <w:tr w14:paraId="7D24E1B6">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7D8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0FF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照明系统</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84FE">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配合实验室配套艺术造型吊顶安装照明设施，</w:t>
            </w:r>
            <w:r>
              <w:rPr>
                <w:rFonts w:ascii="Times New Roman" w:hAnsi="Times New Roman" w:eastAsia="宋体" w:cs="Times New Roman"/>
                <w:color w:val="000000"/>
                <w:kern w:val="0"/>
                <w:sz w:val="20"/>
                <w:szCs w:val="20"/>
                <w:highlight w:val="none"/>
              </w:rPr>
              <w:t xml:space="preserve">1200*100mmLED </w:t>
            </w:r>
            <w:r>
              <w:rPr>
                <w:rFonts w:hint="eastAsia" w:ascii="宋体" w:hAnsi="宋体" w:eastAsia="宋体" w:cs="宋体"/>
                <w:color w:val="000000"/>
                <w:kern w:val="0"/>
                <w:sz w:val="20"/>
                <w:szCs w:val="20"/>
                <w:highlight w:val="none"/>
              </w:rPr>
              <w:t>照明灯条形灯，约</w:t>
            </w:r>
            <w:r>
              <w:rPr>
                <w:rFonts w:ascii="Times New Roman" w:hAnsi="Times New Roman" w:eastAsia="宋体" w:cs="Times New Roman"/>
                <w:color w:val="000000"/>
                <w:kern w:val="0"/>
                <w:sz w:val="20"/>
                <w:szCs w:val="20"/>
                <w:highlight w:val="none"/>
              </w:rPr>
              <w:t>36W</w:t>
            </w:r>
            <w:r>
              <w:rPr>
                <w:rFonts w:hint="eastAsia" w:ascii="宋体" w:hAnsi="宋体" w:eastAsia="宋体" w:cs="宋体"/>
                <w:color w:val="000000"/>
                <w:kern w:val="0"/>
                <w:sz w:val="20"/>
                <w:szCs w:val="20"/>
                <w:highlight w:val="none"/>
              </w:rPr>
              <w:t>，采用电子变压器，含人工及安装。含管线及墙面控制开关</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BF6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室</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6E9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09C5">
            <w:pPr>
              <w:jc w:val="center"/>
              <w:rPr>
                <w:rFonts w:ascii="宋体" w:hAnsi="宋体" w:eastAsia="宋体" w:cs="宋体"/>
                <w:color w:val="000000"/>
                <w:sz w:val="20"/>
                <w:szCs w:val="20"/>
                <w:highlight w:val="none"/>
              </w:rPr>
            </w:pPr>
          </w:p>
        </w:tc>
      </w:tr>
      <w:tr w14:paraId="19EAE933">
        <w:tblPrEx>
          <w:tblCellMar>
            <w:top w:w="0" w:type="dxa"/>
            <w:left w:w="108" w:type="dxa"/>
            <w:bottom w:w="0" w:type="dxa"/>
            <w:right w:w="108" w:type="dxa"/>
          </w:tblCellMar>
        </w:tblPrEx>
        <w:trPr>
          <w:trHeight w:val="400" w:hRule="atLeast"/>
        </w:trPr>
        <w:tc>
          <w:tcPr>
            <w:tcW w:w="4005" w:type="pct"/>
            <w:gridSpan w:val="3"/>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193C8931">
            <w:pPr>
              <w:widowControl/>
              <w:jc w:val="left"/>
              <w:textAlignment w:val="center"/>
              <w:rPr>
                <w:rFonts w:hint="default"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val="en-US" w:eastAsia="zh-CN"/>
              </w:rPr>
              <w:t>1.无感知AI课堂分析</w:t>
            </w:r>
          </w:p>
        </w:tc>
        <w:tc>
          <w:tcPr>
            <w:tcW w:w="239"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897C751">
            <w:pPr>
              <w:widowControl/>
              <w:jc w:val="left"/>
              <w:textAlignment w:val="center"/>
              <w:rPr>
                <w:rFonts w:ascii="宋体" w:hAnsi="宋体" w:eastAsia="宋体" w:cs="宋体"/>
                <w:b/>
                <w:bCs/>
                <w:color w:val="000000"/>
                <w:sz w:val="20"/>
                <w:szCs w:val="20"/>
                <w:highlight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D5AD293">
            <w:pPr>
              <w:widowControl/>
              <w:jc w:val="left"/>
              <w:textAlignment w:val="center"/>
              <w:rPr>
                <w:rFonts w:ascii="宋体" w:hAnsi="宋体" w:eastAsia="宋体" w:cs="宋体"/>
                <w:b/>
                <w:bCs/>
                <w:color w:val="000000"/>
                <w:sz w:val="20"/>
                <w:szCs w:val="20"/>
                <w:highlight w:val="none"/>
              </w:rPr>
            </w:pPr>
          </w:p>
        </w:tc>
        <w:tc>
          <w:tcPr>
            <w:tcW w:w="4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3584C2A">
            <w:pPr>
              <w:widowControl/>
              <w:jc w:val="left"/>
              <w:textAlignment w:val="center"/>
              <w:rPr>
                <w:rFonts w:ascii="宋体" w:hAnsi="宋体" w:eastAsia="宋体" w:cs="宋体"/>
                <w:b/>
                <w:bCs/>
                <w:color w:val="000000"/>
                <w:sz w:val="20"/>
                <w:szCs w:val="20"/>
                <w:highlight w:val="none"/>
              </w:rPr>
            </w:pPr>
          </w:p>
        </w:tc>
      </w:tr>
      <w:tr w14:paraId="47775060">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44D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CB27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高清录播主机</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E215">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一、整体设计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录播主机整体采用嵌入式设计非PC与服务器工作站等架构以保障系统运行稳定、安全。为放便设备部署考虑，为避免屏幕动态变化影响学生课堂专注力的情况，录播主机需为标准1U机架式设计，机身非壁挂且不存在大面积显示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2.录播主机功能高度集成化需同时具备录制、导播、存储、点播、互动多功能功于一体；</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3.嵌入式架构的录播主机应具有环保特性，需采用不高于DC60V的电压供电，整机正常工作状态下功耗不超过50W；</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4.主机支持≥4路D-Video输入、≥2路HDMI 输入；≥2路HDMI 输出，且输入输出分辨率均支持1080P@30fps；</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5.支持连接摄像机与主机之间通过一根双绞线进行供电、控制、视频信号同传，不接受使用转接器的方式；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6.主机支持≥2路3.5mm线性音频模拟信号输入接口；≥2路3.5mm线性音频输出接口；≥6路数字音频Digital Mic输入接口；</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7.主机支持≥2路Console控制接口（RJ45），支持RS232串行通信协议进行外接控制；≥2路USB 接口，可用于连接U盘等外设；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▲8.主机支持音频“一线通”功能，数字音频输入Digtital mic仅通过一条双绞线即可通过RJ45接口同时实现数字音频信号的采集以及数字麦克风的供电，实现音频信号的高品质、抗干扰稳定传输；</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9.主机兼容标准H.264视频编解码能力，要求支持1080P@30fps、720P@30fps，以及AAC音频编解码协议标准且内置音频处理功能；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10.主机具备标准RJ45网络接口，支持100/1000M网络自适应以及IPv4、IPv6双协议栈；</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11.存储容量：主机储存容量1TB，用于录制视频文件的本地存储；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数字视频传输：支持对高清摄像机实现基于RJ45双绞线的视频裸数据传输技术，区别于IP传输方式，摄像机到录播主机端的视频采集和传输过程无需经过编解码，无画质损耗。具备声画同步机制，实现≤100ms的声画同步，保障录制视频质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▲13.AI边缘计算：要求录播主机支持AI人工智能课堂行为分析能力，无需添加任何设备即可实现基于课堂上师生的行为、表情、语音等相关数据；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二、功能设计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14.系统架构：软件需采用B/S架构设计，支持通过浏览器即可进行管理配置与操作，而无需额外安装客户端或APP；</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▲15.学生AI分析：要求主机具备学生AI分析能力，可提供学生视频分析数据包括但不限于表情数据、行为数据；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▲16.教师AI分析：要求主机具备教师AI分析能力，可提供教师视频分析数据包括但不限于教师授课行为、语音表达数据；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▲17.画面同步：要求录播主机配套摄像机支持在多机位接入的情况下所有画面高度同步。在多画面布局以及多流录制、多流直播的使用场景下不同画面保持≤150ms的同步效果，满足最佳的使用体验；</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18.中英双语：需支持中英双语版本切换，适合不同用户的应用需求。要求通过网络导播界面即可便捷切换，无需进行更改授权、系统升级等复杂操作；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19.上电模式：需支持通电模式选择，实现主机通电后自动进入相应模式，包含但不限于自动开机、开机且休眠、不开机等模式；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20.版本管理：支持查看系统软件版本，提供离线文件升级、网络在线升级和定时自动升级三种升级方式，且支持导出和导入系统配置文件；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21.安装信息：支持填写设备的安装信息，包括位置、所在学校、安装地点、联系人等；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22.休眠唤醒：需支持定时休眠唤醒功能，提供精确到秒的自定义时间设置，可以单独设置是否定时休眠或者定时唤醒；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23.权限管理：需支持对主机后台设置管理员用户与普通用户两种使用权限，普通用户无法进行相关参数与配置修改；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24.系统状态：支持在导播界面实时查看主机当前CPU温度、磁盘空间占用情况、视频录制的参数配置和正在录制的视频时长与大小等信息；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25.UVC/UAC功能：要求主机具备通过USB口直接输出音视频信号的能力，实现便捷的视频会议软件接入；</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26.音频处理：支持音频采样率的设置，且支持AGC自动增益、ANS噪声抑制、EQ均衡、AEC回声抑制等音频处理功能；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27.录制码流：支持主码流和子码流的高低双码流录制，且支持自定义清晰度、帧率、码率和I帧间隔，支持动态比特率或静态比特率两种模式；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28.存储管理：需支持录像文件循环覆盖功能，开启循环覆盖功能后，录播硬盘在已存储90%的空间时，再次启动录制将删除录播内现存时间最早的录像文件以应对录制频率比较高的情况；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29.标签设置：需支持视频信号源标签设置，对摄像机实时拍摄信号、HDMI高清输入信号均可自定义名称标签，为导播控制与编辑灵活性提供便利；</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30.多场景音频：需支持录制模式和互动模式的独立音频场景设置，针对无线MIC和多媒体等不同设备类型，进行场景化的音频参数设置；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31.兼容拍摄：要求录播主机支持电子云镜和机械云台两种智能控制技术，对电子云镜生成的特写画面以及云台的拍摄画面进行控制，实现画面上下左右移动以及变焦切换，特写画面移动与切换支持鼠标定位实现，可以通过鼠标点击快速切换移动画面位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32.互动能力：要求内置互动模块，无需额外部署MCU类设备即可支持“1+3”的互动授课模式，实现专递课堂教学应用。同时也需支持会议互动模式，创建或加入大规模视音频实时互动。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三、其他要求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33.要求主机与视频资源管理平台、高清摄像机设备为；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34.平台对接：支持FTP文件传输协议，主机录制生成的视频文件与应用平台实现自动归档上传；</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CE9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33E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E29F">
            <w:pPr>
              <w:jc w:val="center"/>
              <w:rPr>
                <w:rFonts w:ascii="宋体" w:hAnsi="宋体" w:eastAsia="宋体" w:cs="宋体"/>
                <w:color w:val="000000"/>
                <w:sz w:val="20"/>
                <w:szCs w:val="20"/>
                <w:highlight w:val="none"/>
              </w:rPr>
            </w:pPr>
          </w:p>
        </w:tc>
      </w:tr>
      <w:tr w14:paraId="61C33031">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2A8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B91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录播流媒体处理软件</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1B763">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1.嵌入式录播主机出厂时内置流媒体处理软件以实现各个模块的功能应用；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▲2.录播主机内置的流媒体处理软件具备自主知识产权，提供录播流媒体处理相关功能的软件著作权登记证书复印件；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3.录播主机在不接入互联网的情况下也可以进行视频录制，且支持1080P高清分辨率录制，用MP4视频格式封装自动归档至录播内置的硬盘当中存储；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4.多流录制：支持教师画面、学生全景画面、学生特写画面等不少于3路摄像机画面和电脑画面的独立录制封装；</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5.要求录播主机支持录制质量设置，提供1080P、720P等高清标清质量选择，并支持自定义录制分辨率、帧率、码率等参数；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6.要求录播主机支持分段录制的功能以应对长时间的视频录制情况，提供不分段、30分钟分段、60分钟分段三种方式选择。实现在不结束录制的条件下自动按选择时长将视频文件分割成多个视频归档保存；</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7.要求录播主机支持插入U盘后，主机正常进行录制可以同步另存一份视频文件到U盘中；</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8.要求录播主机支持录制、暂停、结束等基本功能操作，并支持外部设备通过基于HTTP协议的API接口以及RS232通信协议对设备进行相关控制；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录播主机支持B/S软件架构无需下载相关软件APP，以满足低配电脑也可通过浏览器访问录播主机导播界面，在导播界面实现对所有录制画面的实时预览，并支持在手动导播模式下点击预览画面窗口进行录制画面切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10.录播主机支持8个摄像机电子云台预置位设置，在导播预览界面可便捷调取摄像机预设位置的画面；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11.录播主机支持在导播预览界面添加Logo台标与字幕，可自主上传Logo图标、设置logo位置、编辑字幕内容、选择字幕字体颜色与是否滚动显示，且后台管理设置可最多预设5个字幕作为备选，方便灵活调整与切换；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12.录播主机支持通过导播界面进行音量控制，调整音量大小与一键静音功能；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13.录播主机支持片头片尾设置，可上传JPG格式图片作为录制默认的片头或片尾画面，并可自定义片头片尾显示时长，最高不超过10秒；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14.支持对录制、互动两个使用场景分别配置音频设置参数。并可在对应使用场景自动生效；</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15.支持对录播主机任意线性音频输入通道做单独配置，提供无线MIC或多媒体设备等多种类型选择，支持对音频比特率与采样率进行配置，保障音频效果；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16.支持不少于4路RTMP同步推流直播，并要求自定义选择主码流或子码流信号源进行推流，实现多流直播；</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17.支持自定义直播分辨率和码率，最高支持1080P@30FPS，以适应不同网络环境下保持直播的流畅性；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18.要求支持RTMP直播、TS直播、集控推流直播等不少于3种不同直播模式，以适应不同场景直播需求；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19.要求支持H.323、SIP、BFCP、WebRTC等视音频互动协议技术，便捷进行远程互动教学应用；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20.要求支持双流互动功能，在互动通讯过程中，支持教学场景信号与电脑课件信号以互相独立的信号进行传输，并最终接收端设备可通过两路HDMI接口将接收到的教学场景画面与电脑课件画面同时分别环出到两个显示设备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21.通过录播主机的网络导播界面，需支持主讲端在互动过程中对其余互动参与者的发言权限进行控制，支持单人禁言/开启以及全场禁言/开启的控制方式；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22.要求录播主机在双向互动过程中，可实现1080P@30FPS画质，并支持基于SVC技术实现在不同网络状况下的画面质量自适应；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23.要求录播主机支持呼叫应答设置，默认支持自动应答与勾选手动应答两种方式以满足在专递课堂场景下听讲端的自动入会，以及在其余场景下录播教室内的用户接收到互动申请可自主选择是否加入会议的情况；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24.要求录播主机在录制和直播状态下也能满足AI实时分析能力，在正常课堂录制结束后的1分钟内可在后台查看并下载分析报告；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25.要求录播主机的AI分析报告下载内容支持自定义维度选择，包括但不限于教学准备能力与教学实施能力。</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025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59B0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C8D6">
            <w:pPr>
              <w:jc w:val="center"/>
              <w:rPr>
                <w:rFonts w:ascii="宋体" w:hAnsi="宋体" w:eastAsia="宋体" w:cs="宋体"/>
                <w:color w:val="000000"/>
                <w:sz w:val="20"/>
                <w:szCs w:val="20"/>
                <w:highlight w:val="none"/>
              </w:rPr>
            </w:pPr>
          </w:p>
        </w:tc>
      </w:tr>
      <w:tr w14:paraId="30787791">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225D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0F4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智能课堂行为分析软件</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C0C3">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一.整体要求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1.兼容对接：要求实现录播主机内置的实时课堂行为分析，同时支持与视频资源管理平台无缝对接，将数据通过平台进行展示或主机内部展示两种模式，两种模式均支持下载分析报告；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多维分析：支持对课堂数据进行综合多维度的分析，包括“课堂师生行为时序”、“布鲁姆分析”、“理答分析”、“PPT与板书分析”、“教师讲授分析”、“姿态与情感分析”、“学生学情分析”等多维度多类型分析数据板块；</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3.实时分析：支持对师生教学行为等维度数据进行实时统计分析，并且能在课程录制结束三分钟内将数据整合建模生成分析报告；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4.教学环节识别：要求支持按照教学环节定义将课程视频切片，并且在视频播放进度条上有明显标签显示对应的教学环节；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5.编辑教学环节：要求支持用户可以对AI分析生成的教学环节结果自主纠偏，可以依据时间轴自主定义教学环节的时长以及更改教学环节的结论，并支持自主创建教学环节名称；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行为时序播放：支持在课程视频播放进度条显示PPT翻页的具体时间节点，同时将教师行为与学生行为的时序分布依次排列展开，点击时序图上的具体行为节点，视频将自动跳转到对应位置，方便老师快速回顾课堂教学环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二.教师教情分析要求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1.教师行为分析：支持自动分析并统计老师授课过程中的教学行为，包括但不限于“教师板书”、“教师提问”、“PPT演示”、“操作大屏”、“教师发言”等；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2.PPT分析：要求支持教师授课PPT分析，分析每页PPT所用时长；</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3.课堂任务分析：要求识别PPT内留给学生课堂任务的数量，分析任务时间占比，辅助课堂教学设计评价；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4.PPT资源分析：要求支持分析PPT内的图表个数与含图片页数，辅助老师课件制作能力评价；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5.教师巡视：要求支持分析教师课堂管理能力，统计教师巡视次数与巡视时长，直观查看教师授课轨迹情况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6.教师情感表达分析：要求支持授课过程中的老师表情，并以图表的形式呈现老师从开心到平静的情感变化；</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7.S-T分析：要求支持以图表的形式分析课堂过程中的师生行为，观察教师的课堂环节设计与师生互动情况；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三.学生学情分析要求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1.学生行为分析：要求支持自动分析并统计学生课堂过程中的学习行为，包括但不限于“多人站立”、“多人抬头”、“学生上台”等。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2.学生抬头率分析：要求支持分析学生的抬头率情况，提供最高抬头率以及平均抬头率，并用图表的形式呈现以辅助课堂纪律评价；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3.学生专注分析：要求支持统计在不同场景下学生的抬头率情况，如教师板书时、教师PPT授课时，并呈现不同环节的抬头率比例；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4.学生站立分析：要求支持统计课堂过程中学生站立的总时长以及时长占比情况，辅助教师判断课堂活跃。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5.学生低头分析：要求支持整堂课学生的低头时长统计，并支持展示低头时间点的具体截图。</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4E2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点</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7F1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AB8F">
            <w:pPr>
              <w:jc w:val="center"/>
              <w:rPr>
                <w:rFonts w:ascii="宋体" w:hAnsi="宋体" w:eastAsia="宋体" w:cs="宋体"/>
                <w:color w:val="000000"/>
                <w:sz w:val="20"/>
                <w:szCs w:val="20"/>
                <w:highlight w:val="none"/>
              </w:rPr>
            </w:pPr>
          </w:p>
        </w:tc>
      </w:tr>
      <w:tr w14:paraId="7A192EDB">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E03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3E6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智能语音分析软件</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1C5D">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1.教师提问情况分析：支持基于课堂语音识别能力进行教师课堂提问行为分析，从提问数量与高级认知提问比例两个核心维度进行数据统计，实现课堂提问情况的清晰回顾。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2.教师语速分析：支持通过语音识别能力进行教师课堂授课语速分析，呈现数据需包括整体语速的变化图以及平均语速结论；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3.课堂语音转写：要求基于语音语义识别完成课堂音频的文字转换，实现课堂教学过程语音全纪录，要求平台上可输出整节课的文字字幕。并支持由上课老师课后自主编辑转写文本实现纠偏；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4.课堂高频词分析：支持通过AI语音识别能力以及视觉分析能力，抓取授课过程中出现的高频词汇，并统计出现频次以及出现来源，包括但不限于PPT、板书、教师音频，精准判断课堂教学重点；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5.课堂语气词分析：支持通过进行课堂语音识别，判断老师教学过程中出现的常规语气词出现频次，如“呐”，“嘛”，等语气词，辅助老师调整教学过程中的不良习惯；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6.教师普通话分析：要求支持对教师授课音频进行自适应分段，并分析每个段落教师授课过程中的普通话水平、语速、音量以及关键词；</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7.教师音量分析：要求支持分析本堂课教师平均的授课音量，以及根据时间推移呈现音量波动的变化图表；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8.学生音量分析：要求支持分析本堂课学生听课的平均音量，以及根据时间推移呈现音量波动的变化图表；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9.理答类型分析：要求支持对教师课堂理答情况进行分析，支持统计教师提问次数、抽答次数、追问次数，并可以获取每个问题以时间轴的形式记录在什么时间提问；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10.教师追问分析：要求支持分析教师追问类型与次数，并标记具体在第几次提问时发起追问，对追问内容分析是否对学生有诱发思考的作用并统计次数；</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E2C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点</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FF0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A4BB">
            <w:pPr>
              <w:jc w:val="center"/>
              <w:rPr>
                <w:rFonts w:ascii="宋体" w:hAnsi="宋体" w:eastAsia="宋体" w:cs="宋体"/>
                <w:color w:val="000000"/>
                <w:sz w:val="20"/>
                <w:szCs w:val="20"/>
                <w:highlight w:val="none"/>
              </w:rPr>
            </w:pPr>
          </w:p>
        </w:tc>
      </w:tr>
      <w:tr w14:paraId="166B3637">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509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E7B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学生高清摄像机（云镜）</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E779">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1.传感器类型：CMOS、1/2.5英寸</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2.采用逐行扫描模式，有效像素不低于1100万。</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3.采用了2D和基于运动估计的3D降噪算法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4.最大水平视场角不小于80°，最大垂直视场角不小于50°</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5.网络接口：RJ45接口≥1，10/100/1000M自适应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6.视频接口：D-Video数字视频接口（RJ45）≥1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7.编码技术：视频H.264/H.265</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8.支持DC12V电源适配器供电与RJ45双绞线供电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9.要求摄像机与录播主机为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10.摄像机传输处理软件采用B/S架构，支持通用浏览器直接访问进行管理。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11.支持网络参数设置与修改，支持一键恢复默认参数。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12.支持曝光模式设置功能，包括自动、手动。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13.支持抗闪烁频率、动态范围、光圈、快门参数设置。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14.支持自动白平衡设置功能，红、蓝增益可调。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15.支持噪声抑制设置功能，支持2D、3D降噪。</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16.支持摄像机图像质量调节功能，包括亮度、对比度、色调、饱和度。</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F15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A99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317A">
            <w:pPr>
              <w:jc w:val="center"/>
              <w:rPr>
                <w:rFonts w:ascii="宋体" w:hAnsi="宋体" w:eastAsia="宋体" w:cs="宋体"/>
                <w:color w:val="000000"/>
                <w:sz w:val="20"/>
                <w:szCs w:val="20"/>
                <w:highlight w:val="none"/>
              </w:rPr>
            </w:pPr>
          </w:p>
        </w:tc>
      </w:tr>
      <w:tr w14:paraId="4CE8E1C1">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C64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8BF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教师高清摄像机（云镜）</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AA42">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1.传感器类型：CMOS、1/2.5英寸</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2.采用逐行扫描模式，有效像素不低于1100万。</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3.采用了2D和基于运动估计的3D降噪算法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4.最大水平视场角不小于47°，最大垂直视场角不小于27°</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5.网络接口：RJ45接口≥1，10/100/1000M自适应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6.视频接口：D-Video数字视频接口（RJ45）≥1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7.编码技术：视频H.264/H.265</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8.支持DC12V电源适配器供电与RJ45双绞线供电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9.支持电子云镜技术，单镜头拍摄可输出“全景”、“特写”双信号画面至录播主机选择录制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10.要求摄像机与录播主机为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11.摄像机传输处理软件采用B/S架构，支持通用浏览器直接访问进行管理。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12.支持网络参数设置与修改，支持一键恢复默认参数。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13.支持曝光模式设置功能，包括自动、手动。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14.支持抗闪烁频率、动态范围、光圈、快门参数设置。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15.支持自动白平衡设置功能，红、蓝增益可调。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16.支持噪声抑制设置功能，支持2D、3D降噪。</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17.支持摄像机图像质量调节功能，包括亮度、对比度、色调、饱和度。</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D83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C12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4A48">
            <w:pPr>
              <w:jc w:val="center"/>
              <w:rPr>
                <w:rFonts w:ascii="宋体" w:hAnsi="宋体" w:eastAsia="宋体" w:cs="宋体"/>
                <w:color w:val="000000"/>
                <w:sz w:val="20"/>
                <w:szCs w:val="20"/>
                <w:highlight w:val="none"/>
              </w:rPr>
            </w:pPr>
          </w:p>
        </w:tc>
      </w:tr>
      <w:tr w14:paraId="0A0DE53C">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800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7</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455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壁挂式触控面板</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CB00">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1.硬件设计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1）支持壁挂式上墙部署；</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2）具备10.1英寸1280*800高清全视角显示屏幕；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3）存储性能：缓存容量不小于2G,存储容量不小于16G；</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4）操作系统 ：Android 11及以上版本；</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5）接口类型：USB≥1， 网络接口≥1，串口RS232≥1；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2.整体设计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1）▲控制方式：支持通过网络连接进行录播主机的管理、控制；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2）电源管理：支持控制录播主机的关机、休眠、唤醒操作；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3）▲集成录课模式控制、互动模式控制、录像资源管理等控制应用；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3.录课模式控制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1）支持通过触控面板实时预览录制信号画面，进行导播操作；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2）支持录制开始/停止、录制暂停/恢复、直播开启/关闭、电脑画面锁定/解锁等功能操作；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3）支持常用键位设置，可设置各镜头快速切换、画面布局等相关录课操作常用键位；</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4.互动模式控制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1）▲支持通讯录呼叫功能，读取显示录播主机通讯录，并能够通过通讯录进行快速呼叫；</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2）支持快速拨号呼叫功能，输入用户短号实现快速呼叫；</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3）支持通过触控面板实时预览互动信号画面，实现直观互动控制；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4）支持互动过程的录制、暂停、直播等操作；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5）支持互动过程的自动导播控制、互动导播画面自由选择控制功能；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5.录像资源管理控制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1）▲支持录像资源管理，通过导播控制软件直观呈现当前录播主机的录像资源信息，并支持选择相关的录课资源进行回放；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2）支持录制资源下载操作，将文件下载至U盘进行移动共享。</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DC4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1BF2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6712">
            <w:pPr>
              <w:jc w:val="center"/>
              <w:rPr>
                <w:rFonts w:ascii="宋体" w:hAnsi="宋体" w:eastAsia="宋体" w:cs="宋体"/>
                <w:color w:val="000000"/>
                <w:sz w:val="20"/>
                <w:szCs w:val="20"/>
                <w:highlight w:val="none"/>
              </w:rPr>
            </w:pPr>
          </w:p>
        </w:tc>
      </w:tr>
      <w:tr w14:paraId="2FB094F7">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D45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8</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9E6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拾音话筒</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AE1B">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1.指向性：超心型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2.频率响应：40Hz—16kHz</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3.灵敏度≥-7dB±1dB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4.最大声压级≥110dB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5.信噪比≥62dB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6.动态范围≥78.5dB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7.使用电源：麦克风一线通供电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8.输出接口：RJ45，数字音频接口</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B84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97E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4F81">
            <w:pPr>
              <w:jc w:val="center"/>
              <w:rPr>
                <w:rFonts w:ascii="宋体" w:hAnsi="宋体" w:eastAsia="宋体" w:cs="宋体"/>
                <w:color w:val="000000"/>
                <w:sz w:val="20"/>
                <w:szCs w:val="20"/>
                <w:highlight w:val="none"/>
              </w:rPr>
            </w:pPr>
          </w:p>
        </w:tc>
      </w:tr>
      <w:tr w14:paraId="463A2539">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6C9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9</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681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机柜</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33E9">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通用型</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E63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个</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F24F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31B5">
            <w:pPr>
              <w:jc w:val="center"/>
              <w:rPr>
                <w:rFonts w:ascii="宋体" w:hAnsi="宋体" w:eastAsia="宋体" w:cs="宋体"/>
                <w:color w:val="000000"/>
                <w:sz w:val="20"/>
                <w:szCs w:val="20"/>
                <w:highlight w:val="none"/>
              </w:rPr>
            </w:pPr>
          </w:p>
        </w:tc>
      </w:tr>
      <w:tr w14:paraId="3B6C823C">
        <w:tblPrEx>
          <w:tblCellMar>
            <w:top w:w="0" w:type="dxa"/>
            <w:left w:w="108" w:type="dxa"/>
            <w:bottom w:w="0" w:type="dxa"/>
            <w:right w:w="108" w:type="dxa"/>
          </w:tblCellMar>
        </w:tblPrEx>
        <w:trPr>
          <w:trHeight w:val="40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9A0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10</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DEC2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线材</w:t>
            </w:r>
          </w:p>
        </w:tc>
        <w:tc>
          <w:tcPr>
            <w:tcW w:w="3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A6318">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满足系统布线需求</w:t>
            </w: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BCC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批</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A15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6B8F">
            <w:pPr>
              <w:jc w:val="center"/>
              <w:rPr>
                <w:rFonts w:ascii="宋体" w:hAnsi="宋体" w:eastAsia="宋体" w:cs="宋体"/>
                <w:color w:val="000000"/>
                <w:sz w:val="20"/>
                <w:szCs w:val="20"/>
                <w:highlight w:val="none"/>
              </w:rPr>
            </w:pPr>
          </w:p>
        </w:tc>
      </w:tr>
    </w:tbl>
    <w:p w14:paraId="401CD381">
      <w:pPr>
        <w:rPr>
          <w:rFonts w:ascii="方正仿宋_GBK" w:eastAsia="方正仿宋_GBK"/>
          <w:sz w:val="28"/>
          <w:szCs w:val="28"/>
        </w:rPr>
      </w:pPr>
      <w:r>
        <w:rPr>
          <w:rFonts w:ascii="方正仿宋_GBK" w:eastAsia="方正仿宋_GBK"/>
          <w:sz w:val="28"/>
          <w:szCs w:val="28"/>
        </w:rPr>
        <w:br w:type="page"/>
      </w:r>
    </w:p>
    <w:p w14:paraId="0F38CAA3">
      <w:pPr>
        <w:jc w:val="center"/>
        <w:rPr>
          <w:rFonts w:ascii="Times New Roman" w:hAnsi="Times New Roman" w:eastAsia="方正小标宋_GBK" w:cs="Times New Roman"/>
          <w:sz w:val="28"/>
          <w:szCs w:val="28"/>
        </w:rPr>
      </w:pPr>
      <w:r>
        <w:rPr>
          <w:rFonts w:hint="eastAsia" w:ascii="Times New Roman" w:hAnsi="Times New Roman" w:eastAsia="方正小标宋_GBK" w:cs="Times New Roman"/>
          <w:sz w:val="28"/>
          <w:szCs w:val="28"/>
        </w:rPr>
        <w:t>数学课程基地</w:t>
      </w:r>
      <w:r>
        <w:rPr>
          <w:rFonts w:ascii="Times New Roman" w:hAnsi="Times New Roman" w:eastAsia="方正小标宋_GBK" w:cs="Times New Roman"/>
          <w:sz w:val="28"/>
          <w:szCs w:val="28"/>
        </w:rPr>
        <w:t>清单</w:t>
      </w:r>
    </w:p>
    <w:tbl>
      <w:tblPr>
        <w:tblStyle w:val="31"/>
        <w:tblW w:w="5059" w:type="pct"/>
        <w:tblInd w:w="0" w:type="dxa"/>
        <w:tblLayout w:type="fixed"/>
        <w:tblCellMar>
          <w:top w:w="0" w:type="dxa"/>
          <w:left w:w="108" w:type="dxa"/>
          <w:bottom w:w="0" w:type="dxa"/>
          <w:right w:w="108" w:type="dxa"/>
        </w:tblCellMar>
      </w:tblPr>
      <w:tblGrid>
        <w:gridCol w:w="489"/>
        <w:gridCol w:w="1126"/>
        <w:gridCol w:w="5854"/>
        <w:gridCol w:w="474"/>
        <w:gridCol w:w="581"/>
        <w:gridCol w:w="758"/>
      </w:tblGrid>
      <w:tr w14:paraId="50156CF6">
        <w:tblPrEx>
          <w:tblCellMar>
            <w:top w:w="0" w:type="dxa"/>
            <w:left w:w="108" w:type="dxa"/>
            <w:bottom w:w="0" w:type="dxa"/>
            <w:right w:w="108" w:type="dxa"/>
          </w:tblCellMar>
        </w:tblPrEx>
        <w:trPr>
          <w:trHeight w:val="403" w:hRule="atLeast"/>
          <w:tblHeader/>
        </w:trPr>
        <w:tc>
          <w:tcPr>
            <w:tcW w:w="263"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3108C7D4">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序号</w:t>
            </w:r>
          </w:p>
        </w:tc>
        <w:tc>
          <w:tcPr>
            <w:tcW w:w="606"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47A3BEC8">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名称</w:t>
            </w:r>
          </w:p>
        </w:tc>
        <w:tc>
          <w:tcPr>
            <w:tcW w:w="3153"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2922D979">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规格型号参数</w:t>
            </w:r>
          </w:p>
        </w:tc>
        <w:tc>
          <w:tcPr>
            <w:tcW w:w="25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33557886">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单位</w:t>
            </w:r>
          </w:p>
        </w:tc>
        <w:tc>
          <w:tcPr>
            <w:tcW w:w="31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43C6A2B7">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数量</w:t>
            </w:r>
          </w:p>
        </w:tc>
        <w:tc>
          <w:tcPr>
            <w:tcW w:w="408"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2D4A33CC">
            <w:pPr>
              <w:widowControl/>
              <w:jc w:val="center"/>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备注</w:t>
            </w:r>
          </w:p>
        </w:tc>
      </w:tr>
      <w:tr w14:paraId="0F77D3F6">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255A6438">
            <w:pPr>
              <w:widowControl/>
              <w:jc w:val="left"/>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一、基础建设</w:t>
            </w:r>
          </w:p>
        </w:tc>
        <w:tc>
          <w:tcPr>
            <w:tcW w:w="31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0055B909">
            <w:pPr>
              <w:widowControl/>
              <w:jc w:val="left"/>
              <w:textAlignment w:val="center"/>
              <w:rPr>
                <w:rFonts w:hint="eastAsia" w:ascii="宋体" w:hAnsi="宋体" w:eastAsia="宋体" w:cs="宋体"/>
                <w:b/>
                <w:bCs/>
                <w:color w:val="000000"/>
                <w:kern w:val="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526C180B">
            <w:pPr>
              <w:widowControl/>
              <w:jc w:val="left"/>
              <w:textAlignment w:val="center"/>
              <w:rPr>
                <w:rFonts w:hint="eastAsia" w:ascii="宋体" w:hAnsi="宋体" w:eastAsia="宋体" w:cs="宋体"/>
                <w:b/>
                <w:bCs/>
                <w:color w:val="000000"/>
                <w:kern w:val="0"/>
                <w:sz w:val="20"/>
                <w:szCs w:val="20"/>
                <w:highlight w:val="none"/>
              </w:rPr>
            </w:pPr>
          </w:p>
        </w:tc>
      </w:tr>
      <w:tr w14:paraId="76BBACB7">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95132C2">
            <w:pPr>
              <w:widowControl/>
              <w:jc w:val="left"/>
              <w:textAlignment w:val="center"/>
              <w:rPr>
                <w:rFonts w:ascii="宋体" w:hAnsi="宋体" w:eastAsia="宋体" w:cs="宋体"/>
                <w:b/>
                <w:bCs/>
                <w:color w:val="000000"/>
                <w:sz w:val="20"/>
                <w:szCs w:val="20"/>
                <w:highlight w:val="none"/>
              </w:rPr>
            </w:pPr>
            <w:r>
              <w:rPr>
                <w:rFonts w:hint="eastAsia" w:ascii="宋体" w:hAnsi="宋体" w:eastAsia="宋体" w:cs="宋体"/>
                <w:b/>
                <w:bCs/>
                <w:color w:val="000000"/>
                <w:kern w:val="0"/>
                <w:sz w:val="20"/>
                <w:szCs w:val="20"/>
                <w:highlight w:val="none"/>
              </w:rPr>
              <w:t>1.课程实践区</w:t>
            </w:r>
          </w:p>
        </w:tc>
        <w:tc>
          <w:tcPr>
            <w:tcW w:w="3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80FD30B">
            <w:pPr>
              <w:widowControl/>
              <w:jc w:val="left"/>
              <w:textAlignment w:val="center"/>
              <w:rPr>
                <w:rFonts w:hint="eastAsia" w:ascii="宋体" w:hAnsi="宋体" w:eastAsia="宋体" w:cs="宋体"/>
                <w:b/>
                <w:bCs/>
                <w:color w:val="000000"/>
                <w:kern w:val="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424580C">
            <w:pPr>
              <w:widowControl/>
              <w:jc w:val="left"/>
              <w:textAlignment w:val="center"/>
              <w:rPr>
                <w:rFonts w:hint="eastAsia" w:ascii="宋体" w:hAnsi="宋体" w:eastAsia="宋体" w:cs="宋体"/>
                <w:b/>
                <w:bCs/>
                <w:color w:val="000000"/>
                <w:kern w:val="0"/>
                <w:sz w:val="20"/>
                <w:szCs w:val="20"/>
                <w:highlight w:val="none"/>
              </w:rPr>
            </w:pPr>
          </w:p>
        </w:tc>
      </w:tr>
      <w:tr w14:paraId="5516151E">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D9F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2A8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多媒体教师讲台</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1FF2">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1.规格≥D1500*W600*H1012mm；</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2.材质：抗倍特板+钢板；</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3.工艺：桌面采用抗倍特一体成型，厚度≥11mm，面板四周采CNC修边，四周倒角。柜体采用厚≥0.8mm,镀锌钢板，采用三维立体激光微缝切割，柜体一体成型，打磨酸洗磷化后，经高温粉体烤漆处理；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4.功能：（1）桌面预留隐藏式机构放置显示屏、可倾斜方便操作。（2）内设预留中控面板、终端机、扩音功放、智能箱、电脑主机、网络接口、键盘鼠标、常态录播控制系统等设备的位置。</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9AA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02E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EF73">
            <w:pPr>
              <w:jc w:val="center"/>
              <w:rPr>
                <w:rFonts w:ascii="Times New Roman" w:hAnsi="Times New Roman" w:eastAsia="宋体" w:cs="Times New Roman"/>
                <w:color w:val="000000"/>
                <w:sz w:val="20"/>
                <w:szCs w:val="20"/>
                <w:highlight w:val="none"/>
              </w:rPr>
            </w:pPr>
          </w:p>
        </w:tc>
      </w:tr>
      <w:tr w14:paraId="450338C8">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A028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F24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数学教室专用Y形学生桌</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0803C">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一、专用实验桌</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1、规格尺寸. ①整体外形高度730mm、台面外接圆直径≥2150mm；②桌面中间正六边形的边长≥600mm；③桌面外部3个梯形或曲边图形外底边长≥550mm、高≥530mm.</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2、板材材料. ①台面采用E1级18mm厚高密度板基材，利用2.0mm厚PVC封边条全自动封边机封边；②主体结构采用优质冷轧钢板做骨架结构.</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3、整体结构</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（1）主体框架. 主体框架应采用精密铸造的拉铝型材和冷轧钢。主框架≥0.8MM，要求落地底柜每单元可承重至少200kg，前台板每单元可承重至少100kg，控制台表面应经过耐磨电喷处理，采用的材料应满足工程的受力强度要求.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（2）键盘盆. 应根据台面深度制作，并采用质量可靠的滚珠导轨，应用电解料制作盆体，表面喷漆，并有舒适的操作枕手边，力度可靠。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 xml:space="preserve">（3）前后门. 采用≥0.8MM冷轧钢板材制作，外表应美观，并要满足质轻、结构力强、耐热等要求，门要方便打开. </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4、台面要求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操作台台面应保持平滑及水平，并要考虑到人体工学的标准，包括视线，延伸距离，键盘高度及膝部的空间等。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（1）台板. 台板应采用具有抗压、抗刮、抗冲击、大承载力、防火、防潮、防水、耐腐蚀的高强度实木颗粒板，整体无拼接厚度不少于25mm。操作台应采用一体化延伸的台板边缘，经电脑数控加工成适合人手放置的流线型表面，操作舒适，台板边不应产生缝隙。</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（2）台面. 相邻台板拼缝应无间隙，高低平齐，手摸无明显拼缝感觉；台面上后方必须具有方便的横向走线槽，供LCD显示器及其他设备的电源、信号，电话线，鼠标线等穿过。该走线槽盖板要求采用拉铝型材，长度方向与台面设备的连线可以实现任意位置垂直入线，保证线不外露，杜绝在桌面开孔的方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5、线缆管理. 操作台内部走线必须有专门的走线槽，走线槽附近有足够的空间，根据需要可就近安装电源插座和多个信息点，内部框架必须有线缆通孔，或者同等的线缆管理系统，可在不同的位置以使布线方便有序.</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3856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95B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4CB8">
            <w:pPr>
              <w:jc w:val="center"/>
              <w:rPr>
                <w:rFonts w:ascii="Times New Roman" w:hAnsi="Times New Roman" w:eastAsia="宋体" w:cs="Times New Roman"/>
                <w:color w:val="000000"/>
                <w:sz w:val="20"/>
                <w:szCs w:val="20"/>
                <w:highlight w:val="none"/>
              </w:rPr>
            </w:pPr>
          </w:p>
        </w:tc>
      </w:tr>
      <w:tr w14:paraId="7EDFB67D">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343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8E2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数学教室专用圆凳</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8E22F">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1、凳面：采用高密度PP材质的凳面，直径320mm，凳面表层有颗粒凸起（乳白色），起到按摩抗疲劳作用。凳面下装有壁厚为1.8mm厚直径为160mm钢板托盘，使得凳子更加稳固。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2、凳脚：4个凳脚采用16×36×1.8mm的冷轧钢管一次弯曲成型，全自动焊接机械手焊接，焊点准确且均匀，四脚配耐磨脚垫，防滑消音，保护地板。质量稳定，坚固耐用，美观大方。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3、结构：由螺杆带动升降，升降范围不小于450mm-520mm，凳面与凳脚留有一定的空间便于凳子挂在挂凳扣上，方便教室的打扫。</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4、制作工艺：1. 采用二氧化碳保护焊。2. 涂层:经过磷化、酸洗、除油、除锈处理，再经全自动喷涂机械手喷环氧树脂金属粉末喷涂，经高温固化成光滑表面。</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6A1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703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56</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64A8">
            <w:pPr>
              <w:jc w:val="center"/>
              <w:rPr>
                <w:rFonts w:ascii="Times New Roman" w:hAnsi="Times New Roman" w:eastAsia="宋体" w:cs="Times New Roman"/>
                <w:color w:val="000000"/>
                <w:sz w:val="20"/>
                <w:szCs w:val="20"/>
                <w:highlight w:val="none"/>
              </w:rPr>
            </w:pPr>
          </w:p>
        </w:tc>
      </w:tr>
      <w:tr w14:paraId="2B12AF19">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614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EF4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w:t>
            </w:r>
            <w:r>
              <w:rPr>
                <w:rFonts w:hint="eastAsia" w:ascii="Times New Roman" w:hAnsi="Times New Roman" w:eastAsia="宋体" w:cs="Times New Roman"/>
                <w:color w:val="000000"/>
                <w:kern w:val="0"/>
                <w:sz w:val="20"/>
                <w:szCs w:val="20"/>
                <w:highlight w:val="none"/>
              </w:rPr>
              <w:t>教学设备</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8D7B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一、整机要求：</w:t>
            </w:r>
          </w:p>
          <w:p w14:paraId="49E768C8">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整机采用全金属外壳，三拼接平面一体化设计，屏幕边缘采用圆角包边防护，整机背板采用金属材质，无推拉式结构，外部无任何可见内部功能模块连接线。主副屏过渡平滑，中间无单独边框阻隔，宽≥4500mm，高≥1350mm，厚≤102mm。</w:t>
            </w:r>
          </w:p>
          <w:p w14:paraId="4DABA56F">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2.屏幕采用98英寸液晶显示器，采用超高清LED液晶显示屏，显示比例16:9，分辨率3840×2160。主屏支持普通粉笔直接书写。整机两侧副屏可支持以下媒介（普通粉笔、液体粉笔、成膜笔）进行板书书写。</w:t>
            </w:r>
          </w:p>
          <w:p w14:paraId="4CF678ED">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3.嵌入式系统版本不低于Android 13，内存≥2GB，存储空间≥8GB。</w:t>
            </w:r>
          </w:p>
          <w:p w14:paraId="268A01A1">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4.采用红外触控方式。</w:t>
            </w:r>
          </w:p>
          <w:p w14:paraId="176D35B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5.整机背光系统支持DC调光方式，多级亮度调节，支持白颜色背景下最暗亮度≤100nit，用于提升显示对比度。</w:t>
            </w:r>
          </w:p>
          <w:p w14:paraId="53B15D41">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6.整机支持色彩空间可选，包含标准模式和sRGB模式，在sRGB模式下可做到高色准△E≤1。</w:t>
            </w:r>
          </w:p>
          <w:p w14:paraId="565368EB">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7.整机全通道支持纸质护眼模式，可实现画面纹理的实时调整；支持纸质纹理：牛皮纸、素描纸、宣纸、水彩纸、水纹纸；支持透明度调节；支持色温调节</w:t>
            </w:r>
          </w:p>
          <w:p w14:paraId="58ECE533">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8.整机具备至少6个前置按键，可实现开关机、调出中控菜单、音量+/-、护眼、录屏操作。</w:t>
            </w:r>
          </w:p>
          <w:p w14:paraId="1321A99A">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9.整机关机状态下，通过长按电源键进入设置界面后，可点击屏幕选择恢复Android系统及Windows操作系统到出厂默认状态，无需额外工具辅助。</w:t>
            </w:r>
          </w:p>
          <w:p w14:paraId="0D7424C8">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10.支持云端在线系统固件升级。</w:t>
            </w:r>
          </w:p>
          <w:p w14:paraId="3BB3CA1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11.整机安卓和全部外接通道（HDMI、Type-c）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p>
          <w:p w14:paraId="7B5CF8D2">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12.整机Windows通道支持文件传输应用，支持通过扫码、wifi直联、超声三种方式与手机进行握手连接，实现文件传输功能。</w:t>
            </w:r>
          </w:p>
          <w:p w14:paraId="38C28507">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13.整机支持手笔分离，通过提笔即写唤醒批注功能后，可进行手笔分离功能，使用笔正常书写，使用手指可以操作应用，进行点击操作。</w:t>
            </w:r>
          </w:p>
          <w:p w14:paraId="1976373C">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14.整机支持提笔书写，在Windows系统下可实现无需点击任意功能入口，当检测到红外笔笔尖接触屏幕时，自动进入书写模式。</w:t>
            </w:r>
          </w:p>
          <w:p w14:paraId="6731BC88">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15.整机触摸支持动态压力感应，支持无任何电子功能的普通书写笔在整机上书写或点压时，整机能感应压力变化，书写或点压过程笔迹呈现不同粗细。</w:t>
            </w:r>
          </w:p>
          <w:p w14:paraId="7A1A8F0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二、 扬声器与摄像头</w:t>
            </w:r>
          </w:p>
          <w:p w14:paraId="67EE401B">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1.整机内置2.2声道扬声器，具备多方向扬声器，额定总功率60W。</w:t>
            </w:r>
          </w:p>
          <w:p w14:paraId="3A1E44F8">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2.支持标准、听力、观影和AI空间感知音效模式，AI空间感知音效模式可通过内置麦克风采集教室物理环境声音，自动生成符合当前教室物理环境的频段、音量、音效。</w:t>
            </w:r>
          </w:p>
          <w:p w14:paraId="3648ACEB">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3.整机内置非独立外扩展的8阵列麦克风，拾音角度≥180°，可用于对教室环境音频进行采集，拾音距离≥12m。</w:t>
            </w:r>
          </w:p>
          <w:p w14:paraId="1D1E9082">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4.整机上边框内置非独立摄像头，采用一体化集成设计，摄像头数量≥4个。内置至少三个摄像头，像素值均大于800 万。</w:t>
            </w:r>
          </w:p>
          <w:p w14:paraId="389A9C9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5.整机上边框内置非独立式广角高清摄像头，视场角≥142度且水平视场角≥121度，支持输出4:3、16:9比例的图片和视频；在清晰度为2592 x 1944分辨率下，支持30帧的视频输出。</w:t>
            </w:r>
          </w:p>
          <w:p w14:paraId="1E767D77">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▲6.为了便于教师实时查看班级情况，整机上边框内置摄像头，视场角≥141度且水平视场角≥139度，支持画面畸变矫正功能。（提供国家认可的第三方权威检测机构出具的权威检测报告）</w:t>
            </w:r>
          </w:p>
          <w:p w14:paraId="42B7F694">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三、物联功能</w:t>
            </w:r>
          </w:p>
          <w:p w14:paraId="267B5605">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1.整机支持蓝牙Bluetooth 5.4标准，支持版本Wi-Fi6。</w:t>
            </w:r>
          </w:p>
          <w:p w14:paraId="649FD7E1">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2.内置双WiFi6无线网卡（不接受外接），在Android和Windows系统下，可实现Wi-Fi无线上网连接、AP无线热点发射。</w:t>
            </w:r>
          </w:p>
          <w:p w14:paraId="6329B95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 xml:space="preserve">3.整机内置双WiFi6无线网卡（不接受外接），在Android下支持无线设备同时连接数量≥32个，在Windows系统下支持无线设备同时连接≥8个； </w:t>
            </w:r>
          </w:p>
          <w:p w14:paraId="52B72574">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4.整机支持发出频率为18kHz-22kHz超声波信号，智能手机通过麦克风接收后，智能手机与整机无需在同一局域网内，可实现配对，一键投屏，用户无需手动输入投屏码或扫码获取投屏码；（提供国家认可的第三方权威检测机构出具的权威检测报告）</w:t>
            </w:r>
          </w:p>
          <w:p w14:paraId="5724A27D">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 xml:space="preserve">5.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 </w:t>
            </w:r>
          </w:p>
          <w:p w14:paraId="337A7CF6">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四、教学桌面</w:t>
            </w:r>
          </w:p>
          <w:p w14:paraId="7D18C44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1.整机设备开机启动后，自动进入教学桌面，支持账号登录、退出，自动获取个人云端教学课件列表，并可进入全部课件列表。</w:t>
            </w:r>
          </w:p>
          <w:p w14:paraId="3A2DD81E">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2.整机设备教学桌面支持教学白板软件和文件管理软件；教学桌面首页支持自定义桌面应用，支持展示8个应用入口，并提供进入本机所有应用的入口。</w:t>
            </w:r>
          </w:p>
          <w:p w14:paraId="0BC8BCF6">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3.整机设备可将应用编辑到教学桌面首页，编辑方式支持从教学桌面首页进入编辑，支持在全部应用列表中进入编辑 2 种方式。教学桌面首页应用支持无需进入应用编辑页面，在首页指定应用上长按进行移除。</w:t>
            </w:r>
          </w:p>
          <w:p w14:paraId="2F05D67A">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▲4.整机设备教学桌面支持推荐应用，推荐应用支持移除。整机设备教学桌面支持进行应用卸载。（提供国家认可的第三方权威检测机构出具的权威检测报告）</w:t>
            </w:r>
          </w:p>
          <w:p w14:paraId="0E01C723">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5.整机设备教学桌面支持进行壁纸编辑，内置10张以上壁纸，并支持自定义壁纸。</w:t>
            </w:r>
          </w:p>
          <w:p w14:paraId="754141C2">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五、OPS模块</w:t>
            </w:r>
          </w:p>
          <w:p w14:paraId="6384AA95">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1.处理器：Intel Core i5 及以上，内存：≥8G ，硬盘≥256G SSD 固态硬盘，采用抽拉内置式模块化电脑，抽拉内置式，PC模块可插入整机，可实现无单独接线的插拔。</w:t>
            </w:r>
          </w:p>
          <w:p w14:paraId="739100C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2.具有独立非外拓展的视频输出接口：≥1 路 HDMI。具有独立非外拓展的电脑 USB 接口：至少具备 3个USB3.0 接口。</w:t>
            </w:r>
          </w:p>
          <w:p w14:paraId="1CD6B1CD">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3.为保证设备使用稳定性及兼容性，要求班班通与OPS模块必须为厂家，提供证明文件。</w:t>
            </w:r>
          </w:p>
          <w:p w14:paraId="736FB61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六、教学软件</w:t>
            </w:r>
          </w:p>
          <w:p w14:paraId="1FA9D8DE">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1.能够为教师提供云存储空间，教师可在个人云空间中上传存储互动课件、云教案和其他教学资源。</w:t>
            </w:r>
          </w:p>
          <w:p w14:paraId="51F172D2">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2.互动教学课件支持定向精准分享：分享者可将互动课件、课件组精准推送至指定接收方账号云空间，接收方可在云空间接收并打开分享课件</w:t>
            </w:r>
          </w:p>
          <w:p w14:paraId="36CEC8A4">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3.具有互动式教学课件资源，包含学科教育各学段各地区教材版本 100个。具有互动式教学课件资源，包含学科教育各学段教材版本全部教学章节、专题教育多个主题教育、特殊教育 不少于3 大分类的 100000 份的互动课件。课件支持教师在线评分。</w:t>
            </w:r>
          </w:p>
          <w:p w14:paraId="35F41A1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▲4.具备AI智能备课助手：能按照教学环节筛选对应课件页一键插入课件中，可导入新课、作者简介。能按照元素类型思维导图、课堂活动选取需要的部分补充课件缺失的部分。 可以在查看部分课件的同时查看对应整份课件，了解作者整体教学思路。（提供国家认可的第三方权威检测机构出具的权威检测报告）</w:t>
            </w:r>
          </w:p>
          <w:p w14:paraId="7098B386">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5.具备云端静默推送下载功能，无需用户手动下载即可实现应用的在线升级，升级具有信息验证机制，确保教学秩序不受干扰。</w:t>
            </w:r>
          </w:p>
          <w:p w14:paraId="2D2C021C">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6.AI智能纠错：软件内置的AI智能语义分析模块，可对输入的英文文本的拼写、句型、语法进行错误检查，并支持一键纠错。</w:t>
            </w:r>
          </w:p>
          <w:p w14:paraId="0C59AB57">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7.AI音标助手：支持浏览和插入国际音标表，可直接点击发音，支持已整表和单个音标卡片插入。支持智能将字母、单词、句子转写为音标，并可一键插入到备课课件中形成文本。</w:t>
            </w:r>
          </w:p>
          <w:p w14:paraId="670EE0CD">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8.党建微课视频：提供100节党建微课视频，包含革命篇、建设篇、改革篇、复兴篇4个篇章。微课内容可在线点播，下载至课件播放。微课视频支持视频关键帧打点标记，播放过程中可一键跳转至标记位置，同时支持一键对视频内容进行截图插入课件。</w:t>
            </w:r>
          </w:p>
          <w:p w14:paraId="40D2FB27">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9.内置图片处理功能，无需借助专业图片处理软件即可对课件内的图片进行快速抠图，图片主体处理后边缘无明显毛边，且处理后的图片可直接上传至教师云空间供后续复用。</w:t>
            </w:r>
          </w:p>
          <w:p w14:paraId="78F9E97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10.支持对音频、视频文件进行关键帧标记，可在音、视频进度条任意位置自由设置关键帧播放节点，便于快速定位讲解关键教学内容。提供单次播放、循环播放、跨页面播放和自动播放等播放模式。跨页面播放可设置音频进行部分页面播放和全页面播放。</w:t>
            </w:r>
          </w:p>
          <w:p w14:paraId="267EACC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11.教师可在移动平台选择是否接收获取的分享课件，接收后课件储存至个人云空间，可在移动平台的互动课件列表预览。</w:t>
            </w:r>
          </w:p>
          <w:p w14:paraId="64B76F2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12.移动平台与授课端账号数据联通，可在移动端选择个人云空间内任意课件放映，授课端同步显示课件内容。</w:t>
            </w:r>
          </w:p>
          <w:p w14:paraId="6C30776C">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13.支持NFC一碰投屏或直播。在局域网环境或无网环境下，可将移动端屏幕实时同步至授课显示端，同屏窗口、全屏显示方式根据移动端界面自动适配。</w:t>
            </w:r>
          </w:p>
          <w:p w14:paraId="1A6249EC">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14.提供互动课件资源库，包含学科教育、专题教育、特殊教育类课件。可获取到个人云空间，课件资源数量不低于15万份。</w:t>
            </w:r>
          </w:p>
          <w:p w14:paraId="47BA9490">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15.提供将Word转换为云教案的能力，支持解析文本、表格等通用元素，方便老师迁移旧教案</w:t>
            </w:r>
          </w:p>
          <w:p w14:paraId="5BE22A22">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16.提供教案模板，方便老师撰写教案，预置模板包含表格式、提纲式、集备式、多课时式、单元设计式等不少于7个。支持校本模板，管理员在教研管理后台设置校本模板后，老师可在云教案模板调用。（提供国家认可的第三方权威检测机构出具的权威检测报告）</w:t>
            </w:r>
          </w:p>
          <w:p w14:paraId="0E7741AE">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17.云教案内支持插入课件页，可调用云空间中的课件列表，按单页或整份插入教案。插入后的课件以窗口形式预览，可直接在窗口内进行翻页和课件元素交互，可一键全屏预览课件。</w:t>
            </w:r>
          </w:p>
          <w:p w14:paraId="101F7632">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18.支持实现信息化集体备课。可选择教案、课件、胶囊资源上传发起集备研讨，能够设置多重访问权限，可通过手机号搜索邀请外校老师，用于跨校教研场景。</w:t>
            </w:r>
          </w:p>
          <w:p w14:paraId="220628AB">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19.参备人可通过评论区发表观点，可对他人评论的观点进行点赞，评论消息会实时提醒，支持图片的上传。</w:t>
            </w:r>
          </w:p>
          <w:p w14:paraId="6152ED0E">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20.参备人可在线对教案进行随文式批注，追加批注，回复以及查看实时批注消息。</w:t>
            </w:r>
          </w:p>
          <w:p w14:paraId="455D101F">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21.完成本次研讨后，主备人可直接进入编辑页面编辑课件/教案，发布新稿件后，备课组进入下一轮研讨，更新稿件后会给参备老师同步教研动态。</w:t>
            </w:r>
          </w:p>
          <w:p w14:paraId="1E404D88">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22.可对集备中多稿的课件/教案/胶囊进行内容的横向对比，支持批注研。参备成员可随时获取和下载每一稿中的集备稿件到云课件，进行编辑或引用。</w:t>
            </w:r>
          </w:p>
          <w:p w14:paraId="23EB0CD6">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23.研讨发起人在研讨过程中支持在线发起多人音视频研讨在线讨论，构建线上多现场同步研讨，更高效、更针对性的解决问题，研讨内容自动形成音视频记录，有效提高网络教研效率，将音视频技术与集体备课、主题研讨等常规教研活动深度融合。</w:t>
            </w:r>
          </w:p>
          <w:p w14:paraId="0B582A96">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24.语音研讨：主备人可以发起远程语音集备，进入语音研讨页面并共享稿件内容，提高集备的及时性与互动性，打造更高效便利的集备形式。</w:t>
            </w:r>
          </w:p>
          <w:p w14:paraId="506682D9">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25.集备状态：支持查看集备研讨中/未研讨中的状态，支持查看参备老师的在线状态，方便参备人及时参与语音集备，快速了解集备进度。</w:t>
            </w:r>
          </w:p>
          <w:p w14:paraId="07B6AE2E">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26.录制语音：支持主备人录制集备研讨语音和重命名录制好的讨论记录，支持参备人收听录音回放，追溯集备内容。</w:t>
            </w:r>
          </w:p>
          <w:p w14:paraId="0644CB0B">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27.集备管理：支持主备人管理添加/删除参备人员和控制个人和全员语音，支持邀请参备人开麦加入研讨。支持参备人控制个人语音，保障语音集备的有序性。</w:t>
            </w:r>
          </w:p>
          <w:p w14:paraId="182E1E8B">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28.快速评课：支持通过手机端APP快速评课，不限校内/校外听课评课，通过选择授课老师，听课日期时间和地点即可开始评课，支持按不同评价维度进行评分和记录听课感想，支持随时回顾听课记录。</w:t>
            </w:r>
          </w:p>
          <w:p w14:paraId="3C568127">
            <w:pPr>
              <w:widowControl/>
              <w:jc w:val="left"/>
              <w:textAlignment w:val="center"/>
              <w:rPr>
                <w:rFonts w:hint="eastAsia" w:ascii="Times New Roman" w:hAnsi="Times New Roman" w:eastAsia="宋体" w:cs="Times New Roman"/>
                <w:color w:val="000000"/>
                <w:kern w:val="0"/>
                <w:sz w:val="20"/>
                <w:szCs w:val="20"/>
                <w:highlight w:val="none"/>
              </w:rPr>
            </w:pPr>
            <w:r>
              <w:rPr>
                <w:rFonts w:hint="eastAsia" w:ascii="Times New Roman" w:hAnsi="Times New Roman" w:eastAsia="宋体" w:cs="Times New Roman"/>
                <w:color w:val="000000"/>
                <w:kern w:val="0"/>
                <w:sz w:val="20"/>
                <w:szCs w:val="20"/>
                <w:highlight w:val="none"/>
              </w:rPr>
              <w:t>29.直播听评课：支持授课老师发起直播听评课，使用手机进行录影，听课老师可查看课堂直播。</w:t>
            </w:r>
          </w:p>
          <w:p w14:paraId="3C9B442C">
            <w:pPr>
              <w:widowControl/>
              <w:jc w:val="left"/>
              <w:textAlignment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kern w:val="0"/>
                <w:sz w:val="20"/>
                <w:szCs w:val="20"/>
                <w:highlight w:val="none"/>
              </w:rPr>
              <w:t>30.支持通过实时音视频技术，将课堂教学现场进行实况直播，实现异地听课、评课，直播听评课结束后生成直播回放，为用户提供稳定快速的直播服务，使课堂教学研究与课堂教学同步进行，促进参与听课、评课教师的业务能力提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FC4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1BF2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96EE">
            <w:pPr>
              <w:jc w:val="center"/>
              <w:rPr>
                <w:rFonts w:ascii="Times New Roman" w:hAnsi="Times New Roman" w:eastAsia="宋体" w:cs="Times New Roman"/>
                <w:color w:val="000000"/>
                <w:sz w:val="20"/>
                <w:szCs w:val="20"/>
                <w:highlight w:val="none"/>
              </w:rPr>
            </w:pPr>
          </w:p>
        </w:tc>
      </w:tr>
      <w:tr w14:paraId="5B6B58E0">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85C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21E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图形计算器</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60B66">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一、硬件参数：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▲1、3.5英寸彩色触摸显示屏，≥256M存储内存；（提供证明并加盖投标人公章）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2、CPU：≥400MHz，支持中文；</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3、基于应用，内置有至少18种应用，包括函数、数列、参数、几何、极坐标、求解器、探索器、电子表格、矩阵、列表、程序等功能，满足师生需求；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二、内置软件功能：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可选择中文菜单显示，支持全中文输入。</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软件主要功能：CAS（计算机符号代数系统）功能，函数及二次曲线作图分析；几何；电子表格；统计分析，记事本，数据采集程序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1、高级绘图功能几乎可绘制X-Y平面的任何表达式，如不等式等；</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cs="Times New Roman"/>
                <w:color w:val="000000"/>
                <w:kern w:val="0"/>
                <w:sz w:val="20"/>
                <w:szCs w:val="20"/>
                <w:highlight w:val="none"/>
                <w:lang w:val="en-US" w:eastAsia="zh-CN"/>
              </w:rPr>
              <w:t>2</w:t>
            </w:r>
            <w:r>
              <w:rPr>
                <w:rFonts w:ascii="Times New Roman" w:hAnsi="Times New Roman" w:eastAsia="宋体" w:cs="Times New Roman"/>
                <w:color w:val="000000"/>
                <w:kern w:val="0"/>
                <w:sz w:val="20"/>
                <w:szCs w:val="20"/>
                <w:highlight w:val="none"/>
              </w:rPr>
              <w:t>、支持导入图片，并可在多个app中对导入的图片进行分析；（要求自行录制视频进行该项功能演示，演示在函数应用中能导入外部图片，支持直接手绘拱桥轮廓，产生自动拟合函数。所有功能演示条列汇总为一个视频，需在真实环境下录制视频，视频演示总时间不超过15分钟。）</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cs="Times New Roman"/>
                <w:color w:val="000000"/>
                <w:kern w:val="0"/>
                <w:sz w:val="20"/>
                <w:szCs w:val="20"/>
                <w:highlight w:val="none"/>
                <w:lang w:val="en-US" w:eastAsia="zh-CN"/>
              </w:rPr>
              <w:t>3</w:t>
            </w:r>
            <w:r>
              <w:rPr>
                <w:rFonts w:ascii="Times New Roman" w:hAnsi="Times New Roman" w:eastAsia="宋体" w:cs="Times New Roman"/>
                <w:color w:val="000000"/>
                <w:kern w:val="0"/>
                <w:sz w:val="20"/>
                <w:szCs w:val="20"/>
                <w:highlight w:val="none"/>
              </w:rPr>
              <w:t>、支持手绘函数，在图形计算器硬件设备的函数应用中可通过触屏操作对函数图像进行缩放，函数表达式可随之变化；（要求自行录制视频进行该项功能演示，利用函数的草图特征演示图形计算器函数功能，手工直接绘制出与草图类似的三角函数，并自动拟合，出现函数表达式，在拟合函数的基础上对函数进行放大，缩小，上下平移等变化；所有功能演示条列汇总为一个视频，需在真实环境下录制视频，视频演示总时间不超过15分钟。）</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cs="Times New Roman"/>
                <w:color w:val="000000"/>
                <w:kern w:val="0"/>
                <w:sz w:val="20"/>
                <w:szCs w:val="20"/>
                <w:highlight w:val="none"/>
                <w:lang w:val="en-US" w:eastAsia="zh-CN"/>
              </w:rPr>
              <w:t>4</w:t>
            </w:r>
            <w:r>
              <w:rPr>
                <w:rFonts w:ascii="Times New Roman" w:hAnsi="Times New Roman" w:eastAsia="宋体" w:cs="Times New Roman"/>
                <w:color w:val="000000"/>
                <w:kern w:val="0"/>
                <w:sz w:val="20"/>
                <w:szCs w:val="20"/>
                <w:highlight w:val="none"/>
              </w:rPr>
              <w:t>、动态图像与绘图：在坐标系中输入函数表达式,即可直接抓移该函数图像，实现平移、放缩等图形变换，并观察相对应的方程和数据的变化；</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cs="Times New Roman"/>
                <w:color w:val="000000"/>
                <w:kern w:val="0"/>
                <w:sz w:val="20"/>
                <w:szCs w:val="20"/>
                <w:highlight w:val="none"/>
                <w:lang w:val="en-US" w:eastAsia="zh-CN"/>
              </w:rPr>
              <w:t>5</w:t>
            </w:r>
            <w:r>
              <w:rPr>
                <w:rFonts w:ascii="Times New Roman" w:hAnsi="Times New Roman" w:eastAsia="宋体" w:cs="Times New Roman"/>
                <w:color w:val="000000"/>
                <w:kern w:val="0"/>
                <w:sz w:val="20"/>
                <w:szCs w:val="20"/>
                <w:highlight w:val="none"/>
              </w:rPr>
              <w:t>、具有三维坐标系，可直接输入函数表达式绘制立体图形，并进行各种图形变化；</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cs="Times New Roman"/>
                <w:color w:val="000000"/>
                <w:kern w:val="0"/>
                <w:sz w:val="20"/>
                <w:szCs w:val="20"/>
                <w:highlight w:val="none"/>
                <w:lang w:val="en-US" w:eastAsia="zh-CN"/>
              </w:rPr>
              <w:t>6</w:t>
            </w:r>
            <w:r>
              <w:rPr>
                <w:rFonts w:ascii="Times New Roman" w:hAnsi="Times New Roman" w:eastAsia="宋体" w:cs="Times New Roman"/>
                <w:color w:val="000000"/>
                <w:kern w:val="0"/>
                <w:sz w:val="20"/>
                <w:szCs w:val="20"/>
                <w:highlight w:val="none"/>
              </w:rPr>
              <w:t>、可在课件中插入JPG等格式图片文件，可以在计算器、图形、几何、数据和统计等应用程序中通过软件插入多种格式图片进行分析，将数学知识与实际生活紧密相连；</w:t>
            </w:r>
            <w:r>
              <w:rPr>
                <w:rFonts w:ascii="Times New Roman" w:hAnsi="Times New Roman" w:eastAsia="宋体" w:cs="Times New Roman"/>
                <w:color w:val="000000"/>
                <w:kern w:val="0"/>
                <w:sz w:val="20"/>
                <w:szCs w:val="20"/>
                <w:highlight w:val="none"/>
              </w:rPr>
              <w:br w:type="textWrapping"/>
            </w:r>
            <w:r>
              <w:rPr>
                <w:rFonts w:hint="eastAsia" w:ascii="Times New Roman" w:hAnsi="Times New Roman" w:cs="Times New Roman"/>
                <w:color w:val="000000"/>
                <w:kern w:val="0"/>
                <w:sz w:val="20"/>
                <w:szCs w:val="20"/>
                <w:highlight w:val="none"/>
                <w:lang w:val="en-US" w:eastAsia="zh-CN"/>
              </w:rPr>
              <w:t>7</w:t>
            </w:r>
            <w:r>
              <w:rPr>
                <w:rFonts w:ascii="Times New Roman" w:hAnsi="Times New Roman" w:eastAsia="宋体" w:cs="Times New Roman"/>
                <w:color w:val="000000"/>
                <w:kern w:val="0"/>
                <w:sz w:val="20"/>
                <w:szCs w:val="20"/>
                <w:highlight w:val="none"/>
              </w:rPr>
              <w:t>、通过配套计算器软件，可以把office办公软件中的数据、文字、公式、图片等以简单的复制粘贴的方式，制作到课件中，并发送到学生的图形计算器中，便于学生学习研究；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三、可扩展性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1.支持与传感器连接，采集数据进行数理分析。</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2.通过无线课堂教学系统，可同时与课堂内所有手持数学终端实时连接，实现课堂中教师与学生之间的实时信息交流，反馈和评价，实现互动教学，提高学生的课堂参与度。</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B64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1C2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14</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97B8">
            <w:pPr>
              <w:jc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核心产品1</w:t>
            </w:r>
          </w:p>
        </w:tc>
      </w:tr>
      <w:tr w14:paraId="11E1C6E7">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EFD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BC4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专业数学建模</w:t>
            </w:r>
            <w:r>
              <w:rPr>
                <w:rFonts w:hint="eastAsia" w:ascii="Times New Roman" w:hAnsi="Times New Roman" w:eastAsia="宋体" w:cs="Times New Roman"/>
                <w:color w:val="000000"/>
                <w:kern w:val="0"/>
                <w:sz w:val="20"/>
                <w:szCs w:val="20"/>
                <w:highlight w:val="none"/>
              </w:rPr>
              <w:t>平台</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18598">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1，数学图形构建和交互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使用该</w:t>
            </w:r>
            <w:r>
              <w:rPr>
                <w:rFonts w:hint="eastAsia" w:ascii="Times New Roman" w:hAnsi="Times New Roman" w:eastAsia="宋体" w:cs="Times New Roman"/>
                <w:color w:val="000000"/>
                <w:kern w:val="0"/>
                <w:sz w:val="20"/>
                <w:szCs w:val="20"/>
                <w:highlight w:val="none"/>
              </w:rPr>
              <w:t>平台</w:t>
            </w:r>
            <w:r>
              <w:rPr>
                <w:rFonts w:ascii="Times New Roman" w:hAnsi="Times New Roman" w:eastAsia="宋体" w:cs="Times New Roman"/>
                <w:color w:val="000000"/>
                <w:kern w:val="0"/>
                <w:sz w:val="20"/>
                <w:szCs w:val="20"/>
                <w:highlight w:val="none"/>
              </w:rPr>
              <w:t>，可以体验公式和形式之间的关系，数学和艺术以互动的方式呈现，可以输入表达式产生美丽和数学图像，3D数学模型。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2，空间立体交互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使用空间立体，您可以轻松地在欧几里得空间的17个对称组之一中绘制对称图案。发现几何特性，并研究其旋转中心和镜轴的内部结构。或随意以创新的方式绘画</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3，分子结构中的数学</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体验此交互式程序并飞过石英，萤石或钻石晶体。您也可以在3D触摸屏上用手指操纵微型飞船通过晶体结构。</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4模拟火山运动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该模块是欧洲火山喷发的交互式模拟。您可以放置​​火山，添加风场并探索随时间散布的灰云。</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5数学与音乐</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数学模型的构建与音乐之间的联系。</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A1F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C0D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6B31">
            <w:pPr>
              <w:jc w:val="center"/>
              <w:rPr>
                <w:rFonts w:ascii="Times New Roman" w:hAnsi="Times New Roman" w:eastAsia="宋体" w:cs="Times New Roman"/>
                <w:color w:val="000000"/>
                <w:sz w:val="20"/>
                <w:szCs w:val="20"/>
                <w:highlight w:val="none"/>
              </w:rPr>
            </w:pPr>
          </w:p>
        </w:tc>
      </w:tr>
      <w:tr w14:paraId="36616D6D">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245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2DE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空间几何模型</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3E45F">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立体几何模型类共46件，包括几何开体剖面模，体积模型，旋转体等.尺寸高度为不低于10cm，有机玻璃材质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包含：正三棱锥，正四棱锥，正五棱锥，正六棱锥，正四面体，正八面体，正十二面体，正二十面体，截面为椭圆形圆锥，截面为圆形圆锥，截面为抛物线圆锥，圆锥的形成，正三棱柱，斜三棱柱，直角三棱柱，空心圆柱，里面为三棱锥的圆锥，截面为曲线的圆锥，截面为三角形的圆锥，截面为长方形的三棱柱，圆柱的形成，截面为长方形的圆柱，实心圆柱，圆台的形成，截面为长方形的五棱柱，截面为长方形的六棱柱，正三棱台，正四棱台，截面为长方形的正方体，截面为梯形的正方体，截面为六边形的正方体，截面为正方形的正方体，正方体，正四棱柱，正五棱柱，正六棱柱，截面为三角形的正方体，里面为圆球的正方体，里面为四面体的圆球，球的形成，长方体，平行六面体，地面为长方形的垂直锥，里面为圆球的四面体，里面为正方体的圆球，两面角</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8A9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7B5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7CEF">
            <w:pPr>
              <w:jc w:val="center"/>
              <w:rPr>
                <w:rFonts w:ascii="Times New Roman" w:hAnsi="Times New Roman" w:eastAsia="宋体" w:cs="Times New Roman"/>
                <w:color w:val="000000"/>
                <w:sz w:val="20"/>
                <w:szCs w:val="20"/>
                <w:highlight w:val="none"/>
              </w:rPr>
            </w:pPr>
          </w:p>
        </w:tc>
      </w:tr>
      <w:tr w14:paraId="77D3D0EC">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B49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8</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2FE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思维训练专用桌</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C6B9">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1、规格≥1210*1210*1150mm；</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2、操作台面与顶部台面为木制夹板基材，厚度为≥25mm，采用同色PVC封边；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3、底部桌架采用约50*50mm钢架结构，钢管厚度为≥1.5mm，设置上、下两组横撑进行加固，腿部与横撑之间的挡板以菱形冲孔；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4，能够放置4组450mm×350mm的数学思维训练设备，同时能够安排四位学生就坐。</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5C2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B1E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D247">
            <w:pPr>
              <w:jc w:val="center"/>
              <w:rPr>
                <w:rFonts w:ascii="Times New Roman" w:hAnsi="Times New Roman" w:eastAsia="宋体" w:cs="Times New Roman"/>
                <w:color w:val="000000"/>
                <w:sz w:val="20"/>
                <w:szCs w:val="20"/>
                <w:highlight w:val="none"/>
              </w:rPr>
            </w:pPr>
          </w:p>
        </w:tc>
      </w:tr>
      <w:tr w14:paraId="03A159E6">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5F334F3">
            <w:pPr>
              <w:widowControl/>
              <w:jc w:val="left"/>
              <w:textAlignment w:val="center"/>
              <w:rPr>
                <w:rFonts w:hint="eastAsia"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val="en-US" w:eastAsia="zh-CN"/>
              </w:rPr>
              <w:t>2.</w:t>
            </w:r>
            <w:r>
              <w:rPr>
                <w:rFonts w:ascii="Times New Roman" w:hAnsi="Times New Roman" w:eastAsia="宋体" w:cs="Times New Roman"/>
                <w:b/>
                <w:bCs/>
                <w:color w:val="000000"/>
                <w:kern w:val="0"/>
                <w:sz w:val="20"/>
                <w:szCs w:val="20"/>
                <w:highlight w:val="none"/>
              </w:rPr>
              <w:t>AI</w:t>
            </w:r>
            <w:r>
              <w:rPr>
                <w:rFonts w:hint="eastAsia" w:ascii="Times New Roman" w:hAnsi="Times New Roman" w:cs="Times New Roman"/>
                <w:b/>
                <w:bCs/>
                <w:color w:val="000000"/>
                <w:kern w:val="0"/>
                <w:sz w:val="20"/>
                <w:szCs w:val="20"/>
                <w:highlight w:val="none"/>
                <w:lang w:eastAsia="zh-CN"/>
              </w:rPr>
              <w:t>智阅批改区</w:t>
            </w:r>
          </w:p>
        </w:tc>
        <w:tc>
          <w:tcPr>
            <w:tcW w:w="3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40D5CD0">
            <w:pPr>
              <w:widowControl/>
              <w:jc w:val="left"/>
              <w:textAlignment w:val="center"/>
              <w:rPr>
                <w:rFonts w:ascii="宋体" w:hAnsi="宋体" w:eastAsia="宋体" w:cs="宋体"/>
                <w:b/>
                <w:bCs/>
                <w:color w:val="00000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D16F888">
            <w:pPr>
              <w:widowControl/>
              <w:jc w:val="left"/>
              <w:textAlignment w:val="center"/>
              <w:rPr>
                <w:rFonts w:ascii="宋体" w:hAnsi="宋体" w:eastAsia="宋体" w:cs="宋体"/>
                <w:b/>
                <w:bCs/>
                <w:color w:val="000000"/>
                <w:sz w:val="20"/>
                <w:szCs w:val="20"/>
                <w:highlight w:val="none"/>
              </w:rPr>
            </w:pPr>
          </w:p>
        </w:tc>
      </w:tr>
      <w:tr w14:paraId="49A61DFC">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DB8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549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AI信息查询机</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07E2">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≥32</w:t>
            </w:r>
            <w:r>
              <w:rPr>
                <w:rFonts w:hint="eastAsia" w:ascii="宋体" w:hAnsi="宋体" w:eastAsia="宋体" w:cs="宋体"/>
                <w:color w:val="000000"/>
                <w:kern w:val="0"/>
                <w:sz w:val="20"/>
                <w:szCs w:val="20"/>
                <w:highlight w:val="none"/>
              </w:rPr>
              <w:t>英寸屏幕，</w:t>
            </w:r>
            <w:r>
              <w:rPr>
                <w:rFonts w:ascii="Times New Roman" w:hAnsi="Times New Roman" w:eastAsia="宋体" w:cs="Times New Roman"/>
                <w:color w:val="000000"/>
                <w:kern w:val="0"/>
                <w:sz w:val="20"/>
                <w:szCs w:val="20"/>
                <w:highlight w:val="none"/>
              </w:rPr>
              <w:t>4K</w:t>
            </w:r>
            <w:r>
              <w:rPr>
                <w:rFonts w:hint="eastAsia" w:ascii="宋体" w:hAnsi="宋体" w:eastAsia="宋体" w:cs="宋体"/>
                <w:color w:val="000000"/>
                <w:kern w:val="0"/>
                <w:sz w:val="20"/>
                <w:szCs w:val="20"/>
                <w:highlight w:val="none"/>
              </w:rPr>
              <w:t>超高清显示，低蓝光护眼，可触控类纸屏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≥8G+256G</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包含</w:t>
            </w:r>
            <w:r>
              <w:rPr>
                <w:rFonts w:ascii="Times New Roman" w:hAnsi="Times New Roman" w:eastAsia="宋体" w:cs="Times New Roman"/>
                <w:color w:val="000000"/>
                <w:kern w:val="0"/>
                <w:sz w:val="20"/>
                <w:szCs w:val="20"/>
                <w:highlight w:val="none"/>
              </w:rPr>
              <w:t>HDMI</w:t>
            </w:r>
            <w:r>
              <w:rPr>
                <w:rFonts w:hint="eastAsia" w:ascii="宋体" w:hAnsi="宋体" w:eastAsia="宋体" w:cs="宋体"/>
                <w:color w:val="000000"/>
                <w:kern w:val="0"/>
                <w:sz w:val="20"/>
                <w:szCs w:val="20"/>
                <w:highlight w:val="none"/>
              </w:rPr>
              <w:t>接口</w:t>
            </w:r>
            <w:r>
              <w:rPr>
                <w:rFonts w:ascii="Times New Roman" w:hAnsi="Times New Roman" w:eastAsia="宋体" w:cs="Times New Roman"/>
                <w:color w:val="000000"/>
                <w:kern w:val="0"/>
                <w:sz w:val="20"/>
                <w:szCs w:val="20"/>
                <w:highlight w:val="none"/>
              </w:rPr>
              <w:t>Type C</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含鼠标键盘</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B06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032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BA2B">
            <w:pPr>
              <w:jc w:val="center"/>
              <w:rPr>
                <w:rFonts w:ascii="宋体" w:hAnsi="宋体" w:eastAsia="宋体" w:cs="宋体"/>
                <w:color w:val="000000"/>
                <w:sz w:val="20"/>
                <w:szCs w:val="20"/>
                <w:highlight w:val="none"/>
              </w:rPr>
            </w:pPr>
          </w:p>
        </w:tc>
      </w:tr>
      <w:tr w14:paraId="1E6AD853">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58F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4BA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智能作业扫描留痕</w:t>
            </w:r>
            <w:r>
              <w:rPr>
                <w:rFonts w:hint="eastAsia" w:ascii="Times New Roman" w:hAnsi="Times New Roman" w:eastAsia="宋体" w:cs="Times New Roman"/>
                <w:color w:val="000000"/>
                <w:kern w:val="0"/>
                <w:sz w:val="20"/>
                <w:szCs w:val="20"/>
                <w:highlight w:val="none"/>
              </w:rPr>
              <w:t>批改</w:t>
            </w:r>
            <w:r>
              <w:rPr>
                <w:rFonts w:ascii="Times New Roman" w:hAnsi="Times New Roman" w:eastAsia="宋体" w:cs="Times New Roman"/>
                <w:color w:val="000000"/>
                <w:kern w:val="0"/>
                <w:sz w:val="20"/>
                <w:szCs w:val="20"/>
                <w:highlight w:val="none"/>
              </w:rPr>
              <w:t>一体机</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5BCE">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支持作业云打印、作业扫描、作业批改痕迹留痕打印一体，读卡器自动识别，双纸盒，最大支持A3幅面，扫描速度单面60页/分，双面120页/分，可实现教师布置作业后，远程刷卡打印本班批改留痕作业。</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26F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AD5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7941">
            <w:pPr>
              <w:jc w:val="center"/>
              <w:rPr>
                <w:rFonts w:ascii="宋体" w:hAnsi="宋体" w:eastAsia="宋体" w:cs="宋体"/>
                <w:color w:val="000000"/>
                <w:sz w:val="20"/>
                <w:szCs w:val="20"/>
                <w:highlight w:val="none"/>
              </w:rPr>
            </w:pPr>
          </w:p>
        </w:tc>
      </w:tr>
      <w:tr w14:paraId="3F7CE327">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88A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0F7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数学教室专用PP靠背椅</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C890">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规格≥540*490*785mm；靠背采用全新PP材质，背坐分体；座垫采用弹力棉，坐布多色可选；椅脚采用金属圆管，打磨酸洗磷化后，经高温粉体烤漆处理。</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46D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把</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6AE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8</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D964">
            <w:pPr>
              <w:jc w:val="center"/>
              <w:rPr>
                <w:rFonts w:ascii="Times New Roman" w:hAnsi="Times New Roman" w:eastAsia="宋体" w:cs="Times New Roman"/>
                <w:color w:val="000000"/>
                <w:sz w:val="20"/>
                <w:szCs w:val="20"/>
                <w:highlight w:val="none"/>
              </w:rPr>
            </w:pPr>
          </w:p>
        </w:tc>
      </w:tr>
      <w:tr w14:paraId="4A52BE20">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531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F3C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数学教室收纳柜</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C11D2">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规格≥W1340*D450*H900mm；主材采用国家标准E1级板材，基材采用优质颗粒板，面贴优质三聚氰胺纸，厚度≥18mm；可见截面采用≥2MMPVC封边条，采用全自动封边机热熔胶封边；导轨为ABS材质；收纳盒尺寸约为430*305*100mm ，材质为PP新料；五金件采用DTC品牌液压铰链，具备缓冲阻尼效果。</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662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B0D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A64E">
            <w:pPr>
              <w:jc w:val="center"/>
              <w:rPr>
                <w:rFonts w:ascii="Times New Roman" w:hAnsi="Times New Roman" w:eastAsia="宋体" w:cs="Times New Roman"/>
                <w:color w:val="000000"/>
                <w:sz w:val="20"/>
                <w:szCs w:val="20"/>
                <w:highlight w:val="none"/>
              </w:rPr>
            </w:pPr>
          </w:p>
        </w:tc>
      </w:tr>
      <w:tr w14:paraId="5649B271">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B4B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B15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数学教室专用置物架</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EF9F">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1、基材：采用优质三聚氰胺板,优质绿色环保产品,含水 率10.8%，甲醛释放量5.1mg/100g, 2、粘合剂：优质乳胶,游离甲醛含量＜0.05g/kg， 3、封边用材：1mm厚PVC胶边，热熔胶.          4、品牌优质五金配件；</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653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190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D9F9">
            <w:pPr>
              <w:jc w:val="center"/>
              <w:rPr>
                <w:rFonts w:ascii="Times New Roman" w:hAnsi="Times New Roman" w:eastAsia="宋体" w:cs="Times New Roman"/>
                <w:color w:val="000000"/>
                <w:sz w:val="20"/>
                <w:szCs w:val="20"/>
                <w:highlight w:val="none"/>
              </w:rPr>
            </w:pPr>
          </w:p>
        </w:tc>
      </w:tr>
      <w:tr w14:paraId="377D61CB">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52BE66B">
            <w:pPr>
              <w:widowControl/>
              <w:jc w:val="left"/>
              <w:textAlignment w:val="center"/>
              <w:rPr>
                <w:rFonts w:hint="default"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val="en-US" w:eastAsia="zh-CN"/>
              </w:rPr>
              <w:t>3.智慧课堂区</w:t>
            </w:r>
          </w:p>
        </w:tc>
        <w:tc>
          <w:tcPr>
            <w:tcW w:w="3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36E668D">
            <w:pPr>
              <w:widowControl/>
              <w:jc w:val="left"/>
              <w:textAlignment w:val="center"/>
              <w:rPr>
                <w:rFonts w:ascii="宋体" w:hAnsi="宋体" w:eastAsia="宋体" w:cs="宋体"/>
                <w:b/>
                <w:bCs/>
                <w:color w:val="00000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1503A8E5">
            <w:pPr>
              <w:widowControl/>
              <w:jc w:val="left"/>
              <w:textAlignment w:val="center"/>
              <w:rPr>
                <w:rFonts w:ascii="宋体" w:hAnsi="宋体" w:eastAsia="宋体" w:cs="宋体"/>
                <w:b/>
                <w:bCs/>
                <w:color w:val="000000"/>
                <w:sz w:val="20"/>
                <w:szCs w:val="20"/>
                <w:highlight w:val="none"/>
              </w:rPr>
            </w:pPr>
          </w:p>
        </w:tc>
      </w:tr>
      <w:tr w14:paraId="66425CFB">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3E5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248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课堂主机</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88ADC">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1.系统架构：需采用嵌入式架构设计，且为了便于设备的远程管理、维护和升级，需内置操作系统和管理软件；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2.设备接口：网络接口≥1，HDMI≥1，USB≥1；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3.节能环保：设备功耗不超过12W，且采用无风扇散热设计，低噪音不影响正常授课；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4.▲支持在断网（无互联网、无校园网、设备与平台断开）的情况下，可进行离线的课堂教学互动，而教学过程中的行为数据待连网后自动上传至平台进行归档。（</w:t>
            </w:r>
            <w:bookmarkStart w:id="161" w:name="OLE_LINK4"/>
            <w:bookmarkStart w:id="162" w:name="OLE_LINK3"/>
            <w:r>
              <w:rPr>
                <w:rFonts w:ascii="Times New Roman" w:hAnsi="Times New Roman" w:eastAsia="宋体" w:cs="Times New Roman"/>
                <w:color w:val="000000"/>
                <w:kern w:val="0"/>
                <w:sz w:val="20"/>
                <w:szCs w:val="20"/>
                <w:highlight w:val="none"/>
              </w:rPr>
              <w:t>提供国家认证认可</w:t>
            </w:r>
            <w:r>
              <w:rPr>
                <w:rFonts w:hint="eastAsia" w:ascii="Times New Roman" w:hAnsi="Times New Roman" w:eastAsia="宋体" w:cs="Times New Roman"/>
                <w:color w:val="000000"/>
                <w:kern w:val="0"/>
                <w:sz w:val="20"/>
                <w:szCs w:val="20"/>
                <w:highlight w:val="none"/>
              </w:rPr>
              <w:t>权威机构出具的</w:t>
            </w:r>
            <w:r>
              <w:rPr>
                <w:rFonts w:ascii="Times New Roman" w:hAnsi="Times New Roman" w:eastAsia="宋体" w:cs="Times New Roman"/>
                <w:color w:val="000000"/>
                <w:kern w:val="0"/>
                <w:sz w:val="20"/>
                <w:szCs w:val="20"/>
                <w:highlight w:val="none"/>
              </w:rPr>
              <w:t>检测报告</w:t>
            </w:r>
            <w:bookmarkEnd w:id="161"/>
            <w:bookmarkEnd w:id="162"/>
            <w:r>
              <w:rPr>
                <w:rFonts w:ascii="Times New Roman" w:hAnsi="Times New Roman" w:eastAsia="宋体" w:cs="Times New Roman"/>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5.▲通过蓝牙AP，可接入智能笔，且支持将智能笔的书写内容实时显示到电脑上，且屏显与实际书写时延＜0.5秒。（</w:t>
            </w:r>
            <w:r>
              <w:rPr>
                <w:rFonts w:hint="eastAsia" w:ascii="Times New Roman" w:hAnsi="Times New Roman" w:eastAsia="宋体" w:cs="Times New Roman"/>
                <w:color w:val="000000"/>
                <w:kern w:val="0"/>
                <w:sz w:val="20"/>
                <w:szCs w:val="20"/>
                <w:highlight w:val="none"/>
              </w:rPr>
              <w:t>提供国家认证认可权威机构出具的检测报告</w:t>
            </w:r>
            <w:r>
              <w:rPr>
                <w:rFonts w:ascii="Times New Roman" w:hAnsi="Times New Roman" w:eastAsia="宋体" w:cs="Times New Roman"/>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6.▲通过蓝牙AP，可接入智能笔，支持在未开课情况下，实现将智能笔书写的笔迹数据直接静默上传到平台上，而无需借助任何其他设备和软件。（</w:t>
            </w:r>
            <w:r>
              <w:rPr>
                <w:rFonts w:hint="eastAsia" w:ascii="Times New Roman" w:hAnsi="Times New Roman" w:eastAsia="宋体" w:cs="Times New Roman"/>
                <w:color w:val="000000"/>
                <w:kern w:val="0"/>
                <w:sz w:val="20"/>
                <w:szCs w:val="20"/>
                <w:highlight w:val="none"/>
              </w:rPr>
              <w:t>提供国家认证认可权威机构出具的检测报告</w:t>
            </w:r>
            <w:r>
              <w:rPr>
                <w:rFonts w:ascii="Times New Roman" w:hAnsi="Times New Roman" w:eastAsia="宋体" w:cs="Times New Roman"/>
                <w:color w:val="000000"/>
                <w:kern w:val="0"/>
                <w:sz w:val="20"/>
                <w:szCs w:val="20"/>
                <w:highlight w:val="none"/>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C68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5E3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C331B">
            <w:pPr>
              <w:jc w:val="center"/>
              <w:rPr>
                <w:rFonts w:ascii="Times New Roman" w:hAnsi="Times New Roman" w:eastAsia="宋体" w:cs="Times New Roman"/>
                <w:color w:val="000000"/>
                <w:sz w:val="20"/>
                <w:szCs w:val="20"/>
                <w:highlight w:val="none"/>
              </w:rPr>
            </w:pPr>
          </w:p>
        </w:tc>
      </w:tr>
      <w:tr w14:paraId="6937A07C">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39D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84B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智慧管理系统</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789A">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1.软件应采用业界流行的B/S架构，通过浏览器直接输入IP地址即可访问和使用。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2.为满足物联管控和统一管理，应支持根据不同网络架构配置网络参数，还可通过网络进行远程重启或定时重启等。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3.为保证安全性，应提供对教室的绑定认证功能，通过认证后可进行使用。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4.提供版本控制功能，可查看软件版本信息，并应提供OTA升级和本地离线升级两种方式，便于系统的维护和升级。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5.▲提供智能笔的管理，可查看智能笔的连接状态、电量状态和固件版本信息，也可手动添加、批量导入和导出智能笔信息。（提供软件功能界面截图并加盖公章）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6.软件应具备自主知识产权，提供计算机软件著作权登记证书复印件并加盖公章。</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01D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C4E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D1A6">
            <w:pPr>
              <w:jc w:val="center"/>
              <w:rPr>
                <w:rFonts w:ascii="Times New Roman" w:hAnsi="Times New Roman" w:eastAsia="宋体" w:cs="Times New Roman"/>
                <w:color w:val="000000"/>
                <w:sz w:val="20"/>
                <w:szCs w:val="20"/>
                <w:highlight w:val="none"/>
              </w:rPr>
            </w:pPr>
          </w:p>
        </w:tc>
      </w:tr>
      <w:tr w14:paraId="188CAE20">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B46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AEA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智慧课堂系统</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3CE3">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一.课前备课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1.分组管理：支持教师创建分组教学方案，并分配小组成员，应用于分组教学活动中。</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2.课本管理：教师可根据学段、学科、版本信息从教材库中直接引用已有课本，也可自编课本。</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3.课前备课：支持教师基于教材、学科、知识点进行课前备课，备课时可引用资源库，备课内容包括课堂课件和随堂测试两种。</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4.课件备课：支持教师上传课件资料或直接引用资源库进行备课。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5.测试备课：支持教师上传测试文件或直接引用题库进行备课。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6.备课同步：支持教师课前的所有备课资料备份至主机当中，教师在课堂上可直接调用进行授课，防止因网络问题无法访问平台而影响正常上课。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二.课堂教学</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1.信息关联：教师上课时可自动关联学科、班级和学生信息，且支持实时监看学生状态。</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2.课件演示：教师可直接打开课前备课或现场自带的课件进行授课。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3.画笔批注：教师可在教学过程中进行书写批注，提供多种可选笔迹大小和颜色。</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4.板书教学：教师可使用板书功能进行书写及讲解，板书背景需支持多种样式和颜色可选；且支持多个白板同时并存，在授课过程中，可以随时的查看和调取白板的记录。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5.微课录制：支持录制教师电脑画面和采集电脑麦克风声音形成微课视频，录制完成后可同步上传至教学平台，也可下载到本地和分享给学生进行观看学习。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6.课堂互动：支持抢答、投票、随机挑人等功能，教师可从全班范围内随机挑选学生，也可根据某次答题或投票结果，从任意选项中随机挑选学生。</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7.测试互动：支持全班作答、分组作答等方式的课堂测试互动活动。支持单选、多选、判断、解答等四种常用题型，并支持设置答题时间，教师也可以根据学生的答题情况随时终止或者延长答题。</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8.随堂测试：提供利用课前备课已生成的测试或现场从自带试题中生成测试，教师选择后进行课堂测试。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9.▲截屏测试：支持教师截取课件、画笔和板书的内容作为题目进行课堂测试。（提供软件功能界面截图并加盖公章）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10.移动教学：提供教师移动端APP，支持对课件进行多页预览、翻页、批注和板书，发起随机挑人、抢答和点赞，拍摄图片和实时视频并进行讲评分享等功能。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分组教学：教师可进行自由分组、布置主题和设置倒计时，学生可进行分角色讨论学习；支持不少于12个小组，每个小组支持提交不少于6个讨论成果，教师可查看所有小组的讨论成果、进行二分屏或四分屏对比展示。（提供软件功能界面截图并加盖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12.分组协作：支持在分组教学中，同一小组的不同学生可在同一纸上进行协作书写，且书写内容需自动关联学生身份并可进行笔迹回放。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13.▲书写答题：支持在不改变学生书写方式的情况下自动记录学生书写笔迹、统计客观题正确率，并支持不少于4个学生答案对比和笔迹回放。（提供软件功能界面截图并加盖公章）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14.▲书写演示：支持教师授权学生进行书写演示，书写笔迹可在教师PC端实现同步显示，且支持不少于4个学生同时进行对比演示。（提供软件功能界面截图并加盖公章）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15.课堂点赞：支持教师根据学生课堂表现对学生个人或小组进行点赞激励。</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三.教学分析</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课堂分析：支持对课堂教学进行全程记录和分析，内容按时序结构化进行呈现，便于教师课后快速定位查找，完成课后反思教研；并提供课堂的签到率、作答得分率、课堂活跃度、点赞、知识点得分率和学生做题分析等数据。（提供软件功能界面截图并加盖公章）</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2.错题分析：支持按时段、班级汇总所有错题，包括错题的得分率、所关联的知识点和错误的学生名单等数据；教师可通过得分率、错题来源进行筛选查找，也可根据需要导出错题集。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四.数据报告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1.智慧课堂：支持按时段生成全校的智慧课堂分析，包含但不限于智慧课堂开课与互动总次数、开课的日趋势与时间段分析、按年级/学科/班级/教师分类的开课和互动数据等。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智慧作业：支持按时段生成全校的智慧作业分析，包含但不限于作业提交/布置/批阅/讲评的趋势分析、按年级/学科/班级/教师分类的作业应用分析等，分析指标包含但不限于布置次数、提交率、批阅率、订正率、订正后查阅率、得分率、平均用时等，且支持对每个指标设置预警并高亮显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3.资源建设：支持统计和查看教师教学活动的生成性资源和校本资源总量，并可按资源类型、学科分别统计。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教师教情：支持按时段生成教师与学科的教学分析，包含但不限于作业布置数、作业讲评数、课堂开课数等，并提供每个教师的作业和课堂应用情况，作业包含但不限于布置次数、得分率、提交率、批阅率、订正率、订正后查阅率、讲评数、平均用时、作业布置/批阅/讲评的日趋势、作业批阅的时间段分布等，课堂包含但不限于开课次数与日趋势、互动次数与互动类型占比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5.学科学情：支持按时段、学科生成班级与年级的学情对比分析，包含但不限于学业等级分布、各单元目标的平均得分率，以及各学业等级分层的学生与临界生名单等。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班级学情：支持按时段、学科生成班级学情分析，包含但不限于班级各学生作业平均的得分率、提交率、订正率、用时、每份作业的评价等级、各知识点与各单元目标的平均得分率、具有典型表现的学生名单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学生学情：支持按时段生成学生个人学情分析，包含但不限于作业等级分布、作业等级与得分率趋势、作业时长、每份作业的个人与班级和年级的时长趋势对比、各个知识点与单元目标的个人与班级和年级的得分率对比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8.课堂质量：支持按时段、学科生成各班级课堂质量分析，包含但不限于课堂开课与互动次数对比、课堂作答等级的占比与分布、课堂互动类型的占比与分布等。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作业质量：支持按时段、学科生成各班级作业质量分析，包含但不限于作业等级/得分率/提交率/订正率/平均用时的数据对比、作业等级的占比与趋势、作业作答时长的占比与趋势、作业提交与批阅的时间段分布、作业类型的占比与分布、作业题量的占比与分布、作业试题难度的占比与分布等。</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CB7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A0A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4F16">
            <w:pPr>
              <w:jc w:val="center"/>
              <w:rPr>
                <w:rFonts w:ascii="Times New Roman" w:hAnsi="Times New Roman" w:eastAsia="宋体" w:cs="Times New Roman"/>
                <w:color w:val="000000"/>
                <w:sz w:val="20"/>
                <w:szCs w:val="20"/>
                <w:highlight w:val="none"/>
              </w:rPr>
            </w:pPr>
          </w:p>
        </w:tc>
      </w:tr>
      <w:tr w14:paraId="445F2908">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36E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6FF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学生智能笔</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91E2">
            <w:pPr>
              <w:widowControl/>
              <w:jc w:val="left"/>
              <w:textAlignment w:val="center"/>
              <w:rPr>
                <w:rFonts w:ascii="Times New Roman" w:hAnsi="Times New Roman" w:eastAsia="宋体" w:cs="Times New Roman"/>
                <w:color w:val="000000"/>
                <w:kern w:val="0"/>
                <w:sz w:val="20"/>
                <w:szCs w:val="20"/>
                <w:highlight w:val="none"/>
              </w:rPr>
            </w:pPr>
            <w:r>
              <w:rPr>
                <w:rFonts w:ascii="Times New Roman" w:hAnsi="Times New Roman" w:eastAsia="宋体" w:cs="Times New Roman"/>
                <w:color w:val="000000"/>
                <w:kern w:val="0"/>
                <w:sz w:val="20"/>
                <w:szCs w:val="20"/>
                <w:highlight w:val="none"/>
              </w:rPr>
              <w:t>1.外观尺寸：笔身直径≤10.5mm；</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2.重量：不含笔帽重量≤13g；</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3.电池容量：内置锂离子电池，容量≥130mAH；</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4.使用时间：连续书写时长≥8小时；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5.充电时间：≤1.5小时；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6.压感级别：≥1024级；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7.定位识别：内置笔迹摄像头，采用数字光学点阵技术；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8.分辨率：≥0.04mm；</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9.书写角度：-45°至45°（垂直角度为0°）；</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10.▲识别精度：支持识别600dpi及以上的黑白打印或印刷品的点阵内容，并可实现书写笔迹的采集，且笔迹采集率不低于99%；（</w:t>
            </w:r>
            <w:r>
              <w:rPr>
                <w:rFonts w:hint="eastAsia" w:ascii="Times New Roman" w:hAnsi="Times New Roman" w:eastAsia="宋体" w:cs="Times New Roman"/>
                <w:color w:val="000000"/>
                <w:kern w:val="0"/>
                <w:sz w:val="20"/>
                <w:szCs w:val="20"/>
                <w:highlight w:val="none"/>
              </w:rPr>
              <w:t>提供国家认证认可权威机构出具的检测报告</w:t>
            </w:r>
            <w:r>
              <w:rPr>
                <w:rFonts w:ascii="Times New Roman" w:hAnsi="Times New Roman" w:eastAsia="宋体" w:cs="Times New Roman"/>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11.存储空间：≥8MB，可以实现书写数据的脱机存储；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12.数据传输：支持蓝牙BLE 4.0及以上无线数据传输，可以连接教室蓝牙AP或手机；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13.笔芯规格：D1；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14.充电接口：磁吸式；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15.指示灯：需支持不同状态显示，包含但不限于电量状态、连接状态、异常状态等；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16.▲跌落：</w:t>
            </w:r>
            <w:r>
              <w:rPr>
                <w:rFonts w:hint="eastAsia" w:ascii="Times New Roman" w:hAnsi="Times New Roman" w:eastAsia="宋体" w:cs="Times New Roman"/>
                <w:color w:val="000000"/>
                <w:kern w:val="0"/>
                <w:sz w:val="20"/>
                <w:szCs w:val="20"/>
                <w:highlight w:val="none"/>
              </w:rPr>
              <w:t>产品整体安全性能满足 GB 4943.1‑2022 强制性国家标准；</w:t>
            </w:r>
            <w:r>
              <w:rPr>
                <w:rFonts w:hint="eastAsia" w:ascii="Times New Roman" w:hAnsi="Times New Roman" w:cs="Times New Roman"/>
                <w:color w:val="000000"/>
                <w:kern w:val="0"/>
                <w:sz w:val="20"/>
                <w:szCs w:val="20"/>
                <w:highlight w:val="none"/>
                <w:lang w:eastAsia="zh-CN"/>
              </w:rPr>
              <w:t>智能笔</w:t>
            </w:r>
            <w:r>
              <w:rPr>
                <w:rFonts w:hint="eastAsia" w:ascii="Times New Roman" w:hAnsi="Times New Roman" w:eastAsia="宋体" w:cs="Times New Roman"/>
                <w:color w:val="000000"/>
                <w:kern w:val="0"/>
                <w:sz w:val="20"/>
                <w:szCs w:val="20"/>
                <w:highlight w:val="none"/>
              </w:rPr>
              <w:t>具备抗跌落能力，满足教学场景日常跌落使用，</w:t>
            </w:r>
            <w:r>
              <w:rPr>
                <w:rFonts w:ascii="Times New Roman" w:hAnsi="Times New Roman" w:eastAsia="宋体" w:cs="Times New Roman"/>
                <w:color w:val="000000"/>
                <w:kern w:val="0"/>
                <w:sz w:val="20"/>
                <w:szCs w:val="20"/>
                <w:highlight w:val="none"/>
              </w:rPr>
              <w:t>且蓝牙连接、书写笔迹的采集和传输均正常；</w:t>
            </w:r>
            <w:r>
              <w:rPr>
                <w:rFonts w:hint="eastAsia" w:ascii="Times New Roman" w:hAnsi="Times New Roman" w:eastAsia="宋体" w:cs="Times New Roman"/>
                <w:color w:val="000000"/>
                <w:kern w:val="0"/>
                <w:sz w:val="20"/>
                <w:szCs w:val="20"/>
                <w:highlight w:val="none"/>
              </w:rPr>
              <w:t>（提供国家认证认可的第三方检测报告）</w:t>
            </w:r>
          </w:p>
          <w:p w14:paraId="65A431FC">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17.升级：需支持OTA升级。</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5D4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支</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1D0A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716A">
            <w:pPr>
              <w:jc w:val="center"/>
              <w:rPr>
                <w:rFonts w:ascii="Times New Roman" w:hAnsi="Times New Roman" w:eastAsia="宋体" w:cs="Times New Roman"/>
                <w:color w:val="000000"/>
                <w:sz w:val="20"/>
                <w:szCs w:val="20"/>
                <w:highlight w:val="none"/>
              </w:rPr>
            </w:pPr>
            <w:r>
              <w:rPr>
                <w:rFonts w:hint="eastAsia" w:ascii="Times New Roman" w:hAnsi="Times New Roman" w:eastAsia="宋体" w:cs="Times New Roman"/>
                <w:color w:val="000000"/>
                <w:sz w:val="20"/>
                <w:szCs w:val="20"/>
                <w:highlight w:val="none"/>
              </w:rPr>
              <w:t>核心产品2</w:t>
            </w:r>
          </w:p>
        </w:tc>
      </w:tr>
      <w:tr w14:paraId="42460991">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42D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836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学生智能笔笔芯</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313A">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需与智能笔匹配</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D2A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根</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659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305C">
            <w:pPr>
              <w:jc w:val="center"/>
              <w:rPr>
                <w:rFonts w:ascii="Times New Roman" w:hAnsi="Times New Roman" w:eastAsia="宋体" w:cs="Times New Roman"/>
                <w:color w:val="000000"/>
                <w:sz w:val="20"/>
                <w:szCs w:val="20"/>
                <w:highlight w:val="none"/>
              </w:rPr>
            </w:pPr>
          </w:p>
        </w:tc>
      </w:tr>
      <w:tr w14:paraId="30F96240">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1D1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5BD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智能笔记簿</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71DA">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与智能笔配套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8D8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本</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FA1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A558">
            <w:pPr>
              <w:jc w:val="center"/>
              <w:rPr>
                <w:rFonts w:ascii="Times New Roman" w:hAnsi="Times New Roman" w:eastAsia="宋体" w:cs="Times New Roman"/>
                <w:color w:val="000000"/>
                <w:sz w:val="20"/>
                <w:szCs w:val="20"/>
                <w:highlight w:val="none"/>
              </w:rPr>
            </w:pPr>
          </w:p>
        </w:tc>
      </w:tr>
      <w:tr w14:paraId="016DCF5D">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2FA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659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点阵A4纸</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CA938">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带点阵的A4纸</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ECC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C0C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30000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E71F">
            <w:pPr>
              <w:jc w:val="center"/>
              <w:rPr>
                <w:rFonts w:ascii="Times New Roman" w:hAnsi="Times New Roman" w:eastAsia="宋体" w:cs="Times New Roman"/>
                <w:color w:val="000000"/>
                <w:sz w:val="20"/>
                <w:szCs w:val="20"/>
                <w:highlight w:val="none"/>
              </w:rPr>
            </w:pPr>
          </w:p>
        </w:tc>
      </w:tr>
      <w:tr w14:paraId="0A0DA812">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775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8</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065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蓝牙AP</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7CDC6">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1.采用蓝牙BLE 5.0及以上协议；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 xml:space="preserve">2.采用无天线设计，且无外接天线； </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3.具有≥5个通讯模块，每模块≥11个通道；</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4.▲单台设备支持≥55支智能笔的同时接入和并发使用，且连接后保持＞40分钟不掉线；（</w:t>
            </w:r>
            <w:r>
              <w:rPr>
                <w:rFonts w:hint="eastAsia" w:ascii="Times New Roman" w:hAnsi="Times New Roman" w:eastAsia="宋体" w:cs="Times New Roman"/>
                <w:color w:val="000000"/>
                <w:kern w:val="0"/>
                <w:sz w:val="20"/>
                <w:szCs w:val="20"/>
                <w:highlight w:val="none"/>
              </w:rPr>
              <w:t>提供国家认证认可权威机构出具的检测报告</w:t>
            </w:r>
            <w:r>
              <w:rPr>
                <w:rFonts w:ascii="Times New Roman" w:hAnsi="Times New Roman" w:eastAsia="宋体" w:cs="Times New Roman"/>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5.支持搜索添加智能笔，也可单个添加和批量导入智能笔信息，还支持查看智能笔的连接状态、固件版本信息和电量，并可对智能笔进行批量升级。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6.网络接口：RJ45≥1；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7.电源：DC 12V、PoE；</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7D0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185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7E04">
            <w:pPr>
              <w:jc w:val="center"/>
              <w:rPr>
                <w:rFonts w:ascii="Times New Roman" w:hAnsi="Times New Roman" w:eastAsia="宋体" w:cs="Times New Roman"/>
                <w:color w:val="000000"/>
                <w:sz w:val="20"/>
                <w:szCs w:val="20"/>
                <w:highlight w:val="none"/>
              </w:rPr>
            </w:pPr>
          </w:p>
        </w:tc>
      </w:tr>
      <w:tr w14:paraId="4EC39E3B">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5E65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9</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B368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智能笔充电柜</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559D">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1.需采用壁挂式安装方式，卷帘门设计，减少教室空间占用的同时，方便进行智能笔的存放和管理；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2.▲需采用多层充电模块设计，每层≥12个充电单元，支持≥60支智能笔同时充电使用；（</w:t>
            </w:r>
            <w:r>
              <w:rPr>
                <w:rFonts w:hint="eastAsia" w:ascii="Times New Roman" w:hAnsi="Times New Roman" w:eastAsia="宋体" w:cs="Times New Roman"/>
                <w:color w:val="000000"/>
                <w:kern w:val="0"/>
                <w:sz w:val="20"/>
                <w:szCs w:val="20"/>
                <w:highlight w:val="none"/>
              </w:rPr>
              <w:t>提供国家认证认可权威机构出具的检测报告</w:t>
            </w:r>
            <w:r>
              <w:rPr>
                <w:rFonts w:ascii="Times New Roman" w:hAnsi="Times New Roman" w:eastAsia="宋体" w:cs="Times New Roman"/>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3.需采用磁吸式充电接口，具有充电指示灯；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4.电源：AC 100~240V；</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5.功率：≤80W。</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A4DF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F80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FF41">
            <w:pPr>
              <w:jc w:val="center"/>
              <w:rPr>
                <w:rFonts w:ascii="Times New Roman" w:hAnsi="Times New Roman" w:eastAsia="宋体" w:cs="Times New Roman"/>
                <w:color w:val="000000"/>
                <w:sz w:val="20"/>
                <w:szCs w:val="20"/>
                <w:highlight w:val="none"/>
              </w:rPr>
            </w:pPr>
          </w:p>
        </w:tc>
      </w:tr>
      <w:tr w14:paraId="4B5EC361">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7C4A45B">
            <w:pPr>
              <w:widowControl/>
              <w:jc w:val="left"/>
              <w:textAlignment w:val="center"/>
              <w:rPr>
                <w:rFonts w:hint="default"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val="en-US" w:eastAsia="zh-CN"/>
              </w:rPr>
              <w:t>4.精准教学讨论区</w:t>
            </w:r>
          </w:p>
        </w:tc>
        <w:tc>
          <w:tcPr>
            <w:tcW w:w="3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5E187D2F">
            <w:pPr>
              <w:widowControl/>
              <w:jc w:val="left"/>
              <w:textAlignment w:val="center"/>
              <w:rPr>
                <w:rFonts w:ascii="宋体" w:hAnsi="宋体" w:eastAsia="宋体" w:cs="宋体"/>
                <w:b/>
                <w:bCs/>
                <w:color w:val="00000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F3A0AD0">
            <w:pPr>
              <w:widowControl/>
              <w:jc w:val="left"/>
              <w:textAlignment w:val="center"/>
              <w:rPr>
                <w:rFonts w:ascii="宋体" w:hAnsi="宋体" w:eastAsia="宋体" w:cs="宋体"/>
                <w:b/>
                <w:bCs/>
                <w:color w:val="000000"/>
                <w:sz w:val="20"/>
                <w:szCs w:val="20"/>
                <w:highlight w:val="none"/>
              </w:rPr>
            </w:pPr>
          </w:p>
        </w:tc>
      </w:tr>
      <w:tr w14:paraId="3AA92294">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B03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7D2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数学教室专用桌</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B1B8">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材质：采用符合E1级环保要求的三聚氰胺板，厚度≥25mm；；封边用材：≥2mm厚PVC胶边，全自动封边机热熔胶封边；桌架采用优质国标碳素钢，桌架壁厚度≥1.2mm，截面≥50*15mm，表面经酸洗磷化、纯环氧树脂塑粉高温固化处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2、优质国标五金配件，隐藏式插座、接线盒。</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3B41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张</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EEB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7AA8">
            <w:pPr>
              <w:jc w:val="center"/>
              <w:rPr>
                <w:rFonts w:ascii="宋体" w:hAnsi="宋体" w:eastAsia="宋体" w:cs="宋体"/>
                <w:color w:val="000000"/>
                <w:sz w:val="20"/>
                <w:szCs w:val="20"/>
                <w:highlight w:val="none"/>
              </w:rPr>
            </w:pPr>
          </w:p>
        </w:tc>
      </w:tr>
      <w:tr w14:paraId="4EDA24B9">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E70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FE7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数学教室专用椅</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88D6C">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规格≥460*470*930mm；靠背采用网布材料；座垫内置高回弹定型海绵，外罩网布；PP扶手；电镀钢制弓形腿。</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674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把</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1D3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687B">
            <w:pPr>
              <w:jc w:val="center"/>
              <w:rPr>
                <w:rFonts w:ascii="宋体" w:hAnsi="宋体" w:eastAsia="宋体" w:cs="宋体"/>
                <w:color w:val="000000"/>
                <w:sz w:val="20"/>
                <w:szCs w:val="20"/>
                <w:highlight w:val="none"/>
              </w:rPr>
            </w:pPr>
          </w:p>
        </w:tc>
      </w:tr>
      <w:tr w14:paraId="3C567FCF">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F3C4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C01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一体机支架</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E59B">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移动支架通过防倾斜实验，正负</w:t>
            </w:r>
            <w:r>
              <w:rPr>
                <w:rFonts w:ascii="Times New Roman" w:hAnsi="Times New Roman" w:eastAsia="宋体" w:cs="Times New Roman"/>
                <w:color w:val="000000"/>
                <w:kern w:val="0"/>
                <w:sz w:val="20"/>
                <w:szCs w:val="20"/>
                <w:highlight w:val="none"/>
              </w:rPr>
              <w:t>10</w:t>
            </w:r>
            <w:r>
              <w:rPr>
                <w:rFonts w:hint="eastAsia" w:ascii="宋体" w:hAnsi="宋体" w:eastAsia="宋体" w:cs="宋体"/>
                <w:color w:val="000000"/>
                <w:kern w:val="0"/>
                <w:sz w:val="20"/>
                <w:szCs w:val="20"/>
                <w:highlight w:val="none"/>
              </w:rPr>
              <w:t>度倾斜角度下不能翻倒；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承挂</w:t>
            </w:r>
            <w:r>
              <w:rPr>
                <w:rFonts w:ascii="Times New Roman" w:hAnsi="Times New Roman" w:eastAsia="宋体" w:cs="Times New Roman"/>
                <w:color w:val="000000"/>
                <w:kern w:val="0"/>
                <w:sz w:val="20"/>
                <w:szCs w:val="20"/>
                <w:highlight w:val="none"/>
              </w:rPr>
              <w:t>≥100kg</w:t>
            </w:r>
            <w:r>
              <w:rPr>
                <w:rFonts w:hint="eastAsia" w:ascii="宋体" w:hAnsi="宋体" w:eastAsia="宋体" w:cs="宋体"/>
                <w:color w:val="000000"/>
                <w:kern w:val="0"/>
                <w:sz w:val="20"/>
                <w:szCs w:val="20"/>
                <w:highlight w:val="none"/>
              </w:rPr>
              <w:t>；整体高度</w:t>
            </w:r>
            <w:r>
              <w:rPr>
                <w:rFonts w:ascii="Times New Roman" w:hAnsi="Times New Roman" w:eastAsia="宋体" w:cs="Times New Roman"/>
                <w:color w:val="000000"/>
                <w:kern w:val="0"/>
                <w:sz w:val="20"/>
                <w:szCs w:val="20"/>
                <w:highlight w:val="none"/>
              </w:rPr>
              <w:t>≥1597mm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托盘承重</w:t>
            </w:r>
            <w:r>
              <w:rPr>
                <w:rFonts w:ascii="Times New Roman" w:hAnsi="Times New Roman" w:eastAsia="宋体" w:cs="Times New Roman"/>
                <w:color w:val="000000"/>
                <w:kern w:val="0"/>
                <w:sz w:val="20"/>
                <w:szCs w:val="20"/>
                <w:highlight w:val="none"/>
              </w:rPr>
              <w:t>25KG,</w:t>
            </w:r>
            <w:r>
              <w:rPr>
                <w:rFonts w:hint="eastAsia" w:ascii="宋体" w:hAnsi="宋体" w:eastAsia="宋体" w:cs="宋体"/>
                <w:color w:val="000000"/>
                <w:kern w:val="0"/>
                <w:sz w:val="20"/>
                <w:szCs w:val="20"/>
                <w:highlight w:val="none"/>
              </w:rPr>
              <w:t>模具设置</w:t>
            </w:r>
            <w:r>
              <w:rPr>
                <w:rFonts w:ascii="Times New Roman" w:hAnsi="Times New Roman" w:eastAsia="宋体" w:cs="Times New Roman"/>
                <w:color w:val="000000"/>
                <w:kern w:val="0"/>
                <w:sz w:val="20"/>
                <w:szCs w:val="20"/>
                <w:highlight w:val="none"/>
              </w:rPr>
              <w:t>U</w:t>
            </w:r>
            <w:r>
              <w:rPr>
                <w:rFonts w:hint="eastAsia" w:ascii="宋体" w:hAnsi="宋体" w:eastAsia="宋体" w:cs="宋体"/>
                <w:color w:val="000000"/>
                <w:kern w:val="0"/>
                <w:sz w:val="20"/>
                <w:szCs w:val="20"/>
                <w:highlight w:val="none"/>
              </w:rPr>
              <w:t>型置物槽，方便触摸笔、遥控器等物品放置；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支撑立杆采用壁厚</w:t>
            </w:r>
            <w:r>
              <w:rPr>
                <w:rFonts w:ascii="Times New Roman" w:hAnsi="Times New Roman" w:eastAsia="宋体" w:cs="Times New Roman"/>
                <w:color w:val="000000"/>
                <w:kern w:val="0"/>
                <w:sz w:val="20"/>
                <w:szCs w:val="20"/>
                <w:highlight w:val="none"/>
              </w:rPr>
              <w:t>≥1.8mm</w:t>
            </w:r>
            <w:r>
              <w:rPr>
                <w:rFonts w:hint="eastAsia" w:ascii="宋体" w:hAnsi="宋体" w:eastAsia="宋体" w:cs="宋体"/>
                <w:color w:val="000000"/>
                <w:kern w:val="0"/>
                <w:sz w:val="20"/>
                <w:szCs w:val="20"/>
                <w:highlight w:val="none"/>
              </w:rPr>
              <w:t>方通冷轧钢材质，表面黑色喷涂；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w:t>
            </w:r>
            <w:r>
              <w:rPr>
                <w:rFonts w:hint="eastAsia" w:ascii="宋体" w:hAnsi="宋体" w:eastAsia="宋体" w:cs="宋体"/>
                <w:color w:val="000000"/>
                <w:kern w:val="0"/>
                <w:sz w:val="20"/>
                <w:szCs w:val="20"/>
                <w:highlight w:val="none"/>
              </w:rPr>
              <w:t>脚轮为万向轮，聚氨酯（</w:t>
            </w:r>
            <w:r>
              <w:rPr>
                <w:rFonts w:ascii="Times New Roman" w:hAnsi="Times New Roman" w:eastAsia="宋体" w:cs="Times New Roman"/>
                <w:color w:val="000000"/>
                <w:kern w:val="0"/>
                <w:sz w:val="20"/>
                <w:szCs w:val="20"/>
                <w:highlight w:val="none"/>
              </w:rPr>
              <w:t>PU</w:t>
            </w:r>
            <w:r>
              <w:rPr>
                <w:rFonts w:hint="eastAsia" w:ascii="宋体" w:hAnsi="宋体" w:eastAsia="宋体" w:cs="宋体"/>
                <w:color w:val="000000"/>
                <w:kern w:val="0"/>
                <w:sz w:val="20"/>
                <w:szCs w:val="20"/>
                <w:highlight w:val="none"/>
              </w:rPr>
              <w:t>）材质，均带脚刹，直径不小于∮</w:t>
            </w:r>
            <w:r>
              <w:rPr>
                <w:rFonts w:ascii="Times New Roman" w:hAnsi="Times New Roman" w:eastAsia="宋体" w:cs="Times New Roman"/>
                <w:color w:val="000000"/>
                <w:kern w:val="0"/>
                <w:sz w:val="20"/>
                <w:szCs w:val="20"/>
                <w:highlight w:val="none"/>
              </w:rPr>
              <w:t>75mm</w:t>
            </w:r>
            <w:r>
              <w:rPr>
                <w:rFonts w:hint="eastAsia" w:ascii="宋体" w:hAnsi="宋体" w:eastAsia="宋体" w:cs="宋体"/>
                <w:color w:val="000000"/>
                <w:kern w:val="0"/>
                <w:sz w:val="20"/>
                <w:szCs w:val="20"/>
                <w:highlight w:val="none"/>
              </w:rPr>
              <w:t>；</w:t>
            </w:r>
            <w:r>
              <w:rPr>
                <w:rFonts w:ascii="Times New Roman" w:hAnsi="Times New Roman" w:eastAsia="宋体" w:cs="Times New Roman"/>
                <w:color w:val="000000"/>
                <w:kern w:val="0"/>
                <w:sz w:val="20"/>
                <w:szCs w:val="20"/>
                <w:highlight w:val="none"/>
              </w:rPr>
              <w:br w:type="textWrapping"/>
            </w:r>
            <w:r>
              <w:rPr>
                <w:rFonts w:hint="eastAsia" w:ascii="宋体" w:hAnsi="宋体" w:eastAsia="宋体" w:cs="宋体"/>
                <w:color w:val="000000"/>
                <w:kern w:val="0"/>
                <w:sz w:val="20"/>
                <w:szCs w:val="20"/>
                <w:highlight w:val="none"/>
              </w:rPr>
              <w:t>脚轮中心距横向</w:t>
            </w:r>
            <w:r>
              <w:rPr>
                <w:rFonts w:ascii="Times New Roman" w:hAnsi="Times New Roman" w:eastAsia="宋体" w:cs="Times New Roman"/>
                <w:color w:val="000000"/>
                <w:kern w:val="0"/>
                <w:sz w:val="20"/>
                <w:szCs w:val="20"/>
                <w:highlight w:val="none"/>
              </w:rPr>
              <w:t>≥1115mm</w:t>
            </w:r>
            <w:r>
              <w:rPr>
                <w:rFonts w:hint="eastAsia" w:ascii="宋体" w:hAnsi="宋体" w:eastAsia="宋体" w:cs="宋体"/>
                <w:color w:val="000000"/>
                <w:kern w:val="0"/>
                <w:sz w:val="20"/>
                <w:szCs w:val="20"/>
                <w:highlight w:val="none"/>
              </w:rPr>
              <w:t>，纵向</w:t>
            </w:r>
            <w:r>
              <w:rPr>
                <w:rFonts w:ascii="Times New Roman" w:hAnsi="Times New Roman" w:eastAsia="宋体" w:cs="Times New Roman"/>
                <w:color w:val="000000"/>
                <w:kern w:val="0"/>
                <w:sz w:val="20"/>
                <w:szCs w:val="20"/>
                <w:highlight w:val="none"/>
              </w:rPr>
              <w:t>≥627mm</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53B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039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0EBB">
            <w:pPr>
              <w:jc w:val="center"/>
              <w:rPr>
                <w:rFonts w:ascii="宋体" w:hAnsi="宋体" w:eastAsia="宋体" w:cs="宋体"/>
                <w:color w:val="000000"/>
                <w:sz w:val="20"/>
                <w:szCs w:val="20"/>
                <w:highlight w:val="none"/>
              </w:rPr>
            </w:pPr>
          </w:p>
        </w:tc>
      </w:tr>
      <w:tr w14:paraId="6158931D">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1687E474">
            <w:pPr>
              <w:widowControl/>
              <w:jc w:val="left"/>
              <w:textAlignment w:val="center"/>
              <w:rPr>
                <w:rFonts w:hint="default"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eastAsia="zh-CN"/>
              </w:rPr>
              <w:t>二、空间建设</w:t>
            </w:r>
          </w:p>
        </w:tc>
        <w:tc>
          <w:tcPr>
            <w:tcW w:w="31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59B8EC3A">
            <w:pPr>
              <w:widowControl/>
              <w:jc w:val="left"/>
              <w:textAlignment w:val="center"/>
              <w:rPr>
                <w:rFonts w:ascii="宋体" w:hAnsi="宋体" w:eastAsia="宋体" w:cs="宋体"/>
                <w:b/>
                <w:bCs/>
                <w:color w:val="00000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4EA09D61">
            <w:pPr>
              <w:widowControl/>
              <w:jc w:val="left"/>
              <w:textAlignment w:val="center"/>
              <w:rPr>
                <w:rFonts w:ascii="宋体" w:hAnsi="宋体" w:eastAsia="宋体" w:cs="宋体"/>
                <w:b/>
                <w:bCs/>
                <w:color w:val="000000"/>
                <w:sz w:val="20"/>
                <w:szCs w:val="20"/>
                <w:highlight w:val="none"/>
              </w:rPr>
            </w:pPr>
          </w:p>
        </w:tc>
      </w:tr>
      <w:tr w14:paraId="68931185">
        <w:tblPrEx>
          <w:tblCellMar>
            <w:top w:w="0" w:type="dxa"/>
            <w:left w:w="108" w:type="dxa"/>
            <w:bottom w:w="0" w:type="dxa"/>
            <w:right w:w="108" w:type="dxa"/>
          </w:tblCellMar>
        </w:tblPrEx>
        <w:trPr>
          <w:trHeight w:val="9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CB0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5F6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空间氛围建设</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5D06F">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r>
              <w:rPr>
                <w:rFonts w:hint="eastAsia" w:ascii="宋体" w:hAnsi="宋体" w:eastAsia="宋体" w:cs="宋体"/>
                <w:color w:val="000000"/>
                <w:kern w:val="0"/>
                <w:sz w:val="20"/>
                <w:szCs w:val="20"/>
                <w:highlight w:val="none"/>
              </w:rPr>
              <w:t>墙面学科文化内容与排版，文化布展的制作与安装；</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w:t>
            </w:r>
            <w:r>
              <w:rPr>
                <w:rFonts w:hint="eastAsia" w:ascii="宋体" w:hAnsi="宋体" w:eastAsia="宋体" w:cs="宋体"/>
                <w:color w:val="000000"/>
                <w:kern w:val="0"/>
                <w:sz w:val="20"/>
                <w:szCs w:val="20"/>
                <w:highlight w:val="none"/>
              </w:rPr>
              <w:t>根据设计要求进行相关的电路接线（室内需有符合布局的预留线管并穿线）；</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w:t>
            </w:r>
            <w:r>
              <w:rPr>
                <w:rFonts w:hint="eastAsia" w:ascii="宋体" w:hAnsi="宋体" w:eastAsia="宋体" w:cs="宋体"/>
                <w:color w:val="000000"/>
                <w:kern w:val="0"/>
                <w:sz w:val="20"/>
                <w:szCs w:val="20"/>
                <w:highlight w:val="none"/>
              </w:rPr>
              <w:t>墙面造型及安装；</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w:t>
            </w:r>
            <w:r>
              <w:rPr>
                <w:rFonts w:hint="eastAsia" w:ascii="宋体" w:hAnsi="宋体" w:eastAsia="宋体" w:cs="宋体"/>
                <w:color w:val="000000"/>
                <w:kern w:val="0"/>
                <w:sz w:val="20"/>
                <w:szCs w:val="20"/>
                <w:highlight w:val="none"/>
              </w:rPr>
              <w:t>造型吊顶，设计，包含吊顶安装及调试。</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2592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11A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156</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346A">
            <w:pPr>
              <w:jc w:val="center"/>
              <w:rPr>
                <w:rFonts w:ascii="宋体" w:hAnsi="宋体" w:eastAsia="宋体" w:cs="宋体"/>
                <w:color w:val="000000"/>
                <w:sz w:val="20"/>
                <w:szCs w:val="20"/>
                <w:highlight w:val="none"/>
              </w:rPr>
            </w:pPr>
          </w:p>
        </w:tc>
      </w:tr>
      <w:tr w14:paraId="62734131">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CA9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4EE8">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照明系统</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673A">
            <w:pPr>
              <w:widowControl/>
              <w:jc w:val="lef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配合实验室配套艺术造型吊顶安装照明设施，</w:t>
            </w:r>
            <w:r>
              <w:rPr>
                <w:rFonts w:ascii="Times New Roman" w:hAnsi="Times New Roman" w:eastAsia="宋体" w:cs="Times New Roman"/>
                <w:color w:val="000000"/>
                <w:kern w:val="0"/>
                <w:sz w:val="20"/>
                <w:szCs w:val="20"/>
                <w:highlight w:val="none"/>
              </w:rPr>
              <w:t xml:space="preserve">1200*100mmLED </w:t>
            </w:r>
            <w:r>
              <w:rPr>
                <w:rFonts w:hint="eastAsia" w:ascii="宋体" w:hAnsi="宋体" w:eastAsia="宋体" w:cs="宋体"/>
                <w:color w:val="000000"/>
                <w:kern w:val="0"/>
                <w:sz w:val="20"/>
                <w:szCs w:val="20"/>
                <w:highlight w:val="none"/>
              </w:rPr>
              <w:t>照明灯条形灯，约</w:t>
            </w:r>
            <w:r>
              <w:rPr>
                <w:rFonts w:ascii="Times New Roman" w:hAnsi="Times New Roman" w:eastAsia="宋体" w:cs="Times New Roman"/>
                <w:color w:val="000000"/>
                <w:kern w:val="0"/>
                <w:sz w:val="20"/>
                <w:szCs w:val="20"/>
                <w:highlight w:val="none"/>
              </w:rPr>
              <w:t>36W</w:t>
            </w:r>
            <w:r>
              <w:rPr>
                <w:rFonts w:hint="eastAsia" w:ascii="宋体" w:hAnsi="宋体" w:eastAsia="宋体" w:cs="宋体"/>
                <w:color w:val="000000"/>
                <w:kern w:val="0"/>
                <w:sz w:val="20"/>
                <w:szCs w:val="20"/>
                <w:highlight w:val="none"/>
              </w:rPr>
              <w:t>，采用电子变压器，含人工及安装。含管线及墙面控制开关</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84F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室</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424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AD30">
            <w:pPr>
              <w:jc w:val="center"/>
              <w:rPr>
                <w:rFonts w:ascii="宋体" w:hAnsi="宋体" w:eastAsia="宋体" w:cs="宋体"/>
                <w:color w:val="000000"/>
                <w:sz w:val="20"/>
                <w:szCs w:val="20"/>
                <w:highlight w:val="none"/>
              </w:rPr>
            </w:pPr>
          </w:p>
        </w:tc>
      </w:tr>
      <w:tr w14:paraId="54DFF9A4">
        <w:tblPrEx>
          <w:tblCellMar>
            <w:top w:w="0" w:type="dxa"/>
            <w:left w:w="108" w:type="dxa"/>
            <w:bottom w:w="0" w:type="dxa"/>
            <w:right w:w="108" w:type="dxa"/>
          </w:tblCellMar>
        </w:tblPrEx>
        <w:trPr>
          <w:trHeight w:val="400" w:hRule="atLeast"/>
        </w:trPr>
        <w:tc>
          <w:tcPr>
            <w:tcW w:w="4278" w:type="pct"/>
            <w:gridSpan w:val="4"/>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606BD32">
            <w:pPr>
              <w:widowControl/>
              <w:jc w:val="left"/>
              <w:textAlignment w:val="center"/>
              <w:rPr>
                <w:rFonts w:hint="default" w:ascii="宋体" w:hAnsi="宋体" w:eastAsia="宋体" w:cs="宋体"/>
                <w:b/>
                <w:bCs/>
                <w:color w:val="000000"/>
                <w:sz w:val="20"/>
                <w:szCs w:val="20"/>
                <w:highlight w:val="none"/>
                <w:lang w:val="en-US" w:eastAsia="zh-CN"/>
              </w:rPr>
            </w:pPr>
            <w:r>
              <w:rPr>
                <w:rFonts w:hint="eastAsia" w:ascii="宋体" w:hAnsi="宋体" w:cs="宋体"/>
                <w:b/>
                <w:bCs/>
                <w:color w:val="000000"/>
                <w:sz w:val="20"/>
                <w:szCs w:val="20"/>
                <w:highlight w:val="none"/>
                <w:lang w:val="en-US" w:eastAsia="zh-CN"/>
              </w:rPr>
              <w:t>1.无感知AI课堂分析</w:t>
            </w:r>
          </w:p>
        </w:tc>
        <w:tc>
          <w:tcPr>
            <w:tcW w:w="31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65103AB">
            <w:pPr>
              <w:widowControl/>
              <w:jc w:val="left"/>
              <w:textAlignment w:val="center"/>
              <w:rPr>
                <w:rFonts w:ascii="宋体" w:hAnsi="宋体" w:eastAsia="宋体" w:cs="宋体"/>
                <w:b/>
                <w:bCs/>
                <w:color w:val="000000"/>
                <w:sz w:val="20"/>
                <w:szCs w:val="20"/>
                <w:highlight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14919C98">
            <w:pPr>
              <w:widowControl/>
              <w:jc w:val="left"/>
              <w:textAlignment w:val="center"/>
              <w:rPr>
                <w:rFonts w:ascii="宋体" w:hAnsi="宋体" w:eastAsia="宋体" w:cs="宋体"/>
                <w:b/>
                <w:bCs/>
                <w:color w:val="000000"/>
                <w:sz w:val="20"/>
                <w:szCs w:val="20"/>
                <w:highlight w:val="none"/>
              </w:rPr>
            </w:pPr>
          </w:p>
        </w:tc>
      </w:tr>
      <w:tr w14:paraId="4715E0C3">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C0C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A97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高清录播主机</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49C0">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一、整体设计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录播主机整体采用嵌入式设计非PC与服务器工作站等架构以保障系统运行稳定、安全。为放便设备部署考虑，为避免屏幕动态变化影响学生课堂专注力的情况，录播主机需为标准1U机架式设计，机身非壁挂且不存在大面积显示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2.录播主机功能高度集成化需同时具备录制、导播、存储、点播、互动多功能功于一体；</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3.嵌入式架构的录播主机应具有环保特性，需采用不高于DC60V的电压供电，整机正常工作状态下功耗不超过50W；</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4.主机支持≥4路D-Video输入、≥2路HDMI 输入；≥2路HDMI 输出，且输入输出分辨率均支持1080P@30fps；</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5.支持连接摄像机与主机之间通过一根双绞线进行供电、控制、视频信号同传，不接受使用转接器的方式；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6.主机支持≥2路3.5mm线性音频模拟信号输入接口；≥2路3.5mm线性音频输出接口；≥6路数字音频Digital Mic输入接口；</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7.主机支持≥2路Console控制接口（RJ45），支持RS232串行通信协议进行外接控制；≥2路USB 接口，可用于连接U盘等外设；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▲8.主机支持音频“一线通”功能，数字音频输入Digtital mic仅通过一条双绞线即可通过RJ45接口同时实现数字音频信号的采集以及数字麦克风的供电，实现音频信号的高品质、抗干扰稳定传输；</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9.主机兼容标准H.264视频编解码能力，要求支持1080P@30fps、720P@30fps，以及AAC音频编解码协议标准且内置音频处理功能；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10.主机具备标准RJ45网络接口，支持100/1000M网络自适应以及IPv4、IPv6双协议栈；</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11.存储容量：主机储存容量1TB，用于录制视频文件的本地存储；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数字视频传输：支持对高清摄像机实现基于RJ45双绞线的视频裸数据传输技术，区别于IP传输方式，摄像机到录播主机端的视频采集和传输过程无需经过编解码，无画质损耗。具备声画同步机制，实现≤100ms的声画同步，保障录制视频质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▲13.AI边缘计算：要求录播主机支持AI人工智能课堂行为分析能力，无需添加任何设备即可实现基于课堂上师生的行为、表情、语音等相关数据；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二、功能设计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14.系统架构：软件需采用B/S架构设计，支持通过浏览器即可进行管理配置与操作，而无需额外安装客户端或APP；</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▲15.学生AI分析：要求主机具备学生AI分析能力，可提供学生视频分析数据包括但不限于表情数据、行为数据；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▲16.教师AI分析：要求主机具备教师AI分析能力，可提供教师视频分析数据包括但不限于教师授课行为、语音表达数据；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▲17.画面同步：要求录播主机配套摄像机支持在多机位接入的情况下所有画面高度同步。在多画面布局以及多流录制、多流直播的使用场景下不同画面保持≤150ms的同步效果，满足最佳的使用体验；</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18.中英双语：需支持中英双语版本切换，适合不同用户的应用需求。要求通过网络导播界面即可便捷切换，无需进行更改授权、系统升级等复杂操作；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19.上电模式：需支持通电模式选择，实现主机通电后自动进入相应模式，包含但不限于自动开机、开机且休眠、不开机等模式；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20.版本管理：支持查看系统软件版本，提供离线文件升级、网络在线升级和定时自动升级三种升级方式，且支持导出和导入系统配置文件；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21.安装信息：支持填写设备的安装信息，包括位置、所在学校、安装地点、联系人等；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22.休眠唤醒：需支持定时休眠唤醒功能，提供精确到秒的自定义时间设置，可以单独设置是否定时休眠或者定时唤醒；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23.权限管理：需支持对主机后台设置管理员用户与普通用户两种使用权限，普通用户无法进行相关参数与配置修改；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24.系统状态：支持在导播界面实时查看主机当前CPU温度、磁盘空间占用情况、视频录制的参数配置和正在录制的视频时长与大小等信息；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25.UVC/UAC功能：要求主机具备通过USB口直接输出音视频信号的能力，实现便捷的视频会议软件接入；</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26.音频处理：支持音频采样率的设置，且支持AGC自动增益、ANS噪声抑制、EQ均衡、AEC回声抑制等音频处理功能；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27.录制码流：支持主码流和子码流的高低双码流录制，且支持自定义清晰度、帧率、码率和I帧间隔，支持动态比特率或静态比特率两种模式；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28.存储管理：需支持录像文件循环覆盖功能，开启循环覆盖功能后，录播硬盘在已存储90%的空间时，再次启动录制将删除录播内现存时间最早的录像文件以应对录制频率比较高的情况；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29.标签设置：需支持视频信号源标签设置，对摄像机实时拍摄信号、HDMI高清输入信号均可自定义名称标签，为导播控制与编辑灵活性提供便利；</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30.多场景音频：需支持录制模式和互动模式的独立音频场景设置，针对无线MIC和多媒体等不同设备类型，进行场景化的音频参数设置；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31.兼容拍摄：要求录播主机支持电子云镜和机械云台两种智能控制技术，对电子云镜生成的特写画面以及云台的拍摄画面进行控制，实现画面上下左右移动以及变焦切换，特写画面移动与切换支持鼠标定位实现，可以通过鼠标点击快速切换移动画面位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32.互动能力：要求内置互动模块，无需额外部署MCU类设备即可支持“1+3”的互动授课模式，实现专递课堂教学应用。同时也需支持会议互动模式，创建或加入大规模视音频实时互动。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三、其他要求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33.要求主机与视频资源管理平台、高清摄像机设备为；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34.平台对接：支持FTP文件传输协议，主机录制生成的视频文件与应用平台实现自动归档上传；</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3F9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A084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5F4B">
            <w:pPr>
              <w:jc w:val="center"/>
              <w:rPr>
                <w:rFonts w:ascii="宋体" w:hAnsi="宋体" w:eastAsia="宋体" w:cs="宋体"/>
                <w:color w:val="000000"/>
                <w:sz w:val="20"/>
                <w:szCs w:val="20"/>
                <w:highlight w:val="none"/>
              </w:rPr>
            </w:pPr>
          </w:p>
        </w:tc>
      </w:tr>
      <w:tr w14:paraId="6FEDA418">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990D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43B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录播流媒体处理软件</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5D451">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1.嵌入式录播主机出厂时内置流媒体处理软件以实现各个模块的功能应用；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▲2.录播主机内置的流媒体处理软件具备自主知识产权，提供录播流媒体处理相关功能的软件著作权登记证书复印件并加盖公章进行佐证；</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3.录播主机在不接入互联网的情况下也可以进行视频录制，且支持1080P高清分辨率录制，用MP4视频格式封装自动归档至录播内置的硬盘当中存储；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4.多流录制：支持教师画面、学生全景画面、学生特写画面等不少于3路摄像机画面和电脑画面的独立录制封装；</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5.要求录播主机支持录制质量设置，提供1080P、720P等高清标清质量选择，并支持自定义录制分辨率、帧率、码率等参数；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6.要求录播主机支持分段录制的功能以应对长时间的视频录制情况，提供不分段、30分钟分段、60分钟分段三种方式选择。实现在不结束录制的条件下自动按选择时长将视频文件分割成多个视频归档保存；</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7.要求录播主机支持插入U盘后，主机正常进行录制可以同步另存一份视频文件到U盘中；</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8.要求录播主机支持录制、暂停、结束等基本功能操作，并支持外部设备通过基于HTTP协议的API接口以及RS232通信协议对设备进行相关控制；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录播主机支持B/S软件架构无需下载相关软件APP，以满足低配电脑也可通过浏览器访问录播主机导播界面，在导播界面实现对所有录制画面的实时预览，并支持在手动导播模式下点击预览画面窗口进行录制画面切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10.录播主机支持8个摄像机电子云台预置位设置，在导播预览界面可便捷调取摄像机预设位置的画面；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11.录播主机支持在导播预览界面添加Logo台标与字幕，可自主上传Logo图标、设置logo位置、编辑字幕内容、选择字幕字体颜色与是否滚动显示，且后台管理设置可最多预设5个字幕作为备选，方便灵活调整与切换；</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12.录播主机支持通过导播界面进行音量控制，调整音量大小与一键静音功能；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13.录播主机支持片头片尾设置，可上传JPG格式图片作为录制默认的片头或片尾画面，并可自定义片头片尾显示时长，最高不超过10秒；</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14.支持对录制、互动两个使用场景分别配置音频设置参数。并可在对应使用场景自动生效；</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15.支持对录播主机任意线性音频输入通道做单独配置，提供无线MIC或多媒体设备等多种类型选择，支持对音频比特率与采样率进行配置，保障音频效果；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16.支持不少于4路RTMP同步推流直播，并要求自定义选择主码流或子码流信号源进行推流，实现多流直播；</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17.支持自定义直播分辨率和码率，最高支持1080P@30FPS，以适应不同网络环境下保持直播的流畅性；</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18.要求支持RTMP直播、TS直播、集控推流直播等不少于3种不同直播模式，以适应不同场景直播需求；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19.要求支持H.323、SIP、BFCP、WebRTC等视音频互动协议技术，便捷进行远程互动教学应用；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20.要求支持双流互动功能，在互动通讯过程中，支持教学场景信号与电脑课件信号以互相独立的信号进行传输，并最终接收端设备可通过两路HDMI接口将接收到的教学场景画面与电脑课件画面同时分别环出到两个显示设备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21.通过录播主机的网络导播界面，需支持主讲端在互动过程中对其余互动参与者的发言权限进行控制，支持单人禁言/开启以及全场禁言/开启的控制方式；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22.要求录播主机在双向互动过程中，可实现1080P@30FPS画质，并支持基于SVC技术实现在不同网络状况下的画面质量自适应；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23.要求录播主机支持呼叫应答设置，默认支持自动应答与勾选手动应答两种方式以满足在专递课堂场景下听讲端的自动入会，以及在其余场景下录播教室内的用户接收到互动申请可自主选择是否加入会议的情况；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24.要求录播主机在录制和直播状态下也能满足AI实时分析能力，在正常课堂录制结束后的1分钟内可在后台查看并下载分析报告；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25.要求录播主机的AI分析报告下载内容支持自定义维度选择，包括但不限于教学准备能力与教学实施能力。</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C2B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5402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28A92">
            <w:pPr>
              <w:jc w:val="center"/>
              <w:rPr>
                <w:rFonts w:ascii="宋体" w:hAnsi="宋体" w:eastAsia="宋体" w:cs="宋体"/>
                <w:color w:val="000000"/>
                <w:sz w:val="20"/>
                <w:szCs w:val="20"/>
                <w:highlight w:val="none"/>
              </w:rPr>
            </w:pPr>
          </w:p>
        </w:tc>
      </w:tr>
      <w:tr w14:paraId="34F9DEDF">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C30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3</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ADC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智能课堂行为分析软件</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D401">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一.整体要求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1.兼容对接：要求实现录播主机内置的实时课堂行为分析，同时支持与视频资源管理平台无缝对接，将数据通过平台进行展示或主机内部展示两种模式，两种模式均支持下载分析报告；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多维分析：支持对课堂数据进行综合多维度的分析，包括“课堂师生行为时序”、“布鲁姆分析”、“理答分析”、“PPT与板书分析”、“教师讲授分析”、“姿态与情感分析”、“学生学情分析”等多维度多类型分析数据板块；</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3.实时分析：支持对师生教学行为等维度数据进行实时统计分析，并且能在课程录制结束三分钟内将数据整合建模生成分析报告；</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4.教学环节识别：要求支持按照教学环节定义将课程视频切片，并且在视频播放进度条上有明显标签显示对应的教学环节；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5.编辑教学环节：要求支持用户可以对AI分析生成的教学环节结果自主纠偏，可以依据时间轴自主定义教学环节的时长以及更改教学环节的结论，并支持自主创建教学环节名称；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行为时序播放：支持在课程视频播放进度条显示PPT翻页的具体时间节点，同时将教师行为与学生行为的时序分布依次排列展开，点击时序图上的具体行为节点，视频将自动跳转到对应位置，方便老师快速回顾课堂教学环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二.教师教情分析要求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1.教师行为分析：支持自动分析并统计老师授课过程中的教学行为，包括但不限于“教师板书”、“教师提问”、“PPT演示”、“操作大屏”、“教师发言”等；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2.PPT分析：要求支持教师授课PPT分析，分析每页PPT所用时长；</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3.课堂任务分析：要求识别PPT内留给学生课堂任务的数量，分析任务时间占比，辅助课堂教学设计评价；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4.PPT资源分析：要求支持分析PPT内的图表个数与含图片页数，辅助老师课件制作能力评价；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5.教师巡视：要求支持分析教师课堂管理能力，统计教师巡视次数与巡视时长，直观查看教师授课轨迹情况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6.教师情感表达分析：要求支持授课过程中的老师表情，并以图表的形式呈现老师从开心到平静的情感变化；</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7.S-T分析：要求支持以图表的形式分析课堂过程中的师生行为，观察教师的课堂环节设计与师生互动情况；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三.学生学情分析要求</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1.学生行为分析：要求支持自动分析并统计学生课堂过程中的学习行为，包括但不限于“多人站立”、“多人抬头”、“学生上台”等。</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2.学生抬头率分析：要求支持分析学生的抬头率情况，提供最高抬头率以及平均抬头率，并用图表的形式呈现以辅助课堂纪律评价；</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3.学生专注分析：要求支持统计在不同场景下学生的抬头率情况，如教师板书时、教师PPT授课时，并呈现不同环节的抬头率比例；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4.学生站立分析：要求支持统计课堂过程中学生站立的总时长以及时长占比情况，辅助教师判断课堂活跃。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5.学生低头分析：要求支持整堂课学生的低头时长统计，并支持展示低头时间点的具体截图。</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891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点</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17B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917B2">
            <w:pPr>
              <w:jc w:val="center"/>
              <w:rPr>
                <w:rFonts w:ascii="宋体" w:hAnsi="宋体" w:eastAsia="宋体" w:cs="宋体"/>
                <w:color w:val="000000"/>
                <w:sz w:val="20"/>
                <w:szCs w:val="20"/>
                <w:highlight w:val="none"/>
              </w:rPr>
            </w:pPr>
          </w:p>
        </w:tc>
      </w:tr>
      <w:tr w14:paraId="2F6FA859">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4885">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4</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6573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智能语音分析软件</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B35F">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1.教师提问情况分析：支持基于课堂语音识别能力进行教师课堂提问行为分析，从提问数量与高级认知提问比例两个核心维度进行数据统计，实现课堂提问情况的清晰回顾。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2.教师语速分析：支持通过语音识别能力进行教师课堂授课语速分析，呈现数据需包括整体语速的变化图以及平均语速结论；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3.课堂语音转写：要求基于语音语义识别完成课堂音频的文字转换，实现课堂教学过程语音全纪录，要求平台上可输出整节课的文字字幕。并支持由上课老师课后自主编辑转写文本实现纠偏；</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4.课堂高频词分析：支持通过AI语音识别能力以及视觉分析能力，抓取授课过程中出现的高频词汇，并统计出现频次以及出现来源，包括但不限于PPT、板书、教师音频，精准判断课堂教学重点；</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5.课堂语气词分析：支持通过进行课堂语音识别，判断老师教学过程中出现的常规语气词出现频次，如“呐”，“嘛”，等语气词，辅助老师调整教学过程中的不良习惯；</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6.教师普通话分析：要求支持对教师授课音频进行自适应分段，并分析每个段落教师授课过程中的普通话水平、语速、音量以及关键词；</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7.教师音量分析：要求支持分析本堂课教师平均的授课音量，以及根据时间推移呈现音量波动的变化图表；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8.学生音量分析：要求支持分析本堂课学生听课的平均音量，以及根据时间推移呈现音量波动的变化图表；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9.理答类型分析：要求支持对教师课堂理答情况进行分析，支持统计教师提问次数、抽答次数、追问次数，并可以获取每个问题以时间轴的形式记录在什么时间提问；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10.教师追问分析：要求支持分析教师追问类型与次数，并标记具体在第几次提问时发起追问，对追问内容分析是否对学生有诱发思考的作用并统计次数；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0952">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点</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7FD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F54D">
            <w:pPr>
              <w:jc w:val="center"/>
              <w:rPr>
                <w:rFonts w:ascii="宋体" w:hAnsi="宋体" w:eastAsia="宋体" w:cs="宋体"/>
                <w:color w:val="000000"/>
                <w:sz w:val="20"/>
                <w:szCs w:val="20"/>
                <w:highlight w:val="none"/>
              </w:rPr>
            </w:pPr>
          </w:p>
        </w:tc>
      </w:tr>
      <w:tr w14:paraId="265836EE">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884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5</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7FE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学生高清摄像机（云镜）</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A776">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1.传感器类型：CMOS、1/2.5英寸</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2.采用逐行扫描模式，有效像素不低于1100万。</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3.采用了2D和基于运动估计的3D降噪算法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4.最大水平视场角不小于80°，最大垂直视场角不小于50°</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5.网络接口：RJ45接口≥1，10/100/1000M自适应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6.视频接口：D-Video数字视频接口（RJ45）≥1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7.编码技术：视频H.264/H.265</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8.支持DC12V电源适配器供电与RJ45双绞线供电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9.要求摄像机与录播主机为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10.摄像机传输处理软件采用B/S架构，支持通用浏览器直接访问进行管理。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11.支持网络参数设置与修改，支持一键恢复默认参数。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12.支持曝光模式设置功能，包括自动、手动。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13.支持抗闪烁频率、动态范围、光圈、快门参数设置。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14.支持自动白平衡设置功能，红、蓝增益可调。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15.支持噪声抑制设置功能，支持2D、3D降噪。</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16.支持摄像机图像质量调节功能，包括亮度、对比度、色调、饱和度。</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17.提供高清摄像机传输处理软件相关的检测报告复印件。</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521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90C3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B3EC">
            <w:pPr>
              <w:jc w:val="center"/>
              <w:rPr>
                <w:rFonts w:ascii="宋体" w:hAnsi="宋体" w:eastAsia="宋体" w:cs="宋体"/>
                <w:color w:val="000000"/>
                <w:sz w:val="20"/>
                <w:szCs w:val="20"/>
                <w:highlight w:val="none"/>
              </w:rPr>
            </w:pPr>
          </w:p>
        </w:tc>
      </w:tr>
      <w:tr w14:paraId="58FE4563">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EF3C">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6154">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教师高清摄像机（云镜）</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5B9D">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1.传感器类型：CMOS、1/2.5英寸</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2.采用逐行扫描模式，有效像素不低于1100万。</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3.采用了2D和基于运动估计的3D降噪算法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4.最大水平视场角不小于47°，最大垂直视场角不小于27°</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5.网络接口：RJ45接口≥1，10/100/1000M自适应</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6.视频接口：D-Video数字视频接口（RJ45）≥1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7.编码技术：视频H.264/H.265</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8.支持DC12V电源适配器供电与RJ45双绞线供电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9.支持电子云镜技术，单镜头拍摄可输出“全景”、“特写”双信号画面至录播主机选择录制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10.要求摄像机与录播主机为</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11.摄像机传输处理软件采用B/S架构，支持通用浏览器直接访问进行管理。</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12.支持网络参数设置与修改，支持一键恢复默认参数。</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13.支持曝光模式设置功能，包括自动、手动。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14.支持抗闪烁频率、动态范围、光圈、快门参数设置。</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15.支持自动白平衡设置功能，红、蓝增益可调。</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16.支持噪声抑制设置功能，支持2D、3D降噪。</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17.支持摄像机图像质量调节功能，包括亮度、对比度、色调、饱和度。</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18.提供高清摄像机传输处理软件相关的检测报告复印件。</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03A9">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E290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689C">
            <w:pPr>
              <w:jc w:val="center"/>
              <w:rPr>
                <w:rFonts w:ascii="宋体" w:hAnsi="宋体" w:eastAsia="宋体" w:cs="宋体"/>
                <w:color w:val="000000"/>
                <w:sz w:val="20"/>
                <w:szCs w:val="20"/>
                <w:highlight w:val="none"/>
              </w:rPr>
            </w:pPr>
          </w:p>
        </w:tc>
      </w:tr>
      <w:tr w14:paraId="1CBC09A5">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7F73">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7</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CEB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壁挂式触控面板</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D428">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1.硬件设计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1）支持壁挂式上墙部署；</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2）具备10.1英寸1280*800高清全视角显示屏幕；</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3）存储性能：缓存容量不小于2G,存储容量不小于16G；</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4）操作系统 ：Android 11及以上版本；</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5）接口类型：USB≥1， 网络接口≥1，串口RS232≥1；</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2.整体设计</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1）▲控制方式：支持通过网络连接进行录播主机的管理、控制；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2）电源管理：支持控制录播主机的关机、休眠、唤醒操作；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3）▲集成录课模式控制、互动模式控制、录像资源管理等控制应用；</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3.录课模式控制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1）支持通过触控面板实时预览录制信号画面，进行导播操作；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2）支持录制开始/停止、录制暂停/恢复、直播开启/关闭、电脑画面锁定/解锁等功能操作；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3）支持常用键位设置，可设置各镜头快速切换、画面布局等相关录课操作常用键位；</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4.互动模式控制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1）▲支持通讯录呼叫功能，读取显示录播主机通讯录，并能够通过通讯录进行快速呼叫；</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2）支持快速拨号呼叫功能，输入用户短号实现快速呼叫；</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3）支持通过触控面板实时预览互动信号画面，实现直观互动控制；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4）支持互动过程的录制、暂停、直播等操作；</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5）支持互动过程的自动导播控制、互动导播画面自由选择控制功能；</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5.录像资源管理控制</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1）▲支持录像资源管理，通过导播控制软件直观呈现当前录播主机的录像资源信息，并支持选择相关的录课资源进行回放；</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2）支持录制资源下载操作，将文件下载至U盘进行移动共享。</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726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8B07">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2ACC6">
            <w:pPr>
              <w:jc w:val="center"/>
              <w:rPr>
                <w:rFonts w:ascii="宋体" w:hAnsi="宋体" w:eastAsia="宋体" w:cs="宋体"/>
                <w:color w:val="000000"/>
                <w:sz w:val="20"/>
                <w:szCs w:val="20"/>
                <w:highlight w:val="none"/>
              </w:rPr>
            </w:pPr>
          </w:p>
        </w:tc>
      </w:tr>
      <w:tr w14:paraId="3D535309">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635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8</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FA30">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拾音话筒</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C9B7">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1.指向性：超心型</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2.频率响应：40Hz—16kHz</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3.灵敏度≥-7dB±1dB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4.最大声压级≥110dB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5.信噪比≥62dB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6.动态范围≥78.5dB</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7.使用电源：麦克风一线通供电</w:t>
            </w:r>
            <w:r>
              <w:rPr>
                <w:rFonts w:ascii="Times New Roman" w:hAnsi="Times New Roman" w:eastAsia="宋体" w:cs="Times New Roman"/>
                <w:color w:val="000000"/>
                <w:kern w:val="0"/>
                <w:sz w:val="20"/>
                <w:szCs w:val="20"/>
                <w:highlight w:val="none"/>
              </w:rPr>
              <w:br w:type="textWrapping"/>
            </w:r>
            <w:r>
              <w:rPr>
                <w:rFonts w:ascii="Times New Roman" w:hAnsi="Times New Roman" w:eastAsia="宋体" w:cs="Times New Roman"/>
                <w:color w:val="000000"/>
                <w:kern w:val="0"/>
                <w:sz w:val="20"/>
                <w:szCs w:val="20"/>
                <w:highlight w:val="none"/>
              </w:rPr>
              <w:t>8.输出接口：RJ45，数字音频接口</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3D6E">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支</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E020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2C311">
            <w:pPr>
              <w:jc w:val="center"/>
              <w:rPr>
                <w:rFonts w:ascii="宋体" w:hAnsi="宋体" w:eastAsia="宋体" w:cs="宋体"/>
                <w:color w:val="000000"/>
                <w:sz w:val="20"/>
                <w:szCs w:val="20"/>
                <w:highlight w:val="none"/>
              </w:rPr>
            </w:pPr>
          </w:p>
        </w:tc>
      </w:tr>
      <w:tr w14:paraId="01898C1B">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88F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9</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CBD7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机柜</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CBD2D">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通用型</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DEFF">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14DA">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D9CB">
            <w:pPr>
              <w:jc w:val="center"/>
              <w:rPr>
                <w:rFonts w:ascii="宋体" w:hAnsi="宋体" w:eastAsia="宋体" w:cs="宋体"/>
                <w:color w:val="000000"/>
                <w:sz w:val="20"/>
                <w:szCs w:val="20"/>
                <w:highlight w:val="none"/>
              </w:rPr>
            </w:pPr>
          </w:p>
        </w:tc>
      </w:tr>
      <w:tr w14:paraId="3493C08C">
        <w:tblPrEx>
          <w:tblCellMar>
            <w:top w:w="0" w:type="dxa"/>
            <w:left w:w="108" w:type="dxa"/>
            <w:bottom w:w="0" w:type="dxa"/>
            <w:right w:w="108" w:type="dxa"/>
          </w:tblCellMar>
        </w:tblPrEx>
        <w:trPr>
          <w:trHeight w:val="4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E311">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10</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25F6">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线材</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ADA61">
            <w:pPr>
              <w:widowControl/>
              <w:jc w:val="left"/>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满足系统布线需求</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BE7D">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批</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FE5B">
            <w:pPr>
              <w:widowControl/>
              <w:jc w:val="center"/>
              <w:textAlignment w:val="center"/>
              <w:rPr>
                <w:rFonts w:ascii="Times New Roman" w:hAnsi="Times New Roman" w:eastAsia="宋体" w:cs="Times New Roman"/>
                <w:color w:val="000000"/>
                <w:sz w:val="20"/>
                <w:szCs w:val="20"/>
                <w:highlight w:val="none"/>
              </w:rPr>
            </w:pPr>
            <w:r>
              <w:rPr>
                <w:rFonts w:ascii="Times New Roman" w:hAnsi="Times New Roman" w:eastAsia="宋体" w:cs="Times New Roman"/>
                <w:color w:val="000000"/>
                <w:kern w:val="0"/>
                <w:sz w:val="20"/>
                <w:szCs w:val="20"/>
                <w:highlight w:val="none"/>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9B5EA">
            <w:pPr>
              <w:jc w:val="center"/>
              <w:rPr>
                <w:rFonts w:ascii="宋体" w:hAnsi="宋体" w:eastAsia="宋体" w:cs="宋体"/>
                <w:color w:val="000000"/>
                <w:sz w:val="20"/>
                <w:szCs w:val="20"/>
                <w:highlight w:val="none"/>
              </w:rPr>
            </w:pPr>
          </w:p>
        </w:tc>
      </w:tr>
    </w:tbl>
    <w:p w14:paraId="5E6718F1">
      <w:r>
        <w:br w:type="page"/>
      </w:r>
    </w:p>
    <w:p w14:paraId="373AA46C">
      <w:pPr>
        <w:jc w:val="center"/>
        <w:rPr>
          <w:rFonts w:ascii="Times New Roman" w:hAnsi="Times New Roman" w:eastAsia="方正小标宋_GBK" w:cs="Times New Roman"/>
          <w:sz w:val="28"/>
          <w:szCs w:val="28"/>
        </w:rPr>
      </w:pPr>
      <w:r>
        <w:rPr>
          <w:rFonts w:hint="eastAsia" w:ascii="Times New Roman" w:hAnsi="Times New Roman" w:eastAsia="方正小标宋_GBK" w:cs="Times New Roman"/>
          <w:sz w:val="28"/>
          <w:szCs w:val="28"/>
        </w:rPr>
        <w:t>国际课程基地</w:t>
      </w:r>
      <w:r>
        <w:rPr>
          <w:rFonts w:ascii="Times New Roman" w:hAnsi="Times New Roman" w:eastAsia="方正小标宋_GBK" w:cs="Times New Roman"/>
          <w:sz w:val="28"/>
          <w:szCs w:val="28"/>
        </w:rPr>
        <w:t>清单</w:t>
      </w:r>
    </w:p>
    <w:tbl>
      <w:tblPr>
        <w:tblStyle w:val="31"/>
        <w:tblW w:w="5059" w:type="pct"/>
        <w:tblInd w:w="0" w:type="dxa"/>
        <w:tblLayout w:type="fixed"/>
        <w:tblCellMar>
          <w:top w:w="0" w:type="dxa"/>
          <w:left w:w="108" w:type="dxa"/>
          <w:bottom w:w="0" w:type="dxa"/>
          <w:right w:w="108" w:type="dxa"/>
        </w:tblCellMar>
      </w:tblPr>
      <w:tblGrid>
        <w:gridCol w:w="548"/>
        <w:gridCol w:w="1078"/>
        <w:gridCol w:w="5831"/>
        <w:gridCol w:w="510"/>
        <w:gridCol w:w="569"/>
        <w:gridCol w:w="746"/>
      </w:tblGrid>
      <w:tr w14:paraId="72C9C845">
        <w:tblPrEx>
          <w:tblCellMar>
            <w:top w:w="0" w:type="dxa"/>
            <w:left w:w="108" w:type="dxa"/>
            <w:bottom w:w="0" w:type="dxa"/>
            <w:right w:w="108" w:type="dxa"/>
          </w:tblCellMar>
        </w:tblPrEx>
        <w:trPr>
          <w:trHeight w:val="403" w:hRule="atLeast"/>
          <w:tblHeader/>
        </w:trPr>
        <w:tc>
          <w:tcPr>
            <w:tcW w:w="29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2C48196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序号</w:t>
            </w:r>
          </w:p>
        </w:tc>
        <w:tc>
          <w:tcPr>
            <w:tcW w:w="581"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6199632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名称</w:t>
            </w:r>
          </w:p>
        </w:tc>
        <w:tc>
          <w:tcPr>
            <w:tcW w:w="3140"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0DAB17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规格型号参数</w:t>
            </w:r>
          </w:p>
        </w:tc>
        <w:tc>
          <w:tcPr>
            <w:tcW w:w="274"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46AAEC4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单位</w:t>
            </w:r>
          </w:p>
        </w:tc>
        <w:tc>
          <w:tcPr>
            <w:tcW w:w="306"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70DA88F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数量</w:t>
            </w:r>
          </w:p>
        </w:tc>
        <w:tc>
          <w:tcPr>
            <w:tcW w:w="40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56F3983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备注</w:t>
            </w:r>
          </w:p>
        </w:tc>
      </w:tr>
      <w:tr w14:paraId="0F94D13C">
        <w:tblPrEx>
          <w:tblCellMar>
            <w:top w:w="0" w:type="dxa"/>
            <w:left w:w="108" w:type="dxa"/>
            <w:bottom w:w="0" w:type="dxa"/>
            <w:right w:w="108" w:type="dxa"/>
          </w:tblCellMar>
        </w:tblPrEx>
        <w:trPr>
          <w:trHeight w:val="400" w:hRule="atLeast"/>
        </w:trPr>
        <w:tc>
          <w:tcPr>
            <w:tcW w:w="4597"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5E57B48B">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一、基础建设</w:t>
            </w:r>
          </w:p>
        </w:tc>
        <w:tc>
          <w:tcPr>
            <w:tcW w:w="40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07538738">
            <w:pPr>
              <w:widowControl/>
              <w:jc w:val="left"/>
              <w:textAlignment w:val="center"/>
              <w:rPr>
                <w:rFonts w:hint="eastAsia" w:ascii="宋体" w:hAnsi="宋体" w:eastAsia="宋体" w:cs="宋体"/>
                <w:b/>
                <w:bCs/>
                <w:color w:val="000000"/>
                <w:kern w:val="0"/>
                <w:sz w:val="20"/>
                <w:szCs w:val="20"/>
              </w:rPr>
            </w:pPr>
          </w:p>
        </w:tc>
      </w:tr>
      <w:tr w14:paraId="62CA5BE1">
        <w:tblPrEx>
          <w:tblCellMar>
            <w:top w:w="0" w:type="dxa"/>
            <w:left w:w="108" w:type="dxa"/>
            <w:bottom w:w="0" w:type="dxa"/>
            <w:right w:w="108" w:type="dxa"/>
          </w:tblCellMar>
        </w:tblPrEx>
        <w:trPr>
          <w:trHeight w:val="400" w:hRule="atLeast"/>
        </w:trPr>
        <w:tc>
          <w:tcPr>
            <w:tcW w:w="459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3B0C886">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1.课程实践区</w:t>
            </w:r>
          </w:p>
        </w:tc>
        <w:tc>
          <w:tcPr>
            <w:tcW w:w="40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A8E73DC">
            <w:pPr>
              <w:widowControl/>
              <w:jc w:val="left"/>
              <w:textAlignment w:val="center"/>
              <w:rPr>
                <w:rFonts w:hint="eastAsia" w:ascii="宋体" w:hAnsi="宋体" w:eastAsia="宋体" w:cs="宋体"/>
                <w:b/>
                <w:bCs/>
                <w:color w:val="000000"/>
                <w:kern w:val="0"/>
                <w:sz w:val="20"/>
                <w:szCs w:val="20"/>
              </w:rPr>
            </w:pPr>
          </w:p>
        </w:tc>
      </w:tr>
      <w:tr w14:paraId="6D69103E">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91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24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多媒体</w:t>
            </w:r>
            <w:r>
              <w:rPr>
                <w:rFonts w:hint="eastAsia" w:ascii="Times New Roman" w:hAnsi="Times New Roman" w:eastAsia="宋体" w:cs="Times New Roman"/>
                <w:color w:val="000000"/>
                <w:kern w:val="0"/>
                <w:sz w:val="20"/>
                <w:szCs w:val="20"/>
              </w:rPr>
              <w:t>教室</w:t>
            </w:r>
            <w:r>
              <w:rPr>
                <w:rFonts w:ascii="Times New Roman" w:hAnsi="Times New Roman" w:eastAsia="宋体" w:cs="Times New Roman"/>
                <w:color w:val="000000"/>
                <w:kern w:val="0"/>
                <w:sz w:val="20"/>
                <w:szCs w:val="20"/>
              </w:rPr>
              <w:t>讲台</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3646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1200*600*900mm；2、柜身为悬柜，基材为≥16mm厚E1级三聚氰胺板，柜身可任意移出，便捷、灵活性强。采用PVC封边；3、台面采用≥12mm厚双面膜耐腐蚀实芯理化板制作，倒R15圆角；4、主框架采用≥40*40矩形管焊接而成，表面经酸洗磷化、纯环氧树脂塑粉高温固化处理，平整光滑；5、正前方设置可移动置物架，放置教案和教具；6、桌脚采用静音医用万向轮。</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D0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DC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AA01">
            <w:pPr>
              <w:jc w:val="center"/>
              <w:rPr>
                <w:rFonts w:ascii="宋体" w:hAnsi="宋体" w:eastAsia="宋体" w:cs="宋体"/>
                <w:color w:val="000000"/>
                <w:sz w:val="20"/>
                <w:szCs w:val="20"/>
              </w:rPr>
            </w:pPr>
          </w:p>
        </w:tc>
      </w:tr>
      <w:tr w14:paraId="1E9AD618">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E6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F2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国际教室专用智慧转椅</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D2E7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1200*500*750mm；2、台面采用≥E1级环保三聚氰胺板，厚度≥25MM；3、封边采用≥2mm厚PVC封边条，采用全自动封边机热熔胶封边；4、优质冷轧钢桌架，厚度≥1.2MM，高温静电喷涂，稳固耐用；5、配隐私前挡板；6、配静音万象轮，带锁定功能；7、整桌具备折叠收纳功能。</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AC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9F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56</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BBEA">
            <w:pPr>
              <w:jc w:val="center"/>
              <w:rPr>
                <w:rFonts w:ascii="宋体" w:hAnsi="宋体" w:eastAsia="宋体" w:cs="宋体"/>
                <w:color w:val="000000"/>
                <w:sz w:val="20"/>
                <w:szCs w:val="20"/>
              </w:rPr>
            </w:pPr>
          </w:p>
        </w:tc>
      </w:tr>
      <w:tr w14:paraId="71F54492">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2D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ED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国际教室专用授课设备</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3A88">
            <w:pPr>
              <w:widowControl/>
              <w:jc w:val="left"/>
              <w:textAlignment w:val="center"/>
              <w:rPr>
                <w:rFonts w:hint="eastAsia"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一、硬件参数：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要求产品正面显示为一个由三块拼接而成的平面普通黑板，中间为触控主屏，两侧为书写副板。整个黑板平面满足白板笔、无尘粉笔、水性无尘粉笔与普通粉笔书写的功能，可实现整块黑板在同一平面书写。可实现书写副板的板书内容同步到主屏白板软件上，形成原笔迹电子化板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2.整机钢化玻璃和液晶显示层无间隙，减少显示面板与玻璃间的偏光、散射，画面显示更加清晰通透、可视角度更广、视差更小。强光条件下仍然保持清晰显示。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3.整体尺寸：宽≥5000mm ，高≥1460mm。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4.显示尺寸：≥110英寸。显示分辨率：3840(H)×2160(V)；显示比例：16:9。</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5.内置扬声器，前朝向发声避免干扰，总功率≥60W。</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6.▲亮度：≥350 cd/㎡；对比度：≥1000：1；可视角度：≥178°。（供应商提供由国家认可的第三方检验机构出具的有效检测报告进行佐证，检测报告的检测内容应当至少包含该项参数响应内容；检测报告须体现清晰可见的报告编号，且通过报告编号可在全国认证认可信息公共服务平台查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7.▲显示颜色：10bit，1.07B Colors；透光率＞95%；色彩覆盖率：≥130%。（供应商提供由国家认可的第三方检验机构出具的有效检测报告进行佐证，检测报告的检测内容应当至少包含该项参数响应内容；检测报告须体现清晰可见的报告编号，且通过报告编号可在全国认证认可信息公共服务平台查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8.屏幕表面采用≤3.2mm全钢化防眩光玻璃；表面硬度≥9H，使用≥1.5Kg钢珠≥2.0米高度进行自由落体撞击试验，防护钢化玻璃无损伤，功能无异常。</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触摸分辨率：≥32768*32768；触摸精准度：≤1mm；光标速度：≥300点/秒；定位精度：≤1mm。（供应商提供由国家认可的第三方检验机构出具的有效检测报告进行佐证，检测报告的检测内容应当至少包含该项参数响应内容；检测报告须体现清晰可见的报告编号，且通过报告编号可在全国认证认可信息公共服务平台查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10.要求采用红外多点触摸感应技术。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11.安卓系统配置：安卓系统≥13.0，内存≥4G，存储内置≥32G。</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具备通屏笔槽设计，便于放置粉笔、书写笔等小件物品；前置≥9个物理按键，至少具备电源、主页、护眼、信号源、触控、音量+、音量-、PC、自定义等按键功能；同时前置常用外接接口：USB接口≥3路、Type-C接口≥1路、HDMI接口≥1路、Touch USB接口≥1路，前置接口采用隐藏式内嵌结构，须具备防撞挡板保护，使用时通过按压打开挡板，不使用时合上挡板，阻挡灰尘、水汽。（投标文件需提供整机实物照片加盖投标人公章，照片需体现以上参数要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整机具备前置Type-C，通过Type-C接口实现音视频输入，外接电脑设备通过标准Type-C线连接至整机Type-C口，即可把外接电脑设备画面投到整机上，同时在整机上操作画面，可实现触摸电脑的操作，无需再连接触控USB线。当教学中使用外接电脑，外接电脑的摄像头、麦克风无法满足教学需求时，外接电脑设备通过Type-C线连接至整机Type-C口，可直接调用整机内置的摄像头、麦克风、扬声器，在外接电脑可拍摄教室画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14.整机内置高清摄像头，非外接摄像头不占用设备接口，外部无可见连接线，可拍摄不低于1300万像素数的照片，对角角度≥135°</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15.设备可设置开机默认通道，在任意通道关机时可实现设置的默认通道开机。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16.整机在振动台上频率 5-50Hz, 振动方向 X、Y、Z 三个方向的上下（6度测试）≥60 分钟的振动试验，外观无损伤、破裂、部件松动，整机可正常运行。</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17.触摸次数≥80,000,000 次点击。</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18.▲高温高湿：高温工作状态，（85℃±3℃）工作≥7H，低温（-20℃±3℃），湿度≥85%PH，各工作≥7H，高温结束后，常温2H后进行低温测试。高低温工作结束后立即进行检查外观。常温恢复2H后再次进行外观、功能检查，需无异常。（供应商提供由国家认可的第三方检验机构出具的有效检测报告进行佐证，检测报告的检测内容应当至少包含该项参数响应内容；检测报告须体现清晰可见的报告编号，且通过报告编号可在全国认证认可信息公共服务平台查询）</w:t>
            </w:r>
          </w:p>
          <w:p w14:paraId="092F542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二、内置电脑模块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1.要求标准的80针可拔插式电脑OPS电脑，采用模块化电脑方案，PC模块按压式插入整机，无任何裸露，无需工具即可快速拆卸电脑模块。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2.处理器性能参考不低于：≥Intel i5十二代性能相当或以上；内存：≥8GB；硬盘：≥256GB 固态硬盘；</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3.模块具有多个独立非外扩展的电脑USB接口：电脑上至少有6个USB接口（其中不少于3路USB 3.0），具有独立非外扩展的视频输出接口：≥1路HDMI，≥1路DP。</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三、备授课软件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软件采用备授课一体化框架设计，操作界面根据备课和授课使用场景不同而区别设计，可根据教学场景自由切换备课模式和授课模式，满足教室、办公室等不同教学环境需求，并提供移动端实现数据同步、移动授课等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（一）备课模式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1.软件须支持使用方全体教师自行进行个人账号注册登录使用，可通过数字账号、扫描二维码、手机验证码、硬件密钥方式（如绑定U盘）等多种方式登录教师个人账号以及通过验证码修改登录密码操作。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2.软件为所有教师提供安全可靠的云存储空间，保证可随时存储、使用资源，无需携带U盘等硬件设备，每个账号的云端存储空间不少于50G，无需任何操作即可获取。</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软件提供事项编辑处理功能，可创建/编辑/处理/查看事项，支持添加事项名称、时间、描述及附件等信息，逾期事项有红色感叹号标识，能够提醒教师及时处理事务，更好地组织和管理教学工作，提高工作效率，确保教学任务的顺利完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4.软件提供全部事项列表，分别显示待处理和已处理事项，方便复盘工作。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5.软件提供课表功能，可查看个人课表及授课班级课表，方便掌握教学安排及了解班级课程计划。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6.软件提供通知功能，在接收到学校通知或其余用户分享文件时具有红点提示，可选择接收或拒绝。</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7.软件具备课程库功能，支持将备课内容同步到通用教材的章节目录之中或自建备课课程目录，并可导入课件、视频等多种格式资源，备课思路一目了然。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8.软件具备资源中心模块，提供便捷、高效的资源管理方案，提供个人资源以及校本资源模块，并提供国家公共资源平台的链接跳转。</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个人资源支持不少于三种分享方式：支持校本分享，可直接分享到校本资源库的指定目录；支持定向精准分享，可精准推送至指定接收方账号云空间，接收方可在云空间接收并打开分享课件；支持一对多分享，可生成分享链接和二维码，接收方可点击链接或扫描二维码，通过网页方式浏览课件并获取课件，其中课件链接可设置访问有效期以及加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10.可选择新建备课课件，或者直接将PPT导入到软件中进行备课，节约备课时间。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11.备课模块采用类PPT界面，更大程度符合老师的日常使用习惯，节约学习时间。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课件背景：提供不少于35个背景模板供老师选择；支持自定义更换各种纯色背景，提供不少于18种颜色选择，支持使用吸管工具吸取电脑上任意位置的颜色作为背景；支持使用图片作为课件背景，设置后支持进行主题应用，一键替换所有页面，保证课件页面的风格统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13.学科工具：提供丰富的学科工具，数量不少于15种，并至少包含以下学科工具：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a)语文学科：具备汉字、拼音、古诗词、注音等学科工具；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b)数学学科：具备形状、几何、公式、函数、统计图表、数学画板等学科工具；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c)英文学科：具备四线三格、英汉词典等学科工具；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d)物理学科：具备物理线图学科工具；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e)化学学科：具备化学方程式、元素周期表等学科工具；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f)地理学科：具备星球工具。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14.仿真实验：提供初高中的物理、化学和生物的仿真实验。</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15.课堂活动：具备≥9种类型的课堂趣味活动，包括但不限于分类、配对、趣味选择、争分夺秒、看题填词、翻翻卡、比大小、连词成句、判断对错等，每种课堂活动类型均提供≥12种游戏模板。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（二）授课部分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1.为方便老师使用，备课页面具有授课开始按键，可快速切换备授课模式；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2.在授课模式下，支持导入PPT、图片、音频、视频等进行演示。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3.支持将授课课件及板书内容一起导出为图片。</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4.画笔工具：具备不少于三种笔触类型，部分笔尖的粗细、颜色可实时进行调整。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5.选择工具：根据教学需要老师可以选择单一对象，或者框选多个对象进行移动、放大、缩小、旋转，也可以对选中的对象进行置顶、克隆、删除等操作。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6.擦除功能：为了满足不同擦除需要和便捷性，提供按点擦除和一键清屏功能，除了擦除画笔的笔迹，也可以支持手势擦除，同时板刷支持调整大小。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7.投屏：在授课过程中，教师可随时打开手机，通过扫描授课模式下的投屏码进行投屏，平时不使用时，投屏码隐藏在页面底端，不遮挡显示内容。</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8.通用工具：至少提供形状、放大镜、聚光灯、遮幕、板中板、计时器、截图、微课录制、计算器等通用工具。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9.学科工具：可在授课过程中调取学科工具，至少提供汉字、拼音、古诗词、函数、几何、英汉字典、画板、星球、尺规等学科工具。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（三）移动授课助手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1.移动授课助手需支持android、IOS系统手机使用；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2.支持手机号码登录、微信登陆两种登陆方式；为方便用户使用，移动授课助手与大屏白板软件使用统一身份认证；</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云课件：在手机上登录账号后，支持以列表的方式查看该账号里所有的云课件，并支持打开其中某份课件在线预览，预览时支持显示缩略图目录，支持通过缩略图目录跳页。可对课件进行分享、重命名、移动和删除操作；支持课件批量移动、删除。无需拷贝课件，大屏端云课件内容与手机保持一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课件分享：支持在手机端分享老师备课课件，可一键分享至微信、朋友圈、QQ，或使用链接进行分享；同时其他老师分享给自己的课件，也可以在云课件中进行接收和保存；通过扫码等方式获取课件后，在课件列表下拉刷新即可显示待接收课件，选择所需课件点击接收，即可将该课件接收至个人的云课件列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移动授课：可在手机端选择任意课件开始授课，支持预览课件缩略图，可在缩略图任意选择播放页面，或使用按键实现上下翻页；同时可通过手机对播放页面进行远程批注、擦除等操作，操作过程同步显示在大屏上，方便老师走动教学使用，移动授课时支持不少于6种颜色、3种笔迹批注选择。</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6.手机投屏：可将手机屏幕内容实时投影到电脑端。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7.资料夹：移动授课助手自带资料夹，可将实时拍摄照片、手机上存储的图片、音视频资源等内容存储在资料夹中，只需要登录同一账号即可下载之前保存的文件内容，即使手机丢失也不影响资料的使用。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回收站：老师误删除的课件及其他资源，可在回收站中找到并恢复，找回期限不少于30天</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78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49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4FBF">
            <w:pPr>
              <w:jc w:val="center"/>
              <w:rPr>
                <w:rFonts w:ascii="宋体" w:hAnsi="宋体" w:eastAsia="宋体" w:cs="宋体"/>
                <w:color w:val="000000"/>
                <w:sz w:val="20"/>
                <w:szCs w:val="20"/>
              </w:rPr>
            </w:pPr>
          </w:p>
        </w:tc>
      </w:tr>
      <w:tr w14:paraId="75180815">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35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56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国际教室舞台</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5BC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1、内置框架为多层木板框架；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2、板面采用工程板，厚度≥15mm，外层另加耐磨强化复合地板，厚度≥12mm；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3、两侧采用不锈钢圆形护角；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4、包边采用铝合金包边，颜色为磨砂金黄色，壁厚≥1mm，断面30*40mm；采用高密度螺丝连接；</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5、底部与地面连接处有橡胶缓冲垫，吸音，防震，找平不摇晃。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6、小舞台配套简易灯光及音响、幕布</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90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886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27</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65F0">
            <w:pPr>
              <w:jc w:val="center"/>
              <w:rPr>
                <w:rFonts w:ascii="宋体" w:hAnsi="宋体" w:eastAsia="宋体" w:cs="宋体"/>
                <w:color w:val="000000"/>
                <w:sz w:val="20"/>
                <w:szCs w:val="20"/>
              </w:rPr>
            </w:pPr>
          </w:p>
        </w:tc>
      </w:tr>
      <w:tr w14:paraId="1331A23B">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34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8EB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国际教室舞台面光灯</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1CA1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类型：LED 成像面光灯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色温：3200K（暖白）~5600K（冷白）可调</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0A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88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E074">
            <w:pPr>
              <w:jc w:val="center"/>
              <w:rPr>
                <w:rFonts w:ascii="宋体" w:hAnsi="宋体" w:eastAsia="宋体" w:cs="宋体"/>
                <w:color w:val="000000"/>
                <w:sz w:val="20"/>
                <w:szCs w:val="20"/>
              </w:rPr>
            </w:pPr>
          </w:p>
        </w:tc>
      </w:tr>
      <w:tr w14:paraId="240A8D9F">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DF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2F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国际教室舞台幕布</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ABC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材质：编织 / 微孔透声材质</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71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组</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9F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E7ED">
            <w:pPr>
              <w:jc w:val="center"/>
              <w:rPr>
                <w:rFonts w:ascii="宋体" w:hAnsi="宋体" w:eastAsia="宋体" w:cs="宋体"/>
                <w:color w:val="000000"/>
                <w:sz w:val="20"/>
                <w:szCs w:val="20"/>
              </w:rPr>
            </w:pPr>
          </w:p>
        </w:tc>
      </w:tr>
      <w:tr w14:paraId="45F0EF52">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9A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629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留声互动墙</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130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数量根据需求安装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11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C4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4F18">
            <w:pPr>
              <w:jc w:val="center"/>
              <w:rPr>
                <w:rFonts w:ascii="宋体" w:hAnsi="宋体" w:eastAsia="宋体" w:cs="宋体"/>
                <w:color w:val="000000"/>
                <w:sz w:val="20"/>
                <w:szCs w:val="20"/>
              </w:rPr>
            </w:pPr>
          </w:p>
        </w:tc>
      </w:tr>
      <w:tr w14:paraId="5C771703">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F5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60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世界地图互动墙</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215B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立体墙贴＋灯带</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96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79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EEDC">
            <w:pPr>
              <w:jc w:val="center"/>
              <w:rPr>
                <w:rFonts w:ascii="宋体" w:hAnsi="宋体" w:eastAsia="宋体" w:cs="宋体"/>
                <w:color w:val="000000"/>
                <w:sz w:val="20"/>
                <w:szCs w:val="20"/>
              </w:rPr>
            </w:pPr>
          </w:p>
        </w:tc>
      </w:tr>
      <w:tr w14:paraId="0DA9CED5">
        <w:tblPrEx>
          <w:tblCellMar>
            <w:top w:w="0" w:type="dxa"/>
            <w:left w:w="108" w:type="dxa"/>
            <w:bottom w:w="0" w:type="dxa"/>
            <w:right w:w="108" w:type="dxa"/>
          </w:tblCellMar>
        </w:tblPrEx>
        <w:trPr>
          <w:trHeight w:val="400" w:hRule="atLeast"/>
        </w:trPr>
        <w:tc>
          <w:tcPr>
            <w:tcW w:w="459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32F325B">
            <w:pPr>
              <w:widowControl/>
              <w:jc w:val="left"/>
              <w:textAlignment w:val="center"/>
              <w:rPr>
                <w:rFonts w:hint="default" w:ascii="宋体" w:hAnsi="宋体" w:eastAsia="宋体" w:cs="宋体"/>
                <w:b/>
                <w:bCs/>
                <w:color w:val="000000"/>
                <w:sz w:val="20"/>
                <w:szCs w:val="20"/>
                <w:lang w:val="en-US" w:eastAsia="zh-CN"/>
              </w:rPr>
            </w:pPr>
            <w:r>
              <w:rPr>
                <w:rFonts w:hint="eastAsia" w:ascii="宋体" w:hAnsi="宋体" w:cs="宋体"/>
                <w:b/>
                <w:bCs/>
                <w:color w:val="000000"/>
                <w:sz w:val="20"/>
                <w:szCs w:val="20"/>
                <w:lang w:val="en-US" w:eastAsia="zh-CN"/>
              </w:rPr>
              <w:t>2.AI智阅批改区</w:t>
            </w:r>
          </w:p>
        </w:tc>
        <w:tc>
          <w:tcPr>
            <w:tcW w:w="40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509C0E0">
            <w:pPr>
              <w:widowControl/>
              <w:jc w:val="left"/>
              <w:textAlignment w:val="center"/>
              <w:rPr>
                <w:rFonts w:ascii="宋体" w:hAnsi="宋体" w:eastAsia="宋体" w:cs="宋体"/>
                <w:b/>
                <w:bCs/>
                <w:color w:val="000000"/>
                <w:sz w:val="20"/>
                <w:szCs w:val="20"/>
              </w:rPr>
            </w:pPr>
          </w:p>
        </w:tc>
      </w:tr>
      <w:tr w14:paraId="544C6D33">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0D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1D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AI信息查询机</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BF0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≥32</w:t>
            </w:r>
            <w:r>
              <w:rPr>
                <w:rFonts w:hint="eastAsia" w:ascii="宋体" w:hAnsi="宋体" w:eastAsia="宋体" w:cs="宋体"/>
                <w:color w:val="000000"/>
                <w:kern w:val="0"/>
                <w:sz w:val="20"/>
                <w:szCs w:val="20"/>
              </w:rPr>
              <w:t>英寸屏幕，</w:t>
            </w:r>
            <w:r>
              <w:rPr>
                <w:rFonts w:ascii="Times New Roman" w:hAnsi="Times New Roman" w:eastAsia="宋体" w:cs="Times New Roman"/>
                <w:color w:val="000000"/>
                <w:kern w:val="0"/>
                <w:sz w:val="20"/>
                <w:szCs w:val="20"/>
              </w:rPr>
              <w:t>4K</w:t>
            </w:r>
            <w:r>
              <w:rPr>
                <w:rFonts w:hint="eastAsia" w:ascii="宋体" w:hAnsi="宋体" w:eastAsia="宋体" w:cs="宋体"/>
                <w:color w:val="000000"/>
                <w:kern w:val="0"/>
                <w:sz w:val="20"/>
                <w:szCs w:val="20"/>
              </w:rPr>
              <w:t>超高清显示，低蓝光护眼，可触控类纸屏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≥8G+256G</w:t>
            </w:r>
            <w:r>
              <w:rPr>
                <w:rFonts w:ascii="Times New Roman" w:hAnsi="Times New Roman" w:eastAsia="宋体" w:cs="Times New Roman"/>
                <w:color w:val="000000"/>
                <w:kern w:val="0"/>
                <w:sz w:val="20"/>
                <w:szCs w:val="20"/>
              </w:rPr>
              <w:br w:type="textWrapping"/>
            </w:r>
            <w:r>
              <w:rPr>
                <w:rFonts w:hint="eastAsia" w:ascii="宋体" w:hAnsi="宋体" w:eastAsia="宋体" w:cs="宋体"/>
                <w:color w:val="000000"/>
                <w:kern w:val="0"/>
                <w:sz w:val="20"/>
                <w:szCs w:val="20"/>
              </w:rPr>
              <w:t>包含</w:t>
            </w:r>
            <w:r>
              <w:rPr>
                <w:rFonts w:ascii="Times New Roman" w:hAnsi="Times New Roman" w:eastAsia="宋体" w:cs="Times New Roman"/>
                <w:color w:val="000000"/>
                <w:kern w:val="0"/>
                <w:sz w:val="20"/>
                <w:szCs w:val="20"/>
              </w:rPr>
              <w:t>HDMI</w:t>
            </w:r>
            <w:r>
              <w:rPr>
                <w:rFonts w:hint="eastAsia" w:ascii="宋体" w:hAnsi="宋体" w:eastAsia="宋体" w:cs="宋体"/>
                <w:color w:val="000000"/>
                <w:kern w:val="0"/>
                <w:sz w:val="20"/>
                <w:szCs w:val="20"/>
              </w:rPr>
              <w:t>接口</w:t>
            </w:r>
            <w:r>
              <w:rPr>
                <w:rFonts w:ascii="Times New Roman" w:hAnsi="Times New Roman" w:eastAsia="宋体" w:cs="Times New Roman"/>
                <w:color w:val="000000"/>
                <w:kern w:val="0"/>
                <w:sz w:val="20"/>
                <w:szCs w:val="20"/>
              </w:rPr>
              <w:t>Type C</w:t>
            </w:r>
            <w:r>
              <w:rPr>
                <w:rFonts w:ascii="Times New Roman" w:hAnsi="Times New Roman" w:eastAsia="宋体" w:cs="Times New Roman"/>
                <w:color w:val="000000"/>
                <w:kern w:val="0"/>
                <w:sz w:val="20"/>
                <w:szCs w:val="20"/>
              </w:rPr>
              <w:br w:type="textWrapping"/>
            </w:r>
            <w:r>
              <w:rPr>
                <w:rFonts w:hint="eastAsia" w:ascii="宋体" w:hAnsi="宋体" w:eastAsia="宋体" w:cs="宋体"/>
                <w:color w:val="000000"/>
                <w:kern w:val="0"/>
                <w:sz w:val="20"/>
                <w:szCs w:val="20"/>
              </w:rPr>
              <w:t>含鼠标键盘</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E5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B3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337E">
            <w:pPr>
              <w:jc w:val="center"/>
              <w:rPr>
                <w:rFonts w:ascii="宋体" w:hAnsi="宋体" w:eastAsia="宋体" w:cs="宋体"/>
                <w:color w:val="000000"/>
                <w:sz w:val="20"/>
                <w:szCs w:val="20"/>
              </w:rPr>
            </w:pPr>
          </w:p>
        </w:tc>
      </w:tr>
      <w:tr w14:paraId="06A601D9">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33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48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智能作业扫描留痕</w:t>
            </w:r>
            <w:r>
              <w:rPr>
                <w:rFonts w:hint="eastAsia" w:ascii="Times New Roman" w:hAnsi="Times New Roman" w:eastAsia="宋体" w:cs="Times New Roman"/>
                <w:color w:val="000000"/>
                <w:kern w:val="0"/>
                <w:sz w:val="20"/>
                <w:szCs w:val="20"/>
              </w:rPr>
              <w:t>批改</w:t>
            </w:r>
            <w:r>
              <w:rPr>
                <w:rFonts w:ascii="Times New Roman" w:hAnsi="Times New Roman" w:eastAsia="宋体" w:cs="Times New Roman"/>
                <w:color w:val="000000"/>
                <w:kern w:val="0"/>
                <w:sz w:val="20"/>
                <w:szCs w:val="20"/>
              </w:rPr>
              <w:t>一体机</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60B3">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highlight w:val="none"/>
              </w:rPr>
              <w:t>支持作业云打印、作业扫描、作业批改痕迹留痕打印一体，读卡器自动识别，双纸盒，最大支持A3幅面，扫描速度单面60页/分，双面120页/分，可实现教师布置作业后，远程刷卡打印本班批改留痕作业</w:t>
            </w:r>
            <w:r>
              <w:rPr>
                <w:rFonts w:ascii="Times New Roman" w:hAnsi="Times New Roman" w:eastAsia="宋体" w:cs="Times New Roman"/>
                <w:color w:val="000000"/>
                <w:kern w:val="0"/>
                <w:sz w:val="20"/>
                <w:szCs w:val="20"/>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9D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0B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FB225">
            <w:pPr>
              <w:jc w:val="center"/>
              <w:rPr>
                <w:rFonts w:ascii="宋体" w:hAnsi="宋体" w:eastAsia="宋体" w:cs="宋体"/>
                <w:color w:val="000000"/>
                <w:sz w:val="20"/>
                <w:szCs w:val="20"/>
              </w:rPr>
            </w:pPr>
          </w:p>
        </w:tc>
      </w:tr>
      <w:tr w14:paraId="55726A7D">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6CF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EE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国际教室沙龙专用沙发</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F2D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1.整体尺寸约为1400*650*720mm(长*宽*高)；</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2.内部为木制框架，海绵坐垫，外包PU，颜色根据设计要求进行。</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08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B0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42C1">
            <w:pPr>
              <w:jc w:val="center"/>
              <w:rPr>
                <w:rFonts w:ascii="宋体" w:hAnsi="宋体" w:eastAsia="宋体" w:cs="宋体"/>
                <w:color w:val="000000"/>
                <w:sz w:val="20"/>
                <w:szCs w:val="20"/>
              </w:rPr>
            </w:pPr>
          </w:p>
        </w:tc>
      </w:tr>
      <w:tr w14:paraId="43E16489">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80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535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国际教室沙龙专用茶几</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605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规格≥1300*650*450mm；白色木质桌台面+金属框架底座；台面采用≥18mmE1级三聚氰胺板；金属底座架，满焊焊接，表面酸洗磷化后，环氧树脂塑粉高温固化处理。</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DB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A1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1754">
            <w:pPr>
              <w:jc w:val="center"/>
              <w:rPr>
                <w:rFonts w:ascii="宋体" w:hAnsi="宋体" w:eastAsia="宋体" w:cs="宋体"/>
                <w:color w:val="000000"/>
                <w:sz w:val="20"/>
                <w:szCs w:val="20"/>
              </w:rPr>
            </w:pPr>
          </w:p>
        </w:tc>
      </w:tr>
      <w:tr w14:paraId="4AF6093A">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B6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4F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国际教室展示柜</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7BE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规格根据图纸；全木结构，主材采用≥E1级三聚氰胺板，厚度≥18mm；封边用材≥2mm厚PVC胶边，全自动封边机热熔胶封边；国标五金配件，C型拉手，合金铰链。</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EC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米</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B1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9E69">
            <w:pPr>
              <w:jc w:val="center"/>
              <w:rPr>
                <w:rFonts w:ascii="宋体" w:hAnsi="宋体" w:eastAsia="宋体" w:cs="宋体"/>
                <w:color w:val="000000"/>
                <w:sz w:val="20"/>
                <w:szCs w:val="20"/>
              </w:rPr>
            </w:pPr>
          </w:p>
        </w:tc>
      </w:tr>
      <w:tr w14:paraId="15356F8D">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68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E9C1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国际教室资料柜</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99C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规格≥900*300*1200mm；主材采用国标E1级实木多层板，厚度≥18mm，可见截面采用≥2MMPVC封边条，采用全自动封边机热熔胶封边。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F5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组</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670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7441">
            <w:pPr>
              <w:jc w:val="center"/>
              <w:rPr>
                <w:rFonts w:ascii="宋体" w:hAnsi="宋体" w:eastAsia="宋体" w:cs="宋体"/>
                <w:color w:val="000000"/>
                <w:sz w:val="20"/>
                <w:szCs w:val="20"/>
              </w:rPr>
            </w:pPr>
          </w:p>
        </w:tc>
      </w:tr>
      <w:tr w14:paraId="0C10C126">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EE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1FA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国际教室置物架</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0CC9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1、基材：采用优质三聚氰胺板,优质绿色环保产品,含水 率10.8%，甲醛释放量5.1mg/100g, 2、粘合剂：优质乳胶,游离甲醛含量＜0.05g/kg， 3、封边用材：1mm厚PVC胶边，热熔胶.          4、品牌优质五金配件；</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E3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E3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3D9F">
            <w:pPr>
              <w:jc w:val="center"/>
              <w:rPr>
                <w:rFonts w:ascii="宋体" w:hAnsi="宋体" w:eastAsia="宋体" w:cs="宋体"/>
                <w:color w:val="000000"/>
                <w:sz w:val="20"/>
                <w:szCs w:val="20"/>
              </w:rPr>
            </w:pPr>
          </w:p>
        </w:tc>
      </w:tr>
      <w:tr w14:paraId="14E000C9">
        <w:tblPrEx>
          <w:tblCellMar>
            <w:top w:w="0" w:type="dxa"/>
            <w:left w:w="108" w:type="dxa"/>
            <w:bottom w:w="0" w:type="dxa"/>
            <w:right w:w="108" w:type="dxa"/>
          </w:tblCellMar>
        </w:tblPrEx>
        <w:trPr>
          <w:trHeight w:val="400" w:hRule="atLeast"/>
        </w:trPr>
        <w:tc>
          <w:tcPr>
            <w:tcW w:w="459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6955B4C">
            <w:pPr>
              <w:widowControl/>
              <w:jc w:val="left"/>
              <w:textAlignment w:val="center"/>
              <w:rPr>
                <w:rFonts w:hint="default" w:ascii="宋体" w:hAnsi="宋体" w:eastAsia="宋体" w:cs="宋体"/>
                <w:b/>
                <w:bCs/>
                <w:color w:val="000000"/>
                <w:sz w:val="20"/>
                <w:szCs w:val="20"/>
                <w:lang w:val="en-US" w:eastAsia="zh-CN"/>
              </w:rPr>
            </w:pPr>
            <w:r>
              <w:rPr>
                <w:rFonts w:hint="eastAsia" w:ascii="宋体" w:hAnsi="宋体" w:cs="宋体"/>
                <w:b/>
                <w:bCs/>
                <w:color w:val="000000"/>
                <w:sz w:val="20"/>
                <w:szCs w:val="20"/>
                <w:lang w:val="en-US" w:eastAsia="zh-CN"/>
              </w:rPr>
              <w:t>3.精准教学讨论区</w:t>
            </w:r>
          </w:p>
        </w:tc>
        <w:tc>
          <w:tcPr>
            <w:tcW w:w="40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505B1277">
            <w:pPr>
              <w:widowControl/>
              <w:jc w:val="left"/>
              <w:textAlignment w:val="center"/>
              <w:rPr>
                <w:rFonts w:ascii="宋体" w:hAnsi="宋体" w:eastAsia="宋体" w:cs="宋体"/>
                <w:b/>
                <w:bCs/>
                <w:color w:val="000000"/>
                <w:sz w:val="20"/>
                <w:szCs w:val="20"/>
              </w:rPr>
            </w:pPr>
          </w:p>
        </w:tc>
      </w:tr>
      <w:tr w14:paraId="4572DC29">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9E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300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教研专用桌</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19DB">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材质：采用符合E1级环保要求的三聚氰胺板，厚度≥25mm；；封边用材：≥2mm厚PVC胶边，全自动封边机热熔胶封边；桌架采用优质国标碳素钢，桌架壁厚度≥1.2mm，截面≥50*15mm，表面经酸洗磷化、纯环氧树脂塑粉高温固化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2、优质国标五金配件，隐藏式插座、接线盒。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12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F4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BA60">
            <w:pPr>
              <w:jc w:val="center"/>
              <w:rPr>
                <w:rFonts w:ascii="宋体" w:hAnsi="宋体" w:eastAsia="宋体" w:cs="宋体"/>
                <w:color w:val="000000"/>
                <w:sz w:val="20"/>
                <w:szCs w:val="20"/>
              </w:rPr>
            </w:pPr>
          </w:p>
        </w:tc>
      </w:tr>
      <w:tr w14:paraId="7E053C69">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56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9A9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教研专用椅</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F8F6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规格≥460*470*930mm；靠背采用网布材料；座垫内置高回弹定型海绵，外罩网布；PP扶手；电镀钢制弓形腿。</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274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把</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9F8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C825">
            <w:pPr>
              <w:jc w:val="center"/>
              <w:rPr>
                <w:rFonts w:ascii="宋体" w:hAnsi="宋体" w:eastAsia="宋体" w:cs="宋体"/>
                <w:color w:val="000000"/>
                <w:sz w:val="20"/>
                <w:szCs w:val="20"/>
              </w:rPr>
            </w:pPr>
          </w:p>
        </w:tc>
      </w:tr>
      <w:tr w14:paraId="4D3575B3">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C6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47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一体机支架</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77E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移动支架通过防倾斜实验，正负</w:t>
            </w:r>
            <w:r>
              <w:rPr>
                <w:rFonts w:ascii="Times New Roman" w:hAnsi="Times New Roman" w:eastAsia="宋体" w:cs="Times New Roman"/>
                <w:color w:val="000000"/>
                <w:kern w:val="0"/>
                <w:sz w:val="20"/>
                <w:szCs w:val="20"/>
              </w:rPr>
              <w:t>10</w:t>
            </w:r>
            <w:r>
              <w:rPr>
                <w:rFonts w:hint="eastAsia" w:ascii="宋体" w:hAnsi="宋体" w:eastAsia="宋体" w:cs="宋体"/>
                <w:color w:val="000000"/>
                <w:kern w:val="0"/>
                <w:sz w:val="20"/>
                <w:szCs w:val="20"/>
              </w:rPr>
              <w:t>度倾斜角度下不能翻倒；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承挂</w:t>
            </w:r>
            <w:r>
              <w:rPr>
                <w:rFonts w:ascii="Times New Roman" w:hAnsi="Times New Roman" w:eastAsia="宋体" w:cs="Times New Roman"/>
                <w:color w:val="000000"/>
                <w:kern w:val="0"/>
                <w:sz w:val="20"/>
                <w:szCs w:val="20"/>
              </w:rPr>
              <w:t>≥100kg</w:t>
            </w:r>
            <w:r>
              <w:rPr>
                <w:rFonts w:hint="eastAsia" w:ascii="宋体" w:hAnsi="宋体" w:eastAsia="宋体" w:cs="宋体"/>
                <w:color w:val="000000"/>
                <w:kern w:val="0"/>
                <w:sz w:val="20"/>
                <w:szCs w:val="20"/>
              </w:rPr>
              <w:t>；整体高度</w:t>
            </w:r>
            <w:r>
              <w:rPr>
                <w:rFonts w:ascii="Times New Roman" w:hAnsi="Times New Roman" w:eastAsia="宋体" w:cs="Times New Roman"/>
                <w:color w:val="000000"/>
                <w:kern w:val="0"/>
                <w:sz w:val="20"/>
                <w:szCs w:val="20"/>
              </w:rPr>
              <w:t>≥1597mm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托盘承重</w:t>
            </w:r>
            <w:r>
              <w:rPr>
                <w:rFonts w:ascii="Times New Roman" w:hAnsi="Times New Roman" w:eastAsia="宋体" w:cs="Times New Roman"/>
                <w:color w:val="000000"/>
                <w:kern w:val="0"/>
                <w:sz w:val="20"/>
                <w:szCs w:val="20"/>
              </w:rPr>
              <w:t>25KG,</w:t>
            </w:r>
            <w:r>
              <w:rPr>
                <w:rFonts w:hint="eastAsia" w:ascii="宋体" w:hAnsi="宋体" w:eastAsia="宋体" w:cs="宋体"/>
                <w:color w:val="000000"/>
                <w:kern w:val="0"/>
                <w:sz w:val="20"/>
                <w:szCs w:val="20"/>
              </w:rPr>
              <w:t>模具设置</w:t>
            </w:r>
            <w:r>
              <w:rPr>
                <w:rFonts w:ascii="Times New Roman" w:hAnsi="Times New Roman" w:eastAsia="宋体" w:cs="Times New Roman"/>
                <w:color w:val="000000"/>
                <w:kern w:val="0"/>
                <w:sz w:val="20"/>
                <w:szCs w:val="20"/>
              </w:rPr>
              <w:t>U</w:t>
            </w:r>
            <w:r>
              <w:rPr>
                <w:rFonts w:hint="eastAsia" w:ascii="宋体" w:hAnsi="宋体" w:eastAsia="宋体" w:cs="宋体"/>
                <w:color w:val="000000"/>
                <w:kern w:val="0"/>
                <w:sz w:val="20"/>
                <w:szCs w:val="20"/>
              </w:rPr>
              <w:t>型置物槽，方便触摸笔、遥控器等物品放置；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支撑立杆采用壁厚</w:t>
            </w:r>
            <w:r>
              <w:rPr>
                <w:rFonts w:ascii="Times New Roman" w:hAnsi="Times New Roman" w:eastAsia="宋体" w:cs="Times New Roman"/>
                <w:color w:val="000000"/>
                <w:kern w:val="0"/>
                <w:sz w:val="20"/>
                <w:szCs w:val="20"/>
              </w:rPr>
              <w:t>≥1.8mm</w:t>
            </w:r>
            <w:r>
              <w:rPr>
                <w:rFonts w:hint="eastAsia" w:ascii="宋体" w:hAnsi="宋体" w:eastAsia="宋体" w:cs="宋体"/>
                <w:color w:val="000000"/>
                <w:kern w:val="0"/>
                <w:sz w:val="20"/>
                <w:szCs w:val="20"/>
              </w:rPr>
              <w:t>方通冷轧钢材质，表面黑色喷涂；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w:t>
            </w:r>
            <w:r>
              <w:rPr>
                <w:rFonts w:hint="eastAsia" w:ascii="宋体" w:hAnsi="宋体" w:eastAsia="宋体" w:cs="宋体"/>
                <w:color w:val="000000"/>
                <w:kern w:val="0"/>
                <w:sz w:val="20"/>
                <w:szCs w:val="20"/>
              </w:rPr>
              <w:t>脚轮为万向轮，聚氨酯（</w:t>
            </w:r>
            <w:r>
              <w:rPr>
                <w:rFonts w:ascii="Times New Roman" w:hAnsi="Times New Roman" w:eastAsia="宋体" w:cs="Times New Roman"/>
                <w:color w:val="000000"/>
                <w:kern w:val="0"/>
                <w:sz w:val="20"/>
                <w:szCs w:val="20"/>
              </w:rPr>
              <w:t>PU</w:t>
            </w:r>
            <w:r>
              <w:rPr>
                <w:rFonts w:hint="eastAsia" w:ascii="宋体" w:hAnsi="宋体" w:eastAsia="宋体" w:cs="宋体"/>
                <w:color w:val="000000"/>
                <w:kern w:val="0"/>
                <w:sz w:val="20"/>
                <w:szCs w:val="20"/>
              </w:rPr>
              <w:t>）材质，均带脚刹，直径不小于∮</w:t>
            </w:r>
            <w:r>
              <w:rPr>
                <w:rFonts w:ascii="Times New Roman" w:hAnsi="Times New Roman" w:eastAsia="宋体" w:cs="Times New Roman"/>
                <w:color w:val="000000"/>
                <w:kern w:val="0"/>
                <w:sz w:val="20"/>
                <w:szCs w:val="20"/>
              </w:rPr>
              <w:t>75mm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hint="eastAsia" w:ascii="宋体" w:hAnsi="宋体" w:eastAsia="宋体" w:cs="宋体"/>
                <w:color w:val="000000"/>
                <w:kern w:val="0"/>
                <w:sz w:val="20"/>
                <w:szCs w:val="20"/>
              </w:rPr>
              <w:t>脚轮中心距横向</w:t>
            </w:r>
            <w:r>
              <w:rPr>
                <w:rFonts w:ascii="Times New Roman" w:hAnsi="Times New Roman" w:eastAsia="宋体" w:cs="Times New Roman"/>
                <w:color w:val="000000"/>
                <w:kern w:val="0"/>
                <w:sz w:val="20"/>
                <w:szCs w:val="20"/>
              </w:rPr>
              <w:t>≥1115mm</w:t>
            </w:r>
            <w:r>
              <w:rPr>
                <w:rFonts w:hint="eastAsia" w:ascii="宋体" w:hAnsi="宋体" w:eastAsia="宋体" w:cs="宋体"/>
                <w:color w:val="000000"/>
                <w:kern w:val="0"/>
                <w:sz w:val="20"/>
                <w:szCs w:val="20"/>
              </w:rPr>
              <w:t>，纵向</w:t>
            </w:r>
            <w:r>
              <w:rPr>
                <w:rFonts w:ascii="Times New Roman" w:hAnsi="Times New Roman" w:eastAsia="宋体" w:cs="Times New Roman"/>
                <w:color w:val="000000"/>
                <w:kern w:val="0"/>
                <w:sz w:val="20"/>
                <w:szCs w:val="20"/>
              </w:rPr>
              <w:t>≥627mm</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22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B31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71DB">
            <w:pPr>
              <w:jc w:val="center"/>
              <w:rPr>
                <w:rFonts w:ascii="宋体" w:hAnsi="宋体" w:eastAsia="宋体" w:cs="宋体"/>
                <w:color w:val="000000"/>
                <w:sz w:val="20"/>
                <w:szCs w:val="20"/>
              </w:rPr>
            </w:pPr>
          </w:p>
        </w:tc>
      </w:tr>
      <w:tr w14:paraId="72861488">
        <w:tblPrEx>
          <w:tblCellMar>
            <w:top w:w="0" w:type="dxa"/>
            <w:left w:w="108" w:type="dxa"/>
            <w:bottom w:w="0" w:type="dxa"/>
            <w:right w:w="108" w:type="dxa"/>
          </w:tblCellMar>
        </w:tblPrEx>
        <w:trPr>
          <w:trHeight w:val="400" w:hRule="atLeast"/>
        </w:trPr>
        <w:tc>
          <w:tcPr>
            <w:tcW w:w="4597"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46AD0A8">
            <w:pPr>
              <w:widowControl/>
              <w:jc w:val="left"/>
              <w:textAlignment w:val="center"/>
              <w:rPr>
                <w:rFonts w:hint="eastAsia" w:ascii="宋体" w:hAnsi="宋体" w:eastAsia="宋体" w:cs="宋体"/>
                <w:b/>
                <w:bCs/>
                <w:color w:val="000000"/>
                <w:sz w:val="20"/>
                <w:szCs w:val="20"/>
                <w:lang w:eastAsia="zh-CN"/>
              </w:rPr>
            </w:pPr>
            <w:r>
              <w:rPr>
                <w:rFonts w:hint="eastAsia" w:ascii="宋体" w:hAnsi="宋体" w:cs="宋体"/>
                <w:b/>
                <w:bCs/>
                <w:color w:val="000000"/>
                <w:sz w:val="20"/>
                <w:szCs w:val="20"/>
                <w:lang w:eastAsia="zh-CN"/>
              </w:rPr>
              <w:t>二、空间建设</w:t>
            </w:r>
          </w:p>
        </w:tc>
        <w:tc>
          <w:tcPr>
            <w:tcW w:w="40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54D1D135">
            <w:pPr>
              <w:widowControl/>
              <w:jc w:val="left"/>
              <w:textAlignment w:val="center"/>
              <w:rPr>
                <w:rFonts w:ascii="宋体" w:hAnsi="宋体" w:eastAsia="宋体" w:cs="宋体"/>
                <w:b/>
                <w:bCs/>
                <w:color w:val="000000"/>
                <w:sz w:val="20"/>
                <w:szCs w:val="20"/>
              </w:rPr>
            </w:pPr>
          </w:p>
        </w:tc>
      </w:tr>
      <w:tr w14:paraId="67C8DCE7">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549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35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空间氛围建设</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9243">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墙面学科文化内容与排版，文化布展的制作与安装；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根据设计要求进行相关的电路接线（室内需有符合布局的预留线管并穿线）；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墙面造型及安装；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造型吊顶，设计，包含吊顶安装及调试。</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81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0A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156</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68DA">
            <w:pPr>
              <w:jc w:val="center"/>
              <w:rPr>
                <w:rFonts w:ascii="宋体" w:hAnsi="宋体" w:eastAsia="宋体" w:cs="宋体"/>
                <w:color w:val="000000"/>
                <w:sz w:val="20"/>
                <w:szCs w:val="20"/>
              </w:rPr>
            </w:pPr>
          </w:p>
        </w:tc>
      </w:tr>
      <w:tr w14:paraId="39CF7CBB">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152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C2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照明系统</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28AF">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配合实验室配套艺术造型吊顶安装照明设施，</w:t>
            </w:r>
            <w:r>
              <w:rPr>
                <w:rFonts w:ascii="Times New Roman" w:hAnsi="Times New Roman" w:eastAsia="宋体" w:cs="Times New Roman"/>
                <w:color w:val="000000"/>
                <w:kern w:val="0"/>
                <w:sz w:val="20"/>
                <w:szCs w:val="20"/>
              </w:rPr>
              <w:t xml:space="preserve">1200*100mmLED </w:t>
            </w:r>
            <w:r>
              <w:rPr>
                <w:rFonts w:hint="eastAsia" w:ascii="宋体" w:hAnsi="宋体" w:eastAsia="宋体" w:cs="宋体"/>
                <w:color w:val="000000"/>
                <w:kern w:val="0"/>
                <w:sz w:val="20"/>
                <w:szCs w:val="20"/>
              </w:rPr>
              <w:t>照明灯条形灯，约</w:t>
            </w:r>
            <w:r>
              <w:rPr>
                <w:rFonts w:ascii="Times New Roman" w:hAnsi="Times New Roman" w:eastAsia="宋体" w:cs="Times New Roman"/>
                <w:color w:val="000000"/>
                <w:kern w:val="0"/>
                <w:sz w:val="20"/>
                <w:szCs w:val="20"/>
              </w:rPr>
              <w:t>36W</w:t>
            </w:r>
            <w:r>
              <w:rPr>
                <w:rFonts w:hint="eastAsia" w:ascii="宋体" w:hAnsi="宋体" w:eastAsia="宋体" w:cs="宋体"/>
                <w:color w:val="000000"/>
                <w:kern w:val="0"/>
                <w:sz w:val="20"/>
                <w:szCs w:val="20"/>
              </w:rPr>
              <w:t>，采用电子变压器，含人工及安装。含管线及墙面控制开关</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BE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室</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9D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DD7B">
            <w:pPr>
              <w:jc w:val="center"/>
              <w:rPr>
                <w:rFonts w:ascii="宋体" w:hAnsi="宋体" w:eastAsia="宋体" w:cs="宋体"/>
                <w:color w:val="000000"/>
                <w:sz w:val="20"/>
                <w:szCs w:val="20"/>
              </w:rPr>
            </w:pPr>
          </w:p>
        </w:tc>
      </w:tr>
      <w:tr w14:paraId="2B20AD7F">
        <w:tblPrEx>
          <w:tblCellMar>
            <w:top w:w="0" w:type="dxa"/>
            <w:left w:w="108" w:type="dxa"/>
            <w:bottom w:w="0" w:type="dxa"/>
            <w:right w:w="108" w:type="dxa"/>
          </w:tblCellMar>
        </w:tblPrEx>
        <w:trPr>
          <w:trHeight w:val="400" w:hRule="atLeast"/>
        </w:trPr>
        <w:tc>
          <w:tcPr>
            <w:tcW w:w="459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BCD7EA5">
            <w:pPr>
              <w:widowControl/>
              <w:jc w:val="left"/>
              <w:textAlignment w:val="center"/>
              <w:rPr>
                <w:rFonts w:hint="default" w:ascii="宋体" w:hAnsi="宋体" w:eastAsia="宋体" w:cs="宋体"/>
                <w:b/>
                <w:bCs/>
                <w:color w:val="000000"/>
                <w:sz w:val="20"/>
                <w:szCs w:val="20"/>
                <w:lang w:val="en-US" w:eastAsia="zh-CN"/>
              </w:rPr>
            </w:pPr>
            <w:r>
              <w:rPr>
                <w:rFonts w:hint="eastAsia" w:ascii="宋体" w:hAnsi="宋体" w:cs="宋体"/>
                <w:b/>
                <w:bCs/>
                <w:color w:val="000000"/>
                <w:sz w:val="20"/>
                <w:szCs w:val="20"/>
                <w:lang w:val="en-US" w:eastAsia="zh-CN"/>
              </w:rPr>
              <w:t>1.无感知AI课堂分析</w:t>
            </w:r>
          </w:p>
        </w:tc>
        <w:tc>
          <w:tcPr>
            <w:tcW w:w="40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3303F9E">
            <w:pPr>
              <w:widowControl/>
              <w:jc w:val="left"/>
              <w:textAlignment w:val="center"/>
              <w:rPr>
                <w:rFonts w:ascii="宋体" w:hAnsi="宋体" w:eastAsia="宋体" w:cs="宋体"/>
                <w:b/>
                <w:bCs/>
                <w:color w:val="000000"/>
                <w:sz w:val="20"/>
                <w:szCs w:val="20"/>
              </w:rPr>
            </w:pPr>
          </w:p>
        </w:tc>
      </w:tr>
      <w:tr w14:paraId="16F94E8F">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D2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ED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高清录播主机</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C8FA">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一、整体设计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录播主机整体采用嵌入式设计非PC与服务器工作站等架构以保障系统运行稳定、安全。为放便设备部署考虑，为避免屏幕动态变化影响学生课堂专注力的情况，录播主机需为标准1U机架式设计，机身非壁挂且不存在大面积显示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2.录播主机功能高度集成化需同时具备录制、导播、存储、点播、互动多功能功于一体；</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3.嵌入式架构的录播主机应具有环保特性，需采用不高于DC60V的电压供电，整机正常工作状态下功耗不超过50W；</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4.主机支持≥4路D-Video输入、≥2路HDMI 输入；≥2路HDMI 输出，且输入输出分辨率均支持1080P@30fps；</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5.支持连接摄像机与主机之间通过一根双绞线进行供电、控制、视频信号同传，不接受使用转接器的方式；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6.主机支持≥2路3.5mm线性音频模拟信号输入接口；≥2路3.5mm线性音频输出接口；≥6路数字音频Digital Mic输入接口；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7.主机支持≥2路Console控制接口（RJ45），支持RS232串行通信协议进行外接控制；≥2路USB 接口，可用于连接U盘等外设；</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▲8.主机支持音频“一线通”功能，数字音频输入Digtital mic仅通过一条双绞线即可通过RJ45接口同时实现数字音频信号的采集以及数字麦克风的供电，实现音频信号的高品质、抗干扰稳定传输；</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9.主机兼容标准H.264视频编解码能力，要求支持1080P@30fps、720P@30fps，以及AAC音频编解码协议标准且内置音频处理功能；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10.主机具备标准RJ45网络接口，支持100/1000M网络自适应以及IPv4、IPv6双协议栈；</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11.存储容量：主机储存容量1TB，用于录制视频文件的本地存储；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数字视频传输：支持对高清摄像机实现基于RJ45双绞线的视频裸数据传输技术，区别于IP传输方式，摄像机到录播主机端的视频采集和传输过程无需经过编解码，无画质损耗。具备声画同步机制，实现≤100ms的声画同步，保障录制视频质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▲13.AI边缘计算：要求录播主机支持AI人工智能课堂行为分析能力，无需添加任何设备即可实现基于课堂上师生的行为、表情、语音等相关数据；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二、功能设计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14.系统架构：软件需采用B/S架构设计，支持通过浏览器即可进行管理配置与操作，而无需额外安装客户端或APP；</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▲15.学生AI分析：要求主机具备学生AI分析能力，可提供学生视频分析数据包括但不限于表情数据、行为数据；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▲16.教师AI分析：要求主机具备教师AI分析能力，可提供教师视频分析数据包括但不限于教师授课行为、语音表达数据；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▲17.画面同步：要求录播主机配套摄像机支持在多机位接入的情况下所有画面高度同步。在多画面布局以及多流录制、多流直播的使用场景下不同画面保持≤150ms的同步效果，满足最佳的使用体验；</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18.中英双语：需支持中英双语版本切换，适合不同用户的应用需求。要求通过网络导播界面即可便捷切换，无需进行更改授权、系统升级等复杂操作；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19.上电模式：需支持通电模式选择，实现主机通电后自动进入相应模式，包含但不限于自动开机、开机且休眠、不开机等模式；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20.版本管理：支持查看系统软件版本，提供离线文件升级、网络在线升级和定时自动升级三种升级方式，且支持导出和导入系统配置文件；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21.安装信息：支持填写设备的安装信息，包括位置、所在学校、安装地点、联系人等；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22.休眠唤醒：需支持定时休眠唤醒功能，提供精确到秒的自定义时间设置，可以单独设置是否定时休眠或者定时唤醒；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23.权限管理：需支持对主机后台设置管理员用户与普通用户两种使用权限，普通用户无法进行相关参数与配置修改；</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24.系统状态：支持在导播界面实时查看主机当前CPU温度、磁盘空间占用情况、视频录制的参数配置和正在录制的视频时长与大小等信息；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25.UVC/UAC功能：要求主机具备通过USB口直接输出音视频信号的能力，实现便捷的视频会议软件接入；</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26.音频处理：支持音频采样率的设置，且支持AGC自动增益、ANS噪声抑制、EQ均衡、AEC回声抑制等音频处理功能；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27.录制码流：支持主码流和子码流的高低双码流录制，且支持自定义清晰度、帧率、码率和I帧间隔，支持动态比特率或静态比特率两种模式；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28.存储管理：需支持录像文件循环覆盖功能，开启循环覆盖功能后，录播硬盘在已存储90%的空间时，再次启动录制将删除录播内现存时间最早的录像文件以应对录制频率比较高的情况；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29.标签设置：需支持视频信号源标签设置，对摄像机实时拍摄信号、HDMI高清输入信号均可自定义名称标签，为导播控制与编辑灵活性提供便利；</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30.多场景音频：需支持录制模式和互动模式的独立音频场景设置，针对无线MIC和多媒体等不同设备类型，进行场景化的音频参数设置；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31.兼容拍摄：要求录播主机支持电子云镜和机械云台两种智能控制技术，对电子云镜生成的特写画面以及云台的拍摄画面进行控制，实现画面上下左右移动以及变焦切换，特写画面移动与切换支持鼠标定位实现，可以通过鼠标点击快速切换移动画面位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32.互动能力：要求内置互动模块，无需额外部署MCU类设备即可支持“1+3”的互动授课模式，实现专递课堂教学应用。同时也需支持会议互动模式，创建或加入大规模视音频实时互动。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三、其他要求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33.要求主机与视频资源管理平台、高清摄像机设备为；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34.平台对接：支持FTP文件传输协议，主机录制生成的视频文件与应用平台实现自动归档上传；</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▲35.</w:t>
            </w:r>
            <w:r>
              <w:rPr>
                <w:rFonts w:hint="eastAsia" w:ascii="Times New Roman" w:hAnsi="Times New Roman" w:eastAsia="宋体" w:cs="Times New Roman"/>
                <w:color w:val="000000"/>
                <w:kern w:val="0"/>
                <w:sz w:val="20"/>
                <w:szCs w:val="20"/>
              </w:rPr>
              <w:t xml:space="preserve"> 提供国家认证认可权威机构出具的检测报告</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79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49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F208">
            <w:pPr>
              <w:jc w:val="center"/>
              <w:rPr>
                <w:rFonts w:ascii="宋体" w:hAnsi="宋体" w:eastAsia="宋体" w:cs="宋体"/>
                <w:color w:val="000000"/>
                <w:sz w:val="20"/>
                <w:szCs w:val="20"/>
              </w:rPr>
            </w:pPr>
          </w:p>
        </w:tc>
      </w:tr>
      <w:tr w14:paraId="30BC120C">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C6B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BE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录播流媒体处理软件</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E18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1.嵌入式录播主机出厂时内置流媒体处理软件以实现各个模块的功能应用；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▲2.录播主机内置的流媒体处理软件具备自主知识产权，提供录播流媒体处理相关功能的软件著作权登记证书复印件；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3.录播主机在不接入互联网的情况下也可以进行视频录制，且支持1080P高清分辨率录制，用MP4视频格式封装自动归档至录播内置的硬盘当中存储；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4.多流录制：支持教师画面、学生全景画面、学生特写画面等不少于3路摄像机画面和电脑画面的独立录制封装；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5.要求录播主机支持录制质量设置，提供1080P、720P等高清标清质量选择，并支持自定义录制分辨率、帧率、码率等参数；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6.要求录播主机支持分段录制的功能以应对长时间的视频录制情况，提供不分段、30分钟分段、60分钟分段三种方式选择。实现在不结束录制的条件下自动按选择时长将视频文件分割成多个视频归档保存；</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7.要求录播主机支持插入U盘后，主机正常进行录制可以同步另存一份视频文件到U盘中；</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8.要求录播主机支持录制、暂停、结束等基本功能操作，并支持外部设备通过基于HTTP协议的API接口以及RS232通信协议对设备进行相关控制；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录播主机支持B/S软件架构无需下载相关软件APP，以满足低配电脑也可通过浏览器访问录播主机导播界面，在导播界面实现对所有录制画面的实时预览，并支持在手动导播模式下点击预览画面窗口进行录制画面切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10.录播主机支持8个摄像机电子云台预置位设置，在导播预览界面可便捷调取摄像机预设位置的画面；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11.录播主机支持在导播预览界面添加Logo台标与字幕，可自主上传Logo图标、设置logo位置、编辑字幕内容、选择字幕字体颜色与是否滚动显示，且后台管理设置可最多预设5个字幕作为备选，方便灵活调整与切换；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12.录播主机支持通过导播界面进行音量控制，调整音量大小与一键静音功能；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13.录播主机支持片头片尾设置，可上传JPG格式图片作为录制默认的片头或片尾画面，并可自定义片头片尾显示时长，最高不超过10秒；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14.支持对录制、互动两个使用场景分别配置音频设置参数。并可在对应使用场景自动生效；</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15.支持对录播主机任意线性音频输入通道做单独配置，提供无线MIC或多媒体设备等多种类型选择，支持对音频比特率与采样率进行配置，保障音频效果；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16.支持不少于4路RTMP同步推流直播，并要求自定义选择主码流或子码流信号源进行推流，实现多流直播；</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17.支持自定义直播分辨率和码率，最高支持1080P@30FPS，以适应不同网络环境下保持直播的流畅性；</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18.要求支持RTMP直播、TS直播、集控推流直播等不少于3种不同直播模式，以适应不同场景直播需求；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19.要求支持H.323、SIP、BFCP、WebRTC等视音频互动协议技术，便捷进行远程互动教学应用；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20.要求支持双流互动功能，在互动通讯过程中，支持教学场景信号与电脑课件信号以互相独立的信号进行传输，并最终接收端设备可通过两路HDMI接口将接收到的教学场景画面与电脑课件画面同时分别环出到两个显示设备上；</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21.通过录播主机的网络导播界面，需支持主讲端在互动过程中对其余互动参与者的发言权限进行控制，支持单人禁言/开启以及全场禁言/开启的控制方式；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22.要求录播主机在双向互动过程中，可实现1080P@30FPS画质，并支持基于SVC技术实现在不同网络状况下的画面质量自适应；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23.要求录播主机支持呼叫应答设置，默认支持自动应答与勾选手动应答两种方式以满足在专递课堂场景下听讲端的自动入会，以及在其余场景下录播教室内的用户接收到互动申请可自主选择是否加入会议的情况；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24.要求录播主机在录制和直播状态下也能满足AI实时分析能力，在正常课堂录制结束后的1分钟内可在后台查看并下载分析报告；</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25.要求录播主机的AI分析报告下载内容支持自定义维度选择，包括但不限于教学准备能力与教学实施能力。</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90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C3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D997">
            <w:pPr>
              <w:jc w:val="center"/>
              <w:rPr>
                <w:rFonts w:ascii="宋体" w:hAnsi="宋体" w:eastAsia="宋体" w:cs="宋体"/>
                <w:color w:val="000000"/>
                <w:sz w:val="20"/>
                <w:szCs w:val="20"/>
              </w:rPr>
            </w:pPr>
          </w:p>
        </w:tc>
      </w:tr>
      <w:tr w14:paraId="1E9F80A2">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4DB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8E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智能课堂行为分析软件</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EF96">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一.整体要求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1.兼容对接：要求实现录播主机内置的实时课堂行为分析，同时支持与视频资源管理平台无缝对接，将数据通过平台进行展示或主机内部展示两种模式，两种模式均支持下载分析报告；</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多维分析：支持对课堂数据进行综合多维度的分析，包括“课堂师生行为时序”、“布鲁姆分析”、“理答分析”、“PPT与板书分析”、“教师讲授分析”、“姿态与情感分析”、“学生学情分析”等多维度多类型分析数据板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3.实时分析：支持对师生教学行为等维度数据进行实时统计分析，并且能在课程录制结束三分钟内将数据整合建模生成分析报告；</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4.教学环节识别：要求支持按照教学环节定义将课程视频切片，并且在视频播放进度条上有明显标签显示对应的教学环节；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5.编辑教学环节：要求支持用户可以对AI分析生成的教学环节结果自主纠偏，可以依据时间轴自主定义教学环节的时长以及更改教学环节的结论，并支持自主创建教学环节名称；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行为时序播放：支持在课程视频播放进度条显示PPT翻页的具体时间节点，同时将教师行为与学生行为的时序分布依次排列展开，点击时序图上的具体行为节点，视频将自动跳转到对应位置，方便老师快速回顾课堂教学环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二.教师教情分析要求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1.教师行为分析：支持自动分析并统计老师授课过程中的教学行为，包括但不限于“教师板书”、“教师提问”、“PPT演示”、“操作大屏”、“教师发言”等；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2.PPT分析：要求支持教师授课PPT分析，分析每页PPT所用时长；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3.课堂任务分析：要求识别PPT内留给学生课堂任务的数量，分析任务时间占比，辅助课堂教学设计评价；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4.PPT资源分析：要求支持分析PPT内的图表个数与含图片页数，辅助老师课件制作能力评价；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5.教师巡视：要求支持分析教师课堂管理能力，统计教师巡视次数与巡视时长，直观查看教师授课轨迹情况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6.教师情感表达分析：要求支持授课过程中的老师表情，并以图表的形式呈现老师从开心到平静的情感变化；</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7.S-T分析：要求支持以图表的形式分析课堂过程中的师生行为，观察教师的课堂环节设计与师生互动情况；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三.学生学情分析要求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1.学生行为分析：要求支持自动分析并统计学生课堂过程中的学习行为，包括但不限于“多人站立”、“多人抬头”、“学生上台”等。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2.学生抬头率分析：要求支持分析学生的抬头率情况，提供最高抬头率以及平均抬头率，并用图表的形式呈现以辅助课堂纪律评价；</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3.学生专注分析：要求支持统计在不同场景下学生的抬头率情况，如教师板书时、教师PPT授课时，并呈现不同环节的抬头率比例；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4.学生站立分析：要求支持统计课堂过程中学生站立的总时长以及时长占比情况，辅助教师判断课堂活跃。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5.学生低头分析：要求支持整堂课学生的低头时长统计，并支持展示低头时间点的具体截图。</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43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点</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A97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2CD2">
            <w:pPr>
              <w:jc w:val="center"/>
              <w:rPr>
                <w:rFonts w:ascii="宋体" w:hAnsi="宋体" w:eastAsia="宋体" w:cs="宋体"/>
                <w:color w:val="000000"/>
                <w:sz w:val="20"/>
                <w:szCs w:val="20"/>
              </w:rPr>
            </w:pPr>
          </w:p>
        </w:tc>
      </w:tr>
      <w:tr w14:paraId="28E9DFE4">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D9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798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智能语音分析软件</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E90A">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1.教师提问情况分析：支持基于课堂语音识别能力进行教师课堂提问行为分析，从提问数量与高级认知提问比例两个核心维度进行数据统计，实现课堂提问情况的清晰回顾。</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2.教师语速分析：支持通过语音识别能力进行教师课堂授课语速分析，呈现数据需包括整体语速的变化图以及平均语速结论；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3.课堂语音转写：要求基于语音语义识别完成课堂音频的文字转换，实现课堂教学过程语音全纪录，要求平台上可输出整节课的文字字幕。并支持由上课老师课后自主编辑转写文本实现纠偏；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4.课堂高频词分析：支持通过AI语音识别能力以及视觉分析能力，抓取授课过程中出现的高频词汇，并统计出现频次以及出现来源，包括但不限于PPT、板书、教师音频，精准判断课堂教学重点；</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5.课堂语气词分析：支持通过进行课堂语音识别，判断老师教学过程中出现的常规语气词出现频次，如“呐”，“嘛”，等语气词，辅助老师调整教学过程中的不良习惯；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6.教师普通话分析：要求支持对教师授课音频进行自适应分段，并分析每个段落教师授课过程中的普通话水平、语速、音量以及关键词；</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7.教师音量分析：要求支持分析本堂课教师平均的授课音量，以及根据时间推移呈现音量波动的变化图表；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8.学生音量分析：要求支持分析本堂课学生听课的平均音量，以及根据时间推移呈现音量波动的变化图表；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9.理答类型分析：要求支持对教师课堂理答情况进行分析，支持统计教师提问次数、抽答次数、追问次数，并可以获取每个问题以时间轴的形式记录在什么时间提问；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10.教师追问分析：要求支持分析教师追问类型与次数，并标记具体在第几次提问时发起追问，对追问内容分析是否对学生有诱发思考的作用并统计次数；</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3D5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点</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144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2147">
            <w:pPr>
              <w:jc w:val="center"/>
              <w:rPr>
                <w:rFonts w:ascii="宋体" w:hAnsi="宋体" w:eastAsia="宋体" w:cs="宋体"/>
                <w:color w:val="000000"/>
                <w:sz w:val="20"/>
                <w:szCs w:val="20"/>
              </w:rPr>
            </w:pPr>
          </w:p>
        </w:tc>
      </w:tr>
      <w:tr w14:paraId="3CEC4B68">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EBD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84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学生高清摄像机（云镜）</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09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1.传感器类型：CMOS、1/2.5英寸</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2.采用逐行扫描模式，有效像素不低于1100万。</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3.采用了2D和基于运动估计的3D降噪算法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4.最大水平视场角不小于80°，最大垂直视场角不小于50°</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5.网络接口：RJ45接口≥1，10/100/1000M自适应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6.视频接口：D-Video数字视频接口（RJ45）≥1</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7.编码技术：视频H.264/H.265</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8.支持DC12V电源适配器供电与RJ45双绞线供电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9.要求摄像机与录播主机为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10.摄像机传输处理软件采用B/S架构，支持通用浏览器直接访问进行管理。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11.支持网络参数设置与修改，支持一键恢复默认参数。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12.支持曝光模式设置功能，包括自动、手动。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13.支持抗闪烁频率、动态范围、光圈、快门参数设置。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14.支持自动白平衡设置功能，红、蓝增益可调。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15.支持噪声抑制设置功能，支持2D、3D降噪。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16.支持摄像机图像质量调节功能，包括亮度、对比度、色调、饱和度。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17.提供高清摄像机传输处理软件相关的检测报告复印件。</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66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56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DC48">
            <w:pPr>
              <w:jc w:val="center"/>
              <w:rPr>
                <w:rFonts w:ascii="宋体" w:hAnsi="宋体" w:eastAsia="宋体" w:cs="宋体"/>
                <w:color w:val="000000"/>
                <w:sz w:val="20"/>
                <w:szCs w:val="20"/>
              </w:rPr>
            </w:pPr>
          </w:p>
        </w:tc>
      </w:tr>
      <w:tr w14:paraId="7487A0A4">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6B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D0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教师高清摄像机（云镜）</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21DD6">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1.传感器类型：CMOS、1/2.5英寸</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2.采用逐行扫描模式，有效像素不低于1100万。</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3.采用了2D和基于运动估计的3D降噪算法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4.最大水平视场角不小于47°，最大垂直视场角不小于27°</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5.网络接口：RJ45接口≥1，10/100/1000M自适应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6.视频接口：D-Video数字视频接口（RJ45）≥1</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7.编码技术：视频H.264/H.265</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8.支持DC12V电源适配器供电与RJ45双绞线供电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9.支持电子云镜技术，单镜头拍摄可输出“全景”、“特写”双信号画面至录播主机选择录制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10.要求摄像机与录播主机为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11.摄像机传输处理软件采用B/S架构，支持通用浏览器直接访问进行管理。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12.支持网络参数设置与修改，支持一键恢复默认参数。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13.支持曝光模式设置功能，包括自动、手动。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14.支持抗闪烁频率、动态范围、光圈、快门参数设置。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15.支持自动白平衡设置功能，红、蓝增益可调。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16.支持噪声抑制设置功能，支持2D、3D降噪。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17.支持摄像机图像质量调节功能，包括亮度、对比度、色调、饱和度。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18.提供高清摄像机传输处理软件相关的检测报告复印件。</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345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32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12E1">
            <w:pPr>
              <w:jc w:val="center"/>
              <w:rPr>
                <w:rFonts w:ascii="宋体" w:hAnsi="宋体" w:eastAsia="宋体" w:cs="宋体"/>
                <w:color w:val="000000"/>
                <w:sz w:val="20"/>
                <w:szCs w:val="20"/>
              </w:rPr>
            </w:pPr>
          </w:p>
        </w:tc>
      </w:tr>
      <w:tr w14:paraId="5194129B">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13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6E3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壁挂式触控面板</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9C9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1.硬件设计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1）支持壁挂式上墙部署；</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2）具备10.1英寸1280*800高清全视角显示屏幕；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3）存储性能：缓存容量不小于2G,存储容量不小于16G；</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4）操作系统 ：Android 11及以上版本；</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5）接口类型：USB≥1， 网络接口≥1，串口RS232≥1；</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2.整体设计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1）▲控制方式：支持通过网络连接进行录播主机的管理、控制；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2）电源管理：支持控制录播主机的关机、休眠、唤醒操作；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3）▲集成录课模式控制、互动模式控制、录像资源管理等控制应用；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3.录课模式控制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1）支持通过触控面板实时预览录制信号画面，进行导播操作；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2）支持录制开始/停止、录制暂停/恢复、直播开启/关闭、电脑画面锁定/解锁等功能操作；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3）支持常用键位设置，可设置各镜头快速切换、画面布局等相关录课操作常用键位；</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4.互动模式控制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1）▲支持通讯录呼叫功能，读取显示录播主机通讯录，并能够通过通讯录进行快速呼叫；</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2）支持快速拨号呼叫功能，输入用户短号实现快速呼叫；</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3）支持通过触控面板实时预览互动信号画面，实现直观互动控制；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4）支持互动过程的录制、暂停、直播等操作；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5）支持互动过程的自动导播控制、互动导播画面自由选择控制功能；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5.录像资源管理控制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1）▲支持录像资源管理，通过导播控制软件直观呈现当前录播主机的录像资源信息，并支持选择相关的录课资源进行回放；</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2）支持录制资源下载操作，将文件下载至U盘进行移动共享。</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D5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BF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30B5A">
            <w:pPr>
              <w:jc w:val="center"/>
              <w:rPr>
                <w:rFonts w:ascii="宋体" w:hAnsi="宋体" w:eastAsia="宋体" w:cs="宋体"/>
                <w:color w:val="000000"/>
                <w:sz w:val="20"/>
                <w:szCs w:val="20"/>
              </w:rPr>
            </w:pPr>
          </w:p>
        </w:tc>
      </w:tr>
      <w:tr w14:paraId="1A2FC621">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43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9A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拾音话筒</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63AC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1.指向性：超心型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2.频率响应：40Hz—16kHz</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3.灵敏度≥-7dB±1dB</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4.最大声压级≥110dB</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5.信噪比≥62dB</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6.动态范围≥78.5dB</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7.使用电源：麦克风一线通供电</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8.输出接口：RJ45，数字音频接口</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810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支</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F3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00FD">
            <w:pPr>
              <w:jc w:val="center"/>
              <w:rPr>
                <w:rFonts w:ascii="宋体" w:hAnsi="宋体" w:eastAsia="宋体" w:cs="宋体"/>
                <w:color w:val="000000"/>
                <w:sz w:val="20"/>
                <w:szCs w:val="20"/>
              </w:rPr>
            </w:pPr>
          </w:p>
        </w:tc>
      </w:tr>
      <w:tr w14:paraId="7193F4B9">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06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E0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机柜</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8BC89">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通用型</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CF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D05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6766">
            <w:pPr>
              <w:jc w:val="center"/>
              <w:rPr>
                <w:rFonts w:ascii="宋体" w:hAnsi="宋体" w:eastAsia="宋体" w:cs="宋体"/>
                <w:color w:val="000000"/>
                <w:sz w:val="20"/>
                <w:szCs w:val="20"/>
              </w:rPr>
            </w:pPr>
          </w:p>
        </w:tc>
      </w:tr>
      <w:tr w14:paraId="1F10F57E">
        <w:tblPrEx>
          <w:tblCellMar>
            <w:top w:w="0" w:type="dxa"/>
            <w:left w:w="108" w:type="dxa"/>
            <w:bottom w:w="0" w:type="dxa"/>
            <w:right w:w="108" w:type="dxa"/>
          </w:tblCellMar>
        </w:tblPrEx>
        <w:trPr>
          <w:trHeight w:val="400" w:hRule="atLeast"/>
        </w:trPr>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62B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20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线材</w:t>
            </w:r>
          </w:p>
        </w:tc>
        <w:tc>
          <w:tcPr>
            <w:tcW w:w="3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697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满足系统布线需求</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E3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批</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C0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595E">
            <w:pPr>
              <w:jc w:val="center"/>
              <w:rPr>
                <w:rFonts w:ascii="宋体" w:hAnsi="宋体" w:eastAsia="宋体" w:cs="宋体"/>
                <w:color w:val="000000"/>
                <w:sz w:val="20"/>
                <w:szCs w:val="20"/>
              </w:rPr>
            </w:pPr>
          </w:p>
        </w:tc>
      </w:tr>
    </w:tbl>
    <w:p w14:paraId="1C206B3E">
      <w:pPr>
        <w:rPr>
          <w:rFonts w:ascii="Times New Roman" w:hAnsi="Times New Roman" w:eastAsia="方正小标宋_GBK" w:cs="Times New Roman"/>
          <w:sz w:val="28"/>
          <w:szCs w:val="28"/>
        </w:rPr>
      </w:pPr>
      <w:r>
        <w:rPr>
          <w:rFonts w:ascii="Times New Roman" w:hAnsi="Times New Roman" w:eastAsia="方正小标宋_GBK" w:cs="Times New Roman"/>
          <w:sz w:val="28"/>
          <w:szCs w:val="28"/>
        </w:rPr>
        <w:br w:type="page"/>
      </w:r>
    </w:p>
    <w:p w14:paraId="7A32BC2D">
      <w:pPr>
        <w:jc w:val="center"/>
        <w:rPr>
          <w:rFonts w:ascii="Times New Roman" w:hAnsi="Times New Roman" w:eastAsia="方正小标宋_GBK" w:cs="Times New Roman"/>
          <w:sz w:val="28"/>
          <w:szCs w:val="28"/>
        </w:rPr>
      </w:pPr>
      <w:r>
        <w:rPr>
          <w:rFonts w:hint="eastAsia" w:ascii="Times New Roman" w:hAnsi="Times New Roman" w:eastAsia="方正小标宋_GBK" w:cs="Times New Roman"/>
          <w:sz w:val="28"/>
          <w:szCs w:val="28"/>
        </w:rPr>
        <w:t>物理课程基地</w:t>
      </w:r>
      <w:r>
        <w:rPr>
          <w:rFonts w:ascii="Times New Roman" w:hAnsi="Times New Roman" w:eastAsia="方正小标宋_GBK" w:cs="Times New Roman"/>
          <w:sz w:val="28"/>
          <w:szCs w:val="28"/>
        </w:rPr>
        <w:t>清单</w:t>
      </w:r>
    </w:p>
    <w:tbl>
      <w:tblPr>
        <w:tblStyle w:val="31"/>
        <w:tblW w:w="5031" w:type="pct"/>
        <w:tblInd w:w="0" w:type="dxa"/>
        <w:tblLayout w:type="fixed"/>
        <w:tblCellMar>
          <w:top w:w="0" w:type="dxa"/>
          <w:left w:w="108" w:type="dxa"/>
          <w:bottom w:w="0" w:type="dxa"/>
          <w:right w:w="108" w:type="dxa"/>
        </w:tblCellMar>
      </w:tblPr>
      <w:tblGrid>
        <w:gridCol w:w="560"/>
        <w:gridCol w:w="1102"/>
        <w:gridCol w:w="5417"/>
        <w:gridCol w:w="546"/>
        <w:gridCol w:w="842"/>
        <w:gridCol w:w="764"/>
      </w:tblGrid>
      <w:tr w14:paraId="1FC09643">
        <w:tblPrEx>
          <w:tblCellMar>
            <w:top w:w="0" w:type="dxa"/>
            <w:left w:w="108" w:type="dxa"/>
            <w:bottom w:w="0" w:type="dxa"/>
            <w:right w:w="108" w:type="dxa"/>
          </w:tblCellMar>
        </w:tblPrEx>
        <w:trPr>
          <w:trHeight w:val="403" w:hRule="atLeast"/>
          <w:tblHeader/>
        </w:trPr>
        <w:tc>
          <w:tcPr>
            <w:tcW w:w="303"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4B5CE8B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序号</w:t>
            </w:r>
          </w:p>
        </w:tc>
        <w:tc>
          <w:tcPr>
            <w:tcW w:w="597"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75C6D13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名称</w:t>
            </w:r>
          </w:p>
        </w:tc>
        <w:tc>
          <w:tcPr>
            <w:tcW w:w="2934"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569B0B6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规格型号参数</w:t>
            </w:r>
          </w:p>
        </w:tc>
        <w:tc>
          <w:tcPr>
            <w:tcW w:w="29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281AEA6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单位</w:t>
            </w:r>
          </w:p>
        </w:tc>
        <w:tc>
          <w:tcPr>
            <w:tcW w:w="45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11DD3B1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数量</w:t>
            </w:r>
          </w:p>
        </w:tc>
        <w:tc>
          <w:tcPr>
            <w:tcW w:w="414"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5374CBA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备注</w:t>
            </w:r>
          </w:p>
        </w:tc>
      </w:tr>
      <w:tr w14:paraId="5B9948E5">
        <w:tblPrEx>
          <w:tblCellMar>
            <w:top w:w="0" w:type="dxa"/>
            <w:left w:w="108" w:type="dxa"/>
            <w:bottom w:w="0" w:type="dxa"/>
            <w:right w:w="108" w:type="dxa"/>
          </w:tblCellMar>
        </w:tblPrEx>
        <w:trPr>
          <w:trHeight w:val="400" w:hRule="atLeast"/>
        </w:trPr>
        <w:tc>
          <w:tcPr>
            <w:tcW w:w="4585"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3A380D3">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一、基础建设</w:t>
            </w:r>
          </w:p>
        </w:tc>
        <w:tc>
          <w:tcPr>
            <w:tcW w:w="414"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692489A2">
            <w:pPr>
              <w:widowControl/>
              <w:jc w:val="left"/>
              <w:textAlignment w:val="center"/>
              <w:rPr>
                <w:rFonts w:hint="eastAsia" w:ascii="宋体" w:hAnsi="宋体" w:eastAsia="宋体" w:cs="宋体"/>
                <w:b/>
                <w:bCs/>
                <w:color w:val="000000"/>
                <w:kern w:val="0"/>
                <w:sz w:val="20"/>
                <w:szCs w:val="20"/>
              </w:rPr>
            </w:pPr>
          </w:p>
        </w:tc>
      </w:tr>
      <w:tr w14:paraId="3B6DB787">
        <w:tblPrEx>
          <w:tblCellMar>
            <w:top w:w="0" w:type="dxa"/>
            <w:left w:w="108" w:type="dxa"/>
            <w:bottom w:w="0" w:type="dxa"/>
            <w:right w:w="108" w:type="dxa"/>
          </w:tblCellMar>
        </w:tblPrEx>
        <w:trPr>
          <w:trHeight w:val="400" w:hRule="atLeast"/>
        </w:trPr>
        <w:tc>
          <w:tcPr>
            <w:tcW w:w="4585"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33B8D1A">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1.课程实践区</w:t>
            </w:r>
          </w:p>
        </w:tc>
        <w:tc>
          <w:tcPr>
            <w:tcW w:w="414"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C0FD9FE">
            <w:pPr>
              <w:widowControl/>
              <w:jc w:val="left"/>
              <w:textAlignment w:val="center"/>
              <w:rPr>
                <w:rFonts w:hint="eastAsia" w:ascii="宋体" w:hAnsi="宋体" w:eastAsia="宋体" w:cs="宋体"/>
                <w:b/>
                <w:bCs/>
                <w:color w:val="000000"/>
                <w:kern w:val="0"/>
                <w:sz w:val="20"/>
                <w:szCs w:val="20"/>
              </w:rPr>
            </w:pPr>
          </w:p>
        </w:tc>
      </w:tr>
      <w:tr w14:paraId="60FF6F0A">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C9A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5C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实验桌（教师演示台）</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B10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整体规格：≥2500mm×700mm×900mm，由3个储物柜，抽屉架组成。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1、台面：采用≥13.0mm厚优抗板台面，由专业生产厂家用CNC机械加工而成；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2、储物柜：柜体均为全钢结构，采用≥1.0mm厚冷轧钢板，表层经酸洗、磷化、环氧树脂粉末喷涂等工艺加工生产，接缝处无焊点，表面平整光滑，耐酸碱，防腐蚀；边缘做倒角设计，可防止磕碰；柜门：主体采用双层冷轧钢板装配成型，内附蜂窝状瓦楞纸防噪填充，柜门内侧装有起缓冲作用防撞贴，门板面板内嵌ABS塑料拉手；活动层板：柜体内设有活动层板，采用≥1.0mm厚冷轧钢板制作，配合至少4个塑料支撑扣调整上下高度，调节孔距≥50mm，承重≥20KG；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抽屉架：主体采用≥1.0mm厚冷轧钢板，表层经酸洗、磷化、环氧树脂粉末喷涂等工艺加工生产，接缝处无焊点，表面平整光滑，耐酸碱，防腐蚀；边缘做倒角设计，可防止磕碰；内置2个内部规格：≥314mm×352mm×126mm抽屉，抽头均为双层结构，内附蜂窝状瓦楞纸防噪填充，采用三节静音导轨，配备阻尼滑道，抽头内嵌塑料拉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4、可调脚：桌体底部配备≥50mm高钢制PP注塑调节地脚，减震防滑。</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11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7B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06529">
            <w:pPr>
              <w:jc w:val="center"/>
              <w:rPr>
                <w:rFonts w:ascii="宋体" w:hAnsi="宋体" w:eastAsia="宋体" w:cs="宋体"/>
                <w:color w:val="000000"/>
                <w:sz w:val="20"/>
                <w:szCs w:val="20"/>
              </w:rPr>
            </w:pPr>
          </w:p>
        </w:tc>
      </w:tr>
      <w:tr w14:paraId="57CA3A70">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95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6C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实验桌（学生）</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0BE9">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1、规格：≥1200mm（L）×600mm（W）×780mm（H）；实验桌整体符合人体工程学设计，外表为流线形工业设计，简洁时尚。</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实验室专用陶瓷台面，厚度为≥20mm，采用一体实芯黑色坯体一体烧制釉面，具备无空洞、无杂色、无脱层、釉面与坯体呈一体结构的特点；该台面为实验室专用，需满足无甲醛释放、耐化学腐蚀、耐划痕、耐污染等性能要求；在靠近人体操作边缘处有一条与台面一体成型（非后期二次开槽）的功能性凹槽，其宽度≥11.7mm，深度≥1.25mm，储水量≥15.5ml，能够有效阻水和缓冲，同时能够对实验试管、玻璃棒、小球等易滚动器材进行缓冲阻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桌体框架：铸铝/塑铝结构；通过桌体上端两侧支架、立柱连接铸铝桌脚，形成“Z”字造型，使桌体具有强承重性及高稳定性；桌体所有接触人体的边棱均无锐利的棱角、毛刺；桌体表面经环氧树脂粉体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4、上端两侧支架：铸铝模具成型，规格≥570mm×55mm×80mm选用铝锭ADC12，经酸洗磷化前处理，表面经环氧树脂粉喷涂处理，耐腐蚀。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5、桌脚/脚垫：铸铝模具成型，规格≥525mm×60mm×110mm；选用铝锭ADC12，经酸洗磷化前处理，表面经环氧树脂粉喷涂处理，耐腐蚀。脚垫高度可调，耐磨、防潮、防滑。</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6、立柱：规格≥620mm×80mm×50mm；铝材挤出成型，经酸洗磷化前处理，表面经环氧树脂粉体喷涂处理，耐腐蚀。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7、主横梁：采用”8”字型铝材挤出成型，规格≥1080mm×19mm×80mm，经酸洗磷化前处理，表面经环氧树脂粉喷涂处理，耐腐蚀。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8、后挡条：铝材挤出成型，规格≥1068mm×80×16mm；连接左右两侧注塑模具成型ABS材质固定卡位，防止台面物品滑落；经酸洗磷化前处理，表面经环氧树脂粉喷涂处理，耐腐蚀。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9、书包斗：规格≥400mm×330mm×162mm，采用ABS塑料一次注塑成型；书包斗前端预留学生凳挂靠口，上翘工艺设计，两书包斗中间预留放置不同功能学生电源的空间，具有隐蔽性；固定挂架采用镀锌方钢，防腐防锈。</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D9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1CC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18</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5689A">
            <w:pPr>
              <w:jc w:val="center"/>
              <w:rPr>
                <w:rFonts w:ascii="宋体" w:hAnsi="宋体" w:eastAsia="宋体" w:cs="宋体"/>
                <w:color w:val="000000"/>
                <w:sz w:val="20"/>
                <w:szCs w:val="20"/>
              </w:rPr>
            </w:pPr>
          </w:p>
        </w:tc>
      </w:tr>
      <w:tr w14:paraId="4D839530">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F2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F2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实验凳</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F610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1.规格：≥φ300mm×440mm。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2.凳面：采用ABS环保材质一体注塑成型，防摔耐磨。人体工程学设计，中间有内弧成型，深度≥8mm。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3.升降式螺杆：直径≥20mm螺纹碳钢，配合高强度钢制托盘于凳面底部固定。</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支持调节凳子高度，升降≥50mm。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4.钢脚架：由壁厚≥1.2mm椭圆形钢管及壁厚≥2mm圆钢管焊接组成，表面经高温烤漆处理。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5.脚垫：塑胶材质，采用PP一体注塑成型，防水防滑。</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A8B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F4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36</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ADE3">
            <w:pPr>
              <w:jc w:val="center"/>
              <w:rPr>
                <w:rFonts w:ascii="宋体" w:hAnsi="宋体" w:eastAsia="宋体" w:cs="宋体"/>
                <w:color w:val="000000"/>
                <w:sz w:val="20"/>
                <w:szCs w:val="20"/>
              </w:rPr>
            </w:pPr>
          </w:p>
        </w:tc>
      </w:tr>
      <w:tr w14:paraId="6738B461">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F3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6BF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物理教室专用授课设备</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FE0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一、整机要求：</w:t>
            </w:r>
          </w:p>
          <w:p w14:paraId="7E0E366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采用全金属外壳，三拼接平面一体化设计，屏幕边缘采用圆角包边防护，整机背板采用金属材质，无推拉式结构，外部无任何可见内部功能模块连接线。主副屏过渡平滑，中间无单独边框阻隔，宽≥4500mm，高≥1350mm，厚≤102mm。</w:t>
            </w:r>
          </w:p>
          <w:p w14:paraId="024AABF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2.屏幕采用98英寸液晶显示器，采用超高清LED液晶显示屏，显示比例16:9，分辨率3840×2160。主屏支持普通粉笔直接书写。整机两侧副屏可支持以下媒介（普通粉笔、液体粉笔、成膜笔）进行板书书写。</w:t>
            </w:r>
          </w:p>
          <w:p w14:paraId="05B3441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3.嵌入式系统版本不低于Android 13，内存≥2GB，存储空间≥8GB。</w:t>
            </w:r>
          </w:p>
          <w:p w14:paraId="49483D1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4.采用红外触控方式。</w:t>
            </w:r>
          </w:p>
          <w:p w14:paraId="735D5DB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5.整机背光系统支持DC调光方式，多级亮度调节，支持白颜色背景下最暗亮度≤100nit，用于提升显示对比度。</w:t>
            </w:r>
          </w:p>
          <w:p w14:paraId="5FE0318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6.整机支持色彩空间可选，包含标准模式和sRGB模式，在sRGB模式下可做到高色准△E≤1。</w:t>
            </w:r>
          </w:p>
          <w:p w14:paraId="36D90D5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7.整机全通道支持纸质护眼模式，可实现画面纹理的实时调整；支持纸质纹理：牛皮纸、素描纸、宣纸、水彩纸、水纹纸；支持透明度调节；支持色温调节。</w:t>
            </w:r>
          </w:p>
          <w:p w14:paraId="3FE1A1C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8.整机具备至少6个前置按键，可实现开关机、调出中控菜单、音量+/-、护眼、录屏操作。（提供国家认可的第三方权威检测机构出具的权威检测报告）</w:t>
            </w:r>
          </w:p>
          <w:p w14:paraId="4E07A9E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9.整机关机状态下，通过长按电源键进入设置界面后，可点击屏幕选择恢复Android系统及Windows操作系统到出厂默认状态，无需额外工具辅助。</w:t>
            </w:r>
          </w:p>
          <w:p w14:paraId="170DEA9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10.支持云端在线系统固件升级。</w:t>
            </w:r>
          </w:p>
          <w:p w14:paraId="0BEE983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11.整机安卓和全部外接通道（HDMI、Type-c）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p>
          <w:p w14:paraId="5B52A0F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12.整机Windows通道支持文件传输应用，支持通过扫码、wifi直联、超声三种方式与手机进行握手连接，实现文件传输功能。</w:t>
            </w:r>
          </w:p>
          <w:p w14:paraId="0BF610E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13.整机支持手笔分离，通过提笔即写唤醒批注功能后，可进行手笔分离功能，使用笔正常书写，使用手指可以操作应用，进行点击操作。</w:t>
            </w:r>
          </w:p>
          <w:p w14:paraId="79F33A5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14.整机支持提笔书写，在Windows系统下可实现无需点击任意功能入口，当检测到红外笔笔尖接触屏幕时，自动进入书写模式。</w:t>
            </w:r>
          </w:p>
          <w:p w14:paraId="0312264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15.整机触摸支持动态压力感应，支持无任何电子功能的普通书写笔在整机上书写或点压时，整机能感应压力变化，书写或点压过程笔迹呈现不同粗细。</w:t>
            </w:r>
          </w:p>
          <w:p w14:paraId="6A5413D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二、 扬声器与摄像头</w:t>
            </w:r>
          </w:p>
          <w:p w14:paraId="3689FDF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1.整机内置2.2声道扬声器，具备多方向扬声器，额定总功率60W。</w:t>
            </w:r>
          </w:p>
          <w:p w14:paraId="66E0DBE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2.支持标准、听力、观影和AI空间感知音效模式，AI空间感知音效模式可通过内置麦克风采集教室物理环境声音，自动生成符合当前教室物理环境的频段、音量、音效。</w:t>
            </w:r>
          </w:p>
          <w:p w14:paraId="5B61DBD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3.整机内置非独立外扩展的8阵列麦克风，拾音角度≥180°，可用于对教室环境音频进行采集，拾音距离≥12m。</w:t>
            </w:r>
          </w:p>
          <w:p w14:paraId="543C225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4.整机上边框内置非独立摄像头，采用一体化集成设计，摄像头数量≥4个。内置至少三个摄像头，像素值均大于800 万。</w:t>
            </w:r>
          </w:p>
          <w:p w14:paraId="21FE763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5.整机上边框内置非独立式广角高清摄像头，视场角≥142度且水平视场角≥121度，支持输出4:3、16:9比例的图片和视频；在清晰度为2592 x 1944分辨率下，支持30帧的视频输出。</w:t>
            </w:r>
          </w:p>
          <w:p w14:paraId="3A0AEE0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6.为了便于教师实时查看班级情况，整机上边框内置摄像头，视场角≥141度且水平视场角≥139度，支持画面畸变矫正功能。</w:t>
            </w:r>
          </w:p>
          <w:p w14:paraId="505B7E8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三、物联功能</w:t>
            </w:r>
          </w:p>
          <w:p w14:paraId="6110F88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1.整机支持蓝牙Bluetooth 5.4标准，支持版本Wi-Fi6。</w:t>
            </w:r>
          </w:p>
          <w:p w14:paraId="631B087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2.内置双WiFi6无线网卡（不接受外接），在Android和Windows系统下，可实现Wi-Fi无线上网连接、AP无线热点发射。</w:t>
            </w:r>
          </w:p>
          <w:p w14:paraId="1F20AAA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3.整机内置双WiFi6无线网卡（不接受外接），在Android下支持无线设备同时连接数量≥32个，在Windows系统下支持无线设备同时连接≥8个； </w:t>
            </w:r>
          </w:p>
          <w:p w14:paraId="433E9D7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4.整机支持发出频率为18kHz-22kHz超声波信号，智能手机通过麦克风接收后，智能手机与整机无需在同一局域网内，可实现配对，一键投屏，用户无需手动输入投屏码或扫码获取投屏码； </w:t>
            </w:r>
          </w:p>
          <w:p w14:paraId="542B697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5.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 </w:t>
            </w:r>
          </w:p>
          <w:p w14:paraId="207A03E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四、教学桌面</w:t>
            </w:r>
          </w:p>
          <w:p w14:paraId="03F375B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1.整机设备开机启动后，自动进入教学桌面，支持账号登录、退出，自动获取个人云端教学课件列表，并可进入全部课件列表。</w:t>
            </w:r>
          </w:p>
          <w:p w14:paraId="2DF73F4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2.整机设备教学桌面支持教学白板软件和文件管理软件；教学桌面首页支持自定义桌面应用，支持展示8个应用入口，并提供进入本机所有应用的入口。</w:t>
            </w:r>
          </w:p>
          <w:p w14:paraId="0142515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3.整机设备可将应用编辑到教学桌面首页，编辑方式支持从教学桌面首页进入编辑，支持在全部应用列表中进入编辑 2 种方式。教学桌面首页应用支持无需进入应用编辑页面，在首页指定应用上长按进行移除。</w:t>
            </w:r>
          </w:p>
          <w:p w14:paraId="68366CC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4.整机设备教学桌面支持推荐应用，推荐应用支持移除。整机设备教学桌面支持进行应用卸载。（提供国家认可的第三方权威检测机构出具的权威检测报告）</w:t>
            </w:r>
          </w:p>
          <w:p w14:paraId="0AF93FF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5.整机设备教学桌面支持进行壁纸编辑，内置10张以上壁纸，并支持自定义壁纸。</w:t>
            </w:r>
          </w:p>
          <w:p w14:paraId="17184C0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五、OPS模块</w:t>
            </w:r>
          </w:p>
          <w:p w14:paraId="1A28E20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1.处理器：Intel Core i5 及以上，内存：≥8G ，硬盘≥256G SSD 固态硬盘，采用抽拉内置式模块化电脑，抽拉内置式，PC模块可插入整机，可实现无单独接线的插拔。</w:t>
            </w:r>
          </w:p>
          <w:p w14:paraId="2D74500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2.具有独立非外拓展的视频输出接口：≥1 路 HDMI。具有独立非外拓展的电脑 USB 接口：至少具备 3个USB3.0 接口。</w:t>
            </w:r>
          </w:p>
          <w:p w14:paraId="622F17C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3.为保证设备使用稳定性及兼容性，要求班班通与OPS模块必须为厂家，提供证明文件。</w:t>
            </w:r>
          </w:p>
          <w:p w14:paraId="43B0E59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六、教学软件</w:t>
            </w:r>
          </w:p>
          <w:p w14:paraId="7464D50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1.能够为教师提供云存储空间，教师可在个人云空间中上传存储互动课件、云教案和其他教学资源。</w:t>
            </w:r>
          </w:p>
          <w:p w14:paraId="5B4E55F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2.互动教学课件支持定向精准分享：分享者可将互动课件、课件组精准推送至指定接收方账号云空间，接收方可在云空间接收并打开分享课件； </w:t>
            </w:r>
          </w:p>
          <w:p w14:paraId="6744194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3.具有互动式教学课件资源，包含学科教育各学段各地区教材版本 100个。具有互动式教学课件资源，包含学科教育各学段教材版本全部教学章节、专题教育多个主题教育、特殊教育 不少于3 大分类的 100000 份的互动课件。课件支持教师在线评分。</w:t>
            </w:r>
          </w:p>
          <w:p w14:paraId="3A8A960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4.具备AI智能备课助手：能按照教学环节筛选对应课件页一键插入课件中，可导入新课、作者简介。能按照元素类型思维导图、课堂活动选取需要的部分补充课件缺失的部分。 可以在查看部分课件的同时查看对应整份课件，了解作者整体教学思路。（</w:t>
            </w:r>
          </w:p>
          <w:p w14:paraId="71A97CB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5.具备云端静默推送下载功能，无需用户手动下载即可实现应用的在线升级，升级具有信息验证机制，确保教学秩序不受干扰。</w:t>
            </w:r>
          </w:p>
          <w:p w14:paraId="0E21E52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6.AI智能纠错：软件内置的AI智能语义分析模块，可对输入的英文文本的拼写、句型、语法进行错误检查，并支持一键纠错。</w:t>
            </w:r>
          </w:p>
          <w:p w14:paraId="4560C1E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7.AI音标助手：支持浏览和插入国际音标表，可直接点击发音，支持已整表和单个音标卡片插入。支持智能将字母、单词、句子转写为音标，并可一键插入到备课课件中形成文本。</w:t>
            </w:r>
          </w:p>
          <w:p w14:paraId="2BFB0E9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8.党建微课视频：提供100节党建微课视频，包含革命篇、建设篇、改革篇、复兴篇4个篇章。微课内容可在线点播，下载至课件播放。微课视频支持视频关键帧打点标记，播放过程中可一键跳转至标记位置，同时支持一键对视频内容进行截图插入课件。</w:t>
            </w:r>
          </w:p>
          <w:p w14:paraId="596A6FC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9.内置图片处理功能，无需借助专业图片处理软件即可对课件内的图片进行快速抠图，图片主体处理后边缘无明显毛边，且处理后的图片可直接上传至教师云空间供后续复用。</w:t>
            </w:r>
          </w:p>
          <w:p w14:paraId="634EC10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10.支持对音频、视频文件进行关键帧标记，可在音、视频进度条任意位置自由设置关键帧播放节点，便于快速定位讲解关键教学内容。提供单次播放、循环播放、跨页面播放和自动播放等播放模式。跨页面播放可设置音频进行部分页面播放和全页面播放。</w:t>
            </w:r>
          </w:p>
          <w:p w14:paraId="5F4F983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11.教师可在移动平台选择是否接收获取的分享课件，接收后课件储存至个人云空间，可在移动平台的互动课件列表预览。</w:t>
            </w:r>
          </w:p>
          <w:p w14:paraId="0B90113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12.移动平台与授课端账号数据联通，可在移动端选择个人云空间内任意课件放映，授课端同步显示课件内容。</w:t>
            </w:r>
          </w:p>
          <w:p w14:paraId="30F10F2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13.支持NFC一碰投屏或直播。在局域网环境或无网环境下，可将移动端屏幕实时同步至授课显示端，同屏窗口、全屏显示方式根据移动端界面自动适配。</w:t>
            </w:r>
          </w:p>
          <w:p w14:paraId="2ADFDA8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14.提供互动课件资源库，包含学科教育、专题教育、特殊教育类课件。可获取到个人云空间，课件资源数量不低于15万份。</w:t>
            </w:r>
          </w:p>
          <w:p w14:paraId="68D0760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15.提供将Word转换为云教案的能力，支持解析文本、表格等通用元素，方便老师迁移旧教案</w:t>
            </w:r>
          </w:p>
          <w:p w14:paraId="204D528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16.提供教案模板，方便老师撰写教案，预置模板包含表格式、提纲式、集备式、多课时式、单元设计式等不少于7个。支持校本模板，管理员在教研管理后台设置校本模板后，老师可在云教案模板调用。</w:t>
            </w:r>
          </w:p>
          <w:p w14:paraId="51639FF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17.云教案内支持插入课件页，可调用云空间中的课件列表，按单页或整份插入教案。插入后的课件以窗口形式预览，可直接在窗口内进行翻页和课件元素交互，可一键全屏预览课件。</w:t>
            </w:r>
          </w:p>
          <w:p w14:paraId="75FBC26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18.支持实现信息化集体备课。可选择教案、课件、胶囊资源上传发起集备研讨，能够设置多重访问权限，可通过手机号搜索邀请外校老师，用于跨校教研场景。</w:t>
            </w:r>
          </w:p>
          <w:p w14:paraId="565DF22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19.参备人可通过评论区发表观点，可对他人评论的观点进行点赞，评论消息会实时提醒，支持图片的上传。</w:t>
            </w:r>
          </w:p>
          <w:p w14:paraId="6D1FFBC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20.参备人可在线对教案进行随文式批注，追加批注，回复以及查看实时批注消息。</w:t>
            </w:r>
          </w:p>
          <w:p w14:paraId="7F0A651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21.完成本次研讨后，主备人可直接进入编辑页面编辑课件/教案，发布新稿件后，备课组进入下一轮研讨，更新稿件后会给参备老师同步教研动态。</w:t>
            </w:r>
          </w:p>
          <w:p w14:paraId="4CD624B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22.可对集备中多稿的课件/教案/胶囊进行内容的横向对比，支持批注研。参备成员可随时获取和下载每一稿中的集备稿件到云课件，进行编辑或引用。</w:t>
            </w:r>
          </w:p>
          <w:p w14:paraId="4E4B3AD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23.研讨发起人在研讨过程中支持在线发起多人音视频研讨在线讨论，构建线上多现场同步研讨，更高效、更针对性的解决问题，研讨内容自动形成音视频记录，有效提高网络教研效率，将音视频技术与集体备课、主题研讨等常规教研活动深度融合。</w:t>
            </w:r>
          </w:p>
          <w:p w14:paraId="371D83C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24.语音研讨：主备人可以发起远程语音集备，进入语音研讨页面并共享稿件内容，提高集备的及时性与互动性，打造更高效便利的集备形式。</w:t>
            </w:r>
          </w:p>
          <w:p w14:paraId="0255472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25.集备状态：支持查看集备研讨中/未研讨中的状态，支持查看参备老师的在线状态，方便参备人及时参与语音集备，快速了解集备进度。</w:t>
            </w:r>
          </w:p>
          <w:p w14:paraId="1C987A0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26.录制语音：支持主备人录制集备研讨语音和重命名录制好的讨论记录，支持参备人收听录音回放，追溯集备内容。</w:t>
            </w:r>
          </w:p>
          <w:p w14:paraId="208EB2A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27.集备管理：支持主备人管理添加/删除参备人员和控制个人和全员语音，支持邀请参备人开麦加入研讨。支持参备人控制个人语音，保障语音集备的有序性。</w:t>
            </w:r>
          </w:p>
          <w:p w14:paraId="1D691D3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28.快速评课：支持通过手机端APP快速评课，不限校内/校外听课评课，通过选择授课老师，听课日期时间和地点即可开始评课，支持按不同评价维度进行评分和记录听课感想，支持随时回顾听课记录。</w:t>
            </w:r>
          </w:p>
          <w:p w14:paraId="6492B1A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29.直播听评课：支持授课老师发起直播听评课，使用手机进行录影，听课老师可查看课堂直播。</w:t>
            </w:r>
          </w:p>
          <w:p w14:paraId="33ECA57A">
            <w:pPr>
              <w:widowControl/>
              <w:jc w:val="left"/>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rPr>
              <w:t>30.支持通过实时音视频技术，将课堂教学现场进行实况直播，实现异地听课、评课，直播听评课结束后生成直播回放，为用户提供稳定快速的直播服务，使课堂教学研究与课堂教学同步进行，促进参与听课、评课教师的业务能力提升。</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66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AE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EA4C">
            <w:pPr>
              <w:jc w:val="center"/>
              <w:rPr>
                <w:rFonts w:ascii="宋体" w:hAnsi="宋体" w:eastAsia="宋体" w:cs="宋体"/>
                <w:color w:val="000000"/>
                <w:sz w:val="20"/>
                <w:szCs w:val="20"/>
              </w:rPr>
            </w:pPr>
          </w:p>
        </w:tc>
      </w:tr>
      <w:tr w14:paraId="33E6EC4F">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F5A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F6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智能控制电气柜</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AF19">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规格：≥680×400×1770mm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智能控制电气柜内置总电源开关1个，电源保护器1个，PLC控制器及功能扩展模块1套，PLC专用电源1个，PLC保护模块1个、急停控制系统1个，工作指示灯1个等。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（1）电源控制系统：PLC智能化控制系统集中控制，具有过载、短路等保护功能；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（2）摇臂自动控制系统：系统集中控制教室摇臂功能。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控制系统：采用工程PLC控制系统。</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（1）通信及运行状态指示灯；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（2）所有模块的输入输出端子可拆卸；</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（3）插针式连接，模块连接紧密；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（4）通用Micro SD卡，支持程序下载和PLC固件更新；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（5）集成PROFINET接口，支持程序下载、设备组网。</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控制面板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≥7寸触摸屏，集中控制系统。可执行各分项分页控制；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（1）电源控制：可实现远程分组控制学生高低压电源；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（2）摇臂控制：可实现远程控制摇臂升降机构。</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98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8F8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CC0E">
            <w:pPr>
              <w:jc w:val="center"/>
              <w:rPr>
                <w:rFonts w:ascii="宋体" w:hAnsi="宋体" w:eastAsia="宋体" w:cs="宋体"/>
                <w:color w:val="000000"/>
                <w:sz w:val="20"/>
                <w:szCs w:val="20"/>
              </w:rPr>
            </w:pPr>
          </w:p>
        </w:tc>
      </w:tr>
      <w:tr w14:paraId="5881F1C2">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E2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C4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网络智能控制系统</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4385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安装网络数据传输设备，吊装系统覆盖网络，接受智能控制。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网络线路：工程级无氧铜六类双绞线。</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2A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939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2CAB">
            <w:pPr>
              <w:jc w:val="center"/>
              <w:rPr>
                <w:rFonts w:ascii="宋体" w:hAnsi="宋体" w:eastAsia="宋体" w:cs="宋体"/>
                <w:color w:val="000000"/>
                <w:sz w:val="20"/>
                <w:szCs w:val="20"/>
              </w:rPr>
            </w:pPr>
          </w:p>
        </w:tc>
      </w:tr>
      <w:tr w14:paraId="4187A00A">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69E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5D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低压电源控制系统</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2092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通过控制面板可控制学生低压交直流电源。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1、低压交流电源2-30V/3A（2V一档）；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2、低压直流电源：1.25V-30V/3A，学生可进行微调。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吊顶安装可升降集成系统内部电气布线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1.供电线路：采用通用铜芯电线进行系统布线。</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32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6A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33AB">
            <w:pPr>
              <w:jc w:val="center"/>
              <w:rPr>
                <w:rFonts w:ascii="宋体" w:hAnsi="宋体" w:eastAsia="宋体" w:cs="宋体"/>
                <w:color w:val="000000"/>
                <w:sz w:val="20"/>
                <w:szCs w:val="20"/>
              </w:rPr>
            </w:pPr>
          </w:p>
        </w:tc>
      </w:tr>
      <w:tr w14:paraId="32B171C8">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DB6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3E6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摇臂升降机构</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CFF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摇臂升降机构接受智能控制系统信号实现远程遥控，动力为24V低压减速电机，固定于专用支架，外部保护罩为ABS工程塑料。</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支撑悬臂：采用不小于1.2mm厚≥60×50mm椭圆形铝镁合金大型模具制作而成，表面阳极氧化磨砂处理。 功能操作模块规格（长×高×厚）：不小于280×280×80mm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 1、表面圆润防止学生磕碰；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2、功能操作模块主体采用≥3.5mm厚ABS阻燃工程塑料一次注塑成型,具有防火、防潮、防锈及防漏电功能；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3、每组功能操作模块配备急停按钮，在紧急情况下快速切断设备电源，保障实验室安全。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4、功能操作面板预留电源功能模块，功能模块成田字状分布方便学生使用；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5、每组功能操作模块可满足两组学生用电功能需求。为避免学生身高无法使用电源模块，最高处电源模块中心点距离操作面板底端不得超过150mm。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6、功能接口模块包含：220V电源五孔插座、网络接口。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7、所有紧固零件均采用不锈钢材质；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8、所有功能模块均接受智能控制系统控制。</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15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E8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B478">
            <w:pPr>
              <w:jc w:val="center"/>
              <w:rPr>
                <w:rFonts w:ascii="宋体" w:hAnsi="宋体" w:eastAsia="宋体" w:cs="宋体"/>
                <w:color w:val="000000"/>
                <w:sz w:val="20"/>
                <w:szCs w:val="20"/>
              </w:rPr>
            </w:pPr>
          </w:p>
        </w:tc>
      </w:tr>
      <w:tr w14:paraId="53292447">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A7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3B0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学生低压电源</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2E26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规格：≥165×140×95mm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受控低压交流电源2-30V/3A（2V一档）（短路、过载自动保护、自动复位）；</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低压直流电源：1.25V-30V/3A，学生可进行微调；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交直流电压均采用数码显示；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所有电器产品符合国家部颁标准。</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8F4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11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18</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375C">
            <w:pPr>
              <w:jc w:val="center"/>
              <w:rPr>
                <w:rFonts w:ascii="宋体" w:hAnsi="宋体" w:eastAsia="宋体" w:cs="宋体"/>
                <w:color w:val="000000"/>
                <w:sz w:val="20"/>
                <w:szCs w:val="20"/>
              </w:rPr>
            </w:pPr>
          </w:p>
        </w:tc>
      </w:tr>
      <w:tr w14:paraId="6476AA04">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85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79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吊顶安装可升降集成系统</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F43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1、运用标准的模块化构建手段，依照实验室的特定空间状况进行精准设计安装。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2、外形及材质：采用流线型ABS工程塑料注塑成型，ABS工程塑料材质具有耐腐蚀可有效抵抗在实验室环境中化学物质的侵蚀；具有良好的绝缘性能，提高设备的电气安全性，降低短路和漏电的风险。</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E6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68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72A9">
            <w:pPr>
              <w:jc w:val="center"/>
              <w:rPr>
                <w:rFonts w:ascii="宋体" w:hAnsi="宋体" w:eastAsia="宋体" w:cs="宋体"/>
                <w:color w:val="000000"/>
                <w:sz w:val="20"/>
                <w:szCs w:val="20"/>
              </w:rPr>
            </w:pPr>
          </w:p>
        </w:tc>
      </w:tr>
      <w:tr w14:paraId="47CBDFCD">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D3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11</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AF9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系统安装辅件</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A33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采用固定横梁吊装方式，减少楼板承重，防止左右晃动，可进行上下、左右的平衡调节。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主要辅件有：矩形钢、三角构件、直角座、龙骨架连接件、吊装挂件、安装连接板等。</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91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BB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FB76">
            <w:pPr>
              <w:jc w:val="center"/>
              <w:rPr>
                <w:rFonts w:ascii="宋体" w:hAnsi="宋体" w:eastAsia="宋体" w:cs="宋体"/>
                <w:color w:val="000000"/>
                <w:sz w:val="20"/>
                <w:szCs w:val="20"/>
              </w:rPr>
            </w:pPr>
          </w:p>
        </w:tc>
      </w:tr>
      <w:tr w14:paraId="1B7B9149">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BE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48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研究单摆的运动特性</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61D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用于单摆和组合式单摆运动规律的研究，了解单摆振动周期与摆长的关系，掌握用单摆测定本地区的重力加速度，在光电计时条件下,研究单摆在大摆角状态时的运动规律。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☆钢质底座，不锈钢支架，摆线：0～1000cm；摆角范围：0～15°。</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☆单片计时装置（配光电传感器）：周期数设1～99次；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计时范围：0.0000s～999.99s，分辨率：0.1ms；</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☆设有组合式单摆阻挡棒，可做组合单摆特性研究实验。</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AC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9F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E6CC">
            <w:pPr>
              <w:jc w:val="center"/>
              <w:rPr>
                <w:rFonts w:ascii="宋体" w:hAnsi="宋体" w:eastAsia="宋体" w:cs="宋体"/>
                <w:color w:val="000000"/>
                <w:sz w:val="20"/>
                <w:szCs w:val="20"/>
              </w:rPr>
            </w:pPr>
          </w:p>
        </w:tc>
      </w:tr>
      <w:tr w14:paraId="72AFF233">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79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13</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3C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测定金属的杨氏模量实</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AA7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主要技术指标：</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1、带照明标尺；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2、采用大口径光杠杆ф50mm，带强磁保护；</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3、望远镜放大率：30x，口径：42mm；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4、带激光瞄准装置，视场角：1°26＇；</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5、视距＞200cm，视距乘常数：100；</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6、仪器高度1800MM测量架和尺读望远镜；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7、砝码7个，1000g/个；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8、螺旋测微计：1个，0-25mm；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9、杨氏模量测量相对不确定度：＜5％。</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10、卷尺：1把。</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81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B9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FAC6">
            <w:pPr>
              <w:jc w:val="center"/>
              <w:rPr>
                <w:rFonts w:ascii="宋体" w:hAnsi="宋体" w:eastAsia="宋体" w:cs="宋体"/>
                <w:color w:val="000000"/>
                <w:sz w:val="20"/>
                <w:szCs w:val="20"/>
              </w:rPr>
            </w:pPr>
          </w:p>
        </w:tc>
      </w:tr>
      <w:tr w14:paraId="4242A6E5">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95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14</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C2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气轨上研究碰撞过程中动量和能量变化</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96ED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在气垫导轨上研究瞬时速度，碰撞过程中动量和能量变化。</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1.导轨工作面长度：1.5米   全长误差≤0.1mm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2.气源：气压75.8kpa, 风量80M3/h,功率&lt;250W</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3.光电计时器：1ms档：0-0.999S±1，五位数显   10ms档：0-9.99S±1</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4.挡光片，滑块等。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5.游标卡尺：0～150mm，0.02mm。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6.电子天平：1000g，0.01g。</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8C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307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5180">
            <w:pPr>
              <w:jc w:val="center"/>
              <w:rPr>
                <w:rFonts w:ascii="宋体" w:hAnsi="宋体" w:eastAsia="宋体" w:cs="宋体"/>
                <w:color w:val="000000"/>
                <w:sz w:val="20"/>
                <w:szCs w:val="20"/>
              </w:rPr>
            </w:pPr>
          </w:p>
        </w:tc>
      </w:tr>
      <w:tr w14:paraId="50DF1F8A">
        <w:tblPrEx>
          <w:tblCellMar>
            <w:top w:w="0" w:type="dxa"/>
            <w:left w:w="108" w:type="dxa"/>
            <w:bottom w:w="0" w:type="dxa"/>
            <w:right w:w="108" w:type="dxa"/>
          </w:tblCellMar>
        </w:tblPrEx>
        <w:trPr>
          <w:trHeight w:val="400" w:hRule="atLeast"/>
        </w:trPr>
        <w:tc>
          <w:tcPr>
            <w:tcW w:w="4585"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A9018A7">
            <w:pPr>
              <w:widowControl/>
              <w:jc w:val="left"/>
              <w:textAlignment w:val="center"/>
              <w:rPr>
                <w:rFonts w:hint="default" w:ascii="宋体" w:hAnsi="宋体" w:eastAsia="宋体" w:cs="宋体"/>
                <w:b/>
                <w:bCs/>
                <w:color w:val="000000"/>
                <w:sz w:val="20"/>
                <w:szCs w:val="20"/>
                <w:lang w:val="en-US" w:eastAsia="zh-CN"/>
              </w:rPr>
            </w:pPr>
            <w:r>
              <w:rPr>
                <w:rFonts w:hint="eastAsia" w:ascii="宋体" w:hAnsi="宋体" w:cs="宋体"/>
                <w:b/>
                <w:bCs/>
                <w:color w:val="000000"/>
                <w:sz w:val="20"/>
                <w:szCs w:val="20"/>
                <w:lang w:val="en-US" w:eastAsia="zh-CN"/>
              </w:rPr>
              <w:t>2.AI智阅批改区</w:t>
            </w:r>
          </w:p>
        </w:tc>
        <w:tc>
          <w:tcPr>
            <w:tcW w:w="414"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17B2045">
            <w:pPr>
              <w:widowControl/>
              <w:jc w:val="left"/>
              <w:textAlignment w:val="center"/>
              <w:rPr>
                <w:rFonts w:ascii="宋体" w:hAnsi="宋体" w:eastAsia="宋体" w:cs="宋体"/>
                <w:b/>
                <w:bCs/>
                <w:color w:val="000000"/>
                <w:sz w:val="20"/>
                <w:szCs w:val="20"/>
              </w:rPr>
            </w:pPr>
          </w:p>
        </w:tc>
      </w:tr>
      <w:tr w14:paraId="4E8F62AC">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E69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AB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智能作业扫描留痕</w:t>
            </w:r>
            <w:r>
              <w:rPr>
                <w:rFonts w:hint="eastAsia" w:ascii="Times New Roman" w:hAnsi="Times New Roman" w:eastAsia="宋体" w:cs="Times New Roman"/>
                <w:color w:val="000000"/>
                <w:kern w:val="0"/>
                <w:sz w:val="20"/>
                <w:szCs w:val="20"/>
              </w:rPr>
              <w:t>批改</w:t>
            </w:r>
            <w:r>
              <w:rPr>
                <w:rFonts w:ascii="Times New Roman" w:hAnsi="Times New Roman" w:eastAsia="宋体" w:cs="Times New Roman"/>
                <w:color w:val="000000"/>
                <w:kern w:val="0"/>
                <w:sz w:val="20"/>
                <w:szCs w:val="20"/>
              </w:rPr>
              <w:t>一体机</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E203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highlight w:val="none"/>
              </w:rPr>
              <w:t>支持作业云打印、作业扫描、作业批改痕迹留痕打印一体，读卡器自动识别，双纸盒，最大支持A3幅面，扫描速度单面60页/分，双面120页/分，可实现教师布置作业后，远程刷卡打印本班批改留痕作业</w:t>
            </w:r>
            <w:r>
              <w:rPr>
                <w:rFonts w:ascii="Times New Roman" w:hAnsi="Times New Roman" w:eastAsia="宋体" w:cs="Times New Roman"/>
                <w:color w:val="000000"/>
                <w:kern w:val="0"/>
                <w:sz w:val="20"/>
                <w:szCs w:val="20"/>
              </w:rPr>
              <w:t>。</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CC2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16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6490">
            <w:pPr>
              <w:jc w:val="center"/>
              <w:rPr>
                <w:rFonts w:ascii="宋体" w:hAnsi="宋体" w:eastAsia="宋体" w:cs="宋体"/>
                <w:color w:val="000000"/>
                <w:sz w:val="20"/>
                <w:szCs w:val="20"/>
              </w:rPr>
            </w:pPr>
          </w:p>
        </w:tc>
      </w:tr>
      <w:tr w14:paraId="67EC4B23">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14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789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展示柜1</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EBD94">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规格根据图纸；全木结构，主材采用≥E1级三聚氰胺板，厚度≥18mm；封边用材≥2mm厚PVC胶边，全自动封边机热熔胶封边；国标五金配件，C型拉手，合金铰链。</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250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9B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7DC8">
            <w:pPr>
              <w:jc w:val="center"/>
              <w:rPr>
                <w:rFonts w:ascii="宋体" w:hAnsi="宋体" w:eastAsia="宋体" w:cs="宋体"/>
                <w:color w:val="000000"/>
                <w:sz w:val="20"/>
                <w:szCs w:val="20"/>
              </w:rPr>
            </w:pPr>
          </w:p>
        </w:tc>
      </w:tr>
      <w:tr w14:paraId="3078BCD1">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AE0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BE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展示柜2</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570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规格根据图纸；全木结构，主材采用≥E1级三聚氰胺板，厚度≥18mm；封边用材≥2mm厚PVC胶边，全自动封边机热熔胶封边；国标五金配件，C型拉手，合金铰链。</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DF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40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4.6</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6665">
            <w:pPr>
              <w:jc w:val="center"/>
              <w:rPr>
                <w:rFonts w:ascii="宋体" w:hAnsi="宋体" w:eastAsia="宋体" w:cs="宋体"/>
                <w:color w:val="000000"/>
                <w:sz w:val="20"/>
                <w:szCs w:val="20"/>
              </w:rPr>
            </w:pPr>
          </w:p>
        </w:tc>
      </w:tr>
      <w:tr w14:paraId="4C7610B9">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18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64E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物理教室专用沙发</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1D300">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1.整体尺寸约为1400*650*720mm(长*宽*高)；</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2.内部为木制框架，海绵坐垫，外包PU，颜色根据设计要求进行。</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23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F0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0F65">
            <w:pPr>
              <w:jc w:val="center"/>
              <w:rPr>
                <w:rFonts w:ascii="宋体" w:hAnsi="宋体" w:eastAsia="宋体" w:cs="宋体"/>
                <w:color w:val="000000"/>
                <w:sz w:val="20"/>
                <w:szCs w:val="20"/>
              </w:rPr>
            </w:pPr>
          </w:p>
        </w:tc>
      </w:tr>
      <w:tr w14:paraId="2F41D9E2">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AE2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2C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物理教室专用茶几</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06270">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规格≥1300*650*450mm；白色木质桌台面+金属框架底座；台面采用≥18mmE1级三聚氰胺板；金属底座架，满焊焊接，表面酸洗磷化后，环氧树脂塑粉高温固化处理。</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EB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BB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DA75">
            <w:pPr>
              <w:jc w:val="center"/>
              <w:rPr>
                <w:rFonts w:ascii="宋体" w:hAnsi="宋体" w:eastAsia="宋体" w:cs="宋体"/>
                <w:color w:val="000000"/>
                <w:sz w:val="20"/>
                <w:szCs w:val="20"/>
              </w:rPr>
            </w:pPr>
          </w:p>
        </w:tc>
      </w:tr>
      <w:tr w14:paraId="437875A2">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1C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19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物理教室专用置物架</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92C0">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1、基材：采用优质三聚氰胺板,优质绿色环保产品,含水 率10.8%，甲醛释放量5.1mg/100g, 2、粘合剂：优质乳胶,游离甲醛含量＜0.05g/kg， 3、封边用材：1mm厚PVC胶边，热熔胶.          4、品牌优质五金配件；</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6C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CE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5EF6">
            <w:pPr>
              <w:jc w:val="center"/>
              <w:rPr>
                <w:rFonts w:ascii="宋体" w:hAnsi="宋体" w:eastAsia="宋体" w:cs="宋体"/>
                <w:color w:val="000000"/>
                <w:sz w:val="20"/>
                <w:szCs w:val="20"/>
              </w:rPr>
            </w:pPr>
          </w:p>
        </w:tc>
      </w:tr>
      <w:tr w14:paraId="06FDC3CB">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AA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1B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互动展示套件—万向节传动机构案例框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0DEE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2.黑色阳极氧化铝合金六边形底框，6个螺丝安装孔，六边形对边尺寸大于360mm,厚度小于42mm。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5.配置高亮度LED05灯条，环形固定在六边形内框，不外露又能实现灯光效果，灯珠不少于20个均匀分布，光均称无阴影。</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配置不少于金属齿电机1个，轴4根，轴承7个，铜锥齿轮2个，金属按键1个，同步带1个，多功能齿轮4个，其它金属结构件若干，按键1个，高亮度LED灯条1根，阳极氧化铝合金六边形框一套、透明面框一套、底板1套、安装底座1套、适配器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7.一体式安装，现场无需再DIY组装，插上电源，固定螺钉即可使用。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8E1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33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6ACE">
            <w:pPr>
              <w:jc w:val="center"/>
              <w:rPr>
                <w:rFonts w:ascii="宋体" w:hAnsi="宋体" w:eastAsia="宋体" w:cs="宋体"/>
                <w:color w:val="000000"/>
                <w:sz w:val="20"/>
                <w:szCs w:val="20"/>
              </w:rPr>
            </w:pPr>
          </w:p>
        </w:tc>
      </w:tr>
      <w:tr w14:paraId="0F338298">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4F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10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互动展示套件—曲柄滑块机构案例框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5B75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2.黑色阳极氧化铝合金六边形底框，6个螺丝安装孔，六边形对边尺寸大于360mm,厚度小于42mm。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5.配置高亮度LED05灯条，环形固定在六边形内框，不外露又能实现灯光效果，灯珠不少于20个均匀分布，光均称无阴影。</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配置不少于金属齿电机1个，铝合金滑块1个，金属按键1个，8mm孔距滑轨梁若干，8mm孔距圆角梁若干，其它金属结构件若干，按键1个，高亮度LED灯条1根，阳极氧化铝合金六边形框一套、透明面框一套、底板1套、安装底座1套、适配器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7.一体式安装，现场无需再DIY组装，插上电源，可实现固定螺钉即可使用。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5D7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70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D240">
            <w:pPr>
              <w:jc w:val="center"/>
              <w:rPr>
                <w:rFonts w:ascii="宋体" w:hAnsi="宋体" w:eastAsia="宋体" w:cs="宋体"/>
                <w:color w:val="000000"/>
                <w:sz w:val="20"/>
                <w:szCs w:val="20"/>
              </w:rPr>
            </w:pPr>
          </w:p>
        </w:tc>
      </w:tr>
      <w:tr w14:paraId="466116F5">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CA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FC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互动展示套件—履带传动案例框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E9A5A">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1.4mm金属出轴25电机1个，9~12V电压适用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3.黑色阳极氧化铝合金六边形底框，6个螺丝安装孔，六边形对边尺寸大于360mm,厚度小于42mm。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6.配置高亮度LED05灯条，环形固定在六边形内框，不外露又能实现灯光效果，灯珠不少于20个均匀分布，光均称无阴影。</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配置不少于4mm金属出轴25电机1个，金属按键1个，8mm孔小方梁若干，8mm孔距滑轨梁若干，其它金属结构件若干，硅胶履带若干，按键1个，高亮度LED灯条1根，阳极氧化铝合金六边形框一套、透明面框一套、底板1套、安装底座1套、适配器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8.一体式安装，现场无需再DIY组装，插上电源，可以实现曲柄滑块机构功能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F5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03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2B6D">
            <w:pPr>
              <w:jc w:val="center"/>
              <w:rPr>
                <w:rFonts w:ascii="宋体" w:hAnsi="宋体" w:eastAsia="宋体" w:cs="宋体"/>
                <w:color w:val="000000"/>
                <w:sz w:val="20"/>
                <w:szCs w:val="20"/>
              </w:rPr>
            </w:pPr>
          </w:p>
        </w:tc>
      </w:tr>
      <w:tr w14:paraId="1A2F39A4">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11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51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互动展示套件—磁感发电机案例框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231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1.4mm金属出轴25电机2个，9-12V电压适用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3.黑色阳极氧化铝合金六边形底框，6个螺丝安装孔，六边形对边尺寸大于360mm,厚度小于42mm。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6.配置高亮度LED05灯条，环形固定在六边形内框，不外露又能实现灯光效果，灯珠不少于20个均匀分布，光均称无阴影。</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配置不少于4mm金属出轴25电机1个，金属按键1个，8mm孔小方梁若干，8mm孔距滑轨梁若干，其它金属结构件若干，齿轮若干，轴和轴承若干，按键1个，高亮度LED05灯条1根，阳极氧化铝合金六边形框一套、透明面框一套、底板1套、安装底座1套、适配器1个，灯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8一体式安装，现场无需再DIY组装，插上电源，固定螺钉即可使用。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75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F0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C291">
            <w:pPr>
              <w:jc w:val="center"/>
              <w:rPr>
                <w:rFonts w:ascii="宋体" w:hAnsi="宋体" w:eastAsia="宋体" w:cs="宋体"/>
                <w:color w:val="000000"/>
                <w:sz w:val="20"/>
                <w:szCs w:val="20"/>
              </w:rPr>
            </w:pPr>
          </w:p>
        </w:tc>
      </w:tr>
      <w:tr w14:paraId="376559B5">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F0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11</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76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互动展示套件—曲柄摇杆机构案例框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DA5B6">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1.金属齿电机1个，6-12V电压适用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3.黑色阳极氧化铝合金六边形底框，6个螺丝安装孔，六边形对边尺寸大于360mm,厚度小于42mm。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6.配置高亮度LED05灯条，环形固定在六边形内框，不外露又能实现灯光效果，灯珠不少于20个均匀分布，光均称无阴影。</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配置不少于金属齿电机1个，金属按键1个，8mm孔距圆角梁若干，8mm孔距滑轨梁若干，其它金属结构件若干，齿轮1个，按键1个，高亮度LED灯条1根，阳极氧化铝合金六边形框一套、透明面框一套、底板1套、安装底座1套、适配器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8.一体式安装，现场无需再DIY组装，插上电源，固定螺钉即可使用。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6DC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49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6D41">
            <w:pPr>
              <w:jc w:val="center"/>
              <w:rPr>
                <w:rFonts w:ascii="宋体" w:hAnsi="宋体" w:eastAsia="宋体" w:cs="宋体"/>
                <w:color w:val="000000"/>
                <w:sz w:val="20"/>
                <w:szCs w:val="20"/>
              </w:rPr>
            </w:pPr>
          </w:p>
        </w:tc>
      </w:tr>
      <w:tr w14:paraId="12F52B9D">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F1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D2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互动展示套件—旋转立体成像案例框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907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1.旋转立体成像仪，不小于11寸，自带高速旋转电机，转速不少于150转/s,灯珠数量不少于180/个，显示效果逼真。</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2.自带Wifi数据传输功能，可以局域无线联接和通过USB数据线上传修改显示内容，显示内容可以用户自定义。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4.黑色阳极氧化铝合金六边形底框，6个螺丝安装孔，六边形对边尺寸大于360mm,厚度小于42mm。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7.配置不少于旋转立体成像仪一套，高亮度LED05灯条1根，阳极氧化铝合金六边形框一套、透明面框一套、底板1套。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一体式安装，现场无需再DIY组装，插上电源，固定螺钉即可使用。利用人眼的视觉暂留原理，形成完整连续的画面，达成一种3D全息成像的效果。用户可自主添加不同的图片或视频循环播放显示，展现自定义的效果。</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3C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77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99C2">
            <w:pPr>
              <w:jc w:val="center"/>
              <w:rPr>
                <w:rFonts w:ascii="宋体" w:hAnsi="宋体" w:eastAsia="宋体" w:cs="宋体"/>
                <w:color w:val="000000"/>
                <w:sz w:val="20"/>
                <w:szCs w:val="20"/>
              </w:rPr>
            </w:pPr>
          </w:p>
        </w:tc>
      </w:tr>
      <w:tr w14:paraId="0A247838">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6E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13</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4AC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互动展示套件—红外测温仪案例框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5E79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1.主控板：至少支持插拔式可换主控芯片，可支持ATmega328p，ESP32,ATmega2560等；集成RGB LED、按键、蜂鸣器、4个RJ11接口及10电机接口；可直接连接蓝牙BT4.1模块;并可扩展连接针式红外接收器，光线传感器，声音传感器、温度传感器、RGB灯环等插针式模块；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2.配置离线版合成模块，支持中文、英文（包括数字、时间、数值、词语等）语音合成。模块自带MCU，可实现自动识别模块接入。</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3.红外测温传感器范围3~50度，无需接触，可实现快速检测人体温度。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4.RGB超声波模块内置不少于6个可编程控制的RGB灯，实现炫酷灯效，测量范围从4 cm 到200 cm。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5.数码管模块，带MCU，可以显示数字。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7.黑色阳极氧化铝合金六边形底框，6个螺丝安装孔，六边形对边尺寸大于360mm,厚度小于42mm。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8.主板接口及电子模块接口均为RJ11接口，其中电子模块大部分带芯片，方便插接，无需对色标，即插即用，带反接和防松功能，降低学习门槛。</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11.配置高亮度LED05灯条，环形固定在六边形内框，不外露又能实现灯光效果，灯珠不少于20个均匀分布，光均称无阴影。</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12.配置不少于主控器1个，红外测温传感器1个，语音合成模块1个，RGB超声波1个，高亮度LED灯条1根，阳极氧化铝合金六边形框一套、透明面框一套、底板1套，安装底座1套、适配器1个，电源转接板1个。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13一体式安装，现场无需再DIY组装，插上电源，固定螺钉即可使用。便于快速测定人体温度和语音播报功能。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14.案例框支持任意组合，可以是相互拼接，也可以单独安装。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8C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46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624F">
            <w:pPr>
              <w:jc w:val="center"/>
              <w:rPr>
                <w:rFonts w:ascii="宋体" w:hAnsi="宋体" w:eastAsia="宋体" w:cs="宋体"/>
                <w:color w:val="000000"/>
                <w:sz w:val="20"/>
                <w:szCs w:val="20"/>
              </w:rPr>
            </w:pPr>
          </w:p>
        </w:tc>
      </w:tr>
      <w:tr w14:paraId="6F1E1F53">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C5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14</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78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互动展示套件—手势识别推箱子案例框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AD2C">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1.主控板：至少支持插拔式可换主控芯片，可支持ATmega328p，ESP32,ATmega2560等；集成RGB LED、按键、蜂鸣器、4个RJ11接口及10电机接口；可直接连接蓝牙BT4.1模块;并可扩展连接针式红外接收器，光线传感器，声音传感器、温度传感器、RGB灯环等插针式模块；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2.配置不少于6英寸的LCD彩屏，用于彩色显示手势互动的数据界面功能。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3.手势识别传感器模块至少可以识别8种的手势，且支持无网络条件下编程自定义功能，带有5个指示灯；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5.黑色阳极氧化铝合金六边形底框，6个螺丝安装孔，六边形对边尺寸大于360mm,厚度小于42mm。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6.主板接口及电子模块接口均为RJ11接口，其中电子模块大部分带芯片，方便插接，无需对色标，即插即用，带反接和防松功能，降低学习门槛。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9.配置不少于主控器1个，LCD彩屏1个，手势识别传感器1个，MP3模块1个，高亮度LED05灯条1根，阳极氧化铝合金六边形框一套、透明面框一套、底板1套，适配器1个，电源转接板1个。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10.一体式安装，现场无需再DIY组装，可实现手势传感器检测手势方向来控制推箱子，完成闯关任务。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EE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A63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FBAF">
            <w:pPr>
              <w:jc w:val="center"/>
              <w:rPr>
                <w:rFonts w:ascii="宋体" w:hAnsi="宋体" w:eastAsia="宋体" w:cs="宋体"/>
                <w:color w:val="000000"/>
                <w:sz w:val="20"/>
                <w:szCs w:val="20"/>
              </w:rPr>
            </w:pPr>
          </w:p>
        </w:tc>
      </w:tr>
      <w:tr w14:paraId="3DDC896C">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29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D8C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互动展示套件—人脸识别门禁系统案例框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D8A2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1.主控板：基于两款国产芯片设计的一款人工智能主控板。主频400MHz（可睿频到600MHz）, 离线人工智能性能卓越，可以进行机器视觉识别处理，听觉识别处理，内置FPU，KPU，APU，FFT，总算力高达1TOPS。ESP32主要负责提供蓝牙和WIFI部分的工作，也就是物联网部分的功能，可进行物联网教学。主板上集成了4路直流电机接口，1个按键。同时引出了20组IO排母接口+2组I2C排母接口和4个RJ11座接口，5V和3.3V电源切换，方便连接市面上的开源电子模块。主控上固定一个2.4寸彩屏，可以显示各种彩色图形，使用体验好，彩屏通过软排线和主控板相连。另外主控可以固定一个摄像头，也可以采用一个3D打印的可180°旋转的支架固定摄像头，实现需可转动摄像头场景的场合。彩屏和摄像头均采用FFC连接器连接，方便用户更换不同型号的设备。USB Type C接口，正反插接兼容，方便耐用，不易损坏。MEMS麦克风：1个，喇叭：1个。电源接口6-12V宽电压使用。人工智能主控板兼容Maixduino使用以及开源的电子模块，兼容市面常用的mixly图形化编程软件和Arduino编程软件，以及MaixPy IDE 编程。支持编程语言：C、C++、MicroPython、WeeeCode图形化编程等。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2.摄像头： OV2640 像素200W，可以安装到摄像头支架上，可以旋转，对于需要调整摄像头角度的场景非常方便。。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4.黑色阳极氧化铝合金六边形底框，6个螺丝安装孔，六边形对边尺寸大于360mm,厚度小于42mm。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5.主板接口及电子模块接口均为RJ11接口，其中电子模块大部分带芯片，方便插接，无需对色标，即插即用，带反接和防松功能，降低学习门槛。</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7.配置12V05电源适配器，具有过载保护，外接220V标准电源。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8.配置不少于人工智能主控器1个，舵机1个，笑脸板1个，金属结构件若干，高亮度LED05灯条1根，阳极氧化铝合金六边形框一套、透明面框一套、底板1套。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9.一体式安装，现场无需再DIY组装，通过人工智能图像识别检测人脸的朝向来决定门禁的打开和关闭。</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32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A9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0800">
            <w:pPr>
              <w:jc w:val="center"/>
              <w:rPr>
                <w:rFonts w:ascii="宋体" w:hAnsi="宋体" w:eastAsia="宋体" w:cs="宋体"/>
                <w:color w:val="000000"/>
                <w:sz w:val="20"/>
                <w:szCs w:val="20"/>
              </w:rPr>
            </w:pPr>
          </w:p>
        </w:tc>
      </w:tr>
      <w:tr w14:paraId="4BCAD1F8">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FD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16</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CAF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互动展示套件—竞速跷跷板案例框</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6426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1.主控板：主至少支持插拔式可换主控芯片，可支持ATmega328p，ESP32,ATmega2560等；集成RGB LED、按键、蜂鸣器、4个RJ11接口及10电机接口；可直接连接蓝牙BT4.1模块;并可扩展连接针式红外接收器，光线传感器，声音传感器、温度传感器、RGB灯环等插针式模块；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2.配置MP3语音播报模块：工作电压：5V DC；板载喇叭：1个；板载TF卡槽：1个；播放指示灯：1个；micor USB：1个；外接喇叭接口：1个；开始按键：1个；通讯方式：单总线；模块尺寸不大于： 55 x 25 x 20 mm(长x宽x高)； 人体红外传感器，可实现自动识别模块接入。</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3.RGB灯带可以实际显示进度条，长度不少于30cm,RGB灯珠10个。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4.黑色阳极氧化铝合金六边形框，带M4螺孔，便于安装固定于墙面，高透明面框，便于学生看到内部实现原理。六边形对边尺寸大于340mm,厚度小于85mm，不少于5个过线孔。</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5.黑色阳极氧化铝合金六边形底框，6个螺丝安装孔，六边形对边尺寸大于360mm,厚度小于42mm。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6.主板接口及电子模块接口均为RJ11接口，其中电子模块大部分带芯片，方便插接，无需对色标，即插即用，带反接和防松功能，降低学习门槛。</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7.电源转接板支持6~12V电压，3个D2.1-5.5防反接电源接口，1个RJ11接口，2个按键输入接口，2个电机输出接口，2个可调电位器。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8.配置12V电源适配器，具有过载保护，外接220V标准电源。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配置不少于主控器1个，大按键2个，复位金属按键1个，舵机1个，MP3模块1个，RGB灯条1根，8mm孔距滑轨梁若干，其它金属结构件若干，高亮度LED灯条1根，阳极氧化铝合金六边形框一套、透明面框一套、底板1套，适配器1个，电源转接板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10.一体式安装，现场无需再DIY组装，通过检测谁的按键频率快，来实现跷跷板的倾斜变化。当一方的RGB灯全部亮满，说明对方失败。</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11.案例框支持任意组合，可以是相互拼接，也可以单独安装。</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DB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E25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E235">
            <w:pPr>
              <w:jc w:val="center"/>
              <w:rPr>
                <w:rFonts w:ascii="宋体" w:hAnsi="宋体" w:eastAsia="宋体" w:cs="宋体"/>
                <w:color w:val="000000"/>
                <w:sz w:val="20"/>
                <w:szCs w:val="20"/>
              </w:rPr>
            </w:pPr>
          </w:p>
        </w:tc>
      </w:tr>
      <w:tr w14:paraId="1F945517">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00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17</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A1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电磁学-美丽的辉光</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8DA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科学原理:                                                               辉光盘（球）中心装有高频高压电极。盘（球） 中充满了直径约2-3毫米、含有低压惰性气体的小气泡。高压电极通电后，由于电场很强，而小气泡中的气体又较稀薄，便激发出美丽的辉光。参与者用手在盘（球） 的表面轻轻触碰或移动，可吸引或引导盘（球）内辉光的运动，探索辉光放电现象。                                                   操作形式：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按下“启动”按钮，通电后用手在盘（球）面触摸移动，观察辉光的变化。</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科学原理:                                                               辉光盘（球）中心装有高频高压电极。盘（球） 中充满了直径约2-3毫米、含有低压惰性气体的小气泡。高压电极通电后，由于电场很强，而小气泡中的气体又较稀薄，便激发出美丽的辉光。参与者用手在盘（球） 的表面轻轻触碰或移动，可吸引或引导盘（球）内辉光的运动，探索辉光放电现象。                                                   操作形式：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按下“启动”按钮，通电后用手在盘（球）面触摸移动，观察辉光的变化。</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C7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4F4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555B">
            <w:pPr>
              <w:jc w:val="center"/>
              <w:rPr>
                <w:rFonts w:ascii="宋体" w:hAnsi="宋体" w:eastAsia="宋体" w:cs="宋体"/>
                <w:color w:val="000000"/>
                <w:sz w:val="20"/>
                <w:szCs w:val="20"/>
              </w:rPr>
            </w:pPr>
          </w:p>
        </w:tc>
      </w:tr>
      <w:tr w14:paraId="0C4540E5">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2B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18</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C5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光学-穿墙而过</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53F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科学原理: 演示装置包括两组方向相反的偏振膜 、小球、透明管和转动装置。观众旋转转动装置，倾斜圆管，会发现小 球能穿越圆管中的“墙”体。此展项展示光的偏振现象。光的偏振性是光的横波性的最直接，最有力的证据，光的偏振现象可以借助于实 验装置进行观察。演示装置包括两组方向相反的偏振膜 、小球、透明管和转动装置。管道中的两组偏振膜偏振角度刚好 相反，和缝处形成一堵虚拟的“墙”，观众旋转转动装置， 让管子倾斜，会看到小球能轻松的穿越那堵“墙”。</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操作形式：横向推拉手柄，观看小人穿过“墙体”的神奇现象。</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A07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A8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95FA">
            <w:pPr>
              <w:jc w:val="center"/>
              <w:rPr>
                <w:rFonts w:ascii="宋体" w:hAnsi="宋体" w:eastAsia="宋体" w:cs="宋体"/>
                <w:color w:val="000000"/>
                <w:sz w:val="20"/>
                <w:szCs w:val="20"/>
              </w:rPr>
            </w:pPr>
          </w:p>
        </w:tc>
      </w:tr>
      <w:tr w14:paraId="2491B9C0">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9A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19</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F6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力与机械学-听话的小球</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F566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 xml:space="preserve">科学原理: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为什么鸟笼转动时会出现飞翔的小鸟呢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人眼在观察景物时，光信号通过视神经传入大脑形成视觉，但光的作用结束后，大脑中视觉形象并不会立即消失， 而是会停留0.1至0.4秒，这就是人眼的视觉暂留现象。这件 展品将小鸟飞翔的连续动作分解成一幅幅动作连贯的静止画 面，随着“鸟笼”快速旋转，大脑中暂留的影像会填补鸟笼 栅栏所带来的视觉空白，于是人眼便会看到小鸟飞入笼中。这也是电影的原理所在，任何一段影像资料都是由许许多多 幅连贯的画面组成的。不过因为画与画之间的时间间隙很短，让我们很难察觉。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操作形式：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1、快速转动转轮；2、观察笼中小鸟飞翔的动态画面</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C45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2C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0EE8">
            <w:pPr>
              <w:jc w:val="center"/>
              <w:rPr>
                <w:rFonts w:ascii="宋体" w:hAnsi="宋体" w:eastAsia="宋体" w:cs="宋体"/>
                <w:color w:val="000000"/>
                <w:sz w:val="20"/>
                <w:szCs w:val="20"/>
              </w:rPr>
            </w:pPr>
          </w:p>
        </w:tc>
      </w:tr>
      <w:tr w14:paraId="7BC8856A">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357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B0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声学-激光琴</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5D22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 xml:space="preserve">科学原理: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无弦的琴为什么也可以拨出琴音呢？</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竖琴的琴弦是由上方的 8组激光器和下方对应的8 组光敏传感器构成的激光弦，每组激光器发射的激光束对应 在下方接收器上。拨动琴“弦”时，手指就遮住了这束激光，触发了对应的光电传感器，使音响系统发出对应的乐声。连续拨动琴“弦”，就可以听到美妙的琴声，同时观众还可以创作自己喜欢的音乐。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操作形式：用手指拨动琴弦，聆听美妙的音乐。</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A7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5B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720A">
            <w:pPr>
              <w:jc w:val="center"/>
              <w:rPr>
                <w:rFonts w:ascii="宋体" w:hAnsi="宋体" w:eastAsia="宋体" w:cs="宋体"/>
                <w:color w:val="000000"/>
                <w:sz w:val="20"/>
                <w:szCs w:val="20"/>
              </w:rPr>
            </w:pPr>
          </w:p>
        </w:tc>
      </w:tr>
      <w:tr w14:paraId="1A8550B9">
        <w:tblPrEx>
          <w:tblCellMar>
            <w:top w:w="0" w:type="dxa"/>
            <w:left w:w="108" w:type="dxa"/>
            <w:bottom w:w="0" w:type="dxa"/>
            <w:right w:w="108" w:type="dxa"/>
          </w:tblCellMar>
        </w:tblPrEx>
        <w:trPr>
          <w:trHeight w:val="400" w:hRule="atLeast"/>
        </w:trPr>
        <w:tc>
          <w:tcPr>
            <w:tcW w:w="4585"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C7482CE">
            <w:pPr>
              <w:widowControl/>
              <w:jc w:val="left"/>
              <w:textAlignment w:val="center"/>
              <w:rPr>
                <w:rFonts w:hint="default" w:ascii="宋体" w:hAnsi="宋体" w:eastAsia="宋体" w:cs="宋体"/>
                <w:b/>
                <w:bCs/>
                <w:color w:val="000000"/>
                <w:sz w:val="20"/>
                <w:szCs w:val="20"/>
                <w:lang w:val="en-US" w:eastAsia="zh-CN"/>
              </w:rPr>
            </w:pPr>
            <w:r>
              <w:rPr>
                <w:rFonts w:hint="eastAsia" w:ascii="宋体" w:hAnsi="宋体" w:cs="宋体"/>
                <w:b/>
                <w:bCs/>
                <w:color w:val="000000"/>
                <w:sz w:val="20"/>
                <w:szCs w:val="20"/>
                <w:lang w:val="en-US" w:eastAsia="zh-CN"/>
              </w:rPr>
              <w:t>3.精准教学讨论区</w:t>
            </w:r>
          </w:p>
        </w:tc>
        <w:tc>
          <w:tcPr>
            <w:tcW w:w="414"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7B37239">
            <w:pPr>
              <w:widowControl/>
              <w:jc w:val="left"/>
              <w:textAlignment w:val="center"/>
              <w:rPr>
                <w:rFonts w:ascii="宋体" w:hAnsi="宋体" w:eastAsia="宋体" w:cs="宋体"/>
                <w:b/>
                <w:bCs/>
                <w:color w:val="000000"/>
                <w:sz w:val="20"/>
                <w:szCs w:val="20"/>
              </w:rPr>
            </w:pPr>
          </w:p>
        </w:tc>
      </w:tr>
      <w:tr w14:paraId="5DC6CA3C">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B8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066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教研专用桌</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9F95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材质：采用符合E1级环保要求的三聚氰胺板，厚度≥25mm；；封边用材：≥2mm厚PVC胶边，全自动封边机热熔胶封边；桌架采用优质国标碳素钢，桌架壁厚度≥1.2mm，截面≥50*15mm，表面经酸洗磷化、纯环氧树脂塑粉高温固化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3、优质国标五金配件，隐藏式插座、接线盒。</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45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377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2B18">
            <w:pPr>
              <w:jc w:val="center"/>
              <w:rPr>
                <w:rFonts w:ascii="宋体" w:hAnsi="宋体" w:eastAsia="宋体" w:cs="宋体"/>
                <w:color w:val="000000"/>
                <w:sz w:val="20"/>
                <w:szCs w:val="20"/>
              </w:rPr>
            </w:pPr>
          </w:p>
        </w:tc>
      </w:tr>
      <w:tr w14:paraId="2B495D9C">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FA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970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教研专用椅</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D1016">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规格≥460*470*930mm；靠背采用网布材料；座垫内置高回弹定型海绵，外罩网布；PP扶手；电镀钢制弓形腿。</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C84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B6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EAEB">
            <w:pPr>
              <w:jc w:val="center"/>
              <w:rPr>
                <w:rFonts w:ascii="宋体" w:hAnsi="宋体" w:eastAsia="宋体" w:cs="宋体"/>
                <w:color w:val="000000"/>
                <w:sz w:val="20"/>
                <w:szCs w:val="20"/>
              </w:rPr>
            </w:pPr>
          </w:p>
        </w:tc>
      </w:tr>
      <w:tr w14:paraId="47241F3D">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85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35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一体机支架</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1A1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移动支架通过防倾斜实验，正负</w:t>
            </w:r>
            <w:r>
              <w:rPr>
                <w:rFonts w:ascii="Times New Roman" w:hAnsi="Times New Roman" w:eastAsia="宋体" w:cs="Times New Roman"/>
                <w:color w:val="000000"/>
                <w:kern w:val="0"/>
                <w:sz w:val="20"/>
                <w:szCs w:val="20"/>
              </w:rPr>
              <w:t>10</w:t>
            </w:r>
            <w:r>
              <w:rPr>
                <w:rFonts w:hint="eastAsia" w:ascii="宋体" w:hAnsi="宋体" w:eastAsia="宋体" w:cs="宋体"/>
                <w:color w:val="000000"/>
                <w:kern w:val="0"/>
                <w:sz w:val="20"/>
                <w:szCs w:val="20"/>
              </w:rPr>
              <w:t>度倾斜角度下不能翻倒；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承挂</w:t>
            </w:r>
            <w:r>
              <w:rPr>
                <w:rFonts w:ascii="Times New Roman" w:hAnsi="Times New Roman" w:eastAsia="宋体" w:cs="Times New Roman"/>
                <w:color w:val="000000"/>
                <w:kern w:val="0"/>
                <w:sz w:val="20"/>
                <w:szCs w:val="20"/>
              </w:rPr>
              <w:t>≥100kg</w:t>
            </w:r>
            <w:r>
              <w:rPr>
                <w:rFonts w:hint="eastAsia" w:ascii="宋体" w:hAnsi="宋体" w:eastAsia="宋体" w:cs="宋体"/>
                <w:color w:val="000000"/>
                <w:kern w:val="0"/>
                <w:sz w:val="20"/>
                <w:szCs w:val="20"/>
              </w:rPr>
              <w:t>；整体高度</w:t>
            </w:r>
            <w:r>
              <w:rPr>
                <w:rFonts w:ascii="Times New Roman" w:hAnsi="Times New Roman" w:eastAsia="宋体" w:cs="Times New Roman"/>
                <w:color w:val="000000"/>
                <w:kern w:val="0"/>
                <w:sz w:val="20"/>
                <w:szCs w:val="20"/>
              </w:rPr>
              <w:t>≥1597mm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托盘承重</w:t>
            </w:r>
            <w:r>
              <w:rPr>
                <w:rFonts w:ascii="Times New Roman" w:hAnsi="Times New Roman" w:eastAsia="宋体" w:cs="Times New Roman"/>
                <w:color w:val="000000"/>
                <w:kern w:val="0"/>
                <w:sz w:val="20"/>
                <w:szCs w:val="20"/>
              </w:rPr>
              <w:t>25KG,</w:t>
            </w:r>
            <w:r>
              <w:rPr>
                <w:rFonts w:hint="eastAsia" w:ascii="宋体" w:hAnsi="宋体" w:eastAsia="宋体" w:cs="宋体"/>
                <w:color w:val="000000"/>
                <w:kern w:val="0"/>
                <w:sz w:val="20"/>
                <w:szCs w:val="20"/>
              </w:rPr>
              <w:t>模具设置</w:t>
            </w:r>
            <w:r>
              <w:rPr>
                <w:rFonts w:ascii="Times New Roman" w:hAnsi="Times New Roman" w:eastAsia="宋体" w:cs="Times New Roman"/>
                <w:color w:val="000000"/>
                <w:kern w:val="0"/>
                <w:sz w:val="20"/>
                <w:szCs w:val="20"/>
              </w:rPr>
              <w:t>U</w:t>
            </w:r>
            <w:r>
              <w:rPr>
                <w:rFonts w:hint="eastAsia" w:ascii="宋体" w:hAnsi="宋体" w:eastAsia="宋体" w:cs="宋体"/>
                <w:color w:val="000000"/>
                <w:kern w:val="0"/>
                <w:sz w:val="20"/>
                <w:szCs w:val="20"/>
              </w:rPr>
              <w:t>型置物槽，方便触摸笔、遥控器等物品放置；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支撑立杆采用壁厚</w:t>
            </w:r>
            <w:r>
              <w:rPr>
                <w:rFonts w:ascii="Times New Roman" w:hAnsi="Times New Roman" w:eastAsia="宋体" w:cs="Times New Roman"/>
                <w:color w:val="000000"/>
                <w:kern w:val="0"/>
                <w:sz w:val="20"/>
                <w:szCs w:val="20"/>
              </w:rPr>
              <w:t>≥1.8mm</w:t>
            </w:r>
            <w:r>
              <w:rPr>
                <w:rFonts w:hint="eastAsia" w:ascii="宋体" w:hAnsi="宋体" w:eastAsia="宋体" w:cs="宋体"/>
                <w:color w:val="000000"/>
                <w:kern w:val="0"/>
                <w:sz w:val="20"/>
                <w:szCs w:val="20"/>
              </w:rPr>
              <w:t>方通冷轧钢材质，表面黑色喷涂；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w:t>
            </w:r>
            <w:r>
              <w:rPr>
                <w:rFonts w:hint="eastAsia" w:ascii="宋体" w:hAnsi="宋体" w:eastAsia="宋体" w:cs="宋体"/>
                <w:color w:val="000000"/>
                <w:kern w:val="0"/>
                <w:sz w:val="20"/>
                <w:szCs w:val="20"/>
              </w:rPr>
              <w:t>脚轮为万向轮，聚氨酯（</w:t>
            </w:r>
            <w:r>
              <w:rPr>
                <w:rFonts w:ascii="Times New Roman" w:hAnsi="Times New Roman" w:eastAsia="宋体" w:cs="Times New Roman"/>
                <w:color w:val="000000"/>
                <w:kern w:val="0"/>
                <w:sz w:val="20"/>
                <w:szCs w:val="20"/>
              </w:rPr>
              <w:t>PU</w:t>
            </w:r>
            <w:r>
              <w:rPr>
                <w:rFonts w:hint="eastAsia" w:ascii="宋体" w:hAnsi="宋体" w:eastAsia="宋体" w:cs="宋体"/>
                <w:color w:val="000000"/>
                <w:kern w:val="0"/>
                <w:sz w:val="20"/>
                <w:szCs w:val="20"/>
              </w:rPr>
              <w:t>）材质，均带脚刹，直径不小于∮</w:t>
            </w:r>
            <w:r>
              <w:rPr>
                <w:rFonts w:ascii="Times New Roman" w:hAnsi="Times New Roman" w:eastAsia="宋体" w:cs="Times New Roman"/>
                <w:color w:val="000000"/>
                <w:kern w:val="0"/>
                <w:sz w:val="20"/>
                <w:szCs w:val="20"/>
              </w:rPr>
              <w:t>75mm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hint="eastAsia" w:ascii="宋体" w:hAnsi="宋体" w:eastAsia="宋体" w:cs="宋体"/>
                <w:color w:val="000000"/>
                <w:kern w:val="0"/>
                <w:sz w:val="20"/>
                <w:szCs w:val="20"/>
              </w:rPr>
              <w:t>脚轮中心距横向</w:t>
            </w:r>
            <w:r>
              <w:rPr>
                <w:rFonts w:ascii="Times New Roman" w:hAnsi="Times New Roman" w:eastAsia="宋体" w:cs="Times New Roman"/>
                <w:color w:val="000000"/>
                <w:kern w:val="0"/>
                <w:sz w:val="20"/>
                <w:szCs w:val="20"/>
              </w:rPr>
              <w:t>≥1115mm</w:t>
            </w:r>
            <w:r>
              <w:rPr>
                <w:rFonts w:hint="eastAsia" w:ascii="宋体" w:hAnsi="宋体" w:eastAsia="宋体" w:cs="宋体"/>
                <w:color w:val="000000"/>
                <w:kern w:val="0"/>
                <w:sz w:val="20"/>
                <w:szCs w:val="20"/>
              </w:rPr>
              <w:t>，纵向</w:t>
            </w:r>
            <w:r>
              <w:rPr>
                <w:rFonts w:ascii="Times New Roman" w:hAnsi="Times New Roman" w:eastAsia="宋体" w:cs="Times New Roman"/>
                <w:color w:val="000000"/>
                <w:kern w:val="0"/>
                <w:sz w:val="20"/>
                <w:szCs w:val="20"/>
              </w:rPr>
              <w:t>≥627mm</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33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E2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6773">
            <w:pPr>
              <w:jc w:val="center"/>
              <w:rPr>
                <w:rFonts w:ascii="宋体" w:hAnsi="宋体" w:eastAsia="宋体" w:cs="宋体"/>
                <w:color w:val="000000"/>
                <w:sz w:val="20"/>
                <w:szCs w:val="20"/>
              </w:rPr>
            </w:pPr>
          </w:p>
        </w:tc>
      </w:tr>
      <w:tr w14:paraId="321E17C7">
        <w:tblPrEx>
          <w:tblCellMar>
            <w:top w:w="0" w:type="dxa"/>
            <w:left w:w="108" w:type="dxa"/>
            <w:bottom w:w="0" w:type="dxa"/>
            <w:right w:w="108" w:type="dxa"/>
          </w:tblCellMar>
        </w:tblPrEx>
        <w:trPr>
          <w:trHeight w:val="400" w:hRule="atLeast"/>
        </w:trPr>
        <w:tc>
          <w:tcPr>
            <w:tcW w:w="4585"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34861B08">
            <w:pPr>
              <w:widowControl/>
              <w:jc w:val="left"/>
              <w:textAlignment w:val="center"/>
              <w:rPr>
                <w:rFonts w:hint="eastAsia" w:ascii="宋体" w:hAnsi="宋体" w:eastAsia="宋体" w:cs="宋体"/>
                <w:b/>
                <w:bCs/>
                <w:color w:val="000000"/>
                <w:sz w:val="20"/>
                <w:szCs w:val="20"/>
                <w:lang w:eastAsia="zh-CN"/>
              </w:rPr>
            </w:pPr>
            <w:r>
              <w:rPr>
                <w:rFonts w:hint="eastAsia" w:ascii="宋体" w:hAnsi="宋体" w:cs="宋体"/>
                <w:b/>
                <w:bCs/>
                <w:color w:val="000000"/>
                <w:sz w:val="20"/>
                <w:szCs w:val="20"/>
                <w:lang w:eastAsia="zh-CN"/>
              </w:rPr>
              <w:t>二、空间建设</w:t>
            </w:r>
          </w:p>
        </w:tc>
        <w:tc>
          <w:tcPr>
            <w:tcW w:w="414"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2BCE0251">
            <w:pPr>
              <w:widowControl/>
              <w:jc w:val="left"/>
              <w:textAlignment w:val="center"/>
              <w:rPr>
                <w:rFonts w:ascii="宋体" w:hAnsi="宋体" w:eastAsia="宋体" w:cs="宋体"/>
                <w:b/>
                <w:bCs/>
                <w:color w:val="000000"/>
                <w:sz w:val="20"/>
                <w:szCs w:val="20"/>
              </w:rPr>
            </w:pPr>
          </w:p>
        </w:tc>
      </w:tr>
      <w:tr w14:paraId="6B3391A3">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C7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5C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空间氛围建设</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44D74">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墙面学科文化内容与排版，文化布展的制作与安装；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根据设计要求进行相关的电路接线（室内需有符合布局的预留线管并穿线）；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墙面造型及安装；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造型吊顶，设计，包含吊顶安装及调试。</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A4B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80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156</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A51">
            <w:pPr>
              <w:jc w:val="center"/>
              <w:rPr>
                <w:rFonts w:ascii="宋体" w:hAnsi="宋体" w:eastAsia="宋体" w:cs="宋体"/>
                <w:color w:val="000000"/>
                <w:sz w:val="20"/>
                <w:szCs w:val="20"/>
              </w:rPr>
            </w:pPr>
          </w:p>
        </w:tc>
      </w:tr>
      <w:tr w14:paraId="3E2FA854">
        <w:tblPrEx>
          <w:tblCellMar>
            <w:top w:w="0" w:type="dxa"/>
            <w:left w:w="108" w:type="dxa"/>
            <w:bottom w:w="0" w:type="dxa"/>
            <w:right w:w="108" w:type="dxa"/>
          </w:tblCellMar>
        </w:tblPrEx>
        <w:trPr>
          <w:trHeight w:val="4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EB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13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照明系统</w:t>
            </w:r>
          </w:p>
        </w:tc>
        <w:tc>
          <w:tcPr>
            <w:tcW w:w="2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C82CD">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配合实验室配套艺术造型吊顶安装照明设施，</w:t>
            </w:r>
            <w:r>
              <w:rPr>
                <w:rFonts w:ascii="Times New Roman" w:hAnsi="Times New Roman" w:eastAsia="宋体" w:cs="Times New Roman"/>
                <w:color w:val="000000"/>
                <w:kern w:val="0"/>
                <w:sz w:val="20"/>
                <w:szCs w:val="20"/>
              </w:rPr>
              <w:t xml:space="preserve">1200*100mmLED </w:t>
            </w:r>
            <w:r>
              <w:rPr>
                <w:rFonts w:hint="eastAsia" w:ascii="宋体" w:hAnsi="宋体" w:eastAsia="宋体" w:cs="宋体"/>
                <w:color w:val="000000"/>
                <w:kern w:val="0"/>
                <w:sz w:val="20"/>
                <w:szCs w:val="20"/>
              </w:rPr>
              <w:t>照明灯条形灯，约</w:t>
            </w:r>
            <w:r>
              <w:rPr>
                <w:rFonts w:ascii="Times New Roman" w:hAnsi="Times New Roman" w:eastAsia="宋体" w:cs="Times New Roman"/>
                <w:color w:val="000000"/>
                <w:kern w:val="0"/>
                <w:sz w:val="20"/>
                <w:szCs w:val="20"/>
              </w:rPr>
              <w:t>36W</w:t>
            </w:r>
            <w:r>
              <w:rPr>
                <w:rFonts w:hint="eastAsia" w:ascii="宋体" w:hAnsi="宋体" w:eastAsia="宋体" w:cs="宋体"/>
                <w:color w:val="000000"/>
                <w:kern w:val="0"/>
                <w:sz w:val="20"/>
                <w:szCs w:val="20"/>
              </w:rPr>
              <w:t>，采用电子变压器，含人工及安装。含管线及墙面控制开关</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59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室</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7A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BA25">
            <w:pPr>
              <w:jc w:val="center"/>
              <w:rPr>
                <w:rFonts w:ascii="宋体" w:hAnsi="宋体" w:eastAsia="宋体" w:cs="宋体"/>
                <w:color w:val="000000"/>
                <w:sz w:val="20"/>
                <w:szCs w:val="20"/>
              </w:rPr>
            </w:pPr>
          </w:p>
        </w:tc>
      </w:tr>
    </w:tbl>
    <w:p w14:paraId="531C08A0">
      <w:pPr>
        <w:rPr>
          <w:rFonts w:ascii="Times New Roman" w:hAnsi="Times New Roman" w:eastAsia="方正小标宋_GBK" w:cs="Times New Roman"/>
          <w:sz w:val="28"/>
          <w:szCs w:val="28"/>
        </w:rPr>
      </w:pPr>
      <w:r>
        <w:rPr>
          <w:rFonts w:ascii="Times New Roman" w:hAnsi="Times New Roman" w:eastAsia="方正小标宋_GBK" w:cs="Times New Roman"/>
          <w:sz w:val="28"/>
          <w:szCs w:val="28"/>
        </w:rPr>
        <w:br w:type="page"/>
      </w:r>
    </w:p>
    <w:p w14:paraId="72F1B735">
      <w:pPr>
        <w:jc w:val="center"/>
        <w:rPr>
          <w:rFonts w:ascii="Times New Roman" w:hAnsi="Times New Roman" w:eastAsia="方正小标宋_GBK" w:cs="Times New Roman"/>
          <w:sz w:val="28"/>
          <w:szCs w:val="28"/>
        </w:rPr>
      </w:pPr>
      <w:r>
        <w:rPr>
          <w:rFonts w:hint="eastAsia" w:ascii="Times New Roman" w:hAnsi="Times New Roman" w:eastAsia="方正小标宋_GBK" w:cs="Times New Roman"/>
          <w:sz w:val="28"/>
          <w:szCs w:val="28"/>
        </w:rPr>
        <w:t>化学课程基地</w:t>
      </w:r>
      <w:r>
        <w:rPr>
          <w:rFonts w:ascii="Times New Roman" w:hAnsi="Times New Roman" w:eastAsia="方正小标宋_GBK" w:cs="Times New Roman"/>
          <w:sz w:val="28"/>
          <w:szCs w:val="28"/>
        </w:rPr>
        <w:t>清单</w:t>
      </w:r>
    </w:p>
    <w:tbl>
      <w:tblPr>
        <w:tblStyle w:val="31"/>
        <w:tblW w:w="5019" w:type="pct"/>
        <w:tblInd w:w="0" w:type="dxa"/>
        <w:tblLayout w:type="fixed"/>
        <w:tblCellMar>
          <w:top w:w="0" w:type="dxa"/>
          <w:left w:w="108" w:type="dxa"/>
          <w:bottom w:w="0" w:type="dxa"/>
          <w:right w:w="108" w:type="dxa"/>
        </w:tblCellMar>
      </w:tblPr>
      <w:tblGrid>
        <w:gridCol w:w="572"/>
        <w:gridCol w:w="1078"/>
        <w:gridCol w:w="5413"/>
        <w:gridCol w:w="569"/>
        <w:gridCol w:w="854"/>
        <w:gridCol w:w="723"/>
      </w:tblGrid>
      <w:tr w14:paraId="1B036CB6">
        <w:tblPrEx>
          <w:tblCellMar>
            <w:top w:w="0" w:type="dxa"/>
            <w:left w:w="108" w:type="dxa"/>
            <w:bottom w:w="0" w:type="dxa"/>
            <w:right w:w="108" w:type="dxa"/>
          </w:tblCellMar>
        </w:tblPrEx>
        <w:trPr>
          <w:trHeight w:val="403" w:hRule="atLeast"/>
          <w:tblHeader/>
        </w:trPr>
        <w:tc>
          <w:tcPr>
            <w:tcW w:w="310"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53DFCF3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序号</w:t>
            </w:r>
          </w:p>
        </w:tc>
        <w:tc>
          <w:tcPr>
            <w:tcW w:w="58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2DDA7B3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名称</w:t>
            </w:r>
          </w:p>
        </w:tc>
        <w:tc>
          <w:tcPr>
            <w:tcW w:w="2939"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49D4466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规格型号参数</w:t>
            </w:r>
          </w:p>
        </w:tc>
        <w:tc>
          <w:tcPr>
            <w:tcW w:w="308"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5415F3D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单位</w:t>
            </w:r>
          </w:p>
        </w:tc>
        <w:tc>
          <w:tcPr>
            <w:tcW w:w="463"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7DBCFF5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数量</w:t>
            </w:r>
          </w:p>
        </w:tc>
        <w:tc>
          <w:tcPr>
            <w:tcW w:w="39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56C72B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备注</w:t>
            </w:r>
          </w:p>
        </w:tc>
      </w:tr>
      <w:tr w14:paraId="6A41EDFC">
        <w:tblPrEx>
          <w:tblCellMar>
            <w:top w:w="0" w:type="dxa"/>
            <w:left w:w="108" w:type="dxa"/>
            <w:bottom w:w="0" w:type="dxa"/>
            <w:right w:w="108" w:type="dxa"/>
          </w:tblCellMar>
        </w:tblPrEx>
        <w:trPr>
          <w:trHeight w:val="400" w:hRule="atLeast"/>
        </w:trPr>
        <w:tc>
          <w:tcPr>
            <w:tcW w:w="4607"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4E978186">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一、基础建设</w:t>
            </w:r>
          </w:p>
        </w:tc>
        <w:tc>
          <w:tcPr>
            <w:tcW w:w="39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6A249C7C">
            <w:pPr>
              <w:widowControl/>
              <w:jc w:val="left"/>
              <w:textAlignment w:val="center"/>
              <w:rPr>
                <w:rFonts w:hint="eastAsia" w:ascii="宋体" w:hAnsi="宋体" w:eastAsia="宋体" w:cs="宋体"/>
                <w:b/>
                <w:bCs/>
                <w:color w:val="000000"/>
                <w:kern w:val="0"/>
                <w:sz w:val="20"/>
                <w:szCs w:val="20"/>
              </w:rPr>
            </w:pPr>
          </w:p>
        </w:tc>
      </w:tr>
      <w:tr w14:paraId="135E20C6">
        <w:tblPrEx>
          <w:tblCellMar>
            <w:top w:w="0" w:type="dxa"/>
            <w:left w:w="108" w:type="dxa"/>
            <w:bottom w:w="0" w:type="dxa"/>
            <w:right w:w="108" w:type="dxa"/>
          </w:tblCellMar>
        </w:tblPrEx>
        <w:trPr>
          <w:trHeight w:val="400" w:hRule="atLeast"/>
        </w:trPr>
        <w:tc>
          <w:tcPr>
            <w:tcW w:w="460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F691C1E">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1.课程实践区</w:t>
            </w:r>
          </w:p>
        </w:tc>
        <w:tc>
          <w:tcPr>
            <w:tcW w:w="39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88E653C">
            <w:pPr>
              <w:widowControl/>
              <w:jc w:val="left"/>
              <w:textAlignment w:val="center"/>
              <w:rPr>
                <w:rFonts w:hint="eastAsia" w:ascii="宋体" w:hAnsi="宋体" w:eastAsia="宋体" w:cs="宋体"/>
                <w:b/>
                <w:bCs/>
                <w:color w:val="000000"/>
                <w:kern w:val="0"/>
                <w:sz w:val="20"/>
                <w:szCs w:val="20"/>
              </w:rPr>
            </w:pPr>
          </w:p>
        </w:tc>
      </w:tr>
      <w:tr w14:paraId="4972FD18">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AD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F6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实验桌（教师演示台）</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9DF9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整体规格：≥2900mm×700mm×900mm，由3个储物柜、抽屉架、水槽柜组成；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1、台面：采用≥13.0mm厚优抗板台面，由专业生产厂家用CNC机械加工而成；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2、储物柜：柜体均为全钢结构，采用≥1.0mm厚冷轧钢板，表层经酸洗、磷化、环氧树脂粉末喷涂等工艺加工生产，接缝处无焊点，表面平整光滑，耐酸碱，防腐蚀；边缘做倒角设计，可防止磕碰；柜门：主体采用双层冷轧钢板装配成型，内附蜂窝状瓦楞纸防噪填充，柜门内侧装有起缓冲作用防撞贴，门板面板内嵌ABS塑料拉手；活动层板：柜体内设有活动层板，采用≥1.0mm厚冷轧钢板制作，配合至少4个塑料支撑扣调整上下高度，调节孔距≥50mm，承重≥20KG；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抽屉架：主体采用≥1.0mm厚冷轧钢板，表层经酸洗、磷化、环氧树脂粉末喷涂等工艺加工生产，接缝处无焊点，表面平整光滑，耐酸碱，防腐蚀。边缘做倒角设计，可防止磕碰；内置2个内部规格：≥314mm×352mm×126mm抽屉，抽头均为双层结构，内附蜂窝状瓦楞纸防噪填充，采用三节静音导轨，配备阻尼滑道，抽头内嵌塑料拉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水槽柜：规格：≥550mm×700mm×900mm，采用≥1.0mm厚冷轧钢板，表层经酸洗、磷化、环氧树脂粉末喷涂等工艺加工生产，接缝处无焊点，表面平整光滑，耐酸碱，防腐蚀。边缘做倒角设计，可防止磕碰；柜门：主体采用双层冷轧钢板装配成型，内附蜂窝状瓦楞纸防噪填充，柜门内侧装有防撞贴，面板内嵌ABS塑料拉手；预留水槽孔位。</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5、可调脚：桌体底部配备≥50mm高钢制PP注塑调节地脚，减震防滑。</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15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17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11306">
            <w:pPr>
              <w:jc w:val="center"/>
              <w:rPr>
                <w:rFonts w:ascii="宋体" w:hAnsi="宋体" w:eastAsia="宋体" w:cs="宋体"/>
                <w:color w:val="000000"/>
                <w:sz w:val="20"/>
                <w:szCs w:val="20"/>
              </w:rPr>
            </w:pPr>
          </w:p>
        </w:tc>
      </w:tr>
      <w:tr w14:paraId="0EB63A13">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22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FB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实验桌（学生）</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5F78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1、规格：≥1200mm（L）×600mm（W）×780mm（H）；实验桌整体符合人体工程学设计，外表为流线形工业设计，简洁时尚。</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实验室专用陶瓷台面，厚度为≥20mm，采用一体实芯黑色坯体一体烧制釉面，具备无空洞、无杂色、无脱层、釉面与坯体呈一体结构的特点；该台面为实验室专用，需满足无甲醛释放、耐化学腐蚀、耐划痕、耐污染等性能要求；在靠近人体操作边缘处有一条与台面一体成型（非后期二次开槽）的功能性凹槽，其宽度≥11.7mm，深度≥1.25mm，储水量≥15.5ml，能够有效阻水和缓冲，同时能够对实验试管、玻璃棒、小球等易滚动器材进行缓冲阻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桌体框架：铸铝/塑铝结构；通过桌体上端两侧支架、立柱连接铸铝桌脚，形成“Z”字造型，使桌体具有强承重性及高稳定性；桌体所有接触人体的边棱均无锐利的棱角、毛刺；桌体表面经环氧树脂粉体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4、上端两侧支架：铸铝模具成型，规格≥570mm×55mm×80mm选用铝锭ADC12，经酸洗磷化前处理，表面经环氧树脂粉喷涂处理，耐腐蚀。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5、桌脚/脚垫：铸铝模具成型，规格≥525mm×60mm×110mm；选用铝锭ADC12，经酸洗磷化前处理，表面经环氧树脂粉喷涂处理，耐腐蚀。脚垫高度可调，耐磨、防潮、防滑。</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6、立柱：规格≥620mm×80mm×50mm；铝材挤出成型，经酸洗磷化前处理，表面经环氧树脂粉体喷涂处理，耐腐蚀。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7、主横梁：采用”8”字型铝材挤出成型，规格≥1080mm×19mm×80mm，经酸洗磷化前处理，表面经环氧树脂粉喷涂处理，耐腐蚀。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8、后挡条：铝材挤出成型，规格≥1068mm×80×16mm；连接左右两侧注塑模具成型ABS材质固定卡位，防止台面物品滑落；经酸洗磷化前处理，表面经环氧树脂粉喷涂处理，耐腐蚀。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9、书包斗：规格≥400mm×330mm×162mm，采用ABS塑料一次注塑成型；书包斗前端预留学生凳挂靠口，上翘工艺设计，两书包斗中间预留放置不同功能学生电源的空间，具有隐蔽性；固定挂架采用镀锌方钢，防腐防锈。</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0E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FB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18</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DF26">
            <w:pPr>
              <w:jc w:val="center"/>
              <w:rPr>
                <w:rFonts w:ascii="宋体" w:hAnsi="宋体" w:eastAsia="宋体" w:cs="宋体"/>
                <w:color w:val="000000"/>
                <w:sz w:val="20"/>
                <w:szCs w:val="20"/>
              </w:rPr>
            </w:pPr>
          </w:p>
        </w:tc>
      </w:tr>
      <w:tr w14:paraId="7FDE4060">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EC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E992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实验凳</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B07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1.规格：≥φ300mm×440mm。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2.凳面：采用ABS环保材质一体注塑成型，防摔耐磨。人体工程学设计，中间有内弧成型，深度≥8mm。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3.升降式螺杆：直径≥20mm螺纹碳钢，配合高强度钢制托盘于凳面底部固定。</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支持调节凳子高度，升降≥50mm。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4.钢脚架：由壁厚≥1.2mm椭圆形钢管及壁厚≥2mm圆钢管焊接组成，表面经高温烤漆处理。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5.脚垫：塑胶材质，采用PP一体注塑成型，防水防滑。</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60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04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36</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0C5E">
            <w:pPr>
              <w:jc w:val="center"/>
              <w:rPr>
                <w:rFonts w:ascii="宋体" w:hAnsi="宋体" w:eastAsia="宋体" w:cs="宋体"/>
                <w:color w:val="000000"/>
                <w:sz w:val="20"/>
                <w:szCs w:val="20"/>
              </w:rPr>
            </w:pPr>
          </w:p>
        </w:tc>
      </w:tr>
      <w:tr w14:paraId="423651BE">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B259">
            <w:pPr>
              <w:widowControl/>
              <w:jc w:val="center"/>
              <w:textAlignment w:val="center"/>
              <w:rPr>
                <w:rFonts w:ascii="Times New Roman" w:hAnsi="Times New Roman" w:eastAsia="宋体" w:cs="Times New Roman"/>
                <w:color w:val="000000"/>
                <w:sz w:val="20"/>
                <w:szCs w:val="20"/>
              </w:rPr>
            </w:pPr>
            <w:bookmarkStart w:id="163" w:name="_Hlk236329638"/>
            <w:r>
              <w:rPr>
                <w:rFonts w:ascii="Times New Roman" w:hAnsi="Times New Roman" w:eastAsia="宋体" w:cs="Times New Roman"/>
                <w:color w:val="000000"/>
                <w:kern w:val="0"/>
                <w:sz w:val="20"/>
                <w:szCs w:val="20"/>
              </w:rPr>
              <w:t>4</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B4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化学教室专用授课设备</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998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一、整机要求：</w:t>
            </w:r>
          </w:p>
          <w:p w14:paraId="495CC33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采用全金属外壳，三拼接平面一体化设计，屏幕边缘采用圆角包边防护，整机背板采用金属材质，无推拉式结构，外部无任何可见内部功能模块连接线。主副屏过渡平滑，中间无单独边框阻隔，宽≥4500mm，高≥1350mm，厚≤102mm。</w:t>
            </w:r>
          </w:p>
          <w:p w14:paraId="06BACF2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2.屏幕采用98英寸液晶显示器，采用超高清LED液晶显示屏，显示比例16:9，分辨率3840×2160。主屏支持普通粉笔直接书写。整机两侧副屏可支持以下媒介（普通粉笔、液体粉笔、成膜笔）进行板书书写。</w:t>
            </w:r>
          </w:p>
          <w:p w14:paraId="47A9FCC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3.嵌入式系统版本不低于Android 13，内存≥2GB，存储空间≥8GB。</w:t>
            </w:r>
          </w:p>
          <w:p w14:paraId="5F52866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4.采用红外触控方式。</w:t>
            </w:r>
          </w:p>
          <w:p w14:paraId="7BFAF4C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5.整机背光系统支持DC调光方式，多级亮度调节，支持白颜色背景下最暗亮度≤100nit，用于提升显示对比度。</w:t>
            </w:r>
          </w:p>
          <w:p w14:paraId="658D94E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6.整机支持色彩空间可选，包含标准模式和sRGB模式，在sRGB模式下可做到高色准△E≤1。</w:t>
            </w:r>
          </w:p>
          <w:p w14:paraId="0396C36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7.整机全通道支持纸质护眼模式，可实现画面纹理的实时调整；支持纸质纹理：牛皮纸、素描纸、宣纸、水彩纸、水纹纸；支持透明度调节；支持色温调节。</w:t>
            </w:r>
          </w:p>
          <w:p w14:paraId="49D2291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8.整机具备至少6个前置按键，可实现开关机、调出中控菜单、音量+/-、护眼、录屏操作。（提供国家认可的第三方权威检测机构出具的权威检测报告）</w:t>
            </w:r>
          </w:p>
          <w:p w14:paraId="1E7E604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9.整机关机状态下，通过长按电源键进入设置界面后，可点击屏幕选择恢复Android系统及Windows操作系统到出厂默认状态，无需额外工具辅助。</w:t>
            </w:r>
          </w:p>
          <w:p w14:paraId="7141056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10.支持云端在线系统固件升级。</w:t>
            </w:r>
          </w:p>
          <w:p w14:paraId="6678DFF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11.整机安卓和全部外接通道（HDMI、Type-c）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p>
          <w:p w14:paraId="4634CC5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12.整机Windows通道支持文件传输应用，支持通过扫码、wifi直联、超声三种方式与手机进行握手连接，实现文件传输功能。</w:t>
            </w:r>
          </w:p>
          <w:p w14:paraId="728FF5A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13.整机支持手笔分离，通过提笔即写唤醒批注功能后，可进行手笔分离功能，使用笔正常书写，使用手指可以操作应用，进行点击操作。</w:t>
            </w:r>
          </w:p>
          <w:p w14:paraId="17CEFB0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14.整机支持提笔书写，在Windows系统下可实现无需点击任意功能入口，当检测到红外笔笔尖接触屏幕时，自动进入书写模式。</w:t>
            </w:r>
          </w:p>
          <w:p w14:paraId="7A8117C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15.整机触摸支持动态压力感应，支持无任何电子功能的普通书写笔在整机上书写或点压时，整机能感应压力变化，书写或点压过程笔迹呈现不同粗细。</w:t>
            </w:r>
          </w:p>
          <w:p w14:paraId="457A1E2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二、 扬声器与摄像头</w:t>
            </w:r>
          </w:p>
          <w:p w14:paraId="78E2ED5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1.整机内置2.2声道扬声器，具备多方向扬声器，额定总功率60W。</w:t>
            </w:r>
          </w:p>
          <w:p w14:paraId="34B73D0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2.支持标准、听力、观影和AI空间感知音效模式，AI空间感知音效模式可通过内置麦克风采集教室物理环境声音，自动生成符合当前教室物理环境的频段、音量、音效。</w:t>
            </w:r>
          </w:p>
          <w:p w14:paraId="74AC1D8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3.整机内置非独立外扩展的8阵列麦克风，拾音角度≥180°，可用于对教室环境音频进行采集，拾音距离≥12m。</w:t>
            </w:r>
          </w:p>
          <w:p w14:paraId="09F515B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4.整机上边框内置非独立摄像头，采用一体化集成设计，摄像头数量≥4个。内置至少三个摄像头，像素值均大于800 万。</w:t>
            </w:r>
          </w:p>
          <w:p w14:paraId="1A4FC3C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5.整机上边框内置非独立式广角高清摄像头，视场角≥142度且水平视场角≥121度，支持输出4:3、16:9比例的图片和视频；在清晰度为2592 x 1944分辨率下，支持30帧的视频输出。</w:t>
            </w:r>
          </w:p>
          <w:p w14:paraId="0115C9F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6.为了便于教师实时查看班级情况，整机上边框内置摄像头，视场角≥141度且水平视场角≥139度，支持画面畸变矫正功能。</w:t>
            </w:r>
          </w:p>
          <w:p w14:paraId="3BF2A09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三、物联功能</w:t>
            </w:r>
          </w:p>
          <w:p w14:paraId="660784B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1.整机支持蓝牙Bluetooth 5.4标准，支持版本Wi-Fi6。</w:t>
            </w:r>
          </w:p>
          <w:p w14:paraId="497C41B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2.内置双WiFi6无线网卡（不接受外接），在Android和Windows系统下，可实现Wi-Fi无线上网连接、AP无线热点发射。</w:t>
            </w:r>
          </w:p>
          <w:p w14:paraId="3EF106E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3.整机内置双WiFi6无线网卡（不接受外接），在Android下支持无线设备同时连接数量≥32个，在Windows系统下支持无线设备同时连接≥8个； </w:t>
            </w:r>
          </w:p>
          <w:p w14:paraId="3FA1CEF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4.整机支持发出频率为18kHz-22kHz超声波信号，智能手机通过麦克风接收后，智能手机与整机无需在同一局域网内，可实现配对，一键投屏，用户无需手动输入投屏码或扫码获取投屏码； </w:t>
            </w:r>
          </w:p>
          <w:p w14:paraId="3D8CA7E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5.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 </w:t>
            </w:r>
          </w:p>
          <w:p w14:paraId="581307A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四、教学桌面</w:t>
            </w:r>
          </w:p>
          <w:p w14:paraId="6D19D30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1.整机设备开机启动后，自动进入教学桌面，支持账号登录、退出，自动获取个人云端教学课件列表，并可进入全部课件列表。</w:t>
            </w:r>
          </w:p>
          <w:p w14:paraId="12C2B92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2.整机设备教学桌面支持教学白板软件和文件管理软件；教学桌面首页支持自定义桌面应用，支持展示8个应用入口，并提供进入本机所有应用的入口。</w:t>
            </w:r>
          </w:p>
          <w:p w14:paraId="534694D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3.整机设备可将应用编辑到教学桌面首页，编辑方式支持从教学桌面首页进入编辑，支持在全部应用列表中进入编辑 2 种方式。教学桌面首页应用支持无需进入应用编辑页面，在首页指定应用上长按进行移除。</w:t>
            </w:r>
          </w:p>
          <w:p w14:paraId="55C8DD5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4.整机设备教学桌面支持推荐应用，推荐应用支持移除。整机设备教学桌面支持进行应用卸载。（提供国家认可的第三方权威检测机构出具的权威检测报告）</w:t>
            </w:r>
          </w:p>
          <w:p w14:paraId="15E109C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5.整机设备教学桌面支持进行壁纸编辑，内置10张以上壁纸，并支持自定义壁纸。</w:t>
            </w:r>
          </w:p>
          <w:p w14:paraId="7541250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五、OPS模块</w:t>
            </w:r>
          </w:p>
          <w:p w14:paraId="5F377D6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1.处理器：Intel Core i5 及以上，内存：≥8G ，硬盘≥256G SSD 固态硬盘，采用抽拉内置式模块化电脑，抽拉内置式，PC模块可插入整机，可实现无单独接线的插拔。</w:t>
            </w:r>
          </w:p>
          <w:p w14:paraId="6ED2A0D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2.具有独立非外拓展的视频输出接口：≥1 路 HDMI。具有独立非外拓展的电脑 USB 接口：至少具备 3个USB3.0 接口。</w:t>
            </w:r>
          </w:p>
          <w:p w14:paraId="21727DA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3.为保证设备使用稳定性及兼容性，要求班班通与OPS模块必须为厂家，提供证明文件。</w:t>
            </w:r>
          </w:p>
          <w:p w14:paraId="404B461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六、教学软件</w:t>
            </w:r>
          </w:p>
          <w:p w14:paraId="22CB97D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1.能够为教师提供云存储空间，教师可在个人云空间中上传存储互动课件、云教案和其他教学资源。</w:t>
            </w:r>
          </w:p>
          <w:p w14:paraId="778D36F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2.互动教学课件支持定向精准分享：分享者可将互动课件、课件组精准推送至指定接收方账号云空间，接收方可在云空间接收并打开分享课件； </w:t>
            </w:r>
          </w:p>
          <w:p w14:paraId="7F82D1C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3.具有互动式教学课件资源，包含学科教育各学段各地区教材版本 100个。具有互动式教学课件资源，包含学科教育各学段教材版本全部教学章节、专题教育多个主题教育、特殊教育 不少于3 大分类的 100000 份的互动课件。课件支持教师在线评分。</w:t>
            </w:r>
          </w:p>
          <w:p w14:paraId="58B7ECD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4.具备AI智能备课助手：能按照教学环节筛选对应课件页一键插入课件中，可导入新课、作者简介。能按照元素类型思维导图、课堂活动选取需要的部分补充课件缺失的部分。 可以在查看部分课件的同时查看对应整份课件，了解作者整体教学思路。（</w:t>
            </w:r>
          </w:p>
          <w:p w14:paraId="230674B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5.具备云端静默推送下载功能，无需用户手动下载即可实现应用的在线升级，升级具有信息验证机制，确保教学秩序不受干扰。</w:t>
            </w:r>
          </w:p>
          <w:p w14:paraId="49B92EB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6.AI智能纠错：软件内置的AI智能语义分析模块，可对输入的英文文本的拼写、句型、语法进行错误检查，并支持一键纠错。</w:t>
            </w:r>
          </w:p>
          <w:p w14:paraId="6041AA7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7.AI音标助手：支持浏览和插入国际音标表，可直接点击发音，支持已整表和单个音标卡片插入。支持智能将字母、单词、句子转写为音标，并可一键插入到备课课件中形成文本。</w:t>
            </w:r>
          </w:p>
          <w:p w14:paraId="5236B4A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8.党建微课视频：提供100节党建微课视频，包含革命篇、建设篇、改革篇、复兴篇4个篇章。微课内容可在线点播，下载至课件播放。微课视频支持视频关键帧打点标记，播放过程中可一键跳转至标记位置，同时支持一键对视频内容进行截图插入课件。</w:t>
            </w:r>
          </w:p>
          <w:p w14:paraId="17BE82A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9.内置图片处理功能，无需借助专业图片处理软件即可对课件内的图片进行快速抠图，图片主体处理后边缘无明显毛边，且处理后的图片可直接上传至教师云空间供后续复用。</w:t>
            </w:r>
          </w:p>
          <w:p w14:paraId="02A71BC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10.支持对音频、视频文件进行关键帧标记，可在音、视频进度条任意位置自由设置关键帧播放节点，便于快速定位讲解关键教学内容。提供单次播放、循环播放、跨页面播放和自动播放等播放模式。跨页面播放可设置音频进行部分页面播放和全页面播放。</w:t>
            </w:r>
          </w:p>
          <w:p w14:paraId="5FE19CB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11.教师可在移动平台选择是否接收获取的分享课件，接收后课件储存至个人云空间，可在移动平台的互动课件列表预览。</w:t>
            </w:r>
          </w:p>
          <w:p w14:paraId="6D455F1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12.移动平台与授课端账号数据联通，可在移动端选择个人云空间内任意课件放映，授课端同步显示课件内容。</w:t>
            </w:r>
          </w:p>
          <w:p w14:paraId="195DBA9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13.支持NFC一碰投屏或直播。在局域网环境或无网环境下，可将移动端屏幕实时同步至授课显示端，同屏窗口、全屏显示方式根据移动端界面自动适配。</w:t>
            </w:r>
          </w:p>
          <w:p w14:paraId="3BCC066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14.提供互动课件资源库，包含学科教育、专题教育、特殊教育类课件。可获取到个人云空间，课件资源数量不低于15万份。</w:t>
            </w:r>
          </w:p>
          <w:p w14:paraId="1D1E653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15.提供将Word转换为云教案的能力，支持解析文本、表格等通用元素，方便老师迁移旧教案</w:t>
            </w:r>
          </w:p>
          <w:p w14:paraId="321D2FD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16.提供教案模板，方便老师撰写教案，预置模板包含表格式、提纲式、集备式、多课时式、单元设计式等不少于7个。支持校本模板，管理员在教研管理后台设置校本模板后，老师可在云教案模板调用。</w:t>
            </w:r>
          </w:p>
          <w:p w14:paraId="24C03A0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17.云教案内支持插入课件页，可调用云空间中的课件列表，按单页或整份插入教案。插入后的课件以窗口形式预览，可直接在窗口内进行翻页和课件元素交互，可一键全屏预览课件。</w:t>
            </w:r>
          </w:p>
          <w:p w14:paraId="7D7F9F0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18.支持实现信息化集体备课。可选择教案、课件、胶囊资源上传发起集备研讨，能够设置多重访问权限，可通过手机号搜索邀请外校老师，用于跨校教研场景。</w:t>
            </w:r>
          </w:p>
          <w:p w14:paraId="240479A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19.参备人可通过评论区发表观点，可对他人评论的观点进行点赞，评论消息会实时提醒，支持图片的上传。</w:t>
            </w:r>
          </w:p>
          <w:p w14:paraId="5ABBD8A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20.参备人可在线对教案进行随文式批注，追加批注，回复以及查看实时批注消息。</w:t>
            </w:r>
          </w:p>
          <w:p w14:paraId="7373687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21.完成本次研讨后，主备人可直接进入编辑页面编辑课件/教案，发布新稿件后，备课组进入下一轮研讨，更新稿件后会给参备老师同步教研动态。</w:t>
            </w:r>
          </w:p>
          <w:p w14:paraId="2D7B895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22.可对集备中多稿的课件/教案/胶囊进行内容的横向对比，支持批注研。参备成员可随时获取和下载每一稿中的集备稿件到云课件，进行编辑或引用。</w:t>
            </w:r>
          </w:p>
          <w:p w14:paraId="77511FB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23.研讨发起人在研讨过程中支持在线发起多人音视频研讨在线讨论，构建线上多现场同步研讨，更高效、更针对性的解决问题，研讨内容自动形成音视频记录，有效提高网络教研效率，将音视频技术与集体备课、主题研讨等常规教研活动深度融合。</w:t>
            </w:r>
          </w:p>
          <w:p w14:paraId="7E3B213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24.语音研讨：主备人可以发起远程语音集备，进入语音研讨页面并共享稿件内容，提高集备的及时性与互动性，打造更高效便利的集备形式。</w:t>
            </w:r>
          </w:p>
          <w:p w14:paraId="3D757A5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25.集备状态：支持查看集备研讨中/未研讨中的状态，支持查看参备老师的在线状态，方便参备人及时参与语音集备，快速了解集备进度。</w:t>
            </w:r>
          </w:p>
          <w:p w14:paraId="5EE258B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26.录制语音：支持主备人录制集备研讨语音和重命名录制好的讨论记录，支持参备人收听录音回放，追溯集备内容。</w:t>
            </w:r>
          </w:p>
          <w:p w14:paraId="2C71E51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27.集备管理：支持主备人管理添加/删除参备人员和控制个人和全员语音，支持邀请参备人开麦加入研讨。支持参备人控制个人语音，保障语音集备的有序性。</w:t>
            </w:r>
          </w:p>
          <w:p w14:paraId="286E1B7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28.快速评课：支持通过手机端APP快速评课，不限校内/校外听课评课，通过选择授课老师，听课日期时间和地点即可开始评课，支持按不同评价维度进行评分和记录听课感想，支持随时回顾听课记录。</w:t>
            </w:r>
          </w:p>
          <w:p w14:paraId="2321617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29.直播听评课：支持授课老师发起直播听评课，使用手机进行录影，听课老师可查看课堂直播。</w:t>
            </w:r>
          </w:p>
          <w:p w14:paraId="4018BB98">
            <w:pPr>
              <w:widowControl/>
              <w:jc w:val="left"/>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rPr>
              <w:t>30.支持通过实时音视频技术，将课堂教学现场进行实况直播，实现异地听课、评课，直播听评课结束后生成直播回放，为用户提供稳定快速的直播服务，使课堂教学研究与课堂教学同步进行，促进参与听课、评课教师的业务能力提升。</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BE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640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7DE3">
            <w:pPr>
              <w:jc w:val="center"/>
              <w:rPr>
                <w:rFonts w:ascii="宋体" w:hAnsi="宋体" w:eastAsia="宋体" w:cs="宋体"/>
                <w:color w:val="000000"/>
                <w:sz w:val="20"/>
                <w:szCs w:val="20"/>
              </w:rPr>
            </w:pPr>
          </w:p>
        </w:tc>
      </w:tr>
      <w:bookmarkEnd w:id="163"/>
      <w:tr w14:paraId="2D3CC345">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16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2B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智能控制电气柜</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5B383">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规格：≥680×400×1770mm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智能控制电气柜内置总电源开关1个，电源保护器1个，PLC控制器及功能扩展模块1套，PLC专用电源1个，PLC保护模块1个、急停控制系统1个，工作指示灯1个等。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（1）电源控制系统：PLC智能化控制系统集中控制，具有过载、短路等保护功能；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（2）给排水控制系统：给水系统：设有总给水控制阀门，教师可以方便对全室供水系统进行控制。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     自动排水系统：所有排水由智能化控制系统集中控制。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通风控制系统：采用风机矢量控制变频器：应用空间电压矢量控制原理，采用模块化设计、双CPU控制，是集数字技术、计算机技术、现代自控技术于一体的高科技产品，具有精度高、噪音低、转矩大、性能可靠等特点。主要参数指标为：1.频率指示、异常指示、转速指示、状态指示等均由LED显示；2.输入额定电压：三相380V，±15%；3.输入额定频率：50/60HZ；4.控制方式：空间电压矢量控制；5.输出频率：1.00~400.0HZ；6.过载能力：150%额定电流；7.保护功能：输入缺相、输入欠压、直流过压、过载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（4）摇臂自动控制系统：系统集中控制教室摇臂功能。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控制系统：采用工程PLC控制系统。</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（1）通信及运行状态指示灯；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（2）所有模块的输入输出端子可拆卸；</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（3）插针式连接，模块连接紧密；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（4）通用Micro SD卡，支持程序下载和PLC固件更新；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（5）集成PROFINET接口，支持程序下载、设备组网。</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控制面板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≥7寸触摸屏，集中控制系统。可执行各分项分页控制；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（1）供水控制：可实现远程集中控制整室给排水；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（2）电源控制：可实现远程分组控制学生高低压电源；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（3）摇臂控制：可实现远程控制摇臂升降机构。</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（4）通风控制：可实现远程触摸数字无极变频控制，具有频率数字显示功能，可精确控制通风风量。</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4E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53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D468">
            <w:pPr>
              <w:jc w:val="center"/>
              <w:rPr>
                <w:rFonts w:ascii="宋体" w:hAnsi="宋体" w:eastAsia="宋体" w:cs="宋体"/>
                <w:color w:val="000000"/>
                <w:sz w:val="20"/>
                <w:szCs w:val="20"/>
              </w:rPr>
            </w:pPr>
          </w:p>
        </w:tc>
      </w:tr>
      <w:tr w14:paraId="63404BBC">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780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E2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网络智能控制系统</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647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安装网络数据传输设备，吊装系统覆盖网络，接受智能控制。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网络线路：工程级无氧铜六类双绞线。</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75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02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F307">
            <w:pPr>
              <w:jc w:val="center"/>
              <w:rPr>
                <w:rFonts w:ascii="宋体" w:hAnsi="宋体" w:eastAsia="宋体" w:cs="宋体"/>
                <w:color w:val="000000"/>
                <w:sz w:val="20"/>
                <w:szCs w:val="20"/>
              </w:rPr>
            </w:pPr>
          </w:p>
        </w:tc>
      </w:tr>
      <w:tr w14:paraId="35144DF0">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1F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E1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低压电源控制系统</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6F79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通过控制面板可控制学生低压交直流电源。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1、低压交流电源2-30V/3A（2V一档）；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2、低压直流电源：1.25V-30V/3A，学生可进行微调。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吊顶安装可升降集成系统内部电气布线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3.供电线路：采用通用铜芯电线进行系统布线。</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D7F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38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E8AB">
            <w:pPr>
              <w:jc w:val="center"/>
              <w:rPr>
                <w:rFonts w:ascii="宋体" w:hAnsi="宋体" w:eastAsia="宋体" w:cs="宋体"/>
                <w:color w:val="000000"/>
                <w:sz w:val="20"/>
                <w:szCs w:val="20"/>
              </w:rPr>
            </w:pPr>
          </w:p>
        </w:tc>
      </w:tr>
      <w:tr w14:paraId="4190FB1C">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F4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58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万向式吸风罩</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EEDB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1、万向节采用铝合金材质，表面经电泳、静电环氧树脂粉末喷涂处理，具有耐腐蚀、防火、防潮等功能；活动关节采用高密度PP材质，旋钮式螺纹压紧；可360度旋转调节方向，易拆卸、重组及清洗；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2、气流调节阀采用手动调节外部阀门旋钮，控制进入之气流量；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3、360°旋转装置活动半径≥900mm；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4、PC塑料成型制作风口柔性伸缩连接管；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在通风机的强制抽风下经吸风罩汇入将实验废气排出室外，最佳排气距离可调整。</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10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22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17</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B4A9">
            <w:pPr>
              <w:jc w:val="center"/>
              <w:rPr>
                <w:rFonts w:ascii="宋体" w:hAnsi="宋体" w:eastAsia="宋体" w:cs="宋体"/>
                <w:color w:val="000000"/>
                <w:sz w:val="20"/>
                <w:szCs w:val="20"/>
              </w:rPr>
            </w:pPr>
          </w:p>
        </w:tc>
      </w:tr>
      <w:tr w14:paraId="47F23A8A">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BF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5BD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吊装式通风管道</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48C3">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吊顶安装可升降集成系统内部通风布管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规格尺寸：标准模块化组成，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通风主管道、支管道均采用防腐蚀PVC制作而成，根据现场实际情况选用：Ø250mm、Ø200mm、Ø160mm风道，接口采用专用接口连接。</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0A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1A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E716">
            <w:pPr>
              <w:jc w:val="center"/>
              <w:rPr>
                <w:rFonts w:ascii="宋体" w:hAnsi="宋体" w:eastAsia="宋体" w:cs="宋体"/>
                <w:color w:val="000000"/>
                <w:sz w:val="20"/>
                <w:szCs w:val="20"/>
              </w:rPr>
            </w:pPr>
          </w:p>
        </w:tc>
      </w:tr>
      <w:tr w14:paraId="4D97E937">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98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FDA2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吊装通风装置</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FA9A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1.实验通风机规格：功率5.5KW，箱式变频6#带自动调速机。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内径尺寸：≥1100×1100×1100mm，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重量：约210kg</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电压：380V</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工作时：噪音≤70分贝,配一体化消声器材、风流量10210-15600M3/h，全压946-890Pa，转速：950r/min,每小时教室换气次数20次以上，排毒（3-5分钟每次）达到98%。可根据室内环境调节。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64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F4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5A804">
            <w:pPr>
              <w:jc w:val="center"/>
              <w:rPr>
                <w:rFonts w:ascii="宋体" w:hAnsi="宋体" w:eastAsia="宋体" w:cs="宋体"/>
                <w:color w:val="000000"/>
                <w:sz w:val="20"/>
                <w:szCs w:val="20"/>
              </w:rPr>
            </w:pPr>
          </w:p>
        </w:tc>
      </w:tr>
      <w:tr w14:paraId="105C595F">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74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11</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23A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吊装通风装置辅件</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362A">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1.风机控制线管：规格：Ø25mm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2.风机控制专用线：4平方毫米、2.5平方毫米电线。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3.室外行程通风管道：根据现场实际情况选用φ250mm等规格防腐蚀UPVC管及弯头，管卡采用碳钢制作，表面经镀铬处理，具有耐腐蚀、防火、防潮等功能。</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4CE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0B0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11ED">
            <w:pPr>
              <w:jc w:val="center"/>
              <w:rPr>
                <w:rFonts w:ascii="宋体" w:hAnsi="宋体" w:eastAsia="宋体" w:cs="宋体"/>
                <w:color w:val="000000"/>
                <w:sz w:val="20"/>
                <w:szCs w:val="20"/>
              </w:rPr>
            </w:pPr>
          </w:p>
        </w:tc>
      </w:tr>
      <w:tr w14:paraId="43EFF413">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A33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6B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摇臂升降机构</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250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摇臂升降机构接受智能控制系统信号实现远程遥控，动力为24V低压减速电机，固定于专用支架，外部保护罩为ABS工程塑料。</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支撑悬臂：采用不小于1.2mm厚≥60×50mm椭圆形铝镁合金大型模具制作而成，表面阳极氧化磨砂处理。 功能操作模块规格（长×高×厚）：不小于280×280×80mm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 1、表面圆润防止学生磕碰；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2、功能操作模块主体采用≥3.5mm厚ABS阻燃工程塑料一次注塑成型,具有防火、防潮、防锈及防漏电功能；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3、每组功能操作模块配备急停按钮，在紧急情况下快速切断设备电源，保障实验室安全。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4、功能操作面板预留电源功能模块，功能模块成田字状分布方便学生使用；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5、每组功能操作模块可满足两组学生用电功能需求。为避免学生身高无法使用电源模块，最高处电源模块中心点距离操作面板底端不得超过150mm。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6、功能接口模块包含：220V电源五孔插座、网络接口。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7、所有紧固零件均采用不锈钢材质；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8、所有功能模块均接受智能控制系统控制。</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4C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142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FC5C">
            <w:pPr>
              <w:jc w:val="center"/>
              <w:rPr>
                <w:rFonts w:ascii="宋体" w:hAnsi="宋体" w:eastAsia="宋体" w:cs="宋体"/>
                <w:color w:val="000000"/>
                <w:sz w:val="20"/>
                <w:szCs w:val="20"/>
              </w:rPr>
            </w:pPr>
          </w:p>
        </w:tc>
      </w:tr>
      <w:tr w14:paraId="0B8B2B86">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38F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13</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E5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快速给排水接口</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EC740">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接收智能化控制系统控制，摇臂操作面板上预留快速给排水接口1对、信号控制接口1个。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快速给水接口采用防锈工艺，自带止流阀（止流阀可实现拔出给水管接头时，出水口自动止水）；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快速排水接口采用耐腐蚀、耐热、耐压、不结垢的PPR工程塑料注塑成型。</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FF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5FF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B1C9">
            <w:pPr>
              <w:jc w:val="center"/>
              <w:rPr>
                <w:rFonts w:ascii="宋体" w:hAnsi="宋体" w:eastAsia="宋体" w:cs="宋体"/>
                <w:color w:val="000000"/>
                <w:sz w:val="20"/>
                <w:szCs w:val="20"/>
              </w:rPr>
            </w:pPr>
          </w:p>
        </w:tc>
      </w:tr>
      <w:tr w14:paraId="289F4FC5">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C8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14</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28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多功能移动水槽台</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D119">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规格尺寸：≥500×600×1030H/水槽深度≥270mm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 水槽台上部为多功能安装平台采用≥3.8mm厚耐酸碱PP工程塑料整体模具注塑成型，多功能平台集成有给排水快速接口、信号控制接口、三联水嘴、≥8试管位滴水架。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 水槽与台面采用≥3.8mm厚耐酸碱PP工程塑料整体模具一体注塑成型，台面设有溢水口及台式洗眼器，内部集成自动水位控制系统，四周边缘设计挡水边。</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3、三联水嘴采用耐腐蚀、耐热、耐压、不结垢的PPR工程塑料模具注塑成型。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低压学生电源2组，分别固定安装于两侧，接收智能化控制系统控制，低压交流电源2-30V/3A（2V一档）（短路、过载自动保护、自动复位）；低压直流电源：1.25V-30V/3A，学生可进行微调；交直流电压均采用数码显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5、水槽台采用双层过滤结构，水槽下水口带有过滤网，水槽台中部配备抽屉式过滤层并安装通锁，背面预留检修口。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6、水槽内设有水位传感器及排水装置，有自动排水和手动及紧急排水功能，将废水自动排出。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7、摇臂设有自检测功能，当水槽信号控制线与摇臂相连时，摇臂处于使用状态，摇臂处于锁定状态，不能升降，避免各种误操作。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给排水快速接口与摇臂操作面板设计排水接口采用PVC软管（具有防酸、防碱、耐腐蚀功能）连接，接口均采用自动锁紧插拔式连接方式（拔掉时没有污水流出），用时接上，不用时可收起。（配置给排水PVC软管2根、信号控制快速航空接头及连接线1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9、水槽台底部安装静音万向轮。</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C5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A2C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E2FE">
            <w:pPr>
              <w:jc w:val="center"/>
              <w:rPr>
                <w:rFonts w:ascii="宋体" w:hAnsi="宋体" w:eastAsia="宋体" w:cs="宋体"/>
                <w:color w:val="000000"/>
                <w:sz w:val="20"/>
                <w:szCs w:val="20"/>
              </w:rPr>
            </w:pPr>
          </w:p>
        </w:tc>
      </w:tr>
      <w:tr w14:paraId="77A53B05">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50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6C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给排水管</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391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吊顶安装可升降集成系统内部给排水布管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1.给水主管选用Ø20-32mmPP-R给水管，模块化设计，每组模块间采用活接式连接，方便安装、检修。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2.排水管选用加厚Ø50-75mmPVC-U国标管，模块化设计，每组模块间采用活接式连接，方便安装、检修。</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BBA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A489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0997">
            <w:pPr>
              <w:jc w:val="center"/>
              <w:rPr>
                <w:rFonts w:ascii="宋体" w:hAnsi="宋体" w:eastAsia="宋体" w:cs="宋体"/>
                <w:color w:val="000000"/>
                <w:sz w:val="20"/>
                <w:szCs w:val="20"/>
              </w:rPr>
            </w:pPr>
          </w:p>
        </w:tc>
      </w:tr>
      <w:tr w14:paraId="7F7B9999">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70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16</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75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吊顶安装可升降集成系统</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1409">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1、运用标准的模块化构建手段，依照实验室的特定空间状况进行精准设计安装。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外形及材质：底板规格不小于200×300mm，侧板规格不小于300×240mm；底板、侧板均采用厚度2.6mmABS工程塑料注塑成型，ABS工程塑料材质具有耐腐蚀可有效抵抗在实验室环境中化学物质的侵蚀；具有良好的绝缘性能，提高设备的电气安全性，降低短路和漏电的风险。</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3、内部预留管线安装位置，采用分层设计，可根据功能要求分层布置通风管路、给排水管路、电气网络线路。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4、所有安装部件采用模块化设计，拆卸方便，便于检修。</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99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251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A043">
            <w:pPr>
              <w:jc w:val="center"/>
              <w:rPr>
                <w:rFonts w:ascii="宋体" w:hAnsi="宋体" w:eastAsia="宋体" w:cs="宋体"/>
                <w:color w:val="000000"/>
                <w:sz w:val="20"/>
                <w:szCs w:val="20"/>
              </w:rPr>
            </w:pPr>
          </w:p>
        </w:tc>
      </w:tr>
      <w:tr w14:paraId="7C68C007">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A5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17</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EA0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系统安装辅件</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75E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采用固定横梁吊装方式，减少楼板承重，防止左右晃动，可进行上下、左右的平衡调节。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主要辅件有：矩形钢、三角构件、直角座、龙骨架连接件、吊装挂件、安装连接板等。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1.整室产品安装费用：包括组合式智慧演示台、学生实验桌、学生实验凳、学生实验椅等。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2.室外通风管道安装（若特殊情况需使用吊车，则吊车费用另算）。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3.吊装设备安装调试：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1）吊顶安装可升降集成系统不用破坏原有地面，模块化结构设计，采用吊装安装方式；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2）系统结构安装调试；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3）系统控制安装调试；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4）通风系统安装调试；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5）给排水安装调试；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6）供电系统安装调试；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7）照明系统安装调试；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8）网络系统安装调试</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2DD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AC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B44A">
            <w:pPr>
              <w:jc w:val="center"/>
              <w:rPr>
                <w:rFonts w:ascii="宋体" w:hAnsi="宋体" w:eastAsia="宋体" w:cs="宋体"/>
                <w:color w:val="000000"/>
                <w:sz w:val="20"/>
                <w:szCs w:val="20"/>
              </w:rPr>
            </w:pPr>
          </w:p>
        </w:tc>
      </w:tr>
      <w:tr w14:paraId="3C4BA298">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C0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18</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A8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化学元素墙</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1F2A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1、设备参数：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规格：5*2m（）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电源：AC220V/50Hz</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功率：500W</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部面：主体背板（灰）、显示终端、互动软面、亚克力材料、实物模型、组合功能模块、按钮及控制器等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2、功能描述：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展项整体为透明橱柜展示形式，墙面布满化学元素周期表部分实物及展示背景灯箱。将平面的化学元素周期表转换为三维的实物元素周期表，我们将118个化学元素以实物的形式展示在观众眼前，其中81种元素展示了的单个元素样品，由于部分元素的稀有性和放射性，被排除在外。</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居里元素周期表适合中学课堂使用的化学元素表。其中可将元素按照不同种类分组，可显示同种元素的多种不同模型，可查看每个元素的详细介绍以及详细属性，如发现年份、性状、燃点、沸点等，甚至可以看到关于不同元素各个常见同位素的知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展示元素标本：氢气、氦气、锂、铍、硼、碳、氮气、氧气、氟、氖气、钠、镁、铝、硅、磷、硫、氯、氩气、钾、钙、钪、钛、钒、铬、锰、铁、钴、镍、铜、锌、镓、锗、砷、硒、溴、氪气、铷、锶、钇、锆、铌、钼、钌粉、铑丝、钯、银、镉、铟块、锡、锑、碲、碘、氙气、铯、钡、镧、铈、镨、钕、钐、铕、钆、铽、镝、钬、铒、铥、镱、镥、铪、钽、钨、铼、锇、铱、铂、金、汞、铅、铋，共计80种实物元素，实物样品多达300种，从正面的每个小方格子能看到放有立体实物元素和相关生活用品实物展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未展示元素图文：锝、钷、钋、砹、氡、钫、镭、锕、钍、镤、铀、铊、镎、钚、镅、锔、锫、锎、锿、镄、钔、锘、铹、鈩、钅杜、钅喜、钅波、钅黑、䥑、鐽、錀、鎶、鉨、鈇、钅莫、鉝、石田、气奥，共计38种元素,由于这些元素无法用肉眼观测，属于稀有元素，所以结合图文灯片进行科普展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含一套我公司自主研发的《化学元素周期表》互动软面，通过视频和图文介绍了118个化学元素，每个元素都有独立介绍视频或图文，结合生活中的应用场景，生活用品以及安全常识展示了每个化学元素独特的属性。引导观众自主学习，将化学应用到生活中，运用化学知识解决生活中遇见的问题。多种多样的展现形式和互动手段可以让学生们在参观体验的过程中领略到科学精神，享受探索与发现所带来的乐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3、操作说明：</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进入体验区，根据指示牌操作，进行科普互动学习。</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0E3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AF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DEAA">
            <w:pPr>
              <w:jc w:val="center"/>
              <w:rPr>
                <w:rFonts w:ascii="宋体" w:hAnsi="宋体" w:eastAsia="宋体" w:cs="宋体"/>
                <w:color w:val="000000"/>
                <w:sz w:val="20"/>
                <w:szCs w:val="20"/>
              </w:rPr>
            </w:pPr>
          </w:p>
        </w:tc>
      </w:tr>
      <w:tr w14:paraId="2AF9468D">
        <w:tblPrEx>
          <w:tblCellMar>
            <w:top w:w="0" w:type="dxa"/>
            <w:left w:w="108" w:type="dxa"/>
            <w:bottom w:w="0" w:type="dxa"/>
            <w:right w:w="108" w:type="dxa"/>
          </w:tblCellMar>
        </w:tblPrEx>
        <w:trPr>
          <w:trHeight w:val="400" w:hRule="atLeast"/>
        </w:trPr>
        <w:tc>
          <w:tcPr>
            <w:tcW w:w="460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D0C53EC">
            <w:pPr>
              <w:widowControl/>
              <w:jc w:val="left"/>
              <w:textAlignment w:val="center"/>
              <w:rPr>
                <w:rFonts w:ascii="宋体" w:hAnsi="宋体" w:eastAsia="宋体" w:cs="宋体"/>
                <w:b/>
                <w:bCs/>
                <w:color w:val="000000"/>
                <w:sz w:val="20"/>
                <w:szCs w:val="20"/>
              </w:rPr>
            </w:pPr>
            <w:r>
              <w:rPr>
                <w:rFonts w:hint="eastAsia" w:ascii="宋体" w:hAnsi="宋体" w:cs="宋体"/>
                <w:b/>
                <w:bCs/>
                <w:color w:val="000000"/>
                <w:sz w:val="20"/>
                <w:szCs w:val="20"/>
                <w:lang w:val="en-US" w:eastAsia="zh-CN"/>
              </w:rPr>
              <w:t>2.AI智阅批改区</w:t>
            </w:r>
          </w:p>
        </w:tc>
        <w:tc>
          <w:tcPr>
            <w:tcW w:w="39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4B102DD">
            <w:pPr>
              <w:widowControl/>
              <w:jc w:val="left"/>
              <w:textAlignment w:val="center"/>
              <w:rPr>
                <w:rFonts w:ascii="宋体" w:hAnsi="宋体" w:eastAsia="宋体" w:cs="宋体"/>
                <w:b/>
                <w:bCs/>
                <w:color w:val="000000"/>
                <w:sz w:val="20"/>
                <w:szCs w:val="20"/>
              </w:rPr>
            </w:pPr>
          </w:p>
        </w:tc>
      </w:tr>
      <w:tr w14:paraId="61D01277">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C95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21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智能作业扫描留痕</w:t>
            </w:r>
            <w:r>
              <w:rPr>
                <w:rFonts w:hint="eastAsia" w:ascii="Times New Roman" w:hAnsi="Times New Roman" w:eastAsia="宋体" w:cs="Times New Roman"/>
                <w:color w:val="000000"/>
                <w:kern w:val="0"/>
                <w:sz w:val="20"/>
                <w:szCs w:val="20"/>
              </w:rPr>
              <w:t>批改</w:t>
            </w:r>
            <w:r>
              <w:rPr>
                <w:rFonts w:ascii="Times New Roman" w:hAnsi="Times New Roman" w:eastAsia="宋体" w:cs="Times New Roman"/>
                <w:color w:val="000000"/>
                <w:kern w:val="0"/>
                <w:sz w:val="20"/>
                <w:szCs w:val="20"/>
              </w:rPr>
              <w:t>一体机</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E04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highlight w:val="none"/>
              </w:rPr>
              <w:t>支持作业云打印、作业扫描、作业批改痕迹留痕打印一体，读卡器自动识别，双纸盒，最大支持A3幅面，扫描速度单面60页/分，双面120页/分，可实现教师布置作业后，远程刷卡打印本班批改留痕作业</w:t>
            </w:r>
            <w:r>
              <w:rPr>
                <w:rFonts w:ascii="Times New Roman" w:hAnsi="Times New Roman" w:eastAsia="宋体" w:cs="Times New Roman"/>
                <w:color w:val="000000"/>
                <w:kern w:val="0"/>
                <w:sz w:val="20"/>
                <w:szCs w:val="20"/>
              </w:rPr>
              <w:t>。</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62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2A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477E">
            <w:pPr>
              <w:jc w:val="center"/>
              <w:rPr>
                <w:rFonts w:ascii="宋体" w:hAnsi="宋体" w:eastAsia="宋体" w:cs="宋体"/>
                <w:color w:val="000000"/>
                <w:sz w:val="20"/>
                <w:szCs w:val="20"/>
              </w:rPr>
            </w:pPr>
          </w:p>
        </w:tc>
      </w:tr>
      <w:tr w14:paraId="2BD61127">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F8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8CF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化学教室专用沙发</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37E49">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1.整体尺寸约为1400*650*720mm(长*宽*高)；</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2.内部为木制框架，海绵坐垫，外包PU，颜色根据设计要求进行。</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A2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84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6F0B">
            <w:pPr>
              <w:jc w:val="center"/>
              <w:rPr>
                <w:rFonts w:ascii="宋体" w:hAnsi="宋体" w:eastAsia="宋体" w:cs="宋体"/>
                <w:color w:val="000000"/>
                <w:sz w:val="20"/>
                <w:szCs w:val="20"/>
              </w:rPr>
            </w:pPr>
          </w:p>
        </w:tc>
      </w:tr>
      <w:tr w14:paraId="53A0A866">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C2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6A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化学教室专用茶几</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BADF">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规格≥1300*650*450mm；白色木质桌台面+金属框架底座；台面采用≥18mmE1级三聚氰胺板；金属底座架，满焊焊接，表面酸洗磷化后，环氧树脂塑粉高温固化处理。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5E8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DB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6530">
            <w:pPr>
              <w:jc w:val="center"/>
              <w:rPr>
                <w:rFonts w:ascii="宋体" w:hAnsi="宋体" w:eastAsia="宋体" w:cs="宋体"/>
                <w:color w:val="000000"/>
                <w:sz w:val="20"/>
                <w:szCs w:val="20"/>
              </w:rPr>
            </w:pPr>
          </w:p>
        </w:tc>
      </w:tr>
      <w:tr w14:paraId="73E59078">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0A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AD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资料柜</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849FB">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主材采用符合国家标准的≥18㎜厚E1级三聚氰胺板；顶板、柜内层板采用≥16㎜厚E1级三聚氰胺板；截面采用≥2mm厚PVC同色封边；本柜共4门，上节柜为木框玻璃对开门，内配两块活动层板，分三层空间；下节柜为木质对开门，配一块活动层板。优质五金配件，合金铰链。</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BD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70C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6EE2">
            <w:pPr>
              <w:jc w:val="center"/>
              <w:rPr>
                <w:rFonts w:ascii="宋体" w:hAnsi="宋体" w:eastAsia="宋体" w:cs="宋体"/>
                <w:color w:val="000000"/>
                <w:sz w:val="20"/>
                <w:szCs w:val="20"/>
              </w:rPr>
            </w:pPr>
          </w:p>
        </w:tc>
      </w:tr>
      <w:tr w14:paraId="13770775">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5B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66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化学教室专用置物架</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F8303">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1、基材：采用优质三聚氰胺板,优质绿色环保产品,含水 率10.8%，甲醛释放量5.1mg/100g, 2、粘合剂：优质乳胶,游离甲醛含量＜0.05g/kg， 3、封边用材：1mm厚PVC胶边，热熔胶.          4、品牌优质五金配件；</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05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80A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1D00">
            <w:pPr>
              <w:jc w:val="center"/>
              <w:rPr>
                <w:rFonts w:ascii="宋体" w:hAnsi="宋体" w:eastAsia="宋体" w:cs="宋体"/>
                <w:color w:val="000000"/>
                <w:sz w:val="20"/>
                <w:szCs w:val="20"/>
              </w:rPr>
            </w:pPr>
          </w:p>
        </w:tc>
      </w:tr>
      <w:tr w14:paraId="69D01092">
        <w:tblPrEx>
          <w:tblCellMar>
            <w:top w:w="0" w:type="dxa"/>
            <w:left w:w="108" w:type="dxa"/>
            <w:bottom w:w="0" w:type="dxa"/>
            <w:right w:w="108" w:type="dxa"/>
          </w:tblCellMar>
        </w:tblPrEx>
        <w:trPr>
          <w:trHeight w:val="400" w:hRule="atLeast"/>
        </w:trPr>
        <w:tc>
          <w:tcPr>
            <w:tcW w:w="4607"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27DA9002">
            <w:pPr>
              <w:widowControl/>
              <w:jc w:val="left"/>
              <w:textAlignment w:val="center"/>
              <w:rPr>
                <w:rFonts w:ascii="宋体" w:hAnsi="宋体" w:eastAsia="宋体" w:cs="宋体"/>
                <w:b/>
                <w:bCs/>
                <w:color w:val="000000"/>
                <w:sz w:val="20"/>
                <w:szCs w:val="20"/>
              </w:rPr>
            </w:pPr>
            <w:r>
              <w:rPr>
                <w:rFonts w:hint="eastAsia" w:ascii="宋体" w:hAnsi="宋体" w:cs="宋体"/>
                <w:b/>
                <w:bCs/>
                <w:color w:val="000000"/>
                <w:sz w:val="20"/>
                <w:szCs w:val="20"/>
                <w:lang w:val="en-US" w:eastAsia="zh-CN"/>
              </w:rPr>
              <w:t>3.精准教学讨论区</w:t>
            </w:r>
          </w:p>
        </w:tc>
        <w:tc>
          <w:tcPr>
            <w:tcW w:w="392"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00D20BA">
            <w:pPr>
              <w:widowControl/>
              <w:jc w:val="left"/>
              <w:textAlignment w:val="center"/>
              <w:rPr>
                <w:rFonts w:ascii="宋体" w:hAnsi="宋体" w:eastAsia="宋体" w:cs="宋体"/>
                <w:b/>
                <w:bCs/>
                <w:color w:val="000000"/>
                <w:sz w:val="20"/>
                <w:szCs w:val="20"/>
              </w:rPr>
            </w:pPr>
          </w:p>
        </w:tc>
      </w:tr>
      <w:tr w14:paraId="73A57053">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D8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2A0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教研专用桌</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2A8F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材质：采用符合E1级环保要求的三聚氰胺板，厚度≥25mm；；封边用材：≥2mm厚PVC胶边，全自动封边机热熔胶封边；桌架采用优质国标碳素钢，桌架壁厚度≥1.2mm，截面≥50*15mm，表面经酸洗磷化、纯环氧树脂塑粉高温固化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3、优质国标五金配件，隐藏式插座、接线盒。</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4E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1C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5390">
            <w:pPr>
              <w:jc w:val="center"/>
              <w:rPr>
                <w:rFonts w:ascii="宋体" w:hAnsi="宋体" w:eastAsia="宋体" w:cs="宋体"/>
                <w:color w:val="000000"/>
                <w:sz w:val="20"/>
                <w:szCs w:val="20"/>
              </w:rPr>
            </w:pPr>
          </w:p>
        </w:tc>
      </w:tr>
      <w:tr w14:paraId="70B3CC97">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DD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9F1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教研专用椅</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DBF5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规格≥460*470*930mm；靠背采用网布材料；座垫内置高回弹定型海绵，外罩网布；PP扶手；电镀钢制弓形腿。</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55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把</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0E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D530">
            <w:pPr>
              <w:jc w:val="center"/>
              <w:rPr>
                <w:rFonts w:ascii="宋体" w:hAnsi="宋体" w:eastAsia="宋体" w:cs="宋体"/>
                <w:color w:val="000000"/>
                <w:sz w:val="20"/>
                <w:szCs w:val="20"/>
              </w:rPr>
            </w:pPr>
          </w:p>
        </w:tc>
      </w:tr>
      <w:tr w14:paraId="01785265">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C9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8D3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一体机支架</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FD0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移动支架通过防倾斜实验，正负</w:t>
            </w:r>
            <w:r>
              <w:rPr>
                <w:rFonts w:ascii="Times New Roman" w:hAnsi="Times New Roman" w:eastAsia="宋体" w:cs="Times New Roman"/>
                <w:color w:val="000000"/>
                <w:kern w:val="0"/>
                <w:sz w:val="20"/>
                <w:szCs w:val="20"/>
              </w:rPr>
              <w:t>10</w:t>
            </w:r>
            <w:r>
              <w:rPr>
                <w:rFonts w:hint="eastAsia" w:ascii="宋体" w:hAnsi="宋体" w:eastAsia="宋体" w:cs="宋体"/>
                <w:color w:val="000000"/>
                <w:kern w:val="0"/>
                <w:sz w:val="20"/>
                <w:szCs w:val="20"/>
              </w:rPr>
              <w:t>度倾斜角度下不能翻倒；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承挂</w:t>
            </w:r>
            <w:r>
              <w:rPr>
                <w:rFonts w:ascii="Times New Roman" w:hAnsi="Times New Roman" w:eastAsia="宋体" w:cs="Times New Roman"/>
                <w:color w:val="000000"/>
                <w:kern w:val="0"/>
                <w:sz w:val="20"/>
                <w:szCs w:val="20"/>
              </w:rPr>
              <w:t>≥100kg</w:t>
            </w:r>
            <w:r>
              <w:rPr>
                <w:rFonts w:hint="eastAsia" w:ascii="宋体" w:hAnsi="宋体" w:eastAsia="宋体" w:cs="宋体"/>
                <w:color w:val="000000"/>
                <w:kern w:val="0"/>
                <w:sz w:val="20"/>
                <w:szCs w:val="20"/>
              </w:rPr>
              <w:t>；整体高度</w:t>
            </w:r>
            <w:r>
              <w:rPr>
                <w:rFonts w:ascii="Times New Roman" w:hAnsi="Times New Roman" w:eastAsia="宋体" w:cs="Times New Roman"/>
                <w:color w:val="000000"/>
                <w:kern w:val="0"/>
                <w:sz w:val="20"/>
                <w:szCs w:val="20"/>
              </w:rPr>
              <w:t>≥1597mm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托盘承重</w:t>
            </w:r>
            <w:r>
              <w:rPr>
                <w:rFonts w:ascii="Times New Roman" w:hAnsi="Times New Roman" w:eastAsia="宋体" w:cs="Times New Roman"/>
                <w:color w:val="000000"/>
                <w:kern w:val="0"/>
                <w:sz w:val="20"/>
                <w:szCs w:val="20"/>
              </w:rPr>
              <w:t>25KG,</w:t>
            </w:r>
            <w:r>
              <w:rPr>
                <w:rFonts w:hint="eastAsia" w:ascii="宋体" w:hAnsi="宋体" w:eastAsia="宋体" w:cs="宋体"/>
                <w:color w:val="000000"/>
                <w:kern w:val="0"/>
                <w:sz w:val="20"/>
                <w:szCs w:val="20"/>
              </w:rPr>
              <w:t>模具设置</w:t>
            </w:r>
            <w:r>
              <w:rPr>
                <w:rFonts w:ascii="Times New Roman" w:hAnsi="Times New Roman" w:eastAsia="宋体" w:cs="Times New Roman"/>
                <w:color w:val="000000"/>
                <w:kern w:val="0"/>
                <w:sz w:val="20"/>
                <w:szCs w:val="20"/>
              </w:rPr>
              <w:t>U</w:t>
            </w:r>
            <w:r>
              <w:rPr>
                <w:rFonts w:hint="eastAsia" w:ascii="宋体" w:hAnsi="宋体" w:eastAsia="宋体" w:cs="宋体"/>
                <w:color w:val="000000"/>
                <w:kern w:val="0"/>
                <w:sz w:val="20"/>
                <w:szCs w:val="20"/>
              </w:rPr>
              <w:t>型置物槽，方便触摸笔、遥控器等物品放置；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支撑立杆采用壁厚</w:t>
            </w:r>
            <w:r>
              <w:rPr>
                <w:rFonts w:ascii="Times New Roman" w:hAnsi="Times New Roman" w:eastAsia="宋体" w:cs="Times New Roman"/>
                <w:color w:val="000000"/>
                <w:kern w:val="0"/>
                <w:sz w:val="20"/>
                <w:szCs w:val="20"/>
              </w:rPr>
              <w:t>≥1.8mm</w:t>
            </w:r>
            <w:r>
              <w:rPr>
                <w:rFonts w:hint="eastAsia" w:ascii="宋体" w:hAnsi="宋体" w:eastAsia="宋体" w:cs="宋体"/>
                <w:color w:val="000000"/>
                <w:kern w:val="0"/>
                <w:sz w:val="20"/>
                <w:szCs w:val="20"/>
              </w:rPr>
              <w:t>方通冷轧钢材质，表面黑色喷涂；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w:t>
            </w:r>
            <w:r>
              <w:rPr>
                <w:rFonts w:hint="eastAsia" w:ascii="宋体" w:hAnsi="宋体" w:eastAsia="宋体" w:cs="宋体"/>
                <w:color w:val="000000"/>
                <w:kern w:val="0"/>
                <w:sz w:val="20"/>
                <w:szCs w:val="20"/>
              </w:rPr>
              <w:t>脚轮为万向轮，聚氨酯（</w:t>
            </w:r>
            <w:r>
              <w:rPr>
                <w:rFonts w:ascii="Times New Roman" w:hAnsi="Times New Roman" w:eastAsia="宋体" w:cs="Times New Roman"/>
                <w:color w:val="000000"/>
                <w:kern w:val="0"/>
                <w:sz w:val="20"/>
                <w:szCs w:val="20"/>
              </w:rPr>
              <w:t>PU</w:t>
            </w:r>
            <w:r>
              <w:rPr>
                <w:rFonts w:hint="eastAsia" w:ascii="宋体" w:hAnsi="宋体" w:eastAsia="宋体" w:cs="宋体"/>
                <w:color w:val="000000"/>
                <w:kern w:val="0"/>
                <w:sz w:val="20"/>
                <w:szCs w:val="20"/>
              </w:rPr>
              <w:t>）材质，均带脚刹，直径不小于∮</w:t>
            </w:r>
            <w:r>
              <w:rPr>
                <w:rFonts w:ascii="Times New Roman" w:hAnsi="Times New Roman" w:eastAsia="宋体" w:cs="Times New Roman"/>
                <w:color w:val="000000"/>
                <w:kern w:val="0"/>
                <w:sz w:val="20"/>
                <w:szCs w:val="20"/>
              </w:rPr>
              <w:t>75mm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hint="eastAsia" w:ascii="宋体" w:hAnsi="宋体" w:eastAsia="宋体" w:cs="宋体"/>
                <w:color w:val="000000"/>
                <w:kern w:val="0"/>
                <w:sz w:val="20"/>
                <w:szCs w:val="20"/>
              </w:rPr>
              <w:t>脚轮中心距横向</w:t>
            </w:r>
            <w:r>
              <w:rPr>
                <w:rFonts w:ascii="Times New Roman" w:hAnsi="Times New Roman" w:eastAsia="宋体" w:cs="Times New Roman"/>
                <w:color w:val="000000"/>
                <w:kern w:val="0"/>
                <w:sz w:val="20"/>
                <w:szCs w:val="20"/>
              </w:rPr>
              <w:t>≥1115mm</w:t>
            </w:r>
            <w:r>
              <w:rPr>
                <w:rFonts w:hint="eastAsia" w:ascii="宋体" w:hAnsi="宋体" w:eastAsia="宋体" w:cs="宋体"/>
                <w:color w:val="000000"/>
                <w:kern w:val="0"/>
                <w:sz w:val="20"/>
                <w:szCs w:val="20"/>
              </w:rPr>
              <w:t>，纵向</w:t>
            </w:r>
            <w:r>
              <w:rPr>
                <w:rFonts w:ascii="Times New Roman" w:hAnsi="Times New Roman" w:eastAsia="宋体" w:cs="Times New Roman"/>
                <w:color w:val="000000"/>
                <w:kern w:val="0"/>
                <w:sz w:val="20"/>
                <w:szCs w:val="20"/>
              </w:rPr>
              <w:t>≥627mm</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67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66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1B8A">
            <w:pPr>
              <w:jc w:val="center"/>
              <w:rPr>
                <w:rFonts w:ascii="宋体" w:hAnsi="宋体" w:eastAsia="宋体" w:cs="宋体"/>
                <w:color w:val="000000"/>
                <w:sz w:val="20"/>
                <w:szCs w:val="20"/>
              </w:rPr>
            </w:pPr>
          </w:p>
        </w:tc>
      </w:tr>
      <w:tr w14:paraId="166017BA">
        <w:tblPrEx>
          <w:tblCellMar>
            <w:top w:w="0" w:type="dxa"/>
            <w:left w:w="108" w:type="dxa"/>
            <w:bottom w:w="0" w:type="dxa"/>
            <w:right w:w="108" w:type="dxa"/>
          </w:tblCellMar>
        </w:tblPrEx>
        <w:trPr>
          <w:trHeight w:val="400" w:hRule="atLeast"/>
        </w:trPr>
        <w:tc>
          <w:tcPr>
            <w:tcW w:w="4607"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0D07A397">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二、空间建设</w:t>
            </w:r>
          </w:p>
        </w:tc>
        <w:tc>
          <w:tcPr>
            <w:tcW w:w="392"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61003B16">
            <w:pPr>
              <w:widowControl/>
              <w:jc w:val="left"/>
              <w:textAlignment w:val="center"/>
              <w:rPr>
                <w:rFonts w:hint="eastAsia" w:ascii="宋体" w:hAnsi="宋体" w:eastAsia="宋体" w:cs="宋体"/>
                <w:b/>
                <w:bCs/>
                <w:color w:val="000000"/>
                <w:kern w:val="0"/>
                <w:sz w:val="20"/>
                <w:szCs w:val="20"/>
              </w:rPr>
            </w:pPr>
          </w:p>
        </w:tc>
      </w:tr>
      <w:tr w14:paraId="7AEE6EAF">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3E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5D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空间氛围建设</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72D4">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墙面学科文化内容与排版，文化布展的制作与安装；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根据设计要求进行相关的电路接线（室内需有符合布局的预留线管并穿线）；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墙面造型及安装；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造型吊顶，设计，包含吊顶安装及调试。</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3A2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A0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156</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5E8C">
            <w:pPr>
              <w:jc w:val="center"/>
              <w:rPr>
                <w:rFonts w:ascii="宋体" w:hAnsi="宋体" w:eastAsia="宋体" w:cs="宋体"/>
                <w:color w:val="000000"/>
                <w:sz w:val="20"/>
                <w:szCs w:val="20"/>
              </w:rPr>
            </w:pPr>
          </w:p>
        </w:tc>
      </w:tr>
      <w:tr w14:paraId="259FA4EC">
        <w:tblPrEx>
          <w:tblCellMar>
            <w:top w:w="0" w:type="dxa"/>
            <w:left w:w="108" w:type="dxa"/>
            <w:bottom w:w="0" w:type="dxa"/>
            <w:right w:w="108" w:type="dxa"/>
          </w:tblCellMar>
        </w:tblPrEx>
        <w:trPr>
          <w:trHeight w:val="4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4F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E0A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照明系统</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E253">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配合实验室配套艺术造型吊顶安装照明设施，</w:t>
            </w:r>
            <w:r>
              <w:rPr>
                <w:rFonts w:ascii="Times New Roman" w:hAnsi="Times New Roman" w:eastAsia="宋体" w:cs="Times New Roman"/>
                <w:color w:val="000000"/>
                <w:kern w:val="0"/>
                <w:sz w:val="20"/>
                <w:szCs w:val="20"/>
              </w:rPr>
              <w:t xml:space="preserve">1200*100mmLED </w:t>
            </w:r>
            <w:r>
              <w:rPr>
                <w:rFonts w:hint="eastAsia" w:ascii="宋体" w:hAnsi="宋体" w:eastAsia="宋体" w:cs="宋体"/>
                <w:color w:val="000000"/>
                <w:kern w:val="0"/>
                <w:sz w:val="20"/>
                <w:szCs w:val="20"/>
              </w:rPr>
              <w:t>照明灯条形灯，约</w:t>
            </w:r>
            <w:r>
              <w:rPr>
                <w:rFonts w:ascii="Times New Roman" w:hAnsi="Times New Roman" w:eastAsia="宋体" w:cs="Times New Roman"/>
                <w:color w:val="000000"/>
                <w:kern w:val="0"/>
                <w:sz w:val="20"/>
                <w:szCs w:val="20"/>
              </w:rPr>
              <w:t>36W</w:t>
            </w:r>
            <w:r>
              <w:rPr>
                <w:rFonts w:hint="eastAsia" w:ascii="宋体" w:hAnsi="宋体" w:eastAsia="宋体" w:cs="宋体"/>
                <w:color w:val="000000"/>
                <w:kern w:val="0"/>
                <w:sz w:val="20"/>
                <w:szCs w:val="20"/>
              </w:rPr>
              <w:t>，采用电子变压器，含人工及安装。含管线及墙面控制开关</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081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室</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90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7BFF">
            <w:pPr>
              <w:jc w:val="center"/>
              <w:rPr>
                <w:rFonts w:ascii="宋体" w:hAnsi="宋体" w:eastAsia="宋体" w:cs="宋体"/>
                <w:color w:val="000000"/>
                <w:sz w:val="20"/>
                <w:szCs w:val="20"/>
              </w:rPr>
            </w:pPr>
          </w:p>
        </w:tc>
      </w:tr>
    </w:tbl>
    <w:p w14:paraId="6EC6AB05">
      <w:pPr>
        <w:jc w:val="both"/>
        <w:rPr>
          <w:rFonts w:ascii="Times New Roman" w:hAnsi="Times New Roman" w:eastAsia="方正小标宋_GBK" w:cs="Times New Roman"/>
          <w:sz w:val="28"/>
          <w:szCs w:val="28"/>
        </w:rPr>
      </w:pPr>
    </w:p>
    <w:p w14:paraId="201C7A16">
      <w:pPr>
        <w:jc w:val="left"/>
        <w:sectPr>
          <w:pgSz w:w="11906" w:h="16838"/>
          <w:pgMar w:top="2098" w:right="1417" w:bottom="1871" w:left="1531" w:header="851" w:footer="992" w:gutter="0"/>
          <w:pgNumType w:fmt="numberInDash"/>
          <w:cols w:space="0" w:num="1"/>
          <w:docGrid w:type="lines" w:linePitch="312" w:charSpace="0"/>
        </w:sectPr>
      </w:pPr>
    </w:p>
    <w:p w14:paraId="06E9C49E">
      <w:pPr>
        <w:jc w:val="center"/>
        <w:rPr>
          <w:rFonts w:ascii="Times New Roman" w:hAnsi="Times New Roman" w:eastAsia="方正小标宋_GBK" w:cs="Times New Roman"/>
          <w:sz w:val="28"/>
          <w:szCs w:val="28"/>
        </w:rPr>
      </w:pPr>
      <w:r>
        <w:rPr>
          <w:rFonts w:hint="eastAsia" w:ascii="Times New Roman" w:hAnsi="Times New Roman" w:eastAsia="方正小标宋_GBK" w:cs="Times New Roman"/>
          <w:sz w:val="28"/>
          <w:szCs w:val="28"/>
        </w:rPr>
        <w:t>生</w:t>
      </w:r>
      <w:r>
        <w:rPr>
          <w:rFonts w:hint="eastAsia" w:ascii="Times New Roman" w:hAnsi="Times New Roman" w:eastAsia="方正小标宋_GBK" w:cs="Times New Roman"/>
          <w:sz w:val="28"/>
          <w:szCs w:val="28"/>
          <w:lang w:val="en-US" w:eastAsia="zh-CN"/>
        </w:rPr>
        <w:t xml:space="preserve"> </w:t>
      </w:r>
      <w:r>
        <w:rPr>
          <w:rFonts w:hint="eastAsia" w:ascii="Times New Roman" w:hAnsi="Times New Roman" w:eastAsia="方正小标宋_GBK" w:cs="Times New Roman"/>
          <w:sz w:val="28"/>
          <w:szCs w:val="28"/>
        </w:rPr>
        <w:t>物课程基地</w:t>
      </w:r>
      <w:r>
        <w:rPr>
          <w:rFonts w:ascii="Times New Roman" w:hAnsi="Times New Roman" w:eastAsia="方正小标宋_GBK" w:cs="Times New Roman"/>
          <w:sz w:val="28"/>
          <w:szCs w:val="28"/>
        </w:rPr>
        <w:t>清单</w:t>
      </w:r>
    </w:p>
    <w:tbl>
      <w:tblPr>
        <w:tblStyle w:val="31"/>
        <w:tblW w:w="4926" w:type="pct"/>
        <w:tblInd w:w="0" w:type="dxa"/>
        <w:tblLayout w:type="fixed"/>
        <w:tblCellMar>
          <w:top w:w="0" w:type="dxa"/>
          <w:left w:w="108" w:type="dxa"/>
          <w:bottom w:w="0" w:type="dxa"/>
          <w:right w:w="108" w:type="dxa"/>
        </w:tblCellMar>
      </w:tblPr>
      <w:tblGrid>
        <w:gridCol w:w="712"/>
        <w:gridCol w:w="1248"/>
        <w:gridCol w:w="5669"/>
        <w:gridCol w:w="598"/>
        <w:gridCol w:w="790"/>
        <w:gridCol w:w="802"/>
      </w:tblGrid>
      <w:tr w14:paraId="238D7331">
        <w:tblPrEx>
          <w:tblCellMar>
            <w:top w:w="0" w:type="dxa"/>
            <w:left w:w="108" w:type="dxa"/>
            <w:bottom w:w="0" w:type="dxa"/>
            <w:right w:w="108" w:type="dxa"/>
          </w:tblCellMar>
        </w:tblPrEx>
        <w:trPr>
          <w:trHeight w:val="403" w:hRule="atLeast"/>
          <w:tblHeader/>
        </w:trPr>
        <w:tc>
          <w:tcPr>
            <w:tcW w:w="36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045C78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序号</w:t>
            </w:r>
          </w:p>
        </w:tc>
        <w:tc>
          <w:tcPr>
            <w:tcW w:w="63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4944F8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名称</w:t>
            </w:r>
          </w:p>
        </w:tc>
        <w:tc>
          <w:tcPr>
            <w:tcW w:w="2886"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6216F28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规格型号参数</w:t>
            </w:r>
          </w:p>
        </w:tc>
        <w:tc>
          <w:tcPr>
            <w:tcW w:w="304"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239D23D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单位</w:t>
            </w:r>
          </w:p>
        </w:tc>
        <w:tc>
          <w:tcPr>
            <w:tcW w:w="40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6D6C555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数量</w:t>
            </w:r>
          </w:p>
        </w:tc>
        <w:tc>
          <w:tcPr>
            <w:tcW w:w="408"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C11F00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备注</w:t>
            </w:r>
          </w:p>
        </w:tc>
      </w:tr>
      <w:tr w14:paraId="51763C24">
        <w:tblPrEx>
          <w:tblCellMar>
            <w:top w:w="0" w:type="dxa"/>
            <w:left w:w="108" w:type="dxa"/>
            <w:bottom w:w="0" w:type="dxa"/>
            <w:right w:w="108" w:type="dxa"/>
          </w:tblCellMar>
        </w:tblPrEx>
        <w:trPr>
          <w:trHeight w:val="400" w:hRule="atLeast"/>
        </w:trPr>
        <w:tc>
          <w:tcPr>
            <w:tcW w:w="4591"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43366306">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一、基础建设</w:t>
            </w:r>
          </w:p>
        </w:tc>
        <w:tc>
          <w:tcPr>
            <w:tcW w:w="408"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1A15713A">
            <w:pPr>
              <w:widowControl/>
              <w:jc w:val="left"/>
              <w:textAlignment w:val="center"/>
              <w:rPr>
                <w:rFonts w:hint="eastAsia" w:ascii="宋体" w:hAnsi="宋体" w:eastAsia="宋体" w:cs="宋体"/>
                <w:b/>
                <w:bCs/>
                <w:color w:val="000000"/>
                <w:kern w:val="0"/>
                <w:sz w:val="20"/>
                <w:szCs w:val="20"/>
              </w:rPr>
            </w:pPr>
          </w:p>
        </w:tc>
      </w:tr>
      <w:tr w14:paraId="0FEAAED4">
        <w:tblPrEx>
          <w:tblCellMar>
            <w:top w:w="0" w:type="dxa"/>
            <w:left w:w="108" w:type="dxa"/>
            <w:bottom w:w="0" w:type="dxa"/>
            <w:right w:w="108" w:type="dxa"/>
          </w:tblCellMar>
        </w:tblPrEx>
        <w:trPr>
          <w:trHeight w:val="400" w:hRule="atLeast"/>
        </w:trPr>
        <w:tc>
          <w:tcPr>
            <w:tcW w:w="4591"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0973ED12">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1.课程实践区</w:t>
            </w: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64581265">
            <w:pPr>
              <w:widowControl/>
              <w:jc w:val="left"/>
              <w:textAlignment w:val="center"/>
              <w:rPr>
                <w:rFonts w:hint="eastAsia" w:ascii="宋体" w:hAnsi="宋体" w:eastAsia="宋体" w:cs="宋体"/>
                <w:b/>
                <w:bCs/>
                <w:color w:val="000000"/>
                <w:kern w:val="0"/>
                <w:sz w:val="20"/>
                <w:szCs w:val="20"/>
              </w:rPr>
            </w:pPr>
          </w:p>
        </w:tc>
      </w:tr>
      <w:tr w14:paraId="779D8D2C">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85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FB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实验桌（教师演示台）</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9DB0">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整体规格：≥2900mm×700mm×900mm，由3个储物柜、抽屉架、水槽柜组成；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1、台面：采用≥13.0mm厚优抗板台面，由专业生产厂家用CNC机械加工而成；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2、储物柜：柜体均为全钢结构，采用≥1.0mm厚冷轧钢板，表层经酸洗、磷化、环氧树脂粉末喷涂等工艺加工生产，接缝处无焊点，表面平整光滑，耐酸碱，防腐蚀；边缘做倒角设计，可防止磕碰；柜门：主体采用双层冷轧钢板装配成型，内附蜂窝状瓦楞纸防噪填充，柜门内侧装有起缓冲作用防撞贴，门板面板内嵌ABS塑料拉手；活动层板：柜体内设有活动层板，采用≥1.0mm厚冷轧钢板制作，配合至少4个塑料支撑扣调整上下高度，调节孔距≥50mm，承重≥20KG； </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抽屉架：主体采用≥1.0mm厚冷轧钢板，表层经酸洗、磷化、环氧树脂粉末喷涂等工艺加工生产，接缝处无焊点，表面平整光滑，耐酸碱，防腐蚀。边缘做倒角设计，可防止磕碰；内置2个内部规格：≥314mm×352mm×126mm抽屉，抽头均为双层结构，内附蜂窝状瓦楞纸防噪填充，采用三节静音导轨，配备阻尼滑道，抽头内嵌塑料拉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水槽柜：规格：≥550mm×700mm×900mm，采用≥1.0mm厚冷轧钢板，表层经酸洗、磷化、环氧树脂粉末喷涂等工艺加工生产，接缝处无焊点，表面平整光滑，耐酸碱，防腐蚀。边缘做倒角设计，可防止磕碰；柜门：主体采用双层冷轧钢板装配成型，内附蜂窝状瓦楞纸防噪填充，柜门内侧装有防撞贴，面板内嵌ABS塑料拉手；预留水槽孔位。</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5、可调脚：桌体底部配备≥50mm高钢制PP注塑调节地脚，减震防滑。</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EC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B9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7281">
            <w:pPr>
              <w:jc w:val="center"/>
              <w:rPr>
                <w:rFonts w:ascii="宋体" w:hAnsi="宋体" w:eastAsia="宋体" w:cs="宋体"/>
                <w:color w:val="000000"/>
                <w:sz w:val="20"/>
                <w:szCs w:val="20"/>
              </w:rPr>
            </w:pPr>
          </w:p>
        </w:tc>
      </w:tr>
      <w:tr w14:paraId="2EA2034B">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FE8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40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实验桌（学生）</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A055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1、规格：≥1200mm（L）×600mm（W）×780mm（H）；实验桌整体符合人体工程学设计，外表为流线形工业设计，简洁时尚。</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实验室专用陶瓷台面，厚度为≥20mm，采用一体实芯黑色坯体一体烧制釉面，具备无空洞、无杂色、无脱层、釉面与坯体呈一体结构的特点；该台面为实验室专用，需满足无甲醛释放、耐化学腐蚀、耐划痕、耐污染等性能要求；在靠近人体操作边缘处有一条与台面一体成型（非后期二次开槽）的功能性凹槽，其宽度≥11.7mm，深度≥1.25mm，储水量≥15.5ml，能够有效阻水和缓冲，同时能够对实验试管、玻璃棒、小球等易滚动器材进行缓冲阻拦。</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桌体框架：铸铝/塑铝结构；通过桌体上端两侧支架、立柱连接铸铝桌脚，形成“Z”字造型，使桌体具有强承重性及高稳定性；桌体所有接触人体的边棱均无锐利的棱角、毛刺；桌体表面经环氧树脂粉体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4、上端两侧支架：铸铝模具成型，规格≥570mm×55mm×80mm选用铝锭ADC12，经酸洗磷化前处理，表面经环氧树脂粉喷涂处理，耐腐蚀。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5、桌脚/脚垫：铸铝模具成型，规格≥525mm×60mm×110mm；选用铝锭ADC12，经酸洗磷化前处理，表面经环氧树脂粉喷涂处理，耐腐蚀。脚垫高度可调，耐磨、防潮、防滑。</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6、立柱：规格≥620mm×80mm×50mm；铝材挤出成型，经酸洗磷化前处理，表面经环氧树脂粉体喷涂处理，耐腐蚀。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7、主横梁：采用”8”字型铝材挤出成型，规格≥1080mm×19mm×80mm，经酸洗磷化前处理，表面经环氧树脂粉喷涂处理，耐腐蚀。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8、后挡条：铝材挤出成型，规格≥1068mm×80×16mm；连接左右两侧注塑模具成型ABS材质固定卡位，防止台面物品滑落；经酸洗磷化前处理，表面经环氧树脂粉喷涂处理，耐腐蚀。</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9、书包斗：规格≥400mm×330mm×162mm，采用ABS塑料一次注塑成型；书包斗前端预留学生凳挂靠口，上翘工艺设计，两书包斗中间预留放置不同功能学生电源的空间，具有隐蔽性；固定挂架采用镀锌方钢，防腐防锈。</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CF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70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18</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B08B">
            <w:pPr>
              <w:jc w:val="center"/>
              <w:rPr>
                <w:rFonts w:ascii="宋体" w:hAnsi="宋体" w:eastAsia="宋体" w:cs="宋体"/>
                <w:color w:val="000000"/>
                <w:sz w:val="20"/>
                <w:szCs w:val="20"/>
              </w:rPr>
            </w:pPr>
          </w:p>
        </w:tc>
      </w:tr>
      <w:tr w14:paraId="33FE6407">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16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D6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实验凳</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BBF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1.规格：≥φ300mm×440mm。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2.凳面：采用ABS环保材质一体注塑成型，防摔耐磨。人体工程学设计，中间有内弧成型，深度≥8mm。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3.升降式螺杆：直径≥20mm螺纹碳钢，配合高强度钢制托盘于凳面底部固定。</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支持调节凳子高度，升降≥50mm。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4.钢脚架：由壁厚≥1.2mm椭圆形钢管及壁厚≥2mm圆钢管焊接组成，表面经高温烤漆处理。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5.脚垫：塑胶材质，采用PP一体注塑成型，防水防滑。</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F5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AB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36</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2D1E3">
            <w:pPr>
              <w:jc w:val="center"/>
              <w:rPr>
                <w:rFonts w:ascii="宋体" w:hAnsi="宋体" w:eastAsia="宋体" w:cs="宋体"/>
                <w:color w:val="000000"/>
                <w:sz w:val="20"/>
                <w:szCs w:val="20"/>
              </w:rPr>
            </w:pPr>
          </w:p>
        </w:tc>
      </w:tr>
      <w:tr w14:paraId="7F73C34C">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FFC1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02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生物教学专用授课设备</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AF0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一、整机要求：</w:t>
            </w:r>
          </w:p>
          <w:p w14:paraId="2F0282F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采用全金属外壳，三拼接平面一体化设计，屏幕边缘采用圆角包边防护，整机背板采用金属材质，无推拉式结构，外部无任何可见内部功能模块连接线。主副屏过渡平滑，中间无单独边框阻隔，宽≥4500mm，高≥1350mm，厚≤102mm。</w:t>
            </w:r>
          </w:p>
          <w:p w14:paraId="0E663FA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2.屏幕采用98英寸液晶显示器，采用超高清LED液晶显示屏，显示比例16:9，分辨率3840×2160。主屏支持普通粉笔直接书写。整机两侧副屏可支持以下媒介（普通粉笔、液体粉笔、成膜笔）进行板书书写。</w:t>
            </w:r>
          </w:p>
          <w:p w14:paraId="03A3C26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3.嵌入式系统版本不低于Android 13，内存≥2GB，存储空间≥8GB。</w:t>
            </w:r>
          </w:p>
          <w:p w14:paraId="3C66BF9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4.采用红外触控方式。</w:t>
            </w:r>
          </w:p>
          <w:p w14:paraId="4CD1D91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5.整机背光系统支持DC调光方式，多级亮度调节，支持白颜色背景下最暗亮度≤100nit，用于提升显示对比度。</w:t>
            </w:r>
          </w:p>
          <w:p w14:paraId="2981B57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6.整机支持色彩空间可选，包含标准模式和sRGB模式，在sRGB模式下可做到高色准△E≤1。</w:t>
            </w:r>
          </w:p>
          <w:p w14:paraId="701AC6C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7.整机全通道支持纸质护眼模式，可实现画面纹理的实时调整；支持纸质纹理：牛皮纸、素描纸、宣纸、水彩纸、水纹纸；支持透明度调节；支持色温调节。</w:t>
            </w:r>
          </w:p>
          <w:p w14:paraId="4E49B85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8.整机具备至少6个前置按键，可实现开关机、调出中控菜单、音量+/-、护眼、录屏操作。（提供国家认可的第三方权威检测机构出具的权威检测报告）</w:t>
            </w:r>
          </w:p>
          <w:p w14:paraId="7D326E1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9.整机关机状态下，通过长按电源键进入设置界面后，可点击屏幕选择恢复Android系统及Windows操作系统到出厂默认状态，无需额外工具辅助。</w:t>
            </w:r>
          </w:p>
          <w:p w14:paraId="12B5A1C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10.支持云端在线系统固件升级。</w:t>
            </w:r>
          </w:p>
          <w:p w14:paraId="5D0BFEB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11.整机安卓和全部外接通道（HDMI、Type-c）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p>
          <w:p w14:paraId="3037D83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12.整机Windows通道支持文件传输应用，支持通过扫码、wifi直联、超声三种方式与手机进行握手连接，实现文件传输功能。</w:t>
            </w:r>
          </w:p>
          <w:p w14:paraId="696ED47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13.整机支持手笔分离，通过提笔即写唤醒批注功能后，可进行手笔分离功能，使用笔正常书写，使用手指可以操作应用，进行点击操作。</w:t>
            </w:r>
          </w:p>
          <w:p w14:paraId="5BD9467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14.整机支持提笔书写，在Windows系统下可实现无需点击任意功能入口，当检测到红外笔笔尖接触屏幕时，自动进入书写模式。</w:t>
            </w:r>
          </w:p>
          <w:p w14:paraId="3972669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15.整机触摸支持动态压力感应，支持无任何电子功能的普通书写笔在整机上书写或点压时，整机能感应压力变化，书写或点压过程笔迹呈现不同粗细。</w:t>
            </w:r>
          </w:p>
          <w:p w14:paraId="74D7146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二、 扬声器与摄像头</w:t>
            </w:r>
          </w:p>
          <w:p w14:paraId="7A37D52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1.整机内置2.2声道扬声器，具备多方向扬声器，额定总功率60W。</w:t>
            </w:r>
          </w:p>
          <w:p w14:paraId="4AF8B8C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2.支持标准、听力、观影和AI空间感知音效模式，AI空间感知音效模式可通过内置麦克风采集教室物理环境声音，自动生成符合当前教室物理环境的频段、音量、音效。</w:t>
            </w:r>
          </w:p>
          <w:p w14:paraId="42D6212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3.整机内置非独立外扩展的8阵列麦克风，拾音角度≥180°，可用于对教室环境音频进行采集，拾音距离≥12m。</w:t>
            </w:r>
          </w:p>
          <w:p w14:paraId="2BC3CEF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4.整机上边框内置非独立摄像头，采用一体化集成设计，摄像头数量≥4个。内置至少三个摄像头，像素值均大于800 万。</w:t>
            </w:r>
          </w:p>
          <w:p w14:paraId="11E7606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5.整机上边框内置非独立式广角高清摄像头，视场角≥142度且水平视场角≥121度，支持输出4:3、16:9比例的图片和视频；在清晰度为2592 x 1944分辨率下，支持30帧的视频输出。</w:t>
            </w:r>
          </w:p>
          <w:p w14:paraId="746A094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6.为了便于教师实时查看班级情况，整机上边框内置摄像头，视场角≥141度且水平视场角≥139度，支持画面畸变矫正功能。</w:t>
            </w:r>
          </w:p>
          <w:p w14:paraId="22F231D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三、物联功能</w:t>
            </w:r>
          </w:p>
          <w:p w14:paraId="40700C7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1.整机支持蓝牙Bluetooth 5.4标准，支持版本Wi-Fi6。</w:t>
            </w:r>
          </w:p>
          <w:p w14:paraId="259AB32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2.内置双WiFi6无线网卡（不接受外接），在Android和Windows系统下，可实现Wi-Fi无线上网连接、AP无线热点发射。</w:t>
            </w:r>
          </w:p>
          <w:p w14:paraId="3AD8BAE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3.整机内置双WiFi6无线网卡（不接受外接），在Android下支持无线设备同时连接数量≥32个，在Windows系统下支持无线设备同时连接≥8个； </w:t>
            </w:r>
          </w:p>
          <w:p w14:paraId="2787564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4.整机支持发出频率为18kHz-22kHz超声波信号，智能手机通过麦克风接收后，智能手机与整机无需在同一局域网内，可实现配对，一键投屏，用户无需手动输入投屏码或扫码获取投屏码； </w:t>
            </w:r>
          </w:p>
          <w:p w14:paraId="0E05051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5.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 </w:t>
            </w:r>
          </w:p>
          <w:p w14:paraId="71A1C28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四、教学桌面</w:t>
            </w:r>
          </w:p>
          <w:p w14:paraId="65B1DB6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1.整机设备开机启动后，自动进入教学桌面，支持账号登录、退出，自动获取个人云端教学课件列表，并可进入全部课件列表。</w:t>
            </w:r>
          </w:p>
          <w:p w14:paraId="733B47E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2.整机设备教学桌面支持教学白板软件和文件管理软件；教学桌面首页支持自定义桌面应用，支持展示8个应用入口，并提供进入本机所有应用的入口。</w:t>
            </w:r>
          </w:p>
          <w:p w14:paraId="44422CF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3.整机设备可将应用编辑到教学桌面首页，编辑方式支持从教学桌面首页进入编辑，支持在全部应用列表中进入编辑 2 种方式。教学桌面首页应用支持无需进入应用编辑页面，在首页指定应用上长按进行移除。</w:t>
            </w:r>
          </w:p>
          <w:p w14:paraId="39C363C8">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4.整机设备教学桌面支持推荐应用，推荐应用支持移除。整机设备教学桌面支持进行应用卸载。（提供国家认可的第三方权威检测机构出具的权威检测报告）</w:t>
            </w:r>
          </w:p>
          <w:p w14:paraId="17D7D30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5.整机设备教学桌面支持进行壁纸编辑，内置10张以上壁纸，并支持自定义壁纸。</w:t>
            </w:r>
          </w:p>
          <w:p w14:paraId="4DC6EE6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五、OPS模块</w:t>
            </w:r>
          </w:p>
          <w:p w14:paraId="63B40CB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1.处理器：Intel Core i5 及以上，内存：≥8G ，硬盘≥256G SSD 固态硬盘，采用抽拉内置式模块化电脑，抽拉内置式，PC模块可插入整机，可实现无单独接线的插拔。</w:t>
            </w:r>
          </w:p>
          <w:p w14:paraId="0D582CD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2.具有独立非外拓展的视频输出接口：≥1 路 HDMI。具有独立非外拓展的电脑 USB 接口：至少具备 3个USB3.0 接口。</w:t>
            </w:r>
          </w:p>
          <w:p w14:paraId="0ABCC03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3.为保证设备使用稳定性及兼容性，要求班班通与OPS模块必须为厂家，提供证明文件。</w:t>
            </w:r>
          </w:p>
          <w:p w14:paraId="0627F4B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六、教学软件</w:t>
            </w:r>
          </w:p>
          <w:p w14:paraId="45E33944">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1.能够为教师提供云存储空间，教师可在个人云空间中上传存储互动课件、云教案和其他教学资源。</w:t>
            </w:r>
          </w:p>
          <w:p w14:paraId="3918AF0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2.互动教学课件支持定向精准分享：分享者可将互动课件、课件组精准推送至指定接收方账号云空间，接收方可在云空间接收并打开分享课件； </w:t>
            </w:r>
          </w:p>
          <w:p w14:paraId="0300A5A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3.具有互动式教学课件资源，包含学科教育各学段各地区教材版本 100个。具有互动式教学课件资源，包含学科教育各学段教材版本全部教学章节、专题教育多个主题教育、特殊教育 不少于3 大分类的 100000 份的互动课件。课件支持教师在线评分。</w:t>
            </w:r>
          </w:p>
          <w:p w14:paraId="4ADE901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4.具备AI智能备课助手：能按照教学环节筛选对应课件页一键插入课件中，可导入新课、作者简介。能按照元素类型思维导图、课堂活动选取需要的部分补充课件缺失的部分。 可以在查看部分课件的同时查看对应整份课件，了解作者整体教学思路。（</w:t>
            </w:r>
          </w:p>
          <w:p w14:paraId="5749A4B5">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5.具备云端静默推送下载功能，无需用户手动下载即可实现应用的在线升级，升级具有信息验证机制，确保教学秩序不受干扰。</w:t>
            </w:r>
          </w:p>
          <w:p w14:paraId="3F409E0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6.AI智能纠错：软件内置的AI智能语义分析模块，可对输入的英文文本的拼写、句型、语法进行错误检查，并支持一键纠错。</w:t>
            </w:r>
          </w:p>
          <w:p w14:paraId="2CFA559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7.AI音标助手：支持浏览和插入国际音标表，可直接点击发音，支持已整表和单个音标卡片插入。支持智能将字母、单词、句子转写为音标，并可一键插入到备课课件中形成文本。</w:t>
            </w:r>
          </w:p>
          <w:p w14:paraId="1AB18747">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8.党建微课视频：提供100节党建微课视频，包含革命篇、建设篇、改革篇、复兴篇4个篇章。微课内容可在线点播，下载至课件播放。微课视频支持视频关键帧打点标记，播放过程中可一键跳转至标记位置，同时支持一键对视频内容进行截图插入课件。</w:t>
            </w:r>
          </w:p>
          <w:p w14:paraId="279F5BF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9.内置图片处理功能，无需借助专业图片处理软件即可对课件内的图片进行快速抠图，图片主体处理后边缘无明显毛边，且处理后的图片可直接上传至教师云空间供后续复用。</w:t>
            </w:r>
          </w:p>
          <w:p w14:paraId="27984D9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10.支持对音频、视频文件进行关键帧标记，可在音、视频进度条任意位置自由设置关键帧播放节点，便于快速定位讲解关键教学内容。提供单次播放、循环播放、跨页面播放和自动播放等播放模式。跨页面播放可设置音频进行部分页面播放和全页面播放。</w:t>
            </w:r>
          </w:p>
          <w:p w14:paraId="18E5E73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11.教师可在移动平台选择是否接收获取的分享课件，接收后课件储存至个人云空间，可在移动平台的互动课件列表预览。</w:t>
            </w:r>
          </w:p>
          <w:p w14:paraId="46E4BDEA">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12.移动平台与授课端账号数据联通，可在移动端选择个人云空间内任意课件放映，授课端同步显示课件内容。</w:t>
            </w:r>
          </w:p>
          <w:p w14:paraId="5056A10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13.支持NFC一碰投屏或直播。在局域网环境或无网环境下，可将移动端屏幕实时同步至授课显示端，同屏窗口、全屏显示方式根据移动端界面自动适配。</w:t>
            </w:r>
          </w:p>
          <w:p w14:paraId="266CA6B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14.提供互动课件资源库，包含学科教育、专题教育、特殊教育类课件。可获取到个人云空间，课件资源数量不低于15万份。</w:t>
            </w:r>
          </w:p>
          <w:p w14:paraId="3145A403">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15.提供将Word转换为云教案的能力，支持解析文本、表格等通用元素，方便老师迁移旧教案</w:t>
            </w:r>
          </w:p>
          <w:p w14:paraId="57B1CA8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16.提供教案模板，方便老师撰写教案，预置模板包含表格式、提纲式、集备式、多课时式、单元设计式等不少于7个。支持校本模板，管理员在教研管理后台设置校本模板后，老师可在云教案模板调用。</w:t>
            </w:r>
          </w:p>
          <w:p w14:paraId="5AB362CD">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17.云教案内支持插入课件页，可调用云空间中的课件列表，按单页或整份插入教案。插入后的课件以窗口形式预览，可直接在窗口内进行翻页和课件元素交互，可一键全屏预览课件。</w:t>
            </w:r>
          </w:p>
          <w:p w14:paraId="2EE2306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18.支持实现信息化集体备课。可选择教案、课件、胶囊资源上传发起集备研讨，能够设置多重访问权限，可通过手机号搜索邀请外校老师，用于跨校教研场景。</w:t>
            </w:r>
          </w:p>
          <w:p w14:paraId="3668E39F">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19.参备人可通过评论区发表观点，可对他人评论的观点进行点赞，评论消息会实时提醒，支持图片的上传。</w:t>
            </w:r>
          </w:p>
          <w:p w14:paraId="70F127AC">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20.参备人可在线对教案进行随文式批注，追加批注，回复以及查看实时批注消息。</w:t>
            </w:r>
          </w:p>
          <w:p w14:paraId="6E8BD450">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21.完成本次研讨后，主备人可直接进入编辑页面编辑课件/教案，发布新稿件后，备课组进入下一轮研讨，更新稿件后会给参备老师同步教研动态。</w:t>
            </w:r>
          </w:p>
          <w:p w14:paraId="055CF162">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22.可对集备中多稿的课件/教案/胶囊进行内容的横向对比，支持批注研。参备成员可随时获取和下载每一稿中的集备稿件到云课件，进行编辑或引用。</w:t>
            </w:r>
          </w:p>
          <w:p w14:paraId="59A4FADE">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23.研讨发起人在研讨过程中支持在线发起多人音视频研讨在线讨论，构建线上多现场同步研讨，更高效、更针对性的解决问题，研讨内容自动形成音视频记录，有效提高网络教研效率，将音视频技术与集体备课、主题研讨等常规教研活动深度融合。</w:t>
            </w:r>
          </w:p>
          <w:p w14:paraId="2938EE5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24.语音研讨：主备人可以发起远程语音集备，进入语音研讨页面并共享稿件内容，提高集备的及时性与互动性，打造更高效便利的集备形式。</w:t>
            </w:r>
          </w:p>
          <w:p w14:paraId="081B60D6">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25.集备状态：支持查看集备研讨中/未研讨中的状态，支持查看参备老师的在线状态，方便参备人及时参与语音集备，快速了解集备进度。</w:t>
            </w:r>
          </w:p>
          <w:p w14:paraId="1D5EA93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26.录制语音：支持主备人录制集备研讨语音和重命名录制好的讨论记录，支持参备人收听录音回放，追溯集备内容。</w:t>
            </w:r>
          </w:p>
          <w:p w14:paraId="538D8029">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27.集备管理：支持主备人管理添加/删除参备人员和控制个人和全员语音，支持邀请参备人开麦加入研讨。支持参备人控制个人语音，保障语音集备的有序性。</w:t>
            </w:r>
          </w:p>
          <w:p w14:paraId="767A8A0B">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28.快速评课：支持通过手机端APP快速评课，不限校内/校外听课评课，通过选择授课老师，听课日期时间和地点即可开始评课，支持按不同评价维度进行评分和记录听课感想，支持随时回顾听课记录。</w:t>
            </w:r>
          </w:p>
          <w:p w14:paraId="560ED071">
            <w:pPr>
              <w:widowControl/>
              <w:jc w:val="left"/>
              <w:textAlignment w:val="cente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29.直播听评课：支持授课老师发起直播听评课，使用手机进行录影，听课老师可查看课堂直播。</w:t>
            </w:r>
          </w:p>
          <w:p w14:paraId="4C95E371">
            <w:pPr>
              <w:widowControl/>
              <w:jc w:val="left"/>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rPr>
              <w:t>30.支持通过实时音视频技术，将课堂教学现场进行实况直播，实现异地听课、评课，直播听评课结束后生成直播回放，为用户提供稳定快速的直播服务，使课堂教学研究与课堂教学同步进行，促进参与听课、评课教师的业务能力提升。</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88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417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D3F2">
            <w:pPr>
              <w:jc w:val="center"/>
              <w:rPr>
                <w:rFonts w:ascii="宋体" w:hAnsi="宋体" w:eastAsia="宋体" w:cs="宋体"/>
                <w:color w:val="000000"/>
                <w:sz w:val="20"/>
                <w:szCs w:val="20"/>
              </w:rPr>
            </w:pPr>
          </w:p>
        </w:tc>
      </w:tr>
      <w:tr w14:paraId="560C7B66">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38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B7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智能控制电气柜</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F84F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规格：≥680×400×1770mm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智能控制电气柜内置总电源开关1个，电源保护器1个，PLC控制器及功能扩展模块1套，PLC专用电源1个，PLC保护模块1个、急停控制系统1个，工作指示灯1个等。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（1）电源控制系统：PLC智能化控制系统集中控制，具有过载、短路等保护功能；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（2）给排水控制系统：给水系统：设有总给水控制阀门，教师可以方便对全室供水系统进行控制。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     自动排水系统：所有排水由智能化控制系统集中控制。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（3）摇臂自动控制系统：系统集中控制教室摇臂功能。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控制系统：采用工程PLC控制系统。</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（1）通信及运行状态指示灯；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（2）所有模块的输入输出端子可拆卸；</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（3）插针式连接，模块连接紧密；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（4）通用Micro SD卡，支持程序下载和PLC固件更新；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（5）集成PROFINET接口，支持程序下载、设备组网。</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控制面板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≥7寸触摸屏，集中控制系统。可执行各分项分页控制；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（1）供水控制：可实现远程集中控制整室给排水；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（2）电源控制：可实现远程分组控制学生高低压电源；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（3）摇臂控制：可实现远程控制摇臂升降机构。</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9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71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98FD">
            <w:pPr>
              <w:jc w:val="center"/>
              <w:rPr>
                <w:rFonts w:ascii="宋体" w:hAnsi="宋体" w:eastAsia="宋体" w:cs="宋体"/>
                <w:color w:val="000000"/>
                <w:sz w:val="20"/>
                <w:szCs w:val="20"/>
              </w:rPr>
            </w:pPr>
          </w:p>
        </w:tc>
      </w:tr>
      <w:tr w14:paraId="3AD7CDD0">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31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6E4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网络智能控制系统</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5888B">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安装网络数据传输设备，吊装系统覆盖网络，接受智能控制。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网络线路：工程级无氧铜六类双绞线。</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79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5A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7BE6">
            <w:pPr>
              <w:jc w:val="center"/>
              <w:rPr>
                <w:rFonts w:ascii="宋体" w:hAnsi="宋体" w:eastAsia="宋体" w:cs="宋体"/>
                <w:color w:val="000000"/>
                <w:sz w:val="20"/>
                <w:szCs w:val="20"/>
              </w:rPr>
            </w:pPr>
          </w:p>
        </w:tc>
      </w:tr>
      <w:tr w14:paraId="457397F2">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03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7</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54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低压电源控制系统</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FD1C">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通过控制面板可控制学生低压交直流电源。</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1、低压交流电源2-30V/3A（2V一档）；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2、低压直流电源：1.25V-30V/3A，学生可进行微调。</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吊顶安装可升降集成系统内部电气布线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3.供电线路：采用通用铜芯电线进行系统布线。</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00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1D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8A6E">
            <w:pPr>
              <w:jc w:val="center"/>
              <w:rPr>
                <w:rFonts w:ascii="宋体" w:hAnsi="宋体" w:eastAsia="宋体" w:cs="宋体"/>
                <w:color w:val="000000"/>
                <w:sz w:val="20"/>
                <w:szCs w:val="20"/>
              </w:rPr>
            </w:pPr>
          </w:p>
        </w:tc>
      </w:tr>
      <w:tr w14:paraId="36D9FC9B">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40D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801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摇臂升降机构</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09A8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摇臂升降机构接受智能控制系统信号实现远程遥控，动力为24V低压减速电机，固定于专用支架，外部保护罩为ABS工程塑料。</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支撑悬臂：采用不小于1.2mm厚≥60×50mm椭圆形铝镁合金大型模具制作而成，表面阳极氧化磨砂处理。 功能操作模块规格（长×高×厚）：不小于280×280×80mm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 xml:space="preserve"> 1、表面圆润防止学生磕碰；</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2、功能操作模块主体采用≥3.5mm厚ABS阻燃工程塑料一次注塑成型,具有防火、防潮、防锈及防漏电功能；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3、每组功能操作模块配备急停按钮，在紧急情况下快速切断设备电源，保障实验室安全。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4、功能操作面板预留电源功能模块，功能模块成田字状分布方便学生使用；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5、每组功能操作模块可满足两组学生用电功能需求。为避免学生身高无法使用电源模块，最高处电源模块中心点距离操作面板底端不得超过150mm。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6、功能接口模块包含：220V电源五孔插座、网络接口。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7、所有紧固零件均采用不锈钢材质；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8、所有功能模块均接受智能控制系统控制。</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5A0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FB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FBF2">
            <w:pPr>
              <w:jc w:val="center"/>
              <w:rPr>
                <w:rFonts w:ascii="宋体" w:hAnsi="宋体" w:eastAsia="宋体" w:cs="宋体"/>
                <w:color w:val="000000"/>
                <w:sz w:val="20"/>
                <w:szCs w:val="20"/>
              </w:rPr>
            </w:pPr>
          </w:p>
        </w:tc>
      </w:tr>
      <w:tr w14:paraId="17D758A1">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61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E3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快速给排水接口</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1B15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接收智能化控制系统控制，摇臂操作面板上预留快速给排水接口1对、信号控制接口1个。</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快速给水接口采用防锈工艺，自带止流阀（止流阀可实现拔出给水管接头时，出水口自动止水）；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快速排水接口采用耐腐蚀、耐热、耐压、不结垢的PPR工程塑料注塑成型。</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47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90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9</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6A3B">
            <w:pPr>
              <w:jc w:val="center"/>
              <w:rPr>
                <w:rFonts w:ascii="宋体" w:hAnsi="宋体" w:eastAsia="宋体" w:cs="宋体"/>
                <w:color w:val="000000"/>
                <w:sz w:val="20"/>
                <w:szCs w:val="20"/>
              </w:rPr>
            </w:pPr>
          </w:p>
        </w:tc>
      </w:tr>
      <w:tr w14:paraId="33B47E60">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061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10</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EF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多功能移动水槽台</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7A7F5">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规格尺寸：≥500×600×1030H/水槽深度≥270mm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 水槽台上部为多功能安装平台采用≥3.8mm厚耐酸碱PP工程塑料整体模具注塑成型，多功能平台集成有给排水快速接口、信号控制接口、三联水嘴、≥8试管位滴水架。</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 水槽与台面采用≥3.8mm厚耐酸碱PP工程塑料整体模具一体注塑成型，台面设有溢水口及台式洗眼器，内部集成自动水位控制系统，四周边缘设计挡水边。</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3、三联水嘴采用耐腐蚀、耐热、耐压、不结垢的PPR工程塑料模具注塑成型。</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低压学生电源2组，分别固定安装于两侧，接收智能化控制系统控制，低压交流电源2-30V/3A（2V一档）（短路、过载自动保护、自动复位）；低压直流电源：1.25V-30V/3A，学生可进行微调；交直流电压均采用数码显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5、水槽台采用双层过滤结构，水槽下水口带有过滤网，水槽台中部配备抽屉式过滤层并安装通锁，背面预留检修口。</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6、水槽内设有水位传感器及排水装置，有自动排水和手动及紧急排水功能，将废水自动排出。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7、摇臂设有自检测功能，当水槽信号控制线与摇臂相连时，摇臂处于使用状态，摇臂处于锁定状态，不能升降，避免各种误操作。</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8、给排水快速接口与摇臂操作面板设计排水接口采用PVC软管（具有防酸、防碱、耐腐蚀功能）连接，接口均采用自动锁紧插拔式连接方式（拔掉时没有污水流出），用时接上，不用时可收起。（配置给排水PVC软管2根、信号控制快速航空接头及连接线1套。）</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9、水槽台底部安装静音万向轮。</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E6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7A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C42C">
            <w:pPr>
              <w:jc w:val="center"/>
              <w:rPr>
                <w:rFonts w:ascii="宋体" w:hAnsi="宋体" w:eastAsia="宋体" w:cs="宋体"/>
                <w:color w:val="000000"/>
                <w:sz w:val="20"/>
                <w:szCs w:val="20"/>
              </w:rPr>
            </w:pPr>
          </w:p>
        </w:tc>
      </w:tr>
      <w:tr w14:paraId="198AD863">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9B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11</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E5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给排水管</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A4B30">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吊顶安装可升降集成系统内部给排水布管</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1.给水主管选用Ø20-32mmPP-R给水管，模块化设计，每组模块间采用活接式连接，方便安装、检修。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2.排水管选用加厚Ø50-75mmPVC-U国标管，模块化设计，每组模块间采用活接式连接，方便安装、检修。</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FB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87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7F9B">
            <w:pPr>
              <w:jc w:val="center"/>
              <w:rPr>
                <w:rFonts w:ascii="宋体" w:hAnsi="宋体" w:eastAsia="宋体" w:cs="宋体"/>
                <w:color w:val="000000"/>
                <w:sz w:val="20"/>
                <w:szCs w:val="20"/>
              </w:rPr>
            </w:pPr>
          </w:p>
        </w:tc>
      </w:tr>
      <w:tr w14:paraId="69FACF46">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03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8B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吊顶安装可升降集成系统</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972E8">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1、运用标准的模块化构建手段，依照实验室的特定空间状况进行精准设计安装。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外形及材质：底板规格不小于200×300mm，侧板规格不小于300×240mm；底板、侧板均采用厚度2.6mmABS工程塑料注塑成型，ABS工程塑料材质具有耐腐蚀可有效抵抗在实验室环境中化学物质的侵蚀；具有良好的绝缘性能，提高设备的电气安全性，降低短路和漏电的风险。</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3、内部预留管线安装位置，采用分层设计，可根据功能要求分层布置通风管路、给排水管路、电气网络线路。</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4、所有安装部件采用模块化设计，拆卸方便，便于检修。</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D91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42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6533">
            <w:pPr>
              <w:jc w:val="center"/>
              <w:rPr>
                <w:rFonts w:ascii="宋体" w:hAnsi="宋体" w:eastAsia="宋体" w:cs="宋体"/>
                <w:color w:val="000000"/>
                <w:sz w:val="20"/>
                <w:szCs w:val="20"/>
              </w:rPr>
            </w:pPr>
          </w:p>
        </w:tc>
      </w:tr>
      <w:tr w14:paraId="0F685AE5">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60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13</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BEE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系统安装辅件</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F2B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采用固定横梁吊装方式，减少楼板承重，防止左右晃动，可进行上下、左右的平衡调节。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主要辅件有：矩形钢、三角构件、直角座、龙骨架连接件、吊装挂件、安装连接板等。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1.整室产品安装：包括组合式智慧演示台、学生实验桌、学生实验凳、学生实验椅等。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2.吊装设备安装调试：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1）吊顶安装可升降集成系统不用破坏原有地面，模块化结构设计，采用吊装安装方式；</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2）系统结构安装调试；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3）系统控制安装调试；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4）给排水安装调试；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5）供电系统安装调试；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6）照明系统安装调试；</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7）网络系统安装调试</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F9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45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76DC">
            <w:pPr>
              <w:jc w:val="center"/>
              <w:rPr>
                <w:rFonts w:ascii="宋体" w:hAnsi="宋体" w:eastAsia="宋体" w:cs="宋体"/>
                <w:color w:val="000000"/>
                <w:sz w:val="20"/>
                <w:szCs w:val="20"/>
              </w:rPr>
            </w:pPr>
          </w:p>
        </w:tc>
      </w:tr>
      <w:tr w14:paraId="15A2D7CA">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A97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14</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B00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种子博物馆</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D21C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材质：种子、实木、塑料瓶</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CA7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套</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3D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3E50">
            <w:pPr>
              <w:jc w:val="center"/>
              <w:rPr>
                <w:rFonts w:ascii="宋体" w:hAnsi="宋体" w:eastAsia="宋体" w:cs="宋体"/>
                <w:color w:val="000000"/>
                <w:sz w:val="20"/>
                <w:szCs w:val="20"/>
              </w:rPr>
            </w:pPr>
          </w:p>
        </w:tc>
      </w:tr>
      <w:tr w14:paraId="5BA3B62C">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74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48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实物标本</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4D24">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上半部分：植物标本（天山雪莲、沙枣、梭梭等）</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下半部分：动物标本（绿头鸭、翠鸟、蝶类等）</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4E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项</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20C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BC76">
            <w:pPr>
              <w:jc w:val="center"/>
              <w:rPr>
                <w:rFonts w:ascii="宋体" w:hAnsi="宋体" w:eastAsia="宋体" w:cs="宋体"/>
                <w:color w:val="000000"/>
                <w:sz w:val="20"/>
                <w:szCs w:val="20"/>
              </w:rPr>
            </w:pPr>
          </w:p>
        </w:tc>
      </w:tr>
      <w:tr w14:paraId="4FD69BEF">
        <w:tblPrEx>
          <w:tblCellMar>
            <w:top w:w="0" w:type="dxa"/>
            <w:left w:w="108" w:type="dxa"/>
            <w:bottom w:w="0" w:type="dxa"/>
            <w:right w:w="108" w:type="dxa"/>
          </w:tblCellMar>
        </w:tblPrEx>
        <w:trPr>
          <w:trHeight w:val="400" w:hRule="atLeast"/>
        </w:trPr>
        <w:tc>
          <w:tcPr>
            <w:tcW w:w="4591"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91FC699">
            <w:pPr>
              <w:widowControl/>
              <w:jc w:val="left"/>
              <w:textAlignment w:val="center"/>
              <w:rPr>
                <w:rFonts w:ascii="宋体" w:hAnsi="宋体" w:eastAsia="宋体" w:cs="宋体"/>
                <w:b/>
                <w:bCs/>
                <w:color w:val="000000"/>
                <w:sz w:val="20"/>
                <w:szCs w:val="20"/>
              </w:rPr>
            </w:pPr>
            <w:r>
              <w:rPr>
                <w:rFonts w:hint="eastAsia" w:ascii="宋体" w:hAnsi="宋体" w:cs="宋体"/>
                <w:b/>
                <w:bCs/>
                <w:color w:val="000000"/>
                <w:sz w:val="20"/>
                <w:szCs w:val="20"/>
                <w:lang w:val="en-US" w:eastAsia="zh-CN"/>
              </w:rPr>
              <w:t>2.AI智阅批改区</w:t>
            </w: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71380298">
            <w:pPr>
              <w:widowControl/>
              <w:jc w:val="left"/>
              <w:textAlignment w:val="center"/>
              <w:rPr>
                <w:rFonts w:ascii="宋体" w:hAnsi="宋体" w:eastAsia="宋体" w:cs="宋体"/>
                <w:b/>
                <w:bCs/>
                <w:color w:val="000000"/>
                <w:sz w:val="20"/>
                <w:szCs w:val="20"/>
              </w:rPr>
            </w:pPr>
          </w:p>
        </w:tc>
      </w:tr>
      <w:tr w14:paraId="7ADC59D5">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00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9E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智能作业扫描留痕</w:t>
            </w:r>
            <w:r>
              <w:rPr>
                <w:rFonts w:hint="eastAsia" w:ascii="Times New Roman" w:hAnsi="Times New Roman" w:eastAsia="宋体" w:cs="Times New Roman"/>
                <w:color w:val="000000"/>
                <w:kern w:val="0"/>
                <w:sz w:val="20"/>
                <w:szCs w:val="20"/>
              </w:rPr>
              <w:t>批改</w:t>
            </w:r>
            <w:r>
              <w:rPr>
                <w:rFonts w:ascii="Times New Roman" w:hAnsi="Times New Roman" w:eastAsia="宋体" w:cs="Times New Roman"/>
                <w:color w:val="000000"/>
                <w:kern w:val="0"/>
                <w:sz w:val="20"/>
                <w:szCs w:val="20"/>
              </w:rPr>
              <w:t>一体机</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C31AB">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highlight w:val="none"/>
              </w:rPr>
              <w:t>支持作业云打印、作业扫描、作业批改痕迹留痕打印一体，读卡器自动识别，双纸盒，最大支持A3幅面，扫描速度单面60页/分，双面120页/分，可实现教师布置作业后，远程刷卡打印本班批改留痕作业</w:t>
            </w:r>
            <w:r>
              <w:rPr>
                <w:rFonts w:ascii="Times New Roman" w:hAnsi="Times New Roman" w:eastAsia="宋体" w:cs="Times New Roman"/>
                <w:color w:val="000000"/>
                <w:kern w:val="0"/>
                <w:sz w:val="20"/>
                <w:szCs w:val="20"/>
              </w:rPr>
              <w:t>。</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43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8D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F2A5">
            <w:pPr>
              <w:jc w:val="center"/>
              <w:rPr>
                <w:rFonts w:ascii="宋体" w:hAnsi="宋体" w:eastAsia="宋体" w:cs="宋体"/>
                <w:color w:val="000000"/>
                <w:sz w:val="20"/>
                <w:szCs w:val="20"/>
              </w:rPr>
            </w:pPr>
          </w:p>
        </w:tc>
      </w:tr>
      <w:tr w14:paraId="18AEE1BA">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2D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D0FA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生物专用仪器柜</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B341">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规格：1000×500×2000mm</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柜体：侧板、顶底板采用改性PP材料模具一次成型，表面沙面和光面相结合处理，保证柜体之坚固及密封性，耐腐蚀性强，顶板、底板预留模具成型排风孔。底部镶嵌15mm*30*1.2mm钢制横梁，承重力强。</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下柜柜门：内框采用改性PP材质模具一次成型，外嵌5mm厚钢化烤漆玻璃。上下拉手及三角对称五点固定，防止玻璃的松动或开合。伸缩式PP旋转门轴，四角圆弧倒角，内侧弧形圆边，配锁。</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上柜柜门：内框采用改性PP材质模具一次成型，外嵌5mm厚钢化烤漆玻璃，中间烤漆镂空制作。上下拉手及三角对称五点固定，防止玻璃的松动或开合。伸缩式PP旋转门轴，四角圆弧倒角，内侧弧形圆边。配锁。</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层板：上柜配置两块活动层板，下柜配置一块活动层板，层板全部采用改性PP材料模具一次成型，表面沙面和光面相结合处理，四周有阻水边，底部镶嵌两根15mm*30*1.2mm钢制横梁，承重力强。整体设计为活动式，可随意抽取放在合适的隔层，自由组合各层空间。</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拉手：采用改性PP材料模具一次成型，直角梯形四周倒圆与柜门平行，开启方便。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门铰链：采用改性PP材料模具一次成型，伸缩式PP旋转门轴，永不生锈，耐腐蚀性好。</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螺丝：不锈钢304材质。</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备注：可以用于各种腐蚀性化学品的储藏，如硫酸、盐酸、硝酸、乙酸、硫磺酸等。</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DE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个</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EC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4283E">
            <w:pPr>
              <w:jc w:val="center"/>
              <w:rPr>
                <w:rFonts w:ascii="宋体" w:hAnsi="宋体" w:eastAsia="宋体" w:cs="宋体"/>
                <w:color w:val="000000"/>
                <w:sz w:val="20"/>
                <w:szCs w:val="20"/>
              </w:rPr>
            </w:pPr>
          </w:p>
        </w:tc>
      </w:tr>
      <w:tr w14:paraId="0AA8E2D1">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1C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DD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生物专用置物架</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484A7">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1、基材：采用优质三聚氰胺板,优质绿色环保产品,含水 率10.8%，甲醛释放量5.1mg/100g, 2、粘合剂：优质乳胶,游离甲醛含量＜0.05g/kg， 3、封边用材：1mm厚PVC胶边，热熔胶.          4、品牌优质五金配件；</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9C57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AF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9EFC">
            <w:pPr>
              <w:jc w:val="center"/>
              <w:rPr>
                <w:rFonts w:ascii="宋体" w:hAnsi="宋体" w:eastAsia="宋体" w:cs="宋体"/>
                <w:color w:val="000000"/>
                <w:sz w:val="20"/>
                <w:szCs w:val="20"/>
              </w:rPr>
            </w:pPr>
          </w:p>
        </w:tc>
      </w:tr>
      <w:tr w14:paraId="7CC4F6C9">
        <w:tblPrEx>
          <w:tblCellMar>
            <w:top w:w="0" w:type="dxa"/>
            <w:left w:w="108" w:type="dxa"/>
            <w:bottom w:w="0" w:type="dxa"/>
            <w:right w:w="108" w:type="dxa"/>
          </w:tblCellMar>
        </w:tblPrEx>
        <w:trPr>
          <w:trHeight w:val="400" w:hRule="atLeast"/>
        </w:trPr>
        <w:tc>
          <w:tcPr>
            <w:tcW w:w="4591" w:type="pct"/>
            <w:gridSpan w:val="5"/>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33859E15">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3.精准教学讨论区</w:t>
            </w:r>
          </w:p>
        </w:tc>
        <w:tc>
          <w:tcPr>
            <w:tcW w:w="408" w:type="pct"/>
            <w:tcBorders>
              <w:top w:val="single" w:color="000000" w:sz="4" w:space="0"/>
              <w:left w:val="single" w:color="000000" w:sz="4" w:space="0"/>
              <w:bottom w:val="single" w:color="000000" w:sz="4" w:space="0"/>
              <w:right w:val="single" w:color="000000" w:sz="4" w:space="0"/>
            </w:tcBorders>
            <w:shd w:val="clear" w:color="auto" w:fill="A8EAE4"/>
            <w:noWrap/>
            <w:vAlign w:val="center"/>
          </w:tcPr>
          <w:p w14:paraId="4F90DCDF">
            <w:pPr>
              <w:widowControl/>
              <w:jc w:val="left"/>
              <w:textAlignment w:val="center"/>
              <w:rPr>
                <w:rFonts w:hint="eastAsia" w:ascii="宋体" w:hAnsi="宋体" w:eastAsia="宋体" w:cs="宋体"/>
                <w:b/>
                <w:bCs/>
                <w:color w:val="000000"/>
                <w:kern w:val="0"/>
                <w:sz w:val="20"/>
                <w:szCs w:val="20"/>
              </w:rPr>
            </w:pPr>
          </w:p>
        </w:tc>
      </w:tr>
      <w:tr w14:paraId="70B8F3D1">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1E13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3AE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教研专用桌</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06443">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材质：采用符合E1级环保要求的三聚氰胺板，厚度≥25mm；；封边用材：≥2mm厚PVC胶边，全自动封边机热熔胶封边；桌架采用优质国标碳素钢，桌架壁厚度≥1.2mm，截面≥50*15mm，表面经酸洗磷化、纯环氧树脂塑粉高温固化处理；</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2、优质国标五金配件，隐藏式插座、接线盒。</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FD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张</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67F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87D3">
            <w:pPr>
              <w:jc w:val="center"/>
              <w:rPr>
                <w:rFonts w:ascii="宋体" w:hAnsi="宋体" w:eastAsia="宋体" w:cs="宋体"/>
                <w:color w:val="000000"/>
                <w:sz w:val="20"/>
                <w:szCs w:val="20"/>
              </w:rPr>
            </w:pPr>
          </w:p>
        </w:tc>
      </w:tr>
      <w:tr w14:paraId="2F842210">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E2F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EDFD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教研专用椅</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1AB92">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规格≥460*470*930mm；靠背采用网布材料；座垫内置高回弹定型海绵，外罩网布；PP扶手；电镀钢制弓形腿。</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52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把</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E2D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7093">
            <w:pPr>
              <w:jc w:val="center"/>
              <w:rPr>
                <w:rFonts w:ascii="宋体" w:hAnsi="宋体" w:eastAsia="宋体" w:cs="宋体"/>
                <w:color w:val="000000"/>
                <w:sz w:val="20"/>
                <w:szCs w:val="20"/>
              </w:rPr>
            </w:pPr>
          </w:p>
        </w:tc>
      </w:tr>
      <w:tr w14:paraId="678031D5">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90D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4AA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一体机支架</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E44E">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移动支架通过防倾斜实验，正负</w:t>
            </w:r>
            <w:r>
              <w:rPr>
                <w:rFonts w:ascii="Times New Roman" w:hAnsi="Times New Roman" w:eastAsia="宋体" w:cs="Times New Roman"/>
                <w:color w:val="000000"/>
                <w:kern w:val="0"/>
                <w:sz w:val="20"/>
                <w:szCs w:val="20"/>
              </w:rPr>
              <w:t>10</w:t>
            </w:r>
            <w:r>
              <w:rPr>
                <w:rFonts w:hint="eastAsia" w:ascii="宋体" w:hAnsi="宋体" w:eastAsia="宋体" w:cs="宋体"/>
                <w:color w:val="000000"/>
                <w:kern w:val="0"/>
                <w:sz w:val="20"/>
                <w:szCs w:val="20"/>
              </w:rPr>
              <w:t>度倾斜角度下不能翻倒；</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承挂</w:t>
            </w:r>
            <w:r>
              <w:rPr>
                <w:rFonts w:ascii="Times New Roman" w:hAnsi="Times New Roman" w:eastAsia="宋体" w:cs="Times New Roman"/>
                <w:color w:val="000000"/>
                <w:kern w:val="0"/>
                <w:sz w:val="20"/>
                <w:szCs w:val="20"/>
              </w:rPr>
              <w:t>≥100kg</w:t>
            </w:r>
            <w:r>
              <w:rPr>
                <w:rFonts w:hint="eastAsia" w:ascii="宋体" w:hAnsi="宋体" w:eastAsia="宋体" w:cs="宋体"/>
                <w:color w:val="000000"/>
                <w:kern w:val="0"/>
                <w:sz w:val="20"/>
                <w:szCs w:val="20"/>
              </w:rPr>
              <w:t>；整体高度</w:t>
            </w:r>
            <w:r>
              <w:rPr>
                <w:rFonts w:ascii="Times New Roman" w:hAnsi="Times New Roman" w:eastAsia="宋体" w:cs="Times New Roman"/>
                <w:color w:val="000000"/>
                <w:kern w:val="0"/>
                <w:sz w:val="20"/>
                <w:szCs w:val="20"/>
              </w:rPr>
              <w:t>≥1597mm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托盘承重</w:t>
            </w:r>
            <w:r>
              <w:rPr>
                <w:rFonts w:ascii="Times New Roman" w:hAnsi="Times New Roman" w:eastAsia="宋体" w:cs="Times New Roman"/>
                <w:color w:val="000000"/>
                <w:kern w:val="0"/>
                <w:sz w:val="20"/>
                <w:szCs w:val="20"/>
              </w:rPr>
              <w:t>25KG,</w:t>
            </w:r>
            <w:r>
              <w:rPr>
                <w:rFonts w:hint="eastAsia" w:ascii="宋体" w:hAnsi="宋体" w:eastAsia="宋体" w:cs="宋体"/>
                <w:color w:val="000000"/>
                <w:kern w:val="0"/>
                <w:sz w:val="20"/>
                <w:szCs w:val="20"/>
              </w:rPr>
              <w:t>模具设置</w:t>
            </w:r>
            <w:r>
              <w:rPr>
                <w:rFonts w:ascii="Times New Roman" w:hAnsi="Times New Roman" w:eastAsia="宋体" w:cs="Times New Roman"/>
                <w:color w:val="000000"/>
                <w:kern w:val="0"/>
                <w:sz w:val="20"/>
                <w:szCs w:val="20"/>
              </w:rPr>
              <w:t>U</w:t>
            </w:r>
            <w:r>
              <w:rPr>
                <w:rFonts w:hint="eastAsia" w:ascii="宋体" w:hAnsi="宋体" w:eastAsia="宋体" w:cs="宋体"/>
                <w:color w:val="000000"/>
                <w:kern w:val="0"/>
                <w:sz w:val="20"/>
                <w:szCs w:val="20"/>
              </w:rPr>
              <w:t>型置物槽，方便触摸笔、遥控器等物品放置；</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支撑立杆采用壁厚</w:t>
            </w:r>
            <w:r>
              <w:rPr>
                <w:rFonts w:ascii="Times New Roman" w:hAnsi="Times New Roman" w:eastAsia="宋体" w:cs="Times New Roman"/>
                <w:color w:val="000000"/>
                <w:kern w:val="0"/>
                <w:sz w:val="20"/>
                <w:szCs w:val="20"/>
              </w:rPr>
              <w:t>≥1.8mm</w:t>
            </w:r>
            <w:r>
              <w:rPr>
                <w:rFonts w:hint="eastAsia" w:ascii="宋体" w:hAnsi="宋体" w:eastAsia="宋体" w:cs="宋体"/>
                <w:color w:val="000000"/>
                <w:kern w:val="0"/>
                <w:sz w:val="20"/>
                <w:szCs w:val="20"/>
              </w:rPr>
              <w:t>方通冷轧钢材质，表面黑色喷涂；</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5.</w:t>
            </w:r>
            <w:r>
              <w:rPr>
                <w:rFonts w:hint="eastAsia" w:ascii="宋体" w:hAnsi="宋体" w:eastAsia="宋体" w:cs="宋体"/>
                <w:color w:val="000000"/>
                <w:kern w:val="0"/>
                <w:sz w:val="20"/>
                <w:szCs w:val="20"/>
              </w:rPr>
              <w:t>脚轮为万向轮，聚氨酯（</w:t>
            </w:r>
            <w:r>
              <w:rPr>
                <w:rFonts w:ascii="Times New Roman" w:hAnsi="Times New Roman" w:eastAsia="宋体" w:cs="Times New Roman"/>
                <w:color w:val="000000"/>
                <w:kern w:val="0"/>
                <w:sz w:val="20"/>
                <w:szCs w:val="20"/>
              </w:rPr>
              <w:t>PU</w:t>
            </w:r>
            <w:r>
              <w:rPr>
                <w:rFonts w:hint="eastAsia" w:ascii="宋体" w:hAnsi="宋体" w:eastAsia="宋体" w:cs="宋体"/>
                <w:color w:val="000000"/>
                <w:kern w:val="0"/>
                <w:sz w:val="20"/>
                <w:szCs w:val="20"/>
              </w:rPr>
              <w:t>）材质，均带脚刹，直径不小于∮</w:t>
            </w:r>
            <w:r>
              <w:rPr>
                <w:rFonts w:ascii="Times New Roman" w:hAnsi="Times New Roman" w:eastAsia="宋体" w:cs="Times New Roman"/>
                <w:color w:val="000000"/>
                <w:kern w:val="0"/>
                <w:sz w:val="20"/>
                <w:szCs w:val="20"/>
              </w:rPr>
              <w:t>75mm</w:t>
            </w:r>
            <w:r>
              <w:rPr>
                <w:rFonts w:hint="eastAsia" w:ascii="宋体" w:hAnsi="宋体" w:eastAsia="宋体" w:cs="宋体"/>
                <w:color w:val="000000"/>
                <w:kern w:val="0"/>
                <w:sz w:val="20"/>
                <w:szCs w:val="20"/>
              </w:rPr>
              <w:t>；</w:t>
            </w:r>
            <w:r>
              <w:rPr>
                <w:rFonts w:ascii="Times New Roman" w:hAnsi="Times New Roman" w:eastAsia="宋体" w:cs="Times New Roman"/>
                <w:color w:val="000000"/>
                <w:kern w:val="0"/>
                <w:sz w:val="20"/>
                <w:szCs w:val="20"/>
              </w:rPr>
              <w:br w:type="textWrapping"/>
            </w:r>
            <w:r>
              <w:rPr>
                <w:rFonts w:hint="eastAsia" w:ascii="宋体" w:hAnsi="宋体" w:eastAsia="宋体" w:cs="宋体"/>
                <w:color w:val="000000"/>
                <w:kern w:val="0"/>
                <w:sz w:val="20"/>
                <w:szCs w:val="20"/>
              </w:rPr>
              <w:t>脚轮中心距横向</w:t>
            </w:r>
            <w:r>
              <w:rPr>
                <w:rFonts w:ascii="Times New Roman" w:hAnsi="Times New Roman" w:eastAsia="宋体" w:cs="Times New Roman"/>
                <w:color w:val="000000"/>
                <w:kern w:val="0"/>
                <w:sz w:val="20"/>
                <w:szCs w:val="20"/>
              </w:rPr>
              <w:t>≥1115mm</w:t>
            </w:r>
            <w:r>
              <w:rPr>
                <w:rFonts w:hint="eastAsia" w:ascii="宋体" w:hAnsi="宋体" w:eastAsia="宋体" w:cs="宋体"/>
                <w:color w:val="000000"/>
                <w:kern w:val="0"/>
                <w:sz w:val="20"/>
                <w:szCs w:val="20"/>
              </w:rPr>
              <w:t>，纵向</w:t>
            </w:r>
            <w:r>
              <w:rPr>
                <w:rFonts w:ascii="Times New Roman" w:hAnsi="Times New Roman" w:eastAsia="宋体" w:cs="Times New Roman"/>
                <w:color w:val="000000"/>
                <w:kern w:val="0"/>
                <w:sz w:val="20"/>
                <w:szCs w:val="20"/>
              </w:rPr>
              <w:t>≥627mm</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15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台</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B5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9314">
            <w:pPr>
              <w:jc w:val="center"/>
              <w:rPr>
                <w:rFonts w:ascii="宋体" w:hAnsi="宋体" w:eastAsia="宋体" w:cs="宋体"/>
                <w:color w:val="000000"/>
                <w:sz w:val="20"/>
                <w:szCs w:val="20"/>
              </w:rPr>
            </w:pPr>
          </w:p>
        </w:tc>
      </w:tr>
      <w:tr w14:paraId="02A2CDDA">
        <w:tblPrEx>
          <w:tblCellMar>
            <w:top w:w="0" w:type="dxa"/>
            <w:left w:w="108" w:type="dxa"/>
            <w:bottom w:w="0" w:type="dxa"/>
            <w:right w:w="108" w:type="dxa"/>
          </w:tblCellMar>
        </w:tblPrEx>
        <w:trPr>
          <w:trHeight w:val="400" w:hRule="atLeast"/>
        </w:trPr>
        <w:tc>
          <w:tcPr>
            <w:tcW w:w="4591" w:type="pct"/>
            <w:gridSpan w:val="5"/>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612F24A2">
            <w:pPr>
              <w:widowControl/>
              <w:jc w:val="lef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二、空间建设</w:t>
            </w:r>
          </w:p>
        </w:tc>
        <w:tc>
          <w:tcPr>
            <w:tcW w:w="408" w:type="pct"/>
            <w:tcBorders>
              <w:top w:val="single" w:color="000000" w:sz="4" w:space="0"/>
              <w:left w:val="single" w:color="000000" w:sz="4" w:space="0"/>
              <w:bottom w:val="single" w:color="000000" w:sz="4" w:space="0"/>
              <w:right w:val="single" w:color="000000" w:sz="4" w:space="0"/>
            </w:tcBorders>
            <w:shd w:val="clear" w:color="auto" w:fill="7CDED7"/>
            <w:noWrap/>
            <w:vAlign w:val="center"/>
          </w:tcPr>
          <w:p w14:paraId="5E3A272A">
            <w:pPr>
              <w:widowControl/>
              <w:jc w:val="left"/>
              <w:textAlignment w:val="center"/>
              <w:rPr>
                <w:rFonts w:ascii="宋体" w:hAnsi="宋体" w:eastAsia="宋体" w:cs="宋体"/>
                <w:b/>
                <w:bCs/>
                <w:color w:val="000000"/>
                <w:sz w:val="20"/>
                <w:szCs w:val="20"/>
              </w:rPr>
            </w:pPr>
          </w:p>
        </w:tc>
      </w:tr>
      <w:tr w14:paraId="34E513F9">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D5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2F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空间氛围建设</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C0ED">
            <w:pPr>
              <w:widowControl/>
              <w:jc w:val="left"/>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r>
              <w:rPr>
                <w:rFonts w:hint="eastAsia" w:ascii="宋体" w:hAnsi="宋体" w:eastAsia="宋体" w:cs="宋体"/>
                <w:color w:val="000000"/>
                <w:kern w:val="0"/>
                <w:sz w:val="20"/>
                <w:szCs w:val="20"/>
              </w:rPr>
              <w:t>墙面学科文化内容与排版，文化布展的制作与安装；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2.</w:t>
            </w:r>
            <w:r>
              <w:rPr>
                <w:rFonts w:hint="eastAsia" w:ascii="宋体" w:hAnsi="宋体" w:eastAsia="宋体" w:cs="宋体"/>
                <w:color w:val="000000"/>
                <w:kern w:val="0"/>
                <w:sz w:val="20"/>
                <w:szCs w:val="20"/>
              </w:rPr>
              <w:t>根据设计要求进行相关的电路接线（室内需有符合布局的预留线管并穿线）；</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3.</w:t>
            </w:r>
            <w:r>
              <w:rPr>
                <w:rFonts w:hint="eastAsia" w:ascii="宋体" w:hAnsi="宋体" w:eastAsia="宋体" w:cs="宋体"/>
                <w:color w:val="000000"/>
                <w:kern w:val="0"/>
                <w:sz w:val="20"/>
                <w:szCs w:val="20"/>
              </w:rPr>
              <w:t>墙面造型安装；</w:t>
            </w:r>
            <w:r>
              <w:rPr>
                <w:rFonts w:ascii="Times New Roman" w:hAnsi="Times New Roman" w:eastAsia="宋体" w:cs="Times New Roman"/>
                <w:color w:val="000000"/>
                <w:kern w:val="0"/>
                <w:sz w:val="20"/>
                <w:szCs w:val="20"/>
              </w:rPr>
              <w:br w:type="textWrapping"/>
            </w:r>
            <w:r>
              <w:rPr>
                <w:rFonts w:ascii="Times New Roman" w:hAnsi="Times New Roman" w:eastAsia="宋体" w:cs="Times New Roman"/>
                <w:color w:val="000000"/>
                <w:kern w:val="0"/>
                <w:sz w:val="20"/>
                <w:szCs w:val="20"/>
              </w:rPr>
              <w:t>4.</w:t>
            </w:r>
            <w:r>
              <w:rPr>
                <w:rFonts w:hint="eastAsia" w:ascii="宋体" w:hAnsi="宋体" w:eastAsia="宋体" w:cs="宋体"/>
                <w:color w:val="000000"/>
                <w:kern w:val="0"/>
                <w:sz w:val="20"/>
                <w:szCs w:val="20"/>
              </w:rPr>
              <w:t>造型吊顶，包含吊顶安装及调试。</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147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CA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156</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269C">
            <w:pPr>
              <w:jc w:val="center"/>
              <w:rPr>
                <w:rFonts w:ascii="宋体" w:hAnsi="宋体" w:eastAsia="宋体" w:cs="宋体"/>
                <w:color w:val="000000"/>
                <w:sz w:val="20"/>
                <w:szCs w:val="20"/>
              </w:rPr>
            </w:pPr>
          </w:p>
        </w:tc>
      </w:tr>
      <w:tr w14:paraId="144EA711">
        <w:tblPrEx>
          <w:tblCellMar>
            <w:top w:w="0" w:type="dxa"/>
            <w:left w:w="108" w:type="dxa"/>
            <w:bottom w:w="0" w:type="dxa"/>
            <w:right w:w="108" w:type="dxa"/>
          </w:tblCellMar>
        </w:tblPrEx>
        <w:trPr>
          <w:trHeight w:val="40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5B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4E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照明系统</w:t>
            </w:r>
          </w:p>
        </w:tc>
        <w:tc>
          <w:tcPr>
            <w:tcW w:w="2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6A34">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配合实验室配套艺术造型吊顶安装照明设施，</w:t>
            </w:r>
            <w:r>
              <w:rPr>
                <w:rFonts w:ascii="Times New Roman" w:hAnsi="Times New Roman" w:eastAsia="宋体" w:cs="Times New Roman"/>
                <w:color w:val="000000"/>
                <w:kern w:val="0"/>
                <w:sz w:val="20"/>
                <w:szCs w:val="20"/>
              </w:rPr>
              <w:t xml:space="preserve">1200*100mmLED </w:t>
            </w:r>
            <w:r>
              <w:rPr>
                <w:rFonts w:hint="eastAsia" w:ascii="宋体" w:hAnsi="宋体" w:eastAsia="宋体" w:cs="宋体"/>
                <w:color w:val="000000"/>
                <w:kern w:val="0"/>
                <w:sz w:val="20"/>
                <w:szCs w:val="20"/>
              </w:rPr>
              <w:t>照明灯条形灯，约</w:t>
            </w:r>
            <w:r>
              <w:rPr>
                <w:rFonts w:ascii="Times New Roman" w:hAnsi="Times New Roman" w:eastAsia="宋体" w:cs="Times New Roman"/>
                <w:color w:val="000000"/>
                <w:kern w:val="0"/>
                <w:sz w:val="20"/>
                <w:szCs w:val="20"/>
              </w:rPr>
              <w:t>36W</w:t>
            </w:r>
            <w:r>
              <w:rPr>
                <w:rFonts w:hint="eastAsia" w:ascii="宋体" w:hAnsi="宋体" w:eastAsia="宋体" w:cs="宋体"/>
                <w:color w:val="000000"/>
                <w:kern w:val="0"/>
                <w:sz w:val="20"/>
                <w:szCs w:val="20"/>
              </w:rPr>
              <w:t>，采用电子变压器，含人工及安装。含管线及墙面控制开关</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BF8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室</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A5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0DA3">
            <w:pPr>
              <w:jc w:val="center"/>
              <w:rPr>
                <w:rFonts w:ascii="宋体" w:hAnsi="宋体" w:eastAsia="宋体" w:cs="宋体"/>
                <w:color w:val="000000"/>
                <w:sz w:val="20"/>
                <w:szCs w:val="20"/>
              </w:rPr>
            </w:pPr>
          </w:p>
        </w:tc>
      </w:tr>
    </w:tbl>
    <w:p w14:paraId="4D6CE22F">
      <w:pPr>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说明：参数中带有“▲”参数为不允许偏离的参数要求</w:t>
      </w:r>
      <w:r>
        <w:rPr>
          <w:rFonts w:hint="eastAsia" w:ascii="Times New Roman" w:hAnsi="Times New Roman" w:cs="Times New Roman"/>
          <w:color w:val="auto"/>
          <w:kern w:val="2"/>
          <w:sz w:val="24"/>
          <w:szCs w:val="24"/>
          <w:highlight w:val="none"/>
          <w:lang w:val="en-US" w:eastAsia="zh-CN" w:bidi="ar-SA"/>
        </w:rPr>
        <w:t>，未响应视为无效投标。</w:t>
      </w:r>
    </w:p>
    <w:p w14:paraId="7F28BA6B">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p>
    <w:p w14:paraId="145C93BE">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二、商务要求</w:t>
      </w:r>
    </w:p>
    <w:p w14:paraId="2D182C7F">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）采购及安装要求：</w:t>
      </w:r>
    </w:p>
    <w:p w14:paraId="4BAB8AEA">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1、所投货物（服务）在“投标响应”栏必须明确填报所投货物（服务）详细的型号配置及技术指标。所投货物（服务）报价包括设备、辅助材料、人工、机械、运输、存储、安装、调试、保险、劳保、各种税费、专利技术及质保期间一切费用等。</w:t>
      </w:r>
    </w:p>
    <w:p w14:paraId="155E984B">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2、所有投标货物（服务）的生产、制造、安装等各项技术标准应当符合国家（强制性）标准、各项规范要求；国家没有相应标准、规范的，可使用行业标准、规定；非标设备按约定的技术要求和规范。</w:t>
      </w:r>
    </w:p>
    <w:p w14:paraId="1A5C51C0">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3、质量保证：所投货物（服务）必须是全新的、未使用过的、原包装未拆封的正品商品，完全符合采购设备规定的质量、规格和性能的要求，投标方应保证其提供的货物（服务）在正确安装、正常使用和保养条件下，在规定的使用寿命期内具有满意的性能。签订合同时需提供原厂出具的质量保证及售后的服务承诺函原件。产品质量、技术性能等有误导、虚假行为给采购人造成损失的责任由投标人承担。</w:t>
      </w:r>
    </w:p>
    <w:p w14:paraId="69C599CB">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4、供应商负责提供质检报告等相关技术资料及日常使用、维护保养培训。</w:t>
      </w:r>
    </w:p>
    <w:p w14:paraId="2FC3DC17">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5、供货及安装工期：自合同签订之日起30个日历日。</w:t>
      </w:r>
    </w:p>
    <w:p w14:paraId="1080DBCD">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）质保及售后服务要求：</w:t>
      </w:r>
    </w:p>
    <w:p w14:paraId="34ADCD16">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1、质保标准</w:t>
      </w:r>
    </w:p>
    <w:p w14:paraId="4008427C">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对项目中所有提供的产品遵照厂家质保期限为三年（含系统软件升级），对系统提供终身技术支持及3年的免费上门服务。</w:t>
      </w:r>
    </w:p>
    <w:p w14:paraId="2FF70A2E">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对软件升级提供免费培训及技术支持。</w:t>
      </w:r>
    </w:p>
    <w:p w14:paraId="593CBC84">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对所提供的配套设备按照相应的售后服务内容进行保修。对设备质量和安装质量涉及人身安全的，投标人应给出书面的安全保证。</w:t>
      </w:r>
    </w:p>
    <w:p w14:paraId="025CA7D3">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2、本项目所有设备、配件及安装辅材必须为正规生产厂家生产的合格产品，设备附表涉及产品三年质保。中标方需提供三年免费上门维护服务，故障响应时间小于1小时，故障解决时间小于12小时；定期进行巡检，每年不少于2次。</w:t>
      </w:r>
    </w:p>
    <w:p w14:paraId="0128B746">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3、中标人在质保期内每学期开学前需到校对设备进行检查维护、维修，以保证师生在开学时能正常使用。在质保期内，中标供应商应负责对其提供的设备进行现场维修、损坏件更换，不收取额外费用。</w:t>
      </w:r>
    </w:p>
    <w:p w14:paraId="08A73154">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）培训服务及要求</w:t>
      </w:r>
    </w:p>
    <w:p w14:paraId="7F5F1D45">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1、对设备管理员及教师进行产品使用、维护、教学等方面的培训；</w:t>
      </w:r>
    </w:p>
    <w:p w14:paraId="65CD0C7B">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2、如遇重大活动需驻场提供现场保障服务；</w:t>
      </w:r>
    </w:p>
    <w:p w14:paraId="61BDDC27">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）安装调试及验收</w:t>
      </w:r>
    </w:p>
    <w:p w14:paraId="74D332AF">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1、设备采购</w:t>
      </w:r>
    </w:p>
    <w:p w14:paraId="41A8209E">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中标人在签订合同后，严格按照合同清单采购及供货。严禁擅自更改，若发现有设备品牌与投标文件中不符，并要求无条件更换，同时承担相关责任。无论何种原因，出现不合格材料、器材、设备用于工程的情况，后果均由中标方承担。</w:t>
      </w:r>
    </w:p>
    <w:p w14:paraId="07D04E19">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2、安装调试</w:t>
      </w:r>
    </w:p>
    <w:p w14:paraId="258389D1">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中标人应根据用户需要，在规定的时间内，配合相关单位，保质保量完成设备的安装、调试及投入运行。设备安装、调试所需的工具、仪表及安装材料由投标人自行解决。施工过程应严格执行相关的强弱电施工规范，并保证施工安全。</w:t>
      </w:r>
    </w:p>
    <w:p w14:paraId="1EC5F666">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3、验收</w:t>
      </w:r>
    </w:p>
    <w:p w14:paraId="59B60989">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中标人在确保系统稳定性的前提下，学校组织验收小组对系统进行验收，在完全达到设计要求、招标要求的前提下共同签字确认。</w:t>
      </w:r>
    </w:p>
    <w:p w14:paraId="4525D7E0">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）其它要求</w:t>
      </w:r>
    </w:p>
    <w:p w14:paraId="71136B15">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1、该项目中标供应商须负责送货、安装、调试，培训直至验收。</w:t>
      </w:r>
    </w:p>
    <w:p w14:paraId="43BE9DB9">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2、为保证安装的产品能安全使用，建议供应商到现场勘察设计；对在安装中可能出现的问题，必须有详细的应对方案。</w:t>
      </w:r>
    </w:p>
    <w:p w14:paraId="0D849FC6">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3、供应商负责提供质检报告等相关技术资料及日常使用、维护保养培训。</w:t>
      </w:r>
    </w:p>
    <w:p w14:paraId="1FC8CEDB">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4、供应商承担项目中所需要的全部材料、配件和各类费用，负责办理与本项目相关的各类手续。</w:t>
      </w:r>
    </w:p>
    <w:p w14:paraId="43BACAF3">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5、付款方式：合同签订后</w:t>
      </w:r>
      <w:r>
        <w:rPr>
          <w:rFonts w:hint="default" w:ascii="Times New Roman" w:hAnsi="Times New Roman" w:eastAsia="宋体" w:cs="Times New Roman"/>
          <w:color w:val="auto"/>
          <w:sz w:val="24"/>
          <w:szCs w:val="24"/>
          <w:highlight w:val="none"/>
          <w:lang w:val="en-US" w:eastAsia="zh-CN"/>
        </w:rPr>
        <w:t>15个工作日内</w:t>
      </w:r>
      <w:r>
        <w:rPr>
          <w:rFonts w:hint="default" w:ascii="Times New Roman" w:hAnsi="Times New Roman" w:eastAsia="宋体" w:cs="Times New Roman"/>
          <w:color w:val="auto"/>
          <w:sz w:val="24"/>
          <w:szCs w:val="24"/>
          <w:highlight w:val="none"/>
          <w:lang w:eastAsia="zh-CN"/>
        </w:rPr>
        <w:t>支付合同价款的30%（预付款），验收合格后</w:t>
      </w:r>
      <w:r>
        <w:rPr>
          <w:rFonts w:hint="default" w:ascii="Times New Roman" w:hAnsi="Times New Roman" w:eastAsia="宋体" w:cs="Times New Roman"/>
          <w:color w:val="auto"/>
          <w:sz w:val="24"/>
          <w:szCs w:val="24"/>
          <w:highlight w:val="none"/>
          <w:lang w:val="en-US" w:eastAsia="zh-CN"/>
        </w:rPr>
        <w:t>20个工作日内</w:t>
      </w:r>
      <w:r>
        <w:rPr>
          <w:rFonts w:hint="default" w:ascii="Times New Roman" w:hAnsi="Times New Roman" w:eastAsia="宋体" w:cs="Times New Roman"/>
          <w:color w:val="auto"/>
          <w:sz w:val="24"/>
          <w:szCs w:val="24"/>
          <w:highlight w:val="none"/>
          <w:lang w:eastAsia="zh-CN"/>
        </w:rPr>
        <w:t>支付剩余的70%。</w:t>
      </w:r>
    </w:p>
    <w:p w14:paraId="5A16D91D">
      <w:pPr>
        <w:pStyle w:val="350"/>
        <w:keepNext w:val="0"/>
        <w:keepLines w:val="0"/>
        <w:pageBreakBefore w:val="0"/>
        <w:widowControl w:val="0"/>
        <w:kinsoku/>
        <w:wordWrap/>
        <w:overflowPunct/>
        <w:topLinePunct w:val="0"/>
        <w:autoSpaceDE/>
        <w:autoSpaceDN/>
        <w:bidi w:val="0"/>
        <w:adjustRightInd/>
        <w:snapToGrid/>
        <w:spacing w:line="360" w:lineRule="auto"/>
        <w:ind w:firstLine="642"/>
        <w:textAlignment w:val="auto"/>
        <w:rPr>
          <w:rFonts w:hint="default" w:ascii="Times New Roman" w:hAnsi="Times New Roman" w:eastAsia="宋体" w:cs="Times New Roman"/>
          <w:color w:val="auto"/>
          <w:sz w:val="24"/>
          <w:szCs w:val="24"/>
          <w:highlight w:val="none"/>
          <w:lang w:eastAsia="zh-CN"/>
        </w:rPr>
      </w:pPr>
    </w:p>
    <w:p w14:paraId="1EC4327A">
      <w:pPr>
        <w:pStyle w:val="350"/>
        <w:spacing w:line="560" w:lineRule="exact"/>
        <w:ind w:firstLine="642"/>
        <w:rPr>
          <w:rFonts w:hint="eastAsia" w:eastAsia="方正仿宋_GBK" w:cs="Times New Roman"/>
          <w:color w:val="auto"/>
          <w:sz w:val="32"/>
          <w:szCs w:val="32"/>
          <w:highlight w:val="none"/>
          <w:lang w:eastAsia="zh-CN"/>
        </w:rPr>
      </w:pPr>
    </w:p>
    <w:p w14:paraId="18C23D90">
      <w:pPr>
        <w:pStyle w:val="350"/>
        <w:spacing w:line="560" w:lineRule="exact"/>
        <w:ind w:firstLine="642"/>
        <w:rPr>
          <w:rFonts w:hint="eastAsia" w:eastAsia="方正仿宋_GBK" w:cs="Times New Roman"/>
          <w:color w:val="auto"/>
          <w:sz w:val="32"/>
          <w:szCs w:val="32"/>
          <w:highlight w:val="none"/>
          <w:lang w:eastAsia="zh-CN"/>
        </w:rPr>
      </w:pPr>
    </w:p>
    <w:p w14:paraId="02458CFA">
      <w:pPr>
        <w:pStyle w:val="350"/>
        <w:spacing w:line="560" w:lineRule="exact"/>
        <w:ind w:firstLine="642"/>
        <w:rPr>
          <w:rFonts w:hint="eastAsia" w:eastAsia="方正仿宋_GBK" w:cs="Times New Roman"/>
          <w:color w:val="auto"/>
          <w:sz w:val="32"/>
          <w:szCs w:val="32"/>
          <w:highlight w:val="none"/>
          <w:lang w:eastAsia="zh-CN"/>
        </w:rPr>
      </w:pPr>
    </w:p>
    <w:p w14:paraId="60B722F9">
      <w:pPr>
        <w:pStyle w:val="350"/>
        <w:spacing w:line="560" w:lineRule="exact"/>
        <w:ind w:firstLine="642"/>
        <w:rPr>
          <w:rFonts w:hint="eastAsia" w:eastAsia="方正仿宋_GBK" w:cs="Times New Roman"/>
          <w:color w:val="auto"/>
          <w:sz w:val="32"/>
          <w:szCs w:val="32"/>
          <w:highlight w:val="none"/>
          <w:lang w:eastAsia="zh-CN"/>
        </w:rPr>
      </w:pPr>
    </w:p>
    <w:p w14:paraId="03636D6A">
      <w:pPr>
        <w:pStyle w:val="350"/>
        <w:spacing w:line="560" w:lineRule="exact"/>
        <w:ind w:firstLine="642"/>
        <w:rPr>
          <w:rFonts w:hint="eastAsia" w:eastAsia="方正仿宋_GBK" w:cs="Times New Roman"/>
          <w:color w:val="auto"/>
          <w:sz w:val="32"/>
          <w:szCs w:val="32"/>
          <w:highlight w:val="none"/>
          <w:lang w:eastAsia="zh-CN"/>
        </w:rPr>
      </w:pPr>
    </w:p>
    <w:p w14:paraId="0F500DBB">
      <w:pPr>
        <w:pStyle w:val="350"/>
        <w:spacing w:line="560" w:lineRule="exact"/>
        <w:ind w:firstLine="642"/>
        <w:rPr>
          <w:rFonts w:hint="eastAsia" w:eastAsia="方正仿宋_GBK" w:cs="Times New Roman"/>
          <w:color w:val="auto"/>
          <w:sz w:val="32"/>
          <w:szCs w:val="32"/>
          <w:highlight w:val="none"/>
          <w:lang w:eastAsia="zh-CN"/>
        </w:rPr>
      </w:pPr>
    </w:p>
    <w:p w14:paraId="6BDD8C4B">
      <w:pPr>
        <w:pStyle w:val="350"/>
        <w:spacing w:line="560" w:lineRule="exact"/>
        <w:ind w:firstLine="642"/>
        <w:rPr>
          <w:rFonts w:hint="eastAsia" w:eastAsia="方正仿宋_GBK" w:cs="Times New Roman"/>
          <w:color w:val="auto"/>
          <w:sz w:val="32"/>
          <w:szCs w:val="32"/>
          <w:highlight w:val="none"/>
          <w:lang w:eastAsia="zh-CN"/>
        </w:rPr>
      </w:pPr>
    </w:p>
    <w:p w14:paraId="7431EF60">
      <w:pPr>
        <w:pStyle w:val="350"/>
        <w:spacing w:line="560" w:lineRule="exact"/>
        <w:ind w:firstLine="642"/>
        <w:rPr>
          <w:rFonts w:hint="eastAsia" w:eastAsia="方正仿宋_GBK" w:cs="Times New Roman"/>
          <w:color w:val="auto"/>
          <w:sz w:val="32"/>
          <w:szCs w:val="32"/>
          <w:highlight w:val="none"/>
          <w:lang w:eastAsia="zh-CN"/>
        </w:rPr>
      </w:pPr>
    </w:p>
    <w:p w14:paraId="42AE76E4">
      <w:pPr>
        <w:pStyle w:val="350"/>
        <w:spacing w:line="560" w:lineRule="exact"/>
        <w:ind w:firstLine="642"/>
        <w:rPr>
          <w:rFonts w:hint="eastAsia" w:eastAsia="方正仿宋_GBK" w:cs="Times New Roman"/>
          <w:color w:val="auto"/>
          <w:sz w:val="32"/>
          <w:szCs w:val="32"/>
          <w:highlight w:val="none"/>
          <w:lang w:eastAsia="zh-CN"/>
        </w:rPr>
      </w:pPr>
    </w:p>
    <w:p w14:paraId="66F29B26">
      <w:pPr>
        <w:pStyle w:val="350"/>
        <w:spacing w:line="560" w:lineRule="exact"/>
        <w:ind w:firstLine="642"/>
        <w:rPr>
          <w:rFonts w:hint="eastAsia" w:eastAsia="方正仿宋_GBK" w:cs="Times New Roman"/>
          <w:color w:val="auto"/>
          <w:sz w:val="32"/>
          <w:szCs w:val="32"/>
          <w:highlight w:val="none"/>
          <w:lang w:eastAsia="zh-CN"/>
        </w:rPr>
      </w:pPr>
    </w:p>
    <w:p w14:paraId="6DC48E68">
      <w:pPr>
        <w:pStyle w:val="350"/>
        <w:spacing w:line="560" w:lineRule="exact"/>
        <w:ind w:firstLine="642"/>
        <w:rPr>
          <w:rFonts w:hint="eastAsia" w:eastAsia="方正仿宋_GBK" w:cs="Times New Roman"/>
          <w:color w:val="auto"/>
          <w:sz w:val="32"/>
          <w:szCs w:val="32"/>
          <w:highlight w:val="none"/>
          <w:lang w:eastAsia="zh-CN"/>
        </w:rPr>
      </w:pPr>
    </w:p>
    <w:p w14:paraId="78C26301">
      <w:pPr>
        <w:pStyle w:val="350"/>
        <w:spacing w:line="560" w:lineRule="exact"/>
        <w:ind w:firstLine="642"/>
        <w:rPr>
          <w:rFonts w:hint="eastAsia" w:eastAsia="方正仿宋_GBK" w:cs="Times New Roman"/>
          <w:color w:val="auto"/>
          <w:sz w:val="32"/>
          <w:szCs w:val="32"/>
          <w:highlight w:val="none"/>
          <w:lang w:eastAsia="zh-CN"/>
        </w:rPr>
      </w:pPr>
    </w:p>
    <w:p w14:paraId="2A9CCE5C">
      <w:pPr>
        <w:pStyle w:val="350"/>
        <w:spacing w:line="560" w:lineRule="exact"/>
        <w:ind w:firstLine="642"/>
        <w:rPr>
          <w:rFonts w:hint="eastAsia" w:eastAsia="方正仿宋_GBK" w:cs="Times New Roman"/>
          <w:color w:val="auto"/>
          <w:sz w:val="32"/>
          <w:szCs w:val="32"/>
          <w:highlight w:val="none"/>
          <w:lang w:eastAsia="zh-CN"/>
        </w:rPr>
      </w:pPr>
    </w:p>
    <w:p w14:paraId="16542DDD">
      <w:pPr>
        <w:pStyle w:val="14"/>
        <w:rPr>
          <w:color w:val="auto"/>
          <w:highlight w:val="none"/>
        </w:rPr>
      </w:pPr>
    </w:p>
    <w:p w14:paraId="51664257">
      <w:pPr>
        <w:pStyle w:val="2"/>
        <w:jc w:val="center"/>
        <w:rPr>
          <w:color w:val="auto"/>
          <w:highlight w:val="none"/>
        </w:rPr>
      </w:pPr>
      <w:bookmarkStart w:id="164" w:name="_Toc21802"/>
      <w:r>
        <w:rPr>
          <w:rFonts w:hint="eastAsia" w:ascii="方正黑体_GBK" w:hAnsi="方正黑体_GBK" w:eastAsia="方正黑体_GBK" w:cs="方正黑体_GBK"/>
          <w:color w:val="auto"/>
          <w:highlight w:val="none"/>
        </w:rPr>
        <w:t>第七章  投标文件格式与要求</w:t>
      </w:r>
      <w:bookmarkEnd w:id="156"/>
      <w:bookmarkEnd w:id="157"/>
      <w:bookmarkEnd w:id="164"/>
    </w:p>
    <w:p w14:paraId="2B4D497F">
      <w:pPr>
        <w:rPr>
          <w:rFonts w:ascii="Times New Roman" w:hAnsi="Times New Roman"/>
          <w:color w:val="auto"/>
          <w:highlight w:val="none"/>
        </w:rPr>
      </w:pPr>
      <w:r>
        <w:rPr>
          <w:rFonts w:ascii="Times New Roman" w:hAnsi="Times New Roman"/>
          <w:color w:val="auto"/>
          <w:highlight w:val="none"/>
        </w:rPr>
        <w:t> </w:t>
      </w:r>
      <w:r>
        <w:rPr>
          <w:rFonts w:ascii="Times New Roman" w:hAnsi="Times New Roman"/>
          <w:color w:val="auto"/>
          <w:szCs w:val="21"/>
          <w:highlight w:val="none"/>
        </w:rPr>
        <w:t xml:space="preserve"> </w:t>
      </w:r>
    </w:p>
    <w:p w14:paraId="5C527482">
      <w:pPr>
        <w:rPr>
          <w:rFonts w:ascii="Times New Roman" w:hAnsi="Times New Roman"/>
          <w:color w:val="auto"/>
          <w:highlight w:val="none"/>
        </w:rPr>
      </w:pPr>
    </w:p>
    <w:p w14:paraId="160A6E3B">
      <w:pPr>
        <w:widowControl/>
        <w:spacing w:after="400"/>
        <w:jc w:val="center"/>
        <w:rPr>
          <w:rFonts w:hint="eastAsia" w:ascii="方正黑体_GBK" w:hAnsi="方正黑体_GBK" w:eastAsia="方正黑体_GBK" w:cs="方正黑体_GBK"/>
          <w:color w:val="auto"/>
          <w:kern w:val="0"/>
          <w:sz w:val="36"/>
          <w:szCs w:val="36"/>
          <w:highlight w:val="none"/>
        </w:rPr>
      </w:pPr>
      <w:r>
        <w:rPr>
          <w:rFonts w:hint="eastAsia" w:ascii="方正黑体_GBK" w:hAnsi="方正黑体_GBK" w:eastAsia="方正黑体_GBK" w:cs="方正黑体_GBK"/>
          <w:color w:val="auto"/>
          <w:kern w:val="0"/>
          <w:sz w:val="36"/>
          <w:szCs w:val="36"/>
          <w:highlight w:val="none"/>
        </w:rPr>
        <w:t>目  录</w:t>
      </w:r>
    </w:p>
    <w:p w14:paraId="52566E3F">
      <w:pPr>
        <w:widowControl/>
        <w:spacing w:before="240" w:after="240" w:line="200" w:lineRule="atLeast"/>
        <w:jc w:val="left"/>
        <w:rPr>
          <w:rFonts w:hint="eastAsia" w:ascii="方正黑体_GBK" w:hAnsi="方正黑体_GBK" w:eastAsia="方正黑体_GBK" w:cs="方正黑体_GBK"/>
          <w:color w:val="auto"/>
          <w:kern w:val="0"/>
          <w:sz w:val="24"/>
          <w:szCs w:val="24"/>
          <w:highlight w:val="none"/>
        </w:rPr>
      </w:pPr>
      <w:r>
        <w:rPr>
          <w:rFonts w:hint="eastAsia" w:ascii="方正黑体_GBK" w:hAnsi="方正黑体_GBK" w:eastAsia="方正黑体_GBK" w:cs="方正黑体_GBK"/>
          <w:color w:val="auto"/>
          <w:kern w:val="0"/>
          <w:sz w:val="24"/>
          <w:szCs w:val="24"/>
          <w:highlight w:val="none"/>
        </w:rPr>
        <w:t>资格响应文件</w:t>
      </w:r>
    </w:p>
    <w:p w14:paraId="0602D022">
      <w:pPr>
        <w:widowControl/>
        <w:spacing w:before="240" w:after="240" w:line="160" w:lineRule="atLeast"/>
        <w:ind w:firstLine="960"/>
        <w:jc w:val="left"/>
        <w:rPr>
          <w:rFonts w:hint="eastAsia" w:ascii="方正黑体_GBK" w:hAnsi="方正黑体_GBK" w:eastAsia="方正黑体_GBK" w:cs="方正黑体_GBK"/>
          <w:color w:val="auto"/>
          <w:kern w:val="0"/>
          <w:sz w:val="24"/>
          <w:szCs w:val="24"/>
          <w:highlight w:val="none"/>
        </w:rPr>
      </w:pPr>
      <w:r>
        <w:rPr>
          <w:rFonts w:hint="eastAsia" w:ascii="方正黑体_GBK" w:hAnsi="方正黑体_GBK" w:eastAsia="方正黑体_GBK" w:cs="方正黑体_GBK"/>
          <w:color w:val="auto"/>
          <w:kern w:val="0"/>
          <w:sz w:val="24"/>
          <w:szCs w:val="24"/>
          <w:highlight w:val="none"/>
        </w:rPr>
        <w:t>…</w:t>
      </w:r>
    </w:p>
    <w:p w14:paraId="11327AC0">
      <w:pPr>
        <w:widowControl/>
        <w:spacing w:before="240" w:after="240" w:line="200" w:lineRule="atLeast"/>
        <w:jc w:val="left"/>
        <w:rPr>
          <w:rFonts w:hint="eastAsia" w:ascii="方正黑体_GBK" w:hAnsi="方正黑体_GBK" w:eastAsia="方正黑体_GBK" w:cs="方正黑体_GBK"/>
          <w:color w:val="auto"/>
          <w:kern w:val="0"/>
          <w:sz w:val="24"/>
          <w:szCs w:val="24"/>
          <w:highlight w:val="none"/>
        </w:rPr>
      </w:pPr>
      <w:r>
        <w:rPr>
          <w:rFonts w:hint="eastAsia" w:ascii="方正黑体_GBK" w:hAnsi="方正黑体_GBK" w:eastAsia="方正黑体_GBK" w:cs="方正黑体_GBK"/>
          <w:color w:val="auto"/>
          <w:kern w:val="0"/>
          <w:sz w:val="24"/>
          <w:szCs w:val="24"/>
          <w:highlight w:val="none"/>
        </w:rPr>
        <w:t>报价响应文件</w:t>
      </w:r>
    </w:p>
    <w:p w14:paraId="75D4F677">
      <w:pPr>
        <w:widowControl/>
        <w:spacing w:before="240" w:after="240" w:line="160" w:lineRule="atLeast"/>
        <w:ind w:firstLine="960"/>
        <w:jc w:val="left"/>
        <w:rPr>
          <w:rFonts w:hint="eastAsia" w:ascii="方正黑体_GBK" w:hAnsi="方正黑体_GBK" w:eastAsia="方正黑体_GBK" w:cs="方正黑体_GBK"/>
          <w:color w:val="auto"/>
          <w:kern w:val="0"/>
          <w:sz w:val="24"/>
          <w:szCs w:val="24"/>
          <w:highlight w:val="none"/>
        </w:rPr>
      </w:pPr>
      <w:r>
        <w:rPr>
          <w:rFonts w:hint="eastAsia" w:ascii="方正黑体_GBK" w:hAnsi="方正黑体_GBK" w:eastAsia="方正黑体_GBK" w:cs="方正黑体_GBK"/>
          <w:color w:val="auto"/>
          <w:kern w:val="0"/>
          <w:sz w:val="24"/>
          <w:szCs w:val="24"/>
          <w:highlight w:val="none"/>
        </w:rPr>
        <w:t>…</w:t>
      </w:r>
    </w:p>
    <w:p w14:paraId="449B3F5A">
      <w:pPr>
        <w:widowControl/>
        <w:spacing w:before="240" w:after="240" w:line="200" w:lineRule="atLeast"/>
        <w:jc w:val="left"/>
        <w:rPr>
          <w:rFonts w:hint="eastAsia" w:ascii="方正黑体_GBK" w:hAnsi="方正黑体_GBK" w:eastAsia="方正黑体_GBK" w:cs="方正黑体_GBK"/>
          <w:color w:val="auto"/>
          <w:kern w:val="0"/>
          <w:sz w:val="24"/>
          <w:szCs w:val="24"/>
          <w:highlight w:val="none"/>
        </w:rPr>
      </w:pPr>
      <w:r>
        <w:rPr>
          <w:rFonts w:hint="eastAsia" w:ascii="方正黑体_GBK" w:hAnsi="方正黑体_GBK" w:eastAsia="方正黑体_GBK" w:cs="方正黑体_GBK"/>
          <w:color w:val="auto"/>
          <w:kern w:val="0"/>
          <w:sz w:val="24"/>
          <w:szCs w:val="24"/>
          <w:highlight w:val="none"/>
        </w:rPr>
        <w:t>商务技术响应文件</w:t>
      </w:r>
    </w:p>
    <w:p w14:paraId="6D97505E">
      <w:pPr>
        <w:widowControl/>
        <w:spacing w:before="240" w:after="240" w:line="160" w:lineRule="atLeast"/>
        <w:ind w:firstLine="960"/>
        <w:jc w:val="left"/>
        <w:rPr>
          <w:rFonts w:hint="eastAsia" w:ascii="方正黑体_GBK" w:hAnsi="方正黑体_GBK" w:eastAsia="方正黑体_GBK" w:cs="方正黑体_GBK"/>
          <w:color w:val="auto"/>
          <w:kern w:val="0"/>
          <w:sz w:val="24"/>
          <w:szCs w:val="24"/>
          <w:highlight w:val="none"/>
        </w:rPr>
      </w:pPr>
      <w:r>
        <w:rPr>
          <w:rFonts w:hint="eastAsia" w:ascii="方正黑体_GBK" w:hAnsi="方正黑体_GBK" w:eastAsia="方正黑体_GBK" w:cs="方正黑体_GBK"/>
          <w:color w:val="auto"/>
          <w:kern w:val="0"/>
          <w:sz w:val="24"/>
          <w:szCs w:val="24"/>
          <w:highlight w:val="none"/>
        </w:rPr>
        <w:t>…</w:t>
      </w:r>
    </w:p>
    <w:p w14:paraId="42CEFCD1">
      <w:pPr>
        <w:widowControl/>
        <w:jc w:val="left"/>
        <w:rPr>
          <w:rFonts w:hint="eastAsia" w:ascii="方正黑体_GBK" w:hAnsi="方正黑体_GBK" w:eastAsia="方正黑体_GBK" w:cs="方正黑体_GBK"/>
          <w:color w:val="auto"/>
          <w:kern w:val="0"/>
          <w:sz w:val="24"/>
          <w:szCs w:val="24"/>
          <w:highlight w:val="none"/>
        </w:rPr>
      </w:pPr>
    </w:p>
    <w:p w14:paraId="228302C5">
      <w:pPr>
        <w:widowControl/>
        <w:jc w:val="left"/>
        <w:rPr>
          <w:rFonts w:hint="eastAsia" w:ascii="方正黑体_GBK" w:hAnsi="方正黑体_GBK" w:eastAsia="方正黑体_GBK" w:cs="方正黑体_GBK"/>
          <w:color w:val="auto"/>
          <w:kern w:val="0"/>
          <w:sz w:val="24"/>
          <w:szCs w:val="24"/>
          <w:highlight w:val="none"/>
        </w:rPr>
      </w:pPr>
    </w:p>
    <w:p w14:paraId="4D1DC2E4">
      <w:pPr>
        <w:widowControl/>
        <w:jc w:val="left"/>
        <w:rPr>
          <w:rFonts w:hint="eastAsia" w:ascii="方正黑体_GBK" w:hAnsi="方正黑体_GBK" w:eastAsia="方正黑体_GBK" w:cs="方正黑体_GBK"/>
          <w:color w:val="auto"/>
          <w:kern w:val="0"/>
          <w:sz w:val="24"/>
          <w:szCs w:val="24"/>
          <w:highlight w:val="none"/>
        </w:rPr>
      </w:pPr>
    </w:p>
    <w:p w14:paraId="67E70E0F">
      <w:pPr>
        <w:widowControl/>
        <w:jc w:val="left"/>
        <w:rPr>
          <w:rFonts w:hint="eastAsia" w:ascii="方正黑体_GBK" w:hAnsi="方正黑体_GBK" w:eastAsia="方正黑体_GBK" w:cs="方正黑体_GBK"/>
          <w:color w:val="auto"/>
          <w:kern w:val="0"/>
          <w:sz w:val="24"/>
          <w:szCs w:val="24"/>
          <w:highlight w:val="none"/>
        </w:rPr>
      </w:pPr>
    </w:p>
    <w:p w14:paraId="6AB87804">
      <w:pPr>
        <w:widowControl/>
        <w:jc w:val="left"/>
        <w:rPr>
          <w:rFonts w:hint="eastAsia" w:ascii="方正黑体_GBK" w:hAnsi="方正黑体_GBK" w:eastAsia="方正黑体_GBK" w:cs="方正黑体_GBK"/>
          <w:color w:val="auto"/>
          <w:kern w:val="0"/>
          <w:sz w:val="24"/>
          <w:szCs w:val="24"/>
          <w:highlight w:val="none"/>
        </w:rPr>
      </w:pPr>
    </w:p>
    <w:p w14:paraId="3682A0AA">
      <w:pPr>
        <w:widowControl/>
        <w:jc w:val="left"/>
        <w:rPr>
          <w:rFonts w:ascii="Times New Roman" w:hAnsi="Times New Roman" w:eastAsia="Times New Roman"/>
          <w:color w:val="auto"/>
          <w:kern w:val="0"/>
          <w:sz w:val="24"/>
          <w:szCs w:val="24"/>
          <w:highlight w:val="none"/>
        </w:rPr>
      </w:pPr>
    </w:p>
    <w:p w14:paraId="574E2B4F">
      <w:pPr>
        <w:widowControl/>
        <w:jc w:val="left"/>
        <w:rPr>
          <w:rFonts w:ascii="Times New Roman" w:hAnsi="Times New Roman" w:eastAsia="Times New Roman"/>
          <w:color w:val="auto"/>
          <w:kern w:val="0"/>
          <w:sz w:val="24"/>
          <w:szCs w:val="24"/>
          <w:highlight w:val="none"/>
        </w:rPr>
      </w:pPr>
    </w:p>
    <w:p w14:paraId="5F6CB452">
      <w:pPr>
        <w:widowControl/>
        <w:jc w:val="left"/>
        <w:rPr>
          <w:rFonts w:ascii="Times New Roman" w:hAnsi="Times New Roman" w:eastAsia="Times New Roman"/>
          <w:color w:val="auto"/>
          <w:kern w:val="0"/>
          <w:sz w:val="24"/>
          <w:szCs w:val="24"/>
          <w:highlight w:val="none"/>
        </w:rPr>
      </w:pPr>
    </w:p>
    <w:p w14:paraId="5036F0A2">
      <w:pPr>
        <w:widowControl/>
        <w:jc w:val="left"/>
        <w:rPr>
          <w:rFonts w:ascii="Times New Roman" w:hAnsi="Times New Roman" w:eastAsia="Times New Roman"/>
          <w:color w:val="auto"/>
          <w:kern w:val="0"/>
          <w:sz w:val="24"/>
          <w:szCs w:val="24"/>
          <w:highlight w:val="none"/>
        </w:rPr>
      </w:pPr>
    </w:p>
    <w:p w14:paraId="218B75FB">
      <w:pPr>
        <w:widowControl/>
        <w:jc w:val="left"/>
        <w:rPr>
          <w:rFonts w:ascii="Times New Roman" w:hAnsi="Times New Roman" w:eastAsia="Times New Roman"/>
          <w:color w:val="auto"/>
          <w:kern w:val="0"/>
          <w:sz w:val="24"/>
          <w:szCs w:val="24"/>
          <w:highlight w:val="none"/>
        </w:rPr>
      </w:pPr>
    </w:p>
    <w:p w14:paraId="24B5B3DC">
      <w:pPr>
        <w:widowControl/>
        <w:jc w:val="left"/>
        <w:rPr>
          <w:rFonts w:ascii="Times New Roman" w:hAnsi="Times New Roman" w:eastAsia="Times New Roman"/>
          <w:color w:val="auto"/>
          <w:kern w:val="0"/>
          <w:sz w:val="24"/>
          <w:szCs w:val="24"/>
          <w:highlight w:val="none"/>
        </w:rPr>
      </w:pPr>
    </w:p>
    <w:p w14:paraId="2A590F94">
      <w:pPr>
        <w:widowControl/>
        <w:jc w:val="left"/>
        <w:rPr>
          <w:rFonts w:ascii="Times New Roman" w:hAnsi="Times New Roman" w:eastAsia="Times New Roman"/>
          <w:color w:val="auto"/>
          <w:kern w:val="0"/>
          <w:sz w:val="24"/>
          <w:szCs w:val="24"/>
          <w:highlight w:val="none"/>
        </w:rPr>
      </w:pPr>
    </w:p>
    <w:p w14:paraId="732CE432">
      <w:pPr>
        <w:widowControl/>
        <w:jc w:val="left"/>
        <w:rPr>
          <w:rFonts w:ascii="Times New Roman" w:hAnsi="Times New Roman" w:eastAsia="Times New Roman"/>
          <w:color w:val="auto"/>
          <w:kern w:val="0"/>
          <w:sz w:val="24"/>
          <w:szCs w:val="24"/>
          <w:highlight w:val="none"/>
        </w:rPr>
      </w:pPr>
    </w:p>
    <w:p w14:paraId="29002574">
      <w:pPr>
        <w:widowControl/>
        <w:jc w:val="left"/>
        <w:rPr>
          <w:rFonts w:ascii="Times New Roman" w:hAnsi="Times New Roman" w:eastAsia="Times New Roman"/>
          <w:color w:val="auto"/>
          <w:kern w:val="0"/>
          <w:sz w:val="24"/>
          <w:szCs w:val="24"/>
          <w:highlight w:val="none"/>
        </w:rPr>
      </w:pPr>
    </w:p>
    <w:p w14:paraId="48B136B7">
      <w:pPr>
        <w:widowControl/>
        <w:jc w:val="left"/>
        <w:rPr>
          <w:rFonts w:ascii="Times New Roman" w:hAnsi="Times New Roman" w:eastAsia="Times New Roman"/>
          <w:color w:val="auto"/>
          <w:kern w:val="0"/>
          <w:sz w:val="24"/>
          <w:szCs w:val="24"/>
          <w:highlight w:val="none"/>
        </w:rPr>
      </w:pPr>
    </w:p>
    <w:p w14:paraId="60E18BB2">
      <w:pPr>
        <w:widowControl/>
        <w:jc w:val="left"/>
        <w:rPr>
          <w:rFonts w:ascii="Times New Roman" w:hAnsi="Times New Roman" w:eastAsia="Times New Roman"/>
          <w:color w:val="auto"/>
          <w:kern w:val="0"/>
          <w:sz w:val="24"/>
          <w:szCs w:val="24"/>
          <w:highlight w:val="none"/>
        </w:rPr>
      </w:pPr>
    </w:p>
    <w:p w14:paraId="13D0C955">
      <w:pPr>
        <w:widowControl/>
        <w:jc w:val="left"/>
        <w:rPr>
          <w:rFonts w:ascii="Times New Roman" w:hAnsi="Times New Roman" w:eastAsia="Times New Roman"/>
          <w:color w:val="auto"/>
          <w:kern w:val="0"/>
          <w:sz w:val="24"/>
          <w:szCs w:val="24"/>
          <w:highlight w:val="none"/>
        </w:rPr>
      </w:pPr>
    </w:p>
    <w:p w14:paraId="184BC129">
      <w:pPr>
        <w:widowControl/>
        <w:jc w:val="left"/>
        <w:rPr>
          <w:rFonts w:ascii="Times New Roman" w:hAnsi="Times New Roman" w:eastAsia="Times New Roman"/>
          <w:color w:val="auto"/>
          <w:kern w:val="0"/>
          <w:sz w:val="24"/>
          <w:szCs w:val="24"/>
          <w:highlight w:val="none"/>
        </w:rPr>
      </w:pPr>
    </w:p>
    <w:p w14:paraId="3F4CEDEA">
      <w:pPr>
        <w:widowControl/>
        <w:jc w:val="left"/>
        <w:rPr>
          <w:rFonts w:ascii="Times New Roman" w:hAnsi="Times New Roman" w:eastAsia="Times New Roman"/>
          <w:color w:val="auto"/>
          <w:kern w:val="0"/>
          <w:sz w:val="24"/>
          <w:szCs w:val="24"/>
          <w:highlight w:val="none"/>
        </w:rPr>
      </w:pPr>
    </w:p>
    <w:p w14:paraId="6683445E">
      <w:pPr>
        <w:widowControl/>
        <w:jc w:val="left"/>
        <w:rPr>
          <w:rFonts w:ascii="Times New Roman" w:hAnsi="Times New Roman" w:eastAsia="Times New Roman"/>
          <w:color w:val="auto"/>
          <w:kern w:val="0"/>
          <w:sz w:val="24"/>
          <w:szCs w:val="24"/>
          <w:highlight w:val="none"/>
        </w:rPr>
      </w:pPr>
    </w:p>
    <w:p w14:paraId="1EC9D9CA">
      <w:pPr>
        <w:widowControl/>
        <w:jc w:val="left"/>
        <w:rPr>
          <w:rFonts w:ascii="Times New Roman" w:hAnsi="Times New Roman" w:eastAsia="Times New Roman"/>
          <w:color w:val="auto"/>
          <w:kern w:val="0"/>
          <w:sz w:val="24"/>
          <w:szCs w:val="24"/>
          <w:highlight w:val="none"/>
        </w:rPr>
      </w:pPr>
    </w:p>
    <w:p w14:paraId="489B068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Times New Roman" w:hAnsi="Times New Roman" w:eastAsia="Times New Roman"/>
          <w:color w:val="auto"/>
          <w:kern w:val="0"/>
          <w:sz w:val="24"/>
          <w:szCs w:val="24"/>
          <w:highlight w:val="none"/>
        </w:rPr>
      </w:pPr>
    </w:p>
    <w:p w14:paraId="06C0713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Times New Roman" w:hAnsi="Times New Roman" w:eastAsia="Times New Roman"/>
          <w:color w:val="auto"/>
          <w:kern w:val="0"/>
          <w:sz w:val="24"/>
          <w:szCs w:val="24"/>
          <w:highlight w:val="none"/>
        </w:rPr>
      </w:pPr>
      <w:r>
        <w:rPr>
          <w:rFonts w:hint="eastAsia" w:ascii="宋体" w:hAnsi="宋体" w:eastAsia="宋体" w:cs="宋体"/>
          <w:color w:val="auto"/>
          <w:kern w:val="0"/>
          <w:sz w:val="21"/>
          <w:szCs w:val="21"/>
          <w:highlight w:val="none"/>
        </w:rPr>
        <w:t>说明</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实质性格式</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，指统一提供的标准化模板</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授权委托书、投标人基本情况、投标函、反商业贿赂承诺书等</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，文件标注</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实质性格式</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，须完整使用，不得删减、篡改模板框架。</w:t>
      </w:r>
      <w:r>
        <w:rPr>
          <w:rFonts w:ascii="Times New Roman" w:hAnsi="Times New Roman" w:eastAsia="Times New Roman"/>
          <w:color w:val="auto"/>
          <w:kern w:val="0"/>
          <w:sz w:val="24"/>
          <w:szCs w:val="24"/>
          <w:highlight w:val="none"/>
        </w:rPr>
        <w:br w:type="page"/>
      </w:r>
      <w:bookmarkEnd w:id="158"/>
    </w:p>
    <w:p w14:paraId="7F2275F5">
      <w:pPr>
        <w:jc w:val="both"/>
        <w:rPr>
          <w:rFonts w:ascii="Times New Roman" w:hAnsi="Times New Roman" w:eastAsia="方正小标宋简体"/>
          <w:color w:val="auto"/>
          <w:sz w:val="84"/>
          <w:szCs w:val="84"/>
          <w:highlight w:val="none"/>
        </w:rPr>
      </w:pPr>
    </w:p>
    <w:p w14:paraId="34FCBE28">
      <w:pPr>
        <w:jc w:val="both"/>
        <w:rPr>
          <w:rFonts w:ascii="Times New Roman" w:hAnsi="Times New Roman" w:eastAsia="方正小标宋简体"/>
          <w:color w:val="auto"/>
          <w:sz w:val="84"/>
          <w:szCs w:val="84"/>
          <w:highlight w:val="none"/>
        </w:rPr>
      </w:pPr>
    </w:p>
    <w:p w14:paraId="5F90E8CC">
      <w:pPr>
        <w:jc w:val="both"/>
        <w:rPr>
          <w:rFonts w:ascii="Times New Roman" w:hAnsi="Times New Roman" w:eastAsia="方正小标宋简体"/>
          <w:color w:val="auto"/>
          <w:sz w:val="84"/>
          <w:szCs w:val="84"/>
          <w:highlight w:val="none"/>
        </w:rPr>
      </w:pPr>
    </w:p>
    <w:p w14:paraId="4D648D56">
      <w:pPr>
        <w:jc w:val="center"/>
        <w:rPr>
          <w:rFonts w:ascii="Times New Roman" w:hAnsi="Times New Roman"/>
          <w:b/>
          <w:bCs/>
          <w:color w:val="auto"/>
          <w:highlight w:val="none"/>
        </w:rPr>
      </w:pPr>
      <w:r>
        <w:rPr>
          <w:rFonts w:hint="eastAsia" w:ascii="方正小标宋_GBK" w:hAnsi="方正小标宋_GBK" w:eastAsia="方正小标宋_GBK" w:cs="方正小标宋_GBK"/>
          <w:b w:val="0"/>
          <w:bCs w:val="0"/>
          <w:color w:val="auto"/>
          <w:sz w:val="44"/>
          <w:szCs w:val="44"/>
          <w:highlight w:val="none"/>
        </w:rPr>
        <w:t>投 标 文 件</w:t>
      </w:r>
      <w:r>
        <w:rPr>
          <w:rFonts w:ascii="Times New Roman" w:hAnsi="Times New Roman"/>
          <w:b/>
          <w:bCs/>
          <w:color w:val="auto"/>
          <w:szCs w:val="21"/>
          <w:highlight w:val="none"/>
        </w:rPr>
        <w:t xml:space="preserve"> </w:t>
      </w:r>
    </w:p>
    <w:p w14:paraId="75F141CB">
      <w:pPr>
        <w:spacing w:before="312"/>
        <w:jc w:val="center"/>
        <w:rPr>
          <w:rFonts w:ascii="Times New Roman" w:hAnsi="Times New Roman"/>
          <w:b/>
          <w:bCs/>
          <w:color w:val="auto"/>
          <w:highlight w:val="none"/>
        </w:rPr>
      </w:pPr>
      <w:r>
        <w:rPr>
          <w:rFonts w:hint="eastAsia" w:ascii="Times New Roman" w:hAnsi="Times New Roman"/>
          <w:b w:val="0"/>
          <w:bCs w:val="0"/>
          <w:color w:val="auto"/>
          <w:sz w:val="36"/>
          <w:szCs w:val="36"/>
          <w:highlight w:val="none"/>
          <w:lang w:eastAsia="zh-CN"/>
        </w:rPr>
        <w:t>（</w:t>
      </w:r>
      <w:r>
        <w:rPr>
          <w:rFonts w:ascii="Times New Roman" w:hAnsi="Times New Roman"/>
          <w:b w:val="0"/>
          <w:bCs w:val="0"/>
          <w:color w:val="auto"/>
          <w:sz w:val="36"/>
          <w:szCs w:val="36"/>
          <w:highlight w:val="none"/>
        </w:rPr>
        <w:t>资格响应文件</w:t>
      </w:r>
      <w:r>
        <w:rPr>
          <w:rFonts w:hint="eastAsia" w:ascii="Times New Roman" w:hAnsi="Times New Roman"/>
          <w:b w:val="0"/>
          <w:bCs w:val="0"/>
          <w:color w:val="auto"/>
          <w:sz w:val="36"/>
          <w:szCs w:val="36"/>
          <w:highlight w:val="none"/>
          <w:lang w:eastAsia="zh-CN"/>
        </w:rPr>
        <w:t>）</w:t>
      </w:r>
      <w:r>
        <w:rPr>
          <w:rFonts w:ascii="Times New Roman" w:hAnsi="Times New Roman"/>
          <w:b/>
          <w:bCs/>
          <w:color w:val="auto"/>
          <w:sz w:val="36"/>
          <w:szCs w:val="36"/>
          <w:highlight w:val="none"/>
        </w:rPr>
        <w:t xml:space="preserve"> </w:t>
      </w:r>
    </w:p>
    <w:p w14:paraId="6578BE35">
      <w:pPr>
        <w:rPr>
          <w:rFonts w:ascii="Times New Roman" w:hAnsi="Times New Roman"/>
          <w:color w:val="auto"/>
          <w:highlight w:val="none"/>
        </w:rPr>
      </w:pPr>
      <w:r>
        <w:rPr>
          <w:rFonts w:ascii="Times New Roman" w:hAnsi="Times New Roman"/>
          <w:color w:val="auto"/>
          <w:szCs w:val="21"/>
          <w:highlight w:val="none"/>
        </w:rPr>
        <w:t xml:space="preserve">  </w:t>
      </w:r>
    </w:p>
    <w:p w14:paraId="022CA454">
      <w:pPr>
        <w:rPr>
          <w:rFonts w:ascii="Times New Roman" w:hAnsi="Times New Roman"/>
          <w:color w:val="auto"/>
          <w:sz w:val="32"/>
          <w:szCs w:val="32"/>
          <w:highlight w:val="none"/>
        </w:rPr>
      </w:pPr>
    </w:p>
    <w:p w14:paraId="48FB46EF">
      <w:pPr>
        <w:rPr>
          <w:rFonts w:ascii="Times New Roman" w:hAnsi="Times New Roman"/>
          <w:color w:val="auto"/>
          <w:sz w:val="32"/>
          <w:szCs w:val="32"/>
          <w:highlight w:val="none"/>
        </w:rPr>
      </w:pPr>
    </w:p>
    <w:p w14:paraId="2A6DDAC5">
      <w:pPr>
        <w:ind w:firstLine="1760" w:firstLineChars="550"/>
        <w:rPr>
          <w:rFonts w:ascii="Times New Roman" w:hAnsi="Times New Roman"/>
          <w:color w:val="auto"/>
          <w:sz w:val="32"/>
          <w:szCs w:val="32"/>
          <w:highlight w:val="none"/>
        </w:rPr>
      </w:pPr>
    </w:p>
    <w:p w14:paraId="2BD5D216">
      <w:pPr>
        <w:spacing w:line="360" w:lineRule="auto"/>
        <w:ind w:firstLine="361" w:firstLineChars="100"/>
        <w:rPr>
          <w:rFonts w:ascii="Times New Roman" w:hAnsi="Times New Roman"/>
          <w:b/>
          <w:bCs/>
          <w:color w:val="auto"/>
          <w:sz w:val="36"/>
          <w:szCs w:val="36"/>
          <w:highlight w:val="none"/>
        </w:rPr>
      </w:pPr>
      <w:r>
        <w:rPr>
          <w:rFonts w:ascii="Times New Roman" w:hAnsi="Times New Roman"/>
          <w:b/>
          <w:bCs/>
          <w:color w:val="auto"/>
          <w:sz w:val="36"/>
          <w:szCs w:val="36"/>
          <w:highlight w:val="none"/>
        </w:rPr>
        <w:t xml:space="preserve">项目名称：                  </w:t>
      </w:r>
    </w:p>
    <w:p w14:paraId="16065771">
      <w:pPr>
        <w:spacing w:line="360" w:lineRule="auto"/>
        <w:ind w:firstLine="361" w:firstLineChars="100"/>
        <w:rPr>
          <w:rFonts w:ascii="Times New Roman" w:hAnsi="Times New Roman"/>
          <w:color w:val="auto"/>
          <w:sz w:val="36"/>
          <w:szCs w:val="36"/>
          <w:highlight w:val="none"/>
        </w:rPr>
      </w:pPr>
      <w:r>
        <w:rPr>
          <w:rFonts w:ascii="Times New Roman" w:hAnsi="Times New Roman"/>
          <w:b/>
          <w:bCs/>
          <w:color w:val="auto"/>
          <w:sz w:val="36"/>
          <w:szCs w:val="36"/>
          <w:highlight w:val="none"/>
        </w:rPr>
        <w:t>项目编号：</w:t>
      </w:r>
      <w:r>
        <w:rPr>
          <w:rFonts w:ascii="Times New Roman" w:hAnsi="Times New Roman"/>
          <w:color w:val="auto"/>
          <w:sz w:val="36"/>
          <w:szCs w:val="36"/>
          <w:highlight w:val="none"/>
        </w:rPr>
        <w:t xml:space="preserve"> </w:t>
      </w:r>
    </w:p>
    <w:p w14:paraId="0F06ED76">
      <w:pPr>
        <w:ind w:firstLine="1500"/>
        <w:rPr>
          <w:rFonts w:ascii="Times New Roman" w:hAnsi="Times New Roman"/>
          <w:color w:val="auto"/>
          <w:sz w:val="36"/>
          <w:szCs w:val="36"/>
          <w:highlight w:val="none"/>
        </w:rPr>
      </w:pPr>
      <w:r>
        <w:rPr>
          <w:rFonts w:ascii="Times New Roman" w:hAnsi="Times New Roman"/>
          <w:color w:val="auto"/>
          <w:sz w:val="36"/>
          <w:szCs w:val="36"/>
          <w:highlight w:val="none"/>
        </w:rPr>
        <w:t xml:space="preserve">  </w:t>
      </w:r>
    </w:p>
    <w:p w14:paraId="6658E8CB">
      <w:pPr>
        <w:ind w:firstLine="1500"/>
        <w:rPr>
          <w:rFonts w:ascii="Times New Roman" w:hAnsi="Times New Roman"/>
          <w:color w:val="auto"/>
          <w:sz w:val="36"/>
          <w:szCs w:val="36"/>
          <w:highlight w:val="none"/>
        </w:rPr>
      </w:pPr>
    </w:p>
    <w:p w14:paraId="6B072B81">
      <w:pPr>
        <w:ind w:firstLine="1500"/>
        <w:rPr>
          <w:rFonts w:ascii="Times New Roman" w:hAnsi="Times New Roman"/>
          <w:color w:val="auto"/>
          <w:sz w:val="36"/>
          <w:szCs w:val="36"/>
          <w:highlight w:val="none"/>
        </w:rPr>
      </w:pPr>
    </w:p>
    <w:p w14:paraId="666121EA">
      <w:pPr>
        <w:ind w:firstLine="1500"/>
        <w:rPr>
          <w:rFonts w:ascii="Times New Roman" w:hAnsi="Times New Roman"/>
          <w:color w:val="auto"/>
          <w:sz w:val="36"/>
          <w:szCs w:val="36"/>
          <w:highlight w:val="none"/>
        </w:rPr>
      </w:pPr>
    </w:p>
    <w:p w14:paraId="5820A68C">
      <w:pPr>
        <w:ind w:firstLine="1500"/>
        <w:rPr>
          <w:rFonts w:ascii="Times New Roman" w:hAnsi="Times New Roman"/>
          <w:color w:val="auto"/>
          <w:sz w:val="36"/>
          <w:szCs w:val="36"/>
          <w:highlight w:val="none"/>
        </w:rPr>
      </w:pPr>
    </w:p>
    <w:p w14:paraId="6FBB3DAE">
      <w:pPr>
        <w:ind w:firstLine="1500"/>
        <w:rPr>
          <w:rFonts w:ascii="Times New Roman" w:hAnsi="Times New Roman"/>
          <w:color w:val="auto"/>
          <w:sz w:val="36"/>
          <w:szCs w:val="36"/>
          <w:highlight w:val="none"/>
        </w:rPr>
      </w:pPr>
    </w:p>
    <w:p w14:paraId="44E62F12">
      <w:pPr>
        <w:ind w:firstLine="1500"/>
        <w:rPr>
          <w:rFonts w:ascii="Times New Roman" w:hAnsi="Times New Roman"/>
          <w:color w:val="auto"/>
          <w:sz w:val="36"/>
          <w:szCs w:val="36"/>
          <w:highlight w:val="none"/>
        </w:rPr>
      </w:pPr>
    </w:p>
    <w:p w14:paraId="231A79E4">
      <w:pPr>
        <w:ind w:firstLine="1500"/>
        <w:rPr>
          <w:rFonts w:ascii="Times New Roman" w:hAnsi="Times New Roman"/>
          <w:color w:val="auto"/>
          <w:sz w:val="36"/>
          <w:szCs w:val="36"/>
          <w:highlight w:val="none"/>
        </w:rPr>
      </w:pPr>
    </w:p>
    <w:p w14:paraId="30D5042D">
      <w:pPr>
        <w:ind w:firstLine="1500"/>
        <w:rPr>
          <w:rFonts w:ascii="Times New Roman" w:hAnsi="Times New Roman"/>
          <w:color w:val="auto"/>
          <w:sz w:val="36"/>
          <w:szCs w:val="36"/>
          <w:highlight w:val="none"/>
        </w:rPr>
      </w:pPr>
      <w:r>
        <w:rPr>
          <w:rFonts w:ascii="Times New Roman" w:hAnsi="Times New Roman"/>
          <w:color w:val="auto"/>
          <w:sz w:val="36"/>
          <w:szCs w:val="36"/>
          <w:highlight w:val="none"/>
        </w:rPr>
        <w:t xml:space="preserve">  </w:t>
      </w:r>
    </w:p>
    <w:p w14:paraId="4FB6BCDC">
      <w:pPr>
        <w:rPr>
          <w:rFonts w:ascii="Times New Roman" w:hAnsi="Times New Roman"/>
          <w:color w:val="auto"/>
          <w:sz w:val="36"/>
          <w:szCs w:val="36"/>
          <w:highlight w:val="none"/>
        </w:rPr>
      </w:pPr>
    </w:p>
    <w:p w14:paraId="1F9A383E">
      <w:pPr>
        <w:rPr>
          <w:rFonts w:ascii="Times New Roman" w:hAnsi="Times New Roman"/>
          <w:color w:val="auto"/>
          <w:sz w:val="36"/>
          <w:szCs w:val="36"/>
          <w:highlight w:val="none"/>
        </w:rPr>
      </w:pPr>
    </w:p>
    <w:p w14:paraId="324D1670">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投标人</w:t>
      </w:r>
      <w:r>
        <w:rPr>
          <w:rFonts w:hint="eastAsia" w:ascii="宋体" w:hAnsi="宋体" w:eastAsia="宋体" w:cs="宋体"/>
          <w:b/>
          <w:bCs/>
          <w:color w:val="auto"/>
          <w:sz w:val="36"/>
          <w:szCs w:val="36"/>
          <w:highlight w:val="none"/>
        </w:rPr>
        <w:t>：</w:t>
      </w:r>
      <w:r>
        <w:rPr>
          <w:rFonts w:hint="eastAsia" w:ascii="宋体" w:hAnsi="宋体" w:eastAsia="宋体" w:cs="宋体"/>
          <w:b/>
          <w:color w:val="auto"/>
          <w:sz w:val="36"/>
          <w:szCs w:val="36"/>
          <w:highlight w:val="none"/>
        </w:rPr>
        <w:t>________________________</w:t>
      </w:r>
    </w:p>
    <w:p w14:paraId="770E22A8">
      <w:pPr>
        <w:ind w:firstLine="48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1618E862">
      <w:pPr>
        <w:ind w:firstLine="48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6D73D009">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年  月  日</w:t>
      </w:r>
    </w:p>
    <w:p w14:paraId="4CE1D694">
      <w:pPr>
        <w:widowControl/>
        <w:jc w:val="left"/>
        <w:rPr>
          <w:rFonts w:ascii="Times New Roman" w:hAnsi="Times New Roman" w:eastAsia="Times New Roman"/>
          <w:color w:val="auto"/>
          <w:kern w:val="0"/>
          <w:sz w:val="24"/>
          <w:szCs w:val="24"/>
          <w:highlight w:val="none"/>
        </w:rPr>
      </w:pPr>
      <w:r>
        <w:rPr>
          <w:rFonts w:ascii="Times New Roman" w:hAnsi="Times New Roman" w:eastAsia="Times New Roman"/>
          <w:color w:val="auto"/>
          <w:kern w:val="0"/>
          <w:sz w:val="24"/>
          <w:szCs w:val="24"/>
          <w:highlight w:val="none"/>
        </w:rPr>
        <w:br w:type="page"/>
      </w:r>
    </w:p>
    <w:p w14:paraId="077091AD">
      <w:pPr>
        <w:spacing w:line="400" w:lineRule="exact"/>
        <w:jc w:val="center"/>
        <w:rPr>
          <w:rFonts w:hint="eastAsia" w:ascii="宋体" w:hAnsi="宋体" w:eastAsia="宋体" w:cs="宋体"/>
          <w:b/>
          <w:bCs/>
          <w:color w:val="auto"/>
          <w:sz w:val="32"/>
          <w:szCs w:val="32"/>
          <w:highlight w:val="none"/>
        </w:rPr>
      </w:pPr>
    </w:p>
    <w:p w14:paraId="5E958E74">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b/>
          <w:bCs/>
          <w:color w:val="auto"/>
          <w:sz w:val="32"/>
          <w:szCs w:val="32"/>
          <w:highlight w:val="none"/>
        </w:rPr>
        <w:t>一、供应商须具备政府采购法第二十二条规定的条件</w:t>
      </w:r>
    </w:p>
    <w:p w14:paraId="0EA029E5">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2507290">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《中华人民共和国政府采购法》第二十二条  供应商参加政府采购活动应当具备下列条件：</w:t>
      </w:r>
    </w:p>
    <w:p w14:paraId="35973DD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（一）具有独立承担民事责任的能力；</w:t>
      </w:r>
    </w:p>
    <w:p w14:paraId="1892C434">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（二）具有良好的商业信誉和健全的财务会计制度；</w:t>
      </w:r>
    </w:p>
    <w:p w14:paraId="3F42B9D9">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（三）具有履行合同所必需的设备和专业技术能力；</w:t>
      </w:r>
    </w:p>
    <w:p w14:paraId="515E9D24">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（四）有依法缴纳税收和社会保障资金的良好记录；</w:t>
      </w:r>
    </w:p>
    <w:p w14:paraId="546758F1">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（五）参加政府采购活动前三年内，在经营活动中没有重大违法记录；</w:t>
      </w:r>
    </w:p>
    <w:p w14:paraId="30551607">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（六）法律、行政法规规定的其他条件。</w:t>
      </w:r>
    </w:p>
    <w:p w14:paraId="075E2C7C">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50CDBC4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参加政府采购活动的供应商应当具备政府采购法第二十二条第一款规定的条件，</w:t>
      </w:r>
      <w:r>
        <w:rPr>
          <w:rFonts w:hint="eastAsia" w:ascii="宋体" w:hAnsi="宋体" w:eastAsia="宋体" w:cs="宋体"/>
          <w:b/>
          <w:color w:val="auto"/>
          <w:sz w:val="24"/>
          <w:szCs w:val="24"/>
          <w:highlight w:val="none"/>
        </w:rPr>
        <w:t>投标文件中提供下列材料：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（一）法人或者其他组织的营业执照等证明文件，自然人的身份证明；</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（二）财务状况报告，依法缴纳税收和社会保障资金的相关材料；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（三）具备履行合同所必需的设备和专业技术能力的证明材料；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（四）参加政府采购活动前3年内在经营活动中没有重大违法记录的书面声明；</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（五）具备法律、行政法规规定的其他条件的证明材料。</w:t>
      </w:r>
    </w:p>
    <w:p w14:paraId="4767590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28B6FEB3">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B51B776">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71325088">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5B295533">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p>
    <w:p w14:paraId="0195CF81">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p>
    <w:p w14:paraId="04FAA30D">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p>
    <w:p w14:paraId="54BDE0E3">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p>
    <w:p w14:paraId="6C2C4945">
      <w:pPr>
        <w:keepNext w:val="0"/>
        <w:keepLines w:val="0"/>
        <w:pageBreakBefore w:val="0"/>
        <w:widowControl/>
        <w:kinsoku/>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w:t>
      </w:r>
    </w:p>
    <w:p w14:paraId="3C10CF4D">
      <w:pPr>
        <w:keepNext w:val="0"/>
        <w:keepLines w:val="0"/>
        <w:pageBreakBefore w:val="0"/>
        <w:widowControl/>
        <w:kinsoku/>
        <w:wordWrap w:val="0"/>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日   </w:t>
      </w:r>
    </w:p>
    <w:p w14:paraId="4C0D7638">
      <w:pPr>
        <w:spacing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highlight w:val="none"/>
        </w:rPr>
        <w:br w:type="page"/>
      </w:r>
    </w:p>
    <w:p w14:paraId="7F80E856">
      <w:pPr>
        <w:keepNext w:val="0"/>
        <w:keepLines w:val="0"/>
        <w:pageBreakBefore w:val="0"/>
        <w:widowControl w:val="0"/>
        <w:kinsoku/>
        <w:wordWrap/>
        <w:overflowPunct/>
        <w:topLinePunct w:val="0"/>
        <w:autoSpaceDE/>
        <w:autoSpaceDN/>
        <w:bidi w:val="0"/>
        <w:spacing w:line="360" w:lineRule="auto"/>
        <w:ind w:right="56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实质性格式</w:t>
      </w:r>
    </w:p>
    <w:p w14:paraId="55E7E94A">
      <w:pPr>
        <w:keepNext w:val="0"/>
        <w:keepLines w:val="0"/>
        <w:pageBreakBefore w:val="0"/>
        <w:widowControl w:val="0"/>
        <w:kinsoku/>
        <w:wordWrap/>
        <w:overflowPunct/>
        <w:topLinePunct w:val="0"/>
        <w:autoSpaceDE/>
        <w:autoSpaceDN/>
        <w:bidi w:val="0"/>
        <w:spacing w:line="360" w:lineRule="auto"/>
        <w:ind w:right="560"/>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二、授权委托书</w:t>
      </w:r>
    </w:p>
    <w:p w14:paraId="5BB8845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8"/>
          <w:szCs w:val="28"/>
          <w:highlight w:val="none"/>
        </w:rPr>
      </w:pPr>
    </w:p>
    <w:p w14:paraId="1A5CECF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乌鲁木齐市公共资源交易中心（乌鲁木齐市政府采购中心）：</w:t>
      </w:r>
    </w:p>
    <w:p w14:paraId="1B8A2244">
      <w:pPr>
        <w:keepNext w:val="0"/>
        <w:keepLines w:val="0"/>
        <w:pageBreakBefore w:val="0"/>
        <w:widowControl w:val="0"/>
        <w:kinsoku/>
        <w:wordWrap/>
        <w:overflowPunct/>
        <w:topLinePunct w:val="0"/>
        <w:autoSpaceDE/>
        <w:autoSpaceDN/>
        <w:bidi w:val="0"/>
        <w:adjustRightInd w:val="0"/>
        <w:snapToGrid w:val="0"/>
        <w:spacing w:line="360" w:lineRule="auto"/>
        <w:ind w:left="105" w:leftChars="50" w:firstLine="360" w:firstLine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（姓名）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（投标人名称）      </w:t>
      </w:r>
      <w:r>
        <w:rPr>
          <w:rFonts w:hint="eastAsia" w:ascii="宋体" w:hAnsi="宋体" w:eastAsia="宋体" w:cs="宋体"/>
          <w:color w:val="auto"/>
          <w:sz w:val="24"/>
          <w:szCs w:val="24"/>
          <w:highlight w:val="none"/>
        </w:rPr>
        <w:t>的法定代表人（或经营者/执行事务合伙人/负责人/自然人），现授权委托</w:t>
      </w:r>
      <w:r>
        <w:rPr>
          <w:rFonts w:hint="eastAsia" w:ascii="宋体" w:hAnsi="宋体" w:eastAsia="宋体" w:cs="宋体"/>
          <w:color w:val="auto"/>
          <w:sz w:val="24"/>
          <w:szCs w:val="24"/>
          <w:highlight w:val="none"/>
          <w:u w:val="single"/>
        </w:rPr>
        <w:t xml:space="preserve">   （姓名）     </w:t>
      </w:r>
      <w:r>
        <w:rPr>
          <w:rFonts w:hint="eastAsia" w:ascii="宋体" w:hAnsi="宋体" w:eastAsia="宋体" w:cs="宋体"/>
          <w:color w:val="auto"/>
          <w:sz w:val="24"/>
          <w:szCs w:val="24"/>
          <w:highlight w:val="none"/>
        </w:rPr>
        <w:t>为我单位授权代表，全权代表我单位参加由贵中心组织的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WZCG        </w:t>
      </w:r>
      <w:r>
        <w:rPr>
          <w:rFonts w:hint="eastAsia" w:ascii="宋体" w:hAnsi="宋体" w:eastAsia="宋体" w:cs="宋体"/>
          <w:color w:val="auto"/>
          <w:sz w:val="24"/>
          <w:szCs w:val="24"/>
          <w:highlight w:val="none"/>
        </w:rPr>
        <w:t>）的投标活动，授权代表在投标活动中的一切行为我公司均予以承认并由我单位承担法律责任和后果。</w:t>
      </w:r>
    </w:p>
    <w:p w14:paraId="281FACD2">
      <w:pPr>
        <w:keepNext w:val="0"/>
        <w:keepLines w:val="0"/>
        <w:pageBreakBefore w:val="0"/>
        <w:widowControl w:val="0"/>
        <w:kinsoku/>
        <w:wordWrap/>
        <w:overflowPunct/>
        <w:topLinePunct w:val="0"/>
        <w:autoSpaceDE/>
        <w:autoSpaceDN/>
        <w:bidi w:val="0"/>
        <w:adjustRightInd w:val="0"/>
        <w:snapToGrid w:val="0"/>
        <w:spacing w:line="360" w:lineRule="auto"/>
        <w:ind w:left="105" w:leftChars="50" w:firstLine="360" w:firstLine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授权代表无转委托权。</w:t>
      </w:r>
    </w:p>
    <w:p w14:paraId="77C03B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1A5369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法定代表人（或经营者/执行事务合伙人/负责人/自然人）的</w:t>
      </w:r>
    </w:p>
    <w:p w14:paraId="04EAA1A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证件号码（身份证）：</w:t>
      </w:r>
    </w:p>
    <w:p w14:paraId="1D87E7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授权代表证件号码（身份证）：</w:t>
      </w:r>
    </w:p>
    <w:p w14:paraId="61E4E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授权代表联系方式：</w:t>
      </w:r>
    </w:p>
    <w:p w14:paraId="68C976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p>
    <w:p w14:paraId="26EBAA90">
      <w:pPr>
        <w:keepNext w:val="0"/>
        <w:keepLines w:val="0"/>
        <w:pageBreakBefore w:val="0"/>
        <w:widowControl w:val="0"/>
        <w:kinsoku/>
        <w:wordWrap/>
        <w:overflowPunct/>
        <w:topLinePunct w:val="0"/>
        <w:autoSpaceDE/>
        <w:autoSpaceDN/>
        <w:bidi w:val="0"/>
        <w:adjustRightInd w:val="0"/>
        <w:snapToGrid w:val="0"/>
        <w:spacing w:line="360" w:lineRule="auto"/>
        <w:ind w:left="3780" w:leftChars="18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r>
        <w:rPr>
          <w:rFonts w:hint="eastAsia" w:ascii="宋体" w:hAnsi="宋体" w:eastAsia="宋体" w:cs="宋体"/>
          <w:color w:val="auto"/>
          <w:highlight w:val="none"/>
        </w:rPr>
        <w:t>公章</w:t>
      </w:r>
      <w:r>
        <w:rPr>
          <w:rFonts w:hint="eastAsia" w:ascii="宋体" w:hAnsi="宋体" w:eastAsia="宋体" w:cs="宋体"/>
          <w:bCs/>
          <w:color w:val="auto"/>
          <w:sz w:val="24"/>
          <w:szCs w:val="24"/>
          <w:highlight w:val="none"/>
        </w:rPr>
        <w:t>）</w:t>
      </w:r>
    </w:p>
    <w:p w14:paraId="78E2EB7D">
      <w:pPr>
        <w:keepNext w:val="0"/>
        <w:keepLines w:val="0"/>
        <w:pageBreakBefore w:val="0"/>
        <w:widowControl w:val="0"/>
        <w:kinsoku/>
        <w:wordWrap/>
        <w:overflowPunct/>
        <w:topLinePunct w:val="0"/>
        <w:autoSpaceDE/>
        <w:autoSpaceDN/>
        <w:bidi w:val="0"/>
        <w:adjustRightInd w:val="0"/>
        <w:snapToGrid w:val="0"/>
        <w:spacing w:line="360" w:lineRule="auto"/>
        <w:ind w:left="3780" w:leftChars="18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法定代表人（或经营者/执行事务合伙人/负责人/自然人）：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（印章或签名）</w:t>
      </w:r>
    </w:p>
    <w:p w14:paraId="02084829">
      <w:pPr>
        <w:keepNext w:val="0"/>
        <w:keepLines w:val="0"/>
        <w:pageBreakBefore w:val="0"/>
        <w:widowControl w:val="0"/>
        <w:kinsoku/>
        <w:wordWrap/>
        <w:overflowPunct/>
        <w:topLinePunct w:val="0"/>
        <w:autoSpaceDE/>
        <w:autoSpaceDN/>
        <w:bidi w:val="0"/>
        <w:adjustRightInd w:val="0"/>
        <w:snapToGrid w:val="0"/>
        <w:spacing w:line="360" w:lineRule="auto"/>
        <w:ind w:left="3780" w:leftChars="1800" w:right="699" w:rightChars="333"/>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1D2E846">
      <w:pPr>
        <w:spacing w:line="400" w:lineRule="exact"/>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bl>
      <w:tblPr>
        <w:tblStyle w:val="31"/>
        <w:tblW w:w="0" w:type="dxa"/>
        <w:jc w:val="center"/>
        <w:tblLayout w:type="fixed"/>
        <w:tblCellMar>
          <w:top w:w="0" w:type="dxa"/>
          <w:left w:w="0" w:type="dxa"/>
          <w:bottom w:w="0" w:type="dxa"/>
          <w:right w:w="0" w:type="dxa"/>
        </w:tblCellMar>
      </w:tblPr>
      <w:tblGrid>
        <w:gridCol w:w="8014"/>
      </w:tblGrid>
      <w:tr w14:paraId="6BD1782E">
        <w:tblPrEx>
          <w:tblCellMar>
            <w:top w:w="0" w:type="dxa"/>
            <w:left w:w="0" w:type="dxa"/>
            <w:bottom w:w="0" w:type="dxa"/>
            <w:right w:w="0" w:type="dxa"/>
          </w:tblCellMar>
        </w:tblPrEx>
        <w:trPr>
          <w:trHeight w:val="3860" w:hRule="atLeast"/>
          <w:jc w:val="center"/>
        </w:trPr>
        <w:tc>
          <w:tcPr>
            <w:tcW w:w="80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C7EC154">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授权代表身份证影印件 </w:t>
            </w:r>
          </w:p>
        </w:tc>
      </w:tr>
    </w:tbl>
    <w:p w14:paraId="52ACDDE0">
      <w:pPr>
        <w:spacing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 </w:t>
      </w:r>
    </w:p>
    <w:p w14:paraId="05420436">
      <w:pPr>
        <w:widowControl/>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392C9CBA">
      <w:pPr>
        <w:jc w:val="center"/>
        <w:rPr>
          <w:rFonts w:hint="eastAsia" w:ascii="宋体" w:hAnsi="宋体" w:eastAsia="宋体" w:cs="宋体"/>
          <w:b/>
          <w:color w:val="auto"/>
          <w:sz w:val="32"/>
          <w:szCs w:val="32"/>
          <w:highlight w:val="none"/>
        </w:rPr>
      </w:pPr>
    </w:p>
    <w:p w14:paraId="34793A77">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三、身份证明书</w:t>
      </w:r>
    </w:p>
    <w:p w14:paraId="4E71FF26">
      <w:pPr>
        <w:keepNext w:val="0"/>
        <w:keepLines w:val="0"/>
        <w:pageBreakBefore w:val="0"/>
        <w:kinsoku/>
        <w:wordWrap/>
        <w:overflowPunct/>
        <w:topLinePunct w:val="0"/>
        <w:autoSpaceDE/>
        <w:autoSpaceDN/>
        <w:bidi w:val="0"/>
        <w:adjustRightInd/>
        <w:snapToGrid/>
        <w:spacing w:before="156" w:line="360" w:lineRule="auto"/>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p w14:paraId="28F13FE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投标人名称：</w:t>
      </w:r>
    </w:p>
    <w:p w14:paraId="0900B1F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企业类型：</w:t>
      </w:r>
    </w:p>
    <w:p w14:paraId="6B0E36F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    址：</w:t>
      </w:r>
    </w:p>
    <w:p w14:paraId="41E92EF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营业期限：</w:t>
      </w:r>
    </w:p>
    <w:p w14:paraId="543125D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成立时间：</w:t>
      </w:r>
    </w:p>
    <w:p w14:paraId="112D1F0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姓   名：</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性别：</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年龄：</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职务：</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，系 </w:t>
      </w:r>
      <w:r>
        <w:rPr>
          <w:rFonts w:hint="eastAsia" w:ascii="宋体" w:hAnsi="宋体" w:eastAsia="宋体" w:cs="宋体"/>
          <w:bCs/>
          <w:color w:val="auto"/>
          <w:sz w:val="24"/>
          <w:szCs w:val="24"/>
          <w:highlight w:val="none"/>
          <w:u w:val="single"/>
        </w:rPr>
        <w:t xml:space="preserve">         （投标人名称）              </w:t>
      </w:r>
      <w:r>
        <w:rPr>
          <w:rFonts w:hint="eastAsia" w:ascii="宋体" w:hAnsi="宋体" w:eastAsia="宋体" w:cs="宋体"/>
          <w:bCs/>
          <w:color w:val="auto"/>
          <w:sz w:val="24"/>
          <w:szCs w:val="24"/>
          <w:highlight w:val="none"/>
        </w:rPr>
        <w:t>的法定代表人</w:t>
      </w:r>
      <w:r>
        <w:rPr>
          <w:rFonts w:hint="eastAsia" w:ascii="宋体" w:hAnsi="宋体" w:eastAsia="宋体" w:cs="宋体"/>
          <w:color w:val="auto"/>
          <w:sz w:val="24"/>
          <w:szCs w:val="24"/>
          <w:highlight w:val="none"/>
        </w:rPr>
        <w:t>（或经营者/执行事务合伙人/负责人/自然人）</w:t>
      </w:r>
      <w:r>
        <w:rPr>
          <w:rFonts w:hint="eastAsia" w:ascii="宋体" w:hAnsi="宋体" w:eastAsia="宋体" w:cs="宋体"/>
          <w:bCs/>
          <w:color w:val="auto"/>
          <w:sz w:val="24"/>
          <w:szCs w:val="24"/>
          <w:highlight w:val="none"/>
        </w:rPr>
        <w:t>。法定代表人</w:t>
      </w:r>
      <w:r>
        <w:rPr>
          <w:rFonts w:hint="eastAsia" w:ascii="宋体" w:hAnsi="宋体" w:eastAsia="宋体" w:cs="宋体"/>
          <w:color w:val="auto"/>
          <w:sz w:val="24"/>
          <w:szCs w:val="24"/>
          <w:highlight w:val="none"/>
        </w:rPr>
        <w:t xml:space="preserve">联系方式：          </w:t>
      </w:r>
    </w:p>
    <w:p w14:paraId="6A5D847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rPr>
      </w:pPr>
    </w:p>
    <w:p w14:paraId="37EA96A6">
      <w:pPr>
        <w:keepNext w:val="0"/>
        <w:keepLines w:val="0"/>
        <w:pageBreakBefore w:val="0"/>
        <w:kinsoku/>
        <w:wordWrap/>
        <w:overflowPunct/>
        <w:topLinePunct w:val="0"/>
        <w:autoSpaceDE/>
        <w:autoSpaceDN/>
        <w:bidi w:val="0"/>
        <w:adjustRightInd/>
        <w:snapToGrid/>
        <w:spacing w:line="360" w:lineRule="auto"/>
        <w:ind w:firstLine="595" w:firstLineChars="248"/>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特此证明。</w:t>
      </w:r>
    </w:p>
    <w:p w14:paraId="24808C8A">
      <w:pPr>
        <w:keepNext w:val="0"/>
        <w:keepLines w:val="0"/>
        <w:pageBreakBefore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投标人：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（公章）</w:t>
      </w:r>
    </w:p>
    <w:p w14:paraId="0A3CF1DD">
      <w:pPr>
        <w:keepNext w:val="0"/>
        <w:keepLines w:val="0"/>
        <w:pageBreakBefore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日  期：</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w:t>
      </w:r>
    </w:p>
    <w:p w14:paraId="510F6E49">
      <w:pPr>
        <w:spacing w:line="40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bl>
      <w:tblPr>
        <w:tblStyle w:val="31"/>
        <w:tblW w:w="0" w:type="dxa"/>
        <w:jc w:val="center"/>
        <w:tblLayout w:type="fixed"/>
        <w:tblCellMar>
          <w:top w:w="0" w:type="dxa"/>
          <w:left w:w="0" w:type="dxa"/>
          <w:bottom w:w="0" w:type="dxa"/>
          <w:right w:w="0" w:type="dxa"/>
        </w:tblCellMar>
      </w:tblPr>
      <w:tblGrid>
        <w:gridCol w:w="8344"/>
      </w:tblGrid>
      <w:tr w14:paraId="758C679A">
        <w:tblPrEx>
          <w:tblCellMar>
            <w:top w:w="0" w:type="dxa"/>
            <w:left w:w="0" w:type="dxa"/>
            <w:bottom w:w="0" w:type="dxa"/>
            <w:right w:w="0" w:type="dxa"/>
          </w:tblCellMar>
        </w:tblPrEx>
        <w:trPr>
          <w:trHeight w:val="4897" w:hRule="atLeast"/>
          <w:jc w:val="center"/>
        </w:trPr>
        <w:tc>
          <w:tcPr>
            <w:tcW w:w="83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518C2F3">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法定代表人（或经营者/执行事务合伙人/负责人/自然人）身份证影印件 </w:t>
            </w:r>
          </w:p>
        </w:tc>
      </w:tr>
    </w:tbl>
    <w:p w14:paraId="49101D84">
      <w:pPr>
        <w:spacing w:line="400" w:lineRule="exact"/>
        <w:rPr>
          <w:rFonts w:hint="eastAsia" w:ascii="宋体" w:hAnsi="宋体" w:eastAsia="宋体" w:cs="宋体"/>
          <w:color w:val="auto"/>
          <w:highlight w:val="none"/>
        </w:rPr>
      </w:pPr>
    </w:p>
    <w:p w14:paraId="44B77525">
      <w:pPr>
        <w:rPr>
          <w:rFonts w:hint="eastAsia" w:ascii="宋体" w:hAnsi="宋体" w:eastAsia="宋体" w:cs="宋体"/>
          <w:color w:val="auto"/>
          <w:highlight w:val="none"/>
        </w:rPr>
      </w:pPr>
    </w:p>
    <w:p w14:paraId="578E3C43">
      <w:pPr>
        <w:spacing w:line="4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79416583">
      <w:pPr>
        <w:keepNext w:val="0"/>
        <w:keepLines w:val="0"/>
        <w:pageBreakBefore w:val="0"/>
        <w:kinsoku/>
        <w:wordWrap/>
        <w:overflowPunct/>
        <w:topLinePunct w:val="0"/>
        <w:autoSpaceDE/>
        <w:autoSpaceDN/>
        <w:bidi w:val="0"/>
        <w:adjustRightInd/>
        <w:snapToGrid/>
        <w:spacing w:line="360" w:lineRule="auto"/>
        <w:ind w:right="56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实质性格式</w:t>
      </w:r>
    </w:p>
    <w:p w14:paraId="46663B82">
      <w:pPr>
        <w:keepNext w:val="0"/>
        <w:keepLines w:val="0"/>
        <w:pageBreakBefore w:val="0"/>
        <w:kinsoku/>
        <w:wordWrap/>
        <w:overflowPunct/>
        <w:topLinePunct w:val="0"/>
        <w:autoSpaceDE/>
        <w:autoSpaceDN/>
        <w:bidi w:val="0"/>
        <w:adjustRightInd/>
        <w:snapToGrid/>
        <w:spacing w:before="240" w:after="240" w:line="36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kern w:val="0"/>
          <w:sz w:val="32"/>
          <w:szCs w:val="32"/>
          <w:highlight w:val="none"/>
          <w:lang w:eastAsia="zh-CN"/>
        </w:rPr>
        <w:t>四</w:t>
      </w:r>
      <w:r>
        <w:rPr>
          <w:rFonts w:hint="eastAsia" w:ascii="宋体" w:hAnsi="宋体" w:eastAsia="宋体" w:cs="宋体"/>
          <w:b/>
          <w:color w:val="auto"/>
          <w:kern w:val="0"/>
          <w:sz w:val="32"/>
          <w:szCs w:val="32"/>
          <w:highlight w:val="none"/>
        </w:rPr>
        <w:t>、</w:t>
      </w:r>
      <w:r>
        <w:rPr>
          <w:rFonts w:hint="eastAsia" w:ascii="宋体" w:hAnsi="宋体" w:eastAsia="宋体" w:cs="宋体"/>
          <w:b/>
          <w:color w:val="auto"/>
          <w:sz w:val="32"/>
          <w:szCs w:val="32"/>
          <w:highlight w:val="none"/>
        </w:rPr>
        <w:t>反商业贿赂承诺书</w:t>
      </w:r>
    </w:p>
    <w:p w14:paraId="58E8A2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rPr>
      </w:pPr>
    </w:p>
    <w:p w14:paraId="06B2110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为了从源头上防治腐败，杜绝商业贿赂行为的发生，更好地配合乌鲁木齐市公共资源交易中心（乌鲁木齐市政府采购中心）的工作，我们供应商承诺如下：</w:t>
      </w:r>
    </w:p>
    <w:p w14:paraId="520392A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1、不以各种名义给乌鲁木齐市公共资源交易中心（乌鲁木齐市政府采购中心）工作人员借或送现金、有价证券及物品。</w:t>
      </w:r>
    </w:p>
    <w:p w14:paraId="0A11DC0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2、不以个人名义邀请乌鲁木齐市公共资源交易中心（乌鲁木齐市政府采购中心）工作人员参与考察旅游活动和宴请活动。</w:t>
      </w:r>
    </w:p>
    <w:p w14:paraId="4C6F304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3、不发生与采购事项有关的其他违规违纪行为。</w:t>
      </w:r>
    </w:p>
    <w:p w14:paraId="674738F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如违反本承诺，我方愿意接受政府采购监管部门依法依规作出的处理，包括但不限于列入不良行为记录名单、在一至三年内禁止参加政府采购活动等处罚</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并终止投标资格，触犯法律由司法部门处理。</w:t>
      </w:r>
    </w:p>
    <w:p w14:paraId="341A77E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p>
    <w:p w14:paraId="4DA2911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rPr>
      </w:pPr>
    </w:p>
    <w:p w14:paraId="2582280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rPr>
      </w:pPr>
    </w:p>
    <w:p w14:paraId="73FD7637">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w:t>
      </w:r>
    </w:p>
    <w:p w14:paraId="2CE44BBA">
      <w:pPr>
        <w:keepNext w:val="0"/>
        <w:keepLines w:val="0"/>
        <w:pageBreakBefore w:val="0"/>
        <w:widowControl/>
        <w:kinsoku/>
        <w:wordWrap/>
        <w:overflowPunct/>
        <w:topLinePunct w:val="0"/>
        <w:autoSpaceDE/>
        <w:autoSpaceDN/>
        <w:bidi w:val="0"/>
        <w:adjustRightInd/>
        <w:snapToGrid/>
        <w:spacing w:line="360" w:lineRule="auto"/>
        <w:ind w:right="120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373789A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rPr>
      </w:pPr>
    </w:p>
    <w:p w14:paraId="2C481B50">
      <w:pPr>
        <w:widowControl/>
        <w:spacing w:line="440" w:lineRule="exact"/>
        <w:jc w:val="left"/>
        <w:rPr>
          <w:rFonts w:hint="eastAsia" w:ascii="宋体" w:hAnsi="宋体" w:eastAsia="宋体" w:cs="宋体"/>
          <w:color w:val="auto"/>
          <w:kern w:val="0"/>
          <w:sz w:val="24"/>
          <w:szCs w:val="24"/>
          <w:highlight w:val="none"/>
        </w:rPr>
      </w:pPr>
    </w:p>
    <w:p w14:paraId="060963E0">
      <w:pPr>
        <w:widowControl/>
        <w:spacing w:line="440" w:lineRule="exact"/>
        <w:jc w:val="left"/>
        <w:rPr>
          <w:rFonts w:hint="eastAsia" w:ascii="宋体" w:hAnsi="宋体" w:eastAsia="宋体" w:cs="宋体"/>
          <w:color w:val="auto"/>
          <w:kern w:val="0"/>
          <w:sz w:val="24"/>
          <w:szCs w:val="24"/>
          <w:highlight w:val="none"/>
        </w:rPr>
      </w:pPr>
    </w:p>
    <w:p w14:paraId="7FF65E68">
      <w:pPr>
        <w:spacing w:line="480" w:lineRule="exact"/>
        <w:rPr>
          <w:rFonts w:hint="eastAsia" w:ascii="宋体" w:hAnsi="宋体" w:eastAsia="宋体" w:cs="宋体"/>
          <w:b/>
          <w:color w:val="auto"/>
          <w:sz w:val="32"/>
          <w:szCs w:val="32"/>
          <w:highlight w:val="none"/>
        </w:rPr>
      </w:pPr>
      <w:r>
        <w:rPr>
          <w:rFonts w:hint="eastAsia" w:ascii="宋体" w:hAnsi="宋体" w:eastAsia="宋体" w:cs="宋体"/>
          <w:color w:val="auto"/>
          <w:kern w:val="0"/>
          <w:sz w:val="24"/>
          <w:szCs w:val="24"/>
          <w:highlight w:val="none"/>
        </w:rPr>
        <w:br w:type="page"/>
      </w:r>
    </w:p>
    <w:p w14:paraId="78EF3B39">
      <w:pPr>
        <w:spacing w:line="400" w:lineRule="exact"/>
        <w:jc w:val="center"/>
        <w:rPr>
          <w:rFonts w:hint="eastAsia" w:ascii="宋体" w:hAnsi="宋体" w:eastAsia="宋体" w:cs="宋体"/>
          <w:b/>
          <w:sz w:val="32"/>
          <w:szCs w:val="32"/>
        </w:rPr>
      </w:pPr>
    </w:p>
    <w:p w14:paraId="345D6822">
      <w:pPr>
        <w:jc w:val="center"/>
        <w:rPr>
          <w:rFonts w:hint="eastAsia" w:ascii="宋体" w:hAnsi="宋体" w:eastAsia="宋体" w:cs="宋体"/>
          <w:color w:val="auto"/>
          <w:highlight w:val="none"/>
        </w:rPr>
      </w:pPr>
      <w:r>
        <w:rPr>
          <w:rFonts w:hint="eastAsia" w:ascii="宋体" w:hAnsi="宋体" w:eastAsia="宋体" w:cs="宋体"/>
          <w:b/>
          <w:color w:val="auto"/>
          <w:sz w:val="32"/>
          <w:szCs w:val="32"/>
          <w:highlight w:val="none"/>
          <w:lang w:eastAsia="zh-CN"/>
        </w:rPr>
        <w:t>五</w:t>
      </w:r>
      <w:r>
        <w:rPr>
          <w:rFonts w:hint="eastAsia" w:ascii="宋体" w:hAnsi="宋体" w:eastAsia="宋体" w:cs="宋体"/>
          <w:b/>
          <w:color w:val="auto"/>
          <w:sz w:val="32"/>
          <w:szCs w:val="32"/>
          <w:highlight w:val="none"/>
        </w:rPr>
        <w:t>、中小企业声明函</w:t>
      </w:r>
    </w:p>
    <w:p w14:paraId="445EB28C">
      <w:pPr>
        <w:rPr>
          <w:rFonts w:hint="eastAsia" w:ascii="宋体" w:hAnsi="宋体" w:eastAsia="宋体" w:cs="宋体"/>
          <w:color w:val="auto"/>
          <w:highlight w:val="none"/>
        </w:rPr>
      </w:pPr>
      <w:bookmarkStart w:id="165" w:name="_bookmark1"/>
      <w:bookmarkEnd w:id="165"/>
    </w:p>
    <w:p w14:paraId="5957624E">
      <w:pPr>
        <w:spacing w:line="480" w:lineRule="exact"/>
        <w:jc w:val="center"/>
        <w:rPr>
          <w:rFonts w:hint="eastAsia" w:ascii="宋体" w:hAnsi="宋体" w:eastAsia="宋体" w:cs="宋体"/>
          <w:sz w:val="44"/>
          <w:highlight w:val="none"/>
        </w:rPr>
      </w:pPr>
      <w:r>
        <w:rPr>
          <w:rFonts w:hint="eastAsia" w:ascii="宋体" w:hAnsi="宋体" w:eastAsia="宋体" w:cs="宋体"/>
          <w:sz w:val="32"/>
          <w:szCs w:val="32"/>
          <w:highlight w:val="none"/>
        </w:rPr>
        <w:t>中小企业声明函（货物）</w:t>
      </w:r>
    </w:p>
    <w:p w14:paraId="6FFD9620">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p>
    <w:p w14:paraId="703D3B6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 xml:space="preserve">  （单位名称）    </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 xml:space="preserve">    （项目名称）    </w:t>
      </w:r>
      <w:r>
        <w:rPr>
          <w:rFonts w:hint="eastAsia" w:ascii="宋体" w:hAnsi="宋体" w:eastAsia="宋体" w:cs="宋体"/>
          <w:sz w:val="24"/>
          <w:szCs w:val="24"/>
          <w:highlight w:val="none"/>
        </w:rPr>
        <w:t>采购活动，提供的货物全部由符合政策要求的中小企业制造。相关企业（含联合体中的中小企业、签订分包意向协议的中小企业）的具体情况如下：</w:t>
      </w:r>
    </w:p>
    <w:p w14:paraId="4A05366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 xml:space="preserve"> （标的名称） </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 xml:space="preserve"> （企业名称） </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w:t>
      </w:r>
      <w:r>
        <w:rPr>
          <w:rFonts w:hint="eastAsia" w:ascii="宋体" w:hAnsi="宋体" w:eastAsia="宋体" w:cs="宋体"/>
          <w:sz w:val="24"/>
          <w:szCs w:val="24"/>
          <w:highlight w:val="none"/>
          <w:vertAlign w:val="superscript"/>
        </w:rPr>
        <w:t>1</w:t>
      </w:r>
      <w:r>
        <w:rPr>
          <w:rFonts w:hint="eastAsia" w:ascii="宋体" w:hAnsi="宋体" w:eastAsia="宋体" w:cs="宋体"/>
          <w:sz w:val="24"/>
          <w:szCs w:val="24"/>
          <w:highlight w:val="none"/>
        </w:rPr>
        <w:t>，资产总额为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2023ECE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 xml:space="preserve"> （标的名称） </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 xml:space="preserve"> （企业名称） </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225F270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12573DC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56E59B91">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6D73DDFE">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p>
    <w:p w14:paraId="579B7987">
      <w:pPr>
        <w:keepNext w:val="0"/>
        <w:keepLines w:val="0"/>
        <w:pageBreakBefore w:val="0"/>
        <w:widowControl w:val="0"/>
        <w:kinsoku/>
        <w:wordWrap w:val="0"/>
        <w:overflowPunct/>
        <w:topLinePunct w:val="0"/>
        <w:autoSpaceDE/>
        <w:autoSpaceDN/>
        <w:bidi w:val="0"/>
        <w:adjustRightInd/>
        <w:snapToGrid/>
        <w:spacing w:line="360" w:lineRule="auto"/>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14:paraId="6A2A2A8F">
      <w:pPr>
        <w:keepNext w:val="0"/>
        <w:keepLines w:val="0"/>
        <w:pageBreakBefore w:val="0"/>
        <w:widowControl w:val="0"/>
        <w:kinsoku/>
        <w:wordWrap w:val="0"/>
        <w:overflowPunct/>
        <w:topLinePunct w:val="0"/>
        <w:autoSpaceDE/>
        <w:autoSpaceDN/>
        <w:bidi w:val="0"/>
        <w:adjustRightInd/>
        <w:snapToGrid/>
        <w:spacing w:line="360" w:lineRule="auto"/>
        <w:jc w:val="right"/>
        <w:textAlignment w:val="auto"/>
        <w:rPr>
          <w:rFonts w:hint="eastAsia" w:ascii="宋体" w:hAnsi="宋体" w:eastAsia="宋体" w:cs="宋体"/>
          <w:sz w:val="28"/>
          <w:highlight w:val="none"/>
        </w:rPr>
      </w:pPr>
      <w:r>
        <w:rPr>
          <w:rFonts w:hint="eastAsia" w:ascii="宋体" w:hAnsi="宋体" w:eastAsia="宋体" w:cs="宋体"/>
          <w:sz w:val="24"/>
          <w:szCs w:val="24"/>
          <w:highlight w:val="none"/>
        </w:rPr>
        <w:t>日期：</w:t>
      </w:r>
      <w:r>
        <w:rPr>
          <w:rFonts w:hint="eastAsia" w:ascii="宋体" w:hAnsi="宋体" w:eastAsia="宋体" w:cs="宋体"/>
          <w:sz w:val="28"/>
          <w:highlight w:val="none"/>
        </w:rPr>
        <w:t xml:space="preserve">                      </w:t>
      </w:r>
    </w:p>
    <w:p w14:paraId="798405F7">
      <w:pPr>
        <w:spacing w:line="400" w:lineRule="exact"/>
        <w:rPr>
          <w:rFonts w:hint="eastAsia" w:ascii="宋体" w:hAnsi="宋体" w:eastAsia="宋体" w:cs="宋体"/>
          <w:sz w:val="21"/>
          <w:highlight w:val="none"/>
        </w:rPr>
      </w:pPr>
    </w:p>
    <w:p w14:paraId="13863A1E">
      <w:pPr>
        <w:spacing w:line="400" w:lineRule="exact"/>
        <w:rPr>
          <w:rFonts w:hint="eastAsia" w:ascii="宋体" w:hAnsi="宋体" w:eastAsia="宋体" w:cs="宋体"/>
          <w:sz w:val="21"/>
          <w:highlight w:val="none"/>
        </w:rPr>
      </w:pPr>
      <w:r>
        <w:rPr>
          <w:rFonts w:hint="eastAsia" w:ascii="宋体" w:hAnsi="宋体" w:eastAsia="宋体" w:cs="宋体"/>
          <w:sz w:val="21"/>
          <w:highlight w:val="none"/>
        </w:rPr>
        <w:t>注：填写前请认真阅读《政府采购促进中小企业发展管理办法》（财库﹝2020﹞46 号）的相关规定。</w:t>
      </w:r>
    </w:p>
    <w:p w14:paraId="1E233F3C">
      <w:pPr>
        <w:spacing w:line="400" w:lineRule="exact"/>
        <w:rPr>
          <w:rFonts w:hint="eastAsia" w:ascii="宋体" w:hAnsi="宋体" w:eastAsia="宋体" w:cs="宋体"/>
          <w:sz w:val="28"/>
          <w:highlight w:val="none"/>
        </w:rPr>
        <w:sectPr>
          <w:footerReference r:id="rId9" w:type="default"/>
          <w:pgSz w:w="11910" w:h="16840"/>
          <w:pgMar w:top="1440" w:right="1080" w:bottom="1440" w:left="1080" w:header="0" w:footer="1595" w:gutter="0"/>
          <w:pgNumType w:fmt="numberInDash"/>
          <w:cols w:space="720" w:num="1"/>
        </w:sectPr>
      </w:pPr>
      <w:r>
        <w:rPr>
          <w:rFonts w:hint="eastAsia" w:ascii="宋体" w:hAnsi="宋体" w:eastAsia="宋体" w:cs="宋体"/>
          <w:sz w:val="21"/>
          <w:highlight w:val="none"/>
          <w:vertAlign w:val="superscript"/>
        </w:rPr>
        <w:t>1</w:t>
      </w:r>
      <w:r>
        <w:rPr>
          <w:rFonts w:hint="eastAsia" w:ascii="宋体" w:hAnsi="宋体" w:eastAsia="宋体" w:cs="宋体"/>
          <w:sz w:val="21"/>
          <w:highlight w:val="none"/>
        </w:rPr>
        <w:t>从业人员、营业收入、资产总额填报上一年度数据，无上一年度数据的新成立企业可不填报</w:t>
      </w:r>
    </w:p>
    <w:p w14:paraId="1382C6A7">
      <w:pPr>
        <w:widowControl/>
        <w:spacing w:line="288" w:lineRule="auto"/>
        <w:jc w:val="left"/>
        <w:rPr>
          <w:rFonts w:hint="eastAsia" w:ascii="宋体" w:hAnsi="宋体" w:eastAsia="宋体" w:cs="宋体"/>
          <w:color w:val="auto"/>
          <w:kern w:val="0"/>
          <w:sz w:val="24"/>
          <w:szCs w:val="24"/>
          <w:highlight w:val="none"/>
        </w:rPr>
      </w:pPr>
    </w:p>
    <w:p w14:paraId="37020A81">
      <w:pPr>
        <w:widowControl/>
        <w:spacing w:line="440" w:lineRule="exact"/>
        <w:jc w:val="center"/>
        <w:rPr>
          <w:rFonts w:hint="eastAsia" w:ascii="宋体" w:hAnsi="宋体" w:eastAsia="宋体" w:cs="宋体"/>
          <w:b/>
          <w:color w:val="auto"/>
          <w:kern w:val="0"/>
          <w:sz w:val="32"/>
          <w:szCs w:val="32"/>
          <w:highlight w:val="none"/>
        </w:rPr>
      </w:pPr>
    </w:p>
    <w:p w14:paraId="15EE8B14">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六</w:t>
      </w:r>
      <w:r>
        <w:rPr>
          <w:rFonts w:hint="eastAsia" w:ascii="宋体" w:hAnsi="宋体" w:eastAsia="宋体" w:cs="宋体"/>
          <w:b/>
          <w:color w:val="auto"/>
          <w:sz w:val="32"/>
          <w:szCs w:val="32"/>
          <w:highlight w:val="none"/>
        </w:rPr>
        <w:t>、残疾人福利性单位声明或监狱企业证明材料（如有）</w:t>
      </w:r>
    </w:p>
    <w:p w14:paraId="34E45C15">
      <w:pPr>
        <w:spacing w:line="400" w:lineRule="exact"/>
        <w:jc w:val="center"/>
        <w:rPr>
          <w:rFonts w:hint="eastAsia" w:ascii="宋体" w:hAnsi="宋体" w:eastAsia="宋体" w:cs="宋体"/>
          <w:b/>
          <w:color w:val="auto"/>
          <w:sz w:val="32"/>
          <w:szCs w:val="32"/>
          <w:highlight w:val="none"/>
        </w:rPr>
      </w:pPr>
    </w:p>
    <w:p w14:paraId="09D34092">
      <w:pPr>
        <w:widowControl/>
        <w:spacing w:line="400" w:lineRule="exact"/>
        <w:jc w:val="center"/>
        <w:rPr>
          <w:rFonts w:hint="eastAsia" w:ascii="宋体" w:hAnsi="宋体" w:eastAsia="宋体" w:cs="宋体"/>
          <w:b/>
          <w:bCs/>
          <w:color w:val="auto"/>
          <w:spacing w:val="6"/>
          <w:kern w:val="0"/>
          <w:sz w:val="32"/>
          <w:szCs w:val="32"/>
          <w:highlight w:val="none"/>
        </w:rPr>
      </w:pPr>
      <w:r>
        <w:rPr>
          <w:rFonts w:hint="eastAsia" w:ascii="宋体" w:hAnsi="宋体" w:eastAsia="宋体" w:cs="宋体"/>
          <w:b w:val="0"/>
          <w:bCs w:val="0"/>
          <w:color w:val="auto"/>
          <w:spacing w:val="6"/>
          <w:kern w:val="0"/>
          <w:sz w:val="32"/>
          <w:szCs w:val="32"/>
          <w:highlight w:val="none"/>
        </w:rPr>
        <w:t>残疾人福利性单位声明函</w:t>
      </w:r>
    </w:p>
    <w:p w14:paraId="2D2A7FAD">
      <w:pPr>
        <w:spacing w:line="588" w:lineRule="exact"/>
        <w:rPr>
          <w:rFonts w:hint="eastAsia" w:ascii="宋体" w:hAnsi="宋体" w:eastAsia="宋体" w:cs="宋体"/>
          <w:b/>
          <w:bCs/>
          <w:color w:val="auto"/>
          <w:spacing w:val="6"/>
          <w:sz w:val="30"/>
          <w:szCs w:val="30"/>
          <w:highlight w:val="none"/>
        </w:rPr>
      </w:pPr>
    </w:p>
    <w:p w14:paraId="7544CD7B">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项目采购活动提供本单位制造的货物（由本单位承担工程/提供服务），或者提供其他残疾人福利性单位制造的货物（不包括使用非残疾人福利性单位注册商标的货物）。</w:t>
      </w:r>
    </w:p>
    <w:p w14:paraId="368995E2">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118D4F98">
      <w:pPr>
        <w:keepNext w:val="0"/>
        <w:keepLines w:val="0"/>
        <w:pageBreakBefore w:val="0"/>
        <w:widowControl w:val="0"/>
        <w:kinsoku/>
        <w:wordWrap/>
        <w:overflowPunct/>
        <w:topLinePunct w:val="0"/>
        <w:autoSpaceDE/>
        <w:autoSpaceDN/>
        <w:bidi w:val="0"/>
        <w:adjustRightInd w:val="0"/>
        <w:snapToGrid w:val="0"/>
        <w:spacing w:line="360" w:lineRule="auto"/>
        <w:ind w:firstLine="504" w:firstLineChars="200"/>
        <w:textAlignment w:val="auto"/>
        <w:rPr>
          <w:rFonts w:hint="eastAsia" w:ascii="宋体" w:hAnsi="宋体" w:eastAsia="宋体" w:cs="宋体"/>
          <w:color w:val="auto"/>
          <w:spacing w:val="6"/>
          <w:sz w:val="24"/>
          <w:szCs w:val="24"/>
          <w:highlight w:val="none"/>
        </w:rPr>
      </w:pPr>
    </w:p>
    <w:p w14:paraId="3A7AFFF6">
      <w:pPr>
        <w:keepNext w:val="0"/>
        <w:keepLines w:val="0"/>
        <w:pageBreakBefore w:val="0"/>
        <w:widowControl w:val="0"/>
        <w:kinsoku/>
        <w:wordWrap/>
        <w:overflowPunct/>
        <w:topLinePunct w:val="0"/>
        <w:autoSpaceDE/>
        <w:autoSpaceDN/>
        <w:bidi w:val="0"/>
        <w:adjustRightInd w:val="0"/>
        <w:snapToGrid w:val="0"/>
        <w:spacing w:line="360" w:lineRule="auto"/>
        <w:ind w:firstLine="504" w:firstLineChars="200"/>
        <w:textAlignment w:val="auto"/>
        <w:rPr>
          <w:rFonts w:hint="eastAsia" w:ascii="宋体" w:hAnsi="宋体" w:eastAsia="宋体" w:cs="宋体"/>
          <w:color w:val="auto"/>
          <w:spacing w:val="6"/>
          <w:sz w:val="24"/>
          <w:szCs w:val="24"/>
          <w:highlight w:val="none"/>
        </w:rPr>
      </w:pPr>
    </w:p>
    <w:p w14:paraId="1B849166">
      <w:pPr>
        <w:keepNext w:val="0"/>
        <w:keepLines w:val="0"/>
        <w:pageBreakBefore w:val="0"/>
        <w:widowControl w:val="0"/>
        <w:kinsoku/>
        <w:wordWrap/>
        <w:overflowPunct/>
        <w:topLinePunct w:val="0"/>
        <w:autoSpaceDE/>
        <w:autoSpaceDN/>
        <w:bidi w:val="0"/>
        <w:adjustRightInd w:val="0"/>
        <w:snapToGrid w:val="0"/>
        <w:spacing w:line="360" w:lineRule="auto"/>
        <w:ind w:firstLine="504" w:firstLineChars="200"/>
        <w:textAlignment w:val="auto"/>
        <w:rPr>
          <w:rFonts w:hint="eastAsia" w:ascii="宋体" w:hAnsi="宋体" w:eastAsia="宋体" w:cs="宋体"/>
          <w:color w:val="auto"/>
          <w:spacing w:val="6"/>
          <w:sz w:val="24"/>
          <w:szCs w:val="24"/>
          <w:highlight w:val="none"/>
        </w:rPr>
      </w:pPr>
    </w:p>
    <w:p w14:paraId="67F2B27C">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（公章）</w:t>
      </w:r>
    </w:p>
    <w:p w14:paraId="60E4F778">
      <w:pPr>
        <w:keepNext w:val="0"/>
        <w:keepLines w:val="0"/>
        <w:pageBreakBefore w:val="0"/>
        <w:widowControl w:val="0"/>
        <w:kinsoku/>
        <w:wordWrap/>
        <w:overflowPunct/>
        <w:topLinePunct w:val="0"/>
        <w:autoSpaceDE/>
        <w:autoSpaceDN/>
        <w:bidi w:val="0"/>
        <w:adjustRightInd w:val="0"/>
        <w:snapToGrid w:val="0"/>
        <w:spacing w:line="360" w:lineRule="auto"/>
        <w:ind w:right="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04F84E20">
      <w:pPr>
        <w:wordWrap w:val="0"/>
        <w:spacing w:line="560" w:lineRule="exact"/>
        <w:jc w:val="right"/>
        <w:rPr>
          <w:rFonts w:hint="eastAsia" w:ascii="宋体" w:hAnsi="宋体" w:eastAsia="宋体" w:cs="宋体"/>
          <w:color w:val="auto"/>
          <w:sz w:val="28"/>
          <w:szCs w:val="28"/>
          <w:highlight w:val="none"/>
        </w:rPr>
      </w:pPr>
    </w:p>
    <w:p w14:paraId="4664AC72">
      <w:pPr>
        <w:spacing w:line="560" w:lineRule="exact"/>
        <w:rPr>
          <w:rFonts w:hint="eastAsia" w:ascii="宋体" w:hAnsi="宋体" w:eastAsia="宋体" w:cs="宋体"/>
          <w:color w:val="auto"/>
          <w:sz w:val="28"/>
          <w:szCs w:val="28"/>
          <w:highlight w:val="none"/>
          <w:u w:val="single"/>
        </w:rPr>
      </w:pPr>
    </w:p>
    <w:p w14:paraId="0CAA2641">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eastAsia="宋体" w:cs="宋体"/>
          <w:color w:val="auto"/>
          <w:sz w:val="21"/>
          <w:szCs w:val="21"/>
          <w:highlight w:val="none"/>
        </w:rPr>
        <w:t>供应商为非残疾人福利性单位的，可不提供此声明。</w:t>
      </w:r>
    </w:p>
    <w:p w14:paraId="19FF0194">
      <w:pPr>
        <w:spacing w:line="400" w:lineRule="exact"/>
        <w:jc w:val="center"/>
        <w:rPr>
          <w:rFonts w:hint="eastAsia" w:ascii="宋体" w:hAnsi="宋体" w:eastAsia="宋体" w:cs="宋体"/>
          <w:b/>
          <w:color w:val="auto"/>
          <w:sz w:val="32"/>
          <w:szCs w:val="32"/>
          <w:highlight w:val="none"/>
        </w:rPr>
      </w:pPr>
    </w:p>
    <w:p w14:paraId="6090F57C">
      <w:pPr>
        <w:spacing w:line="400" w:lineRule="exact"/>
        <w:jc w:val="center"/>
        <w:rPr>
          <w:rFonts w:hint="eastAsia" w:ascii="宋体" w:hAnsi="宋体" w:eastAsia="宋体" w:cs="宋体"/>
          <w:b/>
          <w:color w:val="auto"/>
          <w:sz w:val="32"/>
          <w:szCs w:val="32"/>
          <w:highlight w:val="none"/>
        </w:rPr>
      </w:pPr>
    </w:p>
    <w:p w14:paraId="4AC06D11">
      <w:pPr>
        <w:widowControl/>
        <w:spacing w:line="40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266E5801">
      <w:pPr>
        <w:widowControl/>
        <w:spacing w:line="400" w:lineRule="exact"/>
        <w:jc w:val="center"/>
        <w:rPr>
          <w:rFonts w:hint="eastAsia" w:ascii="宋体" w:hAnsi="宋体" w:eastAsia="宋体" w:cs="宋体"/>
          <w:b/>
          <w:bCs/>
          <w:color w:val="auto"/>
          <w:spacing w:val="6"/>
          <w:kern w:val="0"/>
          <w:sz w:val="32"/>
          <w:szCs w:val="32"/>
          <w:highlight w:val="none"/>
        </w:rPr>
      </w:pPr>
    </w:p>
    <w:p w14:paraId="6B789BF9">
      <w:pPr>
        <w:widowControl/>
        <w:spacing w:line="400" w:lineRule="exact"/>
        <w:jc w:val="center"/>
        <w:rPr>
          <w:rFonts w:hint="eastAsia" w:ascii="宋体" w:hAnsi="宋体" w:eastAsia="宋体" w:cs="宋体"/>
          <w:b/>
          <w:bCs/>
          <w:color w:val="auto"/>
          <w:spacing w:val="6"/>
          <w:kern w:val="0"/>
          <w:sz w:val="32"/>
          <w:szCs w:val="32"/>
          <w:highlight w:val="none"/>
        </w:rPr>
      </w:pPr>
      <w:r>
        <w:rPr>
          <w:rFonts w:hint="eastAsia" w:ascii="宋体" w:hAnsi="宋体" w:eastAsia="宋体" w:cs="宋体"/>
          <w:b/>
          <w:bCs/>
          <w:color w:val="auto"/>
          <w:spacing w:val="6"/>
          <w:kern w:val="0"/>
          <w:sz w:val="32"/>
          <w:szCs w:val="32"/>
          <w:highlight w:val="none"/>
          <w:lang w:eastAsia="zh-CN"/>
        </w:rPr>
        <w:t>七、</w:t>
      </w:r>
      <w:r>
        <w:rPr>
          <w:rFonts w:hint="eastAsia" w:ascii="宋体" w:hAnsi="宋体" w:eastAsia="宋体" w:cs="宋体"/>
          <w:b/>
          <w:bCs/>
          <w:color w:val="auto"/>
          <w:spacing w:val="6"/>
          <w:kern w:val="0"/>
          <w:sz w:val="32"/>
          <w:szCs w:val="32"/>
          <w:highlight w:val="none"/>
        </w:rPr>
        <w:t>监狱企业证明材料</w:t>
      </w:r>
    </w:p>
    <w:p w14:paraId="018E8071">
      <w:pPr>
        <w:spacing w:line="588" w:lineRule="exact"/>
        <w:rPr>
          <w:rFonts w:hint="eastAsia" w:ascii="宋体" w:hAnsi="宋体" w:eastAsia="宋体" w:cs="宋体"/>
          <w:b/>
          <w:bCs/>
          <w:color w:val="auto"/>
          <w:spacing w:val="6"/>
          <w:sz w:val="30"/>
          <w:szCs w:val="30"/>
          <w:highlight w:val="none"/>
        </w:rPr>
      </w:pPr>
    </w:p>
    <w:p w14:paraId="10755596">
      <w:pPr>
        <w:adjustRightInd w:val="0"/>
        <w:snapToGrid w:val="0"/>
        <w:spacing w:line="440" w:lineRule="exact"/>
        <w:rPr>
          <w:rFonts w:hint="eastAsia" w:ascii="宋体" w:hAnsi="宋体" w:eastAsia="宋体" w:cs="宋体"/>
          <w:color w:val="auto"/>
          <w:sz w:val="28"/>
          <w:highlight w:val="none"/>
        </w:rPr>
      </w:pPr>
    </w:p>
    <w:p w14:paraId="4CFA1A11">
      <w:pPr>
        <w:adjustRightInd w:val="0"/>
        <w:snapToGrid w:val="0"/>
        <w:spacing w:line="440" w:lineRule="exact"/>
        <w:rPr>
          <w:rFonts w:hint="eastAsia" w:ascii="宋体" w:hAnsi="宋体" w:eastAsia="宋体" w:cs="宋体"/>
          <w:color w:val="auto"/>
          <w:sz w:val="28"/>
          <w:highlight w:val="none"/>
        </w:rPr>
      </w:pPr>
    </w:p>
    <w:p w14:paraId="4D91AECC">
      <w:pPr>
        <w:adjustRightInd w:val="0"/>
        <w:snapToGrid w:val="0"/>
        <w:spacing w:line="440" w:lineRule="exact"/>
        <w:rPr>
          <w:rFonts w:hint="eastAsia" w:ascii="宋体" w:hAnsi="宋体" w:eastAsia="宋体" w:cs="宋体"/>
          <w:color w:val="auto"/>
          <w:sz w:val="28"/>
          <w:highlight w:val="none"/>
        </w:rPr>
      </w:pPr>
    </w:p>
    <w:p w14:paraId="7B60AC67">
      <w:pPr>
        <w:adjustRightInd w:val="0"/>
        <w:snapToGrid w:val="0"/>
        <w:spacing w:line="440" w:lineRule="exact"/>
        <w:rPr>
          <w:rFonts w:hint="eastAsia" w:ascii="宋体" w:hAnsi="宋体" w:eastAsia="宋体" w:cs="宋体"/>
          <w:color w:val="auto"/>
          <w:sz w:val="28"/>
          <w:highlight w:val="none"/>
        </w:rPr>
      </w:pPr>
    </w:p>
    <w:p w14:paraId="03E9C0DB">
      <w:pPr>
        <w:adjustRightInd w:val="0"/>
        <w:snapToGrid w:val="0"/>
        <w:spacing w:line="440" w:lineRule="exact"/>
        <w:rPr>
          <w:rFonts w:hint="eastAsia" w:ascii="宋体" w:hAnsi="宋体" w:eastAsia="宋体" w:cs="宋体"/>
          <w:color w:val="auto"/>
          <w:sz w:val="28"/>
          <w:highlight w:val="none"/>
        </w:rPr>
      </w:pPr>
    </w:p>
    <w:p w14:paraId="0405A2A1">
      <w:pPr>
        <w:adjustRightInd w:val="0"/>
        <w:snapToGrid w:val="0"/>
        <w:spacing w:line="440" w:lineRule="exact"/>
        <w:rPr>
          <w:rFonts w:hint="eastAsia" w:ascii="宋体" w:hAnsi="宋体" w:eastAsia="宋体" w:cs="宋体"/>
          <w:color w:val="auto"/>
          <w:sz w:val="28"/>
          <w:highlight w:val="none"/>
        </w:rPr>
      </w:pPr>
    </w:p>
    <w:p w14:paraId="2642F15D">
      <w:pPr>
        <w:adjustRightInd w:val="0"/>
        <w:snapToGrid w:val="0"/>
        <w:spacing w:line="440" w:lineRule="exact"/>
        <w:rPr>
          <w:rFonts w:hint="eastAsia" w:ascii="宋体" w:hAnsi="宋体" w:eastAsia="宋体" w:cs="宋体"/>
          <w:color w:val="auto"/>
          <w:spacing w:val="6"/>
          <w:sz w:val="24"/>
          <w:highlight w:val="none"/>
        </w:rPr>
      </w:pPr>
    </w:p>
    <w:p w14:paraId="47FF7951">
      <w:pPr>
        <w:adjustRightInd w:val="0"/>
        <w:snapToGrid w:val="0"/>
        <w:spacing w:line="440" w:lineRule="exact"/>
        <w:rPr>
          <w:rFonts w:hint="eastAsia" w:ascii="宋体" w:hAnsi="宋体" w:eastAsia="宋体" w:cs="宋体"/>
          <w:color w:val="auto"/>
          <w:spacing w:val="6"/>
          <w:sz w:val="24"/>
          <w:highlight w:val="none"/>
        </w:rPr>
      </w:pPr>
    </w:p>
    <w:p w14:paraId="5B1162AB">
      <w:pPr>
        <w:adjustRightInd w:val="0"/>
        <w:snapToGrid w:val="0"/>
        <w:spacing w:line="440" w:lineRule="exact"/>
        <w:rPr>
          <w:rFonts w:hint="eastAsia" w:ascii="宋体" w:hAnsi="宋体" w:eastAsia="宋体" w:cs="宋体"/>
          <w:color w:val="auto"/>
          <w:spacing w:val="6"/>
          <w:sz w:val="24"/>
          <w:highlight w:val="none"/>
        </w:rPr>
      </w:pPr>
    </w:p>
    <w:p w14:paraId="01549180">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59843313">
      <w:pPr>
        <w:keepNext w:val="0"/>
        <w:keepLines w:val="0"/>
        <w:pageBreakBefore w:val="0"/>
        <w:widowControl w:val="0"/>
        <w:kinsoku/>
        <w:wordWrap/>
        <w:overflowPunct/>
        <w:topLinePunct w:val="0"/>
        <w:autoSpaceDE/>
        <w:autoSpaceDN/>
        <w:bidi w:val="0"/>
        <w:adjustRightInd w:val="0"/>
        <w:snapToGrid w:val="0"/>
        <w:spacing w:line="360" w:lineRule="auto"/>
        <w:ind w:right="960"/>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00A05E1C">
      <w:pPr>
        <w:wordWrap w:val="0"/>
        <w:spacing w:line="560" w:lineRule="exact"/>
        <w:jc w:val="right"/>
        <w:rPr>
          <w:rFonts w:hint="eastAsia" w:ascii="宋体" w:hAnsi="宋体" w:eastAsia="宋体" w:cs="宋体"/>
          <w:color w:val="auto"/>
          <w:sz w:val="28"/>
          <w:szCs w:val="28"/>
          <w:highlight w:val="none"/>
        </w:rPr>
      </w:pPr>
    </w:p>
    <w:p w14:paraId="2F71E3C4">
      <w:pPr>
        <w:spacing w:line="560" w:lineRule="exact"/>
        <w:rPr>
          <w:rFonts w:hint="eastAsia" w:ascii="宋体" w:hAnsi="宋体" w:eastAsia="宋体" w:cs="宋体"/>
          <w:color w:val="auto"/>
          <w:sz w:val="28"/>
          <w:szCs w:val="28"/>
          <w:highlight w:val="none"/>
          <w:u w:val="single"/>
        </w:rPr>
      </w:pPr>
    </w:p>
    <w:p w14:paraId="59E4F9FA">
      <w:pPr>
        <w:spacing w:line="400" w:lineRule="exact"/>
        <w:rPr>
          <w:rFonts w:hint="eastAsia" w:ascii="宋体" w:hAnsi="宋体" w:eastAsia="宋体" w:cs="宋体"/>
          <w:color w:val="auto"/>
          <w:sz w:val="28"/>
          <w:szCs w:val="28"/>
          <w:highlight w:val="none"/>
        </w:rPr>
      </w:pPr>
      <w:r>
        <w:rPr>
          <w:rFonts w:hint="eastAsia" w:ascii="宋体" w:hAnsi="宋体" w:eastAsia="宋体" w:cs="宋体"/>
          <w:b/>
          <w:color w:val="auto"/>
          <w:sz w:val="21"/>
          <w:szCs w:val="21"/>
          <w:highlight w:val="none"/>
        </w:rPr>
        <w:t>注：</w:t>
      </w:r>
      <w:r>
        <w:rPr>
          <w:rFonts w:hint="eastAsia" w:ascii="宋体" w:hAnsi="宋体" w:eastAsia="宋体" w:cs="宋体"/>
          <w:color w:val="auto"/>
          <w:sz w:val="21"/>
          <w:szCs w:val="21"/>
          <w:highlight w:val="none"/>
        </w:rPr>
        <w:t>供应商非监狱企业的，可不提供此材料。</w:t>
      </w:r>
    </w:p>
    <w:p w14:paraId="571DFA6B">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8"/>
          <w:szCs w:val="28"/>
          <w:highlight w:val="none"/>
        </w:rPr>
        <w:br w:type="page"/>
      </w:r>
    </w:p>
    <w:p w14:paraId="6AABBAF4">
      <w:pPr>
        <w:spacing w:line="400" w:lineRule="exact"/>
        <w:jc w:val="center"/>
        <w:rPr>
          <w:rFonts w:hint="eastAsia" w:ascii="宋体" w:hAnsi="宋体" w:eastAsia="宋体" w:cs="宋体"/>
          <w:b/>
          <w:sz w:val="32"/>
          <w:szCs w:val="32"/>
        </w:rPr>
      </w:pPr>
    </w:p>
    <w:p w14:paraId="45FB655F">
      <w:pPr>
        <w:spacing w:line="400" w:lineRule="exact"/>
        <w:jc w:val="center"/>
        <w:rPr>
          <w:rFonts w:hint="eastAsia" w:ascii="宋体" w:hAnsi="宋体" w:eastAsia="宋体" w:cs="宋体"/>
          <w:b/>
          <w:sz w:val="32"/>
          <w:szCs w:val="32"/>
        </w:rPr>
      </w:pPr>
      <w:r>
        <w:rPr>
          <w:rFonts w:hint="eastAsia" w:ascii="宋体" w:hAnsi="宋体" w:eastAsia="宋体" w:cs="宋体"/>
          <w:b/>
          <w:sz w:val="32"/>
          <w:szCs w:val="32"/>
          <w:lang w:val="en-US" w:eastAsia="zh-CN"/>
        </w:rPr>
        <w:t>八、</w:t>
      </w:r>
      <w:r>
        <w:rPr>
          <w:rFonts w:hint="eastAsia" w:ascii="宋体" w:hAnsi="宋体" w:eastAsia="宋体" w:cs="宋体"/>
          <w:b/>
          <w:sz w:val="32"/>
          <w:szCs w:val="32"/>
        </w:rPr>
        <w:t>联合协议</w:t>
      </w:r>
    </w:p>
    <w:p w14:paraId="55320083">
      <w:pPr>
        <w:spacing w:line="360" w:lineRule="auto"/>
        <w:jc w:val="center"/>
        <w:rPr>
          <w:rFonts w:hint="eastAsia" w:ascii="宋体" w:hAnsi="宋体" w:eastAsia="宋体" w:cs="宋体"/>
        </w:rPr>
      </w:pPr>
      <w:r>
        <w:rPr>
          <w:rFonts w:hint="eastAsia" w:ascii="宋体" w:hAnsi="宋体" w:eastAsia="宋体" w:cs="宋体"/>
          <w:b/>
          <w:sz w:val="32"/>
          <w:szCs w:val="32"/>
        </w:rPr>
        <w:t>【</w:t>
      </w:r>
      <w:r>
        <w:rPr>
          <w:rFonts w:hint="eastAsia" w:ascii="宋体" w:hAnsi="宋体" w:eastAsia="宋体" w:cs="宋体"/>
          <w:b w:val="0"/>
          <w:bCs/>
          <w:sz w:val="32"/>
          <w:szCs w:val="32"/>
        </w:rPr>
        <w:t>联合体协议书（非联合体无需提供）</w:t>
      </w:r>
      <w:r>
        <w:rPr>
          <w:rFonts w:hint="eastAsia" w:ascii="宋体" w:hAnsi="宋体" w:eastAsia="宋体" w:cs="宋体"/>
          <w:b/>
          <w:sz w:val="32"/>
          <w:szCs w:val="32"/>
        </w:rPr>
        <w:t>】</w:t>
      </w:r>
    </w:p>
    <w:p w14:paraId="4CEEDF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u w:val="single"/>
          <w:lang w:val="en-US" w:eastAsia="zh-CN"/>
        </w:rPr>
        <w:t>XXX</w:t>
      </w:r>
      <w:r>
        <w:rPr>
          <w:rFonts w:hint="eastAsia" w:ascii="宋体" w:hAnsi="宋体" w:eastAsia="宋体" w:cs="宋体"/>
          <w:sz w:val="24"/>
          <w:szCs w:val="24"/>
          <w:lang w:val="en-US" w:eastAsia="zh-CN"/>
        </w:rPr>
        <w:t>单位</w:t>
      </w:r>
      <w:r>
        <w:rPr>
          <w:rFonts w:hint="eastAsia" w:ascii="宋体" w:hAnsi="宋体" w:eastAsia="宋体" w:cs="宋体"/>
          <w:sz w:val="24"/>
          <w:szCs w:val="24"/>
        </w:rPr>
        <w:t>：</w:t>
      </w:r>
    </w:p>
    <w:p w14:paraId="0D0A84C8">
      <w:pPr>
        <w:keepNext w:val="0"/>
        <w:keepLines w:val="0"/>
        <w:pageBreakBefore w:val="0"/>
        <w:widowControl w:val="0"/>
        <w:kinsoku/>
        <w:wordWrap/>
        <w:overflowPunct/>
        <w:topLinePunct w:val="0"/>
        <w:autoSpaceDE/>
        <w:autoSpaceDN/>
        <w:bidi w:val="0"/>
        <w:adjustRightInd/>
        <w:snapToGrid/>
        <w:spacing w:line="360" w:lineRule="auto"/>
        <w:ind w:firstLine="475" w:firstLineChars="198"/>
        <w:jc w:val="left"/>
        <w:textAlignment w:val="auto"/>
        <w:rPr>
          <w:rFonts w:hint="eastAsia" w:ascii="宋体" w:hAnsi="宋体" w:eastAsia="宋体" w:cs="宋体"/>
          <w:sz w:val="24"/>
          <w:szCs w:val="24"/>
          <w:u w:val="single"/>
        </w:rPr>
      </w:pPr>
      <w:r>
        <w:rPr>
          <w:rFonts w:hint="eastAsia" w:ascii="宋体" w:hAnsi="宋体" w:eastAsia="宋体" w:cs="宋体"/>
          <w:sz w:val="24"/>
          <w:szCs w:val="24"/>
        </w:rPr>
        <w:t>经研究，我们决定自愿组成联合体共同参加</w:t>
      </w:r>
      <w:r>
        <w:rPr>
          <w:rFonts w:hint="eastAsia" w:ascii="宋体" w:hAnsi="宋体" w:eastAsia="宋体" w:cs="宋体"/>
          <w:sz w:val="24"/>
          <w:szCs w:val="24"/>
          <w:u w:val="single"/>
        </w:rPr>
        <w:t xml:space="preserve">                           </w:t>
      </w:r>
    </w:p>
    <w:p w14:paraId="1FC58A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（项目编号：              ）项目的采购活动。现就联合体投标事宜订立如下协议： </w:t>
      </w:r>
    </w:p>
    <w:p w14:paraId="61D733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一、联合体基本信息：</w:t>
      </w:r>
    </w:p>
    <w:p w14:paraId="0C6E7B00">
      <w:pPr>
        <w:keepNext w:val="0"/>
        <w:keepLines w:val="0"/>
        <w:pageBreakBefore w:val="0"/>
        <w:widowControl w:val="0"/>
        <w:kinsoku/>
        <w:wordWrap/>
        <w:overflowPunct/>
        <w:topLinePunct w:val="0"/>
        <w:autoSpaceDE/>
        <w:autoSpaceDN/>
        <w:bidi w:val="0"/>
        <w:adjustRightInd/>
        <w:snapToGrid/>
        <w:spacing w:line="360" w:lineRule="auto"/>
        <w:ind w:left="475"/>
        <w:textAlignment w:val="auto"/>
        <w:rPr>
          <w:rFonts w:hint="eastAsia" w:ascii="宋体" w:hAnsi="宋体" w:eastAsia="宋体" w:cs="宋体"/>
          <w:sz w:val="24"/>
          <w:szCs w:val="24"/>
        </w:rPr>
      </w:pPr>
      <w:r>
        <w:rPr>
          <w:rFonts w:hint="eastAsia" w:ascii="宋体" w:hAnsi="宋体" w:eastAsia="宋体" w:cs="宋体"/>
          <w:sz w:val="24"/>
          <w:szCs w:val="24"/>
        </w:rPr>
        <w:t xml:space="preserve"> （各方公司名称、地址、注册资金、营业执照、法定代表人（或经营者/执行事务合伙人/负责人/自然人）姓名） </w:t>
      </w:r>
    </w:p>
    <w:p w14:paraId="44E9BEF7">
      <w:pPr>
        <w:keepNext w:val="0"/>
        <w:keepLines w:val="0"/>
        <w:pageBreakBefore w:val="0"/>
        <w:widowControl w:val="0"/>
        <w:kinsoku/>
        <w:wordWrap/>
        <w:overflowPunct/>
        <w:topLinePunct w:val="0"/>
        <w:autoSpaceDE/>
        <w:autoSpaceDN/>
        <w:bidi w:val="0"/>
        <w:adjustRightInd/>
        <w:snapToGrid/>
        <w:spacing w:line="360" w:lineRule="auto"/>
        <w:ind w:firstLine="475" w:firstLineChars="198"/>
        <w:jc w:val="left"/>
        <w:textAlignment w:val="auto"/>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u w:val="single"/>
        </w:rPr>
        <w:t xml:space="preserve">                    </w:t>
      </w:r>
      <w:r>
        <w:rPr>
          <w:rFonts w:hint="eastAsia" w:ascii="宋体" w:hAnsi="宋体" w:eastAsia="宋体" w:cs="宋体"/>
          <w:sz w:val="24"/>
          <w:szCs w:val="24"/>
        </w:rPr>
        <w:t>（某成员单位名称）为</w:t>
      </w:r>
      <w:r>
        <w:rPr>
          <w:rFonts w:hint="eastAsia" w:ascii="宋体" w:hAnsi="宋体" w:eastAsia="宋体" w:cs="宋体"/>
          <w:sz w:val="24"/>
          <w:szCs w:val="24"/>
          <w:u w:val="single"/>
        </w:rPr>
        <w:t xml:space="preserve">                      </w:t>
      </w:r>
      <w:r>
        <w:rPr>
          <w:rFonts w:hint="eastAsia" w:ascii="宋体" w:hAnsi="宋体" w:eastAsia="宋体" w:cs="宋体"/>
          <w:sz w:val="24"/>
          <w:szCs w:val="24"/>
        </w:rPr>
        <w:t>（联合体名称）牵头人</w:t>
      </w:r>
    </w:p>
    <w:p w14:paraId="15C07FC7">
      <w:pPr>
        <w:keepNext w:val="0"/>
        <w:keepLines w:val="0"/>
        <w:pageBreakBefore w:val="0"/>
        <w:widowControl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sz w:val="24"/>
          <w:szCs w:val="24"/>
        </w:rPr>
      </w:pPr>
      <w:r>
        <w:rPr>
          <w:rFonts w:hint="eastAsia" w:ascii="宋体" w:hAnsi="宋体" w:eastAsia="宋体" w:cs="宋体"/>
          <w:sz w:val="24"/>
          <w:szCs w:val="24"/>
        </w:rPr>
        <w:t xml:space="preserve">三、联合体牵头人合法代表联合体各成员负责本项目投标文件的编制，代表联合体提交和接收相关的资料、信息及指示，并处理与投标或中标有关的一切事务；联合体中标后，联合体牵头人负责合同订立和合同实施阶段的主办、组织和协调工作。 </w:t>
      </w:r>
    </w:p>
    <w:p w14:paraId="1DB007A1">
      <w:pPr>
        <w:keepNext w:val="0"/>
        <w:keepLines w:val="0"/>
        <w:pageBreakBefore w:val="0"/>
        <w:widowControl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sz w:val="24"/>
          <w:szCs w:val="24"/>
        </w:rPr>
      </w:pPr>
      <w:r>
        <w:rPr>
          <w:rFonts w:hint="eastAsia" w:ascii="宋体" w:hAnsi="宋体" w:eastAsia="宋体" w:cs="宋体"/>
          <w:sz w:val="24"/>
          <w:szCs w:val="24"/>
        </w:rPr>
        <w:t xml:space="preserve">四、若我方中标，联合体将严格按照招标文件的各项要求，履行中标后的义务和签订的合同，并向采购人承担连带责任。  </w:t>
      </w:r>
    </w:p>
    <w:p w14:paraId="41386255">
      <w:pPr>
        <w:keepNext w:val="0"/>
        <w:keepLines w:val="0"/>
        <w:pageBreakBefore w:val="0"/>
        <w:widowControl w:val="0"/>
        <w:kinsoku/>
        <w:wordWrap/>
        <w:overflowPunct/>
        <w:topLinePunct w:val="0"/>
        <w:autoSpaceDE/>
        <w:autoSpaceDN/>
        <w:bidi w:val="0"/>
        <w:adjustRightInd/>
        <w:snapToGrid/>
        <w:spacing w:line="360" w:lineRule="auto"/>
        <w:ind w:left="416" w:leftChars="198"/>
        <w:textAlignment w:val="auto"/>
        <w:rPr>
          <w:rFonts w:hint="eastAsia" w:ascii="宋体" w:hAnsi="宋体" w:eastAsia="宋体" w:cs="宋体"/>
          <w:sz w:val="24"/>
          <w:szCs w:val="24"/>
        </w:rPr>
      </w:pPr>
      <w:r>
        <w:rPr>
          <w:rFonts w:hint="eastAsia" w:ascii="宋体" w:hAnsi="宋体" w:eastAsia="宋体" w:cs="宋体"/>
          <w:sz w:val="24"/>
          <w:szCs w:val="24"/>
        </w:rPr>
        <w:t>五、联合体各成员单位内部的职责分工如下：</w:t>
      </w:r>
    </w:p>
    <w:p w14:paraId="57A850D0">
      <w:pPr>
        <w:keepNext w:val="0"/>
        <w:keepLines w:val="0"/>
        <w:pageBreakBefore w:val="0"/>
        <w:widowControl w:val="0"/>
        <w:kinsoku/>
        <w:wordWrap/>
        <w:overflowPunct/>
        <w:topLinePunct w:val="0"/>
        <w:autoSpaceDE/>
        <w:autoSpaceDN/>
        <w:bidi w:val="0"/>
        <w:adjustRightInd/>
        <w:snapToGrid/>
        <w:spacing w:line="360" w:lineRule="auto"/>
        <w:ind w:left="416" w:leftChars="198"/>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F1CAEA7">
      <w:pPr>
        <w:keepNext w:val="0"/>
        <w:keepLines w:val="0"/>
        <w:pageBreakBefore w:val="0"/>
        <w:widowControl w:val="0"/>
        <w:kinsoku/>
        <w:wordWrap/>
        <w:overflowPunct/>
        <w:topLinePunct w:val="0"/>
        <w:autoSpaceDE/>
        <w:autoSpaceDN/>
        <w:bidi w:val="0"/>
        <w:adjustRightInd/>
        <w:snapToGrid/>
        <w:spacing w:line="360" w:lineRule="auto"/>
        <w:ind w:left="416" w:leftChars="198"/>
        <w:textAlignment w:val="auto"/>
        <w:rPr>
          <w:rFonts w:hint="eastAsia" w:ascii="宋体" w:hAnsi="宋体" w:eastAsia="宋体" w:cs="宋体"/>
          <w:sz w:val="24"/>
          <w:szCs w:val="24"/>
        </w:rPr>
      </w:pPr>
      <w:r>
        <w:rPr>
          <w:rFonts w:hint="eastAsia" w:ascii="宋体" w:hAnsi="宋体" w:eastAsia="宋体" w:cs="宋体"/>
          <w:sz w:val="24"/>
          <w:szCs w:val="24"/>
        </w:rPr>
        <w:t>按照本条上述分工，联合体成员单位各自所承担的合同工作量比例如下：</w:t>
      </w:r>
    </w:p>
    <w:p w14:paraId="3CE5F827">
      <w:pPr>
        <w:keepNext w:val="0"/>
        <w:keepLines w:val="0"/>
        <w:pageBreakBefore w:val="0"/>
        <w:widowControl w:val="0"/>
        <w:kinsoku/>
        <w:wordWrap/>
        <w:overflowPunct/>
        <w:topLinePunct w:val="0"/>
        <w:autoSpaceDE/>
        <w:autoSpaceDN/>
        <w:bidi w:val="0"/>
        <w:adjustRightInd/>
        <w:snapToGrid/>
        <w:spacing w:line="360" w:lineRule="auto"/>
        <w:ind w:left="416" w:leftChars="198"/>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29BF1AE">
      <w:pPr>
        <w:keepNext w:val="0"/>
        <w:keepLines w:val="0"/>
        <w:pageBreakBefore w:val="0"/>
        <w:widowControl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sz w:val="24"/>
          <w:szCs w:val="24"/>
        </w:rPr>
      </w:pPr>
      <w:r>
        <w:rPr>
          <w:rFonts w:hint="eastAsia" w:ascii="宋体" w:hAnsi="宋体" w:eastAsia="宋体" w:cs="宋体"/>
          <w:sz w:val="24"/>
          <w:szCs w:val="24"/>
        </w:rPr>
        <w:t xml:space="preserve">六、本协议书自签署之日起生效，合同履行完毕后自动失效。 </w:t>
      </w:r>
    </w:p>
    <w:p w14:paraId="53151D59">
      <w:pPr>
        <w:keepNext w:val="0"/>
        <w:keepLines w:val="0"/>
        <w:pageBreakBefore w:val="0"/>
        <w:widowControl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sz w:val="24"/>
          <w:szCs w:val="24"/>
        </w:rPr>
      </w:pPr>
      <w:r>
        <w:rPr>
          <w:rFonts w:hint="eastAsia" w:ascii="宋体" w:hAnsi="宋体" w:eastAsia="宋体" w:cs="宋体"/>
          <w:sz w:val="24"/>
          <w:szCs w:val="24"/>
        </w:rPr>
        <w:t>七、本协议书一式</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份，联合体成员和采购人各执一份。 </w:t>
      </w:r>
    </w:p>
    <w:p w14:paraId="316856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牵头人名称：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（公章） </w:t>
      </w:r>
    </w:p>
    <w:p w14:paraId="045B22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法定代表人（或经营者/执行事务合伙人/负责人/自然人）（或授权代表）：</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（印章或签名）  </w:t>
      </w:r>
    </w:p>
    <w:p w14:paraId="64661A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成员名称：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（公章）</w:t>
      </w:r>
    </w:p>
    <w:p w14:paraId="310F3D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法定代表人（或经营者/执行事务合伙人/负责人/自然人）（或授权代表）：</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（印章或签名）  </w:t>
      </w:r>
    </w:p>
    <w:p w14:paraId="749A2F6F">
      <w:pPr>
        <w:keepNext w:val="0"/>
        <w:keepLines w:val="0"/>
        <w:pageBreakBefore w:val="0"/>
        <w:widowControl w:val="0"/>
        <w:kinsoku/>
        <w:wordWrap/>
        <w:overflowPunct/>
        <w:topLinePunct w:val="0"/>
        <w:autoSpaceDE/>
        <w:autoSpaceDN/>
        <w:bidi w:val="0"/>
        <w:adjustRightInd/>
        <w:snapToGrid/>
        <w:spacing w:line="360" w:lineRule="auto"/>
        <w:ind w:firstLine="475" w:firstLineChars="198"/>
        <w:jc w:val="right"/>
        <w:textAlignment w:val="auto"/>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 </w:t>
      </w:r>
      <w:r>
        <w:rPr>
          <w:rFonts w:hint="eastAsia" w:ascii="宋体" w:hAnsi="宋体" w:eastAsia="宋体" w:cs="宋体"/>
          <w:sz w:val="24"/>
          <w:szCs w:val="24"/>
          <w:u w:val="single"/>
        </w:rPr>
        <w:t xml:space="preserve">     </w:t>
      </w:r>
      <w:r>
        <w:rPr>
          <w:rFonts w:hint="eastAsia" w:ascii="宋体" w:hAnsi="宋体" w:eastAsia="宋体" w:cs="宋体"/>
          <w:sz w:val="24"/>
          <w:szCs w:val="24"/>
        </w:rPr>
        <w:t>月 </w:t>
      </w:r>
      <w:r>
        <w:rPr>
          <w:rFonts w:hint="eastAsia" w:ascii="宋体" w:hAnsi="宋体" w:eastAsia="宋体" w:cs="宋体"/>
          <w:sz w:val="24"/>
          <w:szCs w:val="24"/>
          <w:u w:val="single"/>
        </w:rPr>
        <w:t>   </w:t>
      </w:r>
      <w:r>
        <w:rPr>
          <w:rFonts w:hint="eastAsia" w:ascii="宋体" w:hAnsi="宋体" w:eastAsia="宋体" w:cs="宋体"/>
          <w:sz w:val="24"/>
          <w:szCs w:val="24"/>
        </w:rPr>
        <w:t xml:space="preserve">日  </w:t>
      </w:r>
    </w:p>
    <w:p w14:paraId="6EC556F4">
      <w:pPr>
        <w:spacing w:line="440" w:lineRule="exact"/>
        <w:ind w:firstLine="422" w:firstLineChars="200"/>
        <w:rPr>
          <w:rFonts w:hint="eastAsia" w:ascii="宋体" w:hAnsi="宋体" w:eastAsia="宋体" w:cs="宋体"/>
          <w:sz w:val="24"/>
          <w:szCs w:val="24"/>
        </w:rPr>
      </w:pPr>
      <w:r>
        <w:rPr>
          <w:rFonts w:hint="eastAsia" w:ascii="宋体" w:hAnsi="宋体" w:eastAsia="宋体" w:cs="宋体"/>
          <w:b/>
          <w:bCs/>
          <w:sz w:val="21"/>
          <w:szCs w:val="21"/>
        </w:rPr>
        <w:t>注</w:t>
      </w:r>
      <w:r>
        <w:rPr>
          <w:rFonts w:hint="eastAsia" w:ascii="宋体" w:hAnsi="宋体" w:eastAsia="宋体" w:cs="宋体"/>
          <w:sz w:val="21"/>
          <w:szCs w:val="21"/>
        </w:rPr>
        <w:t>：本协议书由授权代表签字的，应附法定代表人（或经营者/执行事务合伙人/负责人/自然人）授权委托书。</w:t>
      </w:r>
      <w:r>
        <w:rPr>
          <w:rFonts w:hint="eastAsia" w:ascii="宋体" w:hAnsi="宋体" w:eastAsia="宋体" w:cs="宋体"/>
          <w:sz w:val="24"/>
          <w:szCs w:val="24"/>
        </w:rPr>
        <w:t xml:space="preserve"> </w:t>
      </w:r>
    </w:p>
    <w:p w14:paraId="13D3D21A">
      <w:pPr>
        <w:jc w:val="center"/>
        <w:rPr>
          <w:rFonts w:hint="eastAsia" w:ascii="宋体" w:hAnsi="宋体" w:eastAsia="宋体" w:cs="宋体"/>
          <w:b/>
          <w:color w:val="auto"/>
          <w:sz w:val="32"/>
          <w:szCs w:val="32"/>
          <w:highlight w:val="none"/>
          <w:lang w:eastAsia="zh-CN"/>
        </w:rPr>
      </w:pPr>
    </w:p>
    <w:p w14:paraId="6AB527E8">
      <w:pPr>
        <w:jc w:val="center"/>
        <w:rPr>
          <w:rFonts w:hint="eastAsia" w:ascii="宋体" w:hAnsi="宋体" w:eastAsia="宋体" w:cs="宋体"/>
          <w:b/>
          <w:color w:val="auto"/>
          <w:sz w:val="32"/>
          <w:szCs w:val="32"/>
          <w:highlight w:val="none"/>
          <w:lang w:eastAsia="zh-CN"/>
        </w:rPr>
      </w:pPr>
    </w:p>
    <w:p w14:paraId="1ABB90B2">
      <w:pPr>
        <w:jc w:val="center"/>
        <w:rPr>
          <w:rFonts w:hint="eastAsia" w:ascii="宋体" w:hAnsi="宋体" w:eastAsia="宋体" w:cs="宋体"/>
          <w:b/>
          <w:color w:val="auto"/>
          <w:sz w:val="32"/>
          <w:szCs w:val="32"/>
          <w:highlight w:val="none"/>
          <w:lang w:eastAsia="zh-CN"/>
        </w:rPr>
      </w:pPr>
    </w:p>
    <w:p w14:paraId="0B2C27F9">
      <w:pPr>
        <w:jc w:val="center"/>
        <w:rPr>
          <w:rFonts w:hint="eastAsia" w:ascii="宋体" w:hAnsi="宋体" w:eastAsia="宋体" w:cs="宋体"/>
          <w:b/>
          <w:color w:val="auto"/>
          <w:sz w:val="32"/>
          <w:szCs w:val="32"/>
          <w:highlight w:val="none"/>
          <w:lang w:eastAsia="zh-CN"/>
        </w:rPr>
      </w:pPr>
    </w:p>
    <w:p w14:paraId="3EF2619A">
      <w:pPr>
        <w:jc w:val="center"/>
        <w:rPr>
          <w:rFonts w:hint="eastAsia" w:ascii="宋体" w:hAnsi="宋体" w:eastAsia="宋体" w:cs="宋体"/>
          <w:b/>
          <w:color w:val="auto"/>
          <w:sz w:val="32"/>
          <w:szCs w:val="32"/>
          <w:highlight w:val="none"/>
          <w:lang w:eastAsia="zh-CN"/>
        </w:rPr>
      </w:pPr>
    </w:p>
    <w:p w14:paraId="6473BEC1">
      <w:pPr>
        <w:jc w:val="center"/>
        <w:rPr>
          <w:rFonts w:hint="eastAsia" w:ascii="宋体" w:hAnsi="宋体" w:eastAsia="宋体" w:cs="宋体"/>
          <w:b/>
          <w:color w:val="auto"/>
          <w:sz w:val="32"/>
          <w:szCs w:val="32"/>
          <w:highlight w:val="none"/>
          <w:lang w:eastAsia="zh-CN"/>
        </w:rPr>
      </w:pPr>
    </w:p>
    <w:p w14:paraId="2CCBF739">
      <w:pPr>
        <w:jc w:val="center"/>
        <w:rPr>
          <w:rFonts w:hint="eastAsia" w:ascii="宋体" w:hAnsi="宋体" w:eastAsia="宋体" w:cs="宋体"/>
          <w:b/>
          <w:color w:val="auto"/>
          <w:sz w:val="32"/>
          <w:szCs w:val="32"/>
          <w:highlight w:val="none"/>
          <w:lang w:eastAsia="zh-CN"/>
        </w:rPr>
      </w:pPr>
    </w:p>
    <w:p w14:paraId="7E4B5FBD">
      <w:pPr>
        <w:jc w:val="center"/>
        <w:rPr>
          <w:rFonts w:hint="eastAsia" w:ascii="宋体" w:hAnsi="宋体" w:eastAsia="宋体" w:cs="宋体"/>
          <w:b/>
          <w:color w:val="auto"/>
          <w:sz w:val="32"/>
          <w:szCs w:val="32"/>
          <w:highlight w:val="none"/>
          <w:lang w:eastAsia="zh-CN"/>
        </w:rPr>
      </w:pPr>
    </w:p>
    <w:p w14:paraId="0839CB30">
      <w:pPr>
        <w:jc w:val="center"/>
        <w:rPr>
          <w:rFonts w:hint="eastAsia" w:ascii="宋体" w:hAnsi="宋体" w:eastAsia="宋体" w:cs="宋体"/>
          <w:b/>
          <w:color w:val="auto"/>
          <w:sz w:val="32"/>
          <w:szCs w:val="32"/>
          <w:highlight w:val="none"/>
          <w:lang w:eastAsia="zh-CN"/>
        </w:rPr>
      </w:pPr>
    </w:p>
    <w:p w14:paraId="1D43680F">
      <w:pPr>
        <w:jc w:val="center"/>
        <w:rPr>
          <w:rFonts w:hint="eastAsia" w:ascii="宋体" w:hAnsi="宋体" w:eastAsia="宋体" w:cs="宋体"/>
          <w:b/>
          <w:color w:val="auto"/>
          <w:sz w:val="32"/>
          <w:szCs w:val="32"/>
          <w:highlight w:val="none"/>
          <w:lang w:eastAsia="zh-CN"/>
        </w:rPr>
      </w:pPr>
    </w:p>
    <w:p w14:paraId="593F1FE4">
      <w:pPr>
        <w:jc w:val="center"/>
        <w:rPr>
          <w:rFonts w:hint="eastAsia" w:ascii="宋体" w:hAnsi="宋体" w:eastAsia="宋体" w:cs="宋体"/>
          <w:b/>
          <w:color w:val="auto"/>
          <w:sz w:val="32"/>
          <w:szCs w:val="32"/>
          <w:highlight w:val="none"/>
          <w:lang w:eastAsia="zh-CN"/>
        </w:rPr>
      </w:pPr>
    </w:p>
    <w:p w14:paraId="5ACFF161">
      <w:pPr>
        <w:jc w:val="center"/>
        <w:rPr>
          <w:rFonts w:hint="eastAsia" w:ascii="宋体" w:hAnsi="宋体" w:eastAsia="宋体" w:cs="宋体"/>
          <w:b/>
          <w:color w:val="auto"/>
          <w:sz w:val="32"/>
          <w:szCs w:val="32"/>
          <w:highlight w:val="none"/>
          <w:lang w:eastAsia="zh-CN"/>
        </w:rPr>
      </w:pPr>
    </w:p>
    <w:p w14:paraId="2FA25F2B">
      <w:pPr>
        <w:jc w:val="center"/>
        <w:rPr>
          <w:rFonts w:hint="eastAsia" w:ascii="宋体" w:hAnsi="宋体" w:eastAsia="宋体" w:cs="宋体"/>
          <w:b/>
          <w:color w:val="auto"/>
          <w:sz w:val="32"/>
          <w:szCs w:val="32"/>
          <w:highlight w:val="none"/>
          <w:lang w:eastAsia="zh-CN"/>
        </w:rPr>
      </w:pPr>
    </w:p>
    <w:p w14:paraId="2629EBF0">
      <w:pPr>
        <w:jc w:val="center"/>
        <w:rPr>
          <w:rFonts w:hint="eastAsia" w:ascii="宋体" w:hAnsi="宋体" w:eastAsia="宋体" w:cs="宋体"/>
          <w:b/>
          <w:color w:val="auto"/>
          <w:sz w:val="32"/>
          <w:szCs w:val="32"/>
          <w:highlight w:val="none"/>
          <w:lang w:eastAsia="zh-CN"/>
        </w:rPr>
      </w:pPr>
    </w:p>
    <w:p w14:paraId="126D44A5">
      <w:pPr>
        <w:jc w:val="center"/>
        <w:rPr>
          <w:rFonts w:hint="eastAsia" w:ascii="宋体" w:hAnsi="宋体" w:eastAsia="宋体" w:cs="宋体"/>
          <w:b/>
          <w:color w:val="auto"/>
          <w:sz w:val="32"/>
          <w:szCs w:val="32"/>
          <w:highlight w:val="none"/>
          <w:lang w:eastAsia="zh-CN"/>
        </w:rPr>
      </w:pPr>
    </w:p>
    <w:p w14:paraId="50C27DF1">
      <w:pPr>
        <w:jc w:val="center"/>
        <w:rPr>
          <w:rFonts w:hint="eastAsia" w:ascii="宋体" w:hAnsi="宋体" w:eastAsia="宋体" w:cs="宋体"/>
          <w:b/>
          <w:color w:val="auto"/>
          <w:sz w:val="32"/>
          <w:szCs w:val="32"/>
          <w:highlight w:val="none"/>
          <w:lang w:eastAsia="zh-CN"/>
        </w:rPr>
      </w:pPr>
    </w:p>
    <w:p w14:paraId="79021083">
      <w:pPr>
        <w:jc w:val="center"/>
        <w:rPr>
          <w:rFonts w:hint="eastAsia" w:ascii="宋体" w:hAnsi="宋体" w:eastAsia="宋体" w:cs="宋体"/>
          <w:b/>
          <w:color w:val="auto"/>
          <w:sz w:val="32"/>
          <w:szCs w:val="32"/>
          <w:highlight w:val="none"/>
          <w:lang w:eastAsia="zh-CN"/>
        </w:rPr>
      </w:pPr>
    </w:p>
    <w:p w14:paraId="1F4A6F4C">
      <w:pPr>
        <w:jc w:val="center"/>
        <w:rPr>
          <w:rFonts w:hint="eastAsia" w:ascii="宋体" w:hAnsi="宋体" w:eastAsia="宋体" w:cs="宋体"/>
          <w:b/>
          <w:color w:val="auto"/>
          <w:sz w:val="32"/>
          <w:szCs w:val="32"/>
          <w:highlight w:val="none"/>
          <w:lang w:eastAsia="zh-CN"/>
        </w:rPr>
      </w:pPr>
    </w:p>
    <w:p w14:paraId="1C67E2D0">
      <w:pPr>
        <w:jc w:val="center"/>
        <w:rPr>
          <w:rFonts w:hint="eastAsia" w:ascii="宋体" w:hAnsi="宋体" w:eastAsia="宋体" w:cs="宋体"/>
          <w:b/>
          <w:color w:val="auto"/>
          <w:sz w:val="32"/>
          <w:szCs w:val="32"/>
          <w:highlight w:val="none"/>
          <w:lang w:eastAsia="zh-CN"/>
        </w:rPr>
      </w:pPr>
    </w:p>
    <w:p w14:paraId="7FD54446">
      <w:pPr>
        <w:jc w:val="center"/>
        <w:rPr>
          <w:rFonts w:hint="eastAsia" w:ascii="宋体" w:hAnsi="宋体" w:eastAsia="宋体" w:cs="宋体"/>
          <w:b/>
          <w:color w:val="auto"/>
          <w:sz w:val="32"/>
          <w:szCs w:val="32"/>
          <w:highlight w:val="none"/>
          <w:lang w:eastAsia="zh-CN"/>
        </w:rPr>
      </w:pPr>
    </w:p>
    <w:p w14:paraId="286ABC42">
      <w:pPr>
        <w:jc w:val="center"/>
        <w:rPr>
          <w:rFonts w:hint="eastAsia" w:ascii="宋体" w:hAnsi="宋体" w:eastAsia="宋体" w:cs="宋体"/>
          <w:b/>
          <w:color w:val="auto"/>
          <w:sz w:val="32"/>
          <w:szCs w:val="32"/>
          <w:highlight w:val="none"/>
          <w:lang w:eastAsia="zh-CN"/>
        </w:rPr>
      </w:pPr>
    </w:p>
    <w:p w14:paraId="013822EF">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九、</w:t>
      </w:r>
      <w:r>
        <w:rPr>
          <w:rFonts w:hint="eastAsia" w:ascii="宋体" w:hAnsi="宋体" w:eastAsia="宋体" w:cs="宋体"/>
          <w:b/>
          <w:color w:val="auto"/>
          <w:sz w:val="32"/>
          <w:szCs w:val="32"/>
          <w:highlight w:val="none"/>
        </w:rPr>
        <w:t>其他资格审查资料</w:t>
      </w:r>
    </w:p>
    <w:p w14:paraId="30B621FC">
      <w:pPr>
        <w:ind w:firstLine="480" w:firstLineChars="200"/>
        <w:jc w:val="left"/>
        <w:rPr>
          <w:rFonts w:hint="eastAsia" w:ascii="宋体" w:hAnsi="宋体" w:eastAsia="宋体" w:cs="宋体"/>
          <w:color w:val="auto"/>
          <w:sz w:val="24"/>
          <w:highlight w:val="none"/>
        </w:rPr>
      </w:pPr>
    </w:p>
    <w:p w14:paraId="24D313F9">
      <w:pPr>
        <w:jc w:val="left"/>
        <w:rPr>
          <w:rFonts w:hint="eastAsia" w:ascii="宋体" w:hAnsi="宋体" w:eastAsia="宋体" w:cs="宋体"/>
          <w:b/>
          <w:color w:val="auto"/>
          <w:sz w:val="24"/>
          <w:szCs w:val="24"/>
          <w:highlight w:val="none"/>
        </w:rPr>
      </w:pPr>
    </w:p>
    <w:p w14:paraId="53F5AC6F">
      <w:pPr>
        <w:jc w:val="left"/>
        <w:rPr>
          <w:rFonts w:hint="eastAsia" w:ascii="宋体" w:hAnsi="宋体" w:eastAsia="宋体" w:cs="宋体"/>
          <w:b/>
          <w:color w:val="auto"/>
          <w:sz w:val="24"/>
          <w:szCs w:val="24"/>
          <w:highlight w:val="none"/>
        </w:rPr>
      </w:pPr>
    </w:p>
    <w:p w14:paraId="702882E5">
      <w:pPr>
        <w:jc w:val="left"/>
        <w:rPr>
          <w:rFonts w:hint="eastAsia" w:ascii="宋体" w:hAnsi="宋体" w:eastAsia="宋体" w:cs="宋体"/>
          <w:b/>
          <w:color w:val="auto"/>
          <w:sz w:val="24"/>
          <w:szCs w:val="24"/>
          <w:highlight w:val="none"/>
        </w:rPr>
      </w:pPr>
    </w:p>
    <w:p w14:paraId="7E69F575">
      <w:pPr>
        <w:jc w:val="left"/>
        <w:rPr>
          <w:rFonts w:hint="eastAsia" w:ascii="宋体" w:hAnsi="宋体" w:eastAsia="宋体" w:cs="宋体"/>
          <w:b/>
          <w:color w:val="auto"/>
          <w:sz w:val="24"/>
          <w:szCs w:val="24"/>
          <w:highlight w:val="none"/>
        </w:rPr>
      </w:pPr>
    </w:p>
    <w:p w14:paraId="01D39EF9">
      <w:pPr>
        <w:jc w:val="left"/>
        <w:rPr>
          <w:rFonts w:hint="eastAsia" w:ascii="宋体" w:hAnsi="宋体" w:eastAsia="宋体" w:cs="宋体"/>
          <w:b/>
          <w:color w:val="auto"/>
          <w:sz w:val="24"/>
          <w:szCs w:val="24"/>
          <w:highlight w:val="none"/>
        </w:rPr>
      </w:pPr>
    </w:p>
    <w:p w14:paraId="61E867DA">
      <w:pPr>
        <w:jc w:val="left"/>
        <w:rPr>
          <w:rFonts w:hint="eastAsia" w:ascii="宋体" w:hAnsi="宋体" w:eastAsia="宋体" w:cs="宋体"/>
          <w:b/>
          <w:color w:val="auto"/>
          <w:sz w:val="24"/>
          <w:szCs w:val="24"/>
          <w:highlight w:val="none"/>
        </w:rPr>
      </w:pPr>
    </w:p>
    <w:p w14:paraId="5CF6225B">
      <w:pPr>
        <w:jc w:val="left"/>
        <w:rPr>
          <w:rFonts w:hint="eastAsia" w:ascii="宋体" w:hAnsi="宋体" w:eastAsia="宋体" w:cs="宋体"/>
          <w:b/>
          <w:color w:val="auto"/>
          <w:sz w:val="24"/>
          <w:szCs w:val="24"/>
          <w:highlight w:val="none"/>
        </w:rPr>
      </w:pPr>
    </w:p>
    <w:p w14:paraId="48FACEEE">
      <w:pPr>
        <w:jc w:val="left"/>
        <w:rPr>
          <w:rFonts w:hint="eastAsia" w:ascii="宋体" w:hAnsi="宋体" w:eastAsia="宋体" w:cs="宋体"/>
          <w:b/>
          <w:color w:val="auto"/>
          <w:sz w:val="24"/>
          <w:szCs w:val="24"/>
          <w:highlight w:val="none"/>
        </w:rPr>
      </w:pPr>
    </w:p>
    <w:p w14:paraId="0996FAE2">
      <w:pPr>
        <w:jc w:val="left"/>
        <w:rPr>
          <w:rFonts w:hint="eastAsia" w:ascii="宋体" w:hAnsi="宋体" w:eastAsia="宋体" w:cs="宋体"/>
          <w:b/>
          <w:color w:val="auto"/>
          <w:sz w:val="24"/>
          <w:szCs w:val="24"/>
          <w:highlight w:val="none"/>
        </w:rPr>
      </w:pPr>
    </w:p>
    <w:p w14:paraId="0AC69428">
      <w:pPr>
        <w:jc w:val="left"/>
        <w:rPr>
          <w:rFonts w:hint="eastAsia" w:ascii="宋体" w:hAnsi="宋体" w:eastAsia="宋体" w:cs="宋体"/>
          <w:b/>
          <w:color w:val="auto"/>
          <w:sz w:val="24"/>
          <w:szCs w:val="24"/>
          <w:highlight w:val="none"/>
        </w:rPr>
      </w:pPr>
    </w:p>
    <w:p w14:paraId="04EF018D">
      <w:pPr>
        <w:jc w:val="left"/>
        <w:rPr>
          <w:rFonts w:hint="eastAsia" w:ascii="宋体" w:hAnsi="宋体" w:eastAsia="宋体" w:cs="宋体"/>
          <w:b/>
          <w:color w:val="auto"/>
          <w:sz w:val="24"/>
          <w:szCs w:val="24"/>
          <w:highlight w:val="none"/>
        </w:rPr>
      </w:pPr>
    </w:p>
    <w:p w14:paraId="4B3003BC">
      <w:pPr>
        <w:jc w:val="left"/>
        <w:rPr>
          <w:rFonts w:hint="eastAsia" w:ascii="宋体" w:hAnsi="宋体" w:eastAsia="宋体" w:cs="宋体"/>
          <w:b/>
          <w:color w:val="auto"/>
          <w:sz w:val="24"/>
          <w:szCs w:val="24"/>
          <w:highlight w:val="none"/>
        </w:rPr>
      </w:pPr>
    </w:p>
    <w:p w14:paraId="73CE2FC7">
      <w:pPr>
        <w:jc w:val="left"/>
        <w:rPr>
          <w:rFonts w:hint="eastAsia" w:ascii="宋体" w:hAnsi="宋体" w:eastAsia="宋体" w:cs="宋体"/>
          <w:b/>
          <w:color w:val="auto"/>
          <w:sz w:val="24"/>
          <w:szCs w:val="24"/>
          <w:highlight w:val="none"/>
        </w:rPr>
      </w:pPr>
    </w:p>
    <w:p w14:paraId="01037281">
      <w:pPr>
        <w:jc w:val="left"/>
        <w:rPr>
          <w:rFonts w:hint="eastAsia" w:ascii="宋体" w:hAnsi="宋体" w:eastAsia="宋体" w:cs="宋体"/>
          <w:b/>
          <w:color w:val="auto"/>
          <w:sz w:val="24"/>
          <w:szCs w:val="24"/>
          <w:highlight w:val="none"/>
        </w:rPr>
      </w:pPr>
    </w:p>
    <w:p w14:paraId="56C41F8D">
      <w:pPr>
        <w:jc w:val="left"/>
        <w:rPr>
          <w:rFonts w:hint="eastAsia" w:ascii="宋体" w:hAnsi="宋体" w:eastAsia="宋体" w:cs="宋体"/>
          <w:b/>
          <w:color w:val="auto"/>
          <w:sz w:val="24"/>
          <w:szCs w:val="24"/>
          <w:highlight w:val="none"/>
        </w:rPr>
      </w:pPr>
    </w:p>
    <w:p w14:paraId="20AB0AFF">
      <w:pPr>
        <w:jc w:val="left"/>
        <w:rPr>
          <w:rFonts w:hint="eastAsia" w:ascii="宋体" w:hAnsi="宋体" w:eastAsia="宋体" w:cs="宋体"/>
          <w:b/>
          <w:color w:val="auto"/>
          <w:sz w:val="24"/>
          <w:szCs w:val="24"/>
          <w:highlight w:val="none"/>
        </w:rPr>
      </w:pPr>
    </w:p>
    <w:p w14:paraId="77E381FC">
      <w:pPr>
        <w:jc w:val="left"/>
        <w:rPr>
          <w:rFonts w:hint="eastAsia" w:ascii="宋体" w:hAnsi="宋体" w:eastAsia="宋体" w:cs="宋体"/>
          <w:b/>
          <w:color w:val="auto"/>
          <w:sz w:val="24"/>
          <w:szCs w:val="24"/>
          <w:highlight w:val="none"/>
        </w:rPr>
      </w:pPr>
    </w:p>
    <w:p w14:paraId="717D0256">
      <w:pPr>
        <w:jc w:val="left"/>
        <w:rPr>
          <w:rFonts w:hint="eastAsia" w:ascii="宋体" w:hAnsi="宋体" w:eastAsia="宋体" w:cs="宋体"/>
          <w:b/>
          <w:color w:val="auto"/>
          <w:sz w:val="24"/>
          <w:szCs w:val="24"/>
          <w:highlight w:val="none"/>
        </w:rPr>
      </w:pPr>
    </w:p>
    <w:p w14:paraId="41769176">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color w:val="auto"/>
          <w:sz w:val="24"/>
          <w:szCs w:val="24"/>
          <w:highlight w:val="none"/>
        </w:rPr>
      </w:pPr>
    </w:p>
    <w:p w14:paraId="274246D6">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2097683A">
      <w:pPr>
        <w:keepNext w:val="0"/>
        <w:keepLines w:val="0"/>
        <w:pageBreakBefore w:val="0"/>
        <w:widowControl w:val="0"/>
        <w:kinsoku/>
        <w:wordWrap/>
        <w:overflowPunct/>
        <w:topLinePunct w:val="0"/>
        <w:autoSpaceDE/>
        <w:autoSpaceDN/>
        <w:bidi w:val="0"/>
        <w:adjustRightInd w:val="0"/>
        <w:snapToGrid w:val="0"/>
        <w:spacing w:line="360" w:lineRule="auto"/>
        <w:ind w:right="960"/>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12FA6ACC">
      <w:pPr>
        <w:jc w:val="left"/>
        <w:rPr>
          <w:rFonts w:hint="eastAsia" w:ascii="宋体" w:hAnsi="宋体" w:eastAsia="宋体" w:cs="宋体"/>
          <w:b/>
          <w:color w:val="auto"/>
          <w:highlight w:val="none"/>
        </w:rPr>
      </w:pPr>
    </w:p>
    <w:p w14:paraId="64EDFD75">
      <w:pPr>
        <w:jc w:val="left"/>
        <w:rPr>
          <w:rFonts w:hint="eastAsia" w:ascii="宋体" w:hAnsi="宋体" w:eastAsia="宋体" w:cs="宋体"/>
          <w:b/>
          <w:color w:val="auto"/>
          <w:highlight w:val="none"/>
        </w:rPr>
      </w:pPr>
    </w:p>
    <w:p w14:paraId="01FD0D06">
      <w:pPr>
        <w:jc w:val="left"/>
        <w:rPr>
          <w:rFonts w:hint="eastAsia" w:ascii="宋体" w:hAnsi="宋体" w:eastAsia="宋体" w:cs="宋体"/>
          <w:b/>
          <w:color w:val="auto"/>
          <w:highlight w:val="none"/>
        </w:rPr>
      </w:pPr>
    </w:p>
    <w:p w14:paraId="4FF830B9">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p>
    <w:p w14:paraId="11B8DE0F">
      <w:pPr>
        <w:widowControl/>
        <w:spacing w:line="440" w:lineRule="exact"/>
        <w:jc w:val="left"/>
        <w:rPr>
          <w:rFonts w:hint="eastAsia" w:ascii="宋体" w:hAnsi="宋体" w:eastAsia="宋体" w:cs="宋体"/>
          <w:color w:val="auto"/>
          <w:kern w:val="0"/>
          <w:sz w:val="24"/>
          <w:szCs w:val="24"/>
          <w:highlight w:val="none"/>
        </w:rPr>
      </w:pPr>
    </w:p>
    <w:p w14:paraId="73D417C4">
      <w:pPr>
        <w:spacing w:before="240" w:after="240"/>
        <w:rPr>
          <w:rFonts w:hint="eastAsia" w:ascii="宋体" w:hAnsi="宋体" w:eastAsia="宋体" w:cs="宋体"/>
          <w:color w:val="auto"/>
          <w:sz w:val="84"/>
          <w:szCs w:val="84"/>
          <w:highlight w:val="none"/>
        </w:rPr>
      </w:pPr>
    </w:p>
    <w:p w14:paraId="26BE4838">
      <w:pPr>
        <w:jc w:val="center"/>
        <w:rPr>
          <w:rFonts w:hint="eastAsia" w:ascii="宋体" w:hAnsi="宋体" w:eastAsia="宋体" w:cs="宋体"/>
          <w:b/>
          <w:bCs/>
          <w:color w:val="auto"/>
          <w:highlight w:val="none"/>
        </w:rPr>
      </w:pPr>
      <w:r>
        <w:rPr>
          <w:rFonts w:hint="eastAsia" w:ascii="方正小标宋_GBK" w:hAnsi="方正小标宋_GBK" w:eastAsia="方正小标宋_GBK" w:cs="方正小标宋_GBK"/>
          <w:b w:val="0"/>
          <w:bCs w:val="0"/>
          <w:color w:val="auto"/>
          <w:sz w:val="44"/>
          <w:szCs w:val="44"/>
          <w:highlight w:val="none"/>
        </w:rPr>
        <w:t>投 标 文 件</w:t>
      </w:r>
      <w:r>
        <w:rPr>
          <w:rFonts w:hint="eastAsia" w:ascii="宋体" w:hAnsi="宋体" w:eastAsia="宋体" w:cs="宋体"/>
          <w:b/>
          <w:bCs/>
          <w:color w:val="auto"/>
          <w:szCs w:val="21"/>
          <w:highlight w:val="none"/>
        </w:rPr>
        <w:t xml:space="preserve"> </w:t>
      </w:r>
    </w:p>
    <w:p w14:paraId="718E937D">
      <w:pPr>
        <w:spacing w:before="312"/>
        <w:jc w:val="center"/>
        <w:rPr>
          <w:rFonts w:hint="eastAsia" w:ascii="宋体" w:hAnsi="宋体" w:eastAsia="宋体" w:cs="宋体"/>
          <w:b/>
          <w:bCs/>
          <w:color w:val="auto"/>
          <w:sz w:val="36"/>
          <w:szCs w:val="36"/>
          <w:highlight w:val="none"/>
        </w:rPr>
      </w:pPr>
      <w:r>
        <w:rPr>
          <w:rFonts w:hint="eastAsia" w:ascii="宋体" w:hAnsi="宋体" w:eastAsia="宋体" w:cs="宋体"/>
          <w:b w:val="0"/>
          <w:bCs w:val="0"/>
          <w:color w:val="auto"/>
          <w:sz w:val="36"/>
          <w:szCs w:val="36"/>
          <w:highlight w:val="none"/>
          <w:lang w:eastAsia="zh-CN"/>
        </w:rPr>
        <w:t>（</w:t>
      </w:r>
      <w:r>
        <w:rPr>
          <w:rFonts w:hint="eastAsia" w:ascii="宋体" w:hAnsi="宋体" w:eastAsia="宋体" w:cs="宋体"/>
          <w:b w:val="0"/>
          <w:bCs w:val="0"/>
          <w:color w:val="auto"/>
          <w:sz w:val="36"/>
          <w:szCs w:val="36"/>
          <w:highlight w:val="none"/>
        </w:rPr>
        <w:t>报价响应文件</w:t>
      </w:r>
      <w:r>
        <w:rPr>
          <w:rFonts w:hint="eastAsia" w:ascii="宋体" w:hAnsi="宋体" w:eastAsia="宋体" w:cs="宋体"/>
          <w:b w:val="0"/>
          <w:bCs w:val="0"/>
          <w:color w:val="auto"/>
          <w:sz w:val="36"/>
          <w:szCs w:val="36"/>
          <w:highlight w:val="none"/>
          <w:lang w:eastAsia="zh-CN"/>
        </w:rPr>
        <w:t>）</w:t>
      </w:r>
      <w:r>
        <w:rPr>
          <w:rFonts w:hint="eastAsia" w:ascii="宋体" w:hAnsi="宋体" w:eastAsia="宋体" w:cs="宋体"/>
          <w:b/>
          <w:bCs/>
          <w:color w:val="auto"/>
          <w:sz w:val="36"/>
          <w:szCs w:val="36"/>
          <w:highlight w:val="none"/>
        </w:rPr>
        <w:t xml:space="preserve"> </w:t>
      </w:r>
    </w:p>
    <w:p w14:paraId="339237CF">
      <w:pP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p w14:paraId="354203B0">
      <w:pPr>
        <w:rPr>
          <w:rFonts w:hint="eastAsia" w:ascii="宋体" w:hAnsi="宋体" w:eastAsia="宋体" w:cs="宋体"/>
          <w:color w:val="auto"/>
          <w:sz w:val="32"/>
          <w:szCs w:val="32"/>
          <w:highlight w:val="none"/>
        </w:rPr>
      </w:pPr>
    </w:p>
    <w:p w14:paraId="6ACF1EF9">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w:t>
      </w:r>
    </w:p>
    <w:p w14:paraId="378C16AC">
      <w:pPr>
        <w:rPr>
          <w:rFonts w:hint="eastAsia" w:ascii="宋体" w:hAnsi="宋体" w:eastAsia="宋体" w:cs="宋体"/>
          <w:color w:val="auto"/>
          <w:highlight w:val="none"/>
        </w:rPr>
      </w:pPr>
      <w:r>
        <w:rPr>
          <w:rFonts w:hint="eastAsia" w:ascii="宋体" w:hAnsi="宋体" w:eastAsia="宋体" w:cs="宋体"/>
          <w:color w:val="auto"/>
          <w:sz w:val="32"/>
          <w:szCs w:val="32"/>
          <w:highlight w:val="none"/>
        </w:rPr>
        <w:t>                   </w:t>
      </w:r>
      <w:r>
        <w:rPr>
          <w:rFonts w:hint="eastAsia" w:ascii="宋体" w:hAnsi="宋体" w:eastAsia="宋体" w:cs="宋体"/>
          <w:color w:val="auto"/>
          <w:szCs w:val="21"/>
          <w:highlight w:val="none"/>
        </w:rPr>
        <w:t xml:space="preserve"> </w:t>
      </w:r>
    </w:p>
    <w:p w14:paraId="51346C27">
      <w:pPr>
        <w:spacing w:line="360" w:lineRule="auto"/>
        <w:ind w:firstLine="361" w:firstLineChars="100"/>
        <w:rPr>
          <w:rFonts w:hint="eastAsia" w:ascii="宋体" w:hAnsi="宋体" w:eastAsia="宋体" w:cs="宋体"/>
          <w:color w:val="auto"/>
          <w:sz w:val="36"/>
          <w:szCs w:val="36"/>
          <w:highlight w:val="none"/>
        </w:rPr>
      </w:pPr>
      <w:r>
        <w:rPr>
          <w:rFonts w:hint="eastAsia" w:ascii="宋体" w:hAnsi="宋体" w:eastAsia="宋体" w:cs="宋体"/>
          <w:b/>
          <w:bCs/>
          <w:color w:val="auto"/>
          <w:sz w:val="36"/>
          <w:szCs w:val="36"/>
          <w:highlight w:val="none"/>
        </w:rPr>
        <w:t>项目名称：  </w:t>
      </w:r>
      <w:r>
        <w:rPr>
          <w:rFonts w:hint="eastAsia" w:ascii="宋体" w:hAnsi="宋体" w:eastAsia="宋体" w:cs="宋体"/>
          <w:color w:val="auto"/>
          <w:sz w:val="36"/>
          <w:szCs w:val="36"/>
          <w:highlight w:val="none"/>
        </w:rPr>
        <w:t xml:space="preserve"> </w:t>
      </w:r>
    </w:p>
    <w:p w14:paraId="51C1FFD2">
      <w:pPr>
        <w:spacing w:line="360" w:lineRule="auto"/>
        <w:ind w:firstLine="361" w:firstLineChars="100"/>
        <w:rPr>
          <w:rFonts w:hint="eastAsia" w:ascii="宋体" w:hAnsi="宋体" w:eastAsia="宋体" w:cs="宋体"/>
          <w:color w:val="auto"/>
          <w:sz w:val="36"/>
          <w:szCs w:val="36"/>
          <w:highlight w:val="none"/>
        </w:rPr>
      </w:pPr>
      <w:r>
        <w:rPr>
          <w:rFonts w:hint="eastAsia" w:ascii="宋体" w:hAnsi="宋体" w:eastAsia="宋体" w:cs="宋体"/>
          <w:b/>
          <w:bCs/>
          <w:color w:val="auto"/>
          <w:sz w:val="36"/>
          <w:szCs w:val="36"/>
          <w:highlight w:val="none"/>
        </w:rPr>
        <w:t>项目编号：</w:t>
      </w:r>
      <w:r>
        <w:rPr>
          <w:rFonts w:hint="eastAsia" w:ascii="宋体" w:hAnsi="宋体" w:eastAsia="宋体" w:cs="宋体"/>
          <w:color w:val="auto"/>
          <w:sz w:val="36"/>
          <w:szCs w:val="36"/>
          <w:highlight w:val="none"/>
        </w:rPr>
        <w:t xml:space="preserve"> </w:t>
      </w:r>
    </w:p>
    <w:p w14:paraId="1D391EC9">
      <w:pPr>
        <w:ind w:firstLine="1500"/>
        <w:rPr>
          <w:rFonts w:hint="eastAsia" w:ascii="宋体" w:hAnsi="宋体" w:eastAsia="宋体" w:cs="宋体"/>
          <w:color w:val="auto"/>
          <w:sz w:val="36"/>
          <w:szCs w:val="36"/>
          <w:highlight w:val="none"/>
        </w:rPr>
      </w:pPr>
    </w:p>
    <w:p w14:paraId="03559565">
      <w:pPr>
        <w:ind w:firstLine="1500"/>
        <w:rPr>
          <w:rFonts w:hint="eastAsia" w:ascii="宋体" w:hAnsi="宋体" w:eastAsia="宋体" w:cs="宋体"/>
          <w:color w:val="auto"/>
          <w:sz w:val="36"/>
          <w:szCs w:val="36"/>
          <w:highlight w:val="none"/>
        </w:rPr>
      </w:pPr>
    </w:p>
    <w:p w14:paraId="799B4071">
      <w:pPr>
        <w:ind w:firstLine="1500"/>
        <w:rPr>
          <w:rFonts w:hint="eastAsia" w:ascii="宋体" w:hAnsi="宋体" w:eastAsia="宋体" w:cs="宋体"/>
          <w:color w:val="auto"/>
          <w:sz w:val="36"/>
          <w:szCs w:val="36"/>
          <w:highlight w:val="none"/>
        </w:rPr>
      </w:pPr>
    </w:p>
    <w:p w14:paraId="2CC29582">
      <w:pPr>
        <w:rPr>
          <w:rFonts w:hint="eastAsia" w:ascii="宋体" w:hAnsi="宋体" w:eastAsia="宋体" w:cs="宋体"/>
          <w:color w:val="auto"/>
          <w:sz w:val="36"/>
          <w:szCs w:val="36"/>
          <w:highlight w:val="none"/>
        </w:rPr>
      </w:pPr>
    </w:p>
    <w:p w14:paraId="40DD0647">
      <w:pPr>
        <w:ind w:firstLine="1500"/>
        <w:rPr>
          <w:rFonts w:hint="eastAsia" w:ascii="宋体" w:hAnsi="宋体" w:eastAsia="宋体" w:cs="宋体"/>
          <w:color w:val="auto"/>
          <w:sz w:val="36"/>
          <w:szCs w:val="36"/>
          <w:highlight w:val="none"/>
        </w:rPr>
      </w:pPr>
    </w:p>
    <w:p w14:paraId="65CE4FC9">
      <w:pP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 xml:space="preserve">  </w:t>
      </w:r>
    </w:p>
    <w:p w14:paraId="754651EC">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投标人：__________________________</w:t>
      </w:r>
    </w:p>
    <w:p w14:paraId="5864082C">
      <w:pPr>
        <w:ind w:firstLine="4800"/>
        <w:jc w:val="center"/>
        <w:rPr>
          <w:rFonts w:hint="eastAsia" w:ascii="宋体" w:hAnsi="宋体" w:eastAsia="宋体" w:cs="宋体"/>
          <w:b/>
          <w:color w:val="auto"/>
          <w:sz w:val="36"/>
          <w:szCs w:val="36"/>
          <w:highlight w:val="none"/>
        </w:rPr>
      </w:pPr>
    </w:p>
    <w:p w14:paraId="559144A1">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年   月   日</w:t>
      </w:r>
    </w:p>
    <w:p w14:paraId="1D10EB1A">
      <w:pPr>
        <w:widowControl/>
        <w:jc w:val="center"/>
        <w:rPr>
          <w:rFonts w:hint="eastAsia" w:ascii="宋体" w:hAnsi="宋体" w:eastAsia="宋体" w:cs="宋体"/>
          <w:color w:val="auto"/>
          <w:sz w:val="24"/>
          <w:szCs w:val="24"/>
          <w:highlight w:val="none"/>
        </w:rPr>
      </w:pPr>
    </w:p>
    <w:p w14:paraId="5BD1FBD0">
      <w:pPr>
        <w:widowControl/>
        <w:jc w:val="center"/>
        <w:rPr>
          <w:rFonts w:hint="eastAsia" w:ascii="宋体" w:hAnsi="宋体" w:eastAsia="宋体" w:cs="宋体"/>
          <w:color w:val="auto"/>
          <w:sz w:val="24"/>
          <w:szCs w:val="24"/>
          <w:highlight w:val="none"/>
        </w:rPr>
      </w:pPr>
    </w:p>
    <w:p w14:paraId="67E3ED71">
      <w:pPr>
        <w:widowControl/>
        <w:jc w:val="center"/>
        <w:rPr>
          <w:rFonts w:hint="eastAsia" w:ascii="宋体" w:hAnsi="宋体" w:eastAsia="宋体" w:cs="宋体"/>
          <w:color w:val="auto"/>
          <w:sz w:val="24"/>
          <w:szCs w:val="24"/>
          <w:highlight w:val="none"/>
        </w:rPr>
      </w:pPr>
    </w:p>
    <w:p w14:paraId="2D2D0540">
      <w:pPr>
        <w:widowControl/>
        <w:jc w:val="center"/>
        <w:rPr>
          <w:rFonts w:hint="eastAsia" w:ascii="宋体" w:hAnsi="宋体" w:eastAsia="宋体" w:cs="宋体"/>
          <w:color w:val="auto"/>
          <w:sz w:val="24"/>
          <w:szCs w:val="24"/>
          <w:highlight w:val="none"/>
        </w:rPr>
      </w:pPr>
    </w:p>
    <w:p w14:paraId="0D2DFCFA">
      <w:pPr>
        <w:widowControl/>
        <w:jc w:val="center"/>
        <w:rPr>
          <w:rFonts w:hint="eastAsia" w:ascii="宋体" w:hAnsi="宋体" w:eastAsia="宋体" w:cs="宋体"/>
          <w:b/>
          <w:color w:val="auto"/>
          <w:kern w:val="0"/>
          <w:sz w:val="32"/>
          <w:szCs w:val="32"/>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kern w:val="0"/>
          <w:sz w:val="32"/>
          <w:szCs w:val="32"/>
          <w:highlight w:val="none"/>
        </w:rPr>
        <w:t>一、价格表</w:t>
      </w:r>
    </w:p>
    <w:p w14:paraId="39614E24">
      <w:pPr>
        <w:widowControl/>
        <w:spacing w:line="240" w:lineRule="exact"/>
        <w:jc w:val="center"/>
        <w:rPr>
          <w:rFonts w:hint="eastAsia" w:ascii="宋体" w:hAnsi="宋体" w:eastAsia="宋体" w:cs="宋体"/>
          <w:b/>
          <w:color w:val="auto"/>
          <w:kern w:val="0"/>
          <w:sz w:val="32"/>
          <w:szCs w:val="32"/>
          <w:highlight w:val="none"/>
        </w:rPr>
      </w:pPr>
    </w:p>
    <w:p w14:paraId="3BA14E1B">
      <w:pPr>
        <w:widowControl/>
        <w:spacing w:line="240" w:lineRule="exact"/>
        <w:jc w:val="center"/>
        <w:rPr>
          <w:rFonts w:hint="eastAsia" w:ascii="宋体" w:hAnsi="宋体" w:eastAsia="宋体" w:cs="宋体"/>
          <w:b/>
          <w:color w:val="auto"/>
          <w:kern w:val="0"/>
          <w:sz w:val="32"/>
          <w:szCs w:val="32"/>
          <w:highlight w:val="none"/>
        </w:rPr>
      </w:pPr>
    </w:p>
    <w:p w14:paraId="36750463">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货物类</w:t>
      </w:r>
      <w:r>
        <w:rPr>
          <w:rFonts w:hint="eastAsia" w:ascii="宋体" w:hAnsi="宋体" w:eastAsia="宋体" w:cs="宋体"/>
          <w:b/>
          <w:bCs/>
          <w:sz w:val="24"/>
          <w:szCs w:val="24"/>
          <w:highlight w:val="none"/>
        </w:rPr>
        <w:t>）</w:t>
      </w:r>
    </w:p>
    <w:p w14:paraId="7FD4E06D">
      <w:pPr>
        <w:keepNext w:val="0"/>
        <w:keepLines w:val="0"/>
        <w:pageBreakBefore w:val="0"/>
        <w:kinsoku/>
        <w:overflowPunct/>
        <w:topLinePunct w:val="0"/>
        <w:autoSpaceDE/>
        <w:autoSpaceDN/>
        <w:bidi w:val="0"/>
        <w:adjustRightInd/>
        <w:snapToGrid/>
        <w:spacing w:line="360" w:lineRule="auto"/>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r>
        <w:rPr>
          <w:rFonts w:hint="eastAsia" w:ascii="宋体" w:hAnsi="宋体" w:eastAsia="宋体" w:cs="宋体"/>
          <w:bCs/>
          <w:sz w:val="24"/>
          <w:szCs w:val="24"/>
          <w:highlight w:val="none"/>
        </w:rPr>
        <w:t>人民币/元</w:t>
      </w:r>
      <w:r>
        <w:rPr>
          <w:rFonts w:hint="eastAsia" w:ascii="宋体" w:hAnsi="宋体" w:eastAsia="宋体" w:cs="宋体"/>
          <w:sz w:val="24"/>
          <w:szCs w:val="24"/>
          <w:highlight w:val="none"/>
        </w:rPr>
        <w:t xml:space="preserve"> </w:t>
      </w:r>
    </w:p>
    <w:tbl>
      <w:tblPr>
        <w:tblStyle w:val="31"/>
        <w:tblW w:w="4998"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429"/>
        <w:gridCol w:w="3400"/>
        <w:gridCol w:w="1840"/>
        <w:gridCol w:w="2093"/>
      </w:tblGrid>
      <w:tr w14:paraId="5BCADC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244"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D8AC1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项目名称 </w:t>
            </w:r>
          </w:p>
        </w:tc>
        <w:tc>
          <w:tcPr>
            <w:tcW w:w="1741"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2DA702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94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2E31E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项目编号 </w:t>
            </w:r>
          </w:p>
        </w:tc>
        <w:tc>
          <w:tcPr>
            <w:tcW w:w="1070"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2A4C6B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71931F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244" w:type="pct"/>
            <w:tcBorders>
              <w:top w:val="single" w:color="000000" w:sz="8" w:space="0"/>
              <w:left w:val="single" w:color="000000" w:sz="8" w:space="0"/>
              <w:bottom w:val="single" w:color="000000" w:sz="8" w:space="0"/>
              <w:right w:val="single" w:color="000000" w:sz="8" w:space="0"/>
            </w:tcBorders>
            <w:noWrap w:val="0"/>
            <w:vAlign w:val="top"/>
          </w:tcPr>
          <w:p w14:paraId="652150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标段名称</w:t>
            </w:r>
          </w:p>
        </w:tc>
        <w:tc>
          <w:tcPr>
            <w:tcW w:w="1741" w:type="pct"/>
            <w:tcBorders>
              <w:top w:val="single" w:color="000000" w:sz="8" w:space="0"/>
              <w:left w:val="single" w:color="000000" w:sz="8" w:space="0"/>
              <w:bottom w:val="single" w:color="000000" w:sz="8" w:space="0"/>
              <w:right w:val="single" w:color="000000" w:sz="8" w:space="0"/>
            </w:tcBorders>
            <w:noWrap w:val="0"/>
            <w:vAlign w:val="top"/>
          </w:tcPr>
          <w:p w14:paraId="6C78A7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94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2AF420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标段编号</w:t>
            </w:r>
          </w:p>
        </w:tc>
        <w:tc>
          <w:tcPr>
            <w:tcW w:w="1070"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2CF8F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28A3044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244"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9F73E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总报价</w:t>
            </w:r>
            <w:r>
              <w:rPr>
                <w:rFonts w:hint="eastAsia" w:ascii="宋体" w:hAnsi="宋体" w:eastAsia="宋体" w:cs="宋体"/>
                <w:sz w:val="24"/>
                <w:szCs w:val="24"/>
                <w:highlight w:val="none"/>
              </w:rPr>
              <w:t xml:space="preserve"> </w:t>
            </w:r>
          </w:p>
        </w:tc>
        <w:tc>
          <w:tcPr>
            <w:tcW w:w="3755" w:type="pct"/>
            <w:gridSpan w:val="3"/>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0CF65295">
            <w:pPr>
              <w:keepNext w:val="0"/>
              <w:keepLines w:val="0"/>
              <w:pageBreakBefore w:val="0"/>
              <w:widowControl w:val="0"/>
              <w:kinsoku/>
              <w:wordWrap/>
              <w:overflowPunct/>
              <w:topLinePunct w:val="0"/>
              <w:autoSpaceDE/>
              <w:autoSpaceDN/>
              <w:bidi w:val="0"/>
              <w:adjustRightInd/>
              <w:snapToGrid/>
              <w:spacing w:line="360" w:lineRule="auto"/>
              <w:ind w:firstLine="105"/>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大写：</w:t>
            </w:r>
            <w:r>
              <w:rPr>
                <w:rFonts w:hint="eastAsia" w:ascii="宋体" w:hAnsi="宋体" w:eastAsia="宋体" w:cs="宋体"/>
                <w:b/>
                <w:bCs/>
                <w:sz w:val="24"/>
                <w:szCs w:val="24"/>
                <w:highlight w:val="none"/>
                <w:u w:val="single"/>
              </w:rPr>
              <w:t>          </w:t>
            </w:r>
            <w:r>
              <w:rPr>
                <w:rFonts w:hint="eastAsia" w:ascii="宋体" w:hAnsi="宋体" w:eastAsia="宋体" w:cs="宋体"/>
                <w:b/>
                <w:bCs/>
                <w:sz w:val="24"/>
                <w:szCs w:val="24"/>
                <w:highlight w:val="none"/>
                <w:u w:val="single"/>
                <w:lang w:val="en-US" w:eastAsia="zh-CN"/>
              </w:rPr>
              <w:t xml:space="preserve">              </w:t>
            </w:r>
            <w:r>
              <w:rPr>
                <w:rFonts w:hint="eastAsia" w:ascii="宋体" w:hAnsi="宋体" w:eastAsia="宋体" w:cs="宋体"/>
                <w:b/>
                <w:bCs/>
                <w:sz w:val="24"/>
                <w:szCs w:val="24"/>
                <w:highlight w:val="none"/>
                <w:u w:val="single"/>
              </w:rPr>
              <w:t>      </w:t>
            </w:r>
            <w:r>
              <w:rPr>
                <w:rFonts w:hint="eastAsia" w:ascii="宋体" w:hAnsi="宋体" w:eastAsia="宋体" w:cs="宋体"/>
                <w:b/>
                <w:bCs/>
                <w:sz w:val="24"/>
                <w:szCs w:val="24"/>
                <w:highlight w:val="none"/>
              </w:rPr>
              <w:t xml:space="preserve"> </w:t>
            </w:r>
            <w:r>
              <w:rPr>
                <w:rFonts w:hint="eastAsia" w:ascii="宋体" w:hAnsi="宋体" w:eastAsia="宋体" w:cs="宋体"/>
                <w:sz w:val="24"/>
                <w:szCs w:val="24"/>
                <w:highlight w:val="none"/>
              </w:rPr>
              <w:t xml:space="preserve"> </w:t>
            </w:r>
          </w:p>
          <w:p w14:paraId="655DB02B">
            <w:pPr>
              <w:keepNext w:val="0"/>
              <w:keepLines w:val="0"/>
              <w:pageBreakBefore w:val="0"/>
              <w:widowControl w:val="0"/>
              <w:kinsoku/>
              <w:wordWrap/>
              <w:overflowPunct/>
              <w:topLinePunct w:val="0"/>
              <w:autoSpaceDE/>
              <w:autoSpaceDN/>
              <w:bidi w:val="0"/>
              <w:adjustRightInd/>
              <w:snapToGrid/>
              <w:spacing w:line="360" w:lineRule="auto"/>
              <w:ind w:firstLine="105"/>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小写：</w:t>
            </w:r>
            <w:r>
              <w:rPr>
                <w:rFonts w:hint="eastAsia" w:ascii="宋体" w:hAnsi="宋体" w:eastAsia="宋体" w:cs="宋体"/>
                <w:b/>
                <w:bCs/>
                <w:sz w:val="24"/>
                <w:szCs w:val="24"/>
                <w:highlight w:val="none"/>
                <w:u w:val="single"/>
              </w:rPr>
              <w:t>         </w:t>
            </w:r>
            <w:r>
              <w:rPr>
                <w:rFonts w:hint="eastAsia" w:ascii="宋体" w:hAnsi="宋体" w:eastAsia="宋体" w:cs="宋体"/>
                <w:b/>
                <w:bCs/>
                <w:sz w:val="24"/>
                <w:szCs w:val="24"/>
                <w:highlight w:val="none"/>
                <w:u w:val="single"/>
                <w:lang w:val="en-US" w:eastAsia="zh-CN"/>
              </w:rPr>
              <w:t xml:space="preserve">              </w:t>
            </w:r>
            <w:r>
              <w:rPr>
                <w:rFonts w:hint="eastAsia" w:ascii="宋体" w:hAnsi="宋体" w:eastAsia="宋体" w:cs="宋体"/>
                <w:b/>
                <w:bCs/>
                <w:sz w:val="24"/>
                <w:szCs w:val="24"/>
                <w:highlight w:val="none"/>
                <w:u w:val="single"/>
              </w:rPr>
              <w:t>       </w:t>
            </w:r>
            <w:r>
              <w:rPr>
                <w:rFonts w:hint="eastAsia" w:ascii="宋体" w:hAnsi="宋体" w:eastAsia="宋体" w:cs="宋体"/>
                <w:b/>
                <w:bCs/>
                <w:sz w:val="24"/>
                <w:szCs w:val="24"/>
                <w:highlight w:val="none"/>
              </w:rPr>
              <w:t xml:space="preserve"> </w:t>
            </w:r>
            <w:r>
              <w:rPr>
                <w:rFonts w:hint="eastAsia" w:ascii="宋体" w:hAnsi="宋体" w:eastAsia="宋体" w:cs="宋体"/>
                <w:sz w:val="24"/>
                <w:szCs w:val="24"/>
                <w:highlight w:val="none"/>
              </w:rPr>
              <w:t xml:space="preserve"> </w:t>
            </w:r>
          </w:p>
        </w:tc>
      </w:tr>
      <w:tr w14:paraId="4667133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244"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00D0D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核心产品品牌</w:t>
            </w:r>
          </w:p>
        </w:tc>
        <w:tc>
          <w:tcPr>
            <w:tcW w:w="3755" w:type="pct"/>
            <w:gridSpan w:val="3"/>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EF5F170">
            <w:pPr>
              <w:keepNext w:val="0"/>
              <w:keepLines w:val="0"/>
              <w:pageBreakBefore w:val="0"/>
              <w:widowControl w:val="0"/>
              <w:kinsoku/>
              <w:wordWrap/>
              <w:overflowPunct/>
              <w:topLinePunct w:val="0"/>
              <w:autoSpaceDE/>
              <w:autoSpaceDN/>
              <w:bidi w:val="0"/>
              <w:adjustRightInd/>
              <w:snapToGrid/>
              <w:spacing w:line="360" w:lineRule="auto"/>
              <w:ind w:firstLine="105"/>
              <w:textAlignment w:val="auto"/>
              <w:rPr>
                <w:rFonts w:hint="eastAsia" w:ascii="宋体" w:hAnsi="宋体" w:eastAsia="宋体" w:cs="宋体"/>
                <w:sz w:val="24"/>
                <w:szCs w:val="24"/>
                <w:highlight w:val="none"/>
              </w:rPr>
            </w:pPr>
          </w:p>
        </w:tc>
      </w:tr>
      <w:tr w14:paraId="0872ACD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244"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7BA07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供货期</w:t>
            </w:r>
          </w:p>
        </w:tc>
        <w:tc>
          <w:tcPr>
            <w:tcW w:w="3755" w:type="pct"/>
            <w:gridSpan w:val="3"/>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5566D111">
            <w:pPr>
              <w:keepNext w:val="0"/>
              <w:keepLines w:val="0"/>
              <w:pageBreakBefore w:val="0"/>
              <w:widowControl w:val="0"/>
              <w:kinsoku/>
              <w:wordWrap/>
              <w:overflowPunct/>
              <w:topLinePunct w:val="0"/>
              <w:autoSpaceDE/>
              <w:autoSpaceDN/>
              <w:bidi w:val="0"/>
              <w:adjustRightInd/>
              <w:snapToGrid/>
              <w:spacing w:line="360" w:lineRule="auto"/>
              <w:ind w:firstLine="105"/>
              <w:textAlignment w:val="auto"/>
              <w:rPr>
                <w:rFonts w:hint="eastAsia" w:ascii="宋体" w:hAnsi="宋体" w:eastAsia="宋体" w:cs="宋体"/>
                <w:sz w:val="24"/>
                <w:szCs w:val="24"/>
                <w:highlight w:val="none"/>
              </w:rPr>
            </w:pPr>
          </w:p>
        </w:tc>
      </w:tr>
      <w:tr w14:paraId="3575FD2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1" w:hRule="atLeast"/>
          <w:jc w:val="center"/>
        </w:trPr>
        <w:tc>
          <w:tcPr>
            <w:tcW w:w="1244"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F8F4A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质保期</w:t>
            </w:r>
          </w:p>
        </w:tc>
        <w:tc>
          <w:tcPr>
            <w:tcW w:w="3755" w:type="pct"/>
            <w:gridSpan w:val="3"/>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05068AAE">
            <w:pPr>
              <w:keepNext w:val="0"/>
              <w:keepLines w:val="0"/>
              <w:pageBreakBefore w:val="0"/>
              <w:widowControl w:val="0"/>
              <w:kinsoku/>
              <w:wordWrap/>
              <w:overflowPunct/>
              <w:topLinePunct w:val="0"/>
              <w:autoSpaceDE/>
              <w:autoSpaceDN/>
              <w:bidi w:val="0"/>
              <w:adjustRightInd/>
              <w:snapToGrid/>
              <w:spacing w:line="360" w:lineRule="auto"/>
              <w:ind w:firstLine="105"/>
              <w:textAlignment w:val="auto"/>
              <w:rPr>
                <w:rFonts w:hint="eastAsia" w:ascii="宋体" w:hAnsi="宋体" w:eastAsia="宋体" w:cs="宋体"/>
                <w:b/>
                <w:bCs/>
                <w:sz w:val="24"/>
                <w:szCs w:val="24"/>
                <w:highlight w:val="none"/>
              </w:rPr>
            </w:pPr>
          </w:p>
        </w:tc>
      </w:tr>
      <w:tr w14:paraId="2951E78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71" w:hRule="atLeast"/>
          <w:jc w:val="center"/>
        </w:trPr>
        <w:tc>
          <w:tcPr>
            <w:tcW w:w="1244" w:type="pct"/>
            <w:tcBorders>
              <w:top w:val="nil"/>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035E4D99">
            <w:pPr>
              <w:keepNext w:val="0"/>
              <w:keepLines w:val="0"/>
              <w:pageBreakBefore w:val="0"/>
              <w:widowControl w:val="0"/>
              <w:kinsoku/>
              <w:wordWrap/>
              <w:overflowPunct/>
              <w:topLinePunct w:val="0"/>
              <w:autoSpaceDE/>
              <w:autoSpaceDN/>
              <w:bidi w:val="0"/>
              <w:adjustRightInd/>
              <w:snapToGrid/>
              <w:spacing w:line="360" w:lineRule="auto"/>
              <w:ind w:left="71"/>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c>
          <w:tcPr>
            <w:tcW w:w="3755" w:type="pct"/>
            <w:gridSpan w:val="3"/>
            <w:tcBorders>
              <w:top w:val="nil"/>
              <w:left w:val="single" w:color="000000" w:sz="8" w:space="0"/>
              <w:bottom w:val="single" w:color="000000" w:sz="8" w:space="0"/>
              <w:right w:val="single" w:color="000000" w:sz="8" w:space="0"/>
            </w:tcBorders>
            <w:noWrap w:val="0"/>
            <w:vAlign w:val="top"/>
          </w:tcPr>
          <w:p w14:paraId="44E89E62">
            <w:pPr>
              <w:keepNext w:val="0"/>
              <w:keepLines w:val="0"/>
              <w:pageBreakBefore w:val="0"/>
              <w:widowControl w:val="0"/>
              <w:kinsoku/>
              <w:wordWrap/>
              <w:overflowPunct/>
              <w:topLinePunct w:val="0"/>
              <w:autoSpaceDE/>
              <w:autoSpaceDN/>
              <w:bidi w:val="0"/>
              <w:adjustRightInd/>
              <w:snapToGrid/>
              <w:spacing w:line="360" w:lineRule="auto"/>
              <w:ind w:left="71"/>
              <w:textAlignment w:val="auto"/>
              <w:rPr>
                <w:rFonts w:hint="eastAsia" w:ascii="宋体" w:hAnsi="宋体" w:eastAsia="宋体" w:cs="宋体"/>
                <w:sz w:val="24"/>
                <w:szCs w:val="24"/>
                <w:highlight w:val="none"/>
              </w:rPr>
            </w:pPr>
          </w:p>
        </w:tc>
      </w:tr>
    </w:tbl>
    <w:p w14:paraId="02C657BF">
      <w:pPr>
        <w:keepNext w:val="0"/>
        <w:keepLines w:val="0"/>
        <w:pageBreakBefore w:val="0"/>
        <w:widowControl/>
        <w:kinsoku/>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p>
    <w:p w14:paraId="5A016AE8">
      <w:pPr>
        <w:keepNext w:val="0"/>
        <w:keepLines w:val="0"/>
        <w:pageBreakBefore w:val="0"/>
        <w:widowControl/>
        <w:kinsoku/>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p>
    <w:p w14:paraId="6A876F91">
      <w:pPr>
        <w:keepNext w:val="0"/>
        <w:keepLines w:val="0"/>
        <w:pageBreakBefore w:val="0"/>
        <w:widowControl/>
        <w:kinsoku/>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p>
    <w:p w14:paraId="3D5A6B09">
      <w:pPr>
        <w:keepNext w:val="0"/>
        <w:keepLines w:val="0"/>
        <w:pageBreakBefore w:val="0"/>
        <w:widowControl/>
        <w:kinsoku/>
        <w:overflowPunct/>
        <w:topLinePunct w:val="0"/>
        <w:autoSpaceDE/>
        <w:autoSpaceDN/>
        <w:bidi w:val="0"/>
        <w:adjustRightInd/>
        <w:snapToGrid/>
        <w:spacing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w:t>
      </w:r>
    </w:p>
    <w:p w14:paraId="2B59A078">
      <w:pPr>
        <w:keepNext w:val="0"/>
        <w:keepLines w:val="0"/>
        <w:pageBreakBefore w:val="0"/>
        <w:widowControl/>
        <w:kinsoku/>
        <w:wordWrap w:val="0"/>
        <w:overflowPunct/>
        <w:topLinePunct w:val="0"/>
        <w:autoSpaceDE/>
        <w:autoSpaceDN/>
        <w:bidi w:val="0"/>
        <w:adjustRightInd/>
        <w:snapToGrid/>
        <w:spacing w:line="360" w:lineRule="auto"/>
        <w:jc w:val="right"/>
        <w:textAlignment w:val="auto"/>
        <w:rPr>
          <w:rFonts w:hint="eastAsia" w:ascii="宋体" w:hAnsi="宋体" w:eastAsia="宋体" w:cs="宋体"/>
          <w:b/>
          <w:color w:val="auto"/>
          <w:kern w:val="0"/>
          <w:sz w:val="32"/>
          <w:szCs w:val="32"/>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日    </w:t>
      </w:r>
    </w:p>
    <w:p w14:paraId="2C301784">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3A4B84CE">
      <w:pPr>
        <w:widowControl/>
        <w:jc w:val="left"/>
        <w:rPr>
          <w:rFonts w:hint="eastAsia" w:ascii="宋体" w:hAnsi="宋体" w:eastAsia="宋体" w:cs="宋体"/>
          <w:color w:val="auto"/>
          <w:kern w:val="0"/>
          <w:sz w:val="28"/>
          <w:szCs w:val="28"/>
          <w:highlight w:val="none"/>
        </w:rPr>
      </w:pPr>
    </w:p>
    <w:p w14:paraId="57A34CEB">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二、供货一览表</w:t>
      </w:r>
    </w:p>
    <w:p w14:paraId="61B1CCA9">
      <w:pPr>
        <w:keepNext w:val="0"/>
        <w:keepLines w:val="0"/>
        <w:pageBreakBefore w:val="0"/>
        <w:widowControl w:val="0"/>
        <w:kinsoku/>
        <w:wordWrap/>
        <w:overflowPunct/>
        <w:topLinePunct w:val="0"/>
        <w:autoSpaceDE/>
        <w:autoSpaceDN/>
        <w:bidi w:val="0"/>
        <w:spacing w:line="360" w:lineRule="auto"/>
        <w:ind w:left="416" w:leftChars="198"/>
        <w:textAlignment w:val="auto"/>
        <w:rPr>
          <w:rFonts w:hint="eastAsia" w:ascii="宋体" w:hAnsi="宋体" w:eastAsia="宋体" w:cs="宋体"/>
          <w:b/>
          <w:color w:val="auto"/>
          <w:sz w:val="32"/>
          <w:szCs w:val="32"/>
          <w:highlight w:val="none"/>
        </w:rPr>
      </w:pPr>
    </w:p>
    <w:p w14:paraId="66EEB8BE">
      <w:pPr>
        <w:keepNext w:val="0"/>
        <w:keepLines w:val="0"/>
        <w:pageBreakBefore w:val="0"/>
        <w:widowControl w:val="0"/>
        <w:kinsoku/>
        <w:wordWrap/>
        <w:overflowPunct/>
        <w:topLinePunct w:val="0"/>
        <w:autoSpaceDE/>
        <w:autoSpaceDN/>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项目名称：</w:t>
      </w: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                    </w:t>
      </w: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bCs/>
          <w:sz w:val="24"/>
          <w:szCs w:val="24"/>
          <w:highlight w:val="none"/>
          <w:u w:val="single"/>
        </w:rPr>
        <w:t>        </w:t>
      </w:r>
    </w:p>
    <w:p w14:paraId="64FDD67E">
      <w:pPr>
        <w:keepNext w:val="0"/>
        <w:keepLines w:val="0"/>
        <w:pageBreakBefore w:val="0"/>
        <w:widowControl w:val="0"/>
        <w:kinsoku/>
        <w:wordWrap/>
        <w:overflowPunct/>
        <w:topLinePunct w:val="0"/>
        <w:autoSpaceDE/>
        <w:autoSpaceDN/>
        <w:bidi w:val="0"/>
        <w:adjustRightInd w:val="0"/>
        <w:snapToGrid w:val="0"/>
        <w:spacing w:line="360" w:lineRule="auto"/>
        <w:ind w:firstLine="211"/>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                                  </w:t>
      </w:r>
    </w:p>
    <w:p w14:paraId="1F735A41">
      <w:pPr>
        <w:keepNext w:val="0"/>
        <w:keepLines w:val="0"/>
        <w:pageBreakBefore w:val="0"/>
        <w:widowControl w:val="0"/>
        <w:kinsoku/>
        <w:wordWrap/>
        <w:overflowPunct/>
        <w:topLinePunct w:val="0"/>
        <w:autoSpaceDE/>
        <w:autoSpaceDN/>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标段名称：</w:t>
      </w:r>
      <w:r>
        <w:rPr>
          <w:rFonts w:hint="eastAsia" w:ascii="宋体" w:hAnsi="宋体" w:eastAsia="宋体" w:cs="宋体"/>
          <w:bCs/>
          <w:sz w:val="24"/>
          <w:szCs w:val="24"/>
          <w:highlight w:val="none"/>
          <w:u w:val="single"/>
        </w:rPr>
        <w:t>                  </w:t>
      </w: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bCs/>
          <w:sz w:val="24"/>
          <w:szCs w:val="24"/>
          <w:highlight w:val="none"/>
          <w:u w:val="single"/>
        </w:rPr>
        <w:t xml:space="preserve">         </w:t>
      </w:r>
    </w:p>
    <w:p w14:paraId="2917E4EC">
      <w:pPr>
        <w:keepNext w:val="0"/>
        <w:keepLines w:val="0"/>
        <w:pageBreakBefore w:val="0"/>
        <w:widowControl w:val="0"/>
        <w:kinsoku/>
        <w:wordWrap/>
        <w:overflowPunct/>
        <w:topLinePunct w:val="0"/>
        <w:autoSpaceDE/>
        <w:autoSpaceDN/>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标段编号：</w:t>
      </w:r>
      <w:r>
        <w:rPr>
          <w:rFonts w:hint="eastAsia" w:ascii="宋体" w:hAnsi="宋体" w:eastAsia="宋体" w:cs="宋体"/>
          <w:bCs/>
          <w:sz w:val="24"/>
          <w:szCs w:val="24"/>
          <w:highlight w:val="none"/>
          <w:u w:val="single"/>
        </w:rPr>
        <w:t>                                  </w:t>
      </w:r>
    </w:p>
    <w:p w14:paraId="5DC4646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Cs/>
          <w:sz w:val="24"/>
          <w:szCs w:val="24"/>
          <w:highlight w:val="none"/>
        </w:rPr>
      </w:pPr>
    </w:p>
    <w:p w14:paraId="17CEE838">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单位：人民币/元</w:t>
      </w:r>
    </w:p>
    <w:tbl>
      <w:tblPr>
        <w:tblStyle w:val="31"/>
        <w:tblW w:w="4992" w:type="pct"/>
        <w:tblInd w:w="0" w:type="dxa"/>
        <w:tblLayout w:type="autofit"/>
        <w:tblCellMar>
          <w:top w:w="0" w:type="dxa"/>
          <w:left w:w="0" w:type="dxa"/>
          <w:bottom w:w="0" w:type="dxa"/>
          <w:right w:w="0" w:type="dxa"/>
        </w:tblCellMar>
      </w:tblPr>
      <w:tblGrid>
        <w:gridCol w:w="426"/>
        <w:gridCol w:w="740"/>
        <w:gridCol w:w="1051"/>
        <w:gridCol w:w="719"/>
        <w:gridCol w:w="969"/>
        <w:gridCol w:w="742"/>
        <w:gridCol w:w="866"/>
        <w:gridCol w:w="2912"/>
        <w:gridCol w:w="675"/>
        <w:gridCol w:w="420"/>
        <w:gridCol w:w="426"/>
      </w:tblGrid>
      <w:tr w14:paraId="6D67DFF6">
        <w:tblPrEx>
          <w:tblCellMar>
            <w:top w:w="0" w:type="dxa"/>
            <w:left w:w="0" w:type="dxa"/>
            <w:bottom w:w="0" w:type="dxa"/>
            <w:right w:w="0" w:type="dxa"/>
          </w:tblCellMar>
        </w:tblPrEx>
        <w:trPr>
          <w:trHeight w:val="471" w:hRule="atLeast"/>
        </w:trPr>
        <w:tc>
          <w:tcPr>
            <w:tcW w:w="214"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3BB650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序号 </w:t>
            </w:r>
          </w:p>
        </w:tc>
        <w:tc>
          <w:tcPr>
            <w:tcW w:w="372"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0702FD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货物名称</w:t>
            </w:r>
          </w:p>
        </w:tc>
        <w:tc>
          <w:tcPr>
            <w:tcW w:w="528" w:type="pct"/>
            <w:tcBorders>
              <w:top w:val="single" w:color="000000" w:sz="8" w:space="0"/>
              <w:left w:val="nil"/>
              <w:bottom w:val="single" w:color="000000" w:sz="8" w:space="0"/>
              <w:right w:val="single" w:color="000000" w:sz="8" w:space="0"/>
            </w:tcBorders>
            <w:vAlign w:val="center"/>
          </w:tcPr>
          <w:p w14:paraId="28A10EA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制造商</w:t>
            </w:r>
          </w:p>
          <w:p w14:paraId="3FD6DDC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361"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34FD7A5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品牌</w:t>
            </w:r>
          </w:p>
        </w:tc>
        <w:tc>
          <w:tcPr>
            <w:tcW w:w="4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45ED72CF">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规格</w:t>
            </w:r>
          </w:p>
          <w:p w14:paraId="778FD99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型号 </w:t>
            </w:r>
          </w:p>
        </w:tc>
        <w:tc>
          <w:tcPr>
            <w:tcW w:w="37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7939414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产地/</w:t>
            </w:r>
          </w:p>
          <w:p w14:paraId="0ABDAC1F">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国别</w:t>
            </w:r>
          </w:p>
        </w:tc>
        <w:tc>
          <w:tcPr>
            <w:tcW w:w="435"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191430E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制造商</w:t>
            </w:r>
          </w:p>
          <w:p w14:paraId="59F899D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规模</w:t>
            </w:r>
          </w:p>
        </w:tc>
        <w:tc>
          <w:tcPr>
            <w:tcW w:w="146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BA236F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主要技术参数和技术指标 </w:t>
            </w:r>
          </w:p>
        </w:tc>
        <w:tc>
          <w:tcPr>
            <w:tcW w:w="339" w:type="pct"/>
            <w:tcBorders>
              <w:top w:val="single" w:color="000000" w:sz="8" w:space="0"/>
              <w:left w:val="nil"/>
              <w:bottom w:val="single" w:color="000000" w:sz="8" w:space="0"/>
              <w:right w:val="single" w:color="auto" w:sz="4" w:space="0"/>
            </w:tcBorders>
            <w:vAlign w:val="center"/>
          </w:tcPr>
          <w:p w14:paraId="50E7551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单价</w:t>
            </w:r>
          </w:p>
        </w:tc>
        <w:tc>
          <w:tcPr>
            <w:tcW w:w="211" w:type="pct"/>
            <w:tcBorders>
              <w:top w:val="single" w:color="000000" w:sz="8" w:space="0"/>
              <w:left w:val="single" w:color="auto" w:sz="4" w:space="0"/>
              <w:bottom w:val="single" w:color="000000" w:sz="8" w:space="0"/>
              <w:right w:val="single" w:color="auto" w:sz="4" w:space="0"/>
            </w:tcBorders>
            <w:vAlign w:val="center"/>
          </w:tcPr>
          <w:p w14:paraId="13A49410">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26E6AC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备注 </w:t>
            </w:r>
          </w:p>
        </w:tc>
      </w:tr>
      <w:tr w14:paraId="5A6D31B5">
        <w:tblPrEx>
          <w:tblCellMar>
            <w:top w:w="0" w:type="dxa"/>
            <w:left w:w="0" w:type="dxa"/>
            <w:bottom w:w="0" w:type="dxa"/>
            <w:right w:w="0" w:type="dxa"/>
          </w:tblCellMar>
        </w:tblPrEx>
        <w:tc>
          <w:tcPr>
            <w:tcW w:w="214"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4C18BF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nil"/>
              <w:left w:val="nil"/>
              <w:bottom w:val="single" w:color="000000" w:sz="8" w:space="0"/>
              <w:right w:val="single" w:color="000000" w:sz="8" w:space="0"/>
            </w:tcBorders>
            <w:tcMar>
              <w:top w:w="0" w:type="dxa"/>
              <w:left w:w="108" w:type="dxa"/>
              <w:bottom w:w="0" w:type="dxa"/>
              <w:right w:w="108" w:type="dxa"/>
            </w:tcMar>
          </w:tcPr>
          <w:p w14:paraId="748A856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nil"/>
              <w:left w:val="nil"/>
              <w:bottom w:val="single" w:color="000000" w:sz="8" w:space="0"/>
              <w:right w:val="single" w:color="000000" w:sz="8" w:space="0"/>
            </w:tcBorders>
          </w:tcPr>
          <w:p w14:paraId="2CA1E02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highlight w:val="none"/>
              </w:rPr>
            </w:pPr>
            <w:r>
              <w:rPr>
                <w:rFonts w:hint="eastAsia" w:ascii="宋体" w:hAnsi="宋体" w:eastAsia="宋体" w:cs="宋体"/>
                <w:b/>
                <w:szCs w:val="21"/>
                <w:highlight w:val="none"/>
              </w:rPr>
              <w:t xml:space="preserve">  </w:t>
            </w:r>
          </w:p>
        </w:tc>
        <w:tc>
          <w:tcPr>
            <w:tcW w:w="361" w:type="pct"/>
            <w:tcBorders>
              <w:top w:val="nil"/>
              <w:left w:val="nil"/>
              <w:bottom w:val="single" w:color="000000" w:sz="8" w:space="0"/>
              <w:right w:val="single" w:color="000000" w:sz="8" w:space="0"/>
            </w:tcBorders>
            <w:tcMar>
              <w:top w:w="0" w:type="dxa"/>
              <w:left w:w="108" w:type="dxa"/>
              <w:bottom w:w="0" w:type="dxa"/>
              <w:right w:w="108" w:type="dxa"/>
            </w:tcMar>
          </w:tcPr>
          <w:p w14:paraId="41FB8D5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szCs w:val="21"/>
                <w:highlight w:val="none"/>
              </w:rPr>
            </w:pPr>
          </w:p>
        </w:tc>
        <w:tc>
          <w:tcPr>
            <w:tcW w:w="487" w:type="pct"/>
            <w:tcBorders>
              <w:top w:val="nil"/>
              <w:left w:val="nil"/>
              <w:bottom w:val="single" w:color="000000" w:sz="8" w:space="0"/>
              <w:right w:val="single" w:color="000000" w:sz="8" w:space="0"/>
            </w:tcBorders>
            <w:tcMar>
              <w:top w:w="0" w:type="dxa"/>
              <w:left w:w="108" w:type="dxa"/>
              <w:bottom w:w="0" w:type="dxa"/>
              <w:right w:w="108" w:type="dxa"/>
            </w:tcMar>
          </w:tcPr>
          <w:p w14:paraId="095CE0B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nil"/>
              <w:left w:val="nil"/>
              <w:bottom w:val="single" w:color="000000" w:sz="8" w:space="0"/>
              <w:right w:val="single" w:color="000000" w:sz="8" w:space="0"/>
            </w:tcBorders>
            <w:tcMar>
              <w:top w:w="0" w:type="dxa"/>
              <w:left w:w="108" w:type="dxa"/>
              <w:bottom w:w="0" w:type="dxa"/>
              <w:right w:w="108" w:type="dxa"/>
            </w:tcMar>
          </w:tcPr>
          <w:p w14:paraId="7F5837F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nil"/>
              <w:left w:val="nil"/>
              <w:bottom w:val="single" w:color="000000" w:sz="8" w:space="0"/>
              <w:right w:val="single" w:color="000000" w:sz="8" w:space="0"/>
            </w:tcBorders>
            <w:tcMar>
              <w:top w:w="0" w:type="dxa"/>
              <w:left w:w="108" w:type="dxa"/>
              <w:bottom w:w="0" w:type="dxa"/>
              <w:right w:w="108" w:type="dxa"/>
            </w:tcMar>
          </w:tcPr>
          <w:p w14:paraId="411C31F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nil"/>
              <w:left w:val="nil"/>
              <w:bottom w:val="single" w:color="000000" w:sz="8" w:space="0"/>
              <w:right w:val="single" w:color="000000" w:sz="8" w:space="0"/>
            </w:tcBorders>
            <w:tcMar>
              <w:top w:w="0" w:type="dxa"/>
              <w:left w:w="108" w:type="dxa"/>
              <w:bottom w:w="0" w:type="dxa"/>
              <w:right w:w="108" w:type="dxa"/>
            </w:tcMar>
          </w:tcPr>
          <w:p w14:paraId="5E2CE2E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nil"/>
              <w:left w:val="nil"/>
              <w:bottom w:val="single" w:color="000000" w:sz="8" w:space="0"/>
              <w:right w:val="single" w:color="auto" w:sz="4" w:space="0"/>
            </w:tcBorders>
          </w:tcPr>
          <w:p w14:paraId="014EFAB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nil"/>
              <w:left w:val="single" w:color="auto" w:sz="4" w:space="0"/>
              <w:bottom w:val="single" w:color="000000" w:sz="8" w:space="0"/>
              <w:right w:val="single" w:color="auto" w:sz="4" w:space="0"/>
            </w:tcBorders>
          </w:tcPr>
          <w:p w14:paraId="1014CE1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020574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737BCC07">
        <w:tblPrEx>
          <w:tblCellMar>
            <w:top w:w="0" w:type="dxa"/>
            <w:left w:w="0" w:type="dxa"/>
            <w:bottom w:w="0" w:type="dxa"/>
            <w:right w:w="0" w:type="dxa"/>
          </w:tblCellMar>
        </w:tblPrEx>
        <w:tc>
          <w:tcPr>
            <w:tcW w:w="214"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BE2989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nil"/>
              <w:left w:val="nil"/>
              <w:bottom w:val="single" w:color="000000" w:sz="8" w:space="0"/>
              <w:right w:val="single" w:color="000000" w:sz="8" w:space="0"/>
            </w:tcBorders>
            <w:tcMar>
              <w:top w:w="0" w:type="dxa"/>
              <w:left w:w="108" w:type="dxa"/>
              <w:bottom w:w="0" w:type="dxa"/>
              <w:right w:w="108" w:type="dxa"/>
            </w:tcMar>
          </w:tcPr>
          <w:p w14:paraId="39B6970F">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nil"/>
              <w:left w:val="nil"/>
              <w:bottom w:val="single" w:color="000000" w:sz="8" w:space="0"/>
              <w:right w:val="single" w:color="000000" w:sz="8" w:space="0"/>
            </w:tcBorders>
          </w:tcPr>
          <w:p w14:paraId="4F04E500">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61" w:type="pct"/>
            <w:tcBorders>
              <w:top w:val="nil"/>
              <w:left w:val="nil"/>
              <w:bottom w:val="single" w:color="000000" w:sz="8" w:space="0"/>
              <w:right w:val="single" w:color="000000" w:sz="8" w:space="0"/>
            </w:tcBorders>
            <w:tcMar>
              <w:top w:w="0" w:type="dxa"/>
              <w:left w:w="108" w:type="dxa"/>
              <w:bottom w:w="0" w:type="dxa"/>
              <w:right w:w="108" w:type="dxa"/>
            </w:tcMar>
          </w:tcPr>
          <w:p w14:paraId="52A6B5C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nil"/>
              <w:left w:val="nil"/>
              <w:bottom w:val="single" w:color="000000" w:sz="8" w:space="0"/>
              <w:right w:val="single" w:color="000000" w:sz="8" w:space="0"/>
            </w:tcBorders>
            <w:tcMar>
              <w:top w:w="0" w:type="dxa"/>
              <w:left w:w="108" w:type="dxa"/>
              <w:bottom w:w="0" w:type="dxa"/>
              <w:right w:w="108" w:type="dxa"/>
            </w:tcMar>
          </w:tcPr>
          <w:p w14:paraId="15E49C3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nil"/>
              <w:left w:val="nil"/>
              <w:bottom w:val="single" w:color="000000" w:sz="8" w:space="0"/>
              <w:right w:val="single" w:color="000000" w:sz="8" w:space="0"/>
            </w:tcBorders>
            <w:tcMar>
              <w:top w:w="0" w:type="dxa"/>
              <w:left w:w="108" w:type="dxa"/>
              <w:bottom w:w="0" w:type="dxa"/>
              <w:right w:w="108" w:type="dxa"/>
            </w:tcMar>
          </w:tcPr>
          <w:p w14:paraId="450CBBC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nil"/>
              <w:left w:val="nil"/>
              <w:bottom w:val="single" w:color="000000" w:sz="8" w:space="0"/>
              <w:right w:val="single" w:color="000000" w:sz="8" w:space="0"/>
            </w:tcBorders>
            <w:tcMar>
              <w:top w:w="0" w:type="dxa"/>
              <w:left w:w="108" w:type="dxa"/>
              <w:bottom w:w="0" w:type="dxa"/>
              <w:right w:w="108" w:type="dxa"/>
            </w:tcMar>
          </w:tcPr>
          <w:p w14:paraId="47AF07E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nil"/>
              <w:left w:val="nil"/>
              <w:bottom w:val="single" w:color="000000" w:sz="8" w:space="0"/>
              <w:right w:val="single" w:color="000000" w:sz="8" w:space="0"/>
            </w:tcBorders>
            <w:tcMar>
              <w:top w:w="0" w:type="dxa"/>
              <w:left w:w="108" w:type="dxa"/>
              <w:bottom w:w="0" w:type="dxa"/>
              <w:right w:w="108" w:type="dxa"/>
            </w:tcMar>
          </w:tcPr>
          <w:p w14:paraId="763A2A1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nil"/>
              <w:left w:val="nil"/>
              <w:bottom w:val="single" w:color="000000" w:sz="8" w:space="0"/>
              <w:right w:val="single" w:color="auto" w:sz="4" w:space="0"/>
            </w:tcBorders>
          </w:tcPr>
          <w:p w14:paraId="6EB0AFC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nil"/>
              <w:left w:val="single" w:color="auto" w:sz="4" w:space="0"/>
              <w:bottom w:val="single" w:color="000000" w:sz="8" w:space="0"/>
              <w:right w:val="single" w:color="auto" w:sz="4" w:space="0"/>
            </w:tcBorders>
          </w:tcPr>
          <w:p w14:paraId="3A252FC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27AB7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7C4FBEE8">
        <w:tblPrEx>
          <w:tblCellMar>
            <w:top w:w="0" w:type="dxa"/>
            <w:left w:w="0" w:type="dxa"/>
            <w:bottom w:w="0" w:type="dxa"/>
            <w:right w:w="0" w:type="dxa"/>
          </w:tblCellMar>
        </w:tblPrEx>
        <w:tc>
          <w:tcPr>
            <w:tcW w:w="214"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79EE55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nil"/>
              <w:left w:val="nil"/>
              <w:bottom w:val="single" w:color="000000" w:sz="8" w:space="0"/>
              <w:right w:val="single" w:color="000000" w:sz="8" w:space="0"/>
            </w:tcBorders>
            <w:tcMar>
              <w:top w:w="0" w:type="dxa"/>
              <w:left w:w="108" w:type="dxa"/>
              <w:bottom w:w="0" w:type="dxa"/>
              <w:right w:w="108" w:type="dxa"/>
            </w:tcMar>
          </w:tcPr>
          <w:p w14:paraId="1A33028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nil"/>
              <w:left w:val="nil"/>
              <w:bottom w:val="single" w:color="000000" w:sz="8" w:space="0"/>
              <w:right w:val="single" w:color="000000" w:sz="8" w:space="0"/>
            </w:tcBorders>
          </w:tcPr>
          <w:p w14:paraId="429220E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61" w:type="pct"/>
            <w:tcBorders>
              <w:top w:val="nil"/>
              <w:left w:val="nil"/>
              <w:bottom w:val="single" w:color="000000" w:sz="8" w:space="0"/>
              <w:right w:val="single" w:color="000000" w:sz="8" w:space="0"/>
            </w:tcBorders>
            <w:tcMar>
              <w:top w:w="0" w:type="dxa"/>
              <w:left w:w="108" w:type="dxa"/>
              <w:bottom w:w="0" w:type="dxa"/>
              <w:right w:w="108" w:type="dxa"/>
            </w:tcMar>
          </w:tcPr>
          <w:p w14:paraId="3C646C2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nil"/>
              <w:left w:val="nil"/>
              <w:bottom w:val="single" w:color="000000" w:sz="8" w:space="0"/>
              <w:right w:val="single" w:color="000000" w:sz="8" w:space="0"/>
            </w:tcBorders>
            <w:tcMar>
              <w:top w:w="0" w:type="dxa"/>
              <w:left w:w="108" w:type="dxa"/>
              <w:bottom w:w="0" w:type="dxa"/>
              <w:right w:w="108" w:type="dxa"/>
            </w:tcMar>
          </w:tcPr>
          <w:p w14:paraId="33C7B60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nil"/>
              <w:left w:val="nil"/>
              <w:bottom w:val="single" w:color="000000" w:sz="8" w:space="0"/>
              <w:right w:val="single" w:color="000000" w:sz="8" w:space="0"/>
            </w:tcBorders>
            <w:tcMar>
              <w:top w:w="0" w:type="dxa"/>
              <w:left w:w="108" w:type="dxa"/>
              <w:bottom w:w="0" w:type="dxa"/>
              <w:right w:w="108" w:type="dxa"/>
            </w:tcMar>
          </w:tcPr>
          <w:p w14:paraId="4EBC32B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nil"/>
              <w:left w:val="nil"/>
              <w:bottom w:val="single" w:color="000000" w:sz="8" w:space="0"/>
              <w:right w:val="single" w:color="000000" w:sz="8" w:space="0"/>
            </w:tcBorders>
            <w:tcMar>
              <w:top w:w="0" w:type="dxa"/>
              <w:left w:w="108" w:type="dxa"/>
              <w:bottom w:w="0" w:type="dxa"/>
              <w:right w:w="108" w:type="dxa"/>
            </w:tcMar>
          </w:tcPr>
          <w:p w14:paraId="4CF8DE0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nil"/>
              <w:left w:val="nil"/>
              <w:bottom w:val="single" w:color="000000" w:sz="8" w:space="0"/>
              <w:right w:val="single" w:color="000000" w:sz="8" w:space="0"/>
            </w:tcBorders>
            <w:tcMar>
              <w:top w:w="0" w:type="dxa"/>
              <w:left w:w="108" w:type="dxa"/>
              <w:bottom w:w="0" w:type="dxa"/>
              <w:right w:w="108" w:type="dxa"/>
            </w:tcMar>
          </w:tcPr>
          <w:p w14:paraId="736BA78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nil"/>
              <w:left w:val="nil"/>
              <w:bottom w:val="single" w:color="000000" w:sz="8" w:space="0"/>
              <w:right w:val="single" w:color="auto" w:sz="4" w:space="0"/>
            </w:tcBorders>
          </w:tcPr>
          <w:p w14:paraId="4753F7B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nil"/>
              <w:left w:val="single" w:color="auto" w:sz="4" w:space="0"/>
              <w:bottom w:val="single" w:color="000000" w:sz="8" w:space="0"/>
              <w:right w:val="single" w:color="auto" w:sz="4" w:space="0"/>
            </w:tcBorders>
          </w:tcPr>
          <w:p w14:paraId="389E553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A74E7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1C2D4123">
        <w:tblPrEx>
          <w:tblCellMar>
            <w:top w:w="0" w:type="dxa"/>
            <w:left w:w="0" w:type="dxa"/>
            <w:bottom w:w="0" w:type="dxa"/>
            <w:right w:w="0" w:type="dxa"/>
          </w:tblCellMar>
        </w:tblPrEx>
        <w:tc>
          <w:tcPr>
            <w:tcW w:w="214"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7A979F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nil"/>
              <w:left w:val="nil"/>
              <w:bottom w:val="single" w:color="000000" w:sz="8" w:space="0"/>
              <w:right w:val="single" w:color="000000" w:sz="8" w:space="0"/>
            </w:tcBorders>
            <w:tcMar>
              <w:top w:w="0" w:type="dxa"/>
              <w:left w:w="108" w:type="dxa"/>
              <w:bottom w:w="0" w:type="dxa"/>
              <w:right w:w="108" w:type="dxa"/>
            </w:tcMar>
          </w:tcPr>
          <w:p w14:paraId="3D82F33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nil"/>
              <w:left w:val="nil"/>
              <w:bottom w:val="single" w:color="000000" w:sz="8" w:space="0"/>
              <w:right w:val="single" w:color="000000" w:sz="8" w:space="0"/>
            </w:tcBorders>
          </w:tcPr>
          <w:p w14:paraId="6499090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61" w:type="pct"/>
            <w:tcBorders>
              <w:top w:val="nil"/>
              <w:left w:val="nil"/>
              <w:bottom w:val="single" w:color="000000" w:sz="8" w:space="0"/>
              <w:right w:val="single" w:color="000000" w:sz="8" w:space="0"/>
            </w:tcBorders>
            <w:tcMar>
              <w:top w:w="0" w:type="dxa"/>
              <w:left w:w="108" w:type="dxa"/>
              <w:bottom w:w="0" w:type="dxa"/>
              <w:right w:w="108" w:type="dxa"/>
            </w:tcMar>
          </w:tcPr>
          <w:p w14:paraId="30C0B48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nil"/>
              <w:left w:val="nil"/>
              <w:bottom w:val="single" w:color="000000" w:sz="8" w:space="0"/>
              <w:right w:val="single" w:color="000000" w:sz="8" w:space="0"/>
            </w:tcBorders>
            <w:tcMar>
              <w:top w:w="0" w:type="dxa"/>
              <w:left w:w="108" w:type="dxa"/>
              <w:bottom w:w="0" w:type="dxa"/>
              <w:right w:w="108" w:type="dxa"/>
            </w:tcMar>
          </w:tcPr>
          <w:p w14:paraId="20891F8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nil"/>
              <w:left w:val="nil"/>
              <w:bottom w:val="single" w:color="000000" w:sz="8" w:space="0"/>
              <w:right w:val="single" w:color="000000" w:sz="8" w:space="0"/>
            </w:tcBorders>
            <w:tcMar>
              <w:top w:w="0" w:type="dxa"/>
              <w:left w:w="108" w:type="dxa"/>
              <w:bottom w:w="0" w:type="dxa"/>
              <w:right w:w="108" w:type="dxa"/>
            </w:tcMar>
          </w:tcPr>
          <w:p w14:paraId="7331F8F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nil"/>
              <w:left w:val="nil"/>
              <w:bottom w:val="single" w:color="000000" w:sz="8" w:space="0"/>
              <w:right w:val="single" w:color="000000" w:sz="8" w:space="0"/>
            </w:tcBorders>
            <w:tcMar>
              <w:top w:w="0" w:type="dxa"/>
              <w:left w:w="108" w:type="dxa"/>
              <w:bottom w:w="0" w:type="dxa"/>
              <w:right w:w="108" w:type="dxa"/>
            </w:tcMar>
          </w:tcPr>
          <w:p w14:paraId="3AAC151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nil"/>
              <w:left w:val="nil"/>
              <w:bottom w:val="single" w:color="000000" w:sz="8" w:space="0"/>
              <w:right w:val="single" w:color="000000" w:sz="8" w:space="0"/>
            </w:tcBorders>
            <w:tcMar>
              <w:top w:w="0" w:type="dxa"/>
              <w:left w:w="108" w:type="dxa"/>
              <w:bottom w:w="0" w:type="dxa"/>
              <w:right w:w="108" w:type="dxa"/>
            </w:tcMar>
          </w:tcPr>
          <w:p w14:paraId="716AF47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nil"/>
              <w:left w:val="nil"/>
              <w:bottom w:val="single" w:color="000000" w:sz="8" w:space="0"/>
              <w:right w:val="single" w:color="auto" w:sz="4" w:space="0"/>
            </w:tcBorders>
          </w:tcPr>
          <w:p w14:paraId="2559A88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nil"/>
              <w:left w:val="single" w:color="auto" w:sz="4" w:space="0"/>
              <w:bottom w:val="single" w:color="000000" w:sz="8" w:space="0"/>
              <w:right w:val="single" w:color="auto" w:sz="4" w:space="0"/>
            </w:tcBorders>
          </w:tcPr>
          <w:p w14:paraId="5FD6912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90270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4DB37740">
        <w:tblPrEx>
          <w:tblCellMar>
            <w:top w:w="0" w:type="dxa"/>
            <w:left w:w="0" w:type="dxa"/>
            <w:bottom w:w="0" w:type="dxa"/>
            <w:right w:w="0" w:type="dxa"/>
          </w:tblCellMar>
        </w:tblPrEx>
        <w:tc>
          <w:tcPr>
            <w:tcW w:w="214"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06F5D1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nil"/>
              <w:left w:val="nil"/>
              <w:bottom w:val="single" w:color="000000" w:sz="8" w:space="0"/>
              <w:right w:val="single" w:color="000000" w:sz="8" w:space="0"/>
            </w:tcBorders>
            <w:tcMar>
              <w:top w:w="0" w:type="dxa"/>
              <w:left w:w="108" w:type="dxa"/>
              <w:bottom w:w="0" w:type="dxa"/>
              <w:right w:w="108" w:type="dxa"/>
            </w:tcMar>
          </w:tcPr>
          <w:p w14:paraId="4FBDDA6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nil"/>
              <w:left w:val="nil"/>
              <w:bottom w:val="single" w:color="000000" w:sz="8" w:space="0"/>
              <w:right w:val="single" w:color="000000" w:sz="8" w:space="0"/>
            </w:tcBorders>
          </w:tcPr>
          <w:p w14:paraId="33FC304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61" w:type="pct"/>
            <w:tcBorders>
              <w:top w:val="nil"/>
              <w:left w:val="nil"/>
              <w:bottom w:val="single" w:color="000000" w:sz="8" w:space="0"/>
              <w:right w:val="single" w:color="000000" w:sz="8" w:space="0"/>
            </w:tcBorders>
            <w:tcMar>
              <w:top w:w="0" w:type="dxa"/>
              <w:left w:w="108" w:type="dxa"/>
              <w:bottom w:w="0" w:type="dxa"/>
              <w:right w:w="108" w:type="dxa"/>
            </w:tcMar>
          </w:tcPr>
          <w:p w14:paraId="1964A69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nil"/>
              <w:left w:val="nil"/>
              <w:bottom w:val="single" w:color="000000" w:sz="8" w:space="0"/>
              <w:right w:val="single" w:color="000000" w:sz="8" w:space="0"/>
            </w:tcBorders>
            <w:tcMar>
              <w:top w:w="0" w:type="dxa"/>
              <w:left w:w="108" w:type="dxa"/>
              <w:bottom w:w="0" w:type="dxa"/>
              <w:right w:w="108" w:type="dxa"/>
            </w:tcMar>
          </w:tcPr>
          <w:p w14:paraId="3925CCF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nil"/>
              <w:left w:val="nil"/>
              <w:bottom w:val="single" w:color="000000" w:sz="8" w:space="0"/>
              <w:right w:val="single" w:color="000000" w:sz="8" w:space="0"/>
            </w:tcBorders>
            <w:tcMar>
              <w:top w:w="0" w:type="dxa"/>
              <w:left w:w="108" w:type="dxa"/>
              <w:bottom w:w="0" w:type="dxa"/>
              <w:right w:w="108" w:type="dxa"/>
            </w:tcMar>
          </w:tcPr>
          <w:p w14:paraId="226D939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nil"/>
              <w:left w:val="nil"/>
              <w:bottom w:val="single" w:color="000000" w:sz="8" w:space="0"/>
              <w:right w:val="single" w:color="000000" w:sz="8" w:space="0"/>
            </w:tcBorders>
            <w:tcMar>
              <w:top w:w="0" w:type="dxa"/>
              <w:left w:w="108" w:type="dxa"/>
              <w:bottom w:w="0" w:type="dxa"/>
              <w:right w:w="108" w:type="dxa"/>
            </w:tcMar>
          </w:tcPr>
          <w:p w14:paraId="59F4E9A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nil"/>
              <w:left w:val="nil"/>
              <w:bottom w:val="single" w:color="000000" w:sz="8" w:space="0"/>
              <w:right w:val="single" w:color="000000" w:sz="8" w:space="0"/>
            </w:tcBorders>
            <w:tcMar>
              <w:top w:w="0" w:type="dxa"/>
              <w:left w:w="108" w:type="dxa"/>
              <w:bottom w:w="0" w:type="dxa"/>
              <w:right w:w="108" w:type="dxa"/>
            </w:tcMar>
          </w:tcPr>
          <w:p w14:paraId="3CEB5F8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nil"/>
              <w:left w:val="nil"/>
              <w:bottom w:val="single" w:color="000000" w:sz="8" w:space="0"/>
              <w:right w:val="single" w:color="auto" w:sz="4" w:space="0"/>
            </w:tcBorders>
          </w:tcPr>
          <w:p w14:paraId="47BB416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nil"/>
              <w:left w:val="single" w:color="auto" w:sz="4" w:space="0"/>
              <w:bottom w:val="single" w:color="000000" w:sz="8" w:space="0"/>
              <w:right w:val="single" w:color="auto" w:sz="4" w:space="0"/>
            </w:tcBorders>
          </w:tcPr>
          <w:p w14:paraId="3C7B6FF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3DCA39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325A071C">
        <w:tblPrEx>
          <w:tblCellMar>
            <w:top w:w="0" w:type="dxa"/>
            <w:left w:w="0" w:type="dxa"/>
            <w:bottom w:w="0" w:type="dxa"/>
            <w:right w:w="0" w:type="dxa"/>
          </w:tblCellMar>
        </w:tblPrEx>
        <w:tc>
          <w:tcPr>
            <w:tcW w:w="214" w:type="pct"/>
            <w:tcBorders>
              <w:top w:val="nil"/>
              <w:left w:val="single" w:color="000000" w:sz="8" w:space="0"/>
              <w:bottom w:val="single" w:color="auto" w:sz="4" w:space="0"/>
              <w:right w:val="single" w:color="000000" w:sz="8" w:space="0"/>
            </w:tcBorders>
            <w:tcMar>
              <w:top w:w="0" w:type="dxa"/>
              <w:left w:w="108" w:type="dxa"/>
              <w:bottom w:w="0" w:type="dxa"/>
              <w:right w:w="108" w:type="dxa"/>
            </w:tcMar>
          </w:tcPr>
          <w:p w14:paraId="6ADFF82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nil"/>
              <w:left w:val="nil"/>
              <w:bottom w:val="single" w:color="auto" w:sz="4" w:space="0"/>
              <w:right w:val="single" w:color="000000" w:sz="8" w:space="0"/>
            </w:tcBorders>
            <w:tcMar>
              <w:top w:w="0" w:type="dxa"/>
              <w:left w:w="108" w:type="dxa"/>
              <w:bottom w:w="0" w:type="dxa"/>
              <w:right w:w="108" w:type="dxa"/>
            </w:tcMar>
          </w:tcPr>
          <w:p w14:paraId="1BE4363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nil"/>
              <w:left w:val="nil"/>
              <w:bottom w:val="single" w:color="auto" w:sz="4" w:space="0"/>
              <w:right w:val="single" w:color="000000" w:sz="8" w:space="0"/>
            </w:tcBorders>
          </w:tcPr>
          <w:p w14:paraId="522765A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61" w:type="pct"/>
            <w:tcBorders>
              <w:top w:val="nil"/>
              <w:left w:val="nil"/>
              <w:bottom w:val="single" w:color="auto" w:sz="4" w:space="0"/>
              <w:right w:val="single" w:color="000000" w:sz="8" w:space="0"/>
            </w:tcBorders>
            <w:tcMar>
              <w:top w:w="0" w:type="dxa"/>
              <w:left w:w="108" w:type="dxa"/>
              <w:bottom w:w="0" w:type="dxa"/>
              <w:right w:w="108" w:type="dxa"/>
            </w:tcMar>
          </w:tcPr>
          <w:p w14:paraId="2EB3D63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nil"/>
              <w:left w:val="nil"/>
              <w:bottom w:val="single" w:color="auto" w:sz="4" w:space="0"/>
              <w:right w:val="single" w:color="000000" w:sz="8" w:space="0"/>
            </w:tcBorders>
            <w:tcMar>
              <w:top w:w="0" w:type="dxa"/>
              <w:left w:w="108" w:type="dxa"/>
              <w:bottom w:w="0" w:type="dxa"/>
              <w:right w:w="108" w:type="dxa"/>
            </w:tcMar>
          </w:tcPr>
          <w:p w14:paraId="4BC85D2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nil"/>
              <w:left w:val="nil"/>
              <w:bottom w:val="single" w:color="auto" w:sz="4" w:space="0"/>
              <w:right w:val="single" w:color="000000" w:sz="8" w:space="0"/>
            </w:tcBorders>
            <w:tcMar>
              <w:top w:w="0" w:type="dxa"/>
              <w:left w:w="108" w:type="dxa"/>
              <w:bottom w:w="0" w:type="dxa"/>
              <w:right w:w="108" w:type="dxa"/>
            </w:tcMar>
          </w:tcPr>
          <w:p w14:paraId="6A96AD6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nil"/>
              <w:left w:val="nil"/>
              <w:bottom w:val="single" w:color="auto" w:sz="4" w:space="0"/>
              <w:right w:val="single" w:color="000000" w:sz="8" w:space="0"/>
            </w:tcBorders>
            <w:tcMar>
              <w:top w:w="0" w:type="dxa"/>
              <w:left w:w="108" w:type="dxa"/>
              <w:bottom w:w="0" w:type="dxa"/>
              <w:right w:w="108" w:type="dxa"/>
            </w:tcMar>
          </w:tcPr>
          <w:p w14:paraId="0A6CB96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nil"/>
              <w:left w:val="nil"/>
              <w:bottom w:val="single" w:color="auto" w:sz="4" w:space="0"/>
              <w:right w:val="single" w:color="000000" w:sz="8" w:space="0"/>
            </w:tcBorders>
            <w:tcMar>
              <w:top w:w="0" w:type="dxa"/>
              <w:left w:w="108" w:type="dxa"/>
              <w:bottom w:w="0" w:type="dxa"/>
              <w:right w:w="108" w:type="dxa"/>
            </w:tcMar>
          </w:tcPr>
          <w:p w14:paraId="47DF07C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nil"/>
              <w:left w:val="nil"/>
              <w:bottom w:val="single" w:color="auto" w:sz="4" w:space="0"/>
              <w:right w:val="single" w:color="auto" w:sz="4" w:space="0"/>
            </w:tcBorders>
          </w:tcPr>
          <w:p w14:paraId="2252136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nil"/>
              <w:left w:val="single" w:color="auto" w:sz="4" w:space="0"/>
              <w:bottom w:val="single" w:color="auto" w:sz="4" w:space="0"/>
              <w:right w:val="single" w:color="auto" w:sz="4" w:space="0"/>
            </w:tcBorders>
          </w:tcPr>
          <w:p w14:paraId="05F54F0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F632F0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63E55E0F">
        <w:tblPrEx>
          <w:tblCellMar>
            <w:top w:w="0" w:type="dxa"/>
            <w:left w:w="0" w:type="dxa"/>
            <w:bottom w:w="0" w:type="dxa"/>
            <w:right w:w="0" w:type="dxa"/>
          </w:tblCellMar>
        </w:tblPrEx>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6CCB2F">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2"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A9B4A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528" w:type="pct"/>
            <w:tcBorders>
              <w:top w:val="single" w:color="auto" w:sz="4" w:space="0"/>
              <w:left w:val="single" w:color="auto" w:sz="4" w:space="0"/>
              <w:bottom w:val="single" w:color="auto" w:sz="4" w:space="0"/>
              <w:right w:val="single" w:color="auto" w:sz="4" w:space="0"/>
            </w:tcBorders>
          </w:tcPr>
          <w:p w14:paraId="633A195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61"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96659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D9C97F">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7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D89D87F">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F453C0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7C25A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c>
          <w:tcPr>
            <w:tcW w:w="339" w:type="pct"/>
            <w:tcBorders>
              <w:top w:val="single" w:color="auto" w:sz="4" w:space="0"/>
              <w:left w:val="single" w:color="auto" w:sz="4" w:space="0"/>
              <w:bottom w:val="single" w:color="auto" w:sz="4" w:space="0"/>
              <w:right w:val="single" w:color="auto" w:sz="4" w:space="0"/>
            </w:tcBorders>
          </w:tcPr>
          <w:p w14:paraId="5F45442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1" w:type="pct"/>
            <w:tcBorders>
              <w:top w:val="single" w:color="auto" w:sz="4" w:space="0"/>
              <w:left w:val="single" w:color="auto" w:sz="4" w:space="0"/>
              <w:bottom w:val="single" w:color="auto" w:sz="4" w:space="0"/>
              <w:right w:val="single" w:color="auto" w:sz="4" w:space="0"/>
            </w:tcBorders>
          </w:tcPr>
          <w:p w14:paraId="1F03EEB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74589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highlight w:val="none"/>
              </w:rPr>
            </w:pPr>
            <w:r>
              <w:rPr>
                <w:rFonts w:hint="eastAsia" w:ascii="宋体" w:hAnsi="宋体" w:eastAsia="宋体" w:cs="宋体"/>
                <w:szCs w:val="21"/>
                <w:highlight w:val="none"/>
              </w:rPr>
              <w:t xml:space="preserve">  </w:t>
            </w:r>
          </w:p>
        </w:tc>
      </w:tr>
      <w:tr w14:paraId="264AA6FB">
        <w:tblPrEx>
          <w:tblCellMar>
            <w:top w:w="0" w:type="dxa"/>
            <w:left w:w="0" w:type="dxa"/>
            <w:bottom w:w="0" w:type="dxa"/>
            <w:right w:w="0" w:type="dxa"/>
          </w:tblCellMar>
        </w:tblPrEx>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DE3309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372"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BFDB2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57E1C3C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361"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484AC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8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AAEA5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37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35A08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43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98A32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146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9C5C7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总价</w:t>
            </w:r>
          </w:p>
        </w:tc>
        <w:tc>
          <w:tcPr>
            <w:tcW w:w="550" w:type="pct"/>
            <w:gridSpan w:val="2"/>
            <w:tcBorders>
              <w:top w:val="single" w:color="auto" w:sz="4" w:space="0"/>
              <w:left w:val="single" w:color="auto" w:sz="4" w:space="0"/>
              <w:bottom w:val="single" w:color="auto" w:sz="4" w:space="0"/>
              <w:right w:val="single" w:color="auto" w:sz="4" w:space="0"/>
            </w:tcBorders>
          </w:tcPr>
          <w:p w14:paraId="33CBB24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c>
          <w:tcPr>
            <w:tcW w:w="2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54D4D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Cs w:val="21"/>
                <w:highlight w:val="none"/>
              </w:rPr>
            </w:pPr>
          </w:p>
        </w:tc>
      </w:tr>
    </w:tbl>
    <w:p w14:paraId="2B1E2E6A">
      <w:pPr>
        <w:rPr>
          <w:rFonts w:hint="eastAsia" w:ascii="宋体" w:hAnsi="宋体" w:eastAsia="宋体" w:cs="宋体"/>
          <w:bCs/>
          <w:sz w:val="21"/>
          <w:szCs w:val="21"/>
          <w:highlight w:val="none"/>
          <w:lang w:val="en-US" w:eastAsia="zh-CN"/>
        </w:rPr>
      </w:pPr>
      <w:r>
        <w:rPr>
          <w:rFonts w:hint="eastAsia" w:ascii="宋体" w:hAnsi="宋体" w:eastAsia="宋体" w:cs="宋体"/>
          <w:sz w:val="21"/>
          <w:szCs w:val="21"/>
          <w:highlight w:val="none"/>
        </w:rPr>
        <w:t xml:space="preserve">  </w:t>
      </w:r>
      <w:r>
        <w:rPr>
          <w:rFonts w:hint="eastAsia" w:ascii="宋体" w:hAnsi="宋体" w:eastAsia="宋体" w:cs="宋体"/>
          <w:b/>
          <w:bCs w:val="0"/>
          <w:sz w:val="21"/>
          <w:szCs w:val="21"/>
          <w:highlight w:val="none"/>
          <w:lang w:val="en-US" w:eastAsia="zh-CN"/>
        </w:rPr>
        <w:t>注：</w:t>
      </w:r>
      <w:r>
        <w:rPr>
          <w:rFonts w:hint="eastAsia" w:ascii="宋体" w:hAnsi="宋体" w:eastAsia="宋体" w:cs="宋体"/>
          <w:bCs/>
          <w:sz w:val="21"/>
          <w:szCs w:val="21"/>
          <w:highlight w:val="none"/>
        </w:rPr>
        <w:t>制造商规模请填写“大型”、“中型”、“小型”、“微型”或“其他”</w:t>
      </w:r>
      <w:r>
        <w:rPr>
          <w:rFonts w:hint="eastAsia" w:ascii="宋体" w:hAnsi="宋体" w:eastAsia="宋体" w:cs="宋体"/>
          <w:bCs/>
          <w:sz w:val="21"/>
          <w:szCs w:val="21"/>
          <w:highlight w:val="none"/>
          <w:lang w:eastAsia="zh-CN"/>
        </w:rPr>
        <w:t>。</w:t>
      </w:r>
    </w:p>
    <w:p w14:paraId="2F56F6FD">
      <w:pPr>
        <w:adjustRightInd w:val="0"/>
        <w:snapToGrid w:val="0"/>
        <w:spacing w:line="400" w:lineRule="exact"/>
        <w:ind w:firstLine="4200" w:firstLineChars="1750"/>
        <w:rPr>
          <w:rFonts w:hint="eastAsia" w:ascii="宋体" w:hAnsi="宋体" w:eastAsia="宋体" w:cs="宋体"/>
          <w:color w:val="auto"/>
          <w:sz w:val="24"/>
          <w:szCs w:val="24"/>
          <w:highlight w:val="none"/>
        </w:rPr>
      </w:pPr>
    </w:p>
    <w:p w14:paraId="46D9123B">
      <w:pPr>
        <w:pStyle w:val="14"/>
        <w:rPr>
          <w:rFonts w:hint="eastAsia" w:ascii="宋体" w:hAnsi="宋体" w:eastAsia="宋体" w:cs="宋体"/>
          <w:color w:val="auto"/>
          <w:sz w:val="24"/>
          <w:szCs w:val="24"/>
          <w:highlight w:val="none"/>
        </w:rPr>
      </w:pPr>
    </w:p>
    <w:p w14:paraId="6E15833A">
      <w:pPr>
        <w:pStyle w:val="14"/>
        <w:rPr>
          <w:rFonts w:hint="eastAsia" w:ascii="宋体" w:hAnsi="宋体" w:eastAsia="宋体" w:cs="宋体"/>
          <w:color w:val="auto"/>
          <w:sz w:val="24"/>
          <w:szCs w:val="24"/>
          <w:highlight w:val="none"/>
        </w:rPr>
      </w:pPr>
    </w:p>
    <w:p w14:paraId="38FB5E15">
      <w:pPr>
        <w:pStyle w:val="14"/>
        <w:rPr>
          <w:rFonts w:hint="eastAsia" w:ascii="宋体" w:hAnsi="宋体" w:eastAsia="宋体" w:cs="宋体"/>
          <w:color w:val="auto"/>
          <w:sz w:val="24"/>
          <w:szCs w:val="24"/>
          <w:highlight w:val="none"/>
        </w:rPr>
      </w:pPr>
    </w:p>
    <w:p w14:paraId="62D2DDC5">
      <w:pPr>
        <w:pStyle w:val="14"/>
        <w:rPr>
          <w:rFonts w:hint="eastAsia" w:ascii="宋体" w:hAnsi="宋体" w:eastAsia="宋体" w:cs="宋体"/>
          <w:color w:val="auto"/>
          <w:sz w:val="24"/>
          <w:szCs w:val="24"/>
          <w:highlight w:val="none"/>
        </w:rPr>
      </w:pPr>
    </w:p>
    <w:p w14:paraId="39D85244">
      <w:pPr>
        <w:keepNext w:val="0"/>
        <w:keepLines w:val="0"/>
        <w:pageBreakBefore w:val="0"/>
        <w:widowControl w:val="0"/>
        <w:kinsoku/>
        <w:wordWrap/>
        <w:overflowPunct/>
        <w:topLinePunct w:val="0"/>
        <w:autoSpaceDE/>
        <w:autoSpaceDN/>
        <w:bidi w:val="0"/>
        <w:adjustRightInd w:val="0"/>
        <w:snapToGrid w:val="0"/>
        <w:spacing w:line="360" w:lineRule="auto"/>
        <w:ind w:left="2940" w:firstLine="420"/>
        <w:textAlignment w:val="auto"/>
        <w:rPr>
          <w:rFonts w:hint="eastAsia" w:ascii="宋体" w:hAnsi="宋体" w:eastAsia="宋体" w:cs="宋体"/>
          <w:color w:val="auto"/>
          <w:sz w:val="24"/>
          <w:szCs w:val="24"/>
          <w:highlight w:val="none"/>
        </w:rPr>
      </w:pPr>
    </w:p>
    <w:p w14:paraId="034325A4">
      <w:pPr>
        <w:keepNext w:val="0"/>
        <w:keepLines w:val="0"/>
        <w:pageBreakBefore w:val="0"/>
        <w:widowControl w:val="0"/>
        <w:kinsoku/>
        <w:wordWrap/>
        <w:overflowPunct/>
        <w:topLinePunct w:val="0"/>
        <w:autoSpaceDE/>
        <w:autoSpaceDN/>
        <w:bidi w:val="0"/>
        <w:adjustRightInd w:val="0"/>
        <w:snapToGrid w:val="0"/>
        <w:spacing w:line="360" w:lineRule="auto"/>
        <w:ind w:left="294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（公章）</w:t>
      </w:r>
    </w:p>
    <w:p w14:paraId="1DA3B917">
      <w:pPr>
        <w:keepNext w:val="0"/>
        <w:keepLines w:val="0"/>
        <w:pageBreakBefore w:val="0"/>
        <w:widowControl w:val="0"/>
        <w:kinsoku/>
        <w:wordWrap/>
        <w:overflowPunct/>
        <w:topLinePunct w:val="0"/>
        <w:autoSpaceDE/>
        <w:autoSpaceDN/>
        <w:bidi w:val="0"/>
        <w:adjustRightInd w:val="0"/>
        <w:snapToGrid w:val="0"/>
        <w:spacing w:line="360" w:lineRule="auto"/>
        <w:ind w:firstLine="4200" w:firstLineChars="17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4C2E971">
      <w:pPr>
        <w:spacing w:line="400" w:lineRule="exac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6D9027B1">
      <w:pPr>
        <w:spacing w:line="400" w:lineRule="exact"/>
        <w:jc w:val="center"/>
        <w:rPr>
          <w:rFonts w:hint="eastAsia" w:ascii="宋体" w:hAnsi="宋体" w:eastAsia="宋体" w:cs="宋体"/>
          <w:b/>
          <w:bCs/>
          <w:color w:val="auto"/>
          <w:sz w:val="32"/>
          <w:szCs w:val="32"/>
          <w:highlight w:val="none"/>
        </w:rPr>
      </w:pPr>
    </w:p>
    <w:p w14:paraId="415029F6">
      <w:pPr>
        <w:spacing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三、其他报价响应材料</w:t>
      </w:r>
    </w:p>
    <w:p w14:paraId="29510250">
      <w:pPr>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p w14:paraId="490EC0D2">
      <w:pPr>
        <w:spacing w:before="156"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85886B7">
      <w:pPr>
        <w:spacing w:before="156" w:line="360" w:lineRule="auto"/>
        <w:rPr>
          <w:rFonts w:hint="eastAsia" w:ascii="宋体" w:hAnsi="宋体" w:eastAsia="宋体" w:cs="宋体"/>
          <w:color w:val="auto"/>
          <w:szCs w:val="21"/>
          <w:highlight w:val="none"/>
        </w:rPr>
      </w:pPr>
    </w:p>
    <w:p w14:paraId="1475D84D">
      <w:pPr>
        <w:spacing w:before="156" w:line="360" w:lineRule="auto"/>
        <w:rPr>
          <w:rFonts w:hint="eastAsia" w:ascii="宋体" w:hAnsi="宋体" w:eastAsia="宋体" w:cs="宋体"/>
          <w:color w:val="auto"/>
          <w:szCs w:val="21"/>
          <w:highlight w:val="none"/>
        </w:rPr>
      </w:pPr>
    </w:p>
    <w:p w14:paraId="2472051A">
      <w:pPr>
        <w:spacing w:before="156" w:line="360" w:lineRule="auto"/>
        <w:rPr>
          <w:rFonts w:hint="eastAsia" w:ascii="宋体" w:hAnsi="宋体" w:eastAsia="宋体" w:cs="宋体"/>
          <w:color w:val="auto"/>
          <w:szCs w:val="21"/>
          <w:highlight w:val="none"/>
        </w:rPr>
      </w:pPr>
    </w:p>
    <w:p w14:paraId="76513D4F">
      <w:pPr>
        <w:spacing w:before="156" w:line="360" w:lineRule="auto"/>
        <w:rPr>
          <w:rFonts w:hint="eastAsia" w:ascii="宋体" w:hAnsi="宋体" w:eastAsia="宋体" w:cs="宋体"/>
          <w:color w:val="auto"/>
          <w:szCs w:val="21"/>
          <w:highlight w:val="none"/>
        </w:rPr>
      </w:pPr>
    </w:p>
    <w:p w14:paraId="5F82856E">
      <w:pPr>
        <w:spacing w:before="156" w:line="360" w:lineRule="auto"/>
        <w:rPr>
          <w:rFonts w:hint="eastAsia" w:ascii="宋体" w:hAnsi="宋体" w:eastAsia="宋体" w:cs="宋体"/>
          <w:color w:val="auto"/>
          <w:szCs w:val="21"/>
          <w:highlight w:val="none"/>
        </w:rPr>
      </w:pPr>
    </w:p>
    <w:p w14:paraId="7CFDF354">
      <w:pPr>
        <w:spacing w:before="156" w:line="360" w:lineRule="auto"/>
        <w:rPr>
          <w:rFonts w:hint="eastAsia" w:ascii="宋体" w:hAnsi="宋体" w:eastAsia="宋体" w:cs="宋体"/>
          <w:color w:val="auto"/>
          <w:szCs w:val="21"/>
          <w:highlight w:val="none"/>
        </w:rPr>
      </w:pPr>
    </w:p>
    <w:p w14:paraId="6FF90EDC">
      <w:pPr>
        <w:spacing w:before="156" w:line="360" w:lineRule="auto"/>
        <w:rPr>
          <w:rFonts w:hint="eastAsia" w:ascii="宋体" w:hAnsi="宋体" w:eastAsia="宋体" w:cs="宋体"/>
          <w:color w:val="auto"/>
          <w:szCs w:val="21"/>
          <w:highlight w:val="none"/>
        </w:rPr>
      </w:pPr>
    </w:p>
    <w:p w14:paraId="0316BA44">
      <w:pPr>
        <w:spacing w:before="156" w:line="360" w:lineRule="auto"/>
        <w:rPr>
          <w:rFonts w:hint="eastAsia" w:ascii="宋体" w:hAnsi="宋体" w:eastAsia="宋体" w:cs="宋体"/>
          <w:color w:val="auto"/>
          <w:szCs w:val="21"/>
          <w:highlight w:val="none"/>
        </w:rPr>
      </w:pPr>
    </w:p>
    <w:p w14:paraId="59F30FAF">
      <w:pPr>
        <w:rPr>
          <w:rFonts w:hint="eastAsia" w:ascii="宋体" w:hAnsi="宋体" w:eastAsia="宋体" w:cs="宋体"/>
          <w:b/>
          <w:bCs/>
          <w:color w:val="auto"/>
          <w:sz w:val="24"/>
          <w:szCs w:val="24"/>
          <w:highlight w:val="none"/>
        </w:rPr>
      </w:pPr>
    </w:p>
    <w:p w14:paraId="118332D9">
      <w:pPr>
        <w:rPr>
          <w:rFonts w:hint="eastAsia" w:ascii="宋体" w:hAnsi="宋体" w:eastAsia="宋体" w:cs="宋体"/>
          <w:color w:val="auto"/>
          <w:highlight w:val="none"/>
        </w:rPr>
      </w:pPr>
      <w:r>
        <w:rPr>
          <w:rFonts w:hint="eastAsia" w:ascii="宋体" w:hAnsi="宋体" w:eastAsia="宋体" w:cs="宋体"/>
          <w:color w:val="auto"/>
          <w:sz w:val="21"/>
          <w:szCs w:val="21"/>
          <w:highlight w:val="none"/>
        </w:rPr>
        <w:t>注：编制其他报价响应相关文件（如果需要）</w:t>
      </w:r>
    </w:p>
    <w:p w14:paraId="6FC7E766">
      <w:pPr>
        <w:widowControl/>
        <w:jc w:val="left"/>
        <w:rPr>
          <w:rFonts w:hint="eastAsia" w:ascii="宋体" w:hAnsi="宋体" w:eastAsia="宋体" w:cs="宋体"/>
          <w:color w:val="auto"/>
          <w:sz w:val="84"/>
          <w:szCs w:val="84"/>
          <w:highlight w:val="none"/>
        </w:rPr>
      </w:pPr>
      <w:r>
        <w:rPr>
          <w:rFonts w:hint="eastAsia" w:ascii="宋体" w:hAnsi="宋体" w:eastAsia="宋体" w:cs="宋体"/>
          <w:color w:val="auto"/>
          <w:kern w:val="0"/>
          <w:sz w:val="24"/>
          <w:szCs w:val="24"/>
          <w:highlight w:val="none"/>
        </w:rPr>
        <w:br w:type="page"/>
      </w:r>
    </w:p>
    <w:p w14:paraId="0E255030">
      <w:pPr>
        <w:jc w:val="center"/>
        <w:rPr>
          <w:rFonts w:hint="eastAsia" w:ascii="宋体" w:hAnsi="宋体" w:eastAsia="宋体" w:cs="宋体"/>
          <w:b/>
          <w:bCs/>
          <w:color w:val="auto"/>
          <w:sz w:val="84"/>
          <w:szCs w:val="84"/>
          <w:highlight w:val="none"/>
        </w:rPr>
      </w:pPr>
    </w:p>
    <w:p w14:paraId="7839A7EA">
      <w:pPr>
        <w:jc w:val="center"/>
        <w:rPr>
          <w:rFonts w:hint="eastAsia" w:ascii="宋体" w:hAnsi="宋体" w:eastAsia="宋体" w:cs="宋体"/>
          <w:b/>
          <w:bCs/>
          <w:color w:val="auto"/>
          <w:highlight w:val="none"/>
        </w:rPr>
      </w:pPr>
      <w:r>
        <w:rPr>
          <w:rFonts w:hint="eastAsia" w:ascii="方正小标宋_GBK" w:hAnsi="方正小标宋_GBK" w:eastAsia="方正小标宋_GBK" w:cs="方正小标宋_GBK"/>
          <w:b w:val="0"/>
          <w:bCs w:val="0"/>
          <w:color w:val="auto"/>
          <w:sz w:val="44"/>
          <w:szCs w:val="44"/>
          <w:highlight w:val="none"/>
        </w:rPr>
        <w:t>投 标 文 件</w:t>
      </w:r>
      <w:r>
        <w:rPr>
          <w:rFonts w:hint="eastAsia" w:ascii="宋体" w:hAnsi="宋体" w:eastAsia="宋体" w:cs="宋体"/>
          <w:b/>
          <w:bCs/>
          <w:color w:val="auto"/>
          <w:szCs w:val="21"/>
          <w:highlight w:val="none"/>
        </w:rPr>
        <w:t xml:space="preserve"> </w:t>
      </w:r>
    </w:p>
    <w:p w14:paraId="65CA3633">
      <w:pPr>
        <w:spacing w:before="312"/>
        <w:jc w:val="center"/>
        <w:rPr>
          <w:rFonts w:hint="eastAsia" w:ascii="宋体" w:hAnsi="宋体" w:eastAsia="宋体" w:cs="宋体"/>
          <w:b w:val="0"/>
          <w:bCs w:val="0"/>
          <w:color w:val="auto"/>
          <w:highlight w:val="none"/>
        </w:rPr>
      </w:pPr>
      <w:r>
        <w:rPr>
          <w:rFonts w:hint="eastAsia" w:ascii="宋体" w:hAnsi="宋体" w:eastAsia="宋体" w:cs="宋体"/>
          <w:b w:val="0"/>
          <w:bCs w:val="0"/>
          <w:color w:val="auto"/>
          <w:sz w:val="36"/>
          <w:szCs w:val="36"/>
          <w:highlight w:val="none"/>
          <w:lang w:eastAsia="zh-CN"/>
        </w:rPr>
        <w:t>（</w:t>
      </w:r>
      <w:r>
        <w:rPr>
          <w:rFonts w:hint="eastAsia" w:ascii="宋体" w:hAnsi="宋体" w:eastAsia="宋体" w:cs="宋体"/>
          <w:b w:val="0"/>
          <w:bCs w:val="0"/>
          <w:color w:val="auto"/>
          <w:sz w:val="36"/>
          <w:szCs w:val="36"/>
          <w:highlight w:val="none"/>
        </w:rPr>
        <w:t>商务技术响应文件</w:t>
      </w:r>
      <w:r>
        <w:rPr>
          <w:rFonts w:hint="eastAsia" w:ascii="宋体" w:hAnsi="宋体" w:eastAsia="宋体" w:cs="宋体"/>
          <w:b w:val="0"/>
          <w:bCs w:val="0"/>
          <w:color w:val="auto"/>
          <w:sz w:val="36"/>
          <w:szCs w:val="36"/>
          <w:highlight w:val="none"/>
          <w:lang w:eastAsia="zh-CN"/>
        </w:rPr>
        <w:t>）</w:t>
      </w:r>
      <w:r>
        <w:rPr>
          <w:rFonts w:hint="eastAsia" w:ascii="宋体" w:hAnsi="宋体" w:eastAsia="宋体" w:cs="宋体"/>
          <w:b w:val="0"/>
          <w:bCs w:val="0"/>
          <w:color w:val="auto"/>
          <w:szCs w:val="21"/>
          <w:highlight w:val="none"/>
        </w:rPr>
        <w:t xml:space="preserve"> </w:t>
      </w:r>
    </w:p>
    <w:p w14:paraId="5D6BE6E7">
      <w:pP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p w14:paraId="7936A890">
      <w:pPr>
        <w:rPr>
          <w:rFonts w:hint="eastAsia" w:ascii="宋体" w:hAnsi="宋体" w:eastAsia="宋体" w:cs="宋体"/>
          <w:color w:val="auto"/>
          <w:sz w:val="32"/>
          <w:szCs w:val="32"/>
          <w:highlight w:val="none"/>
        </w:rPr>
      </w:pPr>
    </w:p>
    <w:p w14:paraId="7A102CCE">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w:t>
      </w:r>
    </w:p>
    <w:p w14:paraId="27B8D441">
      <w:pPr>
        <w:rPr>
          <w:rFonts w:hint="eastAsia" w:ascii="宋体" w:hAnsi="宋体" w:eastAsia="宋体" w:cs="宋体"/>
          <w:color w:val="auto"/>
          <w:highlight w:val="none"/>
        </w:rPr>
      </w:pPr>
      <w:r>
        <w:rPr>
          <w:rFonts w:hint="eastAsia" w:ascii="宋体" w:hAnsi="宋体" w:eastAsia="宋体" w:cs="宋体"/>
          <w:color w:val="auto"/>
          <w:sz w:val="32"/>
          <w:szCs w:val="32"/>
          <w:highlight w:val="none"/>
        </w:rPr>
        <w:t>                   </w:t>
      </w:r>
      <w:r>
        <w:rPr>
          <w:rFonts w:hint="eastAsia" w:ascii="宋体" w:hAnsi="宋体" w:eastAsia="宋体" w:cs="宋体"/>
          <w:color w:val="auto"/>
          <w:szCs w:val="21"/>
          <w:highlight w:val="none"/>
        </w:rPr>
        <w:t xml:space="preserve"> </w:t>
      </w:r>
    </w:p>
    <w:p w14:paraId="32A65BBE">
      <w:pPr>
        <w:spacing w:line="360" w:lineRule="auto"/>
        <w:ind w:firstLine="361" w:firstLineChars="100"/>
        <w:rPr>
          <w:rFonts w:hint="eastAsia" w:ascii="宋体" w:hAnsi="宋体" w:eastAsia="宋体" w:cs="宋体"/>
          <w:color w:val="auto"/>
          <w:sz w:val="36"/>
          <w:szCs w:val="36"/>
          <w:highlight w:val="none"/>
        </w:rPr>
      </w:pPr>
      <w:r>
        <w:rPr>
          <w:rFonts w:hint="eastAsia" w:ascii="宋体" w:hAnsi="宋体" w:eastAsia="宋体" w:cs="宋体"/>
          <w:b/>
          <w:bCs/>
          <w:color w:val="auto"/>
          <w:sz w:val="36"/>
          <w:szCs w:val="36"/>
          <w:highlight w:val="none"/>
        </w:rPr>
        <w:t>项目名称：  </w:t>
      </w:r>
      <w:r>
        <w:rPr>
          <w:rFonts w:hint="eastAsia" w:ascii="宋体" w:hAnsi="宋体" w:eastAsia="宋体" w:cs="宋体"/>
          <w:color w:val="auto"/>
          <w:sz w:val="36"/>
          <w:szCs w:val="36"/>
          <w:highlight w:val="none"/>
        </w:rPr>
        <w:t xml:space="preserve"> </w:t>
      </w:r>
    </w:p>
    <w:p w14:paraId="190C6F8E">
      <w:pPr>
        <w:spacing w:line="360" w:lineRule="auto"/>
        <w:ind w:firstLine="361" w:firstLineChars="100"/>
        <w:rPr>
          <w:rFonts w:hint="eastAsia" w:ascii="宋体" w:hAnsi="宋体" w:eastAsia="宋体" w:cs="宋体"/>
          <w:color w:val="auto"/>
          <w:sz w:val="36"/>
          <w:szCs w:val="36"/>
          <w:highlight w:val="none"/>
        </w:rPr>
      </w:pPr>
      <w:r>
        <w:rPr>
          <w:rFonts w:hint="eastAsia" w:ascii="宋体" w:hAnsi="宋体" w:eastAsia="宋体" w:cs="宋体"/>
          <w:b/>
          <w:bCs/>
          <w:color w:val="auto"/>
          <w:sz w:val="36"/>
          <w:szCs w:val="36"/>
          <w:highlight w:val="none"/>
        </w:rPr>
        <w:t>项目编号：</w:t>
      </w:r>
      <w:r>
        <w:rPr>
          <w:rFonts w:hint="eastAsia" w:ascii="宋体" w:hAnsi="宋体" w:eastAsia="宋体" w:cs="宋体"/>
          <w:color w:val="auto"/>
          <w:sz w:val="36"/>
          <w:szCs w:val="36"/>
          <w:highlight w:val="none"/>
        </w:rPr>
        <w:t xml:space="preserve"> </w:t>
      </w:r>
    </w:p>
    <w:p w14:paraId="1D3FAF46">
      <w:pPr>
        <w:ind w:firstLine="150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 xml:space="preserve">  </w:t>
      </w:r>
    </w:p>
    <w:p w14:paraId="34CF12E5">
      <w:pPr>
        <w:ind w:firstLine="1500"/>
        <w:rPr>
          <w:rFonts w:hint="eastAsia" w:ascii="宋体" w:hAnsi="宋体" w:eastAsia="宋体" w:cs="宋体"/>
          <w:color w:val="auto"/>
          <w:sz w:val="36"/>
          <w:szCs w:val="36"/>
          <w:highlight w:val="none"/>
        </w:rPr>
      </w:pPr>
    </w:p>
    <w:p w14:paraId="1494431F">
      <w:pPr>
        <w:ind w:firstLine="1500"/>
        <w:rPr>
          <w:rFonts w:hint="eastAsia" w:ascii="宋体" w:hAnsi="宋体" w:eastAsia="宋体" w:cs="宋体"/>
          <w:color w:val="auto"/>
          <w:sz w:val="36"/>
          <w:szCs w:val="36"/>
          <w:highlight w:val="none"/>
        </w:rPr>
      </w:pPr>
    </w:p>
    <w:p w14:paraId="043FA9F5">
      <w:pPr>
        <w:ind w:firstLine="1500"/>
        <w:rPr>
          <w:rFonts w:hint="eastAsia" w:ascii="宋体" w:hAnsi="宋体" w:eastAsia="宋体" w:cs="宋体"/>
          <w:color w:val="auto"/>
          <w:sz w:val="36"/>
          <w:szCs w:val="36"/>
          <w:highlight w:val="none"/>
        </w:rPr>
      </w:pPr>
    </w:p>
    <w:p w14:paraId="7F62CC4C">
      <w:pPr>
        <w:rPr>
          <w:rFonts w:hint="eastAsia" w:ascii="宋体" w:hAnsi="宋体" w:eastAsia="宋体" w:cs="宋体"/>
          <w:color w:val="auto"/>
          <w:sz w:val="36"/>
          <w:szCs w:val="36"/>
          <w:highlight w:val="none"/>
        </w:rPr>
      </w:pPr>
    </w:p>
    <w:p w14:paraId="4E7FA543">
      <w:pPr>
        <w:ind w:firstLine="1500"/>
        <w:rPr>
          <w:rFonts w:hint="eastAsia" w:ascii="宋体" w:hAnsi="宋体" w:eastAsia="宋体" w:cs="宋体"/>
          <w:color w:val="auto"/>
          <w:sz w:val="36"/>
          <w:szCs w:val="36"/>
          <w:highlight w:val="none"/>
        </w:rPr>
      </w:pPr>
    </w:p>
    <w:p w14:paraId="6C40A643">
      <w:pP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 xml:space="preserve">  </w:t>
      </w:r>
    </w:p>
    <w:p w14:paraId="310302A6">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投标人：__________________________</w:t>
      </w:r>
    </w:p>
    <w:p w14:paraId="526374C5">
      <w:pPr>
        <w:ind w:firstLine="4800"/>
        <w:jc w:val="center"/>
        <w:rPr>
          <w:rFonts w:hint="eastAsia" w:ascii="宋体" w:hAnsi="宋体" w:eastAsia="宋体" w:cs="宋体"/>
          <w:b/>
          <w:color w:val="auto"/>
          <w:sz w:val="36"/>
          <w:szCs w:val="36"/>
          <w:highlight w:val="none"/>
        </w:rPr>
      </w:pPr>
    </w:p>
    <w:p w14:paraId="2DB5759A">
      <w:pPr>
        <w:widowControl/>
        <w:jc w:val="center"/>
        <w:rPr>
          <w:rFonts w:hint="eastAsia" w:ascii="宋体" w:hAnsi="宋体" w:eastAsia="宋体" w:cs="宋体"/>
          <w:color w:val="auto"/>
          <w:kern w:val="0"/>
          <w:sz w:val="36"/>
          <w:szCs w:val="36"/>
          <w:highlight w:val="none"/>
        </w:rPr>
      </w:pPr>
      <w:r>
        <w:rPr>
          <w:rFonts w:hint="eastAsia" w:ascii="宋体" w:hAnsi="宋体" w:eastAsia="宋体" w:cs="宋体"/>
          <w:b/>
          <w:color w:val="auto"/>
          <w:sz w:val="36"/>
          <w:szCs w:val="36"/>
          <w:highlight w:val="none"/>
        </w:rPr>
        <w:t>年   月   日</w:t>
      </w:r>
    </w:p>
    <w:p w14:paraId="3C3F5765">
      <w:pPr>
        <w:widowControl/>
        <w:jc w:val="left"/>
        <w:rPr>
          <w:rFonts w:hint="eastAsia" w:ascii="宋体" w:hAnsi="宋体" w:eastAsia="宋体" w:cs="宋体"/>
          <w:color w:val="auto"/>
          <w:kern w:val="0"/>
          <w:sz w:val="24"/>
          <w:szCs w:val="24"/>
          <w:highlight w:val="none"/>
        </w:rPr>
      </w:pPr>
    </w:p>
    <w:p w14:paraId="11A1482E">
      <w:pPr>
        <w:pStyle w:val="11"/>
        <w:rPr>
          <w:rFonts w:hint="eastAsia" w:ascii="宋体" w:hAnsi="宋体" w:eastAsia="宋体" w:cs="宋体"/>
          <w:color w:val="auto"/>
          <w:kern w:val="0"/>
          <w:sz w:val="24"/>
          <w:szCs w:val="24"/>
          <w:highlight w:val="none"/>
        </w:rPr>
      </w:pPr>
    </w:p>
    <w:p w14:paraId="6848BC96">
      <w:pPr>
        <w:spacing w:line="400" w:lineRule="exact"/>
        <w:ind w:right="420"/>
        <w:jc w:val="center"/>
        <w:rPr>
          <w:rFonts w:hint="eastAsia" w:ascii="宋体" w:hAnsi="宋体" w:eastAsia="宋体" w:cs="宋体"/>
          <w:b/>
          <w:color w:val="auto"/>
          <w:sz w:val="32"/>
          <w:szCs w:val="32"/>
          <w:highlight w:val="none"/>
        </w:rPr>
      </w:pPr>
    </w:p>
    <w:p w14:paraId="03623E7A">
      <w:pPr>
        <w:keepNext w:val="0"/>
        <w:keepLines w:val="0"/>
        <w:pageBreakBefore w:val="0"/>
        <w:widowControl w:val="0"/>
        <w:kinsoku/>
        <w:wordWrap/>
        <w:overflowPunct/>
        <w:topLinePunct w:val="0"/>
        <w:autoSpaceDE/>
        <w:autoSpaceDN/>
        <w:bidi w:val="0"/>
        <w:spacing w:line="360" w:lineRule="auto"/>
        <w:ind w:right="56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实质性格式</w:t>
      </w:r>
    </w:p>
    <w:p w14:paraId="490CC306">
      <w:pPr>
        <w:keepNext w:val="0"/>
        <w:keepLines w:val="0"/>
        <w:pageBreakBefore w:val="0"/>
        <w:widowControl w:val="0"/>
        <w:kinsoku/>
        <w:wordWrap/>
        <w:overflowPunct/>
        <w:topLinePunct w:val="0"/>
        <w:autoSpaceDE/>
        <w:autoSpaceDN/>
        <w:bidi w:val="0"/>
        <w:spacing w:line="360" w:lineRule="auto"/>
        <w:ind w:right="420"/>
        <w:jc w:val="both"/>
        <w:textAlignment w:val="auto"/>
        <w:rPr>
          <w:rFonts w:hint="eastAsia" w:ascii="宋体" w:hAnsi="宋体" w:eastAsia="宋体" w:cs="宋体"/>
          <w:b/>
          <w:color w:val="auto"/>
          <w:sz w:val="32"/>
          <w:szCs w:val="32"/>
          <w:highlight w:val="none"/>
        </w:rPr>
      </w:pPr>
    </w:p>
    <w:p w14:paraId="25B4FD19">
      <w:pPr>
        <w:keepNext w:val="0"/>
        <w:keepLines w:val="0"/>
        <w:pageBreakBefore w:val="0"/>
        <w:widowControl w:val="0"/>
        <w:kinsoku/>
        <w:wordWrap/>
        <w:overflowPunct/>
        <w:topLinePunct w:val="0"/>
        <w:autoSpaceDE/>
        <w:autoSpaceDN/>
        <w:bidi w:val="0"/>
        <w:spacing w:line="360" w:lineRule="auto"/>
        <w:ind w:right="420"/>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一、投标人基本情况</w:t>
      </w:r>
    </w:p>
    <w:p w14:paraId="336D4D3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p w14:paraId="2AF6AC8D">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1、名称及概况： </w:t>
      </w:r>
    </w:p>
    <w:p w14:paraId="56D9170E">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 投标人名称：                          </w:t>
      </w:r>
    </w:p>
    <w:p w14:paraId="43473822">
      <w:pPr>
        <w:keepNext w:val="0"/>
        <w:keepLines w:val="0"/>
        <w:pageBreakBefore w:val="0"/>
        <w:widowControl w:val="0"/>
        <w:kinsoku/>
        <w:wordWrap/>
        <w:overflowPunct/>
        <w:topLinePunct w:val="0"/>
        <w:autoSpaceDE/>
        <w:autoSpaceDN/>
        <w:bidi w:val="0"/>
        <w:adjustRightInd w:val="0"/>
        <w:snapToGrid w:val="0"/>
        <w:spacing w:line="360" w:lineRule="auto"/>
        <w:ind w:firstLine="955" w:firstLineChars="3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p>
    <w:p w14:paraId="31604BEE">
      <w:pPr>
        <w:keepNext w:val="0"/>
        <w:keepLines w:val="0"/>
        <w:pageBreakBefore w:val="0"/>
        <w:widowControl w:val="0"/>
        <w:kinsoku/>
        <w:wordWrap/>
        <w:overflowPunct/>
        <w:topLinePunct w:val="0"/>
        <w:autoSpaceDE/>
        <w:autoSpaceDN/>
        <w:bidi w:val="0"/>
        <w:adjustRightInd w:val="0"/>
        <w:snapToGrid w:val="0"/>
        <w:spacing w:line="360" w:lineRule="auto"/>
        <w:ind w:firstLine="955" w:firstLineChars="3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传真/电话号码：                邮政编码：        </w:t>
      </w:r>
    </w:p>
    <w:p w14:paraId="459C64C8">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成立或注册日期：                   ; </w:t>
      </w:r>
    </w:p>
    <w:p w14:paraId="02F8BE98">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 统一社会信用代码：                  </w:t>
      </w:r>
    </w:p>
    <w:p w14:paraId="267D9ADE">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 法定代表人（或经营者/执行事务合伙人/负责人/自然人）姓名：                                              </w:t>
      </w:r>
    </w:p>
    <w:p w14:paraId="6784EA01">
      <w:pPr>
        <w:keepNext w:val="0"/>
        <w:keepLines w:val="0"/>
        <w:pageBreakBefore w:val="0"/>
        <w:widowControl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2、经营范围：                          </w:t>
      </w:r>
    </w:p>
    <w:p w14:paraId="3D2C9C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3、近年营业额： </w:t>
      </w:r>
    </w:p>
    <w:tbl>
      <w:tblPr>
        <w:tblStyle w:val="31"/>
        <w:tblW w:w="0" w:type="dxa"/>
        <w:tblInd w:w="817" w:type="dxa"/>
        <w:tblLayout w:type="fixed"/>
        <w:tblCellMar>
          <w:top w:w="0" w:type="dxa"/>
          <w:left w:w="0" w:type="dxa"/>
          <w:bottom w:w="0" w:type="dxa"/>
          <w:right w:w="0" w:type="dxa"/>
        </w:tblCellMar>
      </w:tblPr>
      <w:tblGrid>
        <w:gridCol w:w="2835"/>
        <w:gridCol w:w="4820"/>
      </w:tblGrid>
      <w:tr w14:paraId="75BF66F7">
        <w:tblPrEx>
          <w:tblCellMar>
            <w:top w:w="0" w:type="dxa"/>
            <w:left w:w="0" w:type="dxa"/>
            <w:bottom w:w="0" w:type="dxa"/>
            <w:right w:w="0" w:type="dxa"/>
          </w:tblCellMar>
        </w:tblPrEx>
        <w:trPr>
          <w:trHeight w:val="483" w:hRule="atLeast"/>
        </w:trPr>
        <w:tc>
          <w:tcPr>
            <w:tcW w:w="2835"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F36233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年度 </w:t>
            </w:r>
          </w:p>
        </w:tc>
        <w:tc>
          <w:tcPr>
            <w:tcW w:w="4820"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31DBBB8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总额 </w:t>
            </w:r>
          </w:p>
        </w:tc>
      </w:tr>
      <w:tr w14:paraId="024FBAFF">
        <w:tblPrEx>
          <w:tblCellMar>
            <w:top w:w="0" w:type="dxa"/>
            <w:left w:w="0" w:type="dxa"/>
            <w:bottom w:w="0" w:type="dxa"/>
            <w:right w:w="0" w:type="dxa"/>
          </w:tblCellMar>
        </w:tblPrEx>
        <w:trPr>
          <w:trHeight w:val="483" w:hRule="atLeast"/>
        </w:trPr>
        <w:tc>
          <w:tcPr>
            <w:tcW w:w="2835"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2D2CC9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4820" w:type="dxa"/>
            <w:tcBorders>
              <w:top w:val="nil"/>
              <w:left w:val="nil"/>
              <w:bottom w:val="single" w:color="000000" w:sz="8" w:space="0"/>
              <w:right w:val="single" w:color="000000" w:sz="8" w:space="0"/>
            </w:tcBorders>
            <w:tcMar>
              <w:top w:w="0" w:type="dxa"/>
              <w:left w:w="108" w:type="dxa"/>
              <w:bottom w:w="0" w:type="dxa"/>
              <w:right w:w="108" w:type="dxa"/>
            </w:tcMar>
          </w:tcPr>
          <w:p w14:paraId="04EA68E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7CE95690">
        <w:tblPrEx>
          <w:tblCellMar>
            <w:top w:w="0" w:type="dxa"/>
            <w:left w:w="0" w:type="dxa"/>
            <w:bottom w:w="0" w:type="dxa"/>
            <w:right w:w="0" w:type="dxa"/>
          </w:tblCellMar>
        </w:tblPrEx>
        <w:trPr>
          <w:trHeight w:val="483" w:hRule="atLeast"/>
        </w:trPr>
        <w:tc>
          <w:tcPr>
            <w:tcW w:w="2835"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9C24D8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4820" w:type="dxa"/>
            <w:tcBorders>
              <w:top w:val="nil"/>
              <w:left w:val="nil"/>
              <w:bottom w:val="single" w:color="000000" w:sz="8" w:space="0"/>
              <w:right w:val="single" w:color="000000" w:sz="8" w:space="0"/>
            </w:tcBorders>
            <w:tcMar>
              <w:top w:w="0" w:type="dxa"/>
              <w:left w:w="108" w:type="dxa"/>
              <w:bottom w:w="0" w:type="dxa"/>
              <w:right w:w="108" w:type="dxa"/>
            </w:tcMar>
          </w:tcPr>
          <w:p w14:paraId="4560F7A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64742A0B">
        <w:tblPrEx>
          <w:tblCellMar>
            <w:top w:w="0" w:type="dxa"/>
            <w:left w:w="0" w:type="dxa"/>
            <w:bottom w:w="0" w:type="dxa"/>
            <w:right w:w="0" w:type="dxa"/>
          </w:tblCellMar>
        </w:tblPrEx>
        <w:trPr>
          <w:trHeight w:val="483" w:hRule="atLeast"/>
        </w:trPr>
        <w:tc>
          <w:tcPr>
            <w:tcW w:w="2835"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5DB734C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4820" w:type="dxa"/>
            <w:tcBorders>
              <w:top w:val="nil"/>
              <w:left w:val="nil"/>
              <w:bottom w:val="single" w:color="000000" w:sz="8" w:space="0"/>
              <w:right w:val="single" w:color="000000" w:sz="8" w:space="0"/>
            </w:tcBorders>
            <w:tcMar>
              <w:top w:w="0" w:type="dxa"/>
              <w:left w:w="108" w:type="dxa"/>
              <w:bottom w:w="0" w:type="dxa"/>
              <w:right w:w="108" w:type="dxa"/>
            </w:tcMar>
          </w:tcPr>
          <w:p w14:paraId="2B3E232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bl>
    <w:p w14:paraId="69B845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4、近年该货物（服务）主要销售客户的名称地址(可另附页)： </w:t>
      </w:r>
    </w:p>
    <w:p w14:paraId="14066E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（用户名称和地址）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（销售项目名称） </w:t>
      </w:r>
    </w:p>
    <w:p w14:paraId="3C7AC9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（用户名称和地址）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（销售项目名称） </w:t>
      </w:r>
    </w:p>
    <w:p w14:paraId="5B030C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5、同意为投标人制造货物的制造商名称、地址（非制造商填写） </w:t>
      </w:r>
    </w:p>
    <w:p w14:paraId="0403B069">
      <w:pPr>
        <w:keepNext w:val="0"/>
        <w:keepLines w:val="0"/>
        <w:pageBreakBefore w:val="0"/>
        <w:widowControl w:val="0"/>
        <w:kinsoku/>
        <w:wordWrap/>
        <w:overflowPunct/>
        <w:topLinePunct w:val="0"/>
        <w:autoSpaceDE/>
        <w:autoSpaceDN/>
        <w:bidi w:val="0"/>
        <w:adjustRightInd w:val="0"/>
        <w:snapToGrid w:val="0"/>
        <w:spacing w:line="360" w:lineRule="auto"/>
        <w:ind w:left="42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w:t>
      </w:r>
    </w:p>
    <w:p w14:paraId="234893D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                                   </w:t>
      </w:r>
    </w:p>
    <w:p w14:paraId="732BCEC9">
      <w:pPr>
        <w:keepNext w:val="0"/>
        <w:keepLines w:val="0"/>
        <w:pageBreakBefore w:val="0"/>
        <w:widowControl w:val="0"/>
        <w:kinsoku/>
        <w:wordWrap/>
        <w:overflowPunct/>
        <w:topLinePunct w:val="0"/>
        <w:autoSpaceDE/>
        <w:autoSpaceDN/>
        <w:bidi w:val="0"/>
        <w:adjustRightInd w:val="0"/>
        <w:snapToGrid w:val="0"/>
        <w:spacing w:line="360" w:lineRule="auto"/>
        <w:ind w:left="42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6、近年类似项目业绩（可另附页）： </w:t>
      </w:r>
    </w:p>
    <w:p w14:paraId="1FFE43FB">
      <w:pPr>
        <w:keepNext w:val="0"/>
        <w:keepLines w:val="0"/>
        <w:pageBreakBefore w:val="0"/>
        <w:widowControl w:val="0"/>
        <w:kinsoku/>
        <w:wordWrap/>
        <w:overflowPunct/>
        <w:topLinePunct w:val="0"/>
        <w:autoSpaceDE/>
        <w:autoSpaceDN/>
        <w:bidi w:val="0"/>
        <w:adjustRightInd w:val="0"/>
        <w:snapToGrid w:val="0"/>
        <w:spacing w:line="360" w:lineRule="auto"/>
        <w:ind w:left="42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430ADFBC">
      <w:pPr>
        <w:keepNext w:val="0"/>
        <w:keepLines w:val="0"/>
        <w:pageBreakBefore w:val="0"/>
        <w:widowControl w:val="0"/>
        <w:kinsoku/>
        <w:wordWrap/>
        <w:overflowPunct/>
        <w:topLinePunct w:val="0"/>
        <w:autoSpaceDE/>
        <w:autoSpaceDN/>
        <w:bidi w:val="0"/>
        <w:adjustRightInd w:val="0"/>
        <w:snapToGrid w:val="0"/>
        <w:spacing w:line="360" w:lineRule="auto"/>
        <w:ind w:left="42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F502EB7">
      <w:pPr>
        <w:keepNext w:val="0"/>
        <w:keepLines w:val="0"/>
        <w:pageBreakBefore w:val="0"/>
        <w:widowControl w:val="0"/>
        <w:kinsoku/>
        <w:wordWrap/>
        <w:overflowPunct/>
        <w:topLinePunct w:val="0"/>
        <w:autoSpaceDE/>
        <w:autoSpaceDN/>
        <w:bidi w:val="0"/>
        <w:adjustRightInd w:val="0"/>
        <w:snapToGrid w:val="0"/>
        <w:spacing w:line="360" w:lineRule="auto"/>
        <w:ind w:left="42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22F865A">
      <w:pPr>
        <w:keepNext w:val="0"/>
        <w:keepLines w:val="0"/>
        <w:pageBreakBefore w:val="0"/>
        <w:widowControl w:val="0"/>
        <w:kinsoku/>
        <w:wordWrap/>
        <w:overflowPunct/>
        <w:topLinePunct w:val="0"/>
        <w:autoSpaceDE/>
        <w:autoSpaceDN/>
        <w:bidi w:val="0"/>
        <w:adjustRightInd w:val="0"/>
        <w:snapToGrid w:val="0"/>
        <w:spacing w:line="360" w:lineRule="auto"/>
        <w:ind w:left="42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285B959">
      <w:pPr>
        <w:keepNext w:val="0"/>
        <w:keepLines w:val="0"/>
        <w:pageBreakBefore w:val="0"/>
        <w:widowControl w:val="0"/>
        <w:kinsoku/>
        <w:wordWrap/>
        <w:overflowPunct/>
        <w:topLinePunct w:val="0"/>
        <w:autoSpaceDE/>
        <w:autoSpaceDN/>
        <w:bidi w:val="0"/>
        <w:adjustRightInd w:val="0"/>
        <w:snapToGrid w:val="0"/>
        <w:spacing w:line="360" w:lineRule="auto"/>
        <w:ind w:left="420" w:leftChars="200" w:firstLine="120" w:firstLineChars="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7、开立账户银行的名称和地址</w:t>
      </w:r>
      <w:r>
        <w:rPr>
          <w:rFonts w:hint="eastAsia" w:ascii="宋体" w:hAnsi="宋体" w:eastAsia="宋体" w:cs="宋体"/>
          <w:color w:val="auto"/>
          <w:sz w:val="24"/>
          <w:szCs w:val="24"/>
          <w:highlight w:val="none"/>
          <w:u w:val="single"/>
        </w:rPr>
        <w:t>                               </w:t>
      </w:r>
    </w:p>
    <w:p w14:paraId="43EF23E8">
      <w:pPr>
        <w:keepNext w:val="0"/>
        <w:keepLines w:val="0"/>
        <w:pageBreakBefore w:val="0"/>
        <w:widowControl w:val="0"/>
        <w:kinsoku/>
        <w:wordWrap/>
        <w:overflowPunct/>
        <w:topLinePunct w:val="0"/>
        <w:autoSpaceDE/>
        <w:autoSpaceDN/>
        <w:bidi w:val="0"/>
        <w:adjustRightInd w:val="0"/>
        <w:snapToGrid w:val="0"/>
        <w:spacing w:line="360" w:lineRule="auto"/>
        <w:ind w:left="420" w:leftChars="200" w:firstLine="120" w:firstLineChars="5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（提供开立账户银行存款账户信息扫描件）</w:t>
      </w:r>
    </w:p>
    <w:tbl>
      <w:tblPr>
        <w:tblStyle w:val="31"/>
        <w:tblW w:w="0" w:type="dxa"/>
        <w:jc w:val="center"/>
        <w:tblLayout w:type="fixed"/>
        <w:tblCellMar>
          <w:top w:w="0" w:type="dxa"/>
          <w:left w:w="0" w:type="dxa"/>
          <w:bottom w:w="0" w:type="dxa"/>
          <w:right w:w="0" w:type="dxa"/>
        </w:tblCellMar>
      </w:tblPr>
      <w:tblGrid>
        <w:gridCol w:w="8485"/>
      </w:tblGrid>
      <w:tr w14:paraId="45C40DA9">
        <w:tblPrEx>
          <w:tblCellMar>
            <w:top w:w="0" w:type="dxa"/>
            <w:left w:w="0" w:type="dxa"/>
            <w:bottom w:w="0" w:type="dxa"/>
            <w:right w:w="0" w:type="dxa"/>
          </w:tblCellMar>
        </w:tblPrEx>
        <w:trPr>
          <w:trHeight w:val="3335" w:hRule="atLeast"/>
          <w:jc w:val="center"/>
        </w:trPr>
        <w:tc>
          <w:tcPr>
            <w:tcW w:w="8485"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EC5D554">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存款账户信息扫描件</w:t>
            </w:r>
          </w:p>
        </w:tc>
      </w:tr>
    </w:tbl>
    <w:p w14:paraId="316BCD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8、供应商直接控股股东信息</w:t>
      </w:r>
    </w:p>
    <w:tbl>
      <w:tblPr>
        <w:tblStyle w:val="31"/>
        <w:tblW w:w="4989" w:type="pct"/>
        <w:tblInd w:w="0" w:type="dxa"/>
        <w:tblLayout w:type="autofit"/>
        <w:tblCellMar>
          <w:top w:w="0" w:type="dxa"/>
          <w:left w:w="0" w:type="dxa"/>
          <w:bottom w:w="0" w:type="dxa"/>
          <w:right w:w="0" w:type="dxa"/>
        </w:tblCellMar>
      </w:tblPr>
      <w:tblGrid>
        <w:gridCol w:w="936"/>
        <w:gridCol w:w="2783"/>
        <w:gridCol w:w="1437"/>
        <w:gridCol w:w="3686"/>
        <w:gridCol w:w="1098"/>
      </w:tblGrid>
      <w:tr w14:paraId="2CDE2E73">
        <w:tblPrEx>
          <w:tblCellMar>
            <w:top w:w="0" w:type="dxa"/>
            <w:left w:w="0" w:type="dxa"/>
            <w:bottom w:w="0" w:type="dxa"/>
            <w:right w:w="0" w:type="dxa"/>
          </w:tblCellMar>
        </w:tblPrEx>
        <w:trPr>
          <w:trHeight w:val="483" w:hRule="atLeast"/>
        </w:trPr>
        <w:tc>
          <w:tcPr>
            <w:tcW w:w="365"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D79599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序号 </w:t>
            </w:r>
          </w:p>
        </w:tc>
        <w:tc>
          <w:tcPr>
            <w:tcW w:w="1426"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759CFCD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直接控股股东名称 </w:t>
            </w:r>
          </w:p>
        </w:tc>
        <w:tc>
          <w:tcPr>
            <w:tcW w:w="749"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3622E1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出资比例</w:t>
            </w:r>
          </w:p>
        </w:tc>
        <w:tc>
          <w:tcPr>
            <w:tcW w:w="1880"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0B114A8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身份证号码或统一社会信用代码</w:t>
            </w:r>
          </w:p>
        </w:tc>
        <w:tc>
          <w:tcPr>
            <w:tcW w:w="578"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645572D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3305ED8F">
        <w:tblPrEx>
          <w:tblCellMar>
            <w:top w:w="0" w:type="dxa"/>
            <w:left w:w="0" w:type="dxa"/>
            <w:bottom w:w="0" w:type="dxa"/>
            <w:right w:w="0" w:type="dxa"/>
          </w:tblCellMar>
        </w:tblPrEx>
        <w:trPr>
          <w:trHeight w:val="483" w:hRule="atLeast"/>
        </w:trPr>
        <w:tc>
          <w:tcPr>
            <w:tcW w:w="365"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6E88E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1</w:t>
            </w:r>
          </w:p>
        </w:tc>
        <w:tc>
          <w:tcPr>
            <w:tcW w:w="1426" w:type="pct"/>
            <w:tcBorders>
              <w:top w:val="nil"/>
              <w:left w:val="nil"/>
              <w:bottom w:val="single" w:color="000000" w:sz="8" w:space="0"/>
              <w:right w:val="single" w:color="000000" w:sz="8" w:space="0"/>
            </w:tcBorders>
            <w:tcMar>
              <w:top w:w="0" w:type="dxa"/>
              <w:left w:w="108" w:type="dxa"/>
              <w:bottom w:w="0" w:type="dxa"/>
              <w:right w:w="108" w:type="dxa"/>
            </w:tcMar>
          </w:tcPr>
          <w:p w14:paraId="3DEAA6E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749" w:type="pct"/>
            <w:tcBorders>
              <w:top w:val="nil"/>
              <w:left w:val="nil"/>
              <w:bottom w:val="single" w:color="000000" w:sz="8" w:space="0"/>
              <w:right w:val="single" w:color="000000" w:sz="8" w:space="0"/>
            </w:tcBorders>
            <w:tcMar>
              <w:top w:w="0" w:type="dxa"/>
              <w:left w:w="108" w:type="dxa"/>
              <w:bottom w:w="0" w:type="dxa"/>
              <w:right w:w="108" w:type="dxa"/>
            </w:tcMar>
          </w:tcPr>
          <w:p w14:paraId="79C4CC6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1880" w:type="pct"/>
            <w:tcBorders>
              <w:top w:val="nil"/>
              <w:left w:val="nil"/>
              <w:bottom w:val="single" w:color="000000" w:sz="8" w:space="0"/>
              <w:right w:val="single" w:color="000000" w:sz="8" w:space="0"/>
            </w:tcBorders>
            <w:tcMar>
              <w:top w:w="0" w:type="dxa"/>
              <w:left w:w="108" w:type="dxa"/>
              <w:bottom w:w="0" w:type="dxa"/>
              <w:right w:w="108" w:type="dxa"/>
            </w:tcMar>
          </w:tcPr>
          <w:p w14:paraId="6787E1B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578" w:type="pct"/>
            <w:tcBorders>
              <w:top w:val="nil"/>
              <w:left w:val="nil"/>
              <w:bottom w:val="single" w:color="000000" w:sz="8" w:space="0"/>
              <w:right w:val="single" w:color="000000" w:sz="8" w:space="0"/>
            </w:tcBorders>
            <w:tcMar>
              <w:top w:w="0" w:type="dxa"/>
              <w:left w:w="108" w:type="dxa"/>
              <w:bottom w:w="0" w:type="dxa"/>
              <w:right w:w="108" w:type="dxa"/>
            </w:tcMar>
          </w:tcPr>
          <w:p w14:paraId="6BD9165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r w14:paraId="005C9E0A">
        <w:tblPrEx>
          <w:tblCellMar>
            <w:top w:w="0" w:type="dxa"/>
            <w:left w:w="0" w:type="dxa"/>
            <w:bottom w:w="0" w:type="dxa"/>
            <w:right w:w="0" w:type="dxa"/>
          </w:tblCellMar>
        </w:tblPrEx>
        <w:trPr>
          <w:trHeight w:val="483" w:hRule="atLeast"/>
        </w:trPr>
        <w:tc>
          <w:tcPr>
            <w:tcW w:w="365"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7BE4F2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2</w:t>
            </w:r>
          </w:p>
        </w:tc>
        <w:tc>
          <w:tcPr>
            <w:tcW w:w="1426" w:type="pct"/>
            <w:tcBorders>
              <w:top w:val="nil"/>
              <w:left w:val="nil"/>
              <w:bottom w:val="single" w:color="000000" w:sz="8" w:space="0"/>
              <w:right w:val="single" w:color="000000" w:sz="8" w:space="0"/>
            </w:tcBorders>
            <w:tcMar>
              <w:top w:w="0" w:type="dxa"/>
              <w:left w:w="108" w:type="dxa"/>
              <w:bottom w:w="0" w:type="dxa"/>
              <w:right w:w="108" w:type="dxa"/>
            </w:tcMar>
          </w:tcPr>
          <w:p w14:paraId="29B6FA5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749" w:type="pct"/>
            <w:tcBorders>
              <w:top w:val="nil"/>
              <w:left w:val="nil"/>
              <w:bottom w:val="single" w:color="000000" w:sz="8" w:space="0"/>
              <w:right w:val="single" w:color="000000" w:sz="8" w:space="0"/>
            </w:tcBorders>
            <w:tcMar>
              <w:top w:w="0" w:type="dxa"/>
              <w:left w:w="108" w:type="dxa"/>
              <w:bottom w:w="0" w:type="dxa"/>
              <w:right w:w="108" w:type="dxa"/>
            </w:tcMar>
          </w:tcPr>
          <w:p w14:paraId="290576E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1880" w:type="pct"/>
            <w:tcBorders>
              <w:top w:val="nil"/>
              <w:left w:val="nil"/>
              <w:bottom w:val="single" w:color="000000" w:sz="8" w:space="0"/>
              <w:right w:val="single" w:color="000000" w:sz="8" w:space="0"/>
            </w:tcBorders>
            <w:tcMar>
              <w:top w:w="0" w:type="dxa"/>
              <w:left w:w="108" w:type="dxa"/>
              <w:bottom w:w="0" w:type="dxa"/>
              <w:right w:w="108" w:type="dxa"/>
            </w:tcMar>
          </w:tcPr>
          <w:p w14:paraId="2424A42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578" w:type="pct"/>
            <w:tcBorders>
              <w:top w:val="nil"/>
              <w:left w:val="nil"/>
              <w:bottom w:val="single" w:color="000000" w:sz="8" w:space="0"/>
              <w:right w:val="single" w:color="000000" w:sz="8" w:space="0"/>
            </w:tcBorders>
            <w:tcMar>
              <w:top w:w="0" w:type="dxa"/>
              <w:left w:w="108" w:type="dxa"/>
              <w:bottom w:w="0" w:type="dxa"/>
              <w:right w:w="108" w:type="dxa"/>
            </w:tcMar>
          </w:tcPr>
          <w:p w14:paraId="220C05F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r w14:paraId="38226305">
        <w:tblPrEx>
          <w:tblCellMar>
            <w:top w:w="0" w:type="dxa"/>
            <w:left w:w="0" w:type="dxa"/>
            <w:bottom w:w="0" w:type="dxa"/>
            <w:right w:w="0" w:type="dxa"/>
          </w:tblCellMar>
        </w:tblPrEx>
        <w:trPr>
          <w:trHeight w:val="483" w:hRule="atLeast"/>
        </w:trPr>
        <w:tc>
          <w:tcPr>
            <w:tcW w:w="365"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70CCE90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26" w:type="pct"/>
            <w:tcBorders>
              <w:top w:val="nil"/>
              <w:left w:val="nil"/>
              <w:bottom w:val="single" w:color="000000" w:sz="8" w:space="0"/>
              <w:right w:val="single" w:color="000000" w:sz="8" w:space="0"/>
            </w:tcBorders>
            <w:tcMar>
              <w:top w:w="0" w:type="dxa"/>
              <w:left w:w="108" w:type="dxa"/>
              <w:bottom w:w="0" w:type="dxa"/>
              <w:right w:w="108" w:type="dxa"/>
            </w:tcMar>
          </w:tcPr>
          <w:p w14:paraId="2ED6E88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749" w:type="pct"/>
            <w:tcBorders>
              <w:top w:val="nil"/>
              <w:left w:val="nil"/>
              <w:bottom w:val="single" w:color="000000" w:sz="8" w:space="0"/>
              <w:right w:val="single" w:color="000000" w:sz="8" w:space="0"/>
            </w:tcBorders>
            <w:tcMar>
              <w:top w:w="0" w:type="dxa"/>
              <w:left w:w="108" w:type="dxa"/>
              <w:bottom w:w="0" w:type="dxa"/>
              <w:right w:w="108" w:type="dxa"/>
            </w:tcMar>
          </w:tcPr>
          <w:p w14:paraId="6B0C537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1880" w:type="pct"/>
            <w:tcBorders>
              <w:top w:val="nil"/>
              <w:left w:val="nil"/>
              <w:bottom w:val="single" w:color="000000" w:sz="8" w:space="0"/>
              <w:right w:val="single" w:color="000000" w:sz="8" w:space="0"/>
            </w:tcBorders>
            <w:tcMar>
              <w:top w:w="0" w:type="dxa"/>
              <w:left w:w="108" w:type="dxa"/>
              <w:bottom w:w="0" w:type="dxa"/>
              <w:right w:w="108" w:type="dxa"/>
            </w:tcMar>
          </w:tcPr>
          <w:p w14:paraId="4CAE626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578" w:type="pct"/>
            <w:tcBorders>
              <w:top w:val="nil"/>
              <w:left w:val="nil"/>
              <w:bottom w:val="single" w:color="000000" w:sz="8" w:space="0"/>
              <w:right w:val="single" w:color="000000" w:sz="8" w:space="0"/>
            </w:tcBorders>
            <w:tcMar>
              <w:top w:w="0" w:type="dxa"/>
              <w:left w:w="108" w:type="dxa"/>
              <w:bottom w:w="0" w:type="dxa"/>
              <w:right w:w="108" w:type="dxa"/>
            </w:tcMar>
          </w:tcPr>
          <w:p w14:paraId="3AAE70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r w14:paraId="7686E15F">
        <w:tblPrEx>
          <w:tblCellMar>
            <w:top w:w="0" w:type="dxa"/>
            <w:left w:w="0" w:type="dxa"/>
            <w:bottom w:w="0" w:type="dxa"/>
            <w:right w:w="0" w:type="dxa"/>
          </w:tblCellMar>
        </w:tblPrEx>
        <w:trPr>
          <w:trHeight w:val="483" w:hRule="atLeast"/>
        </w:trPr>
        <w:tc>
          <w:tcPr>
            <w:tcW w:w="365"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3471C3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426" w:type="pct"/>
            <w:tcBorders>
              <w:top w:val="nil"/>
              <w:left w:val="nil"/>
              <w:bottom w:val="single" w:color="000000" w:sz="8" w:space="0"/>
              <w:right w:val="single" w:color="000000" w:sz="8" w:space="0"/>
            </w:tcBorders>
            <w:tcMar>
              <w:top w:w="0" w:type="dxa"/>
              <w:left w:w="108" w:type="dxa"/>
              <w:bottom w:w="0" w:type="dxa"/>
              <w:right w:w="108" w:type="dxa"/>
            </w:tcMar>
          </w:tcPr>
          <w:p w14:paraId="219C279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749" w:type="pct"/>
            <w:tcBorders>
              <w:top w:val="nil"/>
              <w:left w:val="nil"/>
              <w:bottom w:val="single" w:color="000000" w:sz="8" w:space="0"/>
              <w:right w:val="single" w:color="000000" w:sz="8" w:space="0"/>
            </w:tcBorders>
            <w:tcMar>
              <w:top w:w="0" w:type="dxa"/>
              <w:left w:w="108" w:type="dxa"/>
              <w:bottom w:w="0" w:type="dxa"/>
              <w:right w:w="108" w:type="dxa"/>
            </w:tcMar>
          </w:tcPr>
          <w:p w14:paraId="2C02E1A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1880" w:type="pct"/>
            <w:tcBorders>
              <w:top w:val="nil"/>
              <w:left w:val="nil"/>
              <w:bottom w:val="single" w:color="000000" w:sz="8" w:space="0"/>
              <w:right w:val="single" w:color="000000" w:sz="8" w:space="0"/>
            </w:tcBorders>
            <w:tcMar>
              <w:top w:w="0" w:type="dxa"/>
              <w:left w:w="108" w:type="dxa"/>
              <w:bottom w:w="0" w:type="dxa"/>
              <w:right w:w="108" w:type="dxa"/>
            </w:tcMar>
          </w:tcPr>
          <w:p w14:paraId="5D02050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578" w:type="pct"/>
            <w:tcBorders>
              <w:top w:val="nil"/>
              <w:left w:val="nil"/>
              <w:bottom w:val="single" w:color="000000" w:sz="8" w:space="0"/>
              <w:right w:val="single" w:color="000000" w:sz="8" w:space="0"/>
            </w:tcBorders>
            <w:tcMar>
              <w:top w:w="0" w:type="dxa"/>
              <w:left w:w="108" w:type="dxa"/>
              <w:bottom w:w="0" w:type="dxa"/>
              <w:right w:w="108" w:type="dxa"/>
            </w:tcMar>
          </w:tcPr>
          <w:p w14:paraId="23517B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bl>
    <w:p w14:paraId="3A6C1722">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eastAsia" w:ascii="宋体" w:hAnsi="宋体" w:eastAsia="宋体" w:cs="宋体"/>
          <w:color w:val="auto"/>
          <w:sz w:val="22"/>
          <w:highlight w:val="none"/>
        </w:rPr>
      </w:pPr>
      <w:r>
        <w:rPr>
          <w:rFonts w:hint="eastAsia" w:ascii="宋体" w:hAnsi="宋体" w:eastAsia="宋体" w:cs="宋体"/>
          <w:b/>
          <w:bCs/>
          <w:color w:val="auto"/>
          <w:sz w:val="22"/>
          <w:highlight w:val="none"/>
        </w:rPr>
        <w:t>注：</w:t>
      </w:r>
      <w:r>
        <w:rPr>
          <w:rFonts w:hint="eastAsia" w:ascii="宋体" w:hAnsi="宋体" w:eastAsia="宋体" w:cs="宋体"/>
          <w:color w:val="auto"/>
          <w:sz w:val="22"/>
          <w:highlight w:val="none"/>
        </w:rPr>
        <w:t>①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7869113">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②本表所指的控股关系仅限于直接控股关系，不包括间接的控股关系。公司实际控制人与公司之间的关系不属于本表所指的直接控股关系。</w:t>
      </w:r>
    </w:p>
    <w:p w14:paraId="47C9CBE8">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2"/>
          <w:highlight w:val="none"/>
        </w:rPr>
        <w:t>③供应商不存在直接控股股东的，则填"无"。</w:t>
      </w:r>
    </w:p>
    <w:p w14:paraId="21281B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9、供应商直接管理关系信息</w:t>
      </w:r>
    </w:p>
    <w:tbl>
      <w:tblPr>
        <w:tblStyle w:val="31"/>
        <w:tblW w:w="4998" w:type="pct"/>
        <w:tblInd w:w="0" w:type="dxa"/>
        <w:tblLayout w:type="autofit"/>
        <w:tblCellMar>
          <w:top w:w="0" w:type="dxa"/>
          <w:left w:w="0" w:type="dxa"/>
          <w:bottom w:w="0" w:type="dxa"/>
          <w:right w:w="0" w:type="dxa"/>
        </w:tblCellMar>
      </w:tblPr>
      <w:tblGrid>
        <w:gridCol w:w="936"/>
        <w:gridCol w:w="3314"/>
        <w:gridCol w:w="4381"/>
        <w:gridCol w:w="1327"/>
      </w:tblGrid>
      <w:tr w14:paraId="78C9266C">
        <w:tblPrEx>
          <w:tblCellMar>
            <w:top w:w="0" w:type="dxa"/>
            <w:left w:w="0" w:type="dxa"/>
            <w:bottom w:w="0" w:type="dxa"/>
            <w:right w:w="0" w:type="dxa"/>
          </w:tblCellMar>
        </w:tblPrEx>
        <w:trPr>
          <w:trHeight w:val="483" w:hRule="atLeast"/>
        </w:trPr>
        <w:tc>
          <w:tcPr>
            <w:tcW w:w="427"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86EB7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序号 </w:t>
            </w:r>
          </w:p>
        </w:tc>
        <w:tc>
          <w:tcPr>
            <w:tcW w:w="1678"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1723DC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直接管理关系单位名称 </w:t>
            </w:r>
          </w:p>
        </w:tc>
        <w:tc>
          <w:tcPr>
            <w:tcW w:w="2213"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347090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680" w:type="pct"/>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76F29A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B62CB13">
        <w:tblPrEx>
          <w:tblCellMar>
            <w:top w:w="0" w:type="dxa"/>
            <w:left w:w="0" w:type="dxa"/>
            <w:bottom w:w="0" w:type="dxa"/>
            <w:right w:w="0" w:type="dxa"/>
          </w:tblCellMar>
        </w:tblPrEx>
        <w:trPr>
          <w:trHeight w:val="483" w:hRule="atLeast"/>
        </w:trPr>
        <w:tc>
          <w:tcPr>
            <w:tcW w:w="427"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3E9781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1</w:t>
            </w:r>
          </w:p>
        </w:tc>
        <w:tc>
          <w:tcPr>
            <w:tcW w:w="1678" w:type="pct"/>
            <w:tcBorders>
              <w:top w:val="nil"/>
              <w:left w:val="nil"/>
              <w:bottom w:val="single" w:color="000000" w:sz="8" w:space="0"/>
              <w:right w:val="single" w:color="000000" w:sz="8" w:space="0"/>
            </w:tcBorders>
            <w:tcMar>
              <w:top w:w="0" w:type="dxa"/>
              <w:left w:w="108" w:type="dxa"/>
              <w:bottom w:w="0" w:type="dxa"/>
              <w:right w:w="108" w:type="dxa"/>
            </w:tcMar>
          </w:tcPr>
          <w:p w14:paraId="41CCAC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2213" w:type="pct"/>
            <w:tcBorders>
              <w:top w:val="nil"/>
              <w:left w:val="nil"/>
              <w:bottom w:val="single" w:color="000000" w:sz="8" w:space="0"/>
              <w:right w:val="single" w:color="000000" w:sz="8" w:space="0"/>
            </w:tcBorders>
            <w:tcMar>
              <w:top w:w="0" w:type="dxa"/>
              <w:left w:w="108" w:type="dxa"/>
              <w:bottom w:w="0" w:type="dxa"/>
              <w:right w:w="108" w:type="dxa"/>
            </w:tcMar>
          </w:tcPr>
          <w:p w14:paraId="08EE139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680" w:type="pct"/>
            <w:tcBorders>
              <w:top w:val="nil"/>
              <w:left w:val="nil"/>
              <w:bottom w:val="single" w:color="000000" w:sz="8" w:space="0"/>
              <w:right w:val="single" w:color="000000" w:sz="8" w:space="0"/>
            </w:tcBorders>
            <w:tcMar>
              <w:top w:w="0" w:type="dxa"/>
              <w:left w:w="108" w:type="dxa"/>
              <w:bottom w:w="0" w:type="dxa"/>
              <w:right w:w="108" w:type="dxa"/>
            </w:tcMar>
          </w:tcPr>
          <w:p w14:paraId="099BB33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r w14:paraId="659092C2">
        <w:tblPrEx>
          <w:tblCellMar>
            <w:top w:w="0" w:type="dxa"/>
            <w:left w:w="0" w:type="dxa"/>
            <w:bottom w:w="0" w:type="dxa"/>
            <w:right w:w="0" w:type="dxa"/>
          </w:tblCellMar>
        </w:tblPrEx>
        <w:trPr>
          <w:trHeight w:val="483" w:hRule="atLeast"/>
        </w:trPr>
        <w:tc>
          <w:tcPr>
            <w:tcW w:w="427"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FE4896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2</w:t>
            </w:r>
          </w:p>
        </w:tc>
        <w:tc>
          <w:tcPr>
            <w:tcW w:w="1678" w:type="pct"/>
            <w:tcBorders>
              <w:top w:val="nil"/>
              <w:left w:val="nil"/>
              <w:bottom w:val="single" w:color="000000" w:sz="8" w:space="0"/>
              <w:right w:val="single" w:color="000000" w:sz="8" w:space="0"/>
            </w:tcBorders>
            <w:tcMar>
              <w:top w:w="0" w:type="dxa"/>
              <w:left w:w="108" w:type="dxa"/>
              <w:bottom w:w="0" w:type="dxa"/>
              <w:right w:w="108" w:type="dxa"/>
            </w:tcMar>
          </w:tcPr>
          <w:p w14:paraId="2D8ED30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2213" w:type="pct"/>
            <w:tcBorders>
              <w:top w:val="nil"/>
              <w:left w:val="nil"/>
              <w:bottom w:val="single" w:color="000000" w:sz="8" w:space="0"/>
              <w:right w:val="single" w:color="000000" w:sz="8" w:space="0"/>
            </w:tcBorders>
            <w:tcMar>
              <w:top w:w="0" w:type="dxa"/>
              <w:left w:w="108" w:type="dxa"/>
              <w:bottom w:w="0" w:type="dxa"/>
              <w:right w:w="108" w:type="dxa"/>
            </w:tcMar>
          </w:tcPr>
          <w:p w14:paraId="3AD466C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680" w:type="pct"/>
            <w:tcBorders>
              <w:top w:val="nil"/>
              <w:left w:val="nil"/>
              <w:bottom w:val="single" w:color="000000" w:sz="8" w:space="0"/>
              <w:right w:val="single" w:color="000000" w:sz="8" w:space="0"/>
            </w:tcBorders>
            <w:tcMar>
              <w:top w:w="0" w:type="dxa"/>
              <w:left w:w="108" w:type="dxa"/>
              <w:bottom w:w="0" w:type="dxa"/>
              <w:right w:w="108" w:type="dxa"/>
            </w:tcMar>
          </w:tcPr>
          <w:p w14:paraId="721DA4A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r w14:paraId="2FB2E9C7">
        <w:tblPrEx>
          <w:tblCellMar>
            <w:top w:w="0" w:type="dxa"/>
            <w:left w:w="0" w:type="dxa"/>
            <w:bottom w:w="0" w:type="dxa"/>
            <w:right w:w="0" w:type="dxa"/>
          </w:tblCellMar>
        </w:tblPrEx>
        <w:trPr>
          <w:trHeight w:val="483" w:hRule="atLeast"/>
        </w:trPr>
        <w:tc>
          <w:tcPr>
            <w:tcW w:w="427"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C567CE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8" w:type="pct"/>
            <w:tcBorders>
              <w:top w:val="nil"/>
              <w:left w:val="nil"/>
              <w:bottom w:val="single" w:color="000000" w:sz="8" w:space="0"/>
              <w:right w:val="single" w:color="000000" w:sz="8" w:space="0"/>
            </w:tcBorders>
            <w:tcMar>
              <w:top w:w="0" w:type="dxa"/>
              <w:left w:w="108" w:type="dxa"/>
              <w:bottom w:w="0" w:type="dxa"/>
              <w:right w:w="108" w:type="dxa"/>
            </w:tcMar>
          </w:tcPr>
          <w:p w14:paraId="054A539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2213" w:type="pct"/>
            <w:tcBorders>
              <w:top w:val="nil"/>
              <w:left w:val="nil"/>
              <w:bottom w:val="single" w:color="000000" w:sz="8" w:space="0"/>
              <w:right w:val="single" w:color="000000" w:sz="8" w:space="0"/>
            </w:tcBorders>
            <w:tcMar>
              <w:top w:w="0" w:type="dxa"/>
              <w:left w:w="108" w:type="dxa"/>
              <w:bottom w:w="0" w:type="dxa"/>
              <w:right w:w="108" w:type="dxa"/>
            </w:tcMar>
          </w:tcPr>
          <w:p w14:paraId="1DA0D6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680" w:type="pct"/>
            <w:tcBorders>
              <w:top w:val="nil"/>
              <w:left w:val="nil"/>
              <w:bottom w:val="single" w:color="000000" w:sz="8" w:space="0"/>
              <w:right w:val="single" w:color="000000" w:sz="8" w:space="0"/>
            </w:tcBorders>
            <w:tcMar>
              <w:top w:w="0" w:type="dxa"/>
              <w:left w:w="108" w:type="dxa"/>
              <w:bottom w:w="0" w:type="dxa"/>
              <w:right w:w="108" w:type="dxa"/>
            </w:tcMar>
          </w:tcPr>
          <w:p w14:paraId="48E38C2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r w14:paraId="13B7CF86">
        <w:tblPrEx>
          <w:tblCellMar>
            <w:top w:w="0" w:type="dxa"/>
            <w:left w:w="0" w:type="dxa"/>
            <w:bottom w:w="0" w:type="dxa"/>
            <w:right w:w="0" w:type="dxa"/>
          </w:tblCellMar>
        </w:tblPrEx>
        <w:trPr>
          <w:trHeight w:val="483" w:hRule="atLeast"/>
        </w:trPr>
        <w:tc>
          <w:tcPr>
            <w:tcW w:w="427" w:type="pct"/>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30226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8" w:type="pct"/>
            <w:tcBorders>
              <w:top w:val="nil"/>
              <w:left w:val="nil"/>
              <w:bottom w:val="single" w:color="000000" w:sz="8" w:space="0"/>
              <w:right w:val="single" w:color="000000" w:sz="8" w:space="0"/>
            </w:tcBorders>
            <w:tcMar>
              <w:top w:w="0" w:type="dxa"/>
              <w:left w:w="108" w:type="dxa"/>
              <w:bottom w:w="0" w:type="dxa"/>
              <w:right w:w="108" w:type="dxa"/>
            </w:tcMar>
          </w:tcPr>
          <w:p w14:paraId="1D4FF9D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2213" w:type="pct"/>
            <w:tcBorders>
              <w:top w:val="nil"/>
              <w:left w:val="nil"/>
              <w:bottom w:val="single" w:color="000000" w:sz="8" w:space="0"/>
              <w:right w:val="single" w:color="000000" w:sz="8" w:space="0"/>
            </w:tcBorders>
            <w:tcMar>
              <w:top w:w="0" w:type="dxa"/>
              <w:left w:w="108" w:type="dxa"/>
              <w:bottom w:w="0" w:type="dxa"/>
              <w:right w:w="108" w:type="dxa"/>
            </w:tcMar>
          </w:tcPr>
          <w:p w14:paraId="311CA62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c>
          <w:tcPr>
            <w:tcW w:w="680" w:type="pct"/>
            <w:tcBorders>
              <w:top w:val="nil"/>
              <w:left w:val="nil"/>
              <w:bottom w:val="single" w:color="000000" w:sz="8" w:space="0"/>
              <w:right w:val="single" w:color="000000" w:sz="8" w:space="0"/>
            </w:tcBorders>
            <w:tcMar>
              <w:top w:w="0" w:type="dxa"/>
              <w:left w:w="108" w:type="dxa"/>
              <w:bottom w:w="0" w:type="dxa"/>
              <w:right w:w="108" w:type="dxa"/>
            </w:tcMar>
          </w:tcPr>
          <w:p w14:paraId="2AB022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tc>
      </w:tr>
    </w:tbl>
    <w:p w14:paraId="3D2242D1">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eastAsia" w:ascii="宋体" w:hAnsi="宋体" w:eastAsia="宋体" w:cs="宋体"/>
          <w:color w:val="auto"/>
          <w:sz w:val="22"/>
          <w:highlight w:val="none"/>
        </w:rPr>
      </w:pPr>
      <w:r>
        <w:rPr>
          <w:rFonts w:hint="eastAsia" w:ascii="宋体" w:hAnsi="宋体" w:eastAsia="宋体" w:cs="宋体"/>
          <w:b/>
          <w:bCs/>
          <w:color w:val="auto"/>
          <w:sz w:val="22"/>
          <w:highlight w:val="none"/>
        </w:rPr>
        <w:t>注：</w:t>
      </w:r>
      <w:r>
        <w:rPr>
          <w:rFonts w:hint="eastAsia" w:ascii="宋体" w:hAnsi="宋体" w:eastAsia="宋体" w:cs="宋体"/>
          <w:color w:val="auto"/>
          <w:sz w:val="22"/>
          <w:highlight w:val="none"/>
        </w:rPr>
        <w:t>①管理关系：是指不具有出资持股关系的其他单位之间存在的管理与被管理关系，如一些上下级关系的事业单位和团体组织。</w:t>
      </w:r>
    </w:p>
    <w:p w14:paraId="1E4C28F3">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highlight w:val="none"/>
        </w:rPr>
      </w:pPr>
      <w:r>
        <w:rPr>
          <w:rFonts w:hint="eastAsia" w:ascii="宋体" w:hAnsi="宋体" w:eastAsia="宋体" w:cs="宋体"/>
          <w:color w:val="auto"/>
          <w:sz w:val="22"/>
          <w:highlight w:val="none"/>
        </w:rPr>
        <w:t>②本表所指的管理关系仅限于直接管理关系，不包括间接的管理关系。</w:t>
      </w:r>
    </w:p>
    <w:p w14:paraId="38DB404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2"/>
          <w:highlight w:val="none"/>
        </w:rPr>
        <w:t>③供应商不存在直接管理关系的，则填"无"。</w:t>
      </w:r>
    </w:p>
    <w:p w14:paraId="633205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p>
    <w:p w14:paraId="2278F9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10、其他情况：组织机构、技术力量、制造商体系认证情况等。</w:t>
      </w:r>
    </w:p>
    <w:p w14:paraId="2C80E5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兹声明上述数据和资料是真实、有效的，我们同意遵照贵方要求出示有关证明文件。 </w:t>
      </w:r>
    </w:p>
    <w:p w14:paraId="5C68F684">
      <w:pPr>
        <w:keepNext w:val="0"/>
        <w:keepLines w:val="0"/>
        <w:pageBreakBefore w:val="0"/>
        <w:widowControl w:val="0"/>
        <w:kinsoku/>
        <w:wordWrap/>
        <w:overflowPunct/>
        <w:topLinePunct w:val="0"/>
        <w:autoSpaceDE/>
        <w:autoSpaceDN/>
        <w:bidi w:val="0"/>
        <w:adjustRightInd w:val="0"/>
        <w:snapToGrid w:val="0"/>
        <w:spacing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6C49921">
      <w:pPr>
        <w:keepNext w:val="0"/>
        <w:keepLines w:val="0"/>
        <w:pageBreakBefore w:val="0"/>
        <w:widowControl w:val="0"/>
        <w:kinsoku/>
        <w:wordWrap/>
        <w:overflowPunct/>
        <w:topLinePunct w:val="0"/>
        <w:autoSpaceDE/>
        <w:autoSpaceDN/>
        <w:bidi w:val="0"/>
        <w:adjustRightInd w:val="0"/>
        <w:snapToGrid w:val="0"/>
        <w:spacing w:line="360" w:lineRule="auto"/>
        <w:ind w:firstLine="3960" w:firstLineChars="16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（公章） </w:t>
      </w:r>
    </w:p>
    <w:p w14:paraId="73983B29">
      <w:pPr>
        <w:keepNext w:val="0"/>
        <w:keepLines w:val="0"/>
        <w:pageBreakBefore w:val="0"/>
        <w:widowControl w:val="0"/>
        <w:kinsoku/>
        <w:wordWrap/>
        <w:overflowPunct/>
        <w:topLinePunct w:val="0"/>
        <w:autoSpaceDE/>
        <w:autoSpaceDN/>
        <w:bidi w:val="0"/>
        <w:adjustRightInd w:val="0"/>
        <w:snapToGrid w:val="0"/>
        <w:spacing w:line="360" w:lineRule="auto"/>
        <w:ind w:firstLine="3960" w:firstLineChars="16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日 </w:t>
      </w:r>
    </w:p>
    <w:p w14:paraId="7F0D261F">
      <w:pPr>
        <w:widowControl/>
        <w:jc w:val="center"/>
        <w:rPr>
          <w:rFonts w:hint="eastAsia" w:ascii="宋体" w:hAnsi="宋体" w:eastAsia="宋体" w:cs="宋体"/>
          <w:b/>
          <w:bCs/>
          <w:color w:val="auto"/>
          <w:kern w:val="0"/>
          <w:sz w:val="32"/>
          <w:szCs w:val="32"/>
          <w:highlight w:val="none"/>
        </w:rPr>
      </w:pPr>
    </w:p>
    <w:p w14:paraId="393DBD26">
      <w:pPr>
        <w:widowControl/>
        <w:jc w:val="center"/>
        <w:rPr>
          <w:rFonts w:hint="eastAsia" w:ascii="宋体" w:hAnsi="宋体" w:eastAsia="宋体" w:cs="宋体"/>
          <w:b/>
          <w:bCs/>
          <w:color w:val="auto"/>
          <w:kern w:val="0"/>
          <w:sz w:val="32"/>
          <w:szCs w:val="32"/>
          <w:highlight w:val="none"/>
        </w:rPr>
      </w:pPr>
    </w:p>
    <w:p w14:paraId="602CC744">
      <w:pPr>
        <w:widowControl/>
        <w:jc w:val="center"/>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14:paraId="424C8185">
      <w:pPr>
        <w:keepNext w:val="0"/>
        <w:keepLines w:val="0"/>
        <w:pageBreakBefore w:val="0"/>
        <w:kinsoku/>
        <w:wordWrap/>
        <w:overflowPunct/>
        <w:topLinePunct w:val="0"/>
        <w:bidi w:val="0"/>
        <w:spacing w:line="360" w:lineRule="auto"/>
        <w:ind w:right="56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实质性格式</w:t>
      </w:r>
    </w:p>
    <w:p w14:paraId="3A082FE8">
      <w:pPr>
        <w:keepNext w:val="0"/>
        <w:keepLines w:val="0"/>
        <w:pageBreakBefore w:val="0"/>
        <w:widowControl/>
        <w:kinsoku/>
        <w:wordWrap/>
        <w:overflowPunct/>
        <w:topLinePunct w:val="0"/>
        <w:bidi w:val="0"/>
        <w:spacing w:line="360" w:lineRule="auto"/>
        <w:jc w:val="center"/>
        <w:textAlignment w:val="auto"/>
        <w:rPr>
          <w:rFonts w:hint="eastAsia" w:ascii="宋体" w:hAnsi="宋体" w:eastAsia="宋体" w:cs="宋体"/>
          <w:color w:val="auto"/>
          <w:kern w:val="0"/>
          <w:sz w:val="32"/>
          <w:szCs w:val="32"/>
          <w:highlight w:val="none"/>
        </w:rPr>
      </w:pPr>
      <w:r>
        <w:rPr>
          <w:rFonts w:hint="eastAsia" w:ascii="宋体" w:hAnsi="宋体" w:eastAsia="宋体" w:cs="宋体"/>
          <w:b/>
          <w:bCs/>
          <w:color w:val="auto"/>
          <w:kern w:val="0"/>
          <w:sz w:val="32"/>
          <w:szCs w:val="32"/>
          <w:highlight w:val="none"/>
        </w:rPr>
        <w:t>二、投标函</w:t>
      </w:r>
    </w:p>
    <w:p w14:paraId="67588638">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       </w:t>
      </w:r>
      <w:r>
        <w:rPr>
          <w:rFonts w:hint="eastAsia" w:ascii="宋体" w:hAnsi="宋体" w:eastAsia="宋体" w:cs="宋体"/>
          <w:color w:val="auto"/>
          <w:szCs w:val="21"/>
          <w:highlight w:val="none"/>
        </w:rPr>
        <w:t xml:space="preserve"> </w:t>
      </w:r>
    </w:p>
    <w:p w14:paraId="3F58DD60">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乌鲁木齐市公共资源交易中心（乌鲁木齐市政府采购中心）： </w:t>
      </w:r>
    </w:p>
    <w:p w14:paraId="41680F60">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w:t>
      </w:r>
      <w:r>
        <w:rPr>
          <w:rFonts w:hint="eastAsia" w:ascii="宋体" w:hAnsi="宋体" w:eastAsia="宋体" w:cs="宋体"/>
          <w:color w:val="auto"/>
          <w:sz w:val="24"/>
          <w:szCs w:val="24"/>
          <w:highlight w:val="none"/>
          <w:u w:val="single"/>
        </w:rPr>
        <w:t>    （项目名称）     </w:t>
      </w: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）的投标邀请，正式授权签字代表</w:t>
      </w:r>
      <w:r>
        <w:rPr>
          <w:rFonts w:hint="eastAsia" w:ascii="宋体" w:hAnsi="宋体" w:eastAsia="宋体" w:cs="宋体"/>
          <w:color w:val="auto"/>
          <w:sz w:val="24"/>
          <w:szCs w:val="24"/>
          <w:highlight w:val="none"/>
          <w:u w:val="single"/>
        </w:rPr>
        <w:t xml:space="preserve">   （姓名、职务）  </w:t>
      </w:r>
      <w:r>
        <w:rPr>
          <w:rFonts w:hint="eastAsia" w:ascii="宋体" w:hAnsi="宋体" w:eastAsia="宋体" w:cs="宋体"/>
          <w:color w:val="auto"/>
          <w:sz w:val="24"/>
          <w:szCs w:val="24"/>
          <w:highlight w:val="none"/>
        </w:rPr>
        <w:t>代表投标人 </w:t>
      </w:r>
      <w:r>
        <w:rPr>
          <w:rFonts w:hint="eastAsia" w:ascii="宋体" w:hAnsi="宋体" w:eastAsia="宋体" w:cs="宋体"/>
          <w:color w:val="auto"/>
          <w:sz w:val="24"/>
          <w:szCs w:val="24"/>
          <w:highlight w:val="none"/>
          <w:u w:val="single"/>
        </w:rPr>
        <w:t xml:space="preserve">   （投标人名称）   </w:t>
      </w:r>
      <w:r>
        <w:rPr>
          <w:rFonts w:hint="eastAsia" w:ascii="宋体" w:hAnsi="宋体" w:eastAsia="宋体" w:cs="宋体"/>
          <w:color w:val="auto"/>
          <w:sz w:val="24"/>
          <w:szCs w:val="24"/>
          <w:highlight w:val="none"/>
        </w:rPr>
        <w:t xml:space="preserve">提交下述文件并在此声明，所有信息和文件是真实、完整、准确、最新的，并且未进行任何形式的篡改或伪造。因提供的任何资料存在虚假、不实的情况给主办方或任何第三方造成的所有损失，由我方承担法律责任。 </w:t>
      </w:r>
    </w:p>
    <w:p w14:paraId="79A74F26">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1、资格响应文件；</w:t>
      </w:r>
    </w:p>
    <w:p w14:paraId="68C3EB16">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2、报价响应文件； </w:t>
      </w:r>
    </w:p>
    <w:p w14:paraId="70512169">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3、商务技术响应文件；</w:t>
      </w:r>
    </w:p>
    <w:p w14:paraId="71A921B0">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4、演示视频（如有）。</w:t>
      </w:r>
    </w:p>
    <w:p w14:paraId="795DACAA">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在此，签字代表宣布同意如下： </w:t>
      </w:r>
    </w:p>
    <w:p w14:paraId="5A0D511E">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1、按招标文件规定提供的货物（或服务）投标总价为：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元(人民币大写)。 </w:t>
      </w:r>
    </w:p>
    <w:p w14:paraId="3BFCFFF4">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2、我方如果中标，将保证履行招标文件及其澄清、修改文件（如果有）中的全部责任和义务，按质、按量、按期完成《采购需求》及《合同书》中的全部任务。 </w:t>
      </w:r>
    </w:p>
    <w:p w14:paraId="7CF4449B">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3、我方已详细阅读全部招标文件，完全理解并同意放弃对招标文件有不明及误解的权利。 </w:t>
      </w:r>
    </w:p>
    <w:p w14:paraId="7AC5C416">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我方承诺以中标为目的参与本次采购活动，自开标之日起遵循本招标文件规定，若我方成交，在招标文件前附表中规定的投标有效期内我方将履行本投标文件中的承诺，且在此期限内投标文件对我方具有法律约束力。</w:t>
      </w:r>
    </w:p>
    <w:p w14:paraId="5F1E6C27">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5、同意提供贵方可能要求的与本次采购有关的一切数据或资料。 </w:t>
      </w:r>
    </w:p>
    <w:p w14:paraId="1B849161">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6、我们完全理解贵方不一定要接受最低报价的投标或收到的任何投标。</w:t>
      </w:r>
    </w:p>
    <w:p w14:paraId="0B918871">
      <w:pPr>
        <w:pStyle w:val="40"/>
        <w:keepNext w:val="0"/>
        <w:keepLines w:val="0"/>
        <w:pageBreakBefore w:val="0"/>
        <w:kinsoku/>
        <w:wordWrap/>
        <w:overflowPunct/>
        <w:topLinePunct w:val="0"/>
        <w:bidi w:val="0"/>
        <w:spacing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7、我方对在本函及投标文件中所作的所有承诺承担法律责任。</w:t>
      </w:r>
    </w:p>
    <w:p w14:paraId="1F2B0843">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8、投标有效期：自提交投标文件的截止之日起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A9E089E">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我方承诺未为本项目提供整体设计、规范编制或者项目管理、监理、检测等服务。</w:t>
      </w:r>
    </w:p>
    <w:p w14:paraId="22B1D7F1">
      <w:pPr>
        <w:pStyle w:val="40"/>
        <w:keepNext w:val="0"/>
        <w:keepLines w:val="0"/>
        <w:pageBreakBefore w:val="0"/>
        <w:kinsoku/>
        <w:wordWrap/>
        <w:overflowPunct/>
        <w:topLinePunct w:val="0"/>
        <w:bidi w:val="0"/>
        <w:spacing w:line="360" w:lineRule="auto"/>
        <w:ind w:firstLine="48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我方对在本函及投标文件中所作的所有承诺承担法律责任。</w:t>
      </w:r>
    </w:p>
    <w:p w14:paraId="49C7FD0A">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（公章）</w:t>
      </w:r>
    </w:p>
    <w:p w14:paraId="63755C5E">
      <w:pPr>
        <w:keepNext w:val="0"/>
        <w:keepLines w:val="0"/>
        <w:pageBreakBefore w:val="0"/>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法定代表人（或经营者/执行事务合伙人/负责人/自然人）（或授权代表）：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（印章或签名）</w:t>
      </w:r>
    </w:p>
    <w:p w14:paraId="59826A7E">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F23F7E">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6BB947E">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开户行: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7951F68">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账号: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1AE53BB0">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DEAB6F0">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备注：投标人营业执照注册成立不足三年的，承诺声明时间自成立始至参加本次采购活动止。</w:t>
      </w:r>
    </w:p>
    <w:p w14:paraId="1CD403D6">
      <w:pPr>
        <w:keepNext w:val="0"/>
        <w:keepLines w:val="0"/>
        <w:pageBreakBefore w:val="0"/>
        <w:kinsoku/>
        <w:wordWrap/>
        <w:overflowPunct/>
        <w:topLinePunct w:val="0"/>
        <w:bidi w:val="0"/>
        <w:adjustRightInd w:val="0"/>
        <w:snapToGrid w:val="0"/>
        <w:spacing w:line="360" w:lineRule="auto"/>
        <w:ind w:firstLine="475" w:firstLineChars="198"/>
        <w:textAlignment w:val="auto"/>
        <w:rPr>
          <w:rFonts w:hint="eastAsia" w:ascii="宋体" w:hAnsi="宋体" w:eastAsia="宋体" w:cs="宋体"/>
          <w:color w:val="auto"/>
          <w:sz w:val="24"/>
          <w:szCs w:val="24"/>
          <w:highlight w:val="none"/>
        </w:rPr>
      </w:pPr>
    </w:p>
    <w:p w14:paraId="4A4B53D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84FED11">
      <w:pPr>
        <w:spacing w:line="400" w:lineRule="exact"/>
        <w:jc w:val="center"/>
        <w:rPr>
          <w:rFonts w:hint="eastAsia" w:ascii="宋体" w:hAnsi="宋体" w:eastAsia="宋体" w:cs="宋体"/>
          <w:b/>
          <w:bCs/>
          <w:color w:val="auto"/>
          <w:sz w:val="32"/>
          <w:szCs w:val="32"/>
          <w:highlight w:val="none"/>
        </w:rPr>
      </w:pPr>
    </w:p>
    <w:p w14:paraId="177403BD">
      <w:pPr>
        <w:spacing w:line="40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kern w:val="0"/>
          <w:sz w:val="32"/>
          <w:szCs w:val="32"/>
          <w:highlight w:val="none"/>
        </w:rPr>
        <w:t>三、</w:t>
      </w:r>
      <w:r>
        <w:rPr>
          <w:rFonts w:hint="eastAsia" w:ascii="宋体" w:hAnsi="宋体" w:eastAsia="宋体" w:cs="宋体"/>
          <w:b/>
          <w:bCs/>
          <w:color w:val="auto"/>
          <w:sz w:val="32"/>
          <w:szCs w:val="32"/>
          <w:highlight w:val="none"/>
        </w:rPr>
        <w:t>业</w:t>
      </w:r>
      <w:r>
        <w:rPr>
          <w:rFonts w:hint="eastAsia" w:ascii="宋体" w:hAnsi="宋体" w:eastAsia="宋体" w:cs="宋体"/>
          <w:b/>
          <w:color w:val="auto"/>
          <w:sz w:val="32"/>
          <w:szCs w:val="32"/>
          <w:highlight w:val="none"/>
        </w:rPr>
        <w:t>绩资料</w:t>
      </w:r>
    </w:p>
    <w:p w14:paraId="59F6E4D0">
      <w:pPr>
        <w:spacing w:line="400" w:lineRule="exact"/>
        <w:rPr>
          <w:rFonts w:hint="eastAsia" w:ascii="宋体" w:hAnsi="宋体" w:eastAsia="宋体" w:cs="宋体"/>
          <w:color w:val="auto"/>
          <w:highlight w:val="none"/>
        </w:rPr>
      </w:pPr>
    </w:p>
    <w:p w14:paraId="0F7E114E">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val="0"/>
          <w:bCs/>
          <w:color w:val="auto"/>
          <w:sz w:val="32"/>
          <w:szCs w:val="32"/>
          <w:highlight w:val="none"/>
        </w:rPr>
        <w:t>类似业绩汇总表</w:t>
      </w:r>
    </w:p>
    <w:p w14:paraId="3092BD13">
      <w:pPr>
        <w:keepNext w:val="0"/>
        <w:keepLines w:val="0"/>
        <w:pageBreakBefore w:val="0"/>
        <w:widowControl w:val="0"/>
        <w:kinsoku/>
        <w:wordWrap/>
        <w:overflowPunct/>
        <w:topLinePunct w:val="0"/>
        <w:bidi w:val="0"/>
        <w:spacing w:line="360" w:lineRule="auto"/>
        <w:ind w:right="1680"/>
        <w:jc w:val="left"/>
        <w:textAlignment w:val="auto"/>
        <w:rPr>
          <w:rFonts w:hint="eastAsia" w:ascii="宋体" w:hAnsi="宋体" w:eastAsia="宋体" w:cs="宋体"/>
          <w:bCs/>
          <w:color w:val="auto"/>
          <w:sz w:val="24"/>
          <w:szCs w:val="24"/>
          <w:highlight w:val="none"/>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127"/>
        <w:gridCol w:w="1559"/>
        <w:gridCol w:w="1417"/>
        <w:gridCol w:w="1560"/>
        <w:gridCol w:w="1166"/>
        <w:gridCol w:w="1192"/>
      </w:tblGrid>
      <w:tr w14:paraId="5F65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7C7DACF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127" w:type="dxa"/>
            <w:tcBorders>
              <w:top w:val="single" w:color="auto" w:sz="4" w:space="0"/>
              <w:left w:val="single" w:color="auto" w:sz="4" w:space="0"/>
              <w:bottom w:val="single" w:color="auto" w:sz="4" w:space="0"/>
              <w:right w:val="single" w:color="auto" w:sz="4" w:space="0"/>
            </w:tcBorders>
            <w:vAlign w:val="center"/>
          </w:tcPr>
          <w:p w14:paraId="66D63EAE">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559" w:type="dxa"/>
            <w:tcBorders>
              <w:top w:val="single" w:color="auto" w:sz="4" w:space="0"/>
              <w:left w:val="single" w:color="auto" w:sz="4" w:space="0"/>
              <w:bottom w:val="single" w:color="auto" w:sz="4" w:space="0"/>
              <w:right w:val="single" w:color="auto" w:sz="4" w:space="0"/>
            </w:tcBorders>
            <w:vAlign w:val="center"/>
          </w:tcPr>
          <w:p w14:paraId="359012F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采购单位</w:t>
            </w:r>
          </w:p>
        </w:tc>
        <w:tc>
          <w:tcPr>
            <w:tcW w:w="1417" w:type="dxa"/>
            <w:tcBorders>
              <w:top w:val="single" w:color="auto" w:sz="4" w:space="0"/>
              <w:left w:val="single" w:color="auto" w:sz="4" w:space="0"/>
              <w:bottom w:val="single" w:color="auto" w:sz="4" w:space="0"/>
              <w:right w:val="single" w:color="auto" w:sz="4" w:space="0"/>
            </w:tcBorders>
            <w:vAlign w:val="center"/>
          </w:tcPr>
          <w:p w14:paraId="636ACFF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合同金额</w:t>
            </w:r>
          </w:p>
        </w:tc>
        <w:tc>
          <w:tcPr>
            <w:tcW w:w="1560" w:type="dxa"/>
            <w:tcBorders>
              <w:top w:val="single" w:color="auto" w:sz="4" w:space="0"/>
              <w:left w:val="single" w:color="auto" w:sz="4" w:space="0"/>
              <w:bottom w:val="single" w:color="auto" w:sz="4" w:space="0"/>
              <w:right w:val="single" w:color="auto" w:sz="4" w:space="0"/>
            </w:tcBorders>
            <w:vAlign w:val="center"/>
          </w:tcPr>
          <w:p w14:paraId="6254C65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合同签订时间 </w:t>
            </w:r>
          </w:p>
        </w:tc>
        <w:tc>
          <w:tcPr>
            <w:tcW w:w="1166" w:type="dxa"/>
            <w:tcBorders>
              <w:top w:val="single" w:color="auto" w:sz="4" w:space="0"/>
              <w:left w:val="single" w:color="auto" w:sz="4" w:space="0"/>
              <w:bottom w:val="single" w:color="auto" w:sz="4" w:space="0"/>
              <w:right w:val="single" w:color="auto" w:sz="4" w:space="0"/>
            </w:tcBorders>
            <w:vAlign w:val="center"/>
          </w:tcPr>
          <w:p w14:paraId="7B2211EB">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完工时间 </w:t>
            </w:r>
          </w:p>
        </w:tc>
        <w:tc>
          <w:tcPr>
            <w:tcW w:w="1192" w:type="dxa"/>
            <w:tcBorders>
              <w:top w:val="single" w:color="auto" w:sz="4" w:space="0"/>
              <w:left w:val="single" w:color="auto" w:sz="4" w:space="0"/>
              <w:bottom w:val="single" w:color="auto" w:sz="4" w:space="0"/>
              <w:right w:val="single" w:color="auto" w:sz="4" w:space="0"/>
            </w:tcBorders>
            <w:vAlign w:val="center"/>
          </w:tcPr>
          <w:p w14:paraId="6A33699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r>
      <w:tr w14:paraId="6C29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2149B6AB">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7F409E9C">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1C38C8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3CE5703C">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0D56AB4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2B3C641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4E924E1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7188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0EE4A8B1">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624D76D3">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27165D2D">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D4BB68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01D6555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0B40F00C">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7AB848CA">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15D0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7574D12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343632A1">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B0FF5A7">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BE6FC9C">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514D57C9">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30B6CB9E">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32EDF43D">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4D55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7535F54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399F6CD8">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9CC97A2">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F1CD139">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66F1B95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58A2851A">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1A1A0FED">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043F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71045AC7">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7B9991FF">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431CAE1">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CC8F0E7">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06E46DE5">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1BE65D0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0D693590">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7D0B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283731A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45FF54CC">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342E00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7B228FA">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3FF61C01">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32CC17D5">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1D880A73">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1101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73E8839A">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5FB42C9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5AC6363">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1C1D22D">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0AEC19A8">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7B136E81">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11EA0AD9">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r w14:paraId="073E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14:paraId="5F660923">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vAlign w:val="center"/>
          </w:tcPr>
          <w:p w14:paraId="35A4908F">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计</w:t>
            </w:r>
          </w:p>
        </w:tc>
        <w:tc>
          <w:tcPr>
            <w:tcW w:w="1559" w:type="dxa"/>
            <w:tcBorders>
              <w:top w:val="single" w:color="auto" w:sz="4" w:space="0"/>
              <w:left w:val="single" w:color="auto" w:sz="4" w:space="0"/>
              <w:bottom w:val="single" w:color="auto" w:sz="4" w:space="0"/>
              <w:right w:val="single" w:color="auto" w:sz="4" w:space="0"/>
            </w:tcBorders>
            <w:vAlign w:val="center"/>
          </w:tcPr>
          <w:p w14:paraId="113FBEDA">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340D4FD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1CA6F764">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66" w:type="dxa"/>
            <w:tcBorders>
              <w:top w:val="single" w:color="auto" w:sz="4" w:space="0"/>
              <w:left w:val="single" w:color="auto" w:sz="4" w:space="0"/>
              <w:bottom w:val="single" w:color="auto" w:sz="4" w:space="0"/>
              <w:right w:val="single" w:color="auto" w:sz="4" w:space="0"/>
            </w:tcBorders>
            <w:vAlign w:val="center"/>
          </w:tcPr>
          <w:p w14:paraId="7539D3C5">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c>
          <w:tcPr>
            <w:tcW w:w="1192" w:type="dxa"/>
            <w:tcBorders>
              <w:top w:val="single" w:color="auto" w:sz="4" w:space="0"/>
              <w:left w:val="single" w:color="auto" w:sz="4" w:space="0"/>
              <w:bottom w:val="single" w:color="auto" w:sz="4" w:space="0"/>
              <w:right w:val="single" w:color="auto" w:sz="4" w:space="0"/>
            </w:tcBorders>
            <w:vAlign w:val="center"/>
          </w:tcPr>
          <w:p w14:paraId="560C3EAE">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color w:val="auto"/>
                <w:sz w:val="24"/>
                <w:szCs w:val="24"/>
                <w:highlight w:val="none"/>
              </w:rPr>
            </w:pPr>
          </w:p>
        </w:tc>
      </w:tr>
    </w:tbl>
    <w:p w14:paraId="1431D326">
      <w:pPr>
        <w:keepNext w:val="0"/>
        <w:keepLines w:val="0"/>
        <w:pageBreakBefore w:val="0"/>
        <w:widowControl w:val="0"/>
        <w:kinsoku/>
        <w:wordWrap/>
        <w:overflowPunct/>
        <w:topLinePunct w:val="0"/>
        <w:autoSpaceDE w:val="0"/>
        <w:autoSpaceDN w:val="0"/>
        <w:bidi w:val="0"/>
        <w:adjustRightInd w:val="0"/>
        <w:spacing w:line="360" w:lineRule="auto"/>
        <w:ind w:right="64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6650669">
      <w:pPr>
        <w:keepNext w:val="0"/>
        <w:keepLines w:val="0"/>
        <w:pageBreakBefore w:val="0"/>
        <w:widowControl w:val="0"/>
        <w:kinsoku/>
        <w:wordWrap/>
        <w:overflowPunct/>
        <w:topLinePunct w:val="0"/>
        <w:autoSpaceDE w:val="0"/>
        <w:autoSpaceDN w:val="0"/>
        <w:bidi w:val="0"/>
        <w:adjustRightInd w:val="0"/>
        <w:snapToGrid w:val="0"/>
        <w:spacing w:line="360" w:lineRule="auto"/>
        <w:ind w:right="16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公章</w:t>
      </w:r>
      <w:r>
        <w:rPr>
          <w:rFonts w:hint="eastAsia" w:ascii="宋体" w:hAnsi="宋体" w:eastAsia="宋体" w:cs="宋体"/>
          <w:color w:val="auto"/>
          <w:kern w:val="0"/>
          <w:sz w:val="24"/>
          <w:szCs w:val="24"/>
          <w:highlight w:val="none"/>
        </w:rPr>
        <w:t>）</w:t>
      </w:r>
    </w:p>
    <w:p w14:paraId="29FA903F">
      <w:pPr>
        <w:keepNext w:val="0"/>
        <w:keepLines w:val="0"/>
        <w:pageBreakBefore w:val="0"/>
        <w:widowControl w:val="0"/>
        <w:kinsoku/>
        <w:wordWrap/>
        <w:overflowPunct/>
        <w:topLinePunct w:val="0"/>
        <w:bidi w:val="0"/>
        <w:adjustRightInd w:val="0"/>
        <w:snapToGrid w:val="0"/>
        <w:spacing w:line="360" w:lineRule="auto"/>
        <w:ind w:right="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15EE809">
      <w:pPr>
        <w:keepNext w:val="0"/>
        <w:keepLines w:val="0"/>
        <w:pageBreakBefore w:val="0"/>
        <w:widowControl w:val="0"/>
        <w:kinsoku/>
        <w:wordWrap/>
        <w:overflowPunct/>
        <w:topLinePunct w:val="0"/>
        <w:bidi w:val="0"/>
        <w:adjustRightInd w:val="0"/>
        <w:snapToGrid w:val="0"/>
        <w:spacing w:line="360" w:lineRule="auto"/>
        <w:jc w:val="left"/>
        <w:textAlignment w:val="auto"/>
        <w:rPr>
          <w:rFonts w:hint="eastAsia" w:ascii="宋体" w:hAnsi="宋体" w:eastAsia="宋体" w:cs="宋体"/>
          <w:color w:val="auto"/>
          <w:sz w:val="24"/>
          <w:szCs w:val="24"/>
          <w:highlight w:val="none"/>
        </w:rPr>
      </w:pPr>
    </w:p>
    <w:p w14:paraId="0B1E3F7E">
      <w:pPr>
        <w:keepNext w:val="0"/>
        <w:keepLines w:val="0"/>
        <w:pageBreakBefore w:val="0"/>
        <w:widowControl w:val="0"/>
        <w:kinsoku/>
        <w:wordWrap/>
        <w:overflowPunct/>
        <w:topLinePunct w:val="0"/>
        <w:bidi w:val="0"/>
        <w:adjustRightInd w:val="0"/>
        <w:snapToGrid w:val="0"/>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1"/>
          <w:szCs w:val="21"/>
          <w:highlight w:val="none"/>
        </w:rPr>
        <w:t>附：业绩合同扫描件（若合同页数过多，可只上传主要页。）</w:t>
      </w:r>
    </w:p>
    <w:p w14:paraId="698EE76D">
      <w:pPr>
        <w:adjustRightInd w:val="0"/>
        <w:snapToGrid w:val="0"/>
        <w:spacing w:line="440" w:lineRule="exact"/>
        <w:ind w:firstLine="475" w:firstLineChars="198"/>
        <w:rPr>
          <w:rFonts w:hint="eastAsia" w:ascii="宋体" w:hAnsi="宋体" w:eastAsia="宋体" w:cs="宋体"/>
          <w:color w:val="auto"/>
          <w:sz w:val="24"/>
          <w:szCs w:val="24"/>
          <w:highlight w:val="none"/>
        </w:rPr>
      </w:pPr>
    </w:p>
    <w:p w14:paraId="047A786F">
      <w:pPr>
        <w:jc w:val="center"/>
        <w:rPr>
          <w:rFonts w:hint="eastAsia" w:ascii="宋体" w:hAnsi="宋体" w:eastAsia="宋体" w:cs="宋体"/>
          <w:b/>
          <w:color w:val="auto"/>
          <w:kern w:val="0"/>
          <w:sz w:val="32"/>
          <w:szCs w:val="32"/>
          <w:highlight w:val="none"/>
        </w:rPr>
      </w:pPr>
    </w:p>
    <w:p w14:paraId="4EA10C03">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66B28E15">
      <w:pPr>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sz w:val="32"/>
          <w:szCs w:val="32"/>
          <w:highlight w:val="none"/>
        </w:rPr>
        <w:t>四、</w:t>
      </w:r>
      <w:r>
        <w:rPr>
          <w:rFonts w:hint="eastAsia" w:ascii="宋体" w:hAnsi="宋体" w:eastAsia="宋体" w:cs="宋体"/>
          <w:b/>
          <w:sz w:val="32"/>
          <w:szCs w:val="32"/>
          <w:highlight w:val="none"/>
        </w:rPr>
        <w:t>技术规格、参数响应/偏离表（货物类）</w:t>
      </w:r>
    </w:p>
    <w:p w14:paraId="7669ACCF">
      <w:pPr>
        <w:keepNext w:val="0"/>
        <w:keepLines w:val="0"/>
        <w:pageBreakBefore w:val="0"/>
        <w:widowControl w:val="0"/>
        <w:kinsoku/>
        <w:overflowPunct/>
        <w:topLinePunct w:val="0"/>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8DF78FE">
      <w:pPr>
        <w:keepNext w:val="0"/>
        <w:keepLines w:val="0"/>
        <w:pageBreakBefore w:val="0"/>
        <w:widowControl w:val="0"/>
        <w:kinsoku/>
        <w:overflowPunct/>
        <w:topLinePunct w:val="0"/>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项目名称：</w:t>
      </w: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                                </w:t>
      </w:r>
    </w:p>
    <w:p w14:paraId="2C20280F">
      <w:pPr>
        <w:keepNext w:val="0"/>
        <w:keepLines w:val="0"/>
        <w:pageBreakBefore w:val="0"/>
        <w:widowControl w:val="0"/>
        <w:kinsoku/>
        <w:overflowPunct/>
        <w:topLinePunct w:val="0"/>
        <w:bidi w:val="0"/>
        <w:adjustRightInd w:val="0"/>
        <w:snapToGrid w:val="0"/>
        <w:spacing w:line="360" w:lineRule="auto"/>
        <w:ind w:firstLine="211"/>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                                  </w:t>
      </w:r>
    </w:p>
    <w:p w14:paraId="1ADE3B74">
      <w:pPr>
        <w:keepNext w:val="0"/>
        <w:keepLines w:val="0"/>
        <w:pageBreakBefore w:val="0"/>
        <w:widowControl w:val="0"/>
        <w:kinsoku/>
        <w:overflowPunct/>
        <w:topLinePunct w:val="0"/>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标段名称：</w:t>
      </w:r>
      <w:r>
        <w:rPr>
          <w:rFonts w:hint="eastAsia" w:ascii="宋体" w:hAnsi="宋体" w:eastAsia="宋体" w:cs="宋体"/>
          <w:bCs/>
          <w:sz w:val="24"/>
          <w:szCs w:val="24"/>
          <w:highlight w:val="none"/>
          <w:u w:val="single"/>
        </w:rPr>
        <w:t xml:space="preserve">                               </w:t>
      </w:r>
    </w:p>
    <w:p w14:paraId="60DDEAB0">
      <w:pPr>
        <w:keepNext w:val="0"/>
        <w:keepLines w:val="0"/>
        <w:pageBreakBefore w:val="0"/>
        <w:widowControl w:val="0"/>
        <w:kinsoku/>
        <w:overflowPunct/>
        <w:topLinePunct w:val="0"/>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标段编号：</w:t>
      </w:r>
      <w:r>
        <w:rPr>
          <w:rFonts w:hint="eastAsia" w:ascii="宋体" w:hAnsi="宋体" w:eastAsia="宋体" w:cs="宋体"/>
          <w:bCs/>
          <w:sz w:val="24"/>
          <w:szCs w:val="24"/>
          <w:highlight w:val="none"/>
          <w:u w:val="single"/>
        </w:rPr>
        <w:t>                                  </w:t>
      </w:r>
    </w:p>
    <w:p w14:paraId="0C7D5623">
      <w:pPr>
        <w:keepNext w:val="0"/>
        <w:keepLines w:val="0"/>
        <w:pageBreakBefore w:val="0"/>
        <w:widowControl w:val="0"/>
        <w:kinsoku/>
        <w:overflowPunct/>
        <w:topLinePunct w:val="0"/>
        <w:bidi w:val="0"/>
        <w:adjustRightInd w:val="0"/>
        <w:snapToGrid w:val="0"/>
        <w:spacing w:line="360" w:lineRule="auto"/>
        <w:ind w:firstLine="211"/>
        <w:textAlignment w:val="auto"/>
        <w:rPr>
          <w:rFonts w:hint="eastAsia" w:ascii="宋体" w:hAnsi="宋体" w:eastAsia="宋体" w:cs="宋体"/>
          <w:bCs/>
          <w:sz w:val="24"/>
          <w:szCs w:val="24"/>
          <w:highlight w:val="none"/>
          <w:u w:val="single"/>
        </w:rPr>
      </w:pPr>
    </w:p>
    <w:p w14:paraId="174D62E7">
      <w:pPr>
        <w:keepNext w:val="0"/>
        <w:keepLines w:val="0"/>
        <w:pageBreakBefore w:val="0"/>
        <w:widowControl w:val="0"/>
        <w:kinsoku/>
        <w:overflowPunct/>
        <w:topLinePunct w:val="0"/>
        <w:bidi w:val="0"/>
        <w:spacing w:line="360" w:lineRule="auto"/>
        <w:ind w:firstLine="26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bl>
      <w:tblPr>
        <w:tblStyle w:val="31"/>
        <w:tblW w:w="0" w:type="auto"/>
        <w:jc w:val="center"/>
        <w:tblLayout w:type="fixed"/>
        <w:tblCellMar>
          <w:top w:w="0" w:type="dxa"/>
          <w:left w:w="0" w:type="dxa"/>
          <w:bottom w:w="0" w:type="dxa"/>
          <w:right w:w="0" w:type="dxa"/>
        </w:tblCellMar>
      </w:tblPr>
      <w:tblGrid>
        <w:gridCol w:w="668"/>
        <w:gridCol w:w="1559"/>
        <w:gridCol w:w="2440"/>
        <w:gridCol w:w="2552"/>
        <w:gridCol w:w="1274"/>
        <w:gridCol w:w="1173"/>
      </w:tblGrid>
      <w:tr w14:paraId="7AB33F38">
        <w:tblPrEx>
          <w:tblCellMar>
            <w:top w:w="0" w:type="dxa"/>
            <w:left w:w="0" w:type="dxa"/>
            <w:bottom w:w="0" w:type="dxa"/>
            <w:right w:w="0" w:type="dxa"/>
          </w:tblCellMar>
        </w:tblPrEx>
        <w:trPr>
          <w:trHeight w:val="504" w:hRule="atLeast"/>
          <w:jc w:val="center"/>
        </w:trPr>
        <w:tc>
          <w:tcPr>
            <w:tcW w:w="668" w:type="dxa"/>
            <w:tcBorders>
              <w:top w:val="single" w:color="000000" w:sz="8" w:space="0"/>
              <w:left w:val="single" w:color="000000" w:sz="8" w:space="0"/>
              <w:bottom w:val="single" w:color="000000" w:sz="8" w:space="0"/>
              <w:right w:val="single" w:color="000000" w:sz="8" w:space="0"/>
            </w:tcBorders>
            <w:tcMar>
              <w:top w:w="0" w:type="dxa"/>
              <w:left w:w="28" w:type="dxa"/>
              <w:bottom w:w="0" w:type="dxa"/>
              <w:right w:w="28" w:type="dxa"/>
            </w:tcMar>
            <w:vAlign w:val="center"/>
          </w:tcPr>
          <w:p w14:paraId="21A13F37">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序号 </w:t>
            </w:r>
          </w:p>
        </w:tc>
        <w:tc>
          <w:tcPr>
            <w:tcW w:w="1559" w:type="dxa"/>
            <w:tcBorders>
              <w:top w:val="single" w:color="000000" w:sz="8" w:space="0"/>
              <w:left w:val="nil"/>
              <w:bottom w:val="single" w:color="000000" w:sz="8" w:space="0"/>
              <w:right w:val="single" w:color="000000" w:sz="8" w:space="0"/>
            </w:tcBorders>
            <w:tcMar>
              <w:top w:w="0" w:type="dxa"/>
              <w:left w:w="28" w:type="dxa"/>
              <w:bottom w:w="0" w:type="dxa"/>
              <w:right w:w="28" w:type="dxa"/>
            </w:tcMar>
            <w:vAlign w:val="center"/>
          </w:tcPr>
          <w:p w14:paraId="343DCCDB">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货物名称 </w:t>
            </w:r>
          </w:p>
        </w:tc>
        <w:tc>
          <w:tcPr>
            <w:tcW w:w="2440" w:type="dxa"/>
            <w:tcBorders>
              <w:top w:val="single" w:color="000000" w:sz="8" w:space="0"/>
              <w:left w:val="nil"/>
              <w:bottom w:val="single" w:color="000000" w:sz="8" w:space="0"/>
              <w:right w:val="single" w:color="000000" w:sz="8" w:space="0"/>
            </w:tcBorders>
            <w:tcMar>
              <w:top w:w="0" w:type="dxa"/>
              <w:left w:w="28" w:type="dxa"/>
              <w:bottom w:w="0" w:type="dxa"/>
              <w:right w:w="28" w:type="dxa"/>
            </w:tcMar>
            <w:vAlign w:val="center"/>
          </w:tcPr>
          <w:p w14:paraId="46423B52">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招标文件的技术要求 </w:t>
            </w:r>
          </w:p>
        </w:tc>
        <w:tc>
          <w:tcPr>
            <w:tcW w:w="2552" w:type="dxa"/>
            <w:tcBorders>
              <w:top w:val="single" w:color="000000" w:sz="8" w:space="0"/>
              <w:left w:val="nil"/>
              <w:bottom w:val="single" w:color="000000" w:sz="8" w:space="0"/>
              <w:right w:val="single" w:color="000000" w:sz="8" w:space="0"/>
            </w:tcBorders>
            <w:tcMar>
              <w:top w:w="0" w:type="dxa"/>
              <w:left w:w="28" w:type="dxa"/>
              <w:bottom w:w="0" w:type="dxa"/>
              <w:right w:w="28" w:type="dxa"/>
            </w:tcMar>
            <w:vAlign w:val="center"/>
          </w:tcPr>
          <w:p w14:paraId="283B7542">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投标文件的技术响应 </w:t>
            </w:r>
          </w:p>
        </w:tc>
        <w:tc>
          <w:tcPr>
            <w:tcW w:w="1274" w:type="dxa"/>
            <w:tcBorders>
              <w:top w:val="single" w:color="000000" w:sz="8" w:space="0"/>
              <w:left w:val="nil"/>
              <w:bottom w:val="single" w:color="000000" w:sz="8" w:space="0"/>
              <w:right w:val="single" w:color="000000" w:sz="8" w:space="0"/>
            </w:tcBorders>
            <w:tcMar>
              <w:top w:w="0" w:type="dxa"/>
              <w:left w:w="28" w:type="dxa"/>
              <w:bottom w:w="0" w:type="dxa"/>
              <w:right w:w="28" w:type="dxa"/>
            </w:tcMar>
            <w:vAlign w:val="center"/>
          </w:tcPr>
          <w:p w14:paraId="50777DB2">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响应/偏离 </w:t>
            </w:r>
          </w:p>
        </w:tc>
        <w:tc>
          <w:tcPr>
            <w:tcW w:w="1173" w:type="dxa"/>
            <w:tcBorders>
              <w:top w:val="single" w:color="000000" w:sz="8" w:space="0"/>
              <w:left w:val="nil"/>
              <w:bottom w:val="single" w:color="000000" w:sz="8" w:space="0"/>
              <w:right w:val="single" w:color="000000" w:sz="8" w:space="0"/>
            </w:tcBorders>
            <w:tcMar>
              <w:top w:w="0" w:type="dxa"/>
              <w:left w:w="28" w:type="dxa"/>
              <w:bottom w:w="0" w:type="dxa"/>
              <w:right w:w="28" w:type="dxa"/>
            </w:tcMar>
            <w:vAlign w:val="center"/>
          </w:tcPr>
          <w:p w14:paraId="56E517C5">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说明 </w:t>
            </w:r>
          </w:p>
        </w:tc>
      </w:tr>
      <w:tr w14:paraId="28586F79">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3ED4899C">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5C3DF23">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45DC5D68">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86141CB">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BAF67ED">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C8B2A3B">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23BC39A8">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775A144A">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4C89EB14">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70351CA7">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6778D33">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048B1B3D">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A4E924E">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04AB6243">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4E92DD1C">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1095C18A">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D456943">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05A8CFA0">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20C93FC1">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6E60FDC1">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48A5B3D2">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4C168440">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61AE4E08">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2EFF65F7">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6FF3DFED">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0F451904">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014FF39C">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69387911">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2C1AD264">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0D73AF8">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61273DB">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43830611">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49DE2E70">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7D51FA26">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6F999833">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2298ED1A">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262754E7">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9D80DA0">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ECEBB22">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5567EC2">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00DD629E">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7C7FE406">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5064C530">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5CC72E5">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66B6884A">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132294B">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7548906F">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3636869">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3780984C">
        <w:tblPrEx>
          <w:tblCellMar>
            <w:top w:w="0" w:type="dxa"/>
            <w:left w:w="0" w:type="dxa"/>
            <w:bottom w:w="0" w:type="dxa"/>
            <w:right w:w="0" w:type="dxa"/>
          </w:tblCellMar>
        </w:tblPrEx>
        <w:trPr>
          <w:trHeight w:val="505" w:hRule="atLeast"/>
          <w:jc w:val="center"/>
        </w:trPr>
        <w:tc>
          <w:tcPr>
            <w:tcW w:w="668" w:type="dxa"/>
            <w:tcBorders>
              <w:top w:val="nil"/>
              <w:left w:val="single" w:color="000000" w:sz="8" w:space="0"/>
              <w:bottom w:val="single" w:color="000000" w:sz="8" w:space="0"/>
              <w:right w:val="single" w:color="000000" w:sz="8" w:space="0"/>
            </w:tcBorders>
            <w:tcMar>
              <w:top w:w="0" w:type="dxa"/>
              <w:left w:w="28" w:type="dxa"/>
              <w:bottom w:w="0" w:type="dxa"/>
              <w:right w:w="28" w:type="dxa"/>
            </w:tcMar>
            <w:vAlign w:val="center"/>
          </w:tcPr>
          <w:p w14:paraId="22C7658E">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559" w:type="dxa"/>
            <w:tcBorders>
              <w:top w:val="nil"/>
              <w:left w:val="nil"/>
              <w:bottom w:val="single" w:color="000000" w:sz="8" w:space="0"/>
              <w:right w:val="single" w:color="000000" w:sz="8" w:space="0"/>
            </w:tcBorders>
            <w:tcMar>
              <w:top w:w="0" w:type="dxa"/>
              <w:left w:w="28" w:type="dxa"/>
              <w:bottom w:w="0" w:type="dxa"/>
              <w:right w:w="28" w:type="dxa"/>
            </w:tcMar>
            <w:vAlign w:val="center"/>
          </w:tcPr>
          <w:p w14:paraId="5BC842A4">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440" w:type="dxa"/>
            <w:tcBorders>
              <w:top w:val="nil"/>
              <w:left w:val="nil"/>
              <w:bottom w:val="single" w:color="000000" w:sz="8" w:space="0"/>
              <w:right w:val="single" w:color="000000" w:sz="8" w:space="0"/>
            </w:tcBorders>
            <w:tcMar>
              <w:top w:w="0" w:type="dxa"/>
              <w:left w:w="28" w:type="dxa"/>
              <w:bottom w:w="0" w:type="dxa"/>
              <w:right w:w="28" w:type="dxa"/>
            </w:tcMar>
            <w:vAlign w:val="center"/>
          </w:tcPr>
          <w:p w14:paraId="368BA845">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552" w:type="dxa"/>
            <w:tcBorders>
              <w:top w:val="nil"/>
              <w:left w:val="nil"/>
              <w:bottom w:val="single" w:color="000000" w:sz="8" w:space="0"/>
              <w:right w:val="single" w:color="000000" w:sz="8" w:space="0"/>
            </w:tcBorders>
            <w:tcMar>
              <w:top w:w="0" w:type="dxa"/>
              <w:left w:w="28" w:type="dxa"/>
              <w:bottom w:w="0" w:type="dxa"/>
              <w:right w:w="28" w:type="dxa"/>
            </w:tcMar>
            <w:vAlign w:val="center"/>
          </w:tcPr>
          <w:p w14:paraId="0B4DED7C">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274" w:type="dxa"/>
            <w:tcBorders>
              <w:top w:val="nil"/>
              <w:left w:val="nil"/>
              <w:bottom w:val="single" w:color="000000" w:sz="8" w:space="0"/>
              <w:right w:val="single" w:color="000000" w:sz="8" w:space="0"/>
            </w:tcBorders>
            <w:tcMar>
              <w:top w:w="0" w:type="dxa"/>
              <w:left w:w="28" w:type="dxa"/>
              <w:bottom w:w="0" w:type="dxa"/>
              <w:right w:w="28" w:type="dxa"/>
            </w:tcMar>
            <w:vAlign w:val="center"/>
          </w:tcPr>
          <w:p w14:paraId="78F51A4D">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1173" w:type="dxa"/>
            <w:tcBorders>
              <w:top w:val="nil"/>
              <w:left w:val="nil"/>
              <w:bottom w:val="single" w:color="000000" w:sz="8" w:space="0"/>
              <w:right w:val="single" w:color="000000" w:sz="8" w:space="0"/>
            </w:tcBorders>
            <w:tcMar>
              <w:top w:w="0" w:type="dxa"/>
              <w:left w:w="28" w:type="dxa"/>
              <w:bottom w:w="0" w:type="dxa"/>
              <w:right w:w="28" w:type="dxa"/>
            </w:tcMar>
            <w:vAlign w:val="center"/>
          </w:tcPr>
          <w:p w14:paraId="4D757464">
            <w:pPr>
              <w:keepNext w:val="0"/>
              <w:keepLines w:val="0"/>
              <w:pageBreakBefore w:val="0"/>
              <w:widowControl w:val="0"/>
              <w:kinsoku/>
              <w:overflowPunct/>
              <w:topLinePunct w:val="0"/>
              <w:bidi w:val="0"/>
              <w:adjustRightInd w:val="0"/>
              <w:snapToGrid w:val="0"/>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bl>
    <w:p w14:paraId="281F5641">
      <w:pPr>
        <w:keepNext w:val="0"/>
        <w:keepLines w:val="0"/>
        <w:pageBreakBefore w:val="0"/>
        <w:widowControl w:val="0"/>
        <w:kinsoku/>
        <w:overflowPunct/>
        <w:topLinePunct w:val="0"/>
        <w:bidi w:val="0"/>
        <w:adjustRightInd w:val="0"/>
        <w:snapToGrid w:val="0"/>
        <w:spacing w:line="360" w:lineRule="auto"/>
        <w:ind w:firstLine="4680" w:firstLineChars="195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61BE47BE">
      <w:pPr>
        <w:keepNext w:val="0"/>
        <w:keepLines w:val="0"/>
        <w:pageBreakBefore w:val="0"/>
        <w:widowControl w:val="0"/>
        <w:kinsoku/>
        <w:overflowPunct/>
        <w:topLinePunct w:val="0"/>
        <w:bidi w:val="0"/>
        <w:spacing w:line="360" w:lineRule="auto"/>
        <w:textAlignment w:val="auto"/>
        <w:rPr>
          <w:rFonts w:hint="eastAsia" w:ascii="宋体" w:hAnsi="宋体" w:eastAsia="宋体" w:cs="宋体"/>
          <w:sz w:val="24"/>
          <w:szCs w:val="24"/>
          <w:highlight w:val="none"/>
        </w:rPr>
      </w:pPr>
    </w:p>
    <w:p w14:paraId="755B19EA">
      <w:pPr>
        <w:keepNext w:val="0"/>
        <w:keepLines w:val="0"/>
        <w:pageBreakBefore w:val="0"/>
        <w:widowControl w:val="0"/>
        <w:kinsoku/>
        <w:overflowPunct/>
        <w:topLinePunct w:val="0"/>
        <w:bidi w:val="0"/>
        <w:spacing w:line="360" w:lineRule="auto"/>
        <w:textAlignment w:val="auto"/>
        <w:rPr>
          <w:rFonts w:hint="eastAsia" w:ascii="宋体" w:hAnsi="宋体" w:eastAsia="宋体" w:cs="宋体"/>
          <w:sz w:val="24"/>
          <w:szCs w:val="24"/>
          <w:highlight w:val="none"/>
        </w:rPr>
      </w:pPr>
    </w:p>
    <w:p w14:paraId="4F60FB97">
      <w:pPr>
        <w:keepNext w:val="0"/>
        <w:keepLines w:val="0"/>
        <w:pageBreakBefore w:val="0"/>
        <w:widowControl w:val="0"/>
        <w:kinsoku/>
        <w:wordWrap w:val="0"/>
        <w:overflowPunct/>
        <w:topLinePunct w:val="0"/>
        <w:autoSpaceDE w:val="0"/>
        <w:autoSpaceDN w:val="0"/>
        <w:bidi w:val="0"/>
        <w:adjustRightInd w:val="0"/>
        <w:snapToGrid w:val="0"/>
        <w:spacing w:line="360" w:lineRule="auto"/>
        <w:ind w:right="160"/>
        <w:jc w:val="righ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投标人：</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（公章）</w:t>
      </w:r>
    </w:p>
    <w:p w14:paraId="29BB0AD1">
      <w:pPr>
        <w:keepNext w:val="0"/>
        <w:keepLines w:val="0"/>
        <w:pageBreakBefore w:val="0"/>
        <w:widowControl w:val="0"/>
        <w:kinsoku/>
        <w:overflowPunct/>
        <w:topLinePunct w:val="0"/>
        <w:bidi w:val="0"/>
        <w:adjustRightInd w:val="0"/>
        <w:snapToGrid w:val="0"/>
        <w:spacing w:line="360" w:lineRule="auto"/>
        <w:ind w:right="960"/>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20158804">
      <w:pPr>
        <w:keepNext w:val="0"/>
        <w:keepLines w:val="0"/>
        <w:pageBreakBefore w:val="0"/>
        <w:widowControl w:val="0"/>
        <w:kinsoku/>
        <w:overflowPunct/>
        <w:topLinePunct w:val="0"/>
        <w:bidi w:val="0"/>
        <w:adjustRightInd w:val="0"/>
        <w:snapToGrid w:val="0"/>
        <w:spacing w:line="360" w:lineRule="auto"/>
        <w:ind w:firstLine="4080" w:firstLineChars="1700"/>
        <w:textAlignment w:val="auto"/>
        <w:rPr>
          <w:rFonts w:hint="eastAsia" w:ascii="宋体" w:hAnsi="宋体" w:eastAsia="宋体" w:cs="宋体"/>
          <w:sz w:val="24"/>
          <w:szCs w:val="24"/>
          <w:highlight w:val="none"/>
        </w:rPr>
      </w:pPr>
    </w:p>
    <w:p w14:paraId="449726F6">
      <w:pPr>
        <w:keepNext w:val="0"/>
        <w:keepLines w:val="0"/>
        <w:pageBreakBefore w:val="0"/>
        <w:widowControl w:val="0"/>
        <w:kinsoku/>
        <w:overflowPunct/>
        <w:topLinePunct w:val="0"/>
        <w:bidi w:val="0"/>
        <w:adjustRightInd w:val="0"/>
        <w:snapToGrid w:val="0"/>
        <w:spacing w:line="360" w:lineRule="auto"/>
        <w:ind w:firstLine="422" w:firstLineChars="200"/>
        <w:jc w:val="left"/>
        <w:textAlignment w:val="auto"/>
        <w:rPr>
          <w:rFonts w:hint="eastAsia" w:ascii="宋体" w:hAnsi="宋体" w:eastAsia="宋体" w:cs="宋体"/>
          <w:bCs/>
          <w:sz w:val="21"/>
          <w:szCs w:val="21"/>
          <w:highlight w:val="none"/>
        </w:rPr>
      </w:pPr>
      <w:r>
        <w:rPr>
          <w:rFonts w:hint="eastAsia" w:ascii="宋体" w:hAnsi="宋体" w:eastAsia="宋体" w:cs="宋体"/>
          <w:b/>
          <w:bCs w:val="0"/>
          <w:sz w:val="21"/>
          <w:szCs w:val="21"/>
          <w:highlight w:val="none"/>
        </w:rPr>
        <w:t>注：</w:t>
      </w:r>
      <w:r>
        <w:rPr>
          <w:rFonts w:hint="eastAsia" w:ascii="宋体" w:hAnsi="宋体" w:eastAsia="宋体" w:cs="宋体"/>
          <w:bCs/>
          <w:sz w:val="21"/>
          <w:szCs w:val="21"/>
          <w:highlight w:val="none"/>
        </w:rPr>
        <w:t>1、“技术规格、参数响应/偏离表”，供应商应作详细的文字描述说明，不得简单填写“均响应”、“完全响应”等同等含义文字，否则，评标委员会将视为未响应。投标人在技术性能参数响应及偏离表中能用数值说明的,必须列出具体数值。如果能用数值说明，但投标人只注明“符合”或“满足”，将被视为负偏离。</w:t>
      </w:r>
    </w:p>
    <w:p w14:paraId="04E6918E">
      <w:pPr>
        <w:keepNext w:val="0"/>
        <w:keepLines w:val="0"/>
        <w:pageBreakBefore w:val="0"/>
        <w:widowControl w:val="0"/>
        <w:kinsoku/>
        <w:overflowPunct/>
        <w:topLinePunct w:val="0"/>
        <w:bidi w:val="0"/>
        <w:spacing w:line="360" w:lineRule="auto"/>
        <w:textAlignment w:val="auto"/>
        <w:rPr>
          <w:rFonts w:hint="eastAsia" w:ascii="宋体" w:hAnsi="宋体" w:eastAsia="宋体" w:cs="宋体"/>
          <w:b/>
          <w:color w:val="auto"/>
          <w:kern w:val="0"/>
          <w:sz w:val="32"/>
          <w:szCs w:val="32"/>
          <w:highlight w:val="none"/>
        </w:rPr>
      </w:pPr>
      <w:r>
        <w:rPr>
          <w:rFonts w:hint="eastAsia" w:ascii="宋体" w:hAnsi="宋体" w:eastAsia="宋体" w:cs="宋体"/>
          <w:sz w:val="21"/>
          <w:szCs w:val="21"/>
          <w:highlight w:val="none"/>
        </w:rPr>
        <w:t>2、“响应/偏离”栏应注明“响应”或“正/负偏离”。</w:t>
      </w:r>
      <w:r>
        <w:rPr>
          <w:rFonts w:hint="eastAsia" w:ascii="宋体" w:hAnsi="宋体" w:eastAsia="宋体" w:cs="宋体"/>
          <w:b/>
          <w:color w:val="auto"/>
          <w:kern w:val="0"/>
          <w:sz w:val="32"/>
          <w:szCs w:val="32"/>
          <w:highlight w:val="none"/>
        </w:rPr>
        <w:br w:type="page"/>
      </w:r>
    </w:p>
    <w:p w14:paraId="1A42C8DE">
      <w:pPr>
        <w:jc w:val="center"/>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sz w:val="32"/>
          <w:szCs w:val="32"/>
          <w:highlight w:val="none"/>
          <w:lang w:val="en-US" w:eastAsia="zh-CN"/>
        </w:rPr>
        <w:t>五</w:t>
      </w:r>
      <w:r>
        <w:rPr>
          <w:rFonts w:hint="eastAsia" w:ascii="宋体" w:hAnsi="宋体" w:eastAsia="宋体" w:cs="宋体"/>
          <w:b/>
          <w:sz w:val="32"/>
          <w:szCs w:val="32"/>
          <w:highlight w:val="none"/>
        </w:rPr>
        <w:t>、关于符合本国产品标准的声明函</w:t>
      </w:r>
    </w:p>
    <w:p w14:paraId="3A01E7AE">
      <w:pPr>
        <w:keepNext w:val="0"/>
        <w:keepLines w:val="0"/>
        <w:pageBreakBefore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sz w:val="24"/>
          <w:szCs w:val="24"/>
          <w:highlight w:val="none"/>
        </w:rPr>
      </w:pPr>
    </w:p>
    <w:p w14:paraId="1C4E924D">
      <w:pPr>
        <w:keepNext w:val="0"/>
        <w:keepLines w:val="0"/>
        <w:pageBreakBefore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5B8F7086">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30" w:beforeAutospacing="0" w:after="30" w:afterAutospacing="0" w:line="360" w:lineRule="auto"/>
        <w:ind w:left="0" w:right="0" w:firstLine="42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w:t>
      </w:r>
      <w:r>
        <w:rPr>
          <w:rStyle w:val="36"/>
          <w:rFonts w:hint="eastAsia" w:ascii="宋体" w:hAnsi="宋体" w:eastAsia="宋体" w:cs="宋体"/>
          <w:i w:val="0"/>
          <w:iCs w:val="0"/>
          <w:caps w:val="0"/>
          <w:color w:val="auto"/>
          <w:spacing w:val="0"/>
          <w:sz w:val="24"/>
          <w:szCs w:val="24"/>
          <w:highlight w:val="none"/>
          <w:u w:val="single"/>
          <w:shd w:val="clear" w:color="auto" w:fill="FFFFFF"/>
        </w:rPr>
        <w:t>（产品名称1）</w:t>
      </w:r>
      <w:r>
        <w:rPr>
          <w:rStyle w:val="36"/>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shd w:val="clear" w:color="auto" w:fill="FFFFFF"/>
        </w:rPr>
        <w:t>，生产厂为</w:t>
      </w:r>
      <w:r>
        <w:rPr>
          <w:rStyle w:val="36"/>
          <w:rFonts w:hint="eastAsia" w:ascii="宋体" w:hAnsi="宋体" w:eastAsia="宋体" w:cs="宋体"/>
          <w:i w:val="0"/>
          <w:iCs w:val="0"/>
          <w:caps w:val="0"/>
          <w:color w:val="auto"/>
          <w:spacing w:val="0"/>
          <w:sz w:val="24"/>
          <w:szCs w:val="24"/>
          <w:highlight w:val="none"/>
          <w:u w:val="single"/>
          <w:shd w:val="clear" w:color="auto" w:fill="FFFFFF"/>
        </w:rPr>
        <w:t>（厂名）</w:t>
      </w:r>
      <w:r>
        <w:rPr>
          <w:rStyle w:val="36"/>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shd w:val="clear" w:color="auto" w:fill="FFFFFF"/>
        </w:rPr>
        <w:t>，厂址为</w:t>
      </w:r>
      <w:r>
        <w:rPr>
          <w:rStyle w:val="36"/>
          <w:rFonts w:hint="eastAsia" w:ascii="宋体" w:hAnsi="宋体" w:eastAsia="宋体" w:cs="宋体"/>
          <w:i w:val="0"/>
          <w:iCs w:val="0"/>
          <w:caps w:val="0"/>
          <w:color w:val="auto"/>
          <w:spacing w:val="0"/>
          <w:sz w:val="24"/>
          <w:szCs w:val="24"/>
          <w:highlight w:val="none"/>
          <w:u w:val="single"/>
          <w:shd w:val="clear" w:color="auto" w:fill="FFFFFF"/>
        </w:rPr>
        <w:t>（生产厂址）</w:t>
      </w:r>
      <w:r>
        <w:rPr>
          <w:rFonts w:hint="eastAsia" w:ascii="宋体" w:hAnsi="宋体" w:eastAsia="宋体" w:cs="宋体"/>
          <w:i w:val="0"/>
          <w:iCs w:val="0"/>
          <w:caps w:val="0"/>
          <w:color w:val="auto"/>
          <w:spacing w:val="0"/>
          <w:sz w:val="24"/>
          <w:szCs w:val="24"/>
          <w:highlight w:val="none"/>
          <w:shd w:val="clear" w:color="auto" w:fill="FFFFFF"/>
        </w:rPr>
        <w:t>。</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的中国境内生产的组件成本占比≥</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none"/>
          <w:shd w:val="clear" w:color="auto" w:fill="FFFFFF"/>
          <w:vertAlign w:val="superscript"/>
        </w:rPr>
        <w:t>3</w:t>
      </w:r>
      <w:r>
        <w:rPr>
          <w:rFonts w:hint="eastAsia" w:ascii="宋体" w:hAnsi="宋体" w:eastAsia="宋体" w:cs="宋体"/>
          <w:i w:val="0"/>
          <w:iCs w:val="0"/>
          <w:caps w:val="0"/>
          <w:color w:val="auto"/>
          <w:spacing w:val="0"/>
          <w:sz w:val="24"/>
          <w:szCs w:val="24"/>
          <w:highlight w:val="none"/>
          <w:shd w:val="clear" w:color="auto" w:fill="FFFFFF"/>
        </w:rPr>
        <w:t>。</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的</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none"/>
          <w:shd w:val="clear" w:color="auto" w:fill="FFFFFF"/>
          <w:vertAlign w:val="superscript"/>
        </w:rPr>
        <w:t>4</w:t>
      </w:r>
      <w:r>
        <w:rPr>
          <w:rFonts w:hint="eastAsia" w:ascii="宋体" w:hAnsi="宋体" w:eastAsia="宋体" w:cs="宋体"/>
          <w:i w:val="0"/>
          <w:iCs w:val="0"/>
          <w:caps w:val="0"/>
          <w:color w:val="auto"/>
          <w:spacing w:val="0"/>
          <w:sz w:val="24"/>
          <w:szCs w:val="24"/>
          <w:highlight w:val="none"/>
          <w:shd w:val="clear" w:color="auto" w:fill="FFFFFF"/>
        </w:rPr>
        <w:t>在中国境内生产。</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的</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none"/>
          <w:shd w:val="clear" w:color="auto" w:fill="FFFFFF"/>
          <w:vertAlign w:val="superscript"/>
        </w:rPr>
        <w:t>5</w:t>
      </w:r>
      <w:r>
        <w:rPr>
          <w:rFonts w:hint="eastAsia" w:ascii="宋体" w:hAnsi="宋体" w:eastAsia="宋体" w:cs="宋体"/>
          <w:i w:val="0"/>
          <w:iCs w:val="0"/>
          <w:caps w:val="0"/>
          <w:color w:val="auto"/>
          <w:spacing w:val="0"/>
          <w:sz w:val="24"/>
          <w:szCs w:val="24"/>
          <w:highlight w:val="none"/>
          <w:shd w:val="clear" w:color="auto" w:fill="FFFFFF"/>
        </w:rPr>
        <w:t>在中国境内完成。</w:t>
      </w:r>
    </w:p>
    <w:p w14:paraId="51CF59CD">
      <w:pPr>
        <w:keepNext w:val="0"/>
        <w:keepLines w:val="0"/>
        <w:pageBreakBefore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lang w:val="en-US" w:eastAsia="zh-CN"/>
        </w:rPr>
        <w:t>2</w:t>
      </w:r>
      <w:r>
        <w:rPr>
          <w:rFonts w:hint="eastAsia" w:ascii="宋体" w:hAnsi="宋体" w:eastAsia="宋体" w:cs="宋体"/>
          <w:i w:val="0"/>
          <w:iCs w:val="0"/>
          <w:caps w:val="0"/>
          <w:color w:val="auto"/>
          <w:spacing w:val="0"/>
          <w:sz w:val="24"/>
          <w:szCs w:val="24"/>
          <w:highlight w:val="none"/>
          <w:shd w:val="clear" w:color="auto" w:fill="FFFFFF"/>
        </w:rPr>
        <w:t>.</w:t>
      </w:r>
      <w:r>
        <w:rPr>
          <w:rStyle w:val="36"/>
          <w:rFonts w:hint="eastAsia" w:ascii="宋体" w:hAnsi="宋体" w:eastAsia="宋体" w:cs="宋体"/>
          <w:i w:val="0"/>
          <w:iCs w:val="0"/>
          <w:caps w:val="0"/>
          <w:color w:val="auto"/>
          <w:spacing w:val="0"/>
          <w:sz w:val="24"/>
          <w:szCs w:val="24"/>
          <w:highlight w:val="none"/>
          <w:u w:val="single"/>
          <w:shd w:val="clear" w:color="auto" w:fill="FFFFFF"/>
        </w:rPr>
        <w:t>（产品名称</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2</w:t>
      </w:r>
      <w:r>
        <w:rPr>
          <w:rStyle w:val="36"/>
          <w:rFonts w:hint="eastAsia" w:ascii="宋体" w:hAnsi="宋体" w:eastAsia="宋体" w:cs="宋体"/>
          <w:i w:val="0"/>
          <w:iCs w:val="0"/>
          <w:caps w:val="0"/>
          <w:color w:val="auto"/>
          <w:spacing w:val="0"/>
          <w:sz w:val="24"/>
          <w:szCs w:val="24"/>
          <w:highlight w:val="none"/>
          <w:u w:val="single"/>
          <w:shd w:val="clear" w:color="auto" w:fill="FFFFFF"/>
        </w:rPr>
        <w:t>）</w:t>
      </w:r>
      <w:r>
        <w:rPr>
          <w:rFonts w:hint="eastAsia" w:ascii="宋体" w:hAnsi="宋体" w:eastAsia="宋体" w:cs="宋体"/>
          <w:i w:val="0"/>
          <w:iCs w:val="0"/>
          <w:caps w:val="0"/>
          <w:color w:val="auto"/>
          <w:spacing w:val="0"/>
          <w:sz w:val="24"/>
          <w:szCs w:val="24"/>
          <w:highlight w:val="none"/>
          <w:shd w:val="clear" w:color="auto" w:fill="FFFFFF"/>
        </w:rPr>
        <w:t>，生产厂为</w:t>
      </w:r>
      <w:r>
        <w:rPr>
          <w:rStyle w:val="36"/>
          <w:rFonts w:hint="eastAsia" w:ascii="宋体" w:hAnsi="宋体" w:eastAsia="宋体" w:cs="宋体"/>
          <w:i w:val="0"/>
          <w:iCs w:val="0"/>
          <w:caps w:val="0"/>
          <w:color w:val="auto"/>
          <w:spacing w:val="0"/>
          <w:sz w:val="24"/>
          <w:szCs w:val="24"/>
          <w:highlight w:val="none"/>
          <w:u w:val="single"/>
          <w:shd w:val="clear" w:color="auto" w:fill="FFFFFF"/>
        </w:rPr>
        <w:t>（厂名）</w:t>
      </w:r>
      <w:r>
        <w:rPr>
          <w:rFonts w:hint="eastAsia" w:ascii="宋体" w:hAnsi="宋体" w:eastAsia="宋体" w:cs="宋体"/>
          <w:i w:val="0"/>
          <w:iCs w:val="0"/>
          <w:caps w:val="0"/>
          <w:color w:val="auto"/>
          <w:spacing w:val="0"/>
          <w:sz w:val="24"/>
          <w:szCs w:val="24"/>
          <w:highlight w:val="none"/>
          <w:shd w:val="clear" w:color="auto" w:fill="FFFFFF"/>
        </w:rPr>
        <w:t>，厂址为</w:t>
      </w:r>
      <w:r>
        <w:rPr>
          <w:rStyle w:val="36"/>
          <w:rFonts w:hint="eastAsia" w:ascii="宋体" w:hAnsi="宋体" w:eastAsia="宋体" w:cs="宋体"/>
          <w:i w:val="0"/>
          <w:iCs w:val="0"/>
          <w:caps w:val="0"/>
          <w:color w:val="auto"/>
          <w:spacing w:val="0"/>
          <w:sz w:val="24"/>
          <w:szCs w:val="24"/>
          <w:highlight w:val="none"/>
          <w:u w:val="single"/>
          <w:shd w:val="clear" w:color="auto" w:fill="FFFFFF"/>
        </w:rPr>
        <w:t>（生产厂址）</w:t>
      </w:r>
      <w:r>
        <w:rPr>
          <w:rFonts w:hint="eastAsia" w:ascii="宋体" w:hAnsi="宋体" w:eastAsia="宋体" w:cs="宋体"/>
          <w:i w:val="0"/>
          <w:iCs w:val="0"/>
          <w:caps w:val="0"/>
          <w:color w:val="auto"/>
          <w:spacing w:val="0"/>
          <w:sz w:val="24"/>
          <w:szCs w:val="24"/>
          <w:highlight w:val="none"/>
          <w:shd w:val="clear" w:color="auto" w:fill="FFFFFF"/>
        </w:rPr>
        <w:t>。</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的中国境内生产的组件成本占比≥</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的</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在中国境内生产。</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的</w:t>
      </w:r>
      <w:r>
        <w:rPr>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Style w:val="36"/>
          <w:rFonts w:hint="eastAsia" w:ascii="宋体" w:hAnsi="宋体" w:eastAsia="宋体" w:cs="宋体"/>
          <w:i w:val="0"/>
          <w:iCs w:val="0"/>
          <w:caps w:val="0"/>
          <w:color w:val="auto"/>
          <w:spacing w:val="0"/>
          <w:sz w:val="24"/>
          <w:szCs w:val="24"/>
          <w:highlight w:val="none"/>
          <w:u w:val="singl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在中国境内完成。</w:t>
      </w:r>
    </w:p>
    <w:p w14:paraId="01F54350">
      <w:pPr>
        <w:keepNext w:val="0"/>
        <w:keepLines w:val="0"/>
        <w:pageBreakBefore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61303C45">
      <w:pPr>
        <w:keepNext w:val="0"/>
        <w:keepLines w:val="0"/>
        <w:pageBreakBefore w:val="0"/>
        <w:kinsoku/>
        <w:wordWrap/>
        <w:overflowPunct/>
        <w:topLinePunct w:val="0"/>
        <w:autoSpaceDE/>
        <w:autoSpaceDN/>
        <w:bidi w:val="0"/>
        <w:adjustRightInd w:val="0"/>
        <w:snapToGrid w:val="0"/>
        <w:spacing w:line="360" w:lineRule="auto"/>
        <w:ind w:firstLine="475" w:firstLineChars="198"/>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本公司（单位）对上述声明内容的真实性负责。如有虚假，愿承担相应法律责任。</w:t>
      </w:r>
    </w:p>
    <w:p w14:paraId="5495ACFA">
      <w:pPr>
        <w:keepNext w:val="0"/>
        <w:keepLines w:val="0"/>
        <w:pageBreakBefore w:val="0"/>
        <w:kinsoku/>
        <w:wordWrap/>
        <w:overflowPunct/>
        <w:topLinePunct w:val="0"/>
        <w:autoSpaceDE/>
        <w:autoSpaceDN/>
        <w:bidi w:val="0"/>
        <w:adjustRightInd w:val="0"/>
        <w:snapToGrid w:val="0"/>
        <w:spacing w:line="360" w:lineRule="auto"/>
        <w:ind w:firstLine="475" w:firstLineChars="198"/>
        <w:jc w:val="right"/>
        <w:textAlignment w:val="auto"/>
        <w:rPr>
          <w:rFonts w:hint="eastAsia" w:ascii="宋体" w:hAnsi="宋体" w:eastAsia="宋体" w:cs="宋体"/>
          <w:sz w:val="24"/>
          <w:szCs w:val="24"/>
          <w:highlight w:val="none"/>
        </w:rPr>
      </w:pPr>
    </w:p>
    <w:p w14:paraId="5AA3D7CE">
      <w:pPr>
        <w:keepNext w:val="0"/>
        <w:keepLines w:val="0"/>
        <w:pageBreakBefore w:val="0"/>
        <w:kinsoku/>
        <w:wordWrap/>
        <w:overflowPunct/>
        <w:topLinePunct w:val="0"/>
        <w:autoSpaceDE/>
        <w:autoSpaceDN/>
        <w:bidi w:val="0"/>
        <w:adjustRightInd w:val="0"/>
        <w:snapToGrid w:val="0"/>
        <w:spacing w:line="360" w:lineRule="auto"/>
        <w:ind w:firstLine="475" w:firstLineChars="198"/>
        <w:jc w:val="right"/>
        <w:textAlignment w:val="auto"/>
        <w:rPr>
          <w:rFonts w:hint="eastAsia" w:ascii="宋体" w:hAnsi="宋体" w:eastAsia="宋体" w:cs="宋体"/>
          <w:sz w:val="24"/>
          <w:szCs w:val="24"/>
          <w:highlight w:val="none"/>
        </w:rPr>
      </w:pPr>
    </w:p>
    <w:p w14:paraId="198F1199">
      <w:pPr>
        <w:keepNext w:val="0"/>
        <w:keepLines w:val="0"/>
        <w:pageBreakBefore w:val="0"/>
        <w:kinsoku/>
        <w:wordWrap/>
        <w:overflowPunct/>
        <w:topLinePunct w:val="0"/>
        <w:autoSpaceDE/>
        <w:autoSpaceDN/>
        <w:bidi w:val="0"/>
        <w:adjustRightInd w:val="0"/>
        <w:snapToGrid w:val="0"/>
        <w:spacing w:line="360" w:lineRule="auto"/>
        <w:ind w:firstLine="475" w:firstLineChars="198"/>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公司（单位）名称（盖章）：      </w:t>
      </w:r>
    </w:p>
    <w:p w14:paraId="60943438">
      <w:pPr>
        <w:keepNext w:val="0"/>
        <w:keepLines w:val="0"/>
        <w:pageBreakBefore w:val="0"/>
        <w:kinsoku/>
        <w:wordWrap/>
        <w:overflowPunct/>
        <w:topLinePunct w:val="0"/>
        <w:autoSpaceDE/>
        <w:autoSpaceDN/>
        <w:bidi w:val="0"/>
        <w:adjustRightInd w:val="0"/>
        <w:snapToGrid w:val="0"/>
        <w:spacing w:line="360" w:lineRule="auto"/>
        <w:ind w:firstLine="475" w:firstLineChars="198"/>
        <w:jc w:val="center"/>
        <w:textAlignment w:val="auto"/>
        <w:rPr>
          <w:rFonts w:hint="eastAsia" w:ascii="宋体" w:hAnsi="宋体" w:eastAsia="宋体" w:cs="宋体"/>
          <w:i w:val="0"/>
          <w:iCs w:val="0"/>
          <w:caps w:val="0"/>
          <w:color w:val="333333"/>
          <w:spacing w:val="0"/>
          <w:sz w:val="24"/>
          <w:szCs w:val="24"/>
          <w:highlight w:val="none"/>
          <w:shd w:val="clear" w:fill="FFFFFF"/>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日期：　　　　年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r>
        <w:rPr>
          <w:rFonts w:hint="eastAsia" w:ascii="宋体" w:hAnsi="宋体" w:eastAsia="宋体" w:cs="宋体"/>
          <w:i w:val="0"/>
          <w:iCs w:val="0"/>
          <w:caps w:val="0"/>
          <w:color w:val="333333"/>
          <w:spacing w:val="0"/>
          <w:sz w:val="24"/>
          <w:szCs w:val="24"/>
          <w:highlight w:val="none"/>
          <w:shd w:val="clear" w:fill="FFFFFF"/>
        </w:rPr>
        <w:t>  </w:t>
      </w:r>
    </w:p>
    <w:p w14:paraId="0BEF574F">
      <w:pPr>
        <w:adjustRightInd w:val="0"/>
        <w:snapToGrid w:val="0"/>
        <w:spacing w:line="440" w:lineRule="exact"/>
        <w:ind w:firstLine="475" w:firstLineChars="198"/>
        <w:jc w:val="right"/>
        <w:rPr>
          <w:rFonts w:hint="eastAsia" w:ascii="宋体" w:hAnsi="宋体" w:eastAsia="宋体" w:cs="宋体"/>
          <w:i w:val="0"/>
          <w:iCs w:val="0"/>
          <w:caps w:val="0"/>
          <w:color w:val="333333"/>
          <w:spacing w:val="0"/>
          <w:sz w:val="24"/>
          <w:szCs w:val="24"/>
          <w:highlight w:val="none"/>
          <w:shd w:val="clear" w:fill="FFFFFF"/>
        </w:rPr>
      </w:pPr>
    </w:p>
    <w:p w14:paraId="77382FBB">
      <w:pPr>
        <w:adjustRightInd w:val="0"/>
        <w:snapToGrid w:val="0"/>
        <w:spacing w:line="440" w:lineRule="exact"/>
        <w:ind w:firstLine="475" w:firstLineChars="198"/>
        <w:jc w:val="right"/>
        <w:rPr>
          <w:rFonts w:hint="eastAsia" w:ascii="宋体" w:hAnsi="宋体" w:eastAsia="宋体" w:cs="宋体"/>
          <w:i w:val="0"/>
          <w:iCs w:val="0"/>
          <w:caps w:val="0"/>
          <w:color w:val="333333"/>
          <w:spacing w:val="0"/>
          <w:sz w:val="24"/>
          <w:szCs w:val="24"/>
          <w:highlight w:val="none"/>
          <w:shd w:val="clear" w:fill="FFFFFF"/>
        </w:rPr>
      </w:pPr>
    </w:p>
    <w:p w14:paraId="2C257505">
      <w:pPr>
        <w:adjustRightInd w:val="0"/>
        <w:snapToGrid w:val="0"/>
        <w:spacing w:line="440" w:lineRule="exact"/>
        <w:ind w:firstLine="475" w:firstLineChars="198"/>
        <w:jc w:val="right"/>
        <w:rPr>
          <w:rFonts w:hint="eastAsia" w:ascii="宋体" w:hAnsi="宋体" w:eastAsia="宋体" w:cs="宋体"/>
          <w:i w:val="0"/>
          <w:iCs w:val="0"/>
          <w:caps w:val="0"/>
          <w:color w:val="333333"/>
          <w:spacing w:val="0"/>
          <w:sz w:val="24"/>
          <w:szCs w:val="24"/>
          <w:highlight w:val="none"/>
          <w:shd w:val="clear" w:fill="FFFFFF"/>
        </w:rPr>
      </w:pPr>
    </w:p>
    <w:p w14:paraId="3800FF01">
      <w:pPr>
        <w:adjustRightInd w:val="0"/>
        <w:snapToGrid w:val="0"/>
        <w:spacing w:line="440" w:lineRule="exact"/>
        <w:ind w:firstLine="475" w:firstLineChars="198"/>
        <w:jc w:val="right"/>
        <w:rPr>
          <w:rFonts w:hint="eastAsia" w:ascii="宋体" w:hAnsi="宋体" w:eastAsia="宋体" w:cs="宋体"/>
          <w:i w:val="0"/>
          <w:iCs w:val="0"/>
          <w:caps w:val="0"/>
          <w:color w:val="333333"/>
          <w:spacing w:val="0"/>
          <w:sz w:val="24"/>
          <w:szCs w:val="24"/>
          <w:highlight w:val="none"/>
          <w:shd w:val="clear" w:fill="FFFFFF"/>
        </w:rPr>
      </w:pPr>
    </w:p>
    <w:p w14:paraId="57D45108">
      <w:pPr>
        <w:adjustRightInd w:val="0"/>
        <w:snapToGrid w:val="0"/>
        <w:spacing w:line="440" w:lineRule="exact"/>
        <w:ind w:firstLine="475" w:firstLineChars="198"/>
        <w:jc w:val="right"/>
        <w:rPr>
          <w:rFonts w:hint="eastAsia" w:ascii="宋体" w:hAnsi="宋体" w:eastAsia="宋体" w:cs="宋体"/>
          <w:i w:val="0"/>
          <w:iCs w:val="0"/>
          <w:caps w:val="0"/>
          <w:color w:val="333333"/>
          <w:spacing w:val="0"/>
          <w:sz w:val="24"/>
          <w:szCs w:val="24"/>
          <w:highlight w:val="none"/>
          <w:shd w:val="clear" w:fill="FFFFFF"/>
        </w:rPr>
      </w:pPr>
    </w:p>
    <w:p w14:paraId="1C76E892">
      <w:pPr>
        <w:adjustRightInd w:val="0"/>
        <w:snapToGrid w:val="0"/>
        <w:spacing w:line="440" w:lineRule="exact"/>
        <w:ind w:firstLine="475" w:firstLineChars="198"/>
        <w:jc w:val="righ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  </w:t>
      </w:r>
    </w:p>
    <w:p w14:paraId="5897EF95">
      <w:pPr>
        <w:adjustRightInd w:val="0"/>
        <w:snapToGrid w:val="0"/>
        <w:spacing w:line="440" w:lineRule="exact"/>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_____________________________</w:t>
      </w:r>
    </w:p>
    <w:p w14:paraId="0C01515E">
      <w:pPr>
        <w:keepNext w:val="0"/>
        <w:keepLines w:val="0"/>
        <w:pageBreakBefore w:val="0"/>
        <w:widowControl w:val="0"/>
        <w:kinsoku/>
        <w:wordWrap/>
        <w:overflowPunct/>
        <w:topLinePunct w:val="0"/>
        <w:autoSpaceDE/>
        <w:autoSpaceDN/>
        <w:bidi w:val="0"/>
        <w:adjustRightInd w:val="0"/>
        <w:snapToGrid w:val="0"/>
        <w:spacing w:line="360" w:lineRule="auto"/>
        <w:ind w:firstLine="415" w:firstLineChars="198"/>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1.产品如有型号，请在“产品名称”栏一并填写。</w:t>
      </w:r>
    </w:p>
    <w:p w14:paraId="42EFC407">
      <w:pPr>
        <w:keepNext w:val="0"/>
        <w:keepLines w:val="0"/>
        <w:pageBreakBefore w:val="0"/>
        <w:widowControl w:val="0"/>
        <w:kinsoku/>
        <w:wordWrap/>
        <w:overflowPunct/>
        <w:topLinePunct w:val="0"/>
        <w:autoSpaceDE/>
        <w:autoSpaceDN/>
        <w:bidi w:val="0"/>
        <w:adjustRightInd w:val="0"/>
        <w:snapToGrid w:val="0"/>
        <w:spacing w:line="360" w:lineRule="auto"/>
        <w:ind w:firstLine="415" w:firstLineChars="198"/>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2.生产厂名与厂址应与生产厂营业执照载明的相关信息保持一致。</w:t>
      </w:r>
    </w:p>
    <w:p w14:paraId="705A1131">
      <w:pPr>
        <w:keepNext w:val="0"/>
        <w:keepLines w:val="0"/>
        <w:pageBreakBefore w:val="0"/>
        <w:widowControl w:val="0"/>
        <w:kinsoku/>
        <w:wordWrap/>
        <w:overflowPunct/>
        <w:topLinePunct w:val="0"/>
        <w:autoSpaceDE/>
        <w:autoSpaceDN/>
        <w:bidi w:val="0"/>
        <w:adjustRightInd w:val="0"/>
        <w:snapToGrid w:val="0"/>
        <w:spacing w:line="360" w:lineRule="auto"/>
        <w:ind w:firstLine="415" w:firstLineChars="198"/>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3.该产品的中国境内生产的组件成本占比相关要求实施前，“规定比例”栏可不填，下同。</w:t>
      </w:r>
    </w:p>
    <w:p w14:paraId="027237A1">
      <w:pPr>
        <w:keepNext w:val="0"/>
        <w:keepLines w:val="0"/>
        <w:pageBreakBefore w:val="0"/>
        <w:widowControl w:val="0"/>
        <w:kinsoku/>
        <w:wordWrap/>
        <w:overflowPunct/>
        <w:topLinePunct w:val="0"/>
        <w:autoSpaceDE/>
        <w:autoSpaceDN/>
        <w:bidi w:val="0"/>
        <w:adjustRightInd w:val="0"/>
        <w:snapToGrid w:val="0"/>
        <w:spacing w:line="360" w:lineRule="auto"/>
        <w:ind w:firstLine="415" w:firstLineChars="198"/>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4.该产品的关键组件要求实施前，“关键组件”栏可不填，下同。</w:t>
      </w:r>
    </w:p>
    <w:p w14:paraId="13CD7D1F">
      <w:pPr>
        <w:keepNext w:val="0"/>
        <w:keepLines w:val="0"/>
        <w:pageBreakBefore w:val="0"/>
        <w:widowControl w:val="0"/>
        <w:kinsoku/>
        <w:wordWrap/>
        <w:overflowPunct/>
        <w:topLinePunct w:val="0"/>
        <w:autoSpaceDE/>
        <w:autoSpaceDN/>
        <w:bidi w:val="0"/>
        <w:adjustRightInd w:val="0"/>
        <w:snapToGrid w:val="0"/>
        <w:spacing w:line="360" w:lineRule="auto"/>
        <w:ind w:firstLine="415" w:firstLineChars="198"/>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5.该产品的关键工序要求实施前，“关键工序”栏可不填，下同。</w:t>
      </w:r>
    </w:p>
    <w:p w14:paraId="42BBFB22">
      <w:pPr>
        <w:keepNext w:val="0"/>
        <w:keepLines w:val="0"/>
        <w:pageBreakBefore w:val="0"/>
        <w:widowControl w:val="0"/>
        <w:kinsoku/>
        <w:wordWrap/>
        <w:overflowPunct/>
        <w:topLinePunct w:val="0"/>
        <w:autoSpaceDE/>
        <w:autoSpaceDN/>
        <w:bidi w:val="0"/>
        <w:adjustRightInd w:val="0"/>
        <w:snapToGrid w:val="0"/>
        <w:spacing w:line="360" w:lineRule="auto"/>
        <w:ind w:firstLine="415" w:firstLineChars="198"/>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6.《声明函》中标注“  /  ”的地方无需填写。</w:t>
      </w:r>
    </w:p>
    <w:p w14:paraId="538D997B">
      <w:pPr>
        <w:adjustRightInd w:val="0"/>
        <w:snapToGrid w:val="0"/>
        <w:spacing w:line="440" w:lineRule="exact"/>
        <w:ind w:firstLine="415" w:firstLineChars="198"/>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br w:type="page"/>
      </w:r>
    </w:p>
    <w:p w14:paraId="012DA2BF">
      <w:pPr>
        <w:jc w:val="center"/>
        <w:rPr>
          <w:rFonts w:hint="eastAsia" w:ascii="宋体" w:hAnsi="宋体" w:eastAsia="宋体" w:cs="宋体"/>
          <w:b/>
          <w:sz w:val="32"/>
          <w:szCs w:val="32"/>
          <w:highlight w:val="none"/>
          <w:lang w:val="en-US" w:eastAsia="zh-CN"/>
        </w:rPr>
      </w:pPr>
    </w:p>
    <w:p w14:paraId="4F3E4BB7">
      <w:pPr>
        <w:jc w:val="center"/>
        <w:rPr>
          <w:rFonts w:hint="eastAsia" w:ascii="宋体" w:hAnsi="宋体" w:eastAsia="宋体" w:cs="宋体"/>
          <w:b/>
          <w:sz w:val="32"/>
          <w:szCs w:val="32"/>
          <w:highlight w:val="none"/>
          <w:lang w:val="en-US" w:eastAsia="zh-CN"/>
        </w:rPr>
      </w:pPr>
      <w:r>
        <w:rPr>
          <w:rFonts w:hint="eastAsia" w:ascii="宋体" w:hAnsi="宋体" w:eastAsia="宋体" w:cs="宋体"/>
          <w:b/>
          <w:sz w:val="32"/>
          <w:szCs w:val="32"/>
          <w:highlight w:val="none"/>
          <w:lang w:val="en-US" w:eastAsia="zh-CN"/>
        </w:rPr>
        <w:t>产品成本占比承诺函</w:t>
      </w:r>
    </w:p>
    <w:p w14:paraId="65E94F0D">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i w:val="0"/>
          <w:iCs w:val="0"/>
          <w:caps w:val="0"/>
          <w:color w:val="auto"/>
          <w:spacing w:val="0"/>
          <w:sz w:val="24"/>
          <w:szCs w:val="24"/>
          <w:highlight w:val="none"/>
          <w:shd w:val="clear" w:color="auto" w:fill="FFFFFF"/>
        </w:rPr>
      </w:pPr>
    </w:p>
    <w:p w14:paraId="47EDC71B">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0B8B890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为本采购项目或者采购</w:t>
      </w:r>
      <w:r>
        <w:rPr>
          <w:rFonts w:hint="eastAsia" w:ascii="宋体" w:hAnsi="宋体" w:eastAsia="宋体" w:cs="宋体"/>
          <w:i w:val="0"/>
          <w:iCs w:val="0"/>
          <w:caps w:val="0"/>
          <w:color w:val="auto"/>
          <w:spacing w:val="0"/>
          <w:sz w:val="24"/>
          <w:szCs w:val="24"/>
          <w:highlight w:val="none"/>
          <w:shd w:val="clear" w:color="auto" w:fill="FFFFFF"/>
          <w:lang w:val="en-US" w:eastAsia="zh-CN"/>
        </w:rPr>
        <w:t>标段</w:t>
      </w:r>
      <w:r>
        <w:rPr>
          <w:rFonts w:hint="eastAsia" w:ascii="宋体" w:hAnsi="宋体" w:eastAsia="宋体" w:cs="宋体"/>
          <w:i w:val="0"/>
          <w:iCs w:val="0"/>
          <w:caps w:val="0"/>
          <w:color w:val="auto"/>
          <w:spacing w:val="0"/>
          <w:sz w:val="24"/>
          <w:szCs w:val="24"/>
          <w:highlight w:val="none"/>
          <w:shd w:val="clear" w:color="auto" w:fill="FFFFFF"/>
        </w:rPr>
        <w:t>提供的符合本国产品标准的产品成本之和占提供的全部产品成本之和的比例为______%。</w:t>
      </w:r>
    </w:p>
    <w:p w14:paraId="0A8D1AC9">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auto"/>
          <w:spacing w:val="0"/>
          <w:sz w:val="24"/>
          <w:szCs w:val="24"/>
          <w:highlight w:val="none"/>
          <w:shd w:val="clear" w:color="auto" w:fill="FFFFFF"/>
        </w:rPr>
      </w:pPr>
    </w:p>
    <w:p w14:paraId="77E682FC">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right="0" w:firstLine="420"/>
        <w:jc w:val="righ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公司（单位）名称（盖章）：</w:t>
      </w:r>
      <w:r>
        <w:rPr>
          <w:rFonts w:hint="eastAsia" w:ascii="宋体" w:hAnsi="宋体" w:eastAsia="宋体" w:cs="宋体"/>
          <w:i w:val="0"/>
          <w:iCs w:val="0"/>
          <w:caps w:val="0"/>
          <w:color w:val="auto"/>
          <w:spacing w:val="0"/>
          <w:sz w:val="24"/>
          <w:szCs w:val="24"/>
          <w:highlight w:val="none"/>
          <w:shd w:val="clear" w:color="auto" w:fill="FFFFFF"/>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rPr>
        <w:t>　        </w:t>
      </w:r>
    </w:p>
    <w:p w14:paraId="5236C96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360" w:lineRule="auto"/>
        <w:ind w:left="0" w:right="0" w:firstLine="420"/>
        <w:jc w:val="righ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日期：　     年　  月　  日     </w:t>
      </w:r>
    </w:p>
    <w:p w14:paraId="2A336B4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highlight w:val="none"/>
        </w:rPr>
      </w:pPr>
    </w:p>
    <w:p w14:paraId="30B83D30">
      <w:pPr>
        <w:pStyle w:val="19"/>
        <w:rPr>
          <w:rFonts w:hint="eastAsia" w:ascii="宋体" w:hAnsi="宋体" w:eastAsia="宋体" w:cs="宋体"/>
        </w:rPr>
      </w:pPr>
    </w:p>
    <w:p w14:paraId="414DF44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highlight w:val="none"/>
        </w:rPr>
      </w:pPr>
    </w:p>
    <w:p w14:paraId="58843C9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注：</w:t>
      </w:r>
    </w:p>
    <w:p w14:paraId="6BBA965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1. 本承诺函应按</w:t>
      </w:r>
      <w:r>
        <w:rPr>
          <w:rFonts w:hint="eastAsia" w:ascii="宋体" w:hAnsi="宋体" w:eastAsia="宋体" w:cs="宋体"/>
          <w:color w:val="333333"/>
          <w:sz w:val="21"/>
          <w:szCs w:val="21"/>
          <w:highlight w:val="none"/>
          <w:shd w:val="clear" w:color="auto" w:fill="FFFFFF"/>
          <w:lang w:val="en-US" w:eastAsia="zh-CN"/>
        </w:rPr>
        <w:t>标段</w:t>
      </w:r>
      <w:r>
        <w:rPr>
          <w:rFonts w:hint="eastAsia" w:ascii="宋体" w:hAnsi="宋体" w:eastAsia="宋体" w:cs="宋体"/>
          <w:color w:val="333333"/>
          <w:sz w:val="21"/>
          <w:szCs w:val="21"/>
          <w:highlight w:val="none"/>
          <w:shd w:val="clear" w:color="auto" w:fill="FFFFFF"/>
        </w:rPr>
        <w:t>分别提供。</w:t>
      </w:r>
    </w:p>
    <w:p w14:paraId="0E72395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2. 单一产品采购无须提供本承诺函；供应商提供产品全部为本国产品，且提供了《关于符合本国产品标准的声明函》时，无须提供本承诺函。</w:t>
      </w:r>
    </w:p>
    <w:p w14:paraId="18B628E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333333"/>
          <w:sz w:val="21"/>
          <w:szCs w:val="21"/>
          <w:highlight w:val="none"/>
          <w:shd w:val="clear" w:color="auto" w:fill="FFFFFF"/>
        </w:rPr>
      </w:pPr>
      <w:r>
        <w:rPr>
          <w:rFonts w:hint="eastAsia" w:ascii="宋体" w:hAnsi="宋体" w:eastAsia="宋体" w:cs="宋体"/>
          <w:color w:val="333333"/>
          <w:sz w:val="21"/>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sz w:val="21"/>
          <w:szCs w:val="21"/>
          <w:highlight w:val="none"/>
        </w:rPr>
        <w:t>价格评审优惠</w:t>
      </w:r>
      <w:r>
        <w:rPr>
          <w:rFonts w:hint="eastAsia" w:ascii="宋体" w:hAnsi="宋体" w:eastAsia="宋体" w:cs="宋体"/>
          <w:color w:val="333333"/>
          <w:sz w:val="21"/>
          <w:szCs w:val="21"/>
          <w:highlight w:val="none"/>
          <w:shd w:val="clear" w:color="auto" w:fill="FFFFFF"/>
        </w:rPr>
        <w:t>。</w:t>
      </w:r>
    </w:p>
    <w:p w14:paraId="49926482">
      <w:pPr>
        <w:keepNext w:val="0"/>
        <w:keepLines w:val="0"/>
        <w:pageBreakBefore w:val="0"/>
        <w:kinsoku/>
        <w:wordWrap/>
        <w:overflowPunct/>
        <w:topLinePunct w:val="0"/>
        <w:bidi w:val="0"/>
        <w:spacing w:line="360" w:lineRule="auto"/>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482F6B6A">
      <w:pPr>
        <w:keepNext w:val="0"/>
        <w:keepLines w:val="0"/>
        <w:pageBreakBefore w:val="0"/>
        <w:kinsoku/>
        <w:wordWrap/>
        <w:overflowPunct/>
        <w:topLinePunct w:val="0"/>
        <w:bidi w:val="0"/>
        <w:spacing w:line="360" w:lineRule="auto"/>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02225326">
      <w:pPr>
        <w:keepNext w:val="0"/>
        <w:keepLines w:val="0"/>
        <w:pageBreakBefore w:val="0"/>
        <w:kinsoku/>
        <w:wordWrap/>
        <w:overflowPunct/>
        <w:topLinePunct w:val="0"/>
        <w:bidi w:val="0"/>
        <w:spacing w:line="360" w:lineRule="auto"/>
        <w:textAlignment w:val="auto"/>
        <w:rPr>
          <w:rFonts w:hint="eastAsia" w:ascii="宋体" w:hAnsi="宋体" w:eastAsia="宋体" w:cs="宋体"/>
          <w:szCs w:val="21"/>
          <w:highlight w:val="none"/>
        </w:rPr>
      </w:pPr>
    </w:p>
    <w:p w14:paraId="7D55F171">
      <w:pPr>
        <w:keepNext w:val="0"/>
        <w:keepLines w:val="0"/>
        <w:pageBreakBefore w:val="0"/>
        <w:kinsoku/>
        <w:wordWrap/>
        <w:overflowPunct/>
        <w:topLinePunct w:val="0"/>
        <w:bidi w:val="0"/>
        <w:spacing w:line="360" w:lineRule="auto"/>
        <w:textAlignment w:val="auto"/>
        <w:rPr>
          <w:rFonts w:hint="eastAsia" w:ascii="宋体" w:hAnsi="宋体" w:eastAsia="宋体" w:cs="宋体"/>
          <w:szCs w:val="21"/>
          <w:highlight w:val="none"/>
        </w:rPr>
      </w:pPr>
    </w:p>
    <w:p w14:paraId="6813713D">
      <w:pPr>
        <w:keepNext w:val="0"/>
        <w:keepLines w:val="0"/>
        <w:pageBreakBefore w:val="0"/>
        <w:kinsoku/>
        <w:wordWrap/>
        <w:overflowPunct/>
        <w:topLinePunct w:val="0"/>
        <w:bidi w:val="0"/>
        <w:spacing w:line="360" w:lineRule="auto"/>
        <w:textAlignment w:val="auto"/>
        <w:rPr>
          <w:rFonts w:hint="eastAsia" w:ascii="宋体" w:hAnsi="宋体" w:eastAsia="宋体" w:cs="宋体"/>
          <w:szCs w:val="21"/>
          <w:highlight w:val="none"/>
        </w:rPr>
      </w:pPr>
    </w:p>
    <w:p w14:paraId="5FE7C95E">
      <w:pPr>
        <w:keepNext w:val="0"/>
        <w:keepLines w:val="0"/>
        <w:pageBreakBefore w:val="0"/>
        <w:kinsoku/>
        <w:wordWrap/>
        <w:overflowPunct/>
        <w:topLinePunct w:val="0"/>
        <w:bidi w:val="0"/>
        <w:spacing w:line="360" w:lineRule="auto"/>
        <w:textAlignment w:val="auto"/>
        <w:rPr>
          <w:rFonts w:hint="eastAsia" w:ascii="宋体" w:hAnsi="宋体" w:eastAsia="宋体" w:cs="宋体"/>
          <w:szCs w:val="21"/>
          <w:highlight w:val="none"/>
        </w:rPr>
      </w:pPr>
    </w:p>
    <w:p w14:paraId="7257FD2F">
      <w:pPr>
        <w:keepNext w:val="0"/>
        <w:keepLines w:val="0"/>
        <w:pageBreakBefore w:val="0"/>
        <w:kinsoku/>
        <w:wordWrap/>
        <w:overflowPunct/>
        <w:topLinePunct w:val="0"/>
        <w:autoSpaceDE w:val="0"/>
        <w:autoSpaceDN w:val="0"/>
        <w:bidi w:val="0"/>
        <w:adjustRightInd w:val="0"/>
        <w:snapToGrid w:val="0"/>
        <w:spacing w:line="360" w:lineRule="auto"/>
        <w:ind w:right="160"/>
        <w:jc w:val="righ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投标人：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（公章）</w:t>
      </w:r>
    </w:p>
    <w:p w14:paraId="0FC38843">
      <w:pPr>
        <w:keepNext w:val="0"/>
        <w:keepLines w:val="0"/>
        <w:pageBreakBefore w:val="0"/>
        <w:kinsoku/>
        <w:wordWrap/>
        <w:overflowPunct/>
        <w:topLinePunct w:val="0"/>
        <w:bidi w:val="0"/>
        <w:adjustRightInd w:val="0"/>
        <w:snapToGrid w:val="0"/>
        <w:spacing w:line="360" w:lineRule="auto"/>
        <w:ind w:right="960"/>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EC0E2D2">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br w:type="page"/>
      </w:r>
    </w:p>
    <w:p w14:paraId="3711C837">
      <w:pPr>
        <w:widowControl/>
        <w:jc w:val="left"/>
        <w:rPr>
          <w:rFonts w:hint="eastAsia" w:ascii="宋体" w:hAnsi="宋体" w:eastAsia="宋体" w:cs="宋体"/>
          <w:color w:val="auto"/>
          <w:kern w:val="0"/>
          <w:sz w:val="24"/>
          <w:szCs w:val="24"/>
          <w:highlight w:val="none"/>
        </w:rPr>
      </w:pPr>
    </w:p>
    <w:bookmarkEnd w:id="1"/>
    <w:p w14:paraId="77BA3F31">
      <w:pPr>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六</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lang w:eastAsia="zh-CN"/>
        </w:rPr>
        <w:t>实施方案</w:t>
      </w:r>
    </w:p>
    <w:p w14:paraId="3143BDF1">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在此处编辑招标文件要求的提供佐证材料。</w:t>
      </w:r>
    </w:p>
    <w:p w14:paraId="5DA4FA7A">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要求</w:t>
      </w:r>
      <w:r>
        <w:rPr>
          <w:rFonts w:hint="eastAsia" w:ascii="宋体" w:hAnsi="宋体" w:eastAsia="宋体" w:cs="宋体"/>
          <w:color w:val="auto"/>
          <w:sz w:val="24"/>
          <w:szCs w:val="24"/>
          <w:highlight w:val="none"/>
        </w:rPr>
        <w:t>：1.按招标文件第五章罗列顺序编辑；</w:t>
      </w:r>
    </w:p>
    <w:p w14:paraId="08E3CF6A">
      <w:pPr>
        <w:keepNext w:val="0"/>
        <w:keepLines w:val="0"/>
        <w:pageBreakBefore w:val="0"/>
        <w:widowControl w:val="0"/>
        <w:kinsoku/>
        <w:wordWrap/>
        <w:overflowPunct/>
        <w:topLinePunct w:val="0"/>
        <w:bidi w:val="0"/>
        <w:spacing w:line="36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2.对照材料名称编制小标题；</w:t>
      </w:r>
    </w:p>
    <w:p w14:paraId="512476F5">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22D2DF39">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4888D2A">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58941BE4">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794BA446">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036D1685">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6FE5E0E">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1D942E59">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03239B55">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0DC92AA9">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4E191E8E">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40F4E97E">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060546AE">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202073EA">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6609B63B">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77FE3655">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664966FC">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1F98920C">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1788851A">
      <w:pPr>
        <w:keepNext w:val="0"/>
        <w:keepLines w:val="0"/>
        <w:pageBreakBefore w:val="0"/>
        <w:widowControl w:val="0"/>
        <w:kinsoku/>
        <w:wordWrap/>
        <w:overflowPunct/>
        <w:topLinePunct w:val="0"/>
        <w:autoSpaceDE w:val="0"/>
        <w:autoSpaceDN w:val="0"/>
        <w:bidi w:val="0"/>
        <w:adjustRightInd w:val="0"/>
        <w:snapToGrid w:val="0"/>
        <w:spacing w:line="360" w:lineRule="auto"/>
        <w:ind w:right="16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w:t>
      </w:r>
    </w:p>
    <w:p w14:paraId="42AF96C0">
      <w:pPr>
        <w:keepNext w:val="0"/>
        <w:keepLines w:val="0"/>
        <w:pageBreakBefore w:val="0"/>
        <w:widowControl w:val="0"/>
        <w:kinsoku/>
        <w:wordWrap/>
        <w:overflowPunct/>
        <w:topLinePunct w:val="0"/>
        <w:bidi w:val="0"/>
        <w:adjustRightInd w:val="0"/>
        <w:snapToGrid w:val="0"/>
        <w:spacing w:line="360" w:lineRule="auto"/>
        <w:ind w:right="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E9B19DC">
      <w:pPr>
        <w:widowControl/>
        <w:jc w:val="left"/>
        <w:rPr>
          <w:rFonts w:hint="eastAsia" w:ascii="宋体" w:hAnsi="宋体" w:eastAsia="宋体" w:cs="宋体"/>
          <w:b/>
          <w:color w:val="auto"/>
          <w:sz w:val="32"/>
          <w:szCs w:val="32"/>
          <w:highlight w:val="none"/>
        </w:rPr>
      </w:pPr>
      <w:r>
        <w:rPr>
          <w:rFonts w:hint="eastAsia" w:ascii="宋体" w:hAnsi="宋体" w:eastAsia="宋体" w:cs="宋体"/>
          <w:color w:val="auto"/>
          <w:kern w:val="0"/>
          <w:sz w:val="24"/>
          <w:szCs w:val="24"/>
          <w:highlight w:val="none"/>
        </w:rPr>
        <w:br w:type="page"/>
      </w:r>
    </w:p>
    <w:p w14:paraId="12FBDB07">
      <w:pPr>
        <w:rPr>
          <w:rFonts w:hint="eastAsia" w:ascii="宋体" w:hAnsi="宋体" w:eastAsia="宋体" w:cs="宋体"/>
          <w:b/>
          <w:color w:val="auto"/>
          <w:sz w:val="32"/>
          <w:szCs w:val="32"/>
          <w:highlight w:val="none"/>
        </w:rPr>
      </w:pPr>
    </w:p>
    <w:p w14:paraId="0400187F">
      <w:pPr>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七</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lang w:eastAsia="zh-CN"/>
        </w:rPr>
        <w:t>售后服务</w:t>
      </w:r>
    </w:p>
    <w:p w14:paraId="5CAD1012">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21A7A1FA">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78E0C801">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在此处编辑招标文件要求的提供佐证材料。</w:t>
      </w:r>
    </w:p>
    <w:p w14:paraId="4C9D5747">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要求</w:t>
      </w:r>
      <w:r>
        <w:rPr>
          <w:rFonts w:hint="eastAsia" w:ascii="宋体" w:hAnsi="宋体" w:eastAsia="宋体" w:cs="宋体"/>
          <w:color w:val="auto"/>
          <w:sz w:val="24"/>
          <w:szCs w:val="24"/>
          <w:highlight w:val="none"/>
        </w:rPr>
        <w:t>：1.按招标文件第五章罗列顺序编辑；</w:t>
      </w:r>
    </w:p>
    <w:p w14:paraId="4C7ED4CA">
      <w:pPr>
        <w:keepNext w:val="0"/>
        <w:keepLines w:val="0"/>
        <w:pageBreakBefore w:val="0"/>
        <w:widowControl w:val="0"/>
        <w:kinsoku/>
        <w:wordWrap/>
        <w:overflowPunct/>
        <w:topLinePunct w:val="0"/>
        <w:bidi w:val="0"/>
        <w:spacing w:line="36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2.对照材料名称编制小标题；</w:t>
      </w:r>
    </w:p>
    <w:p w14:paraId="4AB8839C">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34BF3587">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54EA41D2">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142DA8D3">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48D57D13">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2DB12C34">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6051CCFC">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5E1DD6A4">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6AB58E62">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121AC47B">
      <w:pPr>
        <w:keepNext w:val="0"/>
        <w:keepLines w:val="0"/>
        <w:pageBreakBefore w:val="0"/>
        <w:widowControl w:val="0"/>
        <w:kinsoku/>
        <w:wordWrap/>
        <w:overflowPunct/>
        <w:topLinePunct w:val="0"/>
        <w:autoSpaceDE w:val="0"/>
        <w:autoSpaceDN w:val="0"/>
        <w:bidi w:val="0"/>
        <w:adjustRightInd w:val="0"/>
        <w:snapToGrid w:val="0"/>
        <w:spacing w:line="360" w:lineRule="auto"/>
        <w:ind w:right="16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w:t>
      </w:r>
    </w:p>
    <w:p w14:paraId="7250BB38">
      <w:pPr>
        <w:keepNext w:val="0"/>
        <w:keepLines w:val="0"/>
        <w:pageBreakBefore w:val="0"/>
        <w:widowControl w:val="0"/>
        <w:kinsoku/>
        <w:wordWrap/>
        <w:overflowPunct/>
        <w:topLinePunct w:val="0"/>
        <w:bidi w:val="0"/>
        <w:adjustRightInd w:val="0"/>
        <w:snapToGrid w:val="0"/>
        <w:spacing w:line="360" w:lineRule="auto"/>
        <w:ind w:right="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8B3C81E">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428DDB86">
      <w:pPr>
        <w:pStyle w:val="194"/>
        <w:jc w:val="center"/>
        <w:rPr>
          <w:rFonts w:hint="eastAsia" w:ascii="宋体" w:hAnsi="宋体" w:eastAsia="宋体" w:cs="宋体"/>
          <w:b/>
          <w:color w:val="auto"/>
          <w:sz w:val="32"/>
          <w:szCs w:val="32"/>
          <w:highlight w:val="none"/>
        </w:rPr>
      </w:pPr>
    </w:p>
    <w:p w14:paraId="3E8B1106">
      <w:pPr>
        <w:pStyle w:val="194"/>
        <w:jc w:val="center"/>
        <w:rPr>
          <w:rFonts w:hint="eastAsia" w:ascii="宋体" w:hAnsi="宋体" w:eastAsia="宋体" w:cs="宋体"/>
          <w:b/>
          <w:color w:val="auto"/>
          <w:sz w:val="32"/>
          <w:szCs w:val="32"/>
          <w:highlight w:val="none"/>
        </w:rPr>
      </w:pPr>
    </w:p>
    <w:p w14:paraId="5CAD8A30">
      <w:pPr>
        <w:pStyle w:val="194"/>
        <w:jc w:val="center"/>
        <w:rPr>
          <w:rFonts w:hint="eastAsia" w:ascii="宋体" w:hAnsi="宋体" w:eastAsia="宋体" w:cs="宋体"/>
          <w:b/>
          <w:color w:val="auto"/>
          <w:sz w:val="32"/>
          <w:szCs w:val="32"/>
          <w:highlight w:val="none"/>
        </w:rPr>
      </w:pPr>
    </w:p>
    <w:p w14:paraId="7571736D">
      <w:pPr>
        <w:pStyle w:val="194"/>
        <w:jc w:val="center"/>
        <w:rPr>
          <w:rFonts w:hint="eastAsia" w:ascii="宋体" w:hAnsi="宋体" w:eastAsia="宋体" w:cs="宋体"/>
          <w:b/>
          <w:color w:val="auto"/>
          <w:sz w:val="32"/>
          <w:szCs w:val="32"/>
          <w:highlight w:val="none"/>
        </w:rPr>
      </w:pPr>
    </w:p>
    <w:p w14:paraId="0ADB4B71">
      <w:pPr>
        <w:pStyle w:val="194"/>
        <w:jc w:val="center"/>
        <w:rPr>
          <w:rFonts w:hint="eastAsia" w:ascii="宋体" w:hAnsi="宋体" w:eastAsia="宋体" w:cs="宋体"/>
          <w:b/>
          <w:color w:val="auto"/>
          <w:sz w:val="32"/>
          <w:szCs w:val="32"/>
          <w:highlight w:val="none"/>
        </w:rPr>
      </w:pPr>
    </w:p>
    <w:p w14:paraId="53BB2EA3">
      <w:pPr>
        <w:pStyle w:val="194"/>
        <w:rPr>
          <w:rFonts w:hint="eastAsia" w:ascii="宋体" w:hAnsi="宋体" w:eastAsia="宋体" w:cs="宋体"/>
          <w:b/>
          <w:color w:val="auto"/>
          <w:sz w:val="32"/>
          <w:szCs w:val="32"/>
          <w:highlight w:val="none"/>
        </w:rPr>
      </w:pPr>
    </w:p>
    <w:p w14:paraId="4F5F5B2A">
      <w:pPr>
        <w:rPr>
          <w:rFonts w:hint="eastAsia" w:ascii="宋体" w:hAnsi="宋体" w:eastAsia="宋体" w:cs="宋体"/>
          <w:b/>
          <w:color w:val="auto"/>
          <w:sz w:val="32"/>
          <w:szCs w:val="32"/>
          <w:highlight w:val="none"/>
        </w:rPr>
      </w:pPr>
    </w:p>
    <w:p w14:paraId="4FAA0B3D">
      <w:pPr>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八</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lang w:eastAsia="zh-CN"/>
        </w:rPr>
        <w:t>培训方案</w:t>
      </w:r>
    </w:p>
    <w:p w14:paraId="26A2C9B2">
      <w:pPr>
        <w:rPr>
          <w:rFonts w:hint="eastAsia" w:ascii="宋体" w:hAnsi="宋体" w:eastAsia="宋体" w:cs="宋体"/>
          <w:color w:val="auto"/>
          <w:sz w:val="24"/>
          <w:szCs w:val="32"/>
          <w:highlight w:val="none"/>
        </w:rPr>
      </w:pPr>
    </w:p>
    <w:p w14:paraId="17546F44">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6E5E2FD2">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在此处编辑招标文件要求的提供佐证材料。</w:t>
      </w:r>
    </w:p>
    <w:p w14:paraId="4CAFAC5F">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要求</w:t>
      </w:r>
      <w:r>
        <w:rPr>
          <w:rFonts w:hint="eastAsia" w:ascii="宋体" w:hAnsi="宋体" w:eastAsia="宋体" w:cs="宋体"/>
          <w:color w:val="auto"/>
          <w:sz w:val="24"/>
          <w:szCs w:val="24"/>
          <w:highlight w:val="none"/>
        </w:rPr>
        <w:t>：1.按招标文件第五章罗列顺序编辑；</w:t>
      </w:r>
    </w:p>
    <w:p w14:paraId="7EBA4555">
      <w:pPr>
        <w:keepNext w:val="0"/>
        <w:keepLines w:val="0"/>
        <w:pageBreakBefore w:val="0"/>
        <w:widowControl w:val="0"/>
        <w:kinsoku/>
        <w:wordWrap/>
        <w:overflowPunct/>
        <w:topLinePunct w:val="0"/>
        <w:bidi w:val="0"/>
        <w:spacing w:line="36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2.对照材料名称编制小标题；</w:t>
      </w:r>
    </w:p>
    <w:p w14:paraId="46B9EF18">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5153A943">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7C1E071A">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4A1A69EB">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15A24C50">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358E43E2">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7FB1C5AC">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1F2C4682">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4AF8DD31">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29489AA2">
      <w:pPr>
        <w:keepNext w:val="0"/>
        <w:keepLines w:val="0"/>
        <w:pageBreakBefore w:val="0"/>
        <w:widowControl w:val="0"/>
        <w:kinsoku/>
        <w:wordWrap/>
        <w:overflowPunct/>
        <w:topLinePunct w:val="0"/>
        <w:autoSpaceDE w:val="0"/>
        <w:autoSpaceDN w:val="0"/>
        <w:bidi w:val="0"/>
        <w:adjustRightInd w:val="0"/>
        <w:snapToGrid w:val="0"/>
        <w:spacing w:line="360" w:lineRule="auto"/>
        <w:ind w:right="16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（公章）</w:t>
      </w:r>
    </w:p>
    <w:p w14:paraId="3E6FD942">
      <w:pPr>
        <w:keepNext w:val="0"/>
        <w:keepLines w:val="0"/>
        <w:pageBreakBefore w:val="0"/>
        <w:widowControl w:val="0"/>
        <w:kinsoku/>
        <w:wordWrap/>
        <w:overflowPunct/>
        <w:topLinePunct w:val="0"/>
        <w:bidi w:val="0"/>
        <w:adjustRightInd w:val="0"/>
        <w:snapToGrid w:val="0"/>
        <w:spacing w:line="360" w:lineRule="auto"/>
        <w:ind w:right="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22606F1">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3DA5A51E">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2230924C">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53B0468C">
      <w:pPr>
        <w:pStyle w:val="194"/>
        <w:keepNext w:val="0"/>
        <w:keepLines w:val="0"/>
        <w:pageBreakBefore w:val="0"/>
        <w:widowControl w:val="0"/>
        <w:kinsoku/>
        <w:wordWrap/>
        <w:overflowPunct/>
        <w:topLinePunct w:val="0"/>
        <w:bidi w:val="0"/>
        <w:spacing w:line="360" w:lineRule="auto"/>
        <w:jc w:val="center"/>
        <w:textAlignment w:val="auto"/>
        <w:rPr>
          <w:rFonts w:hint="eastAsia" w:ascii="宋体" w:hAnsi="宋体" w:eastAsia="宋体" w:cs="宋体"/>
          <w:b/>
          <w:color w:val="auto"/>
          <w:sz w:val="24"/>
          <w:szCs w:val="24"/>
          <w:highlight w:val="none"/>
        </w:rPr>
      </w:pPr>
    </w:p>
    <w:p w14:paraId="5E72B5CC">
      <w:pPr>
        <w:pStyle w:val="194"/>
        <w:jc w:val="center"/>
        <w:rPr>
          <w:rFonts w:hint="eastAsia" w:ascii="宋体" w:hAnsi="宋体" w:eastAsia="宋体" w:cs="宋体"/>
          <w:b/>
          <w:color w:val="auto"/>
          <w:sz w:val="32"/>
          <w:szCs w:val="32"/>
          <w:highlight w:val="none"/>
        </w:rPr>
      </w:pPr>
    </w:p>
    <w:p w14:paraId="3A336FFE">
      <w:pPr>
        <w:pStyle w:val="194"/>
        <w:jc w:val="center"/>
        <w:rPr>
          <w:rFonts w:hint="eastAsia" w:ascii="宋体" w:hAnsi="宋体" w:eastAsia="宋体" w:cs="宋体"/>
          <w:b/>
          <w:color w:val="auto"/>
          <w:sz w:val="32"/>
          <w:szCs w:val="32"/>
          <w:highlight w:val="none"/>
        </w:rPr>
      </w:pPr>
    </w:p>
    <w:p w14:paraId="1DAE323C">
      <w:pPr>
        <w:pStyle w:val="194"/>
        <w:jc w:val="center"/>
        <w:rPr>
          <w:rFonts w:hint="eastAsia" w:ascii="宋体" w:hAnsi="宋体" w:eastAsia="宋体" w:cs="宋体"/>
          <w:b/>
          <w:color w:val="auto"/>
          <w:sz w:val="32"/>
          <w:szCs w:val="32"/>
          <w:highlight w:val="none"/>
        </w:rPr>
      </w:pPr>
    </w:p>
    <w:p w14:paraId="0F29BB3E">
      <w:pPr>
        <w:pStyle w:val="194"/>
        <w:jc w:val="center"/>
        <w:rPr>
          <w:rFonts w:hint="eastAsia" w:ascii="宋体" w:hAnsi="宋体" w:eastAsia="宋体" w:cs="宋体"/>
          <w:b/>
          <w:color w:val="auto"/>
          <w:sz w:val="32"/>
          <w:szCs w:val="32"/>
          <w:highlight w:val="none"/>
        </w:rPr>
      </w:pPr>
    </w:p>
    <w:p w14:paraId="3AC3B8A1">
      <w:pPr>
        <w:pStyle w:val="194"/>
        <w:jc w:val="center"/>
        <w:rPr>
          <w:rFonts w:hint="eastAsia" w:ascii="宋体" w:hAnsi="宋体" w:eastAsia="宋体" w:cs="宋体"/>
          <w:b/>
          <w:color w:val="auto"/>
          <w:sz w:val="32"/>
          <w:szCs w:val="32"/>
          <w:highlight w:val="none"/>
          <w:lang w:eastAsia="zh-CN"/>
        </w:rPr>
      </w:pPr>
    </w:p>
    <w:p w14:paraId="2BCBFF73">
      <w:pPr>
        <w:pStyle w:val="194"/>
        <w:jc w:val="center"/>
        <w:rPr>
          <w:rFonts w:hint="eastAsia" w:ascii="宋体" w:hAnsi="宋体" w:eastAsia="宋体" w:cs="宋体"/>
          <w:b/>
          <w:color w:val="auto"/>
          <w:sz w:val="32"/>
          <w:szCs w:val="32"/>
          <w:highlight w:val="none"/>
          <w:lang w:eastAsia="zh-CN"/>
        </w:rPr>
      </w:pPr>
    </w:p>
    <w:p w14:paraId="78ADD45F">
      <w:pPr>
        <w:pStyle w:val="194"/>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九</w:t>
      </w:r>
      <w:r>
        <w:rPr>
          <w:rFonts w:hint="eastAsia" w:ascii="宋体" w:hAnsi="宋体" w:eastAsia="宋体" w:cs="宋体"/>
          <w:b/>
          <w:color w:val="auto"/>
          <w:sz w:val="32"/>
          <w:szCs w:val="32"/>
          <w:highlight w:val="none"/>
        </w:rPr>
        <w:t>、其他文件</w:t>
      </w:r>
    </w:p>
    <w:p w14:paraId="0A93FD5A">
      <w:pPr>
        <w:pStyle w:val="194"/>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p w14:paraId="04E741C2">
      <w:pPr>
        <w:pStyle w:val="194"/>
        <w:spacing w:before="156"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F385FBC">
      <w:pPr>
        <w:pStyle w:val="194"/>
        <w:spacing w:before="156" w:line="360" w:lineRule="auto"/>
        <w:rPr>
          <w:rFonts w:hint="eastAsia" w:ascii="宋体" w:hAnsi="宋体" w:eastAsia="宋体" w:cs="宋体"/>
          <w:color w:val="auto"/>
          <w:szCs w:val="21"/>
          <w:highlight w:val="none"/>
        </w:rPr>
      </w:pPr>
    </w:p>
    <w:p w14:paraId="1F3A44F6">
      <w:pPr>
        <w:pStyle w:val="194"/>
        <w:spacing w:before="156" w:line="360" w:lineRule="auto"/>
        <w:rPr>
          <w:rFonts w:hint="eastAsia" w:ascii="宋体" w:hAnsi="宋体" w:eastAsia="宋体" w:cs="宋体"/>
          <w:color w:val="auto"/>
          <w:szCs w:val="21"/>
          <w:highlight w:val="none"/>
        </w:rPr>
      </w:pPr>
    </w:p>
    <w:p w14:paraId="75D47E48">
      <w:pPr>
        <w:pStyle w:val="194"/>
        <w:spacing w:before="156" w:line="360" w:lineRule="auto"/>
        <w:rPr>
          <w:rFonts w:hint="eastAsia" w:ascii="宋体" w:hAnsi="宋体" w:eastAsia="宋体" w:cs="宋体"/>
          <w:color w:val="auto"/>
          <w:szCs w:val="21"/>
          <w:highlight w:val="none"/>
        </w:rPr>
      </w:pPr>
    </w:p>
    <w:p w14:paraId="2A7D821B">
      <w:pPr>
        <w:pStyle w:val="194"/>
        <w:spacing w:before="156" w:line="360" w:lineRule="auto"/>
        <w:rPr>
          <w:rFonts w:hint="eastAsia" w:ascii="宋体" w:hAnsi="宋体" w:eastAsia="宋体" w:cs="宋体"/>
          <w:color w:val="auto"/>
          <w:szCs w:val="21"/>
          <w:highlight w:val="none"/>
        </w:rPr>
      </w:pPr>
    </w:p>
    <w:p w14:paraId="3DE2B596">
      <w:pPr>
        <w:pStyle w:val="194"/>
        <w:spacing w:before="156" w:line="360" w:lineRule="auto"/>
        <w:rPr>
          <w:rFonts w:hint="eastAsia" w:ascii="宋体" w:hAnsi="宋体" w:eastAsia="宋体" w:cs="宋体"/>
          <w:color w:val="auto"/>
          <w:szCs w:val="21"/>
          <w:highlight w:val="none"/>
        </w:rPr>
      </w:pPr>
    </w:p>
    <w:p w14:paraId="1F6B4CAA">
      <w:pPr>
        <w:pStyle w:val="194"/>
        <w:spacing w:before="156" w:line="360" w:lineRule="auto"/>
        <w:rPr>
          <w:rFonts w:hint="eastAsia" w:ascii="宋体" w:hAnsi="宋体" w:eastAsia="宋体" w:cs="宋体"/>
          <w:color w:val="auto"/>
          <w:szCs w:val="21"/>
          <w:highlight w:val="none"/>
        </w:rPr>
      </w:pPr>
    </w:p>
    <w:p w14:paraId="72B84CED">
      <w:pPr>
        <w:pStyle w:val="194"/>
        <w:spacing w:before="156" w:line="360" w:lineRule="auto"/>
        <w:rPr>
          <w:rFonts w:hint="eastAsia" w:ascii="宋体" w:hAnsi="宋体" w:eastAsia="宋体" w:cs="宋体"/>
          <w:color w:val="auto"/>
          <w:szCs w:val="21"/>
          <w:highlight w:val="none"/>
        </w:rPr>
      </w:pPr>
    </w:p>
    <w:p w14:paraId="6E394475">
      <w:pPr>
        <w:pStyle w:val="194"/>
        <w:spacing w:before="156" w:line="360" w:lineRule="auto"/>
        <w:rPr>
          <w:rFonts w:hint="eastAsia" w:ascii="宋体" w:hAnsi="宋体" w:eastAsia="宋体" w:cs="宋体"/>
          <w:color w:val="auto"/>
          <w:highlight w:val="none"/>
        </w:rPr>
      </w:pPr>
    </w:p>
    <w:p w14:paraId="5B9B83C3">
      <w:pPr>
        <w:pStyle w:val="19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color w:val="auto"/>
          <w:sz w:val="24"/>
          <w:szCs w:val="24"/>
          <w:highlight w:val="none"/>
        </w:rPr>
        <w:t>：编制招标文件要求的其他商务技术文件。</w:t>
      </w:r>
    </w:p>
    <w:p w14:paraId="647D3188">
      <w:pPr>
        <w:jc w:val="center"/>
        <w:rPr>
          <w:rFonts w:hint="eastAsia" w:ascii="宋体" w:hAnsi="宋体" w:eastAsia="宋体" w:cs="宋体"/>
          <w:color w:val="auto"/>
          <w:kern w:val="0"/>
          <w:sz w:val="20"/>
          <w:szCs w:val="24"/>
          <w:highlight w:val="none"/>
        </w:rPr>
      </w:pPr>
    </w:p>
    <w:p w14:paraId="3392DE33">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2F16848A">
      <w:pPr>
        <w:rPr>
          <w:rFonts w:hint="eastAsia" w:ascii="宋体" w:hAnsi="宋体" w:eastAsia="宋体" w:cs="宋体"/>
          <w:color w:val="auto"/>
          <w:highlight w:val="none"/>
        </w:rPr>
      </w:pPr>
    </w:p>
    <w:p w14:paraId="3C52F18B">
      <w:pPr>
        <w:rPr>
          <w:rFonts w:hint="eastAsia" w:ascii="宋体" w:hAnsi="宋体" w:eastAsia="宋体" w:cs="宋体"/>
          <w:color w:val="auto"/>
          <w:highlight w:val="none"/>
        </w:rPr>
      </w:pPr>
    </w:p>
    <w:p w14:paraId="16444891">
      <w:pPr>
        <w:rPr>
          <w:rFonts w:hint="eastAsia" w:ascii="宋体" w:hAnsi="宋体" w:eastAsia="宋体" w:cs="宋体"/>
          <w:color w:val="auto"/>
          <w:highlight w:val="none"/>
        </w:rPr>
      </w:pPr>
    </w:p>
    <w:p w14:paraId="0DF5B4A5">
      <w:pPr>
        <w:rPr>
          <w:rFonts w:hint="eastAsia" w:ascii="宋体" w:hAnsi="宋体" w:eastAsia="宋体" w:cs="宋体"/>
          <w:color w:val="auto"/>
          <w:highlight w:val="none"/>
        </w:rPr>
      </w:pPr>
    </w:p>
    <w:p w14:paraId="2A33C4C5">
      <w:pPr>
        <w:rPr>
          <w:rFonts w:hint="eastAsia" w:ascii="宋体" w:hAnsi="宋体" w:eastAsia="宋体" w:cs="宋体"/>
          <w:color w:val="auto"/>
          <w:highlight w:val="none"/>
        </w:rPr>
      </w:pPr>
    </w:p>
    <w:p w14:paraId="3A30FCC9">
      <w:pPr>
        <w:rPr>
          <w:rFonts w:hint="eastAsia" w:ascii="宋体" w:hAnsi="宋体" w:eastAsia="宋体" w:cs="宋体"/>
          <w:color w:val="auto"/>
          <w:highlight w:val="none"/>
        </w:rPr>
      </w:pPr>
    </w:p>
    <w:p w14:paraId="7987AE4A">
      <w:pPr>
        <w:rPr>
          <w:rFonts w:hint="eastAsia" w:ascii="宋体" w:hAnsi="宋体" w:eastAsia="宋体" w:cs="宋体"/>
          <w:color w:val="auto"/>
          <w:highlight w:val="none"/>
        </w:rPr>
      </w:pPr>
    </w:p>
    <w:p w14:paraId="1FAE5183">
      <w:pPr>
        <w:rPr>
          <w:rFonts w:hint="eastAsia" w:ascii="宋体" w:hAnsi="宋体" w:eastAsia="宋体" w:cs="宋体"/>
          <w:color w:val="auto"/>
          <w:highlight w:val="none"/>
        </w:rPr>
      </w:pPr>
    </w:p>
    <w:p w14:paraId="45015011">
      <w:pPr>
        <w:rPr>
          <w:rFonts w:ascii="Times New Roman" w:hAnsi="Times New Roman"/>
          <w:color w:val="auto"/>
          <w:highlight w:val="none"/>
        </w:rPr>
      </w:pPr>
    </w:p>
    <w:p w14:paraId="69A059B0">
      <w:pPr>
        <w:rPr>
          <w:rFonts w:ascii="Times New Roman" w:hAnsi="Times New Roman"/>
          <w:color w:val="auto"/>
          <w:highlight w:val="none"/>
        </w:rPr>
      </w:pPr>
    </w:p>
    <w:p w14:paraId="6C157F4B">
      <w:pPr>
        <w:rPr>
          <w:rFonts w:ascii="Times New Roman" w:hAnsi="Times New Roman"/>
          <w:color w:val="auto"/>
          <w:highlight w:val="none"/>
        </w:rPr>
      </w:pPr>
    </w:p>
    <w:p w14:paraId="1A11B090">
      <w:pPr>
        <w:rPr>
          <w:rFonts w:ascii="Times New Roman" w:hAnsi="Times New Roman"/>
          <w:color w:val="auto"/>
          <w:highlight w:val="none"/>
        </w:rPr>
      </w:pPr>
    </w:p>
    <w:p w14:paraId="07F64A0E">
      <w:pPr>
        <w:rPr>
          <w:rFonts w:ascii="Times New Roman" w:hAnsi="Times New Roman"/>
          <w:color w:val="auto"/>
          <w:highlight w:val="none"/>
        </w:rPr>
      </w:pPr>
    </w:p>
    <w:p w14:paraId="1AEE4782">
      <w:pPr>
        <w:rPr>
          <w:rFonts w:ascii="Times New Roman" w:hAnsi="Times New Roman"/>
          <w:color w:val="auto"/>
          <w:highlight w:val="none"/>
        </w:rPr>
      </w:pPr>
    </w:p>
    <w:p w14:paraId="76F29CC5">
      <w:pPr>
        <w:rPr>
          <w:rFonts w:ascii="Times New Roman" w:hAnsi="Times New Roman"/>
          <w:color w:val="auto"/>
          <w:highlight w:val="none"/>
        </w:rPr>
      </w:pPr>
    </w:p>
    <w:p w14:paraId="5BAED474">
      <w:pPr>
        <w:rPr>
          <w:rFonts w:ascii="Times New Roman" w:hAnsi="Times New Roman"/>
          <w:color w:val="auto"/>
          <w:highlight w:val="none"/>
        </w:rPr>
      </w:pPr>
    </w:p>
    <w:p w14:paraId="32A4D1B3">
      <w:pPr>
        <w:rPr>
          <w:rFonts w:ascii="Times New Roman" w:hAnsi="Times New Roman"/>
          <w:color w:val="auto"/>
          <w:highlight w:val="none"/>
        </w:rPr>
      </w:pPr>
    </w:p>
    <w:p w14:paraId="4030AE34">
      <w:pPr>
        <w:rPr>
          <w:rFonts w:ascii="Times New Roman" w:hAnsi="Times New Roman"/>
          <w:color w:val="auto"/>
          <w:highlight w:val="none"/>
        </w:rPr>
      </w:pPr>
    </w:p>
    <w:sectPr>
      <w:headerReference r:id="rId10" w:type="default"/>
      <w:footerReference r:id="rId11" w:type="default"/>
      <w:pgSz w:w="11906" w:h="16838"/>
      <w:pgMar w:top="1440" w:right="1080" w:bottom="1440" w:left="10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书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华文楷体">
    <w:panose1 w:val="02010600040101010101"/>
    <w:charset w:val="86"/>
    <w:family w:val="auto"/>
    <w:pitch w:val="default"/>
    <w:sig w:usb0="A00002BF" w:usb1="78CF7CFB" w:usb2="00000016" w:usb3="00000000" w:csb0="6006009F" w:csb1="DFD70000"/>
  </w:font>
  <w:font w:name="华文仿宋">
    <w:altName w:val="仿宋"/>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font>
  <w:font w:name="文鼎CS楷体">
    <w:altName w:val="微软雅黑"/>
    <w:panose1 w:val="00000000000000000000"/>
    <w:charset w:val="00"/>
    <w:family w:val="modern"/>
    <w:pitch w:val="default"/>
    <w:sig w:usb0="00000000" w:usb1="00000000" w:usb2="00000010" w:usb3="00000000" w:csb0="00040000" w:csb1="00000000"/>
  </w:font>
  <w:font w:name="方正黑体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63B41">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A5CF1">
                          <w:pPr>
                            <w:pStyle w:val="2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4BA5CF1">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F97E3">
    <w:pPr>
      <w:pStyle w:val="21"/>
      <w:tabs>
        <w:tab w:val="center" w:pos="4153"/>
        <w:tab w:val="right" w:pos="8306"/>
        <w:tab w:val="clear" w:pos="4680"/>
        <w:tab w:val="clear" w:pos="9360"/>
      </w:tabs>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36485">
                          <w:pPr>
                            <w:pStyle w:val="21"/>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136485">
                    <w:pPr>
                      <w:pStyle w:val="21"/>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5D96">
    <w:pPr>
      <w:pStyle w:val="14"/>
      <w:spacing w:line="14" w:lineRule="auto"/>
      <w:ind w:left="0"/>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7BA2B">
                          <w:pPr>
                            <w:pStyle w:val="21"/>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737BA2B">
                    <w:pPr>
                      <w:pStyle w:val="21"/>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BE87F">
    <w:pPr>
      <w:pStyle w:val="21"/>
      <w:tabs>
        <w:tab w:val="center" w:pos="4153"/>
        <w:tab w:val="right" w:pos="8306"/>
        <w:tab w:val="clear" w:pos="4680"/>
        <w:tab w:val="clear" w:pos="936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78D751">
                          <w:pPr>
                            <w:pStyle w:val="21"/>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A78D751">
                    <w:pPr>
                      <w:pStyle w:val="21"/>
                    </w:pPr>
                    <w:r>
                      <w:fldChar w:fldCharType="begin"/>
                    </w:r>
                    <w:r>
                      <w:instrText xml:space="preserve"> PAGE  \* MERGEFORMAT </w:instrText>
                    </w:r>
                    <w:r>
                      <w:fldChar w:fldCharType="separate"/>
                    </w:r>
                    <w:r>
                      <w:t>91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88BC8">
    <w:pPr>
      <w:pStyle w:val="22"/>
      <w:jc w:val="right"/>
      <w:rPr>
        <w:rFonts w:hint="eastAsia" w:eastAsia="宋体"/>
        <w:lang w:eastAsia="zh-CN"/>
      </w:rPr>
    </w:pPr>
    <w:r>
      <w:rPr>
        <w:rFonts w:hint="eastAsia"/>
        <w:lang w:eastAsia="zh-CN"/>
      </w:rPr>
      <w:t>公开招标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5C69F">
    <w:pPr>
      <w:pStyle w:val="22"/>
      <w:jc w:val="left"/>
      <w:rPr>
        <w:rFonts w:hint="eastAsia" w:eastAsia="宋体"/>
        <w:lang w:eastAsia="zh-CN"/>
      </w:rPr>
    </w:pPr>
    <w:r>
      <w:rPr>
        <w:rFonts w:hint="eastAsia"/>
        <w:lang w:eastAsia="zh-CN"/>
      </w:rPr>
      <w:t>公开招标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81F48">
    <w:pPr>
      <w:pStyle w:val="22"/>
      <w:jc w:val="left"/>
      <w:rPr>
        <w:rFonts w:hint="eastAsia" w:eastAsia="宋体"/>
        <w:lang w:eastAsia="zh-CN"/>
      </w:rPr>
    </w:pPr>
    <w:r>
      <w:rPr>
        <w:rFonts w:hint="eastAsia"/>
        <w:lang w:eastAsia="zh-CN"/>
      </w:rPr>
      <w:t>公开招标</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40AB">
    <w:pPr>
      <w:pStyle w:val="22"/>
      <w:keepNext w:val="0"/>
      <w:keepLines w:val="0"/>
      <w:pageBreakBefore w:val="0"/>
      <w:widowControl w:val="0"/>
      <w:kinsoku/>
      <w:wordWrap/>
      <w:overflowPunct/>
      <w:topLinePunct w:val="0"/>
      <w:bidi/>
      <w:adjustRightInd/>
      <w:snapToGrid w:val="0"/>
      <w:jc w:val="left"/>
      <w:textAlignment w:val="auto"/>
      <w:rPr>
        <w:rFonts w:hint="eastAsia" w:eastAsia="宋体"/>
        <w:lang w:eastAsia="zh-CN"/>
      </w:rPr>
    </w:pPr>
    <w:r>
      <w:rPr>
        <w:rFonts w:hint="eastAsia"/>
        <w:lang w:eastAsia="zh-CN"/>
      </w:rPr>
      <w:t>公开招标</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0570E">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57D07C9"/>
    <w:multiLevelType w:val="singleLevel"/>
    <w:tmpl w:val="C57D07C9"/>
    <w:lvl w:ilvl="0" w:tentative="0">
      <w:start w:val="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70D5865"/>
    <w:multiLevelType w:val="singleLevel"/>
    <w:tmpl w:val="D70D5865"/>
    <w:lvl w:ilvl="0" w:tentative="0">
      <w:start w:val="1"/>
      <w:numFmt w:val="decimal"/>
      <w:suff w:val="space"/>
      <w:lvlText w:val="%1."/>
      <w:lvlJc w:val="left"/>
    </w:lvl>
  </w:abstractNum>
  <w:abstractNum w:abstractNumId="4">
    <w:nsid w:val="DDECD3BC"/>
    <w:multiLevelType w:val="singleLevel"/>
    <w:tmpl w:val="DDECD3BC"/>
    <w:lvl w:ilvl="0" w:tentative="0">
      <w:start w:val="6"/>
      <w:numFmt w:val="decimal"/>
      <w:suff w:val="space"/>
      <w:lvlText w:val="%1."/>
      <w:lvlJc w:val="left"/>
    </w:lvl>
  </w:abstractNum>
  <w:abstractNum w:abstractNumId="5">
    <w:nsid w:val="DE759F4B"/>
    <w:multiLevelType w:val="singleLevel"/>
    <w:tmpl w:val="DE759F4B"/>
    <w:lvl w:ilvl="0" w:tentative="0">
      <w:start w:val="2"/>
      <w:numFmt w:val="decimal"/>
      <w:suff w:val="space"/>
      <w:lvlText w:val="%1."/>
      <w:lvlJc w:val="left"/>
    </w:lvl>
  </w:abstractNum>
  <w:abstractNum w:abstractNumId="6">
    <w:nsid w:val="DEABE1DB"/>
    <w:multiLevelType w:val="singleLevel"/>
    <w:tmpl w:val="DEABE1DB"/>
    <w:lvl w:ilvl="0" w:tentative="0">
      <w:start w:val="23"/>
      <w:numFmt w:val="decimal"/>
      <w:suff w:val="space"/>
      <w:lvlText w:val="%1."/>
      <w:lvlJc w:val="left"/>
    </w:lvl>
  </w:abstractNum>
  <w:abstractNum w:abstractNumId="7">
    <w:nsid w:val="EB9B7CD8"/>
    <w:multiLevelType w:val="singleLevel"/>
    <w:tmpl w:val="EB9B7CD8"/>
    <w:lvl w:ilvl="0" w:tentative="0">
      <w:start w:val="1"/>
      <w:numFmt w:val="decimal"/>
      <w:suff w:val="space"/>
      <w:lvlText w:val="%1."/>
      <w:lvlJc w:val="left"/>
    </w:lvl>
  </w:abstractNum>
  <w:abstractNum w:abstractNumId="8">
    <w:nsid w:val="F4D6F053"/>
    <w:multiLevelType w:val="singleLevel"/>
    <w:tmpl w:val="F4D6F053"/>
    <w:lvl w:ilvl="0" w:tentative="0">
      <w:start w:val="1"/>
      <w:numFmt w:val="decimal"/>
      <w:suff w:val="space"/>
      <w:lvlText w:val="%1."/>
      <w:lvlJc w:val="left"/>
    </w:lvl>
  </w:abstractNum>
  <w:abstractNum w:abstractNumId="9">
    <w:nsid w:val="FFEFC674"/>
    <w:multiLevelType w:val="singleLevel"/>
    <w:tmpl w:val="FFEFC674"/>
    <w:lvl w:ilvl="0" w:tentative="0">
      <w:start w:val="1"/>
      <w:numFmt w:val="decimal"/>
      <w:suff w:val="nothing"/>
      <w:lvlText w:val="（%1）"/>
      <w:lvlJc w:val="left"/>
    </w:lvl>
  </w:abstractNum>
  <w:abstractNum w:abstractNumId="10">
    <w:nsid w:val="7A0F6431"/>
    <w:multiLevelType w:val="singleLevel"/>
    <w:tmpl w:val="7A0F6431"/>
    <w:lvl w:ilvl="0" w:tentative="0">
      <w:start w:val="1"/>
      <w:numFmt w:val="decimal"/>
      <w:suff w:val="space"/>
      <w:lvlText w:val="%1."/>
      <w:lvlJc w:val="left"/>
    </w:lvl>
  </w:abstractNum>
  <w:num w:numId="1">
    <w:abstractNumId w:val="1"/>
  </w:num>
  <w:num w:numId="2">
    <w:abstractNumId w:val="8"/>
  </w:num>
  <w:num w:numId="3">
    <w:abstractNumId w:val="3"/>
  </w:num>
  <w:num w:numId="4">
    <w:abstractNumId w:val="7"/>
  </w:num>
  <w:num w:numId="5">
    <w:abstractNumId w:val="10"/>
  </w:num>
  <w:num w:numId="6">
    <w:abstractNumId w:val="2"/>
  </w:num>
  <w:num w:numId="7">
    <w:abstractNumId w:val="9"/>
  </w:num>
  <w:num w:numId="8">
    <w:abstractNumId w:val="5"/>
  </w:num>
  <w:num w:numId="9">
    <w:abstractNumId w:val="4"/>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8EA"/>
    <w:rsid w:val="00002FDE"/>
    <w:rsid w:val="000071B6"/>
    <w:rsid w:val="00007277"/>
    <w:rsid w:val="000144B2"/>
    <w:rsid w:val="00014FE8"/>
    <w:rsid w:val="00015D60"/>
    <w:rsid w:val="00017347"/>
    <w:rsid w:val="00032F35"/>
    <w:rsid w:val="000426D8"/>
    <w:rsid w:val="000454BF"/>
    <w:rsid w:val="00050ACD"/>
    <w:rsid w:val="000540C1"/>
    <w:rsid w:val="0005413F"/>
    <w:rsid w:val="0005535D"/>
    <w:rsid w:val="00060D9D"/>
    <w:rsid w:val="00064C91"/>
    <w:rsid w:val="0006501C"/>
    <w:rsid w:val="00066A64"/>
    <w:rsid w:val="00072288"/>
    <w:rsid w:val="00083177"/>
    <w:rsid w:val="00092513"/>
    <w:rsid w:val="000948DB"/>
    <w:rsid w:val="000A14B4"/>
    <w:rsid w:val="000A2CE9"/>
    <w:rsid w:val="000A6597"/>
    <w:rsid w:val="000C1D1F"/>
    <w:rsid w:val="000C296C"/>
    <w:rsid w:val="000C3B19"/>
    <w:rsid w:val="000C4B9E"/>
    <w:rsid w:val="000C65CD"/>
    <w:rsid w:val="000D1EAF"/>
    <w:rsid w:val="000E1C3C"/>
    <w:rsid w:val="000E262A"/>
    <w:rsid w:val="000E63A2"/>
    <w:rsid w:val="000F5760"/>
    <w:rsid w:val="00103BF0"/>
    <w:rsid w:val="001119EC"/>
    <w:rsid w:val="00114AF0"/>
    <w:rsid w:val="0012005C"/>
    <w:rsid w:val="00132ECF"/>
    <w:rsid w:val="0013702B"/>
    <w:rsid w:val="001437CF"/>
    <w:rsid w:val="001462DE"/>
    <w:rsid w:val="00154B01"/>
    <w:rsid w:val="00157C72"/>
    <w:rsid w:val="00161609"/>
    <w:rsid w:val="001628F8"/>
    <w:rsid w:val="00163161"/>
    <w:rsid w:val="00167E35"/>
    <w:rsid w:val="00173FB9"/>
    <w:rsid w:val="00176E1C"/>
    <w:rsid w:val="00176EC0"/>
    <w:rsid w:val="001814F4"/>
    <w:rsid w:val="001819E1"/>
    <w:rsid w:val="00182525"/>
    <w:rsid w:val="00184728"/>
    <w:rsid w:val="00191C23"/>
    <w:rsid w:val="001A4A19"/>
    <w:rsid w:val="001A5879"/>
    <w:rsid w:val="001B3FE0"/>
    <w:rsid w:val="001B45C4"/>
    <w:rsid w:val="001C06E7"/>
    <w:rsid w:val="001C6576"/>
    <w:rsid w:val="001D2B05"/>
    <w:rsid w:val="001D3655"/>
    <w:rsid w:val="001E1655"/>
    <w:rsid w:val="001E2C04"/>
    <w:rsid w:val="001E40CD"/>
    <w:rsid w:val="001E46C7"/>
    <w:rsid w:val="001F2E47"/>
    <w:rsid w:val="001F3966"/>
    <w:rsid w:val="0020215B"/>
    <w:rsid w:val="00212DEF"/>
    <w:rsid w:val="00213B40"/>
    <w:rsid w:val="00216F2C"/>
    <w:rsid w:val="00231595"/>
    <w:rsid w:val="002319C0"/>
    <w:rsid w:val="00234CD0"/>
    <w:rsid w:val="00245978"/>
    <w:rsid w:val="002501D5"/>
    <w:rsid w:val="0025646F"/>
    <w:rsid w:val="00260C2D"/>
    <w:rsid w:val="00261B3C"/>
    <w:rsid w:val="00264136"/>
    <w:rsid w:val="00266EEC"/>
    <w:rsid w:val="002676B8"/>
    <w:rsid w:val="00267D8D"/>
    <w:rsid w:val="00270438"/>
    <w:rsid w:val="0027346B"/>
    <w:rsid w:val="00281A97"/>
    <w:rsid w:val="00286FF2"/>
    <w:rsid w:val="002A0305"/>
    <w:rsid w:val="002A3A16"/>
    <w:rsid w:val="002B781B"/>
    <w:rsid w:val="002C3F16"/>
    <w:rsid w:val="002D56F4"/>
    <w:rsid w:val="002D57D0"/>
    <w:rsid w:val="002E2CDD"/>
    <w:rsid w:val="002E7FF5"/>
    <w:rsid w:val="002F713E"/>
    <w:rsid w:val="002F7B3E"/>
    <w:rsid w:val="003073E7"/>
    <w:rsid w:val="00311776"/>
    <w:rsid w:val="00320BC1"/>
    <w:rsid w:val="0032360E"/>
    <w:rsid w:val="003300FB"/>
    <w:rsid w:val="0033014A"/>
    <w:rsid w:val="003332B3"/>
    <w:rsid w:val="00341BEA"/>
    <w:rsid w:val="00352530"/>
    <w:rsid w:val="00354C80"/>
    <w:rsid w:val="00361647"/>
    <w:rsid w:val="0036229C"/>
    <w:rsid w:val="00364579"/>
    <w:rsid w:val="00364F3E"/>
    <w:rsid w:val="00367808"/>
    <w:rsid w:val="003716F4"/>
    <w:rsid w:val="00375278"/>
    <w:rsid w:val="003762C3"/>
    <w:rsid w:val="00382259"/>
    <w:rsid w:val="003832FB"/>
    <w:rsid w:val="00390012"/>
    <w:rsid w:val="00395B45"/>
    <w:rsid w:val="00395DC2"/>
    <w:rsid w:val="003A3C96"/>
    <w:rsid w:val="003A47B0"/>
    <w:rsid w:val="003A4AE3"/>
    <w:rsid w:val="003A5278"/>
    <w:rsid w:val="003A6D1A"/>
    <w:rsid w:val="003A7D3E"/>
    <w:rsid w:val="003B3307"/>
    <w:rsid w:val="003B5F8E"/>
    <w:rsid w:val="003B796B"/>
    <w:rsid w:val="003C290A"/>
    <w:rsid w:val="003C2B4A"/>
    <w:rsid w:val="003C77A2"/>
    <w:rsid w:val="003D0339"/>
    <w:rsid w:val="003D0809"/>
    <w:rsid w:val="003D18EF"/>
    <w:rsid w:val="003D2CF7"/>
    <w:rsid w:val="003D4500"/>
    <w:rsid w:val="003D48E8"/>
    <w:rsid w:val="003D4D73"/>
    <w:rsid w:val="003D586C"/>
    <w:rsid w:val="003E2B15"/>
    <w:rsid w:val="003F467D"/>
    <w:rsid w:val="003F5358"/>
    <w:rsid w:val="00400775"/>
    <w:rsid w:val="004139CD"/>
    <w:rsid w:val="00414430"/>
    <w:rsid w:val="00415A93"/>
    <w:rsid w:val="00423020"/>
    <w:rsid w:val="0043084A"/>
    <w:rsid w:val="00432B23"/>
    <w:rsid w:val="00432C52"/>
    <w:rsid w:val="00440AFC"/>
    <w:rsid w:val="004412A0"/>
    <w:rsid w:val="00444F70"/>
    <w:rsid w:val="004471F5"/>
    <w:rsid w:val="00455031"/>
    <w:rsid w:val="00455517"/>
    <w:rsid w:val="00460342"/>
    <w:rsid w:val="0046034D"/>
    <w:rsid w:val="0046131C"/>
    <w:rsid w:val="004653B7"/>
    <w:rsid w:val="00470748"/>
    <w:rsid w:val="00471E42"/>
    <w:rsid w:val="004728BA"/>
    <w:rsid w:val="004776B4"/>
    <w:rsid w:val="0048052B"/>
    <w:rsid w:val="00490D09"/>
    <w:rsid w:val="00493695"/>
    <w:rsid w:val="00495766"/>
    <w:rsid w:val="00497AB9"/>
    <w:rsid w:val="004A0B75"/>
    <w:rsid w:val="004A27CC"/>
    <w:rsid w:val="004A497F"/>
    <w:rsid w:val="004A5604"/>
    <w:rsid w:val="004A60B1"/>
    <w:rsid w:val="004A762E"/>
    <w:rsid w:val="004B1A7A"/>
    <w:rsid w:val="004C00E9"/>
    <w:rsid w:val="004C52EB"/>
    <w:rsid w:val="004C63D6"/>
    <w:rsid w:val="004E5CD3"/>
    <w:rsid w:val="004F40F8"/>
    <w:rsid w:val="004F59F3"/>
    <w:rsid w:val="004F5A7E"/>
    <w:rsid w:val="004F5D5B"/>
    <w:rsid w:val="004F6EE8"/>
    <w:rsid w:val="00506007"/>
    <w:rsid w:val="00507439"/>
    <w:rsid w:val="0051168E"/>
    <w:rsid w:val="0051184B"/>
    <w:rsid w:val="0052276D"/>
    <w:rsid w:val="00522B04"/>
    <w:rsid w:val="00527446"/>
    <w:rsid w:val="005332A0"/>
    <w:rsid w:val="0053580F"/>
    <w:rsid w:val="00544330"/>
    <w:rsid w:val="005447AE"/>
    <w:rsid w:val="00546D39"/>
    <w:rsid w:val="00547064"/>
    <w:rsid w:val="00550CC2"/>
    <w:rsid w:val="005608E8"/>
    <w:rsid w:val="00561995"/>
    <w:rsid w:val="005661AB"/>
    <w:rsid w:val="0056716F"/>
    <w:rsid w:val="00575566"/>
    <w:rsid w:val="00577308"/>
    <w:rsid w:val="00592C19"/>
    <w:rsid w:val="00596597"/>
    <w:rsid w:val="00596ED2"/>
    <w:rsid w:val="005A695F"/>
    <w:rsid w:val="005A69F5"/>
    <w:rsid w:val="005C79E0"/>
    <w:rsid w:val="005D36C5"/>
    <w:rsid w:val="005D3AF9"/>
    <w:rsid w:val="005E233E"/>
    <w:rsid w:val="005E4071"/>
    <w:rsid w:val="005F3738"/>
    <w:rsid w:val="0060018D"/>
    <w:rsid w:val="00605478"/>
    <w:rsid w:val="006060A9"/>
    <w:rsid w:val="00607979"/>
    <w:rsid w:val="006147B0"/>
    <w:rsid w:val="00624C16"/>
    <w:rsid w:val="006321E4"/>
    <w:rsid w:val="00632FA6"/>
    <w:rsid w:val="006528D3"/>
    <w:rsid w:val="0066166F"/>
    <w:rsid w:val="006617BE"/>
    <w:rsid w:val="00662085"/>
    <w:rsid w:val="00666741"/>
    <w:rsid w:val="006719D5"/>
    <w:rsid w:val="0067429C"/>
    <w:rsid w:val="00684D79"/>
    <w:rsid w:val="00685641"/>
    <w:rsid w:val="006A5201"/>
    <w:rsid w:val="006A7561"/>
    <w:rsid w:val="006A7F37"/>
    <w:rsid w:val="006B36A0"/>
    <w:rsid w:val="006B50A5"/>
    <w:rsid w:val="006C515D"/>
    <w:rsid w:val="006C6904"/>
    <w:rsid w:val="006D2C1E"/>
    <w:rsid w:val="006E0C2D"/>
    <w:rsid w:val="006F78EA"/>
    <w:rsid w:val="006F7929"/>
    <w:rsid w:val="0071454A"/>
    <w:rsid w:val="0071647F"/>
    <w:rsid w:val="007168F6"/>
    <w:rsid w:val="00727530"/>
    <w:rsid w:val="00735524"/>
    <w:rsid w:val="007402F0"/>
    <w:rsid w:val="00744721"/>
    <w:rsid w:val="00745F0F"/>
    <w:rsid w:val="00751E02"/>
    <w:rsid w:val="00753458"/>
    <w:rsid w:val="007571BC"/>
    <w:rsid w:val="007615CC"/>
    <w:rsid w:val="00762E79"/>
    <w:rsid w:val="007700BD"/>
    <w:rsid w:val="007757A4"/>
    <w:rsid w:val="00777364"/>
    <w:rsid w:val="0078546F"/>
    <w:rsid w:val="007861BA"/>
    <w:rsid w:val="00790E34"/>
    <w:rsid w:val="007A0093"/>
    <w:rsid w:val="007B3396"/>
    <w:rsid w:val="007B5DE2"/>
    <w:rsid w:val="007D2E20"/>
    <w:rsid w:val="007D6327"/>
    <w:rsid w:val="007D71A0"/>
    <w:rsid w:val="007E7863"/>
    <w:rsid w:val="007F6B46"/>
    <w:rsid w:val="008018B4"/>
    <w:rsid w:val="008036FD"/>
    <w:rsid w:val="008071D0"/>
    <w:rsid w:val="00807E41"/>
    <w:rsid w:val="008117FF"/>
    <w:rsid w:val="00812C96"/>
    <w:rsid w:val="00823C1E"/>
    <w:rsid w:val="00831B8F"/>
    <w:rsid w:val="00836F40"/>
    <w:rsid w:val="008410A2"/>
    <w:rsid w:val="00843F23"/>
    <w:rsid w:val="00844536"/>
    <w:rsid w:val="008537BD"/>
    <w:rsid w:val="00855084"/>
    <w:rsid w:val="00855280"/>
    <w:rsid w:val="00865D88"/>
    <w:rsid w:val="00872E17"/>
    <w:rsid w:val="00876F88"/>
    <w:rsid w:val="00880C8E"/>
    <w:rsid w:val="008824D5"/>
    <w:rsid w:val="008835F0"/>
    <w:rsid w:val="00886CE2"/>
    <w:rsid w:val="0088785D"/>
    <w:rsid w:val="00892027"/>
    <w:rsid w:val="00892FB3"/>
    <w:rsid w:val="00893081"/>
    <w:rsid w:val="008943F1"/>
    <w:rsid w:val="00895AE4"/>
    <w:rsid w:val="00895D3D"/>
    <w:rsid w:val="00896540"/>
    <w:rsid w:val="008A1468"/>
    <w:rsid w:val="008A3962"/>
    <w:rsid w:val="008B308A"/>
    <w:rsid w:val="008C2663"/>
    <w:rsid w:val="008D54E9"/>
    <w:rsid w:val="008D6458"/>
    <w:rsid w:val="008E48E7"/>
    <w:rsid w:val="008F2A58"/>
    <w:rsid w:val="00904893"/>
    <w:rsid w:val="009069FD"/>
    <w:rsid w:val="00912AB0"/>
    <w:rsid w:val="0092515E"/>
    <w:rsid w:val="009279EB"/>
    <w:rsid w:val="00931FAB"/>
    <w:rsid w:val="00932937"/>
    <w:rsid w:val="00934D9B"/>
    <w:rsid w:val="0094187F"/>
    <w:rsid w:val="0094791C"/>
    <w:rsid w:val="00951312"/>
    <w:rsid w:val="009530BA"/>
    <w:rsid w:val="00957345"/>
    <w:rsid w:val="009604CC"/>
    <w:rsid w:val="0096375F"/>
    <w:rsid w:val="009670CA"/>
    <w:rsid w:val="00967E71"/>
    <w:rsid w:val="00973AA1"/>
    <w:rsid w:val="0098164A"/>
    <w:rsid w:val="00983E2E"/>
    <w:rsid w:val="009855E6"/>
    <w:rsid w:val="009858F6"/>
    <w:rsid w:val="009938F1"/>
    <w:rsid w:val="009979AC"/>
    <w:rsid w:val="009A53BD"/>
    <w:rsid w:val="009B4C68"/>
    <w:rsid w:val="009C3924"/>
    <w:rsid w:val="009C5AC2"/>
    <w:rsid w:val="009C722F"/>
    <w:rsid w:val="009D4568"/>
    <w:rsid w:val="009D55C8"/>
    <w:rsid w:val="009D63FA"/>
    <w:rsid w:val="009D6F92"/>
    <w:rsid w:val="009E6926"/>
    <w:rsid w:val="009F078E"/>
    <w:rsid w:val="009F6887"/>
    <w:rsid w:val="00A057DA"/>
    <w:rsid w:val="00A07877"/>
    <w:rsid w:val="00A11B19"/>
    <w:rsid w:val="00A12A6A"/>
    <w:rsid w:val="00A16F33"/>
    <w:rsid w:val="00A249C5"/>
    <w:rsid w:val="00A52285"/>
    <w:rsid w:val="00A54157"/>
    <w:rsid w:val="00A60B86"/>
    <w:rsid w:val="00A60FA6"/>
    <w:rsid w:val="00A60FCC"/>
    <w:rsid w:val="00A620E7"/>
    <w:rsid w:val="00A62E34"/>
    <w:rsid w:val="00A71B5C"/>
    <w:rsid w:val="00A76B86"/>
    <w:rsid w:val="00A849BD"/>
    <w:rsid w:val="00A93021"/>
    <w:rsid w:val="00A96BC9"/>
    <w:rsid w:val="00AA0C1A"/>
    <w:rsid w:val="00AA15D0"/>
    <w:rsid w:val="00AA33DA"/>
    <w:rsid w:val="00AA55F0"/>
    <w:rsid w:val="00AA6108"/>
    <w:rsid w:val="00AA6CB7"/>
    <w:rsid w:val="00AB322B"/>
    <w:rsid w:val="00AB3236"/>
    <w:rsid w:val="00AB617F"/>
    <w:rsid w:val="00AB6E42"/>
    <w:rsid w:val="00AB7492"/>
    <w:rsid w:val="00AC49D7"/>
    <w:rsid w:val="00AC79D0"/>
    <w:rsid w:val="00AD042E"/>
    <w:rsid w:val="00AD788E"/>
    <w:rsid w:val="00AE0D1C"/>
    <w:rsid w:val="00AF32BE"/>
    <w:rsid w:val="00B00BF9"/>
    <w:rsid w:val="00B0269B"/>
    <w:rsid w:val="00B03284"/>
    <w:rsid w:val="00B0486C"/>
    <w:rsid w:val="00B060DE"/>
    <w:rsid w:val="00B06F06"/>
    <w:rsid w:val="00B10BAE"/>
    <w:rsid w:val="00B11AEB"/>
    <w:rsid w:val="00B11C66"/>
    <w:rsid w:val="00B23535"/>
    <w:rsid w:val="00B2607E"/>
    <w:rsid w:val="00B26AC7"/>
    <w:rsid w:val="00B27F9A"/>
    <w:rsid w:val="00B318CE"/>
    <w:rsid w:val="00B3415E"/>
    <w:rsid w:val="00B347B1"/>
    <w:rsid w:val="00B34F75"/>
    <w:rsid w:val="00B43473"/>
    <w:rsid w:val="00B45617"/>
    <w:rsid w:val="00B47D35"/>
    <w:rsid w:val="00B54DAD"/>
    <w:rsid w:val="00B55EF2"/>
    <w:rsid w:val="00B618F7"/>
    <w:rsid w:val="00B62B49"/>
    <w:rsid w:val="00B63251"/>
    <w:rsid w:val="00B65648"/>
    <w:rsid w:val="00B66091"/>
    <w:rsid w:val="00B66548"/>
    <w:rsid w:val="00B77097"/>
    <w:rsid w:val="00B83969"/>
    <w:rsid w:val="00B85AB3"/>
    <w:rsid w:val="00B87F7A"/>
    <w:rsid w:val="00B963C4"/>
    <w:rsid w:val="00B963CA"/>
    <w:rsid w:val="00BA24C0"/>
    <w:rsid w:val="00BA7FCB"/>
    <w:rsid w:val="00BB21B0"/>
    <w:rsid w:val="00BB2FE2"/>
    <w:rsid w:val="00BB33FC"/>
    <w:rsid w:val="00BB6E2A"/>
    <w:rsid w:val="00BC2EDC"/>
    <w:rsid w:val="00BC48E6"/>
    <w:rsid w:val="00BC4D92"/>
    <w:rsid w:val="00BD3DDB"/>
    <w:rsid w:val="00BD7CE7"/>
    <w:rsid w:val="00BE4030"/>
    <w:rsid w:val="00BE430D"/>
    <w:rsid w:val="00BE6D81"/>
    <w:rsid w:val="00BF3604"/>
    <w:rsid w:val="00C00B15"/>
    <w:rsid w:val="00C02FB0"/>
    <w:rsid w:val="00C057DC"/>
    <w:rsid w:val="00C07305"/>
    <w:rsid w:val="00C23FEB"/>
    <w:rsid w:val="00C40515"/>
    <w:rsid w:val="00C43B39"/>
    <w:rsid w:val="00C44248"/>
    <w:rsid w:val="00C46773"/>
    <w:rsid w:val="00C52E85"/>
    <w:rsid w:val="00C53E16"/>
    <w:rsid w:val="00C54418"/>
    <w:rsid w:val="00C54BE6"/>
    <w:rsid w:val="00C613CB"/>
    <w:rsid w:val="00C65864"/>
    <w:rsid w:val="00C80067"/>
    <w:rsid w:val="00C8156A"/>
    <w:rsid w:val="00C86100"/>
    <w:rsid w:val="00C879B7"/>
    <w:rsid w:val="00C93945"/>
    <w:rsid w:val="00CA0C6F"/>
    <w:rsid w:val="00CA27FC"/>
    <w:rsid w:val="00CA5737"/>
    <w:rsid w:val="00CB75EA"/>
    <w:rsid w:val="00CC7869"/>
    <w:rsid w:val="00CD10AA"/>
    <w:rsid w:val="00CD2E8F"/>
    <w:rsid w:val="00CD630D"/>
    <w:rsid w:val="00CD7324"/>
    <w:rsid w:val="00CE0255"/>
    <w:rsid w:val="00CF1DA5"/>
    <w:rsid w:val="00D1045B"/>
    <w:rsid w:val="00D10E57"/>
    <w:rsid w:val="00D12E41"/>
    <w:rsid w:val="00D12FA6"/>
    <w:rsid w:val="00D13D18"/>
    <w:rsid w:val="00D150C3"/>
    <w:rsid w:val="00D211FD"/>
    <w:rsid w:val="00D33029"/>
    <w:rsid w:val="00D330AE"/>
    <w:rsid w:val="00D33FE3"/>
    <w:rsid w:val="00D421E6"/>
    <w:rsid w:val="00D50C8E"/>
    <w:rsid w:val="00D61202"/>
    <w:rsid w:val="00D63232"/>
    <w:rsid w:val="00D64E8B"/>
    <w:rsid w:val="00D65E0B"/>
    <w:rsid w:val="00D74DC8"/>
    <w:rsid w:val="00D7679F"/>
    <w:rsid w:val="00D80942"/>
    <w:rsid w:val="00D82351"/>
    <w:rsid w:val="00D82801"/>
    <w:rsid w:val="00D83491"/>
    <w:rsid w:val="00D85BD1"/>
    <w:rsid w:val="00D86441"/>
    <w:rsid w:val="00D93B8C"/>
    <w:rsid w:val="00D97287"/>
    <w:rsid w:val="00DA0F6E"/>
    <w:rsid w:val="00DA15B7"/>
    <w:rsid w:val="00DA42C1"/>
    <w:rsid w:val="00DA5BA6"/>
    <w:rsid w:val="00DA70C9"/>
    <w:rsid w:val="00DB2451"/>
    <w:rsid w:val="00DB5C56"/>
    <w:rsid w:val="00DC5A43"/>
    <w:rsid w:val="00DD3661"/>
    <w:rsid w:val="00DE5CAE"/>
    <w:rsid w:val="00DE6A2D"/>
    <w:rsid w:val="00DE769E"/>
    <w:rsid w:val="00DF4B0A"/>
    <w:rsid w:val="00E0400B"/>
    <w:rsid w:val="00E06F99"/>
    <w:rsid w:val="00E110A7"/>
    <w:rsid w:val="00E24282"/>
    <w:rsid w:val="00E45724"/>
    <w:rsid w:val="00E520B7"/>
    <w:rsid w:val="00E56DB1"/>
    <w:rsid w:val="00E602A2"/>
    <w:rsid w:val="00E728DD"/>
    <w:rsid w:val="00E80DBC"/>
    <w:rsid w:val="00E81501"/>
    <w:rsid w:val="00E85AC0"/>
    <w:rsid w:val="00EA257E"/>
    <w:rsid w:val="00EC4167"/>
    <w:rsid w:val="00EC5EA9"/>
    <w:rsid w:val="00ED444C"/>
    <w:rsid w:val="00EE3BCA"/>
    <w:rsid w:val="00EF1E53"/>
    <w:rsid w:val="00EF5074"/>
    <w:rsid w:val="00EF5172"/>
    <w:rsid w:val="00EF5FCC"/>
    <w:rsid w:val="00EF6A7D"/>
    <w:rsid w:val="00F02060"/>
    <w:rsid w:val="00F03661"/>
    <w:rsid w:val="00F07BB1"/>
    <w:rsid w:val="00F22365"/>
    <w:rsid w:val="00F2405D"/>
    <w:rsid w:val="00F266E8"/>
    <w:rsid w:val="00F33F21"/>
    <w:rsid w:val="00F40C82"/>
    <w:rsid w:val="00F40F4D"/>
    <w:rsid w:val="00F440E2"/>
    <w:rsid w:val="00F52376"/>
    <w:rsid w:val="00F52999"/>
    <w:rsid w:val="00F52C35"/>
    <w:rsid w:val="00F54666"/>
    <w:rsid w:val="00F55437"/>
    <w:rsid w:val="00F56296"/>
    <w:rsid w:val="00F601D9"/>
    <w:rsid w:val="00F73444"/>
    <w:rsid w:val="00F8137F"/>
    <w:rsid w:val="00F84960"/>
    <w:rsid w:val="00F87476"/>
    <w:rsid w:val="00F9005E"/>
    <w:rsid w:val="00FA10A1"/>
    <w:rsid w:val="00FA3B36"/>
    <w:rsid w:val="00FA4AB2"/>
    <w:rsid w:val="00FA70F1"/>
    <w:rsid w:val="00FA7A6F"/>
    <w:rsid w:val="00FB6790"/>
    <w:rsid w:val="00FC558A"/>
    <w:rsid w:val="00FC7301"/>
    <w:rsid w:val="00FD26BD"/>
    <w:rsid w:val="00FD6361"/>
    <w:rsid w:val="00FD6A8D"/>
    <w:rsid w:val="00FD6C4B"/>
    <w:rsid w:val="00FE0DCD"/>
    <w:rsid w:val="00FE113B"/>
    <w:rsid w:val="00FE343B"/>
    <w:rsid w:val="00FE56F0"/>
    <w:rsid w:val="00FE66AA"/>
    <w:rsid w:val="00FE7330"/>
    <w:rsid w:val="00FF191C"/>
    <w:rsid w:val="00FF1953"/>
    <w:rsid w:val="00FF51A0"/>
    <w:rsid w:val="01580C56"/>
    <w:rsid w:val="01623ECD"/>
    <w:rsid w:val="01763232"/>
    <w:rsid w:val="01807AF1"/>
    <w:rsid w:val="01A37947"/>
    <w:rsid w:val="01A85FCF"/>
    <w:rsid w:val="01D67434"/>
    <w:rsid w:val="01E75E57"/>
    <w:rsid w:val="0224362A"/>
    <w:rsid w:val="0228131B"/>
    <w:rsid w:val="0258151A"/>
    <w:rsid w:val="027F0426"/>
    <w:rsid w:val="03130C9A"/>
    <w:rsid w:val="035E581E"/>
    <w:rsid w:val="036C44CA"/>
    <w:rsid w:val="0398212A"/>
    <w:rsid w:val="03D92DF2"/>
    <w:rsid w:val="03E9547A"/>
    <w:rsid w:val="03EC5313"/>
    <w:rsid w:val="04E33A5F"/>
    <w:rsid w:val="052027CE"/>
    <w:rsid w:val="05BD0878"/>
    <w:rsid w:val="0624284C"/>
    <w:rsid w:val="066B2E48"/>
    <w:rsid w:val="068F0BD1"/>
    <w:rsid w:val="06A72B5B"/>
    <w:rsid w:val="075445D5"/>
    <w:rsid w:val="07773408"/>
    <w:rsid w:val="07C74150"/>
    <w:rsid w:val="07E7646D"/>
    <w:rsid w:val="080E345D"/>
    <w:rsid w:val="08A81240"/>
    <w:rsid w:val="08B33959"/>
    <w:rsid w:val="08BD59C0"/>
    <w:rsid w:val="08BE33E4"/>
    <w:rsid w:val="08D04D46"/>
    <w:rsid w:val="08DC5128"/>
    <w:rsid w:val="090306E4"/>
    <w:rsid w:val="097C031F"/>
    <w:rsid w:val="09EE1D7D"/>
    <w:rsid w:val="0A283696"/>
    <w:rsid w:val="0A40746F"/>
    <w:rsid w:val="0A4C5174"/>
    <w:rsid w:val="0A9B6AB0"/>
    <w:rsid w:val="0AEA22BF"/>
    <w:rsid w:val="0B1C1073"/>
    <w:rsid w:val="0CCF2339"/>
    <w:rsid w:val="0D627C85"/>
    <w:rsid w:val="0D68630B"/>
    <w:rsid w:val="0DC161D1"/>
    <w:rsid w:val="0DF60BF1"/>
    <w:rsid w:val="0E3C1CA0"/>
    <w:rsid w:val="0E5B4EA0"/>
    <w:rsid w:val="0E6C4634"/>
    <w:rsid w:val="0E9B68FF"/>
    <w:rsid w:val="0EA444E7"/>
    <w:rsid w:val="0EAD2D89"/>
    <w:rsid w:val="0F5C607F"/>
    <w:rsid w:val="0FD348ED"/>
    <w:rsid w:val="1013176C"/>
    <w:rsid w:val="10321608"/>
    <w:rsid w:val="10460CC2"/>
    <w:rsid w:val="10734F8E"/>
    <w:rsid w:val="10AF4C4C"/>
    <w:rsid w:val="113C7AB0"/>
    <w:rsid w:val="11FF376C"/>
    <w:rsid w:val="12094AE8"/>
    <w:rsid w:val="12BB6B1D"/>
    <w:rsid w:val="12C403A4"/>
    <w:rsid w:val="12DD46A3"/>
    <w:rsid w:val="137C4806"/>
    <w:rsid w:val="14601D7C"/>
    <w:rsid w:val="149F3FAA"/>
    <w:rsid w:val="14BF02AD"/>
    <w:rsid w:val="14C53C9C"/>
    <w:rsid w:val="14F37FF3"/>
    <w:rsid w:val="1517097B"/>
    <w:rsid w:val="1527398E"/>
    <w:rsid w:val="15455FD0"/>
    <w:rsid w:val="15B7232D"/>
    <w:rsid w:val="15D8600E"/>
    <w:rsid w:val="160C56C2"/>
    <w:rsid w:val="16101D7E"/>
    <w:rsid w:val="1634517A"/>
    <w:rsid w:val="16A36AB3"/>
    <w:rsid w:val="16AB3173"/>
    <w:rsid w:val="16AC06BC"/>
    <w:rsid w:val="16D11BA4"/>
    <w:rsid w:val="16D66554"/>
    <w:rsid w:val="170535D2"/>
    <w:rsid w:val="176965BC"/>
    <w:rsid w:val="177D548D"/>
    <w:rsid w:val="179E331F"/>
    <w:rsid w:val="17A61748"/>
    <w:rsid w:val="17C70EC5"/>
    <w:rsid w:val="17D34C26"/>
    <w:rsid w:val="17EF4EEB"/>
    <w:rsid w:val="17EF6030"/>
    <w:rsid w:val="183A43E2"/>
    <w:rsid w:val="184778F6"/>
    <w:rsid w:val="18721181"/>
    <w:rsid w:val="18C3452E"/>
    <w:rsid w:val="18E31BC7"/>
    <w:rsid w:val="19032A61"/>
    <w:rsid w:val="193F76FB"/>
    <w:rsid w:val="19B00A58"/>
    <w:rsid w:val="19B012E6"/>
    <w:rsid w:val="19B5106A"/>
    <w:rsid w:val="19C401D2"/>
    <w:rsid w:val="19C52E58"/>
    <w:rsid w:val="19CC27E2"/>
    <w:rsid w:val="1A0F059D"/>
    <w:rsid w:val="1A1C3866"/>
    <w:rsid w:val="1A916B31"/>
    <w:rsid w:val="1AE8538C"/>
    <w:rsid w:val="1AF35E37"/>
    <w:rsid w:val="1B085A5A"/>
    <w:rsid w:val="1B1514F2"/>
    <w:rsid w:val="1B1F138B"/>
    <w:rsid w:val="1B284CAF"/>
    <w:rsid w:val="1B2D36A3"/>
    <w:rsid w:val="1BB138FD"/>
    <w:rsid w:val="1BBB420C"/>
    <w:rsid w:val="1BF530EC"/>
    <w:rsid w:val="1C4739D0"/>
    <w:rsid w:val="1CC04A68"/>
    <w:rsid w:val="1D3220CE"/>
    <w:rsid w:val="1D6A64D1"/>
    <w:rsid w:val="1DAD6387"/>
    <w:rsid w:val="1DEE5C0A"/>
    <w:rsid w:val="1DF45926"/>
    <w:rsid w:val="1E092B57"/>
    <w:rsid w:val="1E10773D"/>
    <w:rsid w:val="1E7159FF"/>
    <w:rsid w:val="1E8F1B8E"/>
    <w:rsid w:val="1EED1859"/>
    <w:rsid w:val="1EFD3A9C"/>
    <w:rsid w:val="1F1D139B"/>
    <w:rsid w:val="1F475400"/>
    <w:rsid w:val="1F513806"/>
    <w:rsid w:val="1F734328"/>
    <w:rsid w:val="1F865547"/>
    <w:rsid w:val="1F9D4A9E"/>
    <w:rsid w:val="1FC66330"/>
    <w:rsid w:val="20015EDA"/>
    <w:rsid w:val="202136BF"/>
    <w:rsid w:val="204B6589"/>
    <w:rsid w:val="2080575F"/>
    <w:rsid w:val="20CE599A"/>
    <w:rsid w:val="215023C0"/>
    <w:rsid w:val="21743621"/>
    <w:rsid w:val="21AE1E97"/>
    <w:rsid w:val="21F75221"/>
    <w:rsid w:val="220B1C23"/>
    <w:rsid w:val="22464449"/>
    <w:rsid w:val="22625B77"/>
    <w:rsid w:val="22CE58F5"/>
    <w:rsid w:val="230953F9"/>
    <w:rsid w:val="23237F25"/>
    <w:rsid w:val="232B11B7"/>
    <w:rsid w:val="23311076"/>
    <w:rsid w:val="2379093F"/>
    <w:rsid w:val="238734D8"/>
    <w:rsid w:val="238F7CFB"/>
    <w:rsid w:val="23D24851"/>
    <w:rsid w:val="241C182F"/>
    <w:rsid w:val="242023D2"/>
    <w:rsid w:val="246421F6"/>
    <w:rsid w:val="24D36E9A"/>
    <w:rsid w:val="25281192"/>
    <w:rsid w:val="25641764"/>
    <w:rsid w:val="25A6506C"/>
    <w:rsid w:val="25C91E33"/>
    <w:rsid w:val="25CF7050"/>
    <w:rsid w:val="25ED6BFB"/>
    <w:rsid w:val="260B3A48"/>
    <w:rsid w:val="264C396C"/>
    <w:rsid w:val="268279BE"/>
    <w:rsid w:val="26BE1FEE"/>
    <w:rsid w:val="26F1696B"/>
    <w:rsid w:val="27501502"/>
    <w:rsid w:val="27570DF4"/>
    <w:rsid w:val="28767C6F"/>
    <w:rsid w:val="28886E0E"/>
    <w:rsid w:val="288B6CD2"/>
    <w:rsid w:val="28D164FE"/>
    <w:rsid w:val="290F2D3A"/>
    <w:rsid w:val="291455D7"/>
    <w:rsid w:val="29373AB9"/>
    <w:rsid w:val="297F5DA9"/>
    <w:rsid w:val="29846CFF"/>
    <w:rsid w:val="2A7B4CC0"/>
    <w:rsid w:val="2ADD2B72"/>
    <w:rsid w:val="2AE7385B"/>
    <w:rsid w:val="2B4F051B"/>
    <w:rsid w:val="2B575927"/>
    <w:rsid w:val="2BFC3354"/>
    <w:rsid w:val="2C2F42EF"/>
    <w:rsid w:val="2C6815E9"/>
    <w:rsid w:val="2C7A0008"/>
    <w:rsid w:val="2C7A1FF6"/>
    <w:rsid w:val="2CA84CD4"/>
    <w:rsid w:val="2CEB63EA"/>
    <w:rsid w:val="2D1D2509"/>
    <w:rsid w:val="2D5034E4"/>
    <w:rsid w:val="2D580E67"/>
    <w:rsid w:val="2D782F00"/>
    <w:rsid w:val="2DD554FE"/>
    <w:rsid w:val="2DEC5B5B"/>
    <w:rsid w:val="2DF71D4B"/>
    <w:rsid w:val="2E14108C"/>
    <w:rsid w:val="2ECE4FDA"/>
    <w:rsid w:val="2F1E302B"/>
    <w:rsid w:val="2FFE27AD"/>
    <w:rsid w:val="302970F3"/>
    <w:rsid w:val="309B556A"/>
    <w:rsid w:val="30A06A77"/>
    <w:rsid w:val="30B567E5"/>
    <w:rsid w:val="31490108"/>
    <w:rsid w:val="31776F9A"/>
    <w:rsid w:val="318D3859"/>
    <w:rsid w:val="31BF7644"/>
    <w:rsid w:val="32002B6B"/>
    <w:rsid w:val="32A07E9E"/>
    <w:rsid w:val="32CD13EC"/>
    <w:rsid w:val="33093CBB"/>
    <w:rsid w:val="33127D84"/>
    <w:rsid w:val="331F268B"/>
    <w:rsid w:val="33A44248"/>
    <w:rsid w:val="33BA63EC"/>
    <w:rsid w:val="33CD3548"/>
    <w:rsid w:val="34B54432"/>
    <w:rsid w:val="34CE04B2"/>
    <w:rsid w:val="353611F1"/>
    <w:rsid w:val="358124C9"/>
    <w:rsid w:val="35D61BDE"/>
    <w:rsid w:val="362D5E70"/>
    <w:rsid w:val="36965CB2"/>
    <w:rsid w:val="377D2FE0"/>
    <w:rsid w:val="37B81AC6"/>
    <w:rsid w:val="37F741E2"/>
    <w:rsid w:val="383D3652"/>
    <w:rsid w:val="38524315"/>
    <w:rsid w:val="38785A35"/>
    <w:rsid w:val="388D68D4"/>
    <w:rsid w:val="389C1B3B"/>
    <w:rsid w:val="38BF2926"/>
    <w:rsid w:val="390E7463"/>
    <w:rsid w:val="394D6D12"/>
    <w:rsid w:val="39872BE8"/>
    <w:rsid w:val="3A121767"/>
    <w:rsid w:val="3A3D2A7E"/>
    <w:rsid w:val="3AE05BAF"/>
    <w:rsid w:val="3B3D2ACC"/>
    <w:rsid w:val="3B7A6FAB"/>
    <w:rsid w:val="3BFF5F92"/>
    <w:rsid w:val="3C0A06C8"/>
    <w:rsid w:val="3C145375"/>
    <w:rsid w:val="3C161724"/>
    <w:rsid w:val="3C1F67EB"/>
    <w:rsid w:val="3C4A48D3"/>
    <w:rsid w:val="3C62397B"/>
    <w:rsid w:val="3C8F22E7"/>
    <w:rsid w:val="3CE80EF0"/>
    <w:rsid w:val="3CF06E89"/>
    <w:rsid w:val="3D0C7B05"/>
    <w:rsid w:val="3D37507E"/>
    <w:rsid w:val="3D3A2780"/>
    <w:rsid w:val="3DCC00F6"/>
    <w:rsid w:val="3DF927AD"/>
    <w:rsid w:val="3E1607D7"/>
    <w:rsid w:val="3E407AAF"/>
    <w:rsid w:val="3E5A30FD"/>
    <w:rsid w:val="3E5D2CC9"/>
    <w:rsid w:val="3EED751B"/>
    <w:rsid w:val="3F066F32"/>
    <w:rsid w:val="3F2D1CB6"/>
    <w:rsid w:val="3F3524C2"/>
    <w:rsid w:val="3F431BC8"/>
    <w:rsid w:val="3F8D2AEF"/>
    <w:rsid w:val="3FA362DD"/>
    <w:rsid w:val="3FB14CA2"/>
    <w:rsid w:val="3FBE23EB"/>
    <w:rsid w:val="400E6DA6"/>
    <w:rsid w:val="401D6F8B"/>
    <w:rsid w:val="40220553"/>
    <w:rsid w:val="4031352D"/>
    <w:rsid w:val="40630A6C"/>
    <w:rsid w:val="406C4BC1"/>
    <w:rsid w:val="408F70EB"/>
    <w:rsid w:val="41380592"/>
    <w:rsid w:val="415D5357"/>
    <w:rsid w:val="41683F94"/>
    <w:rsid w:val="41850D59"/>
    <w:rsid w:val="41884094"/>
    <w:rsid w:val="41D61821"/>
    <w:rsid w:val="42111F5E"/>
    <w:rsid w:val="42272A47"/>
    <w:rsid w:val="4260230D"/>
    <w:rsid w:val="42BF3BFE"/>
    <w:rsid w:val="42E80056"/>
    <w:rsid w:val="43341B51"/>
    <w:rsid w:val="43982301"/>
    <w:rsid w:val="44015C7B"/>
    <w:rsid w:val="449E3321"/>
    <w:rsid w:val="44BA5EBA"/>
    <w:rsid w:val="44EA2F5D"/>
    <w:rsid w:val="45284162"/>
    <w:rsid w:val="45900801"/>
    <w:rsid w:val="45CE5A5E"/>
    <w:rsid w:val="46366141"/>
    <w:rsid w:val="464252CA"/>
    <w:rsid w:val="464B7A96"/>
    <w:rsid w:val="46B0445E"/>
    <w:rsid w:val="47296F58"/>
    <w:rsid w:val="47583F97"/>
    <w:rsid w:val="4760213D"/>
    <w:rsid w:val="47A16F94"/>
    <w:rsid w:val="47C460CD"/>
    <w:rsid w:val="47F22E4F"/>
    <w:rsid w:val="4837587F"/>
    <w:rsid w:val="48870389"/>
    <w:rsid w:val="48A55CFF"/>
    <w:rsid w:val="48B265F5"/>
    <w:rsid w:val="49164C4A"/>
    <w:rsid w:val="49180694"/>
    <w:rsid w:val="49406134"/>
    <w:rsid w:val="49AD4E1F"/>
    <w:rsid w:val="49BF3F04"/>
    <w:rsid w:val="49E656E9"/>
    <w:rsid w:val="49EF65FB"/>
    <w:rsid w:val="4A4C4151"/>
    <w:rsid w:val="4A765388"/>
    <w:rsid w:val="4AB740F4"/>
    <w:rsid w:val="4AC62318"/>
    <w:rsid w:val="4AD50ED2"/>
    <w:rsid w:val="4B3B4F8C"/>
    <w:rsid w:val="4B45738D"/>
    <w:rsid w:val="4BB375DD"/>
    <w:rsid w:val="4C624826"/>
    <w:rsid w:val="4C63620D"/>
    <w:rsid w:val="4D901524"/>
    <w:rsid w:val="4E2150CB"/>
    <w:rsid w:val="4E5A441A"/>
    <w:rsid w:val="4E782283"/>
    <w:rsid w:val="4E8E286D"/>
    <w:rsid w:val="4F0F0900"/>
    <w:rsid w:val="4F497131"/>
    <w:rsid w:val="4F4D360D"/>
    <w:rsid w:val="504563F8"/>
    <w:rsid w:val="50713BC3"/>
    <w:rsid w:val="508E3E2C"/>
    <w:rsid w:val="50A866F2"/>
    <w:rsid w:val="50C73805"/>
    <w:rsid w:val="50F10148"/>
    <w:rsid w:val="515B223B"/>
    <w:rsid w:val="516C5B50"/>
    <w:rsid w:val="521B542A"/>
    <w:rsid w:val="52252DD4"/>
    <w:rsid w:val="52270ED5"/>
    <w:rsid w:val="528C2019"/>
    <w:rsid w:val="52AA50E1"/>
    <w:rsid w:val="52B6389C"/>
    <w:rsid w:val="52E83B07"/>
    <w:rsid w:val="539C3A03"/>
    <w:rsid w:val="53AD5A2B"/>
    <w:rsid w:val="53D1497F"/>
    <w:rsid w:val="53FE1652"/>
    <w:rsid w:val="54557C03"/>
    <w:rsid w:val="54CF46BC"/>
    <w:rsid w:val="54D6703E"/>
    <w:rsid w:val="556D348C"/>
    <w:rsid w:val="55CF0356"/>
    <w:rsid w:val="55D32E9F"/>
    <w:rsid w:val="55D447DE"/>
    <w:rsid w:val="55E27377"/>
    <w:rsid w:val="55FC0ECF"/>
    <w:rsid w:val="5642787D"/>
    <w:rsid w:val="56F33326"/>
    <w:rsid w:val="575D6941"/>
    <w:rsid w:val="57F1549A"/>
    <w:rsid w:val="58244FA7"/>
    <w:rsid w:val="5830463D"/>
    <w:rsid w:val="58E53D30"/>
    <w:rsid w:val="59460125"/>
    <w:rsid w:val="596A1607"/>
    <w:rsid w:val="59B24536"/>
    <w:rsid w:val="59FE1AA6"/>
    <w:rsid w:val="5A2F26B0"/>
    <w:rsid w:val="5ABE16F9"/>
    <w:rsid w:val="5B1B5005"/>
    <w:rsid w:val="5B773940"/>
    <w:rsid w:val="5BB23404"/>
    <w:rsid w:val="5BD228CE"/>
    <w:rsid w:val="5BEB1E5A"/>
    <w:rsid w:val="5C2E5E60"/>
    <w:rsid w:val="5CA83D6A"/>
    <w:rsid w:val="5CCE758F"/>
    <w:rsid w:val="5D3A69D3"/>
    <w:rsid w:val="5D4D7E34"/>
    <w:rsid w:val="5D8C1FF4"/>
    <w:rsid w:val="5DAF116F"/>
    <w:rsid w:val="5DBD74E4"/>
    <w:rsid w:val="5DDA2ADC"/>
    <w:rsid w:val="5DE6679D"/>
    <w:rsid w:val="5DEF78BB"/>
    <w:rsid w:val="5E2A6268"/>
    <w:rsid w:val="5E330476"/>
    <w:rsid w:val="5E3E4C2D"/>
    <w:rsid w:val="5E471CBA"/>
    <w:rsid w:val="5E5645CE"/>
    <w:rsid w:val="5E5935CB"/>
    <w:rsid w:val="5EAA032B"/>
    <w:rsid w:val="5EB02500"/>
    <w:rsid w:val="5EDE5F07"/>
    <w:rsid w:val="5F2549AD"/>
    <w:rsid w:val="5F323DA7"/>
    <w:rsid w:val="5FA640EB"/>
    <w:rsid w:val="5FE65EE3"/>
    <w:rsid w:val="5FF81943"/>
    <w:rsid w:val="6008663C"/>
    <w:rsid w:val="601B50B8"/>
    <w:rsid w:val="60395667"/>
    <w:rsid w:val="607C3E58"/>
    <w:rsid w:val="609E611A"/>
    <w:rsid w:val="60AC6765"/>
    <w:rsid w:val="60BE5A58"/>
    <w:rsid w:val="60CB745A"/>
    <w:rsid w:val="61343606"/>
    <w:rsid w:val="613E7F81"/>
    <w:rsid w:val="615E1FB9"/>
    <w:rsid w:val="61873DA7"/>
    <w:rsid w:val="61915F1E"/>
    <w:rsid w:val="61C471B3"/>
    <w:rsid w:val="62022D5A"/>
    <w:rsid w:val="620B60B7"/>
    <w:rsid w:val="626E5007"/>
    <w:rsid w:val="628C0F03"/>
    <w:rsid w:val="62A37C9F"/>
    <w:rsid w:val="632737D7"/>
    <w:rsid w:val="633F2762"/>
    <w:rsid w:val="63A70B65"/>
    <w:rsid w:val="63B76BA9"/>
    <w:rsid w:val="63F7410E"/>
    <w:rsid w:val="64284669"/>
    <w:rsid w:val="64340321"/>
    <w:rsid w:val="646628FF"/>
    <w:rsid w:val="64783648"/>
    <w:rsid w:val="64E93A44"/>
    <w:rsid w:val="65125B34"/>
    <w:rsid w:val="65CE2975"/>
    <w:rsid w:val="660F1A7E"/>
    <w:rsid w:val="663E7D2D"/>
    <w:rsid w:val="66897745"/>
    <w:rsid w:val="66A72C8A"/>
    <w:rsid w:val="66D02B94"/>
    <w:rsid w:val="66EB5F60"/>
    <w:rsid w:val="67280744"/>
    <w:rsid w:val="674218D7"/>
    <w:rsid w:val="676E3CC6"/>
    <w:rsid w:val="67F14B3D"/>
    <w:rsid w:val="68637551"/>
    <w:rsid w:val="686D6D9D"/>
    <w:rsid w:val="68761B36"/>
    <w:rsid w:val="68F17D99"/>
    <w:rsid w:val="69245BE0"/>
    <w:rsid w:val="6A06384E"/>
    <w:rsid w:val="6A650922"/>
    <w:rsid w:val="6AD74A57"/>
    <w:rsid w:val="6ADA35A3"/>
    <w:rsid w:val="6B313E6C"/>
    <w:rsid w:val="6B460705"/>
    <w:rsid w:val="6B472CBA"/>
    <w:rsid w:val="6B5843C4"/>
    <w:rsid w:val="6B946502"/>
    <w:rsid w:val="6BF53CA3"/>
    <w:rsid w:val="6C0A7FBF"/>
    <w:rsid w:val="6C5A7338"/>
    <w:rsid w:val="6C984089"/>
    <w:rsid w:val="6D3C6797"/>
    <w:rsid w:val="6D4F2026"/>
    <w:rsid w:val="6D6E46A8"/>
    <w:rsid w:val="6D727278"/>
    <w:rsid w:val="6D7D01AD"/>
    <w:rsid w:val="6DE36C58"/>
    <w:rsid w:val="6DE4275D"/>
    <w:rsid w:val="6E3A4A84"/>
    <w:rsid w:val="6E651F06"/>
    <w:rsid w:val="6E7D30A9"/>
    <w:rsid w:val="6E9D3265"/>
    <w:rsid w:val="6EAB637C"/>
    <w:rsid w:val="6F197410"/>
    <w:rsid w:val="6F1F0BDE"/>
    <w:rsid w:val="6F496FEA"/>
    <w:rsid w:val="6F6E4BFB"/>
    <w:rsid w:val="6F93311C"/>
    <w:rsid w:val="700465D9"/>
    <w:rsid w:val="7054032A"/>
    <w:rsid w:val="707C3099"/>
    <w:rsid w:val="708C4CFF"/>
    <w:rsid w:val="70D127A3"/>
    <w:rsid w:val="70DD22F7"/>
    <w:rsid w:val="70ED20D3"/>
    <w:rsid w:val="71105142"/>
    <w:rsid w:val="71107D1F"/>
    <w:rsid w:val="71144511"/>
    <w:rsid w:val="71203125"/>
    <w:rsid w:val="713F3FBF"/>
    <w:rsid w:val="718070C4"/>
    <w:rsid w:val="71BF242C"/>
    <w:rsid w:val="72270127"/>
    <w:rsid w:val="72442376"/>
    <w:rsid w:val="72C5750D"/>
    <w:rsid w:val="72FB469E"/>
    <w:rsid w:val="730936C7"/>
    <w:rsid w:val="734C07CD"/>
    <w:rsid w:val="738D4541"/>
    <w:rsid w:val="73A96B65"/>
    <w:rsid w:val="73C05A2C"/>
    <w:rsid w:val="744B2AA3"/>
    <w:rsid w:val="74795EDA"/>
    <w:rsid w:val="747D3DE3"/>
    <w:rsid w:val="74985FFF"/>
    <w:rsid w:val="74E34252"/>
    <w:rsid w:val="74F83A68"/>
    <w:rsid w:val="758A7389"/>
    <w:rsid w:val="758E68E9"/>
    <w:rsid w:val="75A56820"/>
    <w:rsid w:val="75B82225"/>
    <w:rsid w:val="75E654F2"/>
    <w:rsid w:val="76B4160A"/>
    <w:rsid w:val="76C76129"/>
    <w:rsid w:val="76FB34AD"/>
    <w:rsid w:val="77735805"/>
    <w:rsid w:val="77B72A76"/>
    <w:rsid w:val="77CE0451"/>
    <w:rsid w:val="77E6571C"/>
    <w:rsid w:val="78676E19"/>
    <w:rsid w:val="789B656C"/>
    <w:rsid w:val="78A66105"/>
    <w:rsid w:val="79384F63"/>
    <w:rsid w:val="797807D6"/>
    <w:rsid w:val="79C417D7"/>
    <w:rsid w:val="79DC1781"/>
    <w:rsid w:val="79FA3F36"/>
    <w:rsid w:val="7A432EF0"/>
    <w:rsid w:val="7A94376E"/>
    <w:rsid w:val="7ABD0DF6"/>
    <w:rsid w:val="7B09415C"/>
    <w:rsid w:val="7B572BA9"/>
    <w:rsid w:val="7B972267"/>
    <w:rsid w:val="7BD45BEC"/>
    <w:rsid w:val="7BE11253"/>
    <w:rsid w:val="7C145E11"/>
    <w:rsid w:val="7C3054D0"/>
    <w:rsid w:val="7C933BEE"/>
    <w:rsid w:val="7CAD2C5F"/>
    <w:rsid w:val="7CCD432F"/>
    <w:rsid w:val="7CD60559"/>
    <w:rsid w:val="7DA023D2"/>
    <w:rsid w:val="7E1A042F"/>
    <w:rsid w:val="7E2364DE"/>
    <w:rsid w:val="7E2A2A0B"/>
    <w:rsid w:val="7EB503F0"/>
    <w:rsid w:val="7EC37B87"/>
    <w:rsid w:val="7ECB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qFormat="1" w:uiPriority="99" w:semiHidden="0" w:name="Body Text 3"/>
    <w:lsdException w:qFormat="1"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iPriority="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3"/>
    <w:qFormat/>
    <w:uiPriority w:val="0"/>
    <w:pPr>
      <w:keepNext/>
      <w:spacing w:before="240" w:after="60"/>
      <w:jc w:val="center"/>
      <w:outlineLvl w:val="0"/>
    </w:pPr>
    <w:rPr>
      <w:rFonts w:ascii="Times New Roman" w:hAnsi="Times New Roman" w:eastAsia="黑体"/>
      <w:bCs/>
      <w:kern w:val="32"/>
      <w:sz w:val="36"/>
      <w:szCs w:val="48"/>
    </w:rPr>
  </w:style>
  <w:style w:type="paragraph" w:styleId="3">
    <w:name w:val="heading 2"/>
    <w:basedOn w:val="1"/>
    <w:next w:val="1"/>
    <w:link w:val="44"/>
    <w:unhideWhenUsed/>
    <w:qFormat/>
    <w:uiPriority w:val="0"/>
    <w:pPr>
      <w:keepNext/>
      <w:spacing w:before="60" w:after="60"/>
      <w:ind w:firstLine="400" w:firstLineChars="200"/>
      <w:jc w:val="left"/>
      <w:outlineLvl w:val="1"/>
    </w:pPr>
    <w:rPr>
      <w:rFonts w:ascii="Times New Roman" w:hAnsi="Times New Roman" w:eastAsia="仿宋_GB2312"/>
      <w:b/>
      <w:bCs/>
      <w:iCs/>
      <w:sz w:val="24"/>
      <w:szCs w:val="36"/>
    </w:rPr>
  </w:style>
  <w:style w:type="paragraph" w:styleId="4">
    <w:name w:val="heading 3"/>
    <w:basedOn w:val="1"/>
    <w:next w:val="1"/>
    <w:link w:val="45"/>
    <w:unhideWhenUsed/>
    <w:qFormat/>
    <w:uiPriority w:val="0"/>
    <w:pPr>
      <w:keepNext/>
      <w:spacing w:before="240" w:after="60"/>
      <w:outlineLvl w:val="2"/>
    </w:pPr>
    <w:rPr>
      <w:rFonts w:ascii="Times New Roman" w:hAnsi="Times New Roman" w:eastAsia="Times New Roman"/>
      <w:b/>
      <w:bCs/>
      <w:sz w:val="28"/>
      <w:szCs w:val="28"/>
    </w:rPr>
  </w:style>
  <w:style w:type="paragraph" w:styleId="5">
    <w:name w:val="heading 4"/>
    <w:basedOn w:val="1"/>
    <w:next w:val="1"/>
    <w:link w:val="46"/>
    <w:unhideWhenUsed/>
    <w:qFormat/>
    <w:uiPriority w:val="0"/>
    <w:pPr>
      <w:keepNext/>
      <w:spacing w:before="240" w:after="60"/>
      <w:outlineLvl w:val="3"/>
    </w:pPr>
    <w:rPr>
      <w:rFonts w:ascii="Times New Roman" w:hAnsi="Times New Roman" w:eastAsia="Times New Roman"/>
      <w:b/>
      <w:bCs/>
      <w:sz w:val="24"/>
      <w:szCs w:val="24"/>
    </w:rPr>
  </w:style>
  <w:style w:type="paragraph" w:styleId="6">
    <w:name w:val="heading 5"/>
    <w:basedOn w:val="1"/>
    <w:next w:val="1"/>
    <w:link w:val="47"/>
    <w:semiHidden/>
    <w:unhideWhenUsed/>
    <w:qFormat/>
    <w:uiPriority w:val="0"/>
    <w:pPr>
      <w:spacing w:before="240" w:after="60"/>
      <w:outlineLvl w:val="4"/>
    </w:pPr>
    <w:rPr>
      <w:rFonts w:ascii="Times New Roman" w:hAnsi="Times New Roman" w:eastAsia="Times New Roman"/>
      <w:b/>
      <w:bCs/>
      <w:iCs/>
      <w:sz w:val="20"/>
      <w:szCs w:val="20"/>
    </w:rPr>
  </w:style>
  <w:style w:type="paragraph" w:styleId="7">
    <w:name w:val="heading 6"/>
    <w:basedOn w:val="1"/>
    <w:next w:val="1"/>
    <w:link w:val="48"/>
    <w:semiHidden/>
    <w:unhideWhenUsed/>
    <w:qFormat/>
    <w:uiPriority w:val="0"/>
    <w:pPr>
      <w:spacing w:before="240" w:after="60"/>
      <w:outlineLvl w:val="5"/>
    </w:pPr>
    <w:rPr>
      <w:rFonts w:ascii="Times New Roman" w:hAnsi="Times New Roman" w:eastAsia="Times New Roman"/>
      <w:b/>
      <w:bCs/>
      <w:sz w:val="16"/>
      <w:szCs w:val="16"/>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0"/>
    <w:pPr>
      <w:ind w:firstLine="420" w:firstLineChars="200"/>
    </w:pPr>
    <w:rPr>
      <w:rFonts w:ascii="Times New Roman" w:hAnsi="Times New Roman"/>
    </w:rPr>
  </w:style>
  <w:style w:type="paragraph" w:styleId="9">
    <w:name w:val="toa heading"/>
    <w:basedOn w:val="1"/>
    <w:next w:val="1"/>
    <w:semiHidden/>
    <w:unhideWhenUsed/>
    <w:qFormat/>
    <w:uiPriority w:val="0"/>
    <w:pPr>
      <w:spacing w:before="120"/>
    </w:pPr>
    <w:rPr>
      <w:rFonts w:ascii="Arial" w:hAnsi="Arial" w:cs="Arial"/>
      <w:sz w:val="24"/>
      <w:szCs w:val="24"/>
    </w:rPr>
  </w:style>
  <w:style w:type="paragraph" w:styleId="10">
    <w:name w:val="annotation text"/>
    <w:basedOn w:val="1"/>
    <w:link w:val="51"/>
    <w:semiHidden/>
    <w:unhideWhenUsed/>
    <w:qFormat/>
    <w:uiPriority w:val="99"/>
    <w:pPr>
      <w:jc w:val="left"/>
    </w:pPr>
  </w:style>
  <w:style w:type="paragraph" w:styleId="11">
    <w:name w:val="index 6"/>
    <w:basedOn w:val="12"/>
    <w:next w:val="12"/>
    <w:qFormat/>
    <w:uiPriority w:val="99"/>
    <w:pPr>
      <w:ind w:left="2100"/>
    </w:pPr>
  </w:style>
  <w:style w:type="paragraph" w:customStyle="1" w:styleId="12">
    <w:name w:val="正文_21_0"/>
    <w:next w:val="1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13">
    <w:name w:val="Body Text 3"/>
    <w:basedOn w:val="1"/>
    <w:next w:val="1"/>
    <w:unhideWhenUsed/>
    <w:qFormat/>
    <w:uiPriority w:val="99"/>
    <w:pPr>
      <w:spacing w:after="120"/>
    </w:pPr>
    <w:rPr>
      <w:rFonts w:ascii="Times New Roman" w:hAnsi="Times New Roman"/>
      <w:sz w:val="16"/>
      <w:szCs w:val="16"/>
    </w:rPr>
  </w:style>
  <w:style w:type="paragraph" w:styleId="14">
    <w:name w:val="Body Text"/>
    <w:basedOn w:val="1"/>
    <w:next w:val="1"/>
    <w:link w:val="54"/>
    <w:semiHidden/>
    <w:unhideWhenUsed/>
    <w:qFormat/>
    <w:uiPriority w:val="0"/>
    <w:pPr>
      <w:spacing w:after="120"/>
    </w:pPr>
  </w:style>
  <w:style w:type="paragraph" w:styleId="15">
    <w:name w:val="Body Text Indent"/>
    <w:basedOn w:val="1"/>
    <w:link w:val="55"/>
    <w:semiHidden/>
    <w:unhideWhenUsed/>
    <w:qFormat/>
    <w:uiPriority w:val="99"/>
    <w:pPr>
      <w:spacing w:after="120"/>
      <w:ind w:left="420" w:leftChars="200"/>
    </w:pPr>
  </w:style>
  <w:style w:type="paragraph" w:styleId="16">
    <w:name w:val="toc 3"/>
    <w:basedOn w:val="1"/>
    <w:next w:val="1"/>
    <w:autoRedefine/>
    <w:semiHidden/>
    <w:unhideWhenUsed/>
    <w:qFormat/>
    <w:uiPriority w:val="39"/>
    <w:pPr>
      <w:spacing w:after="100" w:line="256" w:lineRule="auto"/>
      <w:ind w:left="440"/>
    </w:pPr>
    <w:rPr>
      <w:sz w:val="22"/>
    </w:rPr>
  </w:style>
  <w:style w:type="paragraph" w:styleId="17">
    <w:name w:val="Plain Text"/>
    <w:basedOn w:val="1"/>
    <w:link w:val="58"/>
    <w:semiHidden/>
    <w:unhideWhenUsed/>
    <w:qFormat/>
    <w:uiPriority w:val="0"/>
    <w:rPr>
      <w:rFonts w:ascii="宋体" w:hAnsi="Courier New" w:cs="Courier New"/>
      <w:szCs w:val="21"/>
    </w:rPr>
  </w:style>
  <w:style w:type="paragraph" w:styleId="18">
    <w:name w:val="Date"/>
    <w:basedOn w:val="1"/>
    <w:next w:val="1"/>
    <w:link w:val="56"/>
    <w:semiHidden/>
    <w:unhideWhenUsed/>
    <w:qFormat/>
    <w:uiPriority w:val="99"/>
    <w:pPr>
      <w:ind w:left="100" w:leftChars="2500"/>
    </w:pPr>
    <w:rPr>
      <w:rFonts w:cs="Calibri"/>
    </w:rPr>
  </w:style>
  <w:style w:type="paragraph" w:styleId="19">
    <w:name w:val="Body Text Indent 2"/>
    <w:basedOn w:val="1"/>
    <w:unhideWhenUsed/>
    <w:qFormat/>
    <w:uiPriority w:val="0"/>
    <w:pPr>
      <w:spacing w:before="320" w:after="320" w:line="440" w:lineRule="atLeast"/>
      <w:ind w:firstLine="480" w:firstLineChars="200"/>
    </w:pPr>
    <w:rPr>
      <w:rFonts w:ascii="Times New Roman" w:hAnsi="Times New Roman" w:eastAsia="等线" w:cs="Times New Roman"/>
      <w:bCs/>
      <w:sz w:val="20"/>
      <w:szCs w:val="20"/>
    </w:rPr>
  </w:style>
  <w:style w:type="paragraph" w:styleId="20">
    <w:name w:val="Balloon Text"/>
    <w:basedOn w:val="1"/>
    <w:link w:val="60"/>
    <w:semiHidden/>
    <w:unhideWhenUsed/>
    <w:qFormat/>
    <w:uiPriority w:val="0"/>
    <w:rPr>
      <w:rFonts w:ascii="Times New Roman" w:hAnsi="Times New Roman"/>
      <w:kern w:val="0"/>
      <w:sz w:val="18"/>
      <w:szCs w:val="18"/>
    </w:rPr>
  </w:style>
  <w:style w:type="paragraph" w:styleId="21">
    <w:name w:val="footer"/>
    <w:basedOn w:val="1"/>
    <w:link w:val="53"/>
    <w:unhideWhenUsed/>
    <w:qFormat/>
    <w:uiPriority w:val="0"/>
    <w:pPr>
      <w:widowControl/>
      <w:tabs>
        <w:tab w:val="center" w:pos="4680"/>
        <w:tab w:val="right" w:pos="9360"/>
      </w:tabs>
      <w:jc w:val="left"/>
    </w:pPr>
    <w:rPr>
      <w:rFonts w:ascii="等线" w:hAnsi="等线" w:eastAsia="等线"/>
      <w:kern w:val="0"/>
      <w:sz w:val="22"/>
    </w:rPr>
  </w:style>
  <w:style w:type="paragraph" w:styleId="22">
    <w:name w:val="header"/>
    <w:basedOn w:val="1"/>
    <w:link w:val="52"/>
    <w:unhideWhenUsed/>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23">
    <w:name w:val="toc 1"/>
    <w:basedOn w:val="1"/>
    <w:next w:val="1"/>
    <w:autoRedefine/>
    <w:semiHidden/>
    <w:unhideWhenUsed/>
    <w:qFormat/>
    <w:uiPriority w:val="39"/>
    <w:pPr>
      <w:spacing w:after="100" w:line="256" w:lineRule="auto"/>
    </w:pPr>
    <w:rPr>
      <w:sz w:val="22"/>
    </w:rPr>
  </w:style>
  <w:style w:type="paragraph" w:styleId="24">
    <w:name w:val="toc 4"/>
    <w:basedOn w:val="1"/>
    <w:next w:val="1"/>
    <w:qFormat/>
    <w:uiPriority w:val="39"/>
    <w:pPr>
      <w:ind w:left="720"/>
      <w:jc w:val="left"/>
    </w:pPr>
    <w:rPr>
      <w:rFonts w:ascii="等线" w:eastAsia="等线"/>
      <w:sz w:val="18"/>
      <w:szCs w:val="18"/>
    </w:rPr>
  </w:style>
  <w:style w:type="paragraph" w:styleId="25">
    <w:name w:val="toc 2"/>
    <w:basedOn w:val="1"/>
    <w:next w:val="1"/>
    <w:autoRedefine/>
    <w:semiHidden/>
    <w:unhideWhenUsed/>
    <w:qFormat/>
    <w:uiPriority w:val="39"/>
    <w:pPr>
      <w:spacing w:after="100" w:line="256" w:lineRule="auto"/>
      <w:ind w:left="220"/>
    </w:pPr>
    <w:rPr>
      <w:sz w:val="22"/>
    </w:rPr>
  </w:style>
  <w:style w:type="paragraph" w:styleId="26">
    <w:name w:val="HTML Preformatted"/>
    <w:basedOn w:val="1"/>
    <w:link w:val="4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27">
    <w:name w:val="Normal (Web)"/>
    <w:basedOn w:val="1"/>
    <w:semiHidden/>
    <w:unhideWhenUsed/>
    <w:qFormat/>
    <w:uiPriority w:val="0"/>
    <w:pPr>
      <w:widowControl/>
      <w:spacing w:before="100" w:beforeAutospacing="1" w:after="100" w:afterAutospacing="1"/>
      <w:jc w:val="left"/>
    </w:pPr>
    <w:rPr>
      <w:rFonts w:ascii="宋体" w:hAnsi="宋体" w:cs="宋体"/>
      <w:kern w:val="0"/>
      <w:sz w:val="24"/>
      <w:szCs w:val="24"/>
    </w:rPr>
  </w:style>
  <w:style w:type="paragraph" w:styleId="28">
    <w:name w:val="annotation subject"/>
    <w:basedOn w:val="10"/>
    <w:next w:val="10"/>
    <w:link w:val="59"/>
    <w:semiHidden/>
    <w:unhideWhenUsed/>
    <w:qFormat/>
    <w:uiPriority w:val="99"/>
    <w:rPr>
      <w:b/>
      <w:bCs/>
    </w:rPr>
  </w:style>
  <w:style w:type="paragraph" w:styleId="29">
    <w:name w:val="Body Text First Indent"/>
    <w:basedOn w:val="14"/>
    <w:qFormat/>
    <w:uiPriority w:val="0"/>
    <w:pPr>
      <w:spacing w:line="360" w:lineRule="auto"/>
      <w:ind w:firstLine="200" w:firstLineChars="200"/>
    </w:pPr>
    <w:rPr>
      <w:rFonts w:ascii="仿宋_GB2312" w:eastAsia="仿宋_GB2312"/>
      <w:sz w:val="30"/>
      <w:szCs w:val="30"/>
    </w:rPr>
  </w:style>
  <w:style w:type="paragraph" w:styleId="30">
    <w:name w:val="Body Text First Indent 2"/>
    <w:basedOn w:val="15"/>
    <w:next w:val="1"/>
    <w:link w:val="57"/>
    <w:semiHidden/>
    <w:unhideWhenUsed/>
    <w:qFormat/>
    <w:uiPriority w:val="99"/>
    <w:pPr>
      <w:keepNext/>
      <w:keepLines/>
      <w:spacing w:line="380" w:lineRule="exact"/>
      <w:ind w:firstLine="480" w:firstLineChars="200"/>
      <w:outlineLvl w:val="3"/>
    </w:pPr>
    <w:rPr>
      <w:rFonts w:eastAsia="方正书宋简体"/>
      <w:b/>
      <w:bCs/>
      <w:sz w:val="28"/>
      <w:szCs w:val="28"/>
    </w:rPr>
  </w:style>
  <w:style w:type="table" w:styleId="32">
    <w:name w:val="Table Grid"/>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0"/>
    <w:rPr>
      <w:b/>
      <w:bCs/>
    </w:rPr>
  </w:style>
  <w:style w:type="character" w:styleId="35">
    <w:name w:val="FollowedHyperlink"/>
    <w:semiHidden/>
    <w:unhideWhenUsed/>
    <w:qFormat/>
    <w:uiPriority w:val="99"/>
    <w:rPr>
      <w:color w:val="800080"/>
      <w:u w:val="single"/>
    </w:rPr>
  </w:style>
  <w:style w:type="character" w:styleId="36">
    <w:name w:val="Emphasis"/>
    <w:basedOn w:val="33"/>
    <w:qFormat/>
    <w:uiPriority w:val="0"/>
    <w:rPr>
      <w:i/>
    </w:rPr>
  </w:style>
  <w:style w:type="character" w:styleId="37">
    <w:name w:val="Hyperlink"/>
    <w:semiHidden/>
    <w:unhideWhenUsed/>
    <w:qFormat/>
    <w:uiPriority w:val="99"/>
    <w:rPr>
      <w:color w:val="0000FF"/>
      <w:u w:val="single"/>
    </w:rPr>
  </w:style>
  <w:style w:type="character" w:styleId="38">
    <w:name w:val="annotation reference"/>
    <w:semiHidden/>
    <w:unhideWhenUsed/>
    <w:qFormat/>
    <w:uiPriority w:val="0"/>
    <w:rPr>
      <w:sz w:val="21"/>
      <w:szCs w:val="21"/>
    </w:rPr>
  </w:style>
  <w:style w:type="paragraph" w:customStyle="1" w:styleId="39">
    <w:name w:val="Default"/>
    <w:autoRedefine/>
    <w:qFormat/>
    <w:uiPriority w:val="0"/>
    <w:pPr>
      <w:widowControl w:val="0"/>
      <w:autoSpaceDE w:val="0"/>
      <w:autoSpaceDN w:val="0"/>
      <w:adjustRightInd w:val="0"/>
      <w:spacing w:line="460" w:lineRule="exact"/>
    </w:pPr>
    <w:rPr>
      <w:rFonts w:ascii="方正仿宋_GBK" w:hAnsi="方正仿宋_GBK" w:eastAsia="方正仿宋_GBK" w:cs="方正仿宋_GBK"/>
      <w:b/>
      <w:color w:val="000000"/>
      <w:sz w:val="28"/>
      <w:szCs w:val="28"/>
      <w:lang w:val="en-US" w:eastAsia="zh-CN" w:bidi="ar-SA"/>
    </w:rPr>
  </w:style>
  <w:style w:type="paragraph" w:customStyle="1" w:styleId="4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1">
    <w:name w:val="正文_21"/>
    <w:next w:val="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标题 4_0"/>
    <w:basedOn w:val="41"/>
    <w:next w:val="41"/>
    <w:unhideWhenUsed/>
    <w:qFormat/>
    <w:uiPriority w:val="9"/>
    <w:pPr>
      <w:keepNext/>
      <w:keepLines/>
      <w:spacing w:before="280" w:after="290" w:line="376" w:lineRule="auto"/>
      <w:outlineLvl w:val="3"/>
    </w:pPr>
    <w:rPr>
      <w:rFonts w:eastAsia="华文仿宋"/>
      <w:b/>
      <w:bCs/>
      <w:sz w:val="28"/>
      <w:szCs w:val="28"/>
    </w:rPr>
  </w:style>
  <w:style w:type="character" w:customStyle="1" w:styleId="43">
    <w:name w:val="标题 1 Char"/>
    <w:basedOn w:val="33"/>
    <w:link w:val="2"/>
    <w:qFormat/>
    <w:uiPriority w:val="0"/>
    <w:rPr>
      <w:rFonts w:ascii="Times New Roman" w:hAnsi="Times New Roman" w:eastAsia="黑体" w:cs="Times New Roman"/>
      <w:bCs/>
      <w:kern w:val="32"/>
      <w:sz w:val="36"/>
      <w:szCs w:val="48"/>
    </w:rPr>
  </w:style>
  <w:style w:type="character" w:customStyle="1" w:styleId="44">
    <w:name w:val="标题 2 Char"/>
    <w:basedOn w:val="33"/>
    <w:link w:val="3"/>
    <w:semiHidden/>
    <w:qFormat/>
    <w:uiPriority w:val="0"/>
    <w:rPr>
      <w:rFonts w:ascii="Times New Roman" w:hAnsi="Times New Roman" w:eastAsia="仿宋_GB2312" w:cs="Times New Roman"/>
      <w:b/>
      <w:bCs/>
      <w:iCs/>
      <w:sz w:val="24"/>
      <w:szCs w:val="36"/>
    </w:rPr>
  </w:style>
  <w:style w:type="character" w:customStyle="1" w:styleId="45">
    <w:name w:val="标题 3 Char"/>
    <w:basedOn w:val="33"/>
    <w:link w:val="4"/>
    <w:semiHidden/>
    <w:qFormat/>
    <w:uiPriority w:val="0"/>
    <w:rPr>
      <w:rFonts w:ascii="Times New Roman" w:hAnsi="Times New Roman" w:eastAsia="Times New Roman" w:cs="Times New Roman"/>
      <w:b/>
      <w:bCs/>
      <w:sz w:val="28"/>
      <w:szCs w:val="28"/>
    </w:rPr>
  </w:style>
  <w:style w:type="character" w:customStyle="1" w:styleId="46">
    <w:name w:val="标题 4 Char"/>
    <w:basedOn w:val="33"/>
    <w:link w:val="5"/>
    <w:semiHidden/>
    <w:qFormat/>
    <w:uiPriority w:val="0"/>
    <w:rPr>
      <w:rFonts w:ascii="Times New Roman" w:hAnsi="Times New Roman" w:eastAsia="Times New Roman" w:cs="Times New Roman"/>
      <w:b/>
      <w:bCs/>
      <w:sz w:val="24"/>
      <w:szCs w:val="24"/>
    </w:rPr>
  </w:style>
  <w:style w:type="character" w:customStyle="1" w:styleId="47">
    <w:name w:val="标题 5 Char"/>
    <w:basedOn w:val="33"/>
    <w:link w:val="6"/>
    <w:semiHidden/>
    <w:qFormat/>
    <w:uiPriority w:val="0"/>
    <w:rPr>
      <w:rFonts w:ascii="Times New Roman" w:hAnsi="Times New Roman" w:eastAsia="Times New Roman" w:cs="Times New Roman"/>
      <w:b/>
      <w:bCs/>
      <w:iCs/>
      <w:sz w:val="20"/>
      <w:szCs w:val="20"/>
    </w:rPr>
  </w:style>
  <w:style w:type="character" w:customStyle="1" w:styleId="48">
    <w:name w:val="标题 6 Char"/>
    <w:basedOn w:val="33"/>
    <w:link w:val="7"/>
    <w:semiHidden/>
    <w:qFormat/>
    <w:uiPriority w:val="0"/>
    <w:rPr>
      <w:rFonts w:ascii="Times New Roman" w:hAnsi="Times New Roman" w:eastAsia="Times New Roman" w:cs="Times New Roman"/>
      <w:b/>
      <w:bCs/>
      <w:sz w:val="16"/>
      <w:szCs w:val="16"/>
    </w:rPr>
  </w:style>
  <w:style w:type="character" w:customStyle="1" w:styleId="49">
    <w:name w:val="HTML 预设格式 Char"/>
    <w:basedOn w:val="33"/>
    <w:link w:val="26"/>
    <w:semiHidden/>
    <w:qFormat/>
    <w:uiPriority w:val="99"/>
    <w:rPr>
      <w:rFonts w:ascii="宋体" w:hAnsi="宋体" w:eastAsia="宋体" w:cs="Times New Roman"/>
      <w:kern w:val="0"/>
      <w:sz w:val="24"/>
      <w:szCs w:val="24"/>
    </w:rPr>
  </w:style>
  <w:style w:type="paragraph" w:customStyle="1" w:styleId="50">
    <w:name w:val="msonormal"/>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51">
    <w:name w:val="批注文字 Char"/>
    <w:basedOn w:val="33"/>
    <w:link w:val="10"/>
    <w:semiHidden/>
    <w:qFormat/>
    <w:uiPriority w:val="99"/>
    <w:rPr>
      <w:rFonts w:ascii="Calibri" w:hAnsi="Calibri" w:eastAsia="宋体" w:cs="Times New Roman"/>
    </w:rPr>
  </w:style>
  <w:style w:type="character" w:customStyle="1" w:styleId="52">
    <w:name w:val="页眉 Char"/>
    <w:basedOn w:val="33"/>
    <w:link w:val="22"/>
    <w:qFormat/>
    <w:uiPriority w:val="0"/>
    <w:rPr>
      <w:rFonts w:ascii="Times New Roman" w:hAnsi="Times New Roman" w:eastAsia="宋体" w:cs="Times New Roman"/>
      <w:kern w:val="0"/>
      <w:sz w:val="18"/>
      <w:szCs w:val="18"/>
    </w:rPr>
  </w:style>
  <w:style w:type="character" w:customStyle="1" w:styleId="53">
    <w:name w:val="页脚 Char"/>
    <w:basedOn w:val="33"/>
    <w:link w:val="21"/>
    <w:qFormat/>
    <w:uiPriority w:val="0"/>
    <w:rPr>
      <w:rFonts w:ascii="等线" w:hAnsi="等线" w:eastAsia="等线" w:cs="Times New Roman"/>
      <w:kern w:val="0"/>
      <w:sz w:val="22"/>
    </w:rPr>
  </w:style>
  <w:style w:type="character" w:customStyle="1" w:styleId="54">
    <w:name w:val="正文文本 Char"/>
    <w:basedOn w:val="33"/>
    <w:link w:val="14"/>
    <w:semiHidden/>
    <w:qFormat/>
    <w:uiPriority w:val="0"/>
    <w:rPr>
      <w:rFonts w:ascii="Calibri" w:hAnsi="Calibri" w:eastAsia="宋体" w:cs="Times New Roman"/>
    </w:rPr>
  </w:style>
  <w:style w:type="character" w:customStyle="1" w:styleId="55">
    <w:name w:val="正文文本缩进 Char"/>
    <w:basedOn w:val="33"/>
    <w:link w:val="15"/>
    <w:semiHidden/>
    <w:qFormat/>
    <w:uiPriority w:val="99"/>
    <w:rPr>
      <w:rFonts w:ascii="Calibri" w:hAnsi="Calibri" w:eastAsia="宋体" w:cs="Times New Roman"/>
    </w:rPr>
  </w:style>
  <w:style w:type="character" w:customStyle="1" w:styleId="56">
    <w:name w:val="日期 Char"/>
    <w:basedOn w:val="33"/>
    <w:link w:val="18"/>
    <w:semiHidden/>
    <w:qFormat/>
    <w:uiPriority w:val="99"/>
    <w:rPr>
      <w:rFonts w:ascii="Calibri" w:hAnsi="Calibri" w:eastAsia="宋体" w:cs="Calibri"/>
    </w:rPr>
  </w:style>
  <w:style w:type="character" w:customStyle="1" w:styleId="57">
    <w:name w:val="正文首行缩进 2 Char"/>
    <w:basedOn w:val="55"/>
    <w:link w:val="30"/>
    <w:semiHidden/>
    <w:qFormat/>
    <w:uiPriority w:val="99"/>
    <w:rPr>
      <w:rFonts w:ascii="Calibri" w:hAnsi="Calibri" w:eastAsia="方正书宋简体" w:cs="Times New Roman"/>
      <w:b/>
      <w:bCs/>
      <w:sz w:val="28"/>
      <w:szCs w:val="28"/>
    </w:rPr>
  </w:style>
  <w:style w:type="character" w:customStyle="1" w:styleId="58">
    <w:name w:val="纯文本 Char"/>
    <w:basedOn w:val="33"/>
    <w:link w:val="17"/>
    <w:semiHidden/>
    <w:qFormat/>
    <w:uiPriority w:val="0"/>
    <w:rPr>
      <w:rFonts w:ascii="宋体" w:hAnsi="Courier New" w:eastAsia="宋体" w:cs="Courier New"/>
      <w:szCs w:val="21"/>
    </w:rPr>
  </w:style>
  <w:style w:type="character" w:customStyle="1" w:styleId="59">
    <w:name w:val="批注主题 Char"/>
    <w:basedOn w:val="51"/>
    <w:link w:val="28"/>
    <w:semiHidden/>
    <w:qFormat/>
    <w:uiPriority w:val="99"/>
    <w:rPr>
      <w:rFonts w:ascii="Calibri" w:hAnsi="Calibri" w:eastAsia="宋体" w:cs="Times New Roman"/>
      <w:b/>
      <w:bCs/>
    </w:rPr>
  </w:style>
  <w:style w:type="character" w:customStyle="1" w:styleId="60">
    <w:name w:val="批注框文本 Char"/>
    <w:basedOn w:val="33"/>
    <w:link w:val="20"/>
    <w:semiHidden/>
    <w:qFormat/>
    <w:uiPriority w:val="0"/>
    <w:rPr>
      <w:rFonts w:ascii="Times New Roman" w:hAnsi="Times New Roman" w:eastAsia="宋体" w:cs="Times New Roman"/>
      <w:kern w:val="0"/>
      <w:sz w:val="18"/>
      <w:szCs w:val="18"/>
    </w:rPr>
  </w:style>
  <w:style w:type="paragraph" w:styleId="61">
    <w:name w:val="No Spacing"/>
    <w:basedOn w:val="1"/>
    <w:qFormat/>
    <w:uiPriority w:val="1"/>
  </w:style>
  <w:style w:type="paragraph" w:styleId="62">
    <w:name w:val="List Paragraph"/>
    <w:basedOn w:val="1"/>
    <w:qFormat/>
    <w:uiPriority w:val="99"/>
    <w:pPr>
      <w:ind w:firstLine="420" w:firstLineChars="200"/>
    </w:pPr>
  </w:style>
  <w:style w:type="paragraph" w:customStyle="1" w:styleId="63">
    <w:name w:val="TOC 标题1"/>
    <w:basedOn w:val="2"/>
    <w:next w:val="1"/>
    <w:semiHidden/>
    <w:unhideWhenUsed/>
    <w:qFormat/>
    <w:uiPriority w:val="39"/>
    <w:pPr>
      <w:keepLines/>
      <w:spacing w:after="0" w:line="256" w:lineRule="auto"/>
      <w:outlineLvl w:val="9"/>
    </w:pPr>
    <w:rPr>
      <w:rFonts w:ascii="Calibri Light" w:hAnsi="Calibri Light" w:eastAsia="宋体"/>
      <w:bCs w:val="0"/>
      <w:color w:val="2E74B5"/>
      <w:kern w:val="0"/>
      <w:sz w:val="32"/>
      <w:szCs w:val="32"/>
    </w:rPr>
  </w:style>
  <w:style w:type="paragraph" w:customStyle="1" w:styleId="64">
    <w:name w:val="正文_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Normal_18"/>
    <w:qFormat/>
    <w:uiPriority w:val="0"/>
    <w:rPr>
      <w:rFonts w:ascii="Times New Roman" w:hAnsi="Times New Roman" w:eastAsia="Times New Roman" w:cs="Times New Roman"/>
      <w:sz w:val="24"/>
      <w:szCs w:val="24"/>
      <w:lang w:val="en-US" w:eastAsia="zh-CN" w:bidi="ar-SA"/>
    </w:rPr>
  </w:style>
  <w:style w:type="paragraph" w:customStyle="1" w:styleId="66">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Normal_8"/>
    <w:qFormat/>
    <w:uiPriority w:val="0"/>
    <w:rPr>
      <w:rFonts w:ascii="Times New Roman" w:hAnsi="Times New Roman" w:eastAsia="Times New Roman" w:cs="Times New Roman"/>
      <w:sz w:val="24"/>
      <w:szCs w:val="24"/>
      <w:lang w:val="en-US" w:eastAsia="zh-CN" w:bidi="ar-SA"/>
    </w:rPr>
  </w:style>
  <w:style w:type="paragraph" w:customStyle="1" w:styleId="68">
    <w:name w:val="正文_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Normal_20"/>
    <w:qFormat/>
    <w:uiPriority w:val="0"/>
    <w:rPr>
      <w:rFonts w:ascii="Times New Roman" w:hAnsi="Times New Roman" w:eastAsia="Times New Roman" w:cs="Times New Roman"/>
      <w:sz w:val="24"/>
      <w:szCs w:val="24"/>
      <w:lang w:val="en-US" w:eastAsia="zh-CN" w:bidi="ar-SA"/>
    </w:rPr>
  </w:style>
  <w:style w:type="paragraph" w:customStyle="1" w:styleId="70">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
    <w:name w:val="Normal_22"/>
    <w:qFormat/>
    <w:uiPriority w:val="0"/>
    <w:rPr>
      <w:rFonts w:ascii="Times New Roman" w:hAnsi="Times New Roman" w:eastAsia="Times New Roman" w:cs="Times New Roman"/>
      <w:sz w:val="24"/>
      <w:szCs w:val="24"/>
      <w:lang w:val="en-US" w:eastAsia="zh-CN" w:bidi="ar-SA"/>
    </w:rPr>
  </w:style>
  <w:style w:type="paragraph" w:customStyle="1" w:styleId="72">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3">
    <w:name w:val="Normal_28"/>
    <w:qFormat/>
    <w:uiPriority w:val="0"/>
    <w:rPr>
      <w:rFonts w:ascii="Times New Roman" w:hAnsi="Times New Roman" w:eastAsia="Times New Roman" w:cs="Times New Roman"/>
      <w:sz w:val="24"/>
      <w:szCs w:val="24"/>
      <w:lang w:val="en-US" w:eastAsia="zh-CN" w:bidi="ar-SA"/>
    </w:rPr>
  </w:style>
  <w:style w:type="paragraph" w:customStyle="1" w:styleId="74">
    <w:name w:val="Normal_6"/>
    <w:qFormat/>
    <w:uiPriority w:val="0"/>
    <w:rPr>
      <w:rFonts w:ascii="Times New Roman" w:hAnsi="Times New Roman" w:eastAsia="Times New Roman" w:cs="Times New Roman"/>
      <w:sz w:val="24"/>
      <w:szCs w:val="24"/>
      <w:lang w:val="en-US" w:eastAsia="zh-CN" w:bidi="ar-SA"/>
    </w:rPr>
  </w:style>
  <w:style w:type="paragraph" w:customStyle="1" w:styleId="75">
    <w:name w:val="Normal_21"/>
    <w:qFormat/>
    <w:uiPriority w:val="0"/>
    <w:rPr>
      <w:rFonts w:ascii="Times New Roman" w:hAnsi="Times New Roman" w:eastAsia="Times New Roman" w:cs="Times New Roman"/>
      <w:sz w:val="24"/>
      <w:szCs w:val="24"/>
      <w:lang w:val="en-US" w:eastAsia="zh-CN" w:bidi="ar-SA"/>
    </w:rPr>
  </w:style>
  <w:style w:type="paragraph" w:customStyle="1" w:styleId="76">
    <w:name w:val="正文_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
    <w:name w:val="p_1"/>
    <w:basedOn w:val="71"/>
    <w:qFormat/>
    <w:uiPriority w:val="0"/>
    <w:pPr>
      <w:spacing w:line="360" w:lineRule="auto"/>
      <w:jc w:val="both"/>
    </w:pPr>
  </w:style>
  <w:style w:type="paragraph" w:customStyle="1" w:styleId="78">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9">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0">
    <w:name w:val="Normal_2"/>
    <w:qFormat/>
    <w:uiPriority w:val="0"/>
    <w:rPr>
      <w:rFonts w:ascii="Times New Roman" w:hAnsi="Times New Roman" w:eastAsia="Times New Roman" w:cs="Times New Roman"/>
      <w:sz w:val="24"/>
      <w:szCs w:val="24"/>
      <w:lang w:val="en-US" w:eastAsia="zh-CN" w:bidi="ar-SA"/>
    </w:rPr>
  </w:style>
  <w:style w:type="paragraph" w:customStyle="1" w:styleId="81">
    <w:name w:val="Normal_0_0"/>
    <w:qFormat/>
    <w:uiPriority w:val="0"/>
    <w:rPr>
      <w:rFonts w:ascii="Times New Roman" w:hAnsi="Times New Roman" w:eastAsia="Times New Roman" w:cs="Times New Roman"/>
      <w:sz w:val="24"/>
      <w:szCs w:val="24"/>
      <w:lang w:val="en-US" w:eastAsia="zh-CN" w:bidi="ar-SA"/>
    </w:rPr>
  </w:style>
  <w:style w:type="paragraph" w:customStyle="1" w:styleId="82">
    <w:name w:val="Normal_9"/>
    <w:qFormat/>
    <w:uiPriority w:val="0"/>
    <w:rPr>
      <w:rFonts w:ascii="Times New Roman" w:hAnsi="Times New Roman" w:eastAsia="Times New Roman" w:cs="Times New Roman"/>
      <w:sz w:val="24"/>
      <w:szCs w:val="24"/>
      <w:lang w:val="en-US" w:eastAsia="zh-CN" w:bidi="ar-SA"/>
    </w:rPr>
  </w:style>
  <w:style w:type="paragraph" w:customStyle="1" w:styleId="83">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4">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Normal_13"/>
    <w:qFormat/>
    <w:uiPriority w:val="0"/>
    <w:rPr>
      <w:rFonts w:ascii="Times New Roman" w:hAnsi="Times New Roman" w:eastAsia="Times New Roman" w:cs="Times New Roman"/>
      <w:sz w:val="24"/>
      <w:szCs w:val="24"/>
      <w:lang w:val="en-US" w:eastAsia="zh-CN" w:bidi="ar-SA"/>
    </w:rPr>
  </w:style>
  <w:style w:type="paragraph" w:customStyle="1" w:styleId="86">
    <w:name w:val="Normal_5"/>
    <w:qFormat/>
    <w:uiPriority w:val="0"/>
    <w:rPr>
      <w:rFonts w:ascii="Times New Roman" w:hAnsi="Times New Roman" w:eastAsia="Times New Roman" w:cs="Times New Roman"/>
      <w:sz w:val="24"/>
      <w:szCs w:val="24"/>
      <w:lang w:val="en-US" w:eastAsia="zh-CN" w:bidi="ar-SA"/>
    </w:rPr>
  </w:style>
  <w:style w:type="paragraph" w:customStyle="1" w:styleId="87">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8">
    <w:name w:val="Normal_14"/>
    <w:qFormat/>
    <w:uiPriority w:val="0"/>
    <w:rPr>
      <w:rFonts w:ascii="Times New Roman" w:hAnsi="Times New Roman" w:eastAsia="Times New Roman" w:cs="Times New Roman"/>
      <w:sz w:val="24"/>
      <w:szCs w:val="24"/>
      <w:lang w:val="en-US" w:eastAsia="zh-CN" w:bidi="ar-SA"/>
    </w:rPr>
  </w:style>
  <w:style w:type="paragraph" w:customStyle="1" w:styleId="89">
    <w:name w:val="Normal_25"/>
    <w:qFormat/>
    <w:uiPriority w:val="0"/>
    <w:rPr>
      <w:rFonts w:ascii="Times New Roman" w:hAnsi="Times New Roman" w:eastAsia="Times New Roman" w:cs="Times New Roman"/>
      <w:sz w:val="24"/>
      <w:szCs w:val="24"/>
      <w:lang w:val="en-US" w:eastAsia="zh-CN" w:bidi="ar-SA"/>
    </w:rPr>
  </w:style>
  <w:style w:type="paragraph" w:customStyle="1" w:styleId="90">
    <w:name w:val="正文_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1">
    <w:name w:val="Normal_23"/>
    <w:qFormat/>
    <w:uiPriority w:val="0"/>
    <w:rPr>
      <w:rFonts w:ascii="Times New Roman" w:hAnsi="Times New Roman" w:eastAsia="Times New Roman" w:cs="Times New Roman"/>
      <w:sz w:val="24"/>
      <w:szCs w:val="24"/>
      <w:lang w:val="en-US" w:eastAsia="zh-CN" w:bidi="ar-SA"/>
    </w:rPr>
  </w:style>
  <w:style w:type="paragraph" w:customStyle="1" w:styleId="92">
    <w:name w:val="Normal_3"/>
    <w:qFormat/>
    <w:uiPriority w:val="0"/>
    <w:rPr>
      <w:rFonts w:ascii="Times New Roman" w:hAnsi="Times New Roman" w:eastAsia="Times New Roman" w:cs="Times New Roman"/>
      <w:sz w:val="24"/>
      <w:szCs w:val="24"/>
      <w:lang w:val="en-US" w:eastAsia="zh-CN" w:bidi="ar-SA"/>
    </w:rPr>
  </w:style>
  <w:style w:type="paragraph" w:customStyle="1" w:styleId="93">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4">
    <w:name w:val="_Style 2"/>
    <w:basedOn w:val="2"/>
    <w:next w:val="1"/>
    <w:qFormat/>
    <w:uiPriority w:val="39"/>
    <w:pPr>
      <w:keepLines/>
      <w:spacing w:after="0" w:line="256" w:lineRule="auto"/>
      <w:outlineLvl w:val="9"/>
    </w:pPr>
    <w:rPr>
      <w:rFonts w:ascii="Calibri Light" w:hAnsi="Calibri Light" w:eastAsia="宋体"/>
      <w:bCs w:val="0"/>
      <w:color w:val="2E74B5"/>
      <w:kern w:val="0"/>
      <w:sz w:val="32"/>
      <w:szCs w:val="32"/>
    </w:rPr>
  </w:style>
  <w:style w:type="paragraph" w:customStyle="1" w:styleId="95">
    <w:name w:val="p_0"/>
    <w:basedOn w:val="69"/>
    <w:qFormat/>
    <w:uiPriority w:val="0"/>
    <w:pPr>
      <w:spacing w:line="360" w:lineRule="auto"/>
      <w:jc w:val="both"/>
    </w:pPr>
  </w:style>
  <w:style w:type="paragraph" w:customStyle="1" w:styleId="96">
    <w:name w:val="Normal_12"/>
    <w:qFormat/>
    <w:uiPriority w:val="0"/>
    <w:rPr>
      <w:rFonts w:ascii="Times New Roman" w:hAnsi="Times New Roman" w:eastAsia="Times New Roman" w:cs="Times New Roman"/>
      <w:sz w:val="24"/>
      <w:szCs w:val="24"/>
      <w:lang w:val="en-US" w:eastAsia="zh-CN" w:bidi="ar-SA"/>
    </w:rPr>
  </w:style>
  <w:style w:type="paragraph" w:customStyle="1" w:styleId="97">
    <w:name w:val="Normal_26"/>
    <w:qFormat/>
    <w:uiPriority w:val="0"/>
    <w:rPr>
      <w:rFonts w:ascii="Times New Roman" w:hAnsi="Times New Roman" w:eastAsia="Times New Roman" w:cs="Times New Roman"/>
      <w:sz w:val="24"/>
      <w:szCs w:val="24"/>
      <w:lang w:val="en-US" w:eastAsia="zh-CN" w:bidi="ar-SA"/>
    </w:rPr>
  </w:style>
  <w:style w:type="paragraph" w:customStyle="1" w:styleId="98">
    <w:name w:val="Normal_29"/>
    <w:qFormat/>
    <w:uiPriority w:val="0"/>
    <w:rPr>
      <w:rFonts w:ascii="Times New Roman" w:hAnsi="Times New Roman" w:eastAsia="Times New Roman" w:cs="Times New Roman"/>
      <w:sz w:val="24"/>
      <w:szCs w:val="24"/>
      <w:lang w:val="en-US" w:eastAsia="zh-CN" w:bidi="ar-SA"/>
    </w:rPr>
  </w:style>
  <w:style w:type="paragraph" w:customStyle="1" w:styleId="99">
    <w:name w:val="Normal_16"/>
    <w:qFormat/>
    <w:uiPriority w:val="0"/>
    <w:rPr>
      <w:rFonts w:ascii="Times New Roman" w:hAnsi="Times New Roman" w:eastAsia="Times New Roman" w:cs="Times New Roman"/>
      <w:sz w:val="24"/>
      <w:szCs w:val="24"/>
      <w:lang w:val="en-US" w:eastAsia="zh-CN" w:bidi="ar-SA"/>
    </w:rPr>
  </w:style>
  <w:style w:type="paragraph" w:customStyle="1" w:styleId="100">
    <w:name w:val="Normal_19"/>
    <w:qFormat/>
    <w:uiPriority w:val="0"/>
    <w:rPr>
      <w:rFonts w:ascii="Times New Roman" w:hAnsi="Times New Roman" w:eastAsia="Times New Roman" w:cs="Times New Roman"/>
      <w:sz w:val="24"/>
      <w:szCs w:val="24"/>
      <w:lang w:val="en-US" w:eastAsia="zh-CN" w:bidi="ar-SA"/>
    </w:rPr>
  </w:style>
  <w:style w:type="paragraph" w:customStyle="1" w:styleId="101">
    <w:name w:val="Normal_24"/>
    <w:qFormat/>
    <w:uiPriority w:val="0"/>
    <w:rPr>
      <w:rFonts w:ascii="Times New Roman" w:hAnsi="Times New Roman" w:eastAsia="Times New Roman" w:cs="Times New Roman"/>
      <w:sz w:val="24"/>
      <w:szCs w:val="24"/>
      <w:lang w:val="en-US" w:eastAsia="zh-CN" w:bidi="ar-SA"/>
    </w:rPr>
  </w:style>
  <w:style w:type="paragraph" w:customStyle="1" w:styleId="10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4">
    <w:name w:val="p_3"/>
    <w:basedOn w:val="97"/>
    <w:qFormat/>
    <w:uiPriority w:val="0"/>
    <w:pPr>
      <w:spacing w:line="360" w:lineRule="auto"/>
      <w:jc w:val="both"/>
    </w:pPr>
  </w:style>
  <w:style w:type="paragraph" w:customStyle="1" w:styleId="105">
    <w:name w:val="Normal_4"/>
    <w:qFormat/>
    <w:uiPriority w:val="0"/>
    <w:rPr>
      <w:rFonts w:ascii="Times New Roman" w:hAnsi="Times New Roman" w:eastAsia="Times New Roman" w:cs="Times New Roman"/>
      <w:sz w:val="24"/>
      <w:szCs w:val="24"/>
      <w:lang w:val="en-US" w:eastAsia="zh-CN" w:bidi="ar-SA"/>
    </w:rPr>
  </w:style>
  <w:style w:type="paragraph" w:customStyle="1" w:styleId="106">
    <w:name w:val="Normal_0"/>
    <w:qFormat/>
    <w:uiPriority w:val="0"/>
    <w:rPr>
      <w:rFonts w:ascii="Times New Roman" w:hAnsi="Times New Roman" w:eastAsia="Times New Roman" w:cs="Times New Roman"/>
      <w:sz w:val="24"/>
      <w:szCs w:val="24"/>
      <w:lang w:val="en-US" w:eastAsia="zh-CN" w:bidi="ar-SA"/>
    </w:rPr>
  </w:style>
  <w:style w:type="paragraph" w:customStyle="1" w:styleId="107">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8">
    <w:name w:val="Normal_15"/>
    <w:qFormat/>
    <w:uiPriority w:val="0"/>
    <w:rPr>
      <w:rFonts w:ascii="Times New Roman" w:hAnsi="Times New Roman" w:eastAsia="Times New Roman" w:cs="Times New Roman"/>
      <w:sz w:val="24"/>
      <w:szCs w:val="24"/>
      <w:lang w:val="en-US" w:eastAsia="zh-CN" w:bidi="ar-SA"/>
    </w:rPr>
  </w:style>
  <w:style w:type="paragraph" w:customStyle="1" w:styleId="109">
    <w:name w:val="Normal_17"/>
    <w:qFormat/>
    <w:uiPriority w:val="0"/>
    <w:rPr>
      <w:rFonts w:ascii="Times New Roman" w:hAnsi="Times New Roman" w:eastAsia="Times New Roman" w:cs="Times New Roman"/>
      <w:sz w:val="24"/>
      <w:szCs w:val="24"/>
      <w:lang w:val="en-US" w:eastAsia="zh-CN" w:bidi="ar-SA"/>
    </w:rPr>
  </w:style>
  <w:style w:type="paragraph" w:customStyle="1" w:styleId="110">
    <w:name w:val="p"/>
    <w:basedOn w:val="96"/>
    <w:qFormat/>
    <w:uiPriority w:val="0"/>
    <w:pPr>
      <w:spacing w:line="360" w:lineRule="auto"/>
      <w:jc w:val="both"/>
    </w:pPr>
  </w:style>
  <w:style w:type="paragraph" w:customStyle="1" w:styleId="111">
    <w:name w:val="Normal_31"/>
    <w:qFormat/>
    <w:uiPriority w:val="0"/>
    <w:rPr>
      <w:rFonts w:ascii="Times New Roman" w:hAnsi="Times New Roman" w:eastAsia="Times New Roman" w:cs="Times New Roman"/>
      <w:sz w:val="24"/>
      <w:szCs w:val="24"/>
      <w:lang w:val="en-US" w:eastAsia="zh-CN" w:bidi="ar-SA"/>
    </w:rPr>
  </w:style>
  <w:style w:type="paragraph" w:customStyle="1" w:styleId="112">
    <w:name w:val="Normal_11"/>
    <w:qFormat/>
    <w:uiPriority w:val="0"/>
    <w:rPr>
      <w:rFonts w:ascii="Times New Roman" w:hAnsi="Times New Roman" w:eastAsia="Times New Roman" w:cs="Times New Roman"/>
      <w:sz w:val="24"/>
      <w:szCs w:val="24"/>
      <w:lang w:val="en-US" w:eastAsia="zh-CN" w:bidi="ar-SA"/>
    </w:rPr>
  </w:style>
  <w:style w:type="paragraph" w:customStyle="1" w:styleId="113">
    <w:name w:val="Normal_10"/>
    <w:qFormat/>
    <w:uiPriority w:val="0"/>
    <w:rPr>
      <w:rFonts w:ascii="Times New Roman" w:hAnsi="Times New Roman" w:eastAsia="Times New Roman" w:cs="Times New Roman"/>
      <w:sz w:val="24"/>
      <w:szCs w:val="24"/>
      <w:lang w:val="en-US" w:eastAsia="zh-CN" w:bidi="ar-SA"/>
    </w:rPr>
  </w:style>
  <w:style w:type="paragraph" w:customStyle="1" w:styleId="114">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5">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6">
    <w:name w:val="Normal_7"/>
    <w:qFormat/>
    <w:uiPriority w:val="0"/>
    <w:rPr>
      <w:rFonts w:ascii="Times New Roman" w:hAnsi="Times New Roman" w:eastAsia="Times New Roman" w:cs="Times New Roman"/>
      <w:sz w:val="24"/>
      <w:szCs w:val="24"/>
      <w:lang w:val="en-US" w:eastAsia="zh-CN" w:bidi="ar-SA"/>
    </w:rPr>
  </w:style>
  <w:style w:type="paragraph" w:customStyle="1" w:styleId="117">
    <w:name w:val="p_2"/>
    <w:basedOn w:val="101"/>
    <w:qFormat/>
    <w:uiPriority w:val="0"/>
    <w:pPr>
      <w:spacing w:line="360" w:lineRule="auto"/>
      <w:jc w:val="both"/>
    </w:pPr>
  </w:style>
  <w:style w:type="paragraph" w:customStyle="1" w:styleId="11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9">
    <w:name w:val="Normal_1_0"/>
    <w:qFormat/>
    <w:uiPriority w:val="0"/>
    <w:rPr>
      <w:rFonts w:ascii="Times New Roman" w:hAnsi="Times New Roman" w:eastAsia="Times New Roman" w:cs="Times New Roman"/>
      <w:sz w:val="24"/>
      <w:szCs w:val="24"/>
      <w:lang w:val="en-US" w:eastAsia="zh-CN" w:bidi="ar-SA"/>
    </w:rPr>
  </w:style>
  <w:style w:type="paragraph" w:customStyle="1" w:styleId="120">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1">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2">
    <w:name w:val="Normal_27"/>
    <w:qFormat/>
    <w:uiPriority w:val="0"/>
    <w:rPr>
      <w:rFonts w:ascii="Times New Roman" w:hAnsi="Times New Roman" w:eastAsia="Times New Roman" w:cs="Times New Roman"/>
      <w:sz w:val="24"/>
      <w:szCs w:val="24"/>
      <w:lang w:val="en-US" w:eastAsia="zh-CN" w:bidi="ar-SA"/>
    </w:rPr>
  </w:style>
  <w:style w:type="paragraph" w:customStyle="1" w:styleId="123">
    <w:name w:val="Normal_1"/>
    <w:qFormat/>
    <w:uiPriority w:val="0"/>
    <w:rPr>
      <w:rFonts w:ascii="Times New Roman" w:hAnsi="Times New Roman" w:eastAsia="Times New Roman" w:cs="Times New Roman"/>
      <w:sz w:val="24"/>
      <w:szCs w:val="24"/>
      <w:lang w:val="en-US" w:eastAsia="zh-CN" w:bidi="ar-SA"/>
    </w:rPr>
  </w:style>
  <w:style w:type="paragraph" w:customStyle="1" w:styleId="124">
    <w:name w:val="Normal_33"/>
    <w:qFormat/>
    <w:uiPriority w:val="0"/>
    <w:rPr>
      <w:rFonts w:ascii="Times New Roman" w:hAnsi="Times New Roman" w:eastAsia="Times New Roman" w:cs="Times New Roman"/>
      <w:sz w:val="24"/>
      <w:szCs w:val="24"/>
      <w:lang w:val="en-US" w:eastAsia="zh-CN" w:bidi="ar-SA"/>
    </w:rPr>
  </w:style>
  <w:style w:type="paragraph" w:customStyle="1" w:styleId="125">
    <w:name w:val="Normal_30"/>
    <w:qFormat/>
    <w:uiPriority w:val="0"/>
    <w:rPr>
      <w:rFonts w:ascii="Times New Roman" w:hAnsi="Times New Roman" w:eastAsia="Times New Roman" w:cs="Times New Roman"/>
      <w:sz w:val="24"/>
      <w:szCs w:val="24"/>
      <w:lang w:val="en-US" w:eastAsia="zh-CN" w:bidi="ar-SA"/>
    </w:rPr>
  </w:style>
  <w:style w:type="paragraph" w:customStyle="1" w:styleId="126">
    <w:name w:val="Normal_32"/>
    <w:qFormat/>
    <w:uiPriority w:val="0"/>
    <w:rPr>
      <w:rFonts w:ascii="Times New Roman" w:hAnsi="Times New Roman" w:eastAsia="Times New Roman" w:cs="Times New Roman"/>
      <w:sz w:val="24"/>
      <w:szCs w:val="24"/>
      <w:lang w:val="en-US" w:eastAsia="zh-CN" w:bidi="ar-SA"/>
    </w:rPr>
  </w:style>
  <w:style w:type="paragraph" w:customStyle="1" w:styleId="127">
    <w:name w:val="正文_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8">
    <w:name w:val="page"/>
    <w:basedOn w:val="1"/>
    <w:qFormat/>
    <w:uiPriority w:val="0"/>
    <w:pPr>
      <w:spacing w:line="600" w:lineRule="atLeast"/>
      <w:jc w:val="center"/>
    </w:pPr>
    <w:rPr>
      <w:rFonts w:ascii="仿宋" w:hAnsi="仿宋" w:eastAsia="仿宋" w:cs="仿宋"/>
      <w:sz w:val="26"/>
      <w:szCs w:val="26"/>
    </w:rPr>
  </w:style>
  <w:style w:type="paragraph" w:customStyle="1" w:styleId="129">
    <w:name w:val="Normal_34"/>
    <w:qFormat/>
    <w:uiPriority w:val="0"/>
    <w:rPr>
      <w:rFonts w:ascii="Times New Roman" w:hAnsi="Times New Roman" w:eastAsia="Times New Roman" w:cs="Times New Roman"/>
      <w:sz w:val="24"/>
      <w:szCs w:val="24"/>
      <w:lang w:val="en-US" w:eastAsia="zh-CN" w:bidi="ar-SA"/>
    </w:rPr>
  </w:style>
  <w:style w:type="paragraph" w:customStyle="1" w:styleId="130">
    <w:name w:val="Normal_35"/>
    <w:qFormat/>
    <w:uiPriority w:val="0"/>
    <w:rPr>
      <w:rFonts w:ascii="Times New Roman" w:hAnsi="Times New Roman" w:eastAsia="Times New Roman" w:cs="Times New Roman"/>
      <w:sz w:val="24"/>
      <w:szCs w:val="24"/>
      <w:lang w:val="en-US" w:eastAsia="zh-CN" w:bidi="ar-SA"/>
    </w:rPr>
  </w:style>
  <w:style w:type="paragraph" w:customStyle="1" w:styleId="131">
    <w:name w:val="Normal_36"/>
    <w:qFormat/>
    <w:uiPriority w:val="0"/>
    <w:rPr>
      <w:rFonts w:ascii="Times New Roman" w:hAnsi="Times New Roman" w:eastAsia="Times New Roman" w:cs="Times New Roman"/>
      <w:sz w:val="24"/>
      <w:szCs w:val="24"/>
      <w:lang w:val="en-US" w:eastAsia="zh-CN" w:bidi="ar-SA"/>
    </w:rPr>
  </w:style>
  <w:style w:type="paragraph" w:customStyle="1" w:styleId="132">
    <w:name w:val="Normal_43"/>
    <w:qFormat/>
    <w:uiPriority w:val="0"/>
    <w:rPr>
      <w:rFonts w:ascii="Times New Roman" w:hAnsi="Times New Roman" w:eastAsia="Times New Roman" w:cs="Times New Roman"/>
      <w:sz w:val="24"/>
      <w:szCs w:val="24"/>
      <w:lang w:val="en-US" w:eastAsia="zh-CN" w:bidi="ar-SA"/>
    </w:rPr>
  </w:style>
  <w:style w:type="paragraph" w:customStyle="1" w:styleId="133">
    <w:name w:val="Normal_0_1"/>
    <w:qFormat/>
    <w:uiPriority w:val="0"/>
    <w:rPr>
      <w:rFonts w:ascii="Times New Roman" w:hAnsi="Times New Roman" w:eastAsia="Times New Roman" w:cs="Times New Roman"/>
      <w:sz w:val="24"/>
      <w:szCs w:val="24"/>
      <w:lang w:val="en-US" w:eastAsia="zh-CN" w:bidi="ar-SA"/>
    </w:rPr>
  </w:style>
  <w:style w:type="paragraph" w:customStyle="1" w:styleId="134">
    <w:name w:val="Normal_0_0_0"/>
    <w:qFormat/>
    <w:uiPriority w:val="0"/>
    <w:rPr>
      <w:rFonts w:ascii="Times New Roman" w:hAnsi="Times New Roman" w:eastAsia="Times New Roman" w:cs="Times New Roman"/>
      <w:sz w:val="24"/>
      <w:szCs w:val="24"/>
      <w:lang w:val="en-US" w:eastAsia="zh-CN" w:bidi="ar-SA"/>
    </w:rPr>
  </w:style>
  <w:style w:type="paragraph" w:customStyle="1" w:styleId="135">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6">
    <w:name w:val="Normal_1_1"/>
    <w:qFormat/>
    <w:uiPriority w:val="0"/>
    <w:rPr>
      <w:rFonts w:ascii="Times New Roman" w:hAnsi="Times New Roman" w:eastAsia="Times New Roman" w:cs="Times New Roman"/>
      <w:sz w:val="24"/>
      <w:szCs w:val="24"/>
      <w:lang w:val="en-US" w:eastAsia="zh-CN" w:bidi="ar-SA"/>
    </w:rPr>
  </w:style>
  <w:style w:type="paragraph" w:customStyle="1" w:styleId="137">
    <w:name w:val="Normal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8">
    <w:name w:val="Normal_10_0"/>
    <w:qFormat/>
    <w:uiPriority w:val="0"/>
    <w:rPr>
      <w:rFonts w:ascii="Times New Roman" w:hAnsi="Times New Roman" w:eastAsia="Times New Roman" w:cs="Times New Roman"/>
      <w:sz w:val="24"/>
      <w:szCs w:val="24"/>
      <w:lang w:val="en-US" w:eastAsia="zh-CN" w:bidi="ar-SA"/>
    </w:rPr>
  </w:style>
  <w:style w:type="paragraph" w:customStyle="1" w:styleId="139">
    <w:name w:val="正文_9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0">
    <w:name w:val="Normal_11_0"/>
    <w:qFormat/>
    <w:uiPriority w:val="0"/>
    <w:rPr>
      <w:rFonts w:ascii="Times New Roman" w:hAnsi="Times New Roman" w:eastAsia="Times New Roman" w:cs="Times New Roman"/>
      <w:sz w:val="24"/>
      <w:szCs w:val="24"/>
      <w:lang w:val="en-US" w:eastAsia="zh-CN" w:bidi="ar-SA"/>
    </w:rPr>
  </w:style>
  <w:style w:type="paragraph" w:customStyle="1" w:styleId="141">
    <w:name w:val="Normal_3_0"/>
    <w:qFormat/>
    <w:uiPriority w:val="0"/>
    <w:rPr>
      <w:rFonts w:ascii="Times New Roman" w:hAnsi="Times New Roman" w:eastAsia="Times New Roman" w:cs="Times New Roman"/>
      <w:sz w:val="24"/>
      <w:szCs w:val="24"/>
      <w:lang w:val="en-US" w:eastAsia="zh-CN" w:bidi="ar-SA"/>
    </w:rPr>
  </w:style>
  <w:style w:type="paragraph" w:customStyle="1" w:styleId="142">
    <w:name w:val="Normal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3">
    <w:name w:val="正文_5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
    <w:name w:val="Normal_5_0"/>
    <w:basedOn w:val="142"/>
    <w:qFormat/>
    <w:uiPriority w:val="0"/>
    <w:pPr>
      <w:widowControl/>
      <w:jc w:val="left"/>
    </w:pPr>
    <w:rPr>
      <w:rFonts w:ascii="Times New Roman" w:hAnsi="Times New Roman"/>
      <w:kern w:val="0"/>
      <w:sz w:val="24"/>
      <w:szCs w:val="24"/>
    </w:rPr>
  </w:style>
  <w:style w:type="paragraph" w:customStyle="1" w:styleId="145">
    <w:name w:val="Normal_6_0"/>
    <w:qFormat/>
    <w:uiPriority w:val="0"/>
    <w:rPr>
      <w:rFonts w:ascii="Times New Roman" w:hAnsi="Times New Roman" w:eastAsia="Times New Roman" w:cs="Times New Roman"/>
      <w:sz w:val="24"/>
      <w:szCs w:val="24"/>
      <w:lang w:val="en-US" w:eastAsia="zh-CN" w:bidi="ar-SA"/>
    </w:rPr>
  </w:style>
  <w:style w:type="paragraph" w:customStyle="1" w:styleId="146">
    <w:name w:val="Normal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7">
    <w:name w:val="Normal_8_0"/>
    <w:qFormat/>
    <w:uiPriority w:val="0"/>
    <w:rPr>
      <w:rFonts w:ascii="Times New Roman" w:hAnsi="Times New Roman" w:eastAsia="Times New Roman" w:cs="Times New Roman"/>
      <w:sz w:val="24"/>
      <w:szCs w:val="24"/>
      <w:lang w:val="en-US" w:eastAsia="zh-CN" w:bidi="ar-SA"/>
    </w:rPr>
  </w:style>
  <w:style w:type="paragraph" w:customStyle="1" w:styleId="148">
    <w:name w:val="Normal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9">
    <w:name w:val="Normal_12_0"/>
    <w:qFormat/>
    <w:uiPriority w:val="0"/>
    <w:rPr>
      <w:rFonts w:ascii="Times New Roman" w:hAnsi="Times New Roman" w:eastAsia="Times New Roman" w:cs="Times New Roman"/>
      <w:sz w:val="24"/>
      <w:szCs w:val="24"/>
      <w:lang w:val="en-US" w:eastAsia="zh-CN" w:bidi="ar-SA"/>
    </w:rPr>
  </w:style>
  <w:style w:type="paragraph" w:customStyle="1" w:styleId="150">
    <w:name w:val="Normal_1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1">
    <w:name w:val="Normal_14_0"/>
    <w:qFormat/>
    <w:uiPriority w:val="0"/>
    <w:rPr>
      <w:rFonts w:ascii="Times New Roman" w:hAnsi="Times New Roman" w:eastAsia="Times New Roman" w:cs="Times New Roman"/>
      <w:sz w:val="24"/>
      <w:szCs w:val="24"/>
      <w:lang w:val="en-US" w:eastAsia="zh-CN" w:bidi="ar-SA"/>
    </w:rPr>
  </w:style>
  <w:style w:type="paragraph" w:customStyle="1" w:styleId="152">
    <w:name w:val="Normal_15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3">
    <w:name w:val="批注文字 Char_0"/>
    <w:link w:val="154"/>
    <w:qFormat/>
    <w:locked/>
    <w:uiPriority w:val="99"/>
  </w:style>
  <w:style w:type="paragraph" w:customStyle="1" w:styleId="154">
    <w:name w:val="Comment Text"/>
    <w:basedOn w:val="152"/>
    <w:link w:val="153"/>
    <w:qFormat/>
    <w:uiPriority w:val="99"/>
    <w:pPr>
      <w:jc w:val="left"/>
    </w:pPr>
    <w:rPr>
      <w:rFonts w:asciiTheme="minorHAnsi" w:hAnsiTheme="minorHAnsi" w:eastAsiaTheme="minorEastAsia" w:cstheme="minorBidi"/>
    </w:rPr>
  </w:style>
  <w:style w:type="paragraph" w:customStyle="1" w:styleId="155">
    <w:name w:val="Normal_16_0"/>
    <w:qFormat/>
    <w:uiPriority w:val="0"/>
    <w:rPr>
      <w:rFonts w:ascii="Times New Roman" w:hAnsi="Times New Roman" w:eastAsia="Times New Roman" w:cs="Times New Roman"/>
      <w:sz w:val="24"/>
      <w:szCs w:val="24"/>
      <w:lang w:val="en-US" w:eastAsia="zh-CN" w:bidi="ar-SA"/>
    </w:rPr>
  </w:style>
  <w:style w:type="paragraph" w:customStyle="1" w:styleId="156">
    <w:name w:val="正文_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Normal_5_0_0"/>
    <w:basedOn w:val="156"/>
    <w:qFormat/>
    <w:uiPriority w:val="0"/>
    <w:pPr>
      <w:widowControl/>
      <w:jc w:val="left"/>
    </w:pPr>
    <w:rPr>
      <w:rFonts w:ascii="Times New Roman" w:hAnsi="Times New Roman"/>
      <w:kern w:val="0"/>
      <w:sz w:val="24"/>
      <w:szCs w:val="24"/>
    </w:rPr>
  </w:style>
  <w:style w:type="paragraph" w:customStyle="1" w:styleId="158">
    <w:name w:val="Normal_17_0"/>
    <w:qFormat/>
    <w:uiPriority w:val="0"/>
    <w:rPr>
      <w:rFonts w:ascii="Times New Roman" w:hAnsi="Times New Roman" w:eastAsia="Times New Roman" w:cs="Times New Roman"/>
      <w:sz w:val="24"/>
      <w:szCs w:val="24"/>
      <w:lang w:val="en-US" w:eastAsia="zh-CN" w:bidi="ar-SA"/>
    </w:rPr>
  </w:style>
  <w:style w:type="paragraph" w:customStyle="1" w:styleId="159">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0">
    <w:name w:val="Normal_18_0"/>
    <w:qFormat/>
    <w:uiPriority w:val="0"/>
    <w:rPr>
      <w:rFonts w:ascii="Times New Roman" w:hAnsi="Times New Roman" w:eastAsia="Times New Roman" w:cs="Times New Roman"/>
      <w:sz w:val="24"/>
      <w:szCs w:val="24"/>
      <w:lang w:val="en-US" w:eastAsia="zh-CN" w:bidi="ar-SA"/>
    </w:rPr>
  </w:style>
  <w:style w:type="paragraph" w:customStyle="1" w:styleId="161">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2">
    <w:name w:val="Normal_19_0"/>
    <w:qFormat/>
    <w:uiPriority w:val="0"/>
    <w:rPr>
      <w:rFonts w:ascii="Times New Roman" w:hAnsi="Times New Roman" w:eastAsia="Times New Roman" w:cs="Times New Roman"/>
      <w:sz w:val="24"/>
      <w:szCs w:val="24"/>
      <w:lang w:val="en-US" w:eastAsia="zh-CN" w:bidi="ar-SA"/>
    </w:rPr>
  </w:style>
  <w:style w:type="paragraph" w:customStyle="1" w:styleId="163">
    <w:name w:val="正文_2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4">
    <w:name w:val="Normal_20_0"/>
    <w:qFormat/>
    <w:uiPriority w:val="0"/>
    <w:rPr>
      <w:rFonts w:ascii="Times New Roman" w:hAnsi="Times New Roman" w:eastAsia="Times New Roman" w:cs="Times New Roman"/>
      <w:sz w:val="24"/>
      <w:szCs w:val="24"/>
      <w:lang w:val="en-US" w:eastAsia="zh-CN" w:bidi="ar-SA"/>
    </w:rPr>
  </w:style>
  <w:style w:type="paragraph" w:customStyle="1" w:styleId="165">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6">
    <w:name w:val="Normal_29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7">
    <w:name w:val="Normal_21_0"/>
    <w:qFormat/>
    <w:uiPriority w:val="0"/>
    <w:rPr>
      <w:rFonts w:ascii="Times New Roman" w:hAnsi="Times New Roman" w:eastAsia="Times New Roman" w:cs="Times New Roman"/>
      <w:sz w:val="24"/>
      <w:szCs w:val="24"/>
      <w:lang w:val="en-US" w:eastAsia="zh-CN" w:bidi="ar-SA"/>
    </w:rPr>
  </w:style>
  <w:style w:type="paragraph" w:customStyle="1" w:styleId="168">
    <w:name w:val="Normal_8_0_0"/>
    <w:qFormat/>
    <w:uiPriority w:val="0"/>
    <w:rPr>
      <w:rFonts w:ascii="Times New Roman" w:hAnsi="Times New Roman" w:eastAsia="Times New Roman" w:cs="Times New Roman"/>
      <w:sz w:val="24"/>
      <w:szCs w:val="24"/>
      <w:lang w:val="en-US" w:eastAsia="zh-CN" w:bidi="ar-SA"/>
    </w:rPr>
  </w:style>
  <w:style w:type="paragraph" w:customStyle="1" w:styleId="169">
    <w:name w:val="正文_7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0">
    <w:name w:val="Normal_22_0"/>
    <w:qFormat/>
    <w:uiPriority w:val="0"/>
    <w:rPr>
      <w:rFonts w:ascii="Times New Roman" w:hAnsi="Times New Roman" w:eastAsia="Times New Roman" w:cs="Times New Roman"/>
      <w:sz w:val="24"/>
      <w:szCs w:val="24"/>
      <w:lang w:val="en-US" w:eastAsia="zh-CN" w:bidi="ar-SA"/>
    </w:rPr>
  </w:style>
  <w:style w:type="paragraph" w:customStyle="1" w:styleId="171">
    <w:name w:val="Normal_9_0_0"/>
    <w:qFormat/>
    <w:uiPriority w:val="0"/>
    <w:rPr>
      <w:rFonts w:ascii="Times New Roman" w:hAnsi="Times New Roman" w:eastAsia="Times New Roman" w:cs="Times New Roman"/>
      <w:sz w:val="24"/>
      <w:szCs w:val="24"/>
      <w:lang w:val="en-US" w:eastAsia="zh-CN" w:bidi="ar-SA"/>
    </w:rPr>
  </w:style>
  <w:style w:type="paragraph" w:customStyle="1" w:styleId="172">
    <w:name w:val="正文_8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3">
    <w:name w:val="正文_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4">
    <w:name w:val="Normal_23_0"/>
    <w:qFormat/>
    <w:uiPriority w:val="0"/>
    <w:rPr>
      <w:rFonts w:ascii="Times New Roman" w:hAnsi="Times New Roman" w:eastAsia="Times New Roman" w:cs="Times New Roman"/>
      <w:sz w:val="24"/>
      <w:szCs w:val="24"/>
      <w:lang w:val="en-US" w:eastAsia="zh-CN" w:bidi="ar-SA"/>
    </w:rPr>
  </w:style>
  <w:style w:type="paragraph" w:customStyle="1" w:styleId="175">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6">
    <w:name w:val="Normal_2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7">
    <w:name w:val="正文_2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8">
    <w:name w:val="Normal_25_0"/>
    <w:qFormat/>
    <w:uiPriority w:val="0"/>
    <w:rPr>
      <w:rFonts w:ascii="Times New Roman" w:hAnsi="Times New Roman" w:eastAsia="Times New Roman" w:cs="Times New Roman"/>
      <w:sz w:val="24"/>
      <w:szCs w:val="24"/>
      <w:lang w:val="en-US" w:eastAsia="zh-CN" w:bidi="ar-SA"/>
    </w:rPr>
  </w:style>
  <w:style w:type="paragraph" w:customStyle="1" w:styleId="179">
    <w:name w:val="正文_14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0">
    <w:name w:val="正文_1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1">
    <w:name w:val="Normal_26_0"/>
    <w:qFormat/>
    <w:uiPriority w:val="0"/>
    <w:rPr>
      <w:rFonts w:ascii="Times New Roman" w:hAnsi="Times New Roman" w:eastAsia="Times New Roman" w:cs="Times New Roman"/>
      <w:sz w:val="24"/>
      <w:szCs w:val="24"/>
      <w:lang w:val="en-US" w:eastAsia="zh-CN" w:bidi="ar-SA"/>
    </w:rPr>
  </w:style>
  <w:style w:type="paragraph" w:customStyle="1" w:styleId="182">
    <w:name w:val="Normal_31_0"/>
    <w:qFormat/>
    <w:uiPriority w:val="0"/>
    <w:rPr>
      <w:rFonts w:ascii="Times New Roman" w:hAnsi="Times New Roman" w:eastAsia="Times New Roman" w:cs="Times New Roman"/>
      <w:sz w:val="24"/>
      <w:szCs w:val="24"/>
      <w:lang w:val="en-US" w:eastAsia="zh-CN" w:bidi="ar-SA"/>
    </w:rPr>
  </w:style>
  <w:style w:type="paragraph" w:customStyle="1" w:styleId="183">
    <w:name w:val="正文_19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Normal_27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Normal_28_0"/>
    <w:qFormat/>
    <w:uiPriority w:val="0"/>
    <w:rPr>
      <w:rFonts w:ascii="Times New Roman" w:hAnsi="Times New Roman" w:eastAsia="Times New Roman" w:cs="Times New Roman"/>
      <w:sz w:val="24"/>
      <w:szCs w:val="24"/>
      <w:lang w:val="en-US" w:eastAsia="zh-CN" w:bidi="ar-SA"/>
    </w:rPr>
  </w:style>
  <w:style w:type="paragraph" w:customStyle="1" w:styleId="186">
    <w:name w:val="正文_8_0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_1_0_0_0_1_0_0"/>
    <w:basedOn w:val="186"/>
    <w:qFormat/>
    <w:uiPriority w:val="0"/>
    <w:rPr>
      <w:rFonts w:ascii="Times New Roman" w:hAnsi="Times New Roman"/>
      <w:szCs w:val="21"/>
    </w:rPr>
  </w:style>
  <w:style w:type="paragraph" w:customStyle="1" w:styleId="188">
    <w:name w:val="Normal_5_1_1_0_0"/>
    <w:basedOn w:val="186"/>
    <w:qFormat/>
    <w:uiPriority w:val="0"/>
    <w:pPr>
      <w:widowControl/>
      <w:jc w:val="left"/>
    </w:pPr>
    <w:rPr>
      <w:rFonts w:ascii="Times New Roman" w:hAnsi="Times New Roman"/>
      <w:kern w:val="0"/>
      <w:sz w:val="24"/>
      <w:szCs w:val="24"/>
    </w:rPr>
  </w:style>
  <w:style w:type="paragraph" w:customStyle="1" w:styleId="189">
    <w:name w:val="Normal_29_0"/>
    <w:qFormat/>
    <w:uiPriority w:val="0"/>
    <w:rPr>
      <w:rFonts w:ascii="Times New Roman" w:hAnsi="Times New Roman" w:eastAsia="Times New Roman" w:cs="Times New Roman"/>
      <w:sz w:val="24"/>
      <w:szCs w:val="24"/>
      <w:lang w:val="en-US" w:eastAsia="zh-CN" w:bidi="ar-SA"/>
    </w:rPr>
  </w:style>
  <w:style w:type="paragraph" w:customStyle="1" w:styleId="190">
    <w:name w:val="Normal_30_0"/>
    <w:qFormat/>
    <w:uiPriority w:val="0"/>
    <w:rPr>
      <w:rFonts w:ascii="Times New Roman" w:hAnsi="Times New Roman" w:eastAsia="Times New Roman" w:cs="Times New Roman"/>
      <w:sz w:val="24"/>
      <w:szCs w:val="24"/>
      <w:lang w:val="en-US" w:eastAsia="zh-CN" w:bidi="ar-SA"/>
    </w:rPr>
  </w:style>
  <w:style w:type="paragraph" w:customStyle="1" w:styleId="191">
    <w:name w:val="Normal_32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正文_17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3">
    <w:name w:val="Normal_33_0"/>
    <w:qFormat/>
    <w:uiPriority w:val="0"/>
    <w:rPr>
      <w:rFonts w:ascii="Times New Roman" w:hAnsi="Times New Roman" w:eastAsia="Times New Roman" w:cs="Times New Roman"/>
      <w:sz w:val="24"/>
      <w:szCs w:val="24"/>
      <w:lang w:val="en-US" w:eastAsia="zh-CN" w:bidi="ar-SA"/>
    </w:rPr>
  </w:style>
  <w:style w:type="paragraph" w:customStyle="1" w:styleId="194">
    <w:name w:val="正文_18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5">
    <w:name w:val="Normal_34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6">
    <w:name w:val="Normal_35_0"/>
    <w:qFormat/>
    <w:uiPriority w:val="0"/>
    <w:rPr>
      <w:rFonts w:ascii="Times New Roman" w:hAnsi="Times New Roman" w:eastAsia="Times New Roman" w:cs="Times New Roman"/>
      <w:sz w:val="24"/>
      <w:szCs w:val="24"/>
      <w:lang w:val="en-US" w:eastAsia="zh-CN" w:bidi="ar-SA"/>
    </w:rPr>
  </w:style>
  <w:style w:type="paragraph" w:customStyle="1" w:styleId="197">
    <w:name w:val="正文_18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8">
    <w:name w:val="Normal_36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9">
    <w:name w:val="Normal_37"/>
    <w:qFormat/>
    <w:uiPriority w:val="0"/>
    <w:rPr>
      <w:rFonts w:ascii="Times New Roman" w:hAnsi="Times New Roman" w:eastAsia="Times New Roman" w:cs="Times New Roman"/>
      <w:sz w:val="24"/>
      <w:szCs w:val="24"/>
      <w:lang w:val="en-US" w:eastAsia="zh-CN" w:bidi="ar-SA"/>
    </w:rPr>
  </w:style>
  <w:style w:type="paragraph" w:customStyle="1" w:styleId="200">
    <w:name w:val="Normal_31_0_0"/>
    <w:qFormat/>
    <w:uiPriority w:val="0"/>
    <w:rPr>
      <w:rFonts w:ascii="Times New Roman" w:hAnsi="Times New Roman" w:eastAsia="Times New Roman" w:cs="Times New Roman"/>
      <w:sz w:val="24"/>
      <w:szCs w:val="24"/>
      <w:lang w:val="en-US" w:eastAsia="zh-CN" w:bidi="ar-SA"/>
    </w:rPr>
  </w:style>
  <w:style w:type="paragraph" w:customStyle="1" w:styleId="201">
    <w:name w:val="正文_19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2">
    <w:name w:val="Normal_3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3">
    <w:name w:val="Normal_39"/>
    <w:qFormat/>
    <w:uiPriority w:val="0"/>
    <w:rPr>
      <w:rFonts w:ascii="Times New Roman" w:hAnsi="Times New Roman" w:eastAsia="Times New Roman" w:cs="Times New Roman"/>
      <w:sz w:val="24"/>
      <w:szCs w:val="24"/>
      <w:lang w:val="en-US" w:eastAsia="zh-CN" w:bidi="ar-SA"/>
    </w:rPr>
  </w:style>
  <w:style w:type="paragraph" w:customStyle="1" w:styleId="204">
    <w:name w:val="Normal_33_0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5">
    <w:name w:val="Normal_40"/>
    <w:qFormat/>
    <w:uiPriority w:val="0"/>
    <w:rPr>
      <w:rFonts w:ascii="Times New Roman" w:hAnsi="Times New Roman" w:eastAsia="Times New Roman" w:cs="Times New Roman"/>
      <w:sz w:val="24"/>
      <w:szCs w:val="24"/>
      <w:lang w:val="en-US" w:eastAsia="zh-CN" w:bidi="ar-SA"/>
    </w:rPr>
  </w:style>
  <w:style w:type="paragraph" w:customStyle="1" w:styleId="206">
    <w:name w:val="正文_8_0_1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7">
    <w:name w:val="正文_1_0_0_0_1_0_0_0"/>
    <w:basedOn w:val="206"/>
    <w:qFormat/>
    <w:uiPriority w:val="0"/>
    <w:rPr>
      <w:rFonts w:ascii="Times New Roman" w:hAnsi="Times New Roman"/>
      <w:szCs w:val="21"/>
    </w:rPr>
  </w:style>
  <w:style w:type="paragraph" w:customStyle="1" w:styleId="208">
    <w:name w:val="Normal_5_1_1_0_0_0"/>
    <w:basedOn w:val="206"/>
    <w:qFormat/>
    <w:uiPriority w:val="0"/>
    <w:pPr>
      <w:widowControl/>
      <w:jc w:val="left"/>
    </w:pPr>
    <w:rPr>
      <w:rFonts w:ascii="Times New Roman" w:hAnsi="Times New Roman"/>
      <w:kern w:val="0"/>
      <w:sz w:val="24"/>
      <w:szCs w:val="24"/>
    </w:rPr>
  </w:style>
  <w:style w:type="paragraph" w:customStyle="1" w:styleId="209">
    <w:name w:val="Normal_41"/>
    <w:qFormat/>
    <w:uiPriority w:val="0"/>
    <w:rPr>
      <w:rFonts w:ascii="Times New Roman" w:hAnsi="Times New Roman" w:eastAsia="Times New Roman" w:cs="Times New Roman"/>
      <w:sz w:val="24"/>
      <w:szCs w:val="24"/>
      <w:lang w:val="en-US" w:eastAsia="zh-CN" w:bidi="ar-SA"/>
    </w:rPr>
  </w:style>
  <w:style w:type="paragraph" w:customStyle="1" w:styleId="210">
    <w:name w:val="正文_1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1">
    <w:name w:val="Normal_42"/>
    <w:qFormat/>
    <w:uiPriority w:val="0"/>
    <w:rPr>
      <w:rFonts w:ascii="Times New Roman" w:hAnsi="Times New Roman" w:eastAsia="Times New Roman" w:cs="Times New Roman"/>
      <w:sz w:val="24"/>
      <w:szCs w:val="24"/>
      <w:lang w:val="en-US" w:eastAsia="zh-CN" w:bidi="ar-SA"/>
    </w:rPr>
  </w:style>
  <w:style w:type="paragraph" w:customStyle="1" w:styleId="212">
    <w:name w:val="正文_1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3">
    <w:name w:val="样式1"/>
    <w:basedOn w:val="41"/>
    <w:qFormat/>
    <w:uiPriority w:val="0"/>
    <w:pPr>
      <w:spacing w:before="120" w:after="120" w:line="300" w:lineRule="auto"/>
    </w:pPr>
    <w:rPr>
      <w:rFonts w:ascii="宋体" w:hAnsi="宋体"/>
      <w:b/>
      <w:sz w:val="24"/>
      <w:szCs w:val="20"/>
    </w:rPr>
  </w:style>
  <w:style w:type="paragraph" w:customStyle="1" w:styleId="214">
    <w:name w:val="标题 2_0"/>
    <w:basedOn w:val="41"/>
    <w:next w:val="41"/>
    <w:qFormat/>
    <w:uiPriority w:val="0"/>
    <w:pPr>
      <w:keepNext/>
      <w:keepLines/>
      <w:spacing w:before="260" w:after="260" w:line="412" w:lineRule="auto"/>
      <w:outlineLvl w:val="1"/>
    </w:pPr>
    <w:rPr>
      <w:rFonts w:ascii="Arial" w:hAnsi="Arial" w:eastAsia="黑体"/>
      <w:b/>
      <w:sz w:val="32"/>
    </w:rPr>
  </w:style>
  <w:style w:type="paragraph" w:customStyle="1" w:styleId="215">
    <w:name w:val="正文_1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6">
    <w:name w:val="正文_16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7">
    <w:name w:val="正文_7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8">
    <w:name w:val="正文_8_0_0"/>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219">
    <w:name w:val="正文_8_1"/>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220">
    <w:name w:val="Normal_0_2"/>
    <w:qFormat/>
    <w:uiPriority w:val="0"/>
    <w:rPr>
      <w:rFonts w:ascii="Times New Roman" w:hAnsi="Times New Roman" w:eastAsia="Times New Roman" w:cs="Times New Roman"/>
      <w:sz w:val="24"/>
      <w:szCs w:val="24"/>
      <w:lang w:val="en-US" w:eastAsia="zh-CN" w:bidi="ar-SA"/>
    </w:rPr>
  </w:style>
  <w:style w:type="paragraph" w:customStyle="1" w:styleId="221">
    <w:name w:val="Normal_0_3"/>
    <w:qFormat/>
    <w:uiPriority w:val="0"/>
    <w:rPr>
      <w:rFonts w:ascii="Times New Roman" w:hAnsi="Times New Roman" w:eastAsia="Times New Roman" w:cs="Times New Roman"/>
      <w:sz w:val="24"/>
      <w:szCs w:val="24"/>
      <w:lang w:val="en-US" w:eastAsia="zh-CN" w:bidi="ar-SA"/>
    </w:rPr>
  </w:style>
  <w:style w:type="paragraph" w:customStyle="1" w:styleId="222">
    <w:name w:val="Normal_1_6"/>
    <w:qFormat/>
    <w:uiPriority w:val="0"/>
    <w:rPr>
      <w:rFonts w:ascii="Times New Roman" w:hAnsi="Times New Roman" w:eastAsia="Times New Roman" w:cs="Times New Roman"/>
      <w:sz w:val="24"/>
      <w:szCs w:val="24"/>
      <w:lang w:val="en-US" w:eastAsia="zh-CN" w:bidi="ar-SA"/>
    </w:rPr>
  </w:style>
  <w:style w:type="paragraph" w:customStyle="1" w:styleId="223">
    <w:name w:val="Normal_0_0_2"/>
    <w:qFormat/>
    <w:uiPriority w:val="0"/>
    <w:rPr>
      <w:rFonts w:ascii="Times New Roman" w:hAnsi="Times New Roman" w:eastAsia="Times New Roman" w:cs="Times New Roman"/>
      <w:sz w:val="24"/>
      <w:szCs w:val="24"/>
      <w:lang w:val="en-US" w:eastAsia="zh-CN" w:bidi="ar-SA"/>
    </w:rPr>
  </w:style>
  <w:style w:type="paragraph" w:customStyle="1" w:styleId="224">
    <w:name w:val="正文_0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5">
    <w:name w:val="Normal_2_5"/>
    <w:qFormat/>
    <w:uiPriority w:val="0"/>
    <w:rPr>
      <w:rFonts w:ascii="Times New Roman" w:hAnsi="Times New Roman" w:eastAsia="Times New Roman" w:cs="Times New Roman"/>
      <w:sz w:val="24"/>
      <w:szCs w:val="24"/>
      <w:lang w:val="en-US" w:eastAsia="zh-CN" w:bidi="ar-SA"/>
    </w:rPr>
  </w:style>
  <w:style w:type="paragraph" w:customStyle="1" w:styleId="226">
    <w:name w:val="正文_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7">
    <w:name w:val="Normal_3_2"/>
    <w:qFormat/>
    <w:uiPriority w:val="0"/>
    <w:rPr>
      <w:rFonts w:ascii="Times New Roman" w:hAnsi="Times New Roman" w:eastAsia="Times New Roman" w:cs="Times New Roman"/>
      <w:sz w:val="24"/>
      <w:szCs w:val="24"/>
      <w:lang w:val="en-US" w:eastAsia="zh-CN" w:bidi="ar-SA"/>
    </w:rPr>
  </w:style>
  <w:style w:type="paragraph" w:customStyle="1" w:styleId="228">
    <w:name w:val="正文_1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9">
    <w:name w:val="Normal_4_2"/>
    <w:qFormat/>
    <w:uiPriority w:val="0"/>
    <w:rPr>
      <w:rFonts w:ascii="Times New Roman" w:hAnsi="Times New Roman" w:eastAsia="Times New Roman" w:cs="Times New Roman"/>
      <w:sz w:val="24"/>
      <w:szCs w:val="24"/>
      <w:lang w:val="en-US" w:eastAsia="zh-CN" w:bidi="ar-SA"/>
    </w:rPr>
  </w:style>
  <w:style w:type="paragraph" w:customStyle="1" w:styleId="230">
    <w:name w:val="正文_2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1">
    <w:name w:val="Normal_5_3"/>
    <w:qFormat/>
    <w:uiPriority w:val="0"/>
    <w:rPr>
      <w:rFonts w:ascii="Times New Roman" w:hAnsi="Times New Roman" w:eastAsia="Times New Roman" w:cs="Times New Roman"/>
      <w:sz w:val="24"/>
      <w:szCs w:val="24"/>
      <w:lang w:val="en-US" w:eastAsia="zh-CN" w:bidi="ar-SA"/>
    </w:rPr>
  </w:style>
  <w:style w:type="paragraph" w:customStyle="1" w:styleId="232">
    <w:name w:val="正文_3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3">
    <w:name w:val="Normal_6_2"/>
    <w:qFormat/>
    <w:uiPriority w:val="0"/>
    <w:rPr>
      <w:rFonts w:ascii="Times New Roman" w:hAnsi="Times New Roman" w:eastAsia="Times New Roman" w:cs="Times New Roman"/>
      <w:sz w:val="24"/>
      <w:szCs w:val="24"/>
      <w:lang w:val="en-US" w:eastAsia="zh-CN" w:bidi="ar-SA"/>
    </w:rPr>
  </w:style>
  <w:style w:type="paragraph" w:customStyle="1" w:styleId="234">
    <w:name w:val="Normal_7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5">
    <w:name w:val="正文_6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6">
    <w:name w:val="正文_9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7">
    <w:name w:val="正文_10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8">
    <w:name w:val="Normal_11_2"/>
    <w:qFormat/>
    <w:uiPriority w:val="0"/>
    <w:rPr>
      <w:rFonts w:ascii="Times New Roman" w:hAnsi="Times New Roman" w:eastAsia="Times New Roman" w:cs="Times New Roman"/>
      <w:sz w:val="24"/>
      <w:szCs w:val="24"/>
      <w:lang w:val="en-US" w:eastAsia="zh-CN" w:bidi="ar-SA"/>
    </w:rPr>
  </w:style>
  <w:style w:type="paragraph" w:customStyle="1" w:styleId="239">
    <w:name w:val="Normal_8_2"/>
    <w:qFormat/>
    <w:uiPriority w:val="0"/>
    <w:rPr>
      <w:rFonts w:ascii="Times New Roman" w:hAnsi="Times New Roman" w:eastAsia="Times New Roman" w:cs="Times New Roman"/>
      <w:sz w:val="24"/>
      <w:szCs w:val="24"/>
      <w:lang w:val="en-US" w:eastAsia="zh-CN" w:bidi="ar-SA"/>
    </w:rPr>
  </w:style>
  <w:style w:type="paragraph" w:customStyle="1" w:styleId="240">
    <w:name w:val="正文_4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1">
    <w:name w:val="Normal_9_2"/>
    <w:qFormat/>
    <w:uiPriority w:val="0"/>
    <w:rPr>
      <w:rFonts w:ascii="Times New Roman" w:hAnsi="Times New Roman" w:eastAsia="Times New Roman" w:cs="Times New Roman"/>
      <w:sz w:val="24"/>
      <w:szCs w:val="24"/>
      <w:lang w:val="en-US" w:eastAsia="zh-CN" w:bidi="ar-SA"/>
    </w:rPr>
  </w:style>
  <w:style w:type="paragraph" w:customStyle="1" w:styleId="242">
    <w:name w:val="正文_5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3">
    <w:name w:val="Normal_10_2"/>
    <w:qFormat/>
    <w:uiPriority w:val="0"/>
    <w:rPr>
      <w:rFonts w:ascii="Times New Roman" w:hAnsi="Times New Roman" w:eastAsia="Times New Roman" w:cs="Times New Roman"/>
      <w:sz w:val="24"/>
      <w:szCs w:val="24"/>
      <w:lang w:val="en-US" w:eastAsia="zh-CN" w:bidi="ar-SA"/>
    </w:rPr>
  </w:style>
  <w:style w:type="paragraph" w:customStyle="1" w:styleId="244">
    <w:name w:val="正文_7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5">
    <w:name w:val="Normal_12_2"/>
    <w:qFormat/>
    <w:uiPriority w:val="0"/>
    <w:rPr>
      <w:rFonts w:ascii="Times New Roman" w:hAnsi="Times New Roman" w:eastAsia="Times New Roman" w:cs="Times New Roman"/>
      <w:sz w:val="24"/>
      <w:szCs w:val="24"/>
      <w:lang w:val="en-US" w:eastAsia="zh-CN" w:bidi="ar-SA"/>
    </w:rPr>
  </w:style>
  <w:style w:type="paragraph" w:customStyle="1" w:styleId="246">
    <w:name w:val="Normal_13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7">
    <w:name w:val="正文_14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8">
    <w:name w:val="Normal_19_2"/>
    <w:qFormat/>
    <w:uiPriority w:val="0"/>
    <w:rPr>
      <w:rFonts w:ascii="Times New Roman" w:hAnsi="Times New Roman" w:eastAsia="Times New Roman" w:cs="Times New Roman"/>
      <w:sz w:val="24"/>
      <w:szCs w:val="24"/>
      <w:lang w:val="en-US" w:eastAsia="zh-CN" w:bidi="ar-SA"/>
    </w:rPr>
  </w:style>
  <w:style w:type="paragraph" w:customStyle="1" w:styleId="249">
    <w:name w:val="Normal_14_2"/>
    <w:qFormat/>
    <w:uiPriority w:val="0"/>
    <w:rPr>
      <w:rFonts w:ascii="Times New Roman" w:hAnsi="Times New Roman" w:eastAsia="Times New Roman" w:cs="Times New Roman"/>
      <w:sz w:val="24"/>
      <w:szCs w:val="24"/>
      <w:lang w:val="en-US" w:eastAsia="zh-CN" w:bidi="ar-SA"/>
    </w:rPr>
  </w:style>
  <w:style w:type="paragraph" w:customStyle="1" w:styleId="250">
    <w:name w:val="Normal_20_0_7"/>
    <w:qFormat/>
    <w:uiPriority w:val="0"/>
    <w:rPr>
      <w:rFonts w:ascii="Times New Roman" w:hAnsi="Times New Roman" w:eastAsia="Times New Roman" w:cs="Times New Roman"/>
      <w:sz w:val="24"/>
      <w:szCs w:val="24"/>
      <w:lang w:val="en-US" w:eastAsia="zh-CN" w:bidi="ar-SA"/>
    </w:rPr>
  </w:style>
  <w:style w:type="paragraph" w:customStyle="1" w:styleId="251">
    <w:name w:val="正文_1_0_0_0_7"/>
    <w:basedOn w:val="1"/>
    <w:qFormat/>
    <w:uiPriority w:val="0"/>
    <w:rPr>
      <w:rFonts w:ascii="Times New Roman" w:hAnsi="Times New Roman"/>
      <w:szCs w:val="21"/>
    </w:rPr>
  </w:style>
  <w:style w:type="paragraph" w:customStyle="1" w:styleId="252">
    <w:name w:val="Normal_5_1_7"/>
    <w:basedOn w:val="1"/>
    <w:qFormat/>
    <w:uiPriority w:val="0"/>
    <w:pPr>
      <w:widowControl/>
      <w:jc w:val="left"/>
    </w:pPr>
    <w:rPr>
      <w:rFonts w:ascii="Times New Roman" w:hAnsi="Times New Roman"/>
      <w:kern w:val="0"/>
      <w:sz w:val="24"/>
      <w:szCs w:val="24"/>
    </w:rPr>
  </w:style>
  <w:style w:type="paragraph" w:customStyle="1" w:styleId="253">
    <w:name w:val="Normal_15_2"/>
    <w:qFormat/>
    <w:uiPriority w:val="0"/>
    <w:rPr>
      <w:rFonts w:ascii="Times New Roman" w:hAnsi="Times New Roman" w:eastAsia="Times New Roman" w:cs="Times New Roman"/>
      <w:sz w:val="24"/>
      <w:szCs w:val="24"/>
      <w:lang w:val="en-US" w:eastAsia="zh-CN" w:bidi="ar-SA"/>
    </w:rPr>
  </w:style>
  <w:style w:type="paragraph" w:customStyle="1" w:styleId="254">
    <w:name w:val="正文_11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5">
    <w:name w:val="Normal_16_2"/>
    <w:qFormat/>
    <w:uiPriority w:val="0"/>
    <w:rPr>
      <w:rFonts w:ascii="Times New Roman" w:hAnsi="Times New Roman" w:eastAsia="Times New Roman" w:cs="Times New Roman"/>
      <w:sz w:val="24"/>
      <w:szCs w:val="24"/>
      <w:lang w:val="en-US" w:eastAsia="zh-CN" w:bidi="ar-SA"/>
    </w:rPr>
  </w:style>
  <w:style w:type="paragraph" w:customStyle="1" w:styleId="256">
    <w:name w:val="Normal_17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7">
    <w:name w:val="Normal_18_2"/>
    <w:qFormat/>
    <w:uiPriority w:val="0"/>
    <w:rPr>
      <w:rFonts w:ascii="Times New Roman" w:hAnsi="Times New Roman" w:eastAsia="Times New Roman" w:cs="Times New Roman"/>
      <w:sz w:val="24"/>
      <w:szCs w:val="24"/>
      <w:lang w:val="en-US" w:eastAsia="zh-CN" w:bidi="ar-SA"/>
    </w:rPr>
  </w:style>
  <w:style w:type="paragraph" w:customStyle="1" w:styleId="258">
    <w:name w:val="正文_12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9">
    <w:name w:val="Normal_20_3"/>
    <w:qFormat/>
    <w:uiPriority w:val="0"/>
    <w:rPr>
      <w:rFonts w:ascii="Times New Roman" w:hAnsi="Times New Roman" w:eastAsia="Times New Roman" w:cs="Times New Roman"/>
      <w:sz w:val="24"/>
      <w:szCs w:val="24"/>
      <w:lang w:val="en-US" w:eastAsia="zh-CN" w:bidi="ar-SA"/>
    </w:rPr>
  </w:style>
  <w:style w:type="paragraph" w:customStyle="1" w:styleId="260">
    <w:name w:val="Normal_21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1">
    <w:name w:val="Normal_22_2"/>
    <w:qFormat/>
    <w:uiPriority w:val="0"/>
    <w:rPr>
      <w:rFonts w:ascii="Times New Roman" w:hAnsi="Times New Roman" w:eastAsia="Times New Roman" w:cs="Times New Roman"/>
      <w:sz w:val="24"/>
      <w:szCs w:val="24"/>
      <w:lang w:val="en-US" w:eastAsia="zh-CN" w:bidi="ar-SA"/>
    </w:rPr>
  </w:style>
  <w:style w:type="paragraph" w:customStyle="1" w:styleId="262">
    <w:name w:val="正文_13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3">
    <w:name w:val="Normal_23_2"/>
    <w:qFormat/>
    <w:uiPriority w:val="0"/>
    <w:rPr>
      <w:rFonts w:ascii="Times New Roman" w:hAnsi="Times New Roman" w:eastAsia="Times New Roman" w:cs="Times New Roman"/>
      <w:sz w:val="24"/>
      <w:szCs w:val="24"/>
      <w:lang w:val="en-US" w:eastAsia="zh-CN" w:bidi="ar-SA"/>
    </w:rPr>
  </w:style>
  <w:style w:type="paragraph" w:customStyle="1" w:styleId="264">
    <w:name w:val="Normal_31_2"/>
    <w:qFormat/>
    <w:uiPriority w:val="0"/>
    <w:rPr>
      <w:rFonts w:ascii="Times New Roman" w:hAnsi="Times New Roman" w:eastAsia="Times New Roman" w:cs="Times New Roman"/>
      <w:sz w:val="24"/>
      <w:szCs w:val="24"/>
      <w:lang w:val="en-US" w:eastAsia="zh-CN" w:bidi="ar-SA"/>
    </w:rPr>
  </w:style>
  <w:style w:type="paragraph" w:customStyle="1" w:styleId="265">
    <w:name w:val="正文_19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6">
    <w:name w:val="Normal_24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7">
    <w:name w:val="Normal_25_2"/>
    <w:qFormat/>
    <w:uiPriority w:val="0"/>
    <w:rPr>
      <w:rFonts w:ascii="Times New Roman" w:hAnsi="Times New Roman" w:eastAsia="Times New Roman" w:cs="Times New Roman"/>
      <w:sz w:val="24"/>
      <w:szCs w:val="24"/>
      <w:lang w:val="en-US" w:eastAsia="zh-CN" w:bidi="ar-SA"/>
    </w:rPr>
  </w:style>
  <w:style w:type="paragraph" w:customStyle="1" w:styleId="268">
    <w:name w:val="正文_16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9">
    <w:name w:val="正文_7_0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0">
    <w:name w:val="Normal_27_2"/>
    <w:qFormat/>
    <w:uiPriority w:val="0"/>
    <w:rPr>
      <w:rFonts w:ascii="Times New Roman" w:hAnsi="Times New Roman" w:eastAsia="Times New Roman" w:cs="Times New Roman"/>
      <w:sz w:val="24"/>
      <w:szCs w:val="24"/>
      <w:lang w:val="en-US" w:eastAsia="zh-CN" w:bidi="ar-SA"/>
    </w:rPr>
  </w:style>
  <w:style w:type="paragraph" w:customStyle="1" w:styleId="271">
    <w:name w:val="正文_8_1_1"/>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272">
    <w:name w:val="Normal_29_2"/>
    <w:qFormat/>
    <w:uiPriority w:val="0"/>
    <w:rPr>
      <w:rFonts w:ascii="Times New Roman" w:hAnsi="Times New Roman" w:eastAsia="Times New Roman" w:cs="Times New Roman"/>
      <w:sz w:val="24"/>
      <w:szCs w:val="24"/>
      <w:lang w:val="en-US" w:eastAsia="zh-CN" w:bidi="ar-SA"/>
    </w:rPr>
  </w:style>
  <w:style w:type="paragraph" w:customStyle="1" w:styleId="273">
    <w:name w:val="正文_8_2_1"/>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274">
    <w:name w:val="Normal_30_2"/>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275">
    <w:name w:val="Normal_31_0_2"/>
    <w:qFormat/>
    <w:uiPriority w:val="0"/>
    <w:pPr>
      <w:spacing w:after="200" w:line="276" w:lineRule="auto"/>
    </w:pPr>
    <w:rPr>
      <w:rFonts w:ascii="Times New Roman" w:hAnsi="Times New Roman" w:eastAsia="Times New Roman" w:cs="Times New Roman"/>
      <w:sz w:val="24"/>
      <w:szCs w:val="24"/>
      <w:lang w:val="en-US" w:eastAsia="zh-CN" w:bidi="ar-SA"/>
    </w:rPr>
  </w:style>
  <w:style w:type="paragraph" w:customStyle="1" w:styleId="276">
    <w:name w:val="Normal_33_2"/>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277">
    <w:name w:val="Normal_20_0_0_1"/>
    <w:qFormat/>
    <w:uiPriority w:val="0"/>
    <w:rPr>
      <w:rFonts w:ascii="Times New Roman" w:hAnsi="Times New Roman" w:eastAsia="Times New Roman" w:cs="Times New Roman"/>
      <w:sz w:val="24"/>
      <w:szCs w:val="24"/>
      <w:lang w:val="en-US" w:eastAsia="zh-CN" w:bidi="ar-SA"/>
    </w:rPr>
  </w:style>
  <w:style w:type="paragraph" w:customStyle="1" w:styleId="278">
    <w:name w:val="正文_1_0_0_0_0_1"/>
    <w:basedOn w:val="1"/>
    <w:qFormat/>
    <w:uiPriority w:val="0"/>
    <w:rPr>
      <w:rFonts w:ascii="Times New Roman" w:hAnsi="Times New Roman"/>
      <w:szCs w:val="21"/>
    </w:rPr>
  </w:style>
  <w:style w:type="paragraph" w:customStyle="1" w:styleId="279">
    <w:name w:val="Normal_5_1_0_1"/>
    <w:basedOn w:val="1"/>
    <w:qFormat/>
    <w:uiPriority w:val="0"/>
    <w:pPr>
      <w:widowControl/>
      <w:jc w:val="left"/>
    </w:pPr>
    <w:rPr>
      <w:rFonts w:ascii="Times New Roman" w:hAnsi="Times New Roman"/>
      <w:kern w:val="0"/>
      <w:sz w:val="24"/>
      <w:szCs w:val="24"/>
    </w:rPr>
  </w:style>
  <w:style w:type="paragraph" w:customStyle="1" w:styleId="280">
    <w:name w:val="Normal_35_1"/>
    <w:qFormat/>
    <w:uiPriority w:val="0"/>
    <w:rPr>
      <w:rFonts w:ascii="Times New Roman" w:hAnsi="Times New Roman" w:eastAsia="Times New Roman" w:cs="Times New Roman"/>
      <w:sz w:val="24"/>
      <w:szCs w:val="24"/>
      <w:lang w:val="en-US" w:eastAsia="zh-CN" w:bidi="ar-SA"/>
    </w:rPr>
  </w:style>
  <w:style w:type="paragraph" w:customStyle="1" w:styleId="281">
    <w:name w:val="Normal_20_0_1_1"/>
    <w:qFormat/>
    <w:uiPriority w:val="0"/>
    <w:rPr>
      <w:rFonts w:ascii="Times New Roman" w:hAnsi="Times New Roman" w:eastAsia="Times New Roman" w:cs="Times New Roman"/>
      <w:sz w:val="24"/>
      <w:szCs w:val="24"/>
      <w:lang w:val="en-US" w:eastAsia="zh-CN" w:bidi="ar-SA"/>
    </w:rPr>
  </w:style>
  <w:style w:type="paragraph" w:customStyle="1" w:styleId="282">
    <w:name w:val="正文_1_0_0_0_1_1"/>
    <w:basedOn w:val="1"/>
    <w:qFormat/>
    <w:uiPriority w:val="0"/>
    <w:rPr>
      <w:rFonts w:ascii="Times New Roman" w:hAnsi="Times New Roman"/>
      <w:szCs w:val="21"/>
    </w:rPr>
  </w:style>
  <w:style w:type="paragraph" w:customStyle="1" w:styleId="283">
    <w:name w:val="Normal_5_1_1_1"/>
    <w:basedOn w:val="1"/>
    <w:qFormat/>
    <w:uiPriority w:val="0"/>
    <w:pPr>
      <w:widowControl/>
      <w:jc w:val="left"/>
    </w:pPr>
    <w:rPr>
      <w:rFonts w:ascii="Times New Roman" w:hAnsi="Times New Roman"/>
      <w:kern w:val="0"/>
      <w:sz w:val="24"/>
      <w:szCs w:val="24"/>
    </w:rPr>
  </w:style>
  <w:style w:type="paragraph" w:customStyle="1" w:styleId="284">
    <w:name w:val="Normal_36_1"/>
    <w:qFormat/>
    <w:uiPriority w:val="0"/>
    <w:rPr>
      <w:rFonts w:ascii="Times New Roman" w:hAnsi="Times New Roman" w:eastAsia="Times New Roman" w:cs="Times New Roman"/>
      <w:sz w:val="24"/>
      <w:szCs w:val="24"/>
      <w:lang w:val="en-US" w:eastAsia="zh-CN" w:bidi="ar-SA"/>
    </w:rPr>
  </w:style>
  <w:style w:type="paragraph" w:customStyle="1" w:styleId="285">
    <w:name w:val="Normal_20_0_2_1"/>
    <w:qFormat/>
    <w:uiPriority w:val="0"/>
    <w:rPr>
      <w:rFonts w:ascii="Times New Roman" w:hAnsi="Times New Roman" w:eastAsia="Times New Roman" w:cs="Times New Roman"/>
      <w:sz w:val="24"/>
      <w:szCs w:val="24"/>
      <w:lang w:val="en-US" w:eastAsia="zh-CN" w:bidi="ar-SA"/>
    </w:rPr>
  </w:style>
  <w:style w:type="paragraph" w:customStyle="1" w:styleId="286">
    <w:name w:val="正文_1_0_0_0_2_1"/>
    <w:basedOn w:val="1"/>
    <w:qFormat/>
    <w:uiPriority w:val="0"/>
    <w:rPr>
      <w:rFonts w:ascii="Times New Roman" w:hAnsi="Times New Roman"/>
      <w:szCs w:val="21"/>
    </w:rPr>
  </w:style>
  <w:style w:type="paragraph" w:customStyle="1" w:styleId="287">
    <w:name w:val="Normal_5_1_2_1"/>
    <w:basedOn w:val="1"/>
    <w:qFormat/>
    <w:uiPriority w:val="0"/>
    <w:pPr>
      <w:widowControl/>
      <w:jc w:val="left"/>
    </w:pPr>
    <w:rPr>
      <w:rFonts w:ascii="Times New Roman" w:hAnsi="Times New Roman"/>
      <w:kern w:val="0"/>
      <w:sz w:val="24"/>
      <w:szCs w:val="24"/>
    </w:rPr>
  </w:style>
  <w:style w:type="paragraph" w:customStyle="1" w:styleId="288">
    <w:name w:val="Normal_37_1"/>
    <w:qFormat/>
    <w:uiPriority w:val="0"/>
    <w:rPr>
      <w:rFonts w:ascii="Times New Roman" w:hAnsi="Times New Roman" w:eastAsia="Times New Roman" w:cs="Times New Roman"/>
      <w:sz w:val="24"/>
      <w:szCs w:val="24"/>
      <w:lang w:val="en-US" w:eastAsia="zh-CN" w:bidi="ar-SA"/>
    </w:rPr>
  </w:style>
  <w:style w:type="paragraph" w:customStyle="1" w:styleId="289">
    <w:name w:val="Normal_20_0_3_1"/>
    <w:qFormat/>
    <w:uiPriority w:val="0"/>
    <w:rPr>
      <w:rFonts w:ascii="Times New Roman" w:hAnsi="Times New Roman" w:eastAsia="Times New Roman" w:cs="Times New Roman"/>
      <w:sz w:val="24"/>
      <w:szCs w:val="24"/>
      <w:lang w:val="en-US" w:eastAsia="zh-CN" w:bidi="ar-SA"/>
    </w:rPr>
  </w:style>
  <w:style w:type="paragraph" w:customStyle="1" w:styleId="290">
    <w:name w:val="正文_1_0_0_0_3_1"/>
    <w:basedOn w:val="1"/>
    <w:qFormat/>
    <w:uiPriority w:val="0"/>
    <w:rPr>
      <w:rFonts w:ascii="Times New Roman" w:hAnsi="Times New Roman"/>
      <w:szCs w:val="21"/>
    </w:rPr>
  </w:style>
  <w:style w:type="paragraph" w:customStyle="1" w:styleId="291">
    <w:name w:val="Normal_5_1_3_1"/>
    <w:basedOn w:val="1"/>
    <w:qFormat/>
    <w:uiPriority w:val="0"/>
    <w:pPr>
      <w:widowControl/>
      <w:jc w:val="left"/>
    </w:pPr>
    <w:rPr>
      <w:rFonts w:ascii="Times New Roman" w:hAnsi="Times New Roman"/>
      <w:kern w:val="0"/>
      <w:sz w:val="24"/>
      <w:szCs w:val="24"/>
    </w:rPr>
  </w:style>
  <w:style w:type="paragraph" w:customStyle="1" w:styleId="292">
    <w:name w:val="Normal_38_1"/>
    <w:qFormat/>
    <w:uiPriority w:val="0"/>
    <w:rPr>
      <w:rFonts w:ascii="Times New Roman" w:hAnsi="Times New Roman" w:eastAsia="Times New Roman" w:cs="Times New Roman"/>
      <w:sz w:val="24"/>
      <w:szCs w:val="24"/>
      <w:lang w:val="en-US" w:eastAsia="zh-CN" w:bidi="ar-SA"/>
    </w:rPr>
  </w:style>
  <w:style w:type="paragraph" w:customStyle="1" w:styleId="293">
    <w:name w:val="Normal_20_0_4_1"/>
    <w:qFormat/>
    <w:uiPriority w:val="0"/>
    <w:rPr>
      <w:rFonts w:ascii="Times New Roman" w:hAnsi="Times New Roman" w:eastAsia="Times New Roman" w:cs="Times New Roman"/>
      <w:sz w:val="24"/>
      <w:szCs w:val="24"/>
      <w:lang w:val="en-US" w:eastAsia="zh-CN" w:bidi="ar-SA"/>
    </w:rPr>
  </w:style>
  <w:style w:type="paragraph" w:customStyle="1" w:styleId="294">
    <w:name w:val="正文_1_0_0_0_4_1"/>
    <w:basedOn w:val="1"/>
    <w:qFormat/>
    <w:uiPriority w:val="0"/>
    <w:rPr>
      <w:rFonts w:ascii="Times New Roman" w:hAnsi="Times New Roman"/>
      <w:szCs w:val="21"/>
    </w:rPr>
  </w:style>
  <w:style w:type="paragraph" w:customStyle="1" w:styleId="295">
    <w:name w:val="Normal_5_1_4_1"/>
    <w:basedOn w:val="1"/>
    <w:qFormat/>
    <w:uiPriority w:val="0"/>
    <w:pPr>
      <w:widowControl/>
      <w:jc w:val="left"/>
    </w:pPr>
    <w:rPr>
      <w:rFonts w:ascii="Times New Roman" w:hAnsi="Times New Roman"/>
      <w:kern w:val="0"/>
      <w:sz w:val="24"/>
      <w:szCs w:val="24"/>
    </w:rPr>
  </w:style>
  <w:style w:type="paragraph" w:customStyle="1" w:styleId="296">
    <w:name w:val="Normal_39_1"/>
    <w:qFormat/>
    <w:uiPriority w:val="0"/>
    <w:rPr>
      <w:rFonts w:ascii="Times New Roman" w:hAnsi="Times New Roman" w:eastAsia="Times New Roman" w:cs="Times New Roman"/>
      <w:sz w:val="24"/>
      <w:szCs w:val="24"/>
      <w:lang w:val="en-US" w:eastAsia="zh-CN" w:bidi="ar-SA"/>
    </w:rPr>
  </w:style>
  <w:style w:type="paragraph" w:customStyle="1" w:styleId="297">
    <w:name w:val="Normal_20_0_5_1"/>
    <w:qFormat/>
    <w:uiPriority w:val="0"/>
    <w:rPr>
      <w:rFonts w:ascii="Times New Roman" w:hAnsi="Times New Roman" w:eastAsia="Times New Roman" w:cs="Times New Roman"/>
      <w:sz w:val="24"/>
      <w:szCs w:val="24"/>
      <w:lang w:val="en-US" w:eastAsia="zh-CN" w:bidi="ar-SA"/>
    </w:rPr>
  </w:style>
  <w:style w:type="paragraph" w:customStyle="1" w:styleId="298">
    <w:name w:val="正文_1_0_0_0_5_1"/>
    <w:basedOn w:val="1"/>
    <w:qFormat/>
    <w:uiPriority w:val="0"/>
    <w:rPr>
      <w:rFonts w:ascii="Times New Roman" w:hAnsi="Times New Roman"/>
      <w:szCs w:val="21"/>
    </w:rPr>
  </w:style>
  <w:style w:type="paragraph" w:customStyle="1" w:styleId="299">
    <w:name w:val="Normal_5_1_5_1"/>
    <w:basedOn w:val="1"/>
    <w:qFormat/>
    <w:uiPriority w:val="0"/>
    <w:pPr>
      <w:widowControl/>
      <w:jc w:val="left"/>
    </w:pPr>
    <w:rPr>
      <w:rFonts w:ascii="Times New Roman" w:hAnsi="Times New Roman"/>
      <w:kern w:val="0"/>
      <w:sz w:val="24"/>
      <w:szCs w:val="24"/>
    </w:rPr>
  </w:style>
  <w:style w:type="paragraph" w:customStyle="1" w:styleId="300">
    <w:name w:val="Normal_37_1_0_0"/>
    <w:qFormat/>
    <w:uiPriority w:val="0"/>
    <w:rPr>
      <w:rFonts w:ascii="Times New Roman" w:hAnsi="Times New Roman" w:eastAsia="Times New Roman" w:cs="Times New Roman"/>
      <w:sz w:val="24"/>
      <w:szCs w:val="24"/>
      <w:lang w:val="en-US" w:eastAsia="zh-CN" w:bidi="ar-SA"/>
    </w:rPr>
  </w:style>
  <w:style w:type="paragraph" w:customStyle="1" w:styleId="301">
    <w:name w:val="Normal_33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2">
    <w:name w:val="Normal_13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3">
    <w:name w:val="批注文字_0"/>
    <w:basedOn w:val="127"/>
    <w:qFormat/>
    <w:uiPriority w:val="99"/>
    <w:pPr>
      <w:widowControl/>
      <w:kinsoku w:val="0"/>
      <w:autoSpaceDE w:val="0"/>
      <w:autoSpaceDN w:val="0"/>
      <w:adjustRightInd w:val="0"/>
      <w:snapToGrid w:val="0"/>
      <w:jc w:val="left"/>
    </w:pPr>
    <w:rPr>
      <w:rFonts w:ascii="Arial" w:hAnsi="Arial" w:eastAsia="Arial" w:cs="Arial"/>
      <w:color w:val="000000"/>
      <w:kern w:val="0"/>
      <w:szCs w:val="21"/>
    </w:rPr>
  </w:style>
  <w:style w:type="paragraph" w:customStyle="1" w:styleId="304">
    <w:name w:val="Normal_20_0_1_0_0"/>
    <w:qFormat/>
    <w:uiPriority w:val="0"/>
    <w:rPr>
      <w:rFonts w:ascii="Times New Roman" w:hAnsi="Times New Roman" w:eastAsia="Times New Roman" w:cs="Times New Roman"/>
      <w:sz w:val="24"/>
      <w:szCs w:val="24"/>
      <w:lang w:val="en-US" w:eastAsia="zh-CN" w:bidi="ar-SA"/>
    </w:rPr>
  </w:style>
  <w:style w:type="paragraph" w:customStyle="1" w:styleId="305">
    <w:name w:val="正文_1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6">
    <w:name w:val="正文_11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7">
    <w:name w:val="首行缩进"/>
    <w:basedOn w:val="1"/>
    <w:qFormat/>
    <w:uiPriority w:val="0"/>
    <w:pPr>
      <w:ind w:firstLine="480" w:firstLineChars="200"/>
    </w:pPr>
    <w:rPr>
      <w:szCs w:val="20"/>
      <w:lang w:val="zh-CN"/>
    </w:rPr>
  </w:style>
  <w:style w:type="paragraph" w:customStyle="1" w:styleId="308">
    <w:name w:val="列出段落1"/>
    <w:basedOn w:val="1"/>
    <w:qFormat/>
    <w:uiPriority w:val="0"/>
    <w:pPr>
      <w:ind w:firstLine="420" w:firstLineChars="200"/>
    </w:pPr>
    <w:rPr>
      <w:rFonts w:ascii="Times New Roman" w:hAnsi="Times New Roman"/>
      <w:szCs w:val="21"/>
    </w:rPr>
  </w:style>
  <w:style w:type="paragraph" w:customStyle="1" w:styleId="309">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character" w:customStyle="1" w:styleId="310">
    <w:name w:val="批注文字 字符1"/>
    <w:semiHidden/>
    <w:qFormat/>
    <w:uiPriority w:val="99"/>
    <w:rPr>
      <w:rFonts w:hint="default" w:ascii="Calibri" w:hAnsi="Calibri" w:cs="Calibri"/>
      <w:kern w:val="2"/>
      <w:sz w:val="21"/>
      <w:szCs w:val="22"/>
    </w:rPr>
  </w:style>
  <w:style w:type="character" w:customStyle="1" w:styleId="311">
    <w:name w:val="未处理的提及"/>
    <w:qFormat/>
    <w:uiPriority w:val="99"/>
    <w:rPr>
      <w:color w:val="605E5C"/>
      <w:shd w:val="clear" w:color="auto" w:fill="E1DFDD"/>
    </w:rPr>
  </w:style>
  <w:style w:type="character" w:customStyle="1" w:styleId="312">
    <w:name w:val="批注主题 字符1"/>
    <w:basedOn w:val="51"/>
    <w:semiHidden/>
    <w:qFormat/>
    <w:uiPriority w:val="99"/>
    <w:rPr>
      <w:rFonts w:hint="default" w:ascii="Calibri" w:hAnsi="Calibri" w:eastAsia="宋体" w:cs="Calibri"/>
      <w:b/>
      <w:bCs/>
      <w:kern w:val="2"/>
      <w:sz w:val="21"/>
      <w:szCs w:val="22"/>
    </w:rPr>
  </w:style>
  <w:style w:type="character" w:customStyle="1" w:styleId="313">
    <w:name w:val="批注框文本 字符1"/>
    <w:basedOn w:val="33"/>
    <w:semiHidden/>
    <w:qFormat/>
    <w:uiPriority w:val="99"/>
    <w:rPr>
      <w:rFonts w:hint="default" w:ascii="Calibri" w:hAnsi="Calibri" w:cs="Calibri"/>
      <w:kern w:val="2"/>
      <w:sz w:val="18"/>
      <w:szCs w:val="18"/>
    </w:rPr>
  </w:style>
  <w:style w:type="character" w:customStyle="1" w:styleId="314">
    <w:name w:val="页脚 字符1"/>
    <w:basedOn w:val="33"/>
    <w:semiHidden/>
    <w:qFormat/>
    <w:uiPriority w:val="99"/>
    <w:rPr>
      <w:rFonts w:hint="default" w:ascii="Calibri" w:hAnsi="Calibri" w:cs="Calibri"/>
      <w:kern w:val="2"/>
      <w:sz w:val="18"/>
      <w:szCs w:val="18"/>
    </w:rPr>
  </w:style>
  <w:style w:type="character" w:customStyle="1" w:styleId="315">
    <w:name w:val="页眉 字符1"/>
    <w:basedOn w:val="33"/>
    <w:semiHidden/>
    <w:qFormat/>
    <w:uiPriority w:val="99"/>
    <w:rPr>
      <w:rFonts w:hint="default" w:ascii="Calibri" w:hAnsi="Calibri" w:cs="Calibri"/>
      <w:kern w:val="2"/>
      <w:sz w:val="18"/>
      <w:szCs w:val="18"/>
    </w:rPr>
  </w:style>
  <w:style w:type="character" w:customStyle="1" w:styleId="316">
    <w:name w:val="批注文字 Char1"/>
    <w:semiHidden/>
    <w:qFormat/>
    <w:locked/>
    <w:uiPriority w:val="99"/>
    <w:rPr>
      <w:kern w:val="2"/>
      <w:sz w:val="21"/>
      <w:szCs w:val="22"/>
    </w:rPr>
  </w:style>
  <w:style w:type="paragraph" w:customStyle="1" w:styleId="317">
    <w:name w:val="Comment Text_1_0"/>
    <w:basedOn w:val="1"/>
    <w:link w:val="318"/>
    <w:qFormat/>
    <w:uiPriority w:val="0"/>
  </w:style>
  <w:style w:type="character" w:customStyle="1" w:styleId="318">
    <w:name w:val="批注文字 字符_0_0"/>
    <w:link w:val="317"/>
    <w:qFormat/>
    <w:locked/>
    <w:uiPriority w:val="0"/>
    <w:rPr>
      <w:rFonts w:ascii="Calibri" w:hAnsi="Calibri" w:eastAsia="宋体" w:cs="Times New Roman"/>
    </w:rPr>
  </w:style>
  <w:style w:type="character" w:customStyle="1" w:styleId="319">
    <w:name w:val="批注文字 Char_1"/>
    <w:qFormat/>
    <w:uiPriority w:val="99"/>
    <w:rPr>
      <w:rFonts w:hint="default" w:ascii="Times New Roman" w:hAnsi="Times New Roman" w:eastAsia="宋体" w:cs="Times New Roman"/>
    </w:rPr>
  </w:style>
  <w:style w:type="table" w:customStyle="1" w:styleId="320">
    <w:name w:val="网格型1"/>
    <w:basedOn w:val="3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
    <w:name w:val="Table Normal"/>
    <w:qFormat/>
    <w:uiPriority w:val="0"/>
    <w:rPr>
      <w:rFonts w:ascii="Calibri" w:hAnsi="Calibri"/>
    </w:rPr>
    <w:tblPr>
      <w:tblCellMar>
        <w:top w:w="0" w:type="dxa"/>
        <w:left w:w="0" w:type="dxa"/>
        <w:bottom w:w="0" w:type="dxa"/>
        <w:right w:w="0" w:type="dxa"/>
      </w:tblCellMar>
    </w:tblPr>
  </w:style>
  <w:style w:type="table" w:customStyle="1" w:styleId="322">
    <w:name w:val="网格型11"/>
    <w:basedOn w:val="31"/>
    <w:qFormat/>
    <w:uiPriority w:val="59"/>
    <w:rPr>
      <w:rFonts w:ascii="等线" w:hAnsi="等线" w:eastAsia="等线"/>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23">
    <w:name w:val="网格型2"/>
    <w:basedOn w:val="31"/>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4">
    <w:name w:val="网格型3"/>
    <w:basedOn w:val="3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25">
    <w:name w:val="p_4"/>
    <w:basedOn w:val="73"/>
    <w:qFormat/>
    <w:uiPriority w:val="0"/>
    <w:pPr>
      <w:spacing w:line="360" w:lineRule="auto"/>
      <w:jc w:val="both"/>
    </w:pPr>
  </w:style>
  <w:style w:type="paragraph" w:customStyle="1" w:styleId="326">
    <w:name w:val="Comment Text_0"/>
    <w:basedOn w:val="202"/>
    <w:qFormat/>
    <w:uiPriority w:val="99"/>
    <w:pPr>
      <w:jc w:val="left"/>
    </w:pPr>
  </w:style>
  <w:style w:type="paragraph" w:customStyle="1" w:styleId="327">
    <w:name w:val="正文_1_0"/>
    <w:basedOn w:val="156"/>
    <w:qFormat/>
    <w:uiPriority w:val="0"/>
    <w:rPr>
      <w:rFonts w:ascii="Times New Roman" w:hAnsi="Times New Roman"/>
      <w:szCs w:val="21"/>
    </w:rPr>
  </w:style>
  <w:style w:type="paragraph" w:customStyle="1" w:styleId="328">
    <w:name w:val="样式 右侧:  1.69 厘米"/>
    <w:basedOn w:val="1"/>
    <w:qFormat/>
    <w:uiPriority w:val="0"/>
    <w:pPr>
      <w:widowControl/>
      <w:adjustRightInd w:val="0"/>
      <w:snapToGrid w:val="0"/>
      <w:spacing w:line="288" w:lineRule="auto"/>
      <w:ind w:right="960"/>
      <w:jc w:val="left"/>
    </w:pPr>
    <w:rPr>
      <w:rFonts w:eastAsia="仿宋" w:cs="宋体"/>
      <w:kern w:val="0"/>
      <w:szCs w:val="20"/>
    </w:rPr>
  </w:style>
  <w:style w:type="paragraph" w:customStyle="1" w:styleId="329">
    <w:name w:val="Table Paragraph"/>
    <w:basedOn w:val="1"/>
    <w:qFormat/>
    <w:uiPriority w:val="1"/>
    <w:pPr>
      <w:widowControl/>
      <w:adjustRightInd w:val="0"/>
      <w:snapToGrid w:val="0"/>
      <w:spacing w:line="288" w:lineRule="auto"/>
      <w:jc w:val="left"/>
    </w:pPr>
    <w:rPr>
      <w:rFonts w:ascii="宋体" w:hAnsi="宋体" w:cs="宋体"/>
      <w:kern w:val="0"/>
      <w:szCs w:val="21"/>
    </w:rPr>
  </w:style>
  <w:style w:type="character" w:customStyle="1" w:styleId="330">
    <w:name w:val="font41"/>
    <w:basedOn w:val="33"/>
    <w:qFormat/>
    <w:uiPriority w:val="0"/>
    <w:rPr>
      <w:rFonts w:hint="default" w:ascii="Times New Roman" w:hAnsi="Times New Roman" w:cs="Times New Roman"/>
      <w:color w:val="000000"/>
      <w:sz w:val="21"/>
      <w:szCs w:val="21"/>
      <w:u w:val="none"/>
    </w:rPr>
  </w:style>
  <w:style w:type="character" w:customStyle="1" w:styleId="331">
    <w:name w:val="font31"/>
    <w:basedOn w:val="33"/>
    <w:qFormat/>
    <w:uiPriority w:val="0"/>
    <w:rPr>
      <w:rFonts w:hint="eastAsia" w:ascii="宋体" w:hAnsi="宋体" w:eastAsia="宋体" w:cs="宋体"/>
      <w:color w:val="000000"/>
      <w:sz w:val="21"/>
      <w:szCs w:val="21"/>
      <w:u w:val="none"/>
    </w:rPr>
  </w:style>
  <w:style w:type="character" w:customStyle="1" w:styleId="332">
    <w:name w:val="font21"/>
    <w:basedOn w:val="33"/>
    <w:qFormat/>
    <w:uiPriority w:val="0"/>
    <w:rPr>
      <w:rFonts w:hint="eastAsia" w:ascii="仿宋" w:hAnsi="仿宋" w:eastAsia="仿宋" w:cs="仿宋"/>
      <w:color w:val="000000"/>
      <w:sz w:val="22"/>
      <w:szCs w:val="22"/>
      <w:u w:val="none"/>
    </w:rPr>
  </w:style>
  <w:style w:type="character" w:customStyle="1" w:styleId="333">
    <w:name w:val="font51"/>
    <w:basedOn w:val="33"/>
    <w:qFormat/>
    <w:uiPriority w:val="0"/>
    <w:rPr>
      <w:rFonts w:hint="eastAsia" w:ascii="仿宋" w:hAnsi="仿宋" w:eastAsia="仿宋" w:cs="仿宋"/>
      <w:color w:val="FF0000"/>
      <w:sz w:val="24"/>
      <w:szCs w:val="24"/>
      <w:u w:val="none"/>
    </w:rPr>
  </w:style>
  <w:style w:type="paragraph" w:customStyle="1" w:styleId="334">
    <w:name w:val="列出段落2"/>
    <w:basedOn w:val="1"/>
    <w:qFormat/>
    <w:uiPriority w:val="99"/>
    <w:pPr>
      <w:ind w:firstLine="420" w:firstLineChars="200"/>
    </w:pPr>
  </w:style>
  <w:style w:type="paragraph" w:customStyle="1" w:styleId="335">
    <w:name w:val="wdcj_7_p"/>
    <w:basedOn w:val="1"/>
    <w:autoRedefine/>
    <w:qFormat/>
    <w:uiPriority w:val="0"/>
    <w:pPr>
      <w:widowControl/>
      <w:spacing w:before="100" w:beforeAutospacing="1" w:after="100" w:afterAutospacing="1"/>
      <w:ind w:firstLine="480"/>
      <w:jc w:val="left"/>
    </w:pPr>
    <w:rPr>
      <w:rFonts w:ascii="宋体" w:hAnsi="宋体" w:cs="宋体"/>
      <w:kern w:val="0"/>
      <w:szCs w:val="24"/>
    </w:rPr>
  </w:style>
  <w:style w:type="paragraph" w:customStyle="1" w:styleId="336">
    <w:name w:val="wdcj_5_p"/>
    <w:basedOn w:val="1"/>
    <w:autoRedefine/>
    <w:qFormat/>
    <w:uiPriority w:val="0"/>
    <w:pPr>
      <w:widowControl/>
      <w:spacing w:before="100" w:beforeAutospacing="1" w:after="100" w:afterAutospacing="1"/>
      <w:jc w:val="left"/>
    </w:pPr>
    <w:rPr>
      <w:rFonts w:ascii="宋体" w:hAnsi="宋体" w:cs="宋体"/>
      <w:b/>
      <w:bCs/>
      <w:kern w:val="0"/>
      <w:szCs w:val="24"/>
    </w:rPr>
  </w:style>
  <w:style w:type="paragraph" w:customStyle="1" w:styleId="337">
    <w:name w:val="wdcj_6_p"/>
    <w:basedOn w:val="1"/>
    <w:autoRedefine/>
    <w:qFormat/>
    <w:uiPriority w:val="0"/>
    <w:pPr>
      <w:widowControl/>
      <w:spacing w:before="100" w:beforeAutospacing="1" w:after="100" w:afterAutospacing="1"/>
      <w:jc w:val="left"/>
    </w:pPr>
    <w:rPr>
      <w:rFonts w:ascii="宋体" w:hAnsi="宋体" w:cs="宋体"/>
      <w:kern w:val="0"/>
      <w:szCs w:val="24"/>
    </w:rPr>
  </w:style>
  <w:style w:type="character" w:customStyle="1" w:styleId="338">
    <w:name w:val="wea-textarea-normal"/>
    <w:basedOn w:val="33"/>
    <w:autoRedefine/>
    <w:qFormat/>
    <w:uiPriority w:val="0"/>
  </w:style>
  <w:style w:type="paragraph" w:customStyle="1" w:styleId="339">
    <w:name w:val="标题二、"/>
    <w:basedOn w:val="1"/>
    <w:qFormat/>
    <w:uiPriority w:val="99"/>
    <w:pPr>
      <w:spacing w:line="360" w:lineRule="auto"/>
      <w:ind w:firstLine="200" w:firstLineChars="200"/>
      <w:outlineLvl w:val="2"/>
    </w:pPr>
    <w:rPr>
      <w:rFonts w:ascii="宋体" w:hAnsi="宋体"/>
      <w:b/>
      <w:szCs w:val="21"/>
    </w:rPr>
  </w:style>
  <w:style w:type="paragraph" w:customStyle="1" w:styleId="340">
    <w:name w:val="一级条标题"/>
    <w:basedOn w:val="341"/>
    <w:next w:val="342"/>
    <w:qFormat/>
    <w:uiPriority w:val="0"/>
    <w:pPr>
      <w:spacing w:line="240" w:lineRule="auto"/>
      <w:ind w:left="420"/>
      <w:outlineLvl w:val="2"/>
    </w:pPr>
  </w:style>
  <w:style w:type="paragraph" w:customStyle="1" w:styleId="341">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342">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character" w:customStyle="1" w:styleId="343">
    <w:name w:val="font11"/>
    <w:basedOn w:val="33"/>
    <w:autoRedefine/>
    <w:qFormat/>
    <w:uiPriority w:val="0"/>
    <w:rPr>
      <w:rFonts w:hint="eastAsia" w:ascii="仿宋" w:hAnsi="仿宋" w:eastAsia="仿宋" w:cs="仿宋"/>
      <w:color w:val="000000"/>
      <w:sz w:val="24"/>
      <w:szCs w:val="24"/>
      <w:u w:val="none"/>
    </w:rPr>
  </w:style>
  <w:style w:type="paragraph" w:customStyle="1" w:styleId="344">
    <w:name w:val="表格文字2"/>
    <w:basedOn w:val="345"/>
    <w:qFormat/>
    <w:uiPriority w:val="99"/>
    <w:pPr>
      <w:spacing w:before="25" w:after="25"/>
      <w:jc w:val="left"/>
    </w:pPr>
    <w:rPr>
      <w:bCs/>
      <w:spacing w:val="10"/>
      <w:kern w:val="0"/>
    </w:rPr>
  </w:style>
  <w:style w:type="paragraph" w:customStyle="1" w:styleId="345">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346">
    <w:name w:val="纯文本1"/>
    <w:basedOn w:val="1"/>
    <w:qFormat/>
    <w:uiPriority w:val="0"/>
    <w:pPr>
      <w:spacing w:beforeLines="50" w:afterLines="50" w:line="400" w:lineRule="exact"/>
    </w:pPr>
    <w:rPr>
      <w:rFonts w:ascii="宋体" w:hAnsi="Courier New"/>
      <w:kern w:val="0"/>
      <w:sz w:val="24"/>
    </w:rPr>
  </w:style>
  <w:style w:type="paragraph" w:customStyle="1" w:styleId="347">
    <w:name w:val="正文缩进2"/>
    <w:basedOn w:val="1"/>
    <w:autoRedefine/>
    <w:qFormat/>
    <w:uiPriority w:val="0"/>
    <w:pPr>
      <w:wordWrap w:val="0"/>
      <w:ind w:firstLine="480"/>
    </w:pPr>
    <w:rPr>
      <w:iCs/>
      <w:shd w:val="clear" w:color="auto" w:fill="FFFFFF" w:themeFill="background1"/>
      <w:lang w:val="zh-CN"/>
    </w:rPr>
  </w:style>
  <w:style w:type="paragraph" w:customStyle="1" w:styleId="3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349">
    <w:name w:val="_Style 20"/>
    <w:basedOn w:val="1"/>
    <w:qFormat/>
    <w:uiPriority w:val="0"/>
    <w:rPr>
      <w:rFonts w:ascii="Tahoma" w:hAnsi="Tahoma"/>
      <w:sz w:val="24"/>
      <w:szCs w:val="20"/>
    </w:rPr>
  </w:style>
  <w:style w:type="paragraph" w:customStyle="1" w:styleId="350">
    <w:name w:val="样式 正文缩进 + 首行缩进:  2 字符"/>
    <w:basedOn w:val="8"/>
    <w:qFormat/>
    <w:uiPriority w:val="0"/>
    <w:pPr>
      <w:spacing w:line="360" w:lineRule="auto"/>
      <w:ind w:firstLine="200"/>
    </w:pPr>
    <w:rPr>
      <w:rFonts w:cs="宋体"/>
      <w:szCs w:val="20"/>
    </w:rPr>
  </w:style>
  <w:style w:type="paragraph" w:customStyle="1" w:styleId="351">
    <w:name w:val="Char"/>
    <w:basedOn w:val="1"/>
    <w:qFormat/>
    <w:uiPriority w:val="0"/>
    <w:pPr>
      <w:tabs>
        <w:tab w:val="left" w:pos="0"/>
      </w:tabs>
      <w:adjustRightInd w:val="0"/>
      <w:snapToGrid w:val="0"/>
      <w:spacing w:line="440" w:lineRule="exact"/>
      <w:jc w:val="left"/>
    </w:pPr>
    <w:rPr>
      <w:rFonts w:ascii="Tahoma" w:hAnsi="Tahoma" w:cs="仿宋"/>
      <w:sz w:val="24"/>
      <w:szCs w:val="28"/>
    </w:rPr>
  </w:style>
  <w:style w:type="character" w:customStyle="1" w:styleId="352">
    <w:name w:val="font01"/>
    <w:basedOn w:val="33"/>
    <w:qFormat/>
    <w:uiPriority w:val="0"/>
    <w:rPr>
      <w:rFonts w:hint="eastAsia" w:ascii="宋体" w:hAnsi="宋体" w:eastAsia="宋体" w:cs="宋体"/>
      <w:color w:val="000000"/>
      <w:sz w:val="22"/>
      <w:szCs w:val="22"/>
      <w:u w:val="none"/>
    </w:rPr>
  </w:style>
  <w:style w:type="character" w:customStyle="1" w:styleId="353">
    <w:name w:val="font61"/>
    <w:basedOn w:val="3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188</Pages>
  <Words>120655</Words>
  <Characters>131261</Characters>
  <Lines>619</Lines>
  <Paragraphs>174</Paragraphs>
  <TotalTime>18</TotalTime>
  <ScaleCrop>false</ScaleCrop>
  <LinksUpToDate>false</LinksUpToDate>
  <CharactersWithSpaces>139032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2026-04-09T04:06:00Z</dcterms:created>
  <dc:creator>PC-207-01</dc:creator>
  <cp:lastModifiedBy>Administrator</cp:lastModifiedBy>
  <cp:lastPrinted>2024-10-28T04:30:00Z</cp:lastPrinted>
  <dcterms:modified xsi:type="dcterms:W3CDTF">2026-09-30T12:09:32Z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AA36F3F56BB04A95974CC483D3C5F43E_13</vt:lpwstr>
  </property>
  <property fmtid="{D5CDD505-2E9C-101B-9397-08002B2CF9AE}" pid="4" name="KSOTemplateDocerSaveRecord">
    <vt:lpwstr>eyJoZGlkIjoiMDJjMjA1NDBhOTJjZDM3YzRlMjk1M2UyNmI4OTZkYjYiLCJ1c2VySWQiOiI2MjA5NjI1MzQifQ==</vt:lpwstr>
  </property>
</Properties>
</file>