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ind w:firstLine="964" w:firstLineChars="200"/>
        <w:jc w:val="center"/>
        <w:textAlignment w:val="baseline"/>
        <w:rPr>
          <w:rFonts w:hint="eastAsia" w:ascii="宋体" w:hAnsi="宋体" w:eastAsia="宋体" w:cs="宋体"/>
          <w:b/>
          <w:bCs/>
          <w:color w:val="auto"/>
          <w:sz w:val="48"/>
          <w:szCs w:val="48"/>
        </w:rPr>
      </w:pPr>
      <w:r>
        <w:rPr>
          <w:rFonts w:hint="eastAsia" w:ascii="宋体" w:hAnsi="宋体" w:eastAsia="宋体" w:cs="宋体"/>
          <w:b/>
          <w:bCs/>
          <w:color w:val="auto"/>
          <w:sz w:val="48"/>
          <w:szCs w:val="48"/>
        </w:rPr>
        <w:t>政府采购合同</w:t>
      </w:r>
    </w:p>
    <w:p>
      <w:pPr>
        <w:keepNext w:val="0"/>
        <w:keepLines w:val="0"/>
        <w:pageBreakBefore w:val="0"/>
        <w:widowControl/>
        <w:kinsoku w:val="0"/>
        <w:wordWrap/>
        <w:overflowPunct/>
        <w:topLinePunct w:val="0"/>
        <w:autoSpaceDE w:val="0"/>
        <w:autoSpaceDN w:val="0"/>
        <w:bidi w:val="0"/>
        <w:adjustRightInd w:val="0"/>
        <w:snapToGrid w:val="0"/>
        <w:ind w:firstLine="562" w:firstLineChars="200"/>
        <w:jc w:val="center"/>
        <w:textAlignment w:val="baseline"/>
        <w:rPr>
          <w:rFonts w:hint="eastAsia" w:ascii="宋体" w:hAnsi="宋体" w:eastAsia="宋体" w:cs="宋体"/>
          <w:b/>
          <w:bCs/>
          <w:color w:val="auto"/>
          <w:sz w:val="28"/>
          <w:szCs w:val="28"/>
        </w:rPr>
      </w:pP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b w:val="0"/>
          <w:bCs w:val="0"/>
          <w:color w:val="auto"/>
          <w:sz w:val="32"/>
          <w:szCs w:val="32"/>
        </w:rPr>
      </w:pPr>
      <w:r>
        <w:rPr>
          <w:rFonts w:hint="eastAsia" w:ascii="宋体" w:hAnsi="宋体" w:eastAsia="宋体" w:cs="宋体"/>
          <w:b w:val="0"/>
          <w:bCs w:val="0"/>
          <w:color w:val="auto"/>
          <w:sz w:val="32"/>
          <w:szCs w:val="32"/>
        </w:rPr>
        <w:t>甲方：</w:t>
      </w:r>
      <w:r>
        <w:rPr>
          <w:rFonts w:hint="eastAsia" w:ascii="宋体" w:hAnsi="宋体" w:eastAsia="宋体" w:cs="宋体"/>
          <w:b w:val="0"/>
          <w:bCs w:val="0"/>
          <w:color w:val="auto"/>
          <w:spacing w:val="5"/>
          <w:sz w:val="32"/>
          <w:szCs w:val="32"/>
        </w:rPr>
        <w:t>包头市公安局</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b w:val="0"/>
          <w:bCs w:val="0"/>
          <w:color w:val="auto"/>
          <w:sz w:val="32"/>
          <w:szCs w:val="32"/>
        </w:rPr>
      </w:pPr>
      <w:r>
        <w:rPr>
          <w:rFonts w:hint="eastAsia" w:ascii="宋体" w:hAnsi="宋体" w:eastAsia="宋体" w:cs="宋体"/>
          <w:b w:val="0"/>
          <w:bCs w:val="0"/>
          <w:color w:val="auto"/>
          <w:sz w:val="32"/>
          <w:szCs w:val="32"/>
        </w:rPr>
        <w:t>地址 (详细地址) ：</w:t>
      </w:r>
      <w:r>
        <w:rPr>
          <w:rFonts w:hint="eastAsia" w:ascii="宋体" w:hAnsi="宋体" w:eastAsia="宋体" w:cs="宋体"/>
          <w:b w:val="0"/>
          <w:bCs w:val="0"/>
          <w:color w:val="auto"/>
          <w:spacing w:val="-6"/>
          <w:sz w:val="32"/>
          <w:szCs w:val="32"/>
        </w:rPr>
        <w:t>包头市青山区建设路191号</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b w:val="0"/>
          <w:bCs w:val="0"/>
          <w:color w:val="auto"/>
          <w:sz w:val="32"/>
          <w:szCs w:val="32"/>
        </w:rPr>
      </w:pPr>
      <w:r>
        <w:rPr>
          <w:rFonts w:hint="eastAsia" w:ascii="宋体" w:hAnsi="宋体" w:eastAsia="宋体" w:cs="宋体"/>
          <w:b w:val="0"/>
          <w:bCs w:val="0"/>
          <w:color w:val="auto"/>
          <w:sz w:val="32"/>
          <w:szCs w:val="32"/>
        </w:rPr>
        <w:t>乙方：</w:t>
      </w:r>
      <w:r>
        <w:rPr>
          <w:rFonts w:hint="eastAsia" w:ascii="宋体" w:hAnsi="宋体" w:eastAsia="宋体" w:cs="宋体"/>
          <w:b w:val="0"/>
          <w:bCs w:val="0"/>
          <w:color w:val="auto"/>
          <w:sz w:val="32"/>
          <w:szCs w:val="32"/>
          <w:lang w:val="en-US" w:eastAsia="zh-CN"/>
        </w:rPr>
        <w:t>华动泰越科技有限责任公司</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b w:val="0"/>
          <w:bCs w:val="0"/>
          <w:color w:val="auto"/>
          <w:sz w:val="32"/>
          <w:szCs w:val="32"/>
          <w:highlight w:val="none"/>
        </w:rPr>
      </w:pPr>
      <w:r>
        <w:rPr>
          <w:rFonts w:hint="eastAsia" w:ascii="宋体" w:hAnsi="宋体" w:eastAsia="宋体" w:cs="宋体"/>
          <w:b w:val="0"/>
          <w:bCs w:val="0"/>
          <w:color w:val="auto"/>
          <w:sz w:val="32"/>
          <w:szCs w:val="32"/>
        </w:rPr>
        <w:t>地址 (详细地址) ：内蒙古自治区呼和浩特市新城区成吉思汗大街与比塞塔商业街交汇</w:t>
      </w:r>
      <w:r>
        <w:rPr>
          <w:rFonts w:hint="eastAsia" w:ascii="宋体" w:hAnsi="宋体" w:eastAsia="宋体" w:cs="宋体"/>
          <w:b w:val="0"/>
          <w:bCs w:val="0"/>
          <w:color w:val="auto"/>
          <w:sz w:val="32"/>
          <w:szCs w:val="32"/>
          <w:highlight w:val="none"/>
        </w:rPr>
        <w:t>处金茂中心B2</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合同号：</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根据《中华人民共和国政府采购法》、《中华人民共和国民法典》等相关法律法规，甲、乙双方就</w:t>
      </w:r>
      <w:r>
        <w:rPr>
          <w:rFonts w:hint="eastAsia" w:ascii="宋体" w:hAnsi="宋体" w:eastAsia="宋体" w:cs="宋体"/>
          <w:color w:val="auto"/>
          <w:sz w:val="32"/>
          <w:szCs w:val="32"/>
          <w:lang w:eastAsia="zh-CN"/>
        </w:rPr>
        <w:t>（</w:t>
      </w:r>
      <w:r>
        <w:rPr>
          <w:rFonts w:hint="eastAsia" w:ascii="宋体" w:hAnsi="宋体" w:eastAsia="宋体" w:cs="宋体"/>
          <w:color w:val="FF0000"/>
          <w:sz w:val="32"/>
          <w:szCs w:val="32"/>
          <w:lang w:eastAsia="zh-CN"/>
        </w:rPr>
        <w:t>治安综合业务应用系统</w:t>
      </w:r>
      <w:r>
        <w:rPr>
          <w:rFonts w:hint="eastAsia" w:ascii="宋体" w:hAnsi="宋体" w:eastAsia="宋体" w:cs="宋体"/>
          <w:color w:val="FF0000"/>
          <w:sz w:val="32"/>
          <w:szCs w:val="32"/>
          <w:lang w:val="en-US" w:eastAsia="zh-CN"/>
        </w:rPr>
        <w:t>项目</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 xml:space="preserve"> (政府采购项目编号、备案编号： BTZC</w:t>
      </w:r>
      <w:r>
        <w:rPr>
          <w:rFonts w:hint="eastAsia" w:ascii="宋体" w:hAnsi="宋体" w:eastAsia="宋体" w:cs="宋体"/>
          <w:color w:val="auto"/>
          <w:spacing w:val="7"/>
          <w:sz w:val="32"/>
          <w:szCs w:val="32"/>
        </w:rPr>
        <w:t>-</w:t>
      </w:r>
      <w:r>
        <w:rPr>
          <w:rFonts w:hint="eastAsia" w:ascii="宋体" w:hAnsi="宋体" w:eastAsia="宋体" w:cs="宋体"/>
          <w:color w:val="auto"/>
          <w:sz w:val="32"/>
          <w:szCs w:val="32"/>
        </w:rPr>
        <w:t>G</w:t>
      </w:r>
      <w:r>
        <w:rPr>
          <w:rFonts w:hint="eastAsia" w:ascii="宋体" w:hAnsi="宋体" w:eastAsia="宋体" w:cs="宋体"/>
          <w:color w:val="auto"/>
          <w:spacing w:val="7"/>
          <w:sz w:val="32"/>
          <w:szCs w:val="32"/>
        </w:rPr>
        <w:t>-</w:t>
      </w:r>
      <w:r>
        <w:rPr>
          <w:rFonts w:hint="eastAsia" w:ascii="宋体" w:hAnsi="宋体" w:eastAsia="宋体" w:cs="宋体"/>
          <w:color w:val="auto"/>
          <w:sz w:val="32"/>
          <w:szCs w:val="32"/>
        </w:rPr>
        <w:t>F</w:t>
      </w:r>
      <w:r>
        <w:rPr>
          <w:rFonts w:hint="eastAsia" w:ascii="宋体" w:hAnsi="宋体" w:eastAsia="宋体" w:cs="宋体"/>
          <w:color w:val="auto"/>
          <w:spacing w:val="7"/>
          <w:sz w:val="32"/>
          <w:szCs w:val="32"/>
        </w:rPr>
        <w:t>-22003</w:t>
      </w:r>
      <w:r>
        <w:rPr>
          <w:rFonts w:hint="eastAsia" w:ascii="宋体" w:hAnsi="宋体" w:eastAsia="宋体" w:cs="宋体"/>
          <w:color w:val="auto"/>
          <w:spacing w:val="4"/>
          <w:sz w:val="32"/>
          <w:szCs w:val="32"/>
        </w:rPr>
        <w:t>2</w:t>
      </w:r>
      <w:r>
        <w:rPr>
          <w:rFonts w:hint="eastAsia" w:ascii="宋体" w:hAnsi="宋体" w:eastAsia="宋体" w:cs="宋体"/>
          <w:color w:val="auto"/>
          <w:spacing w:val="4"/>
          <w:sz w:val="32"/>
          <w:szCs w:val="32"/>
          <w:lang w:eastAsia="zh-CN"/>
        </w:rPr>
        <w:t>、</w:t>
      </w:r>
      <w:r>
        <w:rPr>
          <w:rFonts w:hint="eastAsia" w:ascii="宋体" w:hAnsi="宋体" w:eastAsia="宋体" w:cs="宋体"/>
          <w:color w:val="auto"/>
          <w:spacing w:val="17"/>
          <w:position w:val="3"/>
          <w:sz w:val="32"/>
          <w:szCs w:val="32"/>
        </w:rPr>
        <w:t>包采备字[2022]04564号</w:t>
      </w:r>
      <w:r>
        <w:rPr>
          <w:rFonts w:hint="eastAsia" w:ascii="宋体" w:hAnsi="宋体" w:eastAsia="宋体" w:cs="宋体"/>
          <w:color w:val="auto"/>
          <w:sz w:val="32"/>
          <w:szCs w:val="32"/>
        </w:rPr>
        <w:t>) ，经平等自愿协商一致达成合同如下：</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一、合同文件</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本合同所附下列文件是构成本合同不可分割的部分：</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1、合同格式以及合同条款</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2、中标结果公告及中标通知书</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3、招标文件</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4、投标文件</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5、变更合同</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二、本合同所提供的标的物、数量及规格等详见中标结果公告及后附清单。</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三、合同金额</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default" w:ascii="宋体" w:hAnsi="宋体" w:eastAsia="宋体" w:cs="宋体"/>
          <w:color w:val="auto"/>
          <w:sz w:val="32"/>
          <w:szCs w:val="32"/>
          <w:lang w:val="en-US" w:eastAsia="zh-CN"/>
        </w:rPr>
      </w:pPr>
      <w:r>
        <w:rPr>
          <w:rFonts w:hint="eastAsia" w:ascii="宋体" w:hAnsi="宋体" w:eastAsia="宋体" w:cs="宋体"/>
          <w:color w:val="auto"/>
          <w:sz w:val="32"/>
          <w:szCs w:val="32"/>
        </w:rPr>
        <w:t>合同金额为人民币2488760元，大写：</w:t>
      </w:r>
      <w:r>
        <w:rPr>
          <w:rFonts w:hint="eastAsia" w:ascii="宋体" w:hAnsi="宋体" w:eastAsia="宋体" w:cs="宋体"/>
          <w:color w:val="auto"/>
          <w:sz w:val="32"/>
          <w:szCs w:val="32"/>
          <w:lang w:val="en-US" w:eastAsia="zh-CN"/>
        </w:rPr>
        <w:t>贰佰肆拾捌万捌仟柒佰陆拾元整</w:t>
      </w:r>
    </w:p>
    <w:p>
      <w:pPr>
        <w:keepNext w:val="0"/>
        <w:keepLines w:val="0"/>
        <w:pageBreakBefore w:val="0"/>
        <w:widowControl/>
        <w:numPr>
          <w:ilvl w:val="0"/>
          <w:numId w:val="2"/>
        </w:numPr>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付款方式及时间</w:t>
      </w:r>
    </w:p>
    <w:p>
      <w:pPr>
        <w:keepNext w:val="0"/>
        <w:keepLines w:val="0"/>
        <w:pageBreakBefore w:val="0"/>
        <w:widowControl/>
        <w:numPr>
          <w:ilvl w:val="0"/>
          <w:numId w:val="3"/>
        </w:numPr>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付款方式：</w:t>
      </w:r>
      <w:r>
        <w:rPr>
          <w:rFonts w:hint="eastAsia" w:ascii="宋体" w:hAnsi="宋体" w:eastAsia="宋体" w:cs="宋体"/>
          <w:color w:val="auto"/>
          <w:sz w:val="32"/>
          <w:szCs w:val="32"/>
          <w:highlight w:val="none"/>
          <w:lang w:val="en-US" w:eastAsia="zh-CN"/>
        </w:rPr>
        <w:t>以银行转账方式</w:t>
      </w:r>
      <w:r>
        <w:rPr>
          <w:rFonts w:hint="eastAsia" w:ascii="宋体" w:hAnsi="宋体" w:eastAsia="宋体" w:cs="宋体"/>
          <w:color w:val="auto"/>
          <w:sz w:val="32"/>
          <w:szCs w:val="32"/>
          <w:highlight w:val="none"/>
        </w:rPr>
        <w:t>分</w:t>
      </w:r>
      <w:r>
        <w:rPr>
          <w:rFonts w:hint="eastAsia" w:ascii="宋体" w:hAnsi="宋体" w:eastAsia="宋体" w:cs="宋体"/>
          <w:color w:val="auto"/>
          <w:sz w:val="32"/>
          <w:szCs w:val="32"/>
          <w:highlight w:val="none"/>
          <w:lang w:val="en-US" w:eastAsia="zh-CN"/>
        </w:rPr>
        <w:t>三</w:t>
      </w:r>
      <w:r>
        <w:rPr>
          <w:rFonts w:hint="eastAsia" w:ascii="宋体" w:hAnsi="宋体" w:eastAsia="宋体" w:cs="宋体"/>
          <w:color w:val="auto"/>
          <w:sz w:val="32"/>
          <w:szCs w:val="32"/>
          <w:highlight w:val="none"/>
        </w:rPr>
        <w:t xml:space="preserve">期付款 </w:t>
      </w:r>
    </w:p>
    <w:p>
      <w:pPr>
        <w:keepNext w:val="0"/>
        <w:keepLines w:val="0"/>
        <w:pageBreakBefore w:val="0"/>
        <w:widowControl/>
        <w:numPr>
          <w:ilvl w:val="0"/>
          <w:numId w:val="3"/>
        </w:numPr>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付款</w:t>
      </w:r>
      <w:r>
        <w:rPr>
          <w:rFonts w:hint="eastAsia" w:ascii="宋体" w:hAnsi="宋体" w:eastAsia="宋体" w:cs="宋体"/>
          <w:color w:val="FF0000"/>
          <w:sz w:val="32"/>
          <w:szCs w:val="32"/>
          <w:highlight w:val="none"/>
          <w:lang w:val="en-US" w:eastAsia="zh-CN"/>
        </w:rPr>
        <w:t>时间</w:t>
      </w:r>
      <w:r>
        <w:rPr>
          <w:rFonts w:hint="eastAsia" w:ascii="宋体" w:hAnsi="宋体" w:eastAsia="宋体" w:cs="宋体"/>
          <w:color w:val="auto"/>
          <w:sz w:val="32"/>
          <w:szCs w:val="32"/>
          <w:highlight w:val="none"/>
          <w:lang w:val="en-US" w:eastAsia="zh-CN"/>
        </w:rPr>
        <w:t>及</w:t>
      </w:r>
      <w:r>
        <w:rPr>
          <w:rFonts w:hint="eastAsia" w:ascii="宋体" w:hAnsi="宋体" w:eastAsia="宋体" w:cs="宋体"/>
          <w:color w:val="auto"/>
          <w:sz w:val="32"/>
          <w:szCs w:val="32"/>
          <w:highlight w:val="none"/>
        </w:rPr>
        <w:t>比例：</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FF0000"/>
          <w:sz w:val="32"/>
          <w:szCs w:val="32"/>
          <w:lang w:eastAsia="zh-CN"/>
        </w:rPr>
      </w:pPr>
      <w:r>
        <w:rPr>
          <w:rFonts w:hint="eastAsia" w:ascii="宋体" w:hAnsi="宋体" w:eastAsia="宋体" w:cs="宋体"/>
          <w:color w:val="FF0000"/>
          <w:sz w:val="32"/>
          <w:szCs w:val="32"/>
        </w:rPr>
        <w:t>经双方确认金额款项无误后，由乙方向甲方递交书面付款申请，并附相关材料，由甲方报财政审批</w:t>
      </w:r>
      <w:r>
        <w:rPr>
          <w:rFonts w:hint="eastAsia" w:ascii="宋体" w:hAnsi="宋体" w:eastAsia="宋体" w:cs="宋体"/>
          <w:color w:val="FF0000"/>
          <w:sz w:val="32"/>
          <w:szCs w:val="32"/>
          <w:lang w:eastAsia="zh-CN"/>
        </w:rPr>
        <w:t>，财政将货款拨付至甲方账户之日起30日内，甲方应当按本合同约定及时向乙方支付货款。</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FF0000"/>
          <w:sz w:val="32"/>
          <w:szCs w:val="32"/>
          <w:lang w:val="en-US" w:eastAsia="zh-CN"/>
        </w:rPr>
      </w:pPr>
      <w:r>
        <w:rPr>
          <w:rFonts w:hint="eastAsia" w:ascii="宋体" w:hAnsi="宋体" w:eastAsia="宋体" w:cs="宋体"/>
          <w:color w:val="FF0000"/>
          <w:sz w:val="32"/>
          <w:szCs w:val="32"/>
          <w:lang w:val="en-US" w:eastAsia="zh-CN"/>
        </w:rPr>
        <w:t>具体</w:t>
      </w:r>
      <w:r>
        <w:rPr>
          <w:rFonts w:hint="eastAsia" w:ascii="宋体" w:hAnsi="宋体" w:eastAsia="宋体" w:cs="宋体"/>
          <w:color w:val="FF0000"/>
          <w:sz w:val="32"/>
          <w:szCs w:val="32"/>
        </w:rPr>
        <w:t>各阶段付款流程以此为准</w:t>
      </w:r>
      <w:r>
        <w:rPr>
          <w:rFonts w:hint="eastAsia" w:ascii="宋体" w:hAnsi="宋体" w:eastAsia="宋体" w:cs="宋体"/>
          <w:color w:val="FF0000"/>
          <w:sz w:val="32"/>
          <w:szCs w:val="32"/>
          <w:lang w:eastAsia="zh-CN"/>
        </w:rPr>
        <w:t>：</w:t>
      </w:r>
      <w:r>
        <w:rPr>
          <w:rFonts w:hint="eastAsia" w:ascii="宋体" w:hAnsi="宋体" w:eastAsia="宋体" w:cs="宋体"/>
          <w:color w:val="FF0000"/>
          <w:sz w:val="32"/>
          <w:szCs w:val="32"/>
          <w:lang w:val="en-US" w:eastAsia="zh-CN"/>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1期：软件安装调试</w:t>
      </w:r>
      <w:r>
        <w:rPr>
          <w:rFonts w:hint="eastAsia" w:ascii="宋体" w:hAnsi="宋体" w:eastAsia="宋体" w:cs="宋体"/>
          <w:color w:val="auto"/>
          <w:sz w:val="32"/>
          <w:szCs w:val="32"/>
          <w:lang w:val="en-US" w:eastAsia="zh-CN"/>
        </w:rPr>
        <w:t>完成</w:t>
      </w:r>
      <w:r>
        <w:rPr>
          <w:rFonts w:hint="eastAsia" w:ascii="宋体" w:hAnsi="宋体" w:eastAsia="宋体" w:cs="宋体"/>
          <w:color w:val="auto"/>
          <w:sz w:val="32"/>
          <w:szCs w:val="32"/>
        </w:rPr>
        <w:t>后</w:t>
      </w:r>
      <w:r>
        <w:rPr>
          <w:rFonts w:hint="eastAsia" w:ascii="宋体" w:hAnsi="宋体" w:eastAsia="宋体" w:cs="宋体"/>
          <w:color w:val="auto"/>
          <w:sz w:val="32"/>
          <w:szCs w:val="32"/>
          <w:lang w:val="en-US" w:eastAsia="zh-CN"/>
        </w:rPr>
        <w:t>进行初验，</w:t>
      </w:r>
      <w:r>
        <w:rPr>
          <w:rFonts w:hint="eastAsia" w:ascii="宋体" w:hAnsi="宋体" w:eastAsia="宋体" w:cs="宋体"/>
          <w:color w:val="auto"/>
          <w:sz w:val="32"/>
          <w:szCs w:val="32"/>
        </w:rPr>
        <w:t>支付合同总金额的30%</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2期：</w:t>
      </w:r>
      <w:r>
        <w:rPr>
          <w:rFonts w:hint="eastAsia" w:ascii="宋体" w:hAnsi="宋体" w:eastAsia="宋体" w:cs="宋体"/>
          <w:color w:val="auto"/>
          <w:sz w:val="32"/>
          <w:szCs w:val="32"/>
          <w:lang w:val="en-US" w:eastAsia="zh-CN"/>
        </w:rPr>
        <w:t>试运行一个月后进行终检，</w:t>
      </w:r>
      <w:r>
        <w:rPr>
          <w:rFonts w:hint="eastAsia" w:ascii="宋体" w:hAnsi="宋体" w:eastAsia="宋体" w:cs="宋体"/>
          <w:color w:val="auto"/>
          <w:sz w:val="32"/>
          <w:szCs w:val="32"/>
        </w:rPr>
        <w:t>采购人组织验收，验收通过后</w:t>
      </w:r>
      <w:r>
        <w:rPr>
          <w:rFonts w:hint="eastAsia" w:ascii="宋体" w:hAnsi="宋体" w:eastAsia="宋体" w:cs="宋体"/>
          <w:color w:val="auto"/>
          <w:sz w:val="32"/>
          <w:szCs w:val="32"/>
          <w:lang w:val="en-US" w:eastAsia="zh-CN"/>
        </w:rPr>
        <w:t>进行结算审计，支付至审定金额的9</w:t>
      </w:r>
      <w:r>
        <w:rPr>
          <w:rFonts w:hint="eastAsia" w:ascii="宋体" w:hAnsi="宋体" w:eastAsia="宋体" w:cs="宋体"/>
          <w:color w:val="auto"/>
          <w:sz w:val="32"/>
          <w:szCs w:val="32"/>
        </w:rPr>
        <w:t>0%。</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40" w:firstLineChars="200"/>
        <w:textAlignment w:val="baseline"/>
        <w:rPr>
          <w:rFonts w:hint="default" w:ascii="宋体" w:hAnsi="宋体" w:eastAsia="宋体" w:cs="宋体"/>
          <w:color w:val="auto"/>
          <w:sz w:val="32"/>
          <w:szCs w:val="32"/>
          <w:lang w:val="en-US" w:eastAsia="zh-CN"/>
        </w:rPr>
      </w:pPr>
      <w:r>
        <w:rPr>
          <w:rFonts w:hint="eastAsia" w:ascii="宋体" w:hAnsi="宋体" w:eastAsia="宋体" w:cs="宋体"/>
          <w:color w:val="auto"/>
          <w:sz w:val="32"/>
          <w:szCs w:val="32"/>
        </w:rPr>
        <w:t>3期：</w:t>
      </w:r>
      <w:r>
        <w:rPr>
          <w:rFonts w:hint="eastAsia" w:ascii="宋体" w:hAnsi="宋体" w:eastAsia="宋体" w:cs="宋体"/>
          <w:color w:val="auto"/>
          <w:sz w:val="32"/>
          <w:szCs w:val="32"/>
          <w:lang w:val="en-US" w:eastAsia="zh-CN"/>
        </w:rPr>
        <w:t>终检合格后，十二个月后一次性支付剩余</w:t>
      </w:r>
      <w:r>
        <w:rPr>
          <w:rFonts w:hint="eastAsia" w:ascii="宋体" w:hAnsi="宋体" w:eastAsia="宋体" w:cs="宋体"/>
          <w:color w:val="auto"/>
          <w:sz w:val="32"/>
          <w:szCs w:val="32"/>
        </w:rPr>
        <w:t>10%</w:t>
      </w:r>
      <w:r>
        <w:rPr>
          <w:rFonts w:hint="eastAsia" w:ascii="宋体" w:hAnsi="宋体" w:eastAsia="宋体" w:cs="宋体"/>
          <w:color w:val="auto"/>
          <w:sz w:val="32"/>
          <w:szCs w:val="32"/>
          <w:lang w:val="en-US" w:eastAsia="zh-CN"/>
        </w:rPr>
        <w:t>到指定账户。</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3.乙方应向甲方开具等额增值税发票，甲方见发票履行付款义务。  </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五、交货安装</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交货时间：合同签订后3个月</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交货地点：采购人指定地点</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六、质量</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1.质保期：一年。</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乙方提供的标的物应符合国家相关质量验收标准，提供的相关服务符合国家 (或行业) 规定标准。</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七、包装</w:t>
      </w:r>
    </w:p>
    <w:p>
      <w:pPr>
        <w:autoSpaceDE w:val="0"/>
        <w:autoSpaceDN w:val="0"/>
        <w:spacing w:line="276" w:lineRule="auto"/>
        <w:ind w:firstLine="640" w:firstLineChars="200"/>
        <w:jc w:val="left"/>
        <w:rPr>
          <w:rFonts w:ascii="宋体" w:hAnsi="宋体" w:cs="宋体"/>
          <w:kern w:val="0"/>
          <w:sz w:val="32"/>
          <w:szCs w:val="32"/>
          <w:highlight w:val="none"/>
        </w:rPr>
      </w:pPr>
      <w:r>
        <w:rPr>
          <w:rFonts w:hint="eastAsia" w:ascii="宋体" w:hAnsi="宋体" w:cs="宋体"/>
          <w:kern w:val="0"/>
          <w:sz w:val="32"/>
          <w:szCs w:val="32"/>
          <w:highlight w:val="none"/>
        </w:rPr>
        <w:t>标的物的包装应按照国家或者行业主管部门的技术规定执行，国家或业务主管部门无技术规定的，应当按双方约定采取足以保护标的物安全。</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八、运输要求</w:t>
      </w:r>
    </w:p>
    <w:p>
      <w:pPr>
        <w:autoSpaceDE w:val="0"/>
        <w:autoSpaceDN w:val="0"/>
        <w:spacing w:line="276" w:lineRule="auto"/>
        <w:ind w:firstLine="640" w:firstLineChars="200"/>
        <w:jc w:val="left"/>
        <w:rPr>
          <w:rFonts w:ascii="宋体" w:hAnsi="宋体" w:cs="宋体"/>
          <w:kern w:val="0"/>
          <w:sz w:val="32"/>
          <w:szCs w:val="32"/>
          <w:highlight w:val="none"/>
        </w:rPr>
      </w:pPr>
      <w:r>
        <w:rPr>
          <w:rFonts w:hint="eastAsia" w:ascii="宋体" w:hAnsi="宋体" w:cs="宋体"/>
          <w:kern w:val="0"/>
          <w:sz w:val="32"/>
          <w:szCs w:val="32"/>
          <w:highlight w:val="none"/>
        </w:rPr>
        <w:t>（一）运输方式及线路：按甲方要求。</w:t>
      </w:r>
    </w:p>
    <w:p>
      <w:pPr>
        <w:autoSpaceDE w:val="0"/>
        <w:autoSpaceDN w:val="0"/>
        <w:spacing w:line="276" w:lineRule="auto"/>
        <w:ind w:firstLine="640" w:firstLineChars="200"/>
        <w:jc w:val="left"/>
        <w:rPr>
          <w:rFonts w:ascii="宋体" w:hAnsi="宋体" w:cs="宋体"/>
          <w:kern w:val="0"/>
          <w:sz w:val="32"/>
          <w:szCs w:val="32"/>
          <w:highlight w:val="none"/>
        </w:rPr>
      </w:pPr>
      <w:r>
        <w:rPr>
          <w:rFonts w:hint="eastAsia" w:ascii="宋体" w:hAnsi="宋体" w:cs="宋体"/>
          <w:kern w:val="0"/>
          <w:sz w:val="32"/>
          <w:szCs w:val="32"/>
          <w:highlight w:val="none"/>
        </w:rPr>
        <w:t>（二）运输及相关费用由乙方承担。</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九、</w:t>
      </w:r>
      <w:r>
        <w:rPr>
          <w:rFonts w:hint="eastAsia" w:ascii="宋体" w:hAnsi="宋体" w:eastAsia="宋体" w:cs="宋体"/>
          <w:color w:val="auto"/>
          <w:sz w:val="32"/>
          <w:szCs w:val="32"/>
        </w:rPr>
        <w:t>知识产权</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乙方应保证甲方在中国境内使用标的物或标的物的任何一部分时，免受第三方提出的侵犯其知识产权的诉讼。</w:t>
      </w:r>
    </w:p>
    <w:p>
      <w:pPr>
        <w:autoSpaceDE w:val="0"/>
        <w:autoSpaceDN w:val="0"/>
        <w:spacing w:line="276" w:lineRule="auto"/>
        <w:ind w:firstLine="640" w:firstLineChars="200"/>
        <w:jc w:val="left"/>
        <w:rPr>
          <w:rFonts w:ascii="宋体" w:hAnsi="宋体" w:cs="宋体"/>
          <w:kern w:val="0"/>
          <w:sz w:val="32"/>
          <w:szCs w:val="32"/>
          <w:highlight w:val="none"/>
        </w:rPr>
      </w:pPr>
      <w:r>
        <w:rPr>
          <w:rFonts w:hint="eastAsia" w:ascii="宋体" w:hAnsi="宋体" w:cs="宋体"/>
          <w:kern w:val="0"/>
          <w:sz w:val="32"/>
          <w:szCs w:val="32"/>
          <w:highlight w:val="none"/>
        </w:rPr>
        <w:t>乙方保证所提供的合同货物未侵犯任何第三方的合法权益，若乙方向甲方提供的软件</w:t>
      </w:r>
      <w:r>
        <w:rPr>
          <w:rFonts w:hint="eastAsia" w:ascii="宋体" w:hAnsi="宋体" w:eastAsia="宋体" w:cs="宋体"/>
          <w:kern w:val="0"/>
          <w:sz w:val="32"/>
          <w:szCs w:val="32"/>
          <w:highlight w:val="none"/>
          <w:lang w:val="en-US" w:eastAsia="zh-CN"/>
        </w:rPr>
        <w:t>服务</w:t>
      </w:r>
      <w:r>
        <w:rPr>
          <w:rFonts w:hint="eastAsia" w:ascii="宋体" w:hAnsi="宋体" w:cs="宋体"/>
          <w:kern w:val="0"/>
          <w:sz w:val="32"/>
          <w:szCs w:val="32"/>
          <w:highlight w:val="none"/>
        </w:rPr>
        <w:t>产品存在知识产权纠纷，甲方不承担任何连带责任。乙方保证本合同项下软件或其授予甲方的权利不会侵犯任何第三人的版权、专利权或商标权等知识产权或其他权利，不违反任何第三方的信息专有权，也没有其他针对乙方拥有软件权利的未决诉讼。并保证甲方行使乙方所授予的软件权利不会侵犯任何第三人的合法权利。</w:t>
      </w:r>
    </w:p>
    <w:p>
      <w:pPr>
        <w:autoSpaceDE w:val="0"/>
        <w:autoSpaceDN w:val="0"/>
        <w:spacing w:line="276" w:lineRule="auto"/>
        <w:ind w:firstLine="640" w:firstLineChars="200"/>
        <w:jc w:val="left"/>
        <w:rPr>
          <w:rFonts w:hint="eastAsia" w:ascii="宋体" w:hAnsi="宋体" w:cs="宋体"/>
          <w:kern w:val="0"/>
          <w:sz w:val="32"/>
          <w:szCs w:val="32"/>
          <w:highlight w:val="none"/>
        </w:rPr>
      </w:pPr>
      <w:r>
        <w:rPr>
          <w:rFonts w:hint="eastAsia" w:ascii="宋体" w:hAnsi="宋体" w:cs="宋体"/>
          <w:kern w:val="0"/>
          <w:sz w:val="32"/>
          <w:szCs w:val="32"/>
          <w:highlight w:val="none"/>
        </w:rPr>
        <w:t>甲乙双方任何一方应尊重和维护对方的知识产权，不得损害对方的形象和合法利益。</w:t>
      </w:r>
    </w:p>
    <w:p>
      <w:pPr>
        <w:numPr>
          <w:ilvl w:val="0"/>
          <w:numId w:val="4"/>
        </w:numPr>
        <w:autoSpaceDE w:val="0"/>
        <w:autoSpaceDN w:val="0"/>
        <w:spacing w:line="276" w:lineRule="auto"/>
        <w:ind w:firstLine="640" w:firstLineChars="200"/>
        <w:jc w:val="left"/>
        <w:rPr>
          <w:rFonts w:hint="eastAsia" w:ascii="宋体" w:hAnsi="宋体" w:cs="宋体"/>
          <w:color w:val="FF0000"/>
          <w:kern w:val="0"/>
          <w:sz w:val="32"/>
          <w:szCs w:val="32"/>
          <w:highlight w:val="none"/>
        </w:rPr>
      </w:pPr>
      <w:r>
        <w:rPr>
          <w:rFonts w:hint="eastAsia" w:ascii="宋体" w:hAnsi="宋体" w:cs="宋体"/>
          <w:color w:val="FF0000"/>
          <w:kern w:val="0"/>
          <w:sz w:val="32"/>
          <w:szCs w:val="32"/>
          <w:highlight w:val="none"/>
        </w:rPr>
        <w:t>本项目</w:t>
      </w:r>
      <w:r>
        <w:rPr>
          <w:rFonts w:hint="eastAsia" w:ascii="宋体" w:hAnsi="宋体" w:eastAsia="宋体" w:cs="宋体"/>
          <w:color w:val="FF0000"/>
          <w:kern w:val="0"/>
          <w:sz w:val="32"/>
          <w:szCs w:val="32"/>
          <w:highlight w:val="none"/>
          <w:lang w:val="en-US" w:eastAsia="zh-CN"/>
        </w:rPr>
        <w:t>非服务部分</w:t>
      </w:r>
      <w:r>
        <w:rPr>
          <w:rFonts w:hint="eastAsia" w:ascii="宋体" w:hAnsi="宋体" w:cs="宋体"/>
          <w:color w:val="FF0000"/>
          <w:kern w:val="0"/>
          <w:sz w:val="32"/>
          <w:szCs w:val="32"/>
          <w:highlight w:val="none"/>
        </w:rPr>
        <w:t>的所有权和知识产权归项目责任单位所有;(2)</w:t>
      </w:r>
      <w:r>
        <w:rPr>
          <w:rFonts w:hint="eastAsia" w:ascii="宋体" w:hAnsi="宋体" w:eastAsia="宋体" w:cs="宋体"/>
          <w:color w:val="FF0000"/>
          <w:kern w:val="0"/>
          <w:sz w:val="32"/>
          <w:szCs w:val="32"/>
          <w:highlight w:val="none"/>
          <w:lang w:val="en-US" w:eastAsia="zh-CN"/>
        </w:rPr>
        <w:t>本项目非服务部分</w:t>
      </w:r>
      <w:r>
        <w:rPr>
          <w:rFonts w:hint="eastAsia" w:ascii="宋体" w:hAnsi="宋体" w:cs="宋体"/>
          <w:color w:val="FF0000"/>
          <w:kern w:val="0"/>
          <w:sz w:val="32"/>
          <w:szCs w:val="32"/>
          <w:highlight w:val="none"/>
        </w:rPr>
        <w:t>涉及的源代码(含质保期内的后续升级版本)必须遵循相关标准和规范，并无条件提交给项目责任单位:(3)涉及接口的，必须薄循相关标准和规范。向下部署的，必须无条件开放所有接口且满足国家共享相关规定要求。项目承建单位(施工单位、实施单位)有义务配合项目责任单位做好有关信息共享工作:(4)本项目在开发、使用和维护过程中接触到的项目责任单位所有资料，未经项目责任单位授权代表书面许可，不得留存，私自查阅及向第三方泄露;(5)本项目的设计开发专利申请权、技术秘密的使用权和转让权归项目责任单位所有。</w:t>
      </w:r>
      <w:r>
        <w:rPr>
          <w:rFonts w:hint="eastAsia" w:ascii="宋体" w:hAnsi="宋体" w:eastAsia="宋体" w:cs="宋体"/>
          <w:color w:val="FF0000"/>
          <w:kern w:val="0"/>
          <w:sz w:val="32"/>
          <w:szCs w:val="32"/>
          <w:highlight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十</w:t>
      </w:r>
      <w:r>
        <w:rPr>
          <w:rFonts w:hint="eastAsia" w:ascii="宋体" w:hAnsi="宋体" w:eastAsia="宋体" w:cs="宋体"/>
          <w:color w:val="auto"/>
          <w:sz w:val="32"/>
          <w:szCs w:val="32"/>
        </w:rPr>
        <w:t>、验收</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(一) 乙方将标的物</w:t>
      </w:r>
      <w:r>
        <w:rPr>
          <w:rFonts w:hint="eastAsia" w:ascii="宋体" w:hAnsi="宋体" w:eastAsia="宋体" w:cs="宋体"/>
          <w:color w:val="auto"/>
          <w:sz w:val="32"/>
          <w:szCs w:val="32"/>
          <w:lang w:val="en-US" w:eastAsia="zh-CN"/>
        </w:rPr>
        <w:t>交付</w:t>
      </w:r>
      <w:r>
        <w:rPr>
          <w:rFonts w:hint="eastAsia" w:ascii="宋体" w:hAnsi="宋体" w:eastAsia="宋体" w:cs="宋体"/>
          <w:color w:val="auto"/>
          <w:sz w:val="32"/>
          <w:szCs w:val="32"/>
        </w:rPr>
        <w:t>至甲方指定的地点后，由甲乙双方及第三方 (如有)一同验收并签字确认。</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(二) 对标的物的质量问题，甲方应在发现后向乙方提出书面异议，乙方在接到书面异议后，应当在</w:t>
      </w:r>
      <w:r>
        <w:rPr>
          <w:rFonts w:hint="eastAsia" w:ascii="宋体" w:hAnsi="宋体" w:eastAsia="宋体" w:cs="宋体"/>
          <w:color w:val="auto"/>
          <w:sz w:val="32"/>
          <w:szCs w:val="32"/>
          <w:u w:val="single"/>
          <w:lang w:val="en-US" w:eastAsia="zh-CN"/>
        </w:rPr>
        <w:t>3</w:t>
      </w:r>
      <w:r>
        <w:rPr>
          <w:rFonts w:hint="eastAsia" w:ascii="宋体" w:hAnsi="宋体" w:eastAsia="宋体" w:cs="宋体"/>
          <w:color w:val="auto"/>
          <w:sz w:val="32"/>
          <w:szCs w:val="32"/>
          <w:lang w:val="en-US" w:eastAsia="zh-CN"/>
        </w:rPr>
        <w:t>个工作</w:t>
      </w:r>
      <w:r>
        <w:rPr>
          <w:rFonts w:hint="eastAsia" w:ascii="宋体" w:hAnsi="宋体" w:eastAsia="宋体" w:cs="宋体"/>
          <w:color w:val="auto"/>
          <w:sz w:val="32"/>
          <w:szCs w:val="32"/>
        </w:rPr>
        <w:t>日内负责处理。甲方逾期提出的，对所交标的物视为符合合同的规定。如果乙方在投标文件及谈判过程中做出的书面说明及承诺中，有明确质量保证期的，适用质量保证期。</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lang w:eastAsia="zh-CN"/>
        </w:rPr>
      </w:pPr>
      <w:r>
        <w:rPr>
          <w:rFonts w:hint="eastAsia" w:ascii="宋体" w:hAnsi="宋体" w:eastAsia="宋体" w:cs="宋体"/>
          <w:color w:val="auto"/>
          <w:sz w:val="32"/>
          <w:szCs w:val="32"/>
        </w:rPr>
        <w:t>(三) 经双方共同验收，标的物达不到质量或规格要求的，甲方可以拒收，并可解除合同且不承担任何法律责任</w:t>
      </w:r>
      <w:r>
        <w:rPr>
          <w:rFonts w:hint="eastAsia" w:ascii="宋体" w:hAnsi="宋体" w:eastAsia="宋体" w:cs="宋体"/>
          <w:color w:val="auto"/>
          <w:sz w:val="32"/>
          <w:szCs w:val="32"/>
          <w:lang w:eastAsia="zh-CN"/>
        </w:rPr>
        <w:t>。</w:t>
      </w:r>
    </w:p>
    <w:p>
      <w:pPr>
        <w:autoSpaceDE w:val="0"/>
        <w:autoSpaceDN w:val="0"/>
        <w:spacing w:line="276" w:lineRule="auto"/>
        <w:ind w:firstLine="640" w:firstLineChars="200"/>
        <w:jc w:val="left"/>
        <w:rPr>
          <w:rFonts w:ascii="宋体" w:hAnsi="宋体" w:cs="宋体"/>
          <w:color w:val="FF0000"/>
          <w:kern w:val="0"/>
          <w:sz w:val="32"/>
          <w:szCs w:val="32"/>
        </w:rPr>
      </w:pPr>
      <w:r>
        <w:rPr>
          <w:rFonts w:ascii="宋体" w:hAnsi="宋体" w:cs="宋体"/>
          <w:color w:val="FF0000"/>
          <w:kern w:val="0"/>
          <w:sz w:val="32"/>
          <w:szCs w:val="32"/>
        </w:rPr>
        <w:t>(</w:t>
      </w:r>
      <w:r>
        <w:rPr>
          <w:rFonts w:hint="eastAsia" w:ascii="宋体" w:hAnsi="宋体" w:cs="宋体"/>
          <w:color w:val="FF0000"/>
          <w:kern w:val="0"/>
          <w:sz w:val="32"/>
          <w:szCs w:val="32"/>
        </w:rPr>
        <w:t>四</w:t>
      </w:r>
      <w:r>
        <w:rPr>
          <w:rFonts w:ascii="宋体" w:hAnsi="宋体" w:cs="宋体"/>
          <w:color w:val="FF0000"/>
          <w:kern w:val="0"/>
          <w:sz w:val="32"/>
          <w:szCs w:val="32"/>
        </w:rPr>
        <w:t>)质量验收</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w:t>
      </w:r>
      <w:r>
        <w:rPr>
          <w:rFonts w:ascii="宋体" w:hAnsi="宋体" w:cs="宋体"/>
          <w:color w:val="FF0000"/>
          <w:kern w:val="0"/>
          <w:sz w:val="32"/>
          <w:szCs w:val="32"/>
        </w:rPr>
        <w:t>1）乙方组织内测工作，对系统功能模块进行测试，并需要有测试人员、时间、测试人员签字等相关信息。</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w:t>
      </w:r>
      <w:r>
        <w:rPr>
          <w:rFonts w:ascii="宋体" w:hAnsi="宋体" w:cs="宋体"/>
          <w:color w:val="FF0000"/>
          <w:kern w:val="0"/>
          <w:sz w:val="32"/>
          <w:szCs w:val="32"/>
        </w:rPr>
        <w:t>2）对软件系统功能项目、使用时间、知识产权的使用等。</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（五）</w:t>
      </w:r>
      <w:r>
        <w:rPr>
          <w:rFonts w:ascii="宋体" w:hAnsi="宋体" w:cs="宋体"/>
          <w:color w:val="FF0000"/>
          <w:kern w:val="0"/>
          <w:sz w:val="32"/>
          <w:szCs w:val="32"/>
        </w:rPr>
        <w:t>文档验收</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乙方应按照本项目监理单位要求，提交与本合同产品或软件相符的过程资料和验收技术资料，并于项目实施完成后移交给甲方，包括全部系统建设文档、资料、测试、验收报告等及其他双方商定作为文档资料的文件。</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（六）</w:t>
      </w:r>
      <w:r>
        <w:rPr>
          <w:rFonts w:ascii="宋体" w:hAnsi="宋体" w:cs="宋体"/>
          <w:color w:val="FF0000"/>
          <w:kern w:val="0"/>
          <w:sz w:val="32"/>
          <w:szCs w:val="32"/>
        </w:rPr>
        <w:t>验收过程</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w:t>
      </w:r>
      <w:r>
        <w:rPr>
          <w:rFonts w:ascii="宋体" w:hAnsi="宋体" w:cs="宋体"/>
          <w:color w:val="FF0000"/>
          <w:kern w:val="0"/>
          <w:sz w:val="32"/>
          <w:szCs w:val="32"/>
        </w:rPr>
        <w:t>1）项目建设完成后，乙方应以书面形式向本项目监理单位和甲方授权代表提交验收申请。经监理单位核定验收条件，报甲方同意后，由甲方组织验收小组进行初验工作，并签署验收报告。</w:t>
      </w:r>
    </w:p>
    <w:p>
      <w:pPr>
        <w:autoSpaceDE w:val="0"/>
        <w:autoSpaceDN w:val="0"/>
        <w:spacing w:line="276" w:lineRule="auto"/>
        <w:ind w:firstLine="640" w:firstLineChars="200"/>
        <w:jc w:val="left"/>
        <w:rPr>
          <w:rFonts w:ascii="宋体" w:hAnsi="宋体" w:cs="宋体"/>
          <w:color w:val="FF0000"/>
          <w:kern w:val="0"/>
          <w:sz w:val="32"/>
          <w:szCs w:val="32"/>
        </w:rPr>
      </w:pPr>
      <w:r>
        <w:rPr>
          <w:rFonts w:hint="eastAsia" w:ascii="宋体" w:hAnsi="宋体" w:cs="宋体"/>
          <w:color w:val="FF0000"/>
          <w:kern w:val="0"/>
          <w:sz w:val="32"/>
          <w:szCs w:val="32"/>
        </w:rPr>
        <w:t>（</w:t>
      </w:r>
      <w:r>
        <w:rPr>
          <w:rFonts w:ascii="宋体" w:hAnsi="宋体" w:cs="宋体"/>
          <w:color w:val="FF0000"/>
          <w:kern w:val="0"/>
          <w:sz w:val="32"/>
          <w:szCs w:val="32"/>
        </w:rPr>
        <w:t>2）项目验收是为了检验系统功能的完善性、性能的稳定性以及各分系统的协调性，根据项目验收标准，甲方本着认真负责的态度，组织开展系统验收工作，出具验收报告。验收过程中，乙方应给予充分配合。</w:t>
      </w:r>
    </w:p>
    <w:p>
      <w:pPr>
        <w:autoSpaceDE w:val="0"/>
        <w:autoSpaceDN w:val="0"/>
        <w:spacing w:line="276" w:lineRule="auto"/>
        <w:ind w:firstLine="640" w:firstLineChars="200"/>
        <w:jc w:val="left"/>
        <w:rPr>
          <w:rFonts w:ascii="宋体" w:hAnsi="宋体" w:cs="宋体"/>
          <w:kern w:val="0"/>
          <w:sz w:val="32"/>
          <w:szCs w:val="32"/>
        </w:rPr>
      </w:pPr>
      <w:r>
        <w:rPr>
          <w:rFonts w:hint="eastAsia" w:ascii="宋体" w:hAnsi="宋体" w:cs="宋体"/>
          <w:kern w:val="0"/>
          <w:sz w:val="32"/>
          <w:szCs w:val="32"/>
        </w:rPr>
        <w:t>（七）</w:t>
      </w:r>
      <w:r>
        <w:rPr>
          <w:rFonts w:ascii="宋体" w:hAnsi="宋体" w:cs="宋体"/>
          <w:kern w:val="0"/>
          <w:sz w:val="32"/>
          <w:szCs w:val="32"/>
        </w:rPr>
        <w:t>验收确认</w:t>
      </w:r>
    </w:p>
    <w:p>
      <w:pPr>
        <w:autoSpaceDE w:val="0"/>
        <w:autoSpaceDN w:val="0"/>
        <w:spacing w:line="276" w:lineRule="auto"/>
        <w:ind w:firstLine="640" w:firstLineChars="200"/>
        <w:jc w:val="left"/>
        <w:rPr>
          <w:rFonts w:hint="eastAsia" w:ascii="宋体" w:hAnsi="宋体" w:cs="宋体"/>
          <w:kern w:val="0"/>
          <w:sz w:val="32"/>
          <w:szCs w:val="32"/>
        </w:rPr>
      </w:pPr>
      <w:r>
        <w:rPr>
          <w:rFonts w:hint="eastAsia" w:ascii="宋体" w:hAnsi="宋体" w:cs="宋体"/>
          <w:kern w:val="0"/>
          <w:sz w:val="32"/>
          <w:szCs w:val="32"/>
        </w:rPr>
        <w:t>甲方对乙方提供的软件</w:t>
      </w:r>
      <w:r>
        <w:rPr>
          <w:rFonts w:hint="eastAsia" w:ascii="宋体" w:hAnsi="宋体" w:eastAsia="宋体" w:cs="宋体"/>
          <w:kern w:val="0"/>
          <w:sz w:val="32"/>
          <w:szCs w:val="32"/>
          <w:lang w:eastAsia="zh-CN"/>
        </w:rPr>
        <w:t>及服务</w:t>
      </w:r>
      <w:r>
        <w:rPr>
          <w:rFonts w:hint="eastAsia" w:ascii="宋体" w:hAnsi="宋体" w:cs="宋体"/>
          <w:kern w:val="0"/>
          <w:sz w:val="32"/>
          <w:szCs w:val="32"/>
        </w:rPr>
        <w:t>进行初步验收。最终验收须由乙方提出申请后，由甲方安排交付物的最终验收时间，并组织专家进行最终验收。</w:t>
      </w:r>
    </w:p>
    <w:p>
      <w:pPr>
        <w:numPr>
          <w:ilvl w:val="0"/>
          <w:numId w:val="5"/>
        </w:numPr>
        <w:autoSpaceDE w:val="0"/>
        <w:autoSpaceDN w:val="0"/>
        <w:spacing w:line="276" w:lineRule="auto"/>
        <w:ind w:firstLine="640" w:firstLineChars="200"/>
        <w:jc w:val="left"/>
        <w:rPr>
          <w:rFonts w:hint="eastAsia" w:ascii="宋体" w:hAnsi="宋体" w:cs="宋体"/>
          <w:color w:val="FF0000"/>
          <w:kern w:val="0"/>
          <w:sz w:val="32"/>
          <w:szCs w:val="32"/>
          <w:lang w:val="en-US" w:eastAsia="zh-CN"/>
        </w:rPr>
      </w:pPr>
      <w:r>
        <w:rPr>
          <w:rFonts w:hint="eastAsia" w:ascii="宋体" w:hAnsi="宋体" w:cs="宋体"/>
          <w:color w:val="FF0000"/>
          <w:kern w:val="0"/>
          <w:sz w:val="32"/>
          <w:szCs w:val="32"/>
          <w:lang w:val="en-US" w:eastAsia="zh-CN"/>
        </w:rPr>
        <w:t>运维服务考核评定标准</w:t>
      </w:r>
    </w:p>
    <w:p>
      <w:pPr>
        <w:rPr>
          <w:rFonts w:hint="default" w:eastAsia="宋体"/>
          <w:color w:val="FF0000"/>
          <w:sz w:val="32"/>
          <w:szCs w:val="32"/>
          <w:lang w:val="en-US" w:eastAsia="zh-CN"/>
        </w:rPr>
      </w:pPr>
      <w:r>
        <w:rPr>
          <w:rFonts w:hint="eastAsia" w:eastAsia="宋体"/>
          <w:sz w:val="32"/>
          <w:szCs w:val="32"/>
          <w:lang w:val="en-US" w:eastAsia="zh-CN"/>
        </w:rPr>
        <w:t xml:space="preserve">  </w:t>
      </w:r>
      <w:r>
        <w:rPr>
          <w:rFonts w:hint="eastAsia" w:ascii="宋体" w:hAnsi="宋体" w:cs="宋体"/>
          <w:kern w:val="0"/>
          <w:sz w:val="32"/>
          <w:szCs w:val="32"/>
          <w:lang w:val="en-US" w:eastAsia="zh-CN"/>
        </w:rPr>
        <w:t xml:space="preserve"> </w:t>
      </w:r>
      <w:r>
        <w:rPr>
          <w:rFonts w:hint="eastAsia" w:ascii="宋体" w:hAnsi="宋体" w:cs="宋体"/>
          <w:color w:val="FF0000"/>
          <w:kern w:val="0"/>
          <w:sz w:val="32"/>
          <w:szCs w:val="32"/>
          <w:lang w:val="en-US" w:eastAsia="zh-CN"/>
        </w:rPr>
        <w:t xml:space="preserve"> 为保障项目服务响应及时，并增强服务质量，运维服务考核评定标准按照第十一项：售后服务内容的落实情况进行综合评价。</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 xml:space="preserve"> </w:t>
      </w:r>
      <w:r>
        <w:rPr>
          <w:rFonts w:hint="eastAsia" w:ascii="宋体" w:hAnsi="宋体" w:eastAsia="宋体" w:cs="宋体"/>
          <w:color w:val="auto"/>
          <w:sz w:val="32"/>
          <w:szCs w:val="32"/>
        </w:rPr>
        <w:t>十一、售后服务</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(一) 乙方应按招标文件、投标文件中做出的书面说明或承诺提供及时、快速、优质的售后服务。</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二）其他售后服务内容：</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乙方将</w:t>
      </w:r>
      <w:r>
        <w:rPr>
          <w:rFonts w:hint="eastAsia" w:ascii="宋体" w:hAnsi="宋体" w:eastAsia="宋体" w:cs="宋体"/>
          <w:color w:val="auto"/>
          <w:sz w:val="32"/>
          <w:szCs w:val="32"/>
          <w:highlight w:val="none"/>
        </w:rPr>
        <w:t>为本项目提供1年运维服务，服务内容包含：</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（1）提供6人运维服务团队，运维服务采用远程方式，对全市机修业治安管理、废旧金属回收业管理、开锁业管理、汽车租赁业管理、二手手机交易业</w:t>
      </w:r>
      <w:r>
        <w:rPr>
          <w:rFonts w:hint="eastAsia" w:ascii="宋体" w:hAnsi="宋体" w:eastAsia="宋体" w:cs="宋体"/>
          <w:color w:val="auto"/>
          <w:sz w:val="32"/>
          <w:szCs w:val="32"/>
          <w:highlight w:val="none"/>
          <w:lang w:val="en-US" w:eastAsia="zh-CN"/>
        </w:rPr>
        <w:t>企</w:t>
      </w:r>
      <w:r>
        <w:rPr>
          <w:rFonts w:hint="eastAsia" w:ascii="宋体" w:hAnsi="宋体" w:eastAsia="宋体" w:cs="宋体"/>
          <w:color w:val="auto"/>
          <w:sz w:val="32"/>
          <w:szCs w:val="32"/>
          <w:highlight w:val="none"/>
        </w:rPr>
        <w:t>业提供为期1年的前端软件系统安装、调试、培训和运行维护以及后台系统软件、数据库运行维护工作，民警 问题解答、培训等工作。</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（2）提供2名驻场运维工程师，负责治安防控平台软件、硬件设备、旅馆业后台管理系统进行运维服务 (驻场地点：包头市公安局)；</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（3）提供本地售后服务，提供4人的本地售后服务团队，服务对象涵盖全市的旅馆业业主，为无法通过远程解决问题的业主提供上门服务。</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（4）处理用户现场紧急事件，7*24 小时进行响应支持，按用户规定时间到达现场。</w:t>
      </w:r>
    </w:p>
    <w:p>
      <w:pPr>
        <w:pStyle w:val="2"/>
        <w:numPr>
          <w:numId w:val="0"/>
        </w:numPr>
        <w:ind w:leftChars="0" w:firstLine="640" w:firstLineChars="200"/>
        <w:rPr>
          <w:rFonts w:hint="default" w:eastAsia="宋体"/>
          <w:b w:val="0"/>
          <w:bCs/>
          <w:lang w:val="en-US" w:eastAsia="zh-CN"/>
        </w:rPr>
      </w:pPr>
      <w:r>
        <w:rPr>
          <w:rFonts w:hint="eastAsia" w:ascii="宋体" w:hAnsi="宋体" w:eastAsia="宋体" w:cs="宋体"/>
          <w:b w:val="0"/>
          <w:bCs/>
          <w:color w:val="auto"/>
          <w:sz w:val="32"/>
          <w:szCs w:val="32"/>
          <w:highlight w:val="none"/>
        </w:rPr>
        <w:t>（</w:t>
      </w:r>
      <w:r>
        <w:rPr>
          <w:rFonts w:hint="eastAsia" w:ascii="宋体" w:hAnsi="宋体" w:cs="宋体"/>
          <w:b w:val="0"/>
          <w:bCs/>
          <w:color w:val="auto"/>
          <w:sz w:val="32"/>
          <w:szCs w:val="32"/>
          <w:highlight w:val="none"/>
          <w:lang w:val="en-US" w:eastAsia="zh-CN"/>
        </w:rPr>
        <w:t>5</w:t>
      </w:r>
      <w:r>
        <w:rPr>
          <w:rFonts w:hint="eastAsia" w:ascii="宋体" w:hAnsi="宋体" w:eastAsia="宋体" w:cs="宋体"/>
          <w:b w:val="0"/>
          <w:bCs/>
          <w:color w:val="auto"/>
          <w:sz w:val="32"/>
          <w:szCs w:val="32"/>
          <w:highlight w:val="none"/>
        </w:rPr>
        <w:t>）</w:t>
      </w:r>
      <w:r>
        <w:rPr>
          <w:rFonts w:hint="eastAsia" w:ascii="宋体" w:hAnsi="宋体" w:cs="宋体"/>
          <w:b w:val="0"/>
          <w:bCs/>
          <w:color w:val="auto"/>
          <w:sz w:val="32"/>
          <w:szCs w:val="32"/>
          <w:highlight w:val="none"/>
          <w:lang w:val="en-US" w:eastAsia="zh-CN"/>
        </w:rPr>
        <w:t>不得泄露任何未经允许的</w:t>
      </w:r>
      <w:r>
        <w:rPr>
          <w:rFonts w:hint="eastAsia" w:ascii="宋体" w:hAnsi="宋体" w:eastAsia="宋体" w:cs="宋体"/>
          <w:b w:val="0"/>
          <w:bCs/>
          <w:color w:val="FF0000"/>
          <w:sz w:val="32"/>
          <w:szCs w:val="32"/>
          <w:lang w:eastAsia="zh-CN"/>
        </w:rPr>
        <w:t>治安综合业务应用系统</w:t>
      </w:r>
      <w:r>
        <w:rPr>
          <w:rFonts w:hint="eastAsia" w:ascii="宋体" w:hAnsi="宋体" w:eastAsia="宋体" w:cs="宋体"/>
          <w:b w:val="0"/>
          <w:bCs/>
          <w:color w:val="FF0000"/>
          <w:sz w:val="32"/>
          <w:szCs w:val="32"/>
          <w:lang w:val="en-US" w:eastAsia="zh-CN"/>
        </w:rPr>
        <w:t>项目</w:t>
      </w:r>
      <w:r>
        <w:rPr>
          <w:rFonts w:hint="eastAsia" w:ascii="宋体" w:hAnsi="宋体" w:cs="宋体"/>
          <w:b w:val="0"/>
          <w:bCs/>
          <w:color w:val="FF0000"/>
          <w:sz w:val="32"/>
          <w:szCs w:val="32"/>
          <w:lang w:val="en-US" w:eastAsia="zh-CN"/>
        </w:rPr>
        <w:t>所含内容的数据。</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十二、违约条款</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（一）乙方的违约责任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default" w:ascii="宋体" w:hAnsi="宋体" w:eastAsia="宋体" w:cs="宋体"/>
          <w:color w:val="auto"/>
          <w:sz w:val="32"/>
          <w:szCs w:val="32"/>
          <w:highlight w:val="yellow"/>
          <w:lang w:val="en-US" w:eastAsia="zh-CN"/>
        </w:rPr>
      </w:pPr>
      <w:r>
        <w:rPr>
          <w:rFonts w:hint="eastAsia" w:ascii="宋体" w:hAnsi="宋体" w:eastAsia="宋体" w:cs="宋体"/>
          <w:color w:val="auto"/>
          <w:sz w:val="32"/>
          <w:szCs w:val="32"/>
          <w:highlight w:val="none"/>
        </w:rPr>
        <w:t>1.乙方逾期交付标的物</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按日承担违约部分合同金额的</w:t>
      </w:r>
      <w:r>
        <w:rPr>
          <w:rFonts w:hint="eastAsia" w:ascii="宋体" w:hAnsi="宋体" w:eastAsia="宋体" w:cs="宋体"/>
          <w:color w:val="auto"/>
          <w:sz w:val="32"/>
          <w:szCs w:val="32"/>
          <w:highlight w:val="none"/>
          <w:u w:val="single"/>
        </w:rPr>
        <w:t>1‰</w:t>
      </w:r>
      <w:r>
        <w:rPr>
          <w:rFonts w:hint="eastAsia" w:ascii="宋体" w:hAnsi="宋体" w:eastAsia="宋体" w:cs="宋体"/>
          <w:color w:val="auto"/>
          <w:sz w:val="32"/>
          <w:szCs w:val="32"/>
          <w:highlight w:val="none"/>
        </w:rPr>
        <w:t>的违约金</w:t>
      </w:r>
      <w:r>
        <w:rPr>
          <w:rFonts w:hint="eastAsia" w:ascii="宋体" w:hAnsi="宋体" w:eastAsia="宋体" w:cs="宋体"/>
          <w:color w:val="auto"/>
          <w:sz w:val="32"/>
          <w:szCs w:val="32"/>
        </w:rPr>
        <w:t>。</w:t>
      </w:r>
      <w:r>
        <w:rPr>
          <w:rFonts w:hint="eastAsia" w:ascii="宋体" w:hAnsi="宋体" w:eastAsia="宋体" w:cs="宋体"/>
          <w:color w:val="FF0000"/>
          <w:sz w:val="32"/>
          <w:szCs w:val="32"/>
          <w:lang w:val="en-US" w:eastAsia="zh-CN"/>
        </w:rPr>
        <w:t>最高不超过合同金额的5%</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w:t>
      </w:r>
      <w:r>
        <w:rPr>
          <w:rFonts w:hint="eastAsia" w:ascii="宋体" w:hAnsi="宋体" w:eastAsia="宋体" w:cs="宋体"/>
          <w:color w:val="auto"/>
          <w:sz w:val="32"/>
          <w:szCs w:val="32"/>
          <w:highlight w:val="none"/>
        </w:rPr>
        <w:t>乙方未履行本合同义务的，应承担相应的违约责任。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.因乙方违反本合同约定给甲方造成损失的，乙方应当赔偿甲方因违约行为造成的全部损失。</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4.乙方向甲方的索赔不成立时，乙方应赔偿甲方由此发生的费用。</w:t>
      </w:r>
    </w:p>
    <w:p>
      <w:pPr>
        <w:ind w:firstLine="640" w:firstLineChars="20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5.</w:t>
      </w:r>
      <w:r>
        <w:rPr>
          <w:rFonts w:hint="eastAsia" w:ascii="宋体" w:hAnsi="宋体" w:eastAsia="宋体" w:cs="宋体"/>
          <w:color w:val="auto"/>
          <w:sz w:val="32"/>
          <w:szCs w:val="32"/>
          <w:highlight w:val="none"/>
        </w:rPr>
        <w:t>如因项目金额超过招投标金额10%以内，双方签订补充协议，关于付款时间和违约责任双方补充协议中另行约定</w:t>
      </w:r>
      <w:r>
        <w:rPr>
          <w:rFonts w:hint="eastAsia" w:ascii="宋体" w:hAnsi="宋体" w:eastAsia="宋体" w:cs="宋体"/>
          <w:color w:val="auto"/>
          <w:sz w:val="32"/>
          <w:szCs w:val="32"/>
          <w:highlight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（二）甲方的违约责任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1.甲方逾期付款，按日承担违约部分合同金额的</w:t>
      </w:r>
      <w:r>
        <w:rPr>
          <w:rFonts w:hint="eastAsia" w:ascii="宋体" w:hAnsi="宋体" w:eastAsia="宋体" w:cs="宋体"/>
          <w:color w:val="auto"/>
          <w:sz w:val="32"/>
          <w:szCs w:val="32"/>
          <w:highlight w:val="none"/>
          <w:u w:val="single"/>
        </w:rPr>
        <w:t>1‰</w:t>
      </w:r>
      <w:r>
        <w:rPr>
          <w:rFonts w:hint="eastAsia" w:ascii="宋体" w:hAnsi="宋体" w:eastAsia="宋体" w:cs="宋体"/>
          <w:color w:val="auto"/>
          <w:sz w:val="32"/>
          <w:szCs w:val="32"/>
          <w:highlight w:val="none"/>
        </w:rPr>
        <w:t>的违约金。</w:t>
      </w:r>
      <w:r>
        <w:rPr>
          <w:rFonts w:hint="eastAsia" w:ascii="宋体" w:hAnsi="宋体" w:eastAsia="宋体" w:cs="宋体"/>
          <w:color w:val="FF0000"/>
          <w:sz w:val="32"/>
          <w:szCs w:val="32"/>
          <w:lang w:val="en-US" w:eastAsia="zh-CN"/>
        </w:rPr>
        <w:t>最高不超过合同金额的5%。</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w:t>
      </w:r>
      <w:r>
        <w:rPr>
          <w:rFonts w:hint="eastAsia" w:ascii="宋体" w:hAnsi="宋体" w:eastAsia="宋体" w:cs="宋体"/>
          <w:color w:val="auto"/>
          <w:sz w:val="32"/>
          <w:szCs w:val="32"/>
          <w:highlight w:val="none"/>
        </w:rPr>
        <w:t>甲方未履行本合同义务的，应承担相应的违约责任。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.甲方违反本合同约定造成乙方损失的，甲方应予以赔偿。</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4</w:t>
      </w:r>
      <w:r>
        <w:rPr>
          <w:rFonts w:hint="eastAsia" w:ascii="宋体" w:hAnsi="宋体" w:eastAsia="宋体" w:cs="宋体"/>
          <w:color w:val="auto"/>
          <w:sz w:val="32"/>
          <w:szCs w:val="32"/>
          <w:highlight w:val="none"/>
        </w:rPr>
        <w:t>.甲方向乙方的索赔不成立时，应赔偿乙方由此引起的费用。</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（三）除外责任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1.因非乙方的原因，且乙方无过错，发生项目质量事故、安全事故、工期延误等造成的损失，乙方不承担赔偿责任。</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2.因不可抗力导致本合同全部或部分不能履行时，双方互不承担违约责任，各自承担其因此而造成的损失、损害。</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（四）其他违约责任以相关法律法规规定为准，无相关规定的，双方协商解决。</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五）甲乙双方应正当行使权利、合理的履行义务，保证本协议的正确履行。双方无法定或约定理由单方解除本协议的，需向对方支付协议金额20%的违约金，造成对方损失且违约金不足以弥补对方损失的，违约方还应进行相应赔偿。</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w:t>
      </w:r>
      <w:r>
        <w:rPr>
          <w:rFonts w:hint="eastAsia" w:ascii="宋体" w:hAnsi="宋体" w:eastAsia="宋体" w:cs="宋体"/>
          <w:color w:val="auto"/>
          <w:sz w:val="32"/>
          <w:szCs w:val="32"/>
          <w:lang w:val="en-US" w:eastAsia="zh-CN"/>
        </w:rPr>
        <w:t>六</w:t>
      </w:r>
      <w:r>
        <w:rPr>
          <w:rFonts w:hint="eastAsia" w:ascii="宋体" w:hAnsi="宋体" w:eastAsia="宋体" w:cs="宋体"/>
          <w:color w:val="auto"/>
          <w:sz w:val="32"/>
          <w:szCs w:val="32"/>
        </w:rPr>
        <w:t>) 其他违约责任以相关法律法规规定为准，无相关规定的，双方协商解决。</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十三、不可抗力条款</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因不可抗力致使一方不能及时或完全履行合同的，应及时通知另一方，双方互不承担责任，并在</w:t>
      </w:r>
      <w:r>
        <w:rPr>
          <w:rFonts w:hint="eastAsia" w:ascii="宋体" w:hAnsi="宋体" w:eastAsia="宋体" w:cs="宋体"/>
          <w:color w:val="auto"/>
          <w:sz w:val="32"/>
          <w:szCs w:val="32"/>
          <w:u w:val="single"/>
          <w:lang w:val="en-US" w:eastAsia="zh-CN"/>
        </w:rPr>
        <w:t>14</w:t>
      </w:r>
      <w:r>
        <w:rPr>
          <w:rFonts w:hint="eastAsia" w:ascii="宋体" w:hAnsi="宋体" w:eastAsia="宋体" w:cs="宋体"/>
          <w:color w:val="auto"/>
          <w:sz w:val="32"/>
          <w:szCs w:val="32"/>
        </w:rPr>
        <w:t>天内提供有关不可抗力的相关证明。合同未履行部分是否继续履行、如何履行等问题，双方协商解决。</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十四、争议的解决方式</w:t>
      </w:r>
    </w:p>
    <w:p>
      <w:pPr>
        <w:ind w:firstLine="640" w:firstLineChars="200"/>
        <w:rPr>
          <w:rFonts w:hint="eastAsia" w:ascii="宋体" w:hAnsi="宋体" w:eastAsia="宋体" w:cs="宋体"/>
          <w:color w:val="FF0000"/>
          <w:sz w:val="32"/>
          <w:szCs w:val="32"/>
          <w:u w:val="none"/>
        </w:rPr>
      </w:pPr>
      <w:r>
        <w:rPr>
          <w:rFonts w:hint="eastAsia" w:ascii="宋体" w:hAnsi="宋体" w:eastAsia="宋体" w:cs="宋体"/>
          <w:color w:val="auto"/>
          <w:sz w:val="32"/>
          <w:szCs w:val="32"/>
        </w:rPr>
        <w:t>合同发生纠纷时，双方应协商解决，协商不成可以向</w:t>
      </w:r>
      <w:r>
        <w:rPr>
          <w:rFonts w:hint="eastAsia" w:ascii="宋体" w:hAnsi="宋体" w:eastAsia="宋体" w:cs="宋体"/>
          <w:color w:val="FF0000"/>
          <w:sz w:val="32"/>
          <w:szCs w:val="32"/>
          <w:u w:val="none"/>
        </w:rPr>
        <w:t>甲方所在地有管辖权的人民法院提起诉讼。</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color w:val="auto"/>
          <w:sz w:val="32"/>
          <w:szCs w:val="32"/>
        </w:rPr>
      </w:pPr>
      <w:r>
        <w:rPr>
          <w:rFonts w:hint="eastAsia" w:ascii="宋体" w:hAnsi="宋体" w:eastAsia="宋体" w:cs="宋体"/>
          <w:color w:val="auto"/>
          <w:sz w:val="32"/>
          <w:szCs w:val="32"/>
        </w:rPr>
        <w:t>十五、合同保存</w:t>
      </w: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宋体" w:hAnsi="宋体" w:eastAsia="宋体" w:cs="宋体"/>
          <w:sz w:val="32"/>
          <w:szCs w:val="32"/>
        </w:rPr>
      </w:pPr>
      <w:r>
        <w:rPr>
          <w:rFonts w:hint="eastAsia" w:ascii="宋体" w:hAnsi="宋体" w:eastAsia="宋体" w:cs="宋体"/>
          <w:sz w:val="32"/>
          <w:szCs w:val="32"/>
        </w:rPr>
        <w:t>合同文本一式</w:t>
      </w:r>
      <w:r>
        <w:rPr>
          <w:rFonts w:hint="eastAsia" w:ascii="宋体" w:hAnsi="宋体" w:eastAsia="宋体" w:cs="宋体"/>
          <w:sz w:val="32"/>
          <w:szCs w:val="32"/>
          <w:lang w:val="en-US" w:eastAsia="zh-CN"/>
        </w:rPr>
        <w:t>六</w:t>
      </w:r>
      <w:r>
        <w:rPr>
          <w:rFonts w:hint="eastAsia" w:ascii="宋体" w:hAnsi="宋体" w:eastAsia="宋体" w:cs="宋体"/>
          <w:sz w:val="32"/>
          <w:szCs w:val="32"/>
        </w:rPr>
        <w:t>份，</w:t>
      </w:r>
      <w:r>
        <w:rPr>
          <w:rFonts w:hint="eastAsia" w:ascii="宋体" w:hAnsi="宋体" w:eastAsia="宋体" w:cs="宋体"/>
          <w:sz w:val="32"/>
          <w:szCs w:val="32"/>
          <w:lang w:val="en-US" w:eastAsia="zh-CN"/>
        </w:rPr>
        <w:t>甲、乙双方各持三份。</w:t>
      </w:r>
      <w:r>
        <w:rPr>
          <w:rFonts w:hint="eastAsia" w:ascii="宋体" w:hAnsi="宋体" w:eastAsia="宋体" w:cs="宋体"/>
          <w:sz w:val="32"/>
          <w:szCs w:val="32"/>
        </w:rPr>
        <w:t>自甲乙双方法定代表人或授权代理人签字并加盖公章之日起生效。合同未尽事宜，双方另行签订补充协议，补充协议是合同的组成部分。</w:t>
      </w:r>
    </w:p>
    <w:p>
      <w:pPr>
        <w:rPr>
          <w:rFonts w:hint="eastAsia"/>
          <w:sz w:val="32"/>
          <w:szCs w:val="32"/>
        </w:rPr>
      </w:pPr>
    </w:p>
    <w:tbl>
      <w:tblPr>
        <w:tblStyle w:val="16"/>
        <w:tblW w:w="5159" w:type="pct"/>
        <w:tblInd w:w="-271" w:type="dxa"/>
        <w:tblLayout w:type="autofit"/>
        <w:tblCellMar>
          <w:top w:w="0" w:type="dxa"/>
          <w:left w:w="0" w:type="dxa"/>
          <w:bottom w:w="0" w:type="dxa"/>
          <w:right w:w="0" w:type="dxa"/>
        </w:tblCellMar>
      </w:tblPr>
      <w:tblGrid>
        <w:gridCol w:w="5119"/>
        <w:gridCol w:w="4825"/>
      </w:tblGrid>
      <w:tr>
        <w:tblPrEx>
          <w:tblCellMar>
            <w:top w:w="0" w:type="dxa"/>
            <w:left w:w="0" w:type="dxa"/>
            <w:bottom w:w="0" w:type="dxa"/>
            <w:right w:w="0" w:type="dxa"/>
          </w:tblCellMar>
        </w:tblPrEx>
        <w:trPr>
          <w:trHeight w:val="23" w:hRule="atLeast"/>
        </w:trPr>
        <w:tc>
          <w:tcPr>
            <w:tcW w:w="2574" w:type="pct"/>
            <w:vAlign w:val="center"/>
          </w:tcPr>
          <w:p>
            <w:pPr>
              <w:rPr>
                <w:rFonts w:hint="eastAsia" w:ascii="宋体" w:hAnsi="宋体" w:eastAsia="宋体" w:cs="宋体"/>
                <w:sz w:val="32"/>
                <w:szCs w:val="32"/>
              </w:rPr>
            </w:pPr>
            <w:r>
              <w:rPr>
                <w:rFonts w:hint="eastAsia" w:ascii="宋体" w:hAnsi="宋体" w:eastAsia="宋体" w:cs="宋体"/>
                <w:sz w:val="32"/>
                <w:szCs w:val="32"/>
              </w:rPr>
              <w:t>甲方：</w:t>
            </w:r>
            <w:r>
              <w:rPr>
                <w:rFonts w:hint="eastAsia" w:ascii="宋体" w:hAnsi="宋体" w:eastAsia="宋体" w:cs="宋体"/>
                <w:color w:val="auto"/>
                <w:sz w:val="32"/>
                <w:szCs w:val="32"/>
                <w:lang w:val="en-US" w:eastAsia="zh-CN"/>
              </w:rPr>
              <w:t>包头市公安局</w:t>
            </w:r>
            <w:r>
              <w:rPr>
                <w:rFonts w:hint="eastAsia" w:ascii="宋体" w:hAnsi="宋体" w:eastAsia="宋体" w:cs="宋体"/>
                <w:sz w:val="32"/>
                <w:szCs w:val="32"/>
              </w:rPr>
              <w:t>（章）</w:t>
            </w:r>
          </w:p>
        </w:tc>
        <w:tc>
          <w:tcPr>
            <w:tcW w:w="2425" w:type="pct"/>
            <w:vAlign w:val="center"/>
          </w:tcPr>
          <w:p>
            <w:pPr>
              <w:rPr>
                <w:rFonts w:hint="eastAsia" w:ascii="宋体" w:hAnsi="宋体" w:eastAsia="宋体" w:cs="宋体"/>
                <w:sz w:val="32"/>
                <w:szCs w:val="32"/>
                <w:lang w:val="en-US"/>
              </w:rPr>
            </w:pPr>
            <w:r>
              <w:rPr>
                <w:rFonts w:hint="eastAsia" w:ascii="宋体" w:hAnsi="宋体" w:eastAsia="宋体" w:cs="宋体"/>
                <w:sz w:val="32"/>
                <w:szCs w:val="32"/>
              </w:rPr>
              <w:t>乙 方：</w:t>
            </w:r>
            <w:r>
              <w:rPr>
                <w:rFonts w:hint="eastAsia" w:ascii="宋体" w:hAnsi="宋体" w:eastAsia="宋体" w:cs="宋体"/>
                <w:sz w:val="32"/>
                <w:szCs w:val="32"/>
                <w:lang w:val="en-US"/>
              </w:rPr>
              <w:t>华动泰越科技有限责任公司</w:t>
            </w:r>
            <w:r>
              <w:rPr>
                <w:rFonts w:hint="eastAsia" w:ascii="宋体" w:hAnsi="宋体" w:eastAsia="宋体" w:cs="宋体"/>
                <w:sz w:val="32"/>
                <w:szCs w:val="32"/>
              </w:rPr>
              <w:t>（章）</w:t>
            </w:r>
          </w:p>
        </w:tc>
      </w:tr>
      <w:tr>
        <w:tblPrEx>
          <w:tblCellMar>
            <w:top w:w="0" w:type="dxa"/>
            <w:left w:w="0" w:type="dxa"/>
            <w:bottom w:w="0" w:type="dxa"/>
            <w:right w:w="0" w:type="dxa"/>
          </w:tblCellMar>
        </w:tblPrEx>
        <w:trPr>
          <w:trHeight w:val="761" w:hRule="atLeast"/>
        </w:trPr>
        <w:tc>
          <w:tcPr>
            <w:tcW w:w="2574" w:type="pct"/>
            <w:vAlign w:val="center"/>
          </w:tcPr>
          <w:p>
            <w:pPr>
              <w:rPr>
                <w:rFonts w:hint="eastAsia" w:ascii="宋体" w:hAnsi="宋体" w:eastAsia="宋体" w:cs="宋体"/>
                <w:sz w:val="32"/>
                <w:szCs w:val="32"/>
              </w:rPr>
            </w:pPr>
            <w:r>
              <w:rPr>
                <w:rFonts w:hint="eastAsia" w:ascii="宋体" w:hAnsi="宋体" w:eastAsia="宋体" w:cs="宋体"/>
                <w:sz w:val="32"/>
                <w:szCs w:val="32"/>
              </w:rPr>
              <w:t>法定代表人</w:t>
            </w:r>
            <w:r>
              <w:rPr>
                <w:rFonts w:hint="eastAsia" w:ascii="宋体" w:hAnsi="宋体" w:eastAsia="宋体" w:cs="宋体"/>
                <w:sz w:val="32"/>
                <w:szCs w:val="32"/>
                <w:lang w:eastAsia="zh-CN"/>
              </w:rPr>
              <w:t>（</w:t>
            </w:r>
            <w:r>
              <w:rPr>
                <w:rFonts w:hint="eastAsia" w:ascii="宋体" w:hAnsi="宋体" w:eastAsia="宋体" w:cs="宋体"/>
                <w:sz w:val="32"/>
                <w:szCs w:val="32"/>
              </w:rPr>
              <w:t>或委托代理人</w:t>
            </w:r>
            <w:r>
              <w:rPr>
                <w:rFonts w:hint="eastAsia" w:ascii="宋体" w:hAnsi="宋体" w:eastAsia="宋体" w:cs="宋体"/>
                <w:sz w:val="32"/>
                <w:szCs w:val="32"/>
                <w:lang w:eastAsia="zh-CN"/>
              </w:rPr>
              <w:t>）</w:t>
            </w:r>
            <w:r>
              <w:rPr>
                <w:rFonts w:hint="eastAsia" w:ascii="宋体" w:hAnsi="宋体" w:eastAsia="宋体" w:cs="宋体"/>
                <w:sz w:val="32"/>
                <w:szCs w:val="32"/>
              </w:rPr>
              <w:t>：</w:t>
            </w:r>
            <w:r>
              <w:rPr>
                <w:rFonts w:hint="eastAsia" w:ascii="宋体" w:hAnsi="宋体" w:eastAsia="宋体" w:cs="宋体"/>
                <w:sz w:val="32"/>
                <w:szCs w:val="32"/>
                <w:lang w:val="en-US"/>
              </w:rPr>
              <w:t xml:space="preserve">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（签字）</w:t>
            </w:r>
          </w:p>
        </w:tc>
        <w:tc>
          <w:tcPr>
            <w:tcW w:w="2425" w:type="pct"/>
            <w:vAlign w:val="center"/>
          </w:tcPr>
          <w:p>
            <w:pPr>
              <w:rPr>
                <w:rFonts w:hint="eastAsia" w:ascii="宋体" w:hAnsi="宋体" w:eastAsia="宋体" w:cs="宋体"/>
                <w:sz w:val="32"/>
                <w:szCs w:val="32"/>
              </w:rPr>
            </w:pPr>
            <w:r>
              <w:rPr>
                <w:rFonts w:hint="eastAsia" w:ascii="宋体" w:hAnsi="宋体" w:eastAsia="宋体" w:cs="宋体"/>
                <w:sz w:val="32"/>
                <w:szCs w:val="32"/>
              </w:rPr>
              <w:t>法定代表人</w:t>
            </w:r>
            <w:r>
              <w:rPr>
                <w:rFonts w:hint="eastAsia" w:ascii="宋体" w:hAnsi="宋体" w:eastAsia="宋体" w:cs="宋体"/>
                <w:sz w:val="32"/>
                <w:szCs w:val="32"/>
                <w:lang w:eastAsia="zh-CN"/>
              </w:rPr>
              <w:t>（</w:t>
            </w:r>
            <w:r>
              <w:rPr>
                <w:rFonts w:hint="eastAsia" w:ascii="宋体" w:hAnsi="宋体" w:eastAsia="宋体" w:cs="宋体"/>
                <w:sz w:val="32"/>
                <w:szCs w:val="32"/>
              </w:rPr>
              <w:t>或委托代理人</w:t>
            </w:r>
            <w:r>
              <w:rPr>
                <w:rFonts w:hint="eastAsia" w:ascii="宋体" w:hAnsi="宋体" w:eastAsia="宋体" w:cs="宋体"/>
                <w:sz w:val="32"/>
                <w:szCs w:val="32"/>
                <w:lang w:eastAsia="zh-CN"/>
              </w:rPr>
              <w:t>）</w:t>
            </w:r>
            <w:r>
              <w:rPr>
                <w:rFonts w:hint="eastAsia" w:ascii="宋体" w:hAnsi="宋体" w:eastAsia="宋体" w:cs="宋体"/>
                <w:sz w:val="32"/>
                <w:szCs w:val="32"/>
              </w:rPr>
              <w:t>：</w:t>
            </w:r>
            <w:r>
              <w:rPr>
                <w:rFonts w:hint="eastAsia" w:ascii="宋体" w:hAnsi="宋体" w:eastAsia="宋体" w:cs="宋体"/>
                <w:sz w:val="32"/>
                <w:szCs w:val="32"/>
                <w:lang w:val="en-US"/>
              </w:rPr>
              <w:t xml:space="preserve"> </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val="en-US"/>
              </w:rPr>
              <w:t xml:space="preserve"> </w:t>
            </w:r>
            <w:r>
              <w:rPr>
                <w:rFonts w:hint="eastAsia" w:ascii="宋体" w:hAnsi="宋体" w:eastAsia="宋体" w:cs="宋体"/>
                <w:sz w:val="32"/>
                <w:szCs w:val="32"/>
              </w:rPr>
              <w:t>（签字）</w:t>
            </w:r>
          </w:p>
        </w:tc>
      </w:tr>
      <w:tr>
        <w:tblPrEx>
          <w:tblCellMar>
            <w:top w:w="0" w:type="dxa"/>
            <w:left w:w="0" w:type="dxa"/>
            <w:bottom w:w="0" w:type="dxa"/>
            <w:right w:w="0" w:type="dxa"/>
          </w:tblCellMar>
        </w:tblPrEx>
        <w:trPr>
          <w:trHeight w:val="792" w:hRule="atLeast"/>
        </w:trPr>
        <w:tc>
          <w:tcPr>
            <w:tcW w:w="2574" w:type="pct"/>
            <w:vAlign w:val="center"/>
          </w:tcPr>
          <w:p>
            <w:pPr>
              <w:rPr>
                <w:rFonts w:hint="default" w:ascii="宋体" w:hAnsi="宋体" w:eastAsia="宋体" w:cs="宋体"/>
                <w:sz w:val="32"/>
                <w:szCs w:val="32"/>
                <w:lang w:val="en-US" w:eastAsia="zh-CN"/>
              </w:rPr>
            </w:pPr>
            <w:r>
              <w:rPr>
                <w:rFonts w:hint="eastAsia" w:ascii="宋体" w:hAnsi="宋体" w:eastAsia="宋体" w:cs="宋体"/>
                <w:sz w:val="32"/>
                <w:szCs w:val="32"/>
              </w:rPr>
              <w:t>开户银行：</w:t>
            </w:r>
            <w:r>
              <w:rPr>
                <w:rFonts w:hint="eastAsia" w:ascii="宋体" w:hAnsi="宋体" w:eastAsia="宋体" w:cs="宋体"/>
                <w:sz w:val="32"/>
                <w:szCs w:val="32"/>
                <w:lang w:val="en-US" w:eastAsia="zh-CN"/>
              </w:rPr>
              <w:t>建行包头银河支行</w:t>
            </w:r>
          </w:p>
        </w:tc>
        <w:tc>
          <w:tcPr>
            <w:tcW w:w="2425" w:type="pct"/>
            <w:vAlign w:val="center"/>
          </w:tcPr>
          <w:p>
            <w:pPr>
              <w:rPr>
                <w:rFonts w:hint="eastAsia" w:ascii="宋体" w:hAnsi="宋体" w:eastAsia="宋体" w:cs="宋体"/>
                <w:sz w:val="32"/>
                <w:szCs w:val="32"/>
                <w:lang w:val="en-US"/>
              </w:rPr>
            </w:pPr>
            <w:r>
              <w:rPr>
                <w:rFonts w:hint="eastAsia" w:ascii="宋体" w:hAnsi="宋体" w:eastAsia="宋体" w:cs="宋体"/>
                <w:sz w:val="32"/>
                <w:szCs w:val="32"/>
              </w:rPr>
              <w:t>开户银行：中国建设银行股份有限公司呼和浩特呼和佳地支行</w:t>
            </w:r>
            <w:r>
              <w:rPr>
                <w:rFonts w:hint="eastAsia" w:ascii="宋体" w:hAnsi="宋体" w:eastAsia="宋体" w:cs="宋体"/>
                <w:sz w:val="32"/>
                <w:szCs w:val="32"/>
                <w:lang w:val="en-US"/>
              </w:rPr>
              <w:t xml:space="preserve"> </w:t>
            </w:r>
          </w:p>
        </w:tc>
      </w:tr>
      <w:tr>
        <w:tblPrEx>
          <w:tblCellMar>
            <w:top w:w="0" w:type="dxa"/>
            <w:left w:w="0" w:type="dxa"/>
            <w:bottom w:w="0" w:type="dxa"/>
            <w:right w:w="0" w:type="dxa"/>
          </w:tblCellMar>
        </w:tblPrEx>
        <w:trPr>
          <w:trHeight w:val="561" w:hRule="atLeast"/>
        </w:trPr>
        <w:tc>
          <w:tcPr>
            <w:tcW w:w="2574" w:type="pct"/>
            <w:vAlign w:val="center"/>
          </w:tcPr>
          <w:p>
            <w:pPr>
              <w:rPr>
                <w:rFonts w:hint="default" w:ascii="宋体" w:hAnsi="宋体" w:eastAsia="宋体" w:cs="宋体"/>
                <w:sz w:val="32"/>
                <w:szCs w:val="32"/>
                <w:lang w:val="en-US" w:eastAsia="zh-CN"/>
              </w:rPr>
            </w:pPr>
            <w:r>
              <w:rPr>
                <w:rFonts w:hint="eastAsia" w:ascii="宋体" w:hAnsi="宋体" w:eastAsia="宋体" w:cs="宋体"/>
                <w:sz w:val="32"/>
                <w:szCs w:val="32"/>
              </w:rPr>
              <w:t>帐 号：</w:t>
            </w:r>
            <w:r>
              <w:rPr>
                <w:rFonts w:hint="eastAsia" w:ascii="宋体" w:hAnsi="宋体" w:eastAsia="宋体" w:cs="宋体"/>
                <w:sz w:val="32"/>
                <w:szCs w:val="32"/>
                <w:lang w:val="en-US" w:eastAsia="zh-CN"/>
              </w:rPr>
              <w:t>15001716678052503893</w:t>
            </w:r>
          </w:p>
        </w:tc>
        <w:tc>
          <w:tcPr>
            <w:tcW w:w="2425" w:type="pct"/>
            <w:vAlign w:val="center"/>
          </w:tcPr>
          <w:p>
            <w:pPr>
              <w:rPr>
                <w:rFonts w:hint="eastAsia" w:ascii="宋体" w:hAnsi="宋体" w:eastAsia="宋体" w:cs="宋体"/>
                <w:sz w:val="32"/>
                <w:szCs w:val="32"/>
                <w:lang w:val="en-US"/>
              </w:rPr>
            </w:pPr>
            <w:r>
              <w:rPr>
                <w:rFonts w:hint="eastAsia" w:ascii="宋体" w:hAnsi="宋体" w:eastAsia="宋体" w:cs="宋体"/>
                <w:sz w:val="32"/>
                <w:szCs w:val="32"/>
              </w:rPr>
              <w:t>帐 号：15001706660052500070</w:t>
            </w:r>
          </w:p>
        </w:tc>
      </w:tr>
      <w:tr>
        <w:tblPrEx>
          <w:tblCellMar>
            <w:top w:w="0" w:type="dxa"/>
            <w:left w:w="0" w:type="dxa"/>
            <w:bottom w:w="0" w:type="dxa"/>
            <w:right w:w="0" w:type="dxa"/>
          </w:tblCellMar>
        </w:tblPrEx>
        <w:trPr>
          <w:trHeight w:val="561" w:hRule="atLeast"/>
        </w:trPr>
        <w:tc>
          <w:tcPr>
            <w:tcW w:w="2574" w:type="pct"/>
            <w:vAlign w:val="center"/>
          </w:tcPr>
          <w:p>
            <w:pPr>
              <w:rPr>
                <w:rFonts w:hint="default" w:ascii="宋体" w:hAnsi="宋体" w:eastAsia="宋体" w:cs="宋体"/>
                <w:sz w:val="32"/>
                <w:szCs w:val="32"/>
                <w:lang w:val="en-US" w:eastAsia="zh-CN"/>
              </w:rPr>
            </w:pPr>
            <w:r>
              <w:rPr>
                <w:rFonts w:hint="eastAsia" w:ascii="宋体" w:hAnsi="宋体" w:eastAsia="宋体" w:cs="宋体"/>
                <w:sz w:val="32"/>
                <w:szCs w:val="32"/>
              </w:rPr>
              <w:t>联系电话：</w:t>
            </w:r>
            <w:r>
              <w:rPr>
                <w:rFonts w:hint="eastAsia" w:ascii="宋体" w:hAnsi="宋体" w:eastAsia="宋体" w:cs="宋体"/>
                <w:sz w:val="32"/>
                <w:szCs w:val="32"/>
                <w:lang w:val="en-US" w:eastAsia="zh-CN"/>
              </w:rPr>
              <w:t>3619310</w:t>
            </w:r>
          </w:p>
        </w:tc>
        <w:tc>
          <w:tcPr>
            <w:tcW w:w="2425" w:type="pct"/>
            <w:vAlign w:val="center"/>
          </w:tcPr>
          <w:p>
            <w:pPr>
              <w:rPr>
                <w:rFonts w:hint="eastAsia" w:ascii="宋体" w:hAnsi="宋体" w:eastAsia="宋体" w:cs="宋体"/>
                <w:sz w:val="32"/>
                <w:szCs w:val="32"/>
                <w:lang w:val="en-US"/>
              </w:rPr>
            </w:pPr>
            <w:r>
              <w:rPr>
                <w:rFonts w:hint="eastAsia" w:ascii="宋体" w:hAnsi="宋体" w:eastAsia="宋体" w:cs="宋体"/>
                <w:sz w:val="32"/>
                <w:szCs w:val="32"/>
              </w:rPr>
              <w:t xml:space="preserve">联系电话：0471-6553811 </w:t>
            </w:r>
            <w:r>
              <w:rPr>
                <w:rFonts w:hint="eastAsia" w:ascii="宋体" w:hAnsi="宋体" w:eastAsia="宋体" w:cs="宋体"/>
                <w:sz w:val="32"/>
                <w:szCs w:val="32"/>
                <w:lang w:val="en-US"/>
              </w:rPr>
              <w:t xml:space="preserve"> </w:t>
            </w:r>
          </w:p>
        </w:tc>
      </w:tr>
      <w:tr>
        <w:tblPrEx>
          <w:tblCellMar>
            <w:top w:w="0" w:type="dxa"/>
            <w:left w:w="0" w:type="dxa"/>
            <w:bottom w:w="0" w:type="dxa"/>
            <w:right w:w="0" w:type="dxa"/>
          </w:tblCellMar>
        </w:tblPrEx>
        <w:trPr>
          <w:trHeight w:val="671" w:hRule="atLeast"/>
        </w:trPr>
        <w:tc>
          <w:tcPr>
            <w:tcW w:w="5000" w:type="pct"/>
            <w:gridSpan w:val="2"/>
            <w:vAlign w:val="center"/>
          </w:tcPr>
          <w:p>
            <w:pPr>
              <w:jc w:val="right"/>
              <w:rPr>
                <w:rFonts w:hint="eastAsia" w:ascii="宋体" w:hAnsi="宋体" w:eastAsia="宋体" w:cs="宋体"/>
                <w:sz w:val="32"/>
                <w:szCs w:val="32"/>
              </w:rPr>
            </w:pPr>
            <w:r>
              <w:rPr>
                <w:rFonts w:hint="eastAsia" w:ascii="宋体" w:hAnsi="宋体" w:eastAsia="宋体" w:cs="宋体"/>
                <w:sz w:val="32"/>
                <w:szCs w:val="32"/>
              </w:rPr>
              <w:t>签订时间</w:t>
            </w:r>
            <w:r>
              <w:rPr>
                <w:rFonts w:hint="eastAsia" w:ascii="宋体" w:hAnsi="宋体" w:eastAsia="宋体" w:cs="宋体"/>
                <w:sz w:val="32"/>
                <w:szCs w:val="32"/>
                <w:lang w:val="en-US"/>
              </w:rPr>
              <w:t xml:space="preserve">        </w:t>
            </w:r>
            <w:r>
              <w:rPr>
                <w:rFonts w:hint="eastAsia" w:ascii="宋体" w:hAnsi="宋体" w:eastAsia="宋体" w:cs="宋体"/>
                <w:sz w:val="32"/>
                <w:szCs w:val="32"/>
              </w:rPr>
              <w:tab/>
            </w:r>
            <w:r>
              <w:rPr>
                <w:rFonts w:hint="eastAsia" w:ascii="宋体" w:hAnsi="宋体" w:eastAsia="宋体" w:cs="宋体"/>
                <w:sz w:val="32"/>
                <w:szCs w:val="32"/>
              </w:rPr>
              <w:t>年</w:t>
            </w:r>
            <w:r>
              <w:rPr>
                <w:rFonts w:hint="eastAsia" w:ascii="宋体" w:hAnsi="宋体" w:eastAsia="宋体" w:cs="宋体"/>
                <w:sz w:val="32"/>
                <w:szCs w:val="32"/>
                <w:lang w:val="en-US"/>
              </w:rPr>
              <w:t xml:space="preserve">   </w:t>
            </w:r>
            <w:r>
              <w:rPr>
                <w:rFonts w:hint="eastAsia" w:ascii="宋体" w:hAnsi="宋体" w:eastAsia="宋体" w:cs="宋体"/>
                <w:sz w:val="32"/>
                <w:szCs w:val="32"/>
              </w:rPr>
              <w:tab/>
            </w:r>
            <w:r>
              <w:rPr>
                <w:rFonts w:hint="eastAsia" w:ascii="宋体" w:hAnsi="宋体" w:eastAsia="宋体" w:cs="宋体"/>
                <w:sz w:val="32"/>
                <w:szCs w:val="32"/>
              </w:rPr>
              <w:t>月</w:t>
            </w:r>
            <w:r>
              <w:rPr>
                <w:rFonts w:hint="eastAsia" w:ascii="宋体" w:hAnsi="宋体" w:eastAsia="宋体" w:cs="宋体"/>
                <w:sz w:val="32"/>
                <w:szCs w:val="32"/>
                <w:lang w:val="en-US"/>
              </w:rPr>
              <w:t xml:space="preserve">   </w:t>
            </w:r>
            <w:r>
              <w:rPr>
                <w:rFonts w:hint="eastAsia" w:ascii="宋体" w:hAnsi="宋体" w:eastAsia="宋体" w:cs="宋体"/>
                <w:sz w:val="32"/>
                <w:szCs w:val="32"/>
              </w:rPr>
              <w:tab/>
            </w:r>
            <w:r>
              <w:rPr>
                <w:rFonts w:hint="eastAsia" w:ascii="宋体" w:hAnsi="宋体" w:eastAsia="宋体" w:cs="宋体"/>
                <w:sz w:val="32"/>
                <w:szCs w:val="32"/>
              </w:rPr>
              <w:t>日</w:t>
            </w:r>
          </w:p>
        </w:tc>
      </w:tr>
    </w:tbl>
    <w:p>
      <w:pPr>
        <w:rPr>
          <w:rFonts w:hint="eastAsia"/>
          <w:sz w:val="32"/>
          <w:szCs w:val="32"/>
        </w:rPr>
      </w:pPr>
    </w:p>
    <w:p>
      <w:pPr>
        <w:rPr>
          <w:rFonts w:hint="eastAsia"/>
          <w:sz w:val="32"/>
          <w:szCs w:val="32"/>
        </w:rPr>
      </w:pPr>
    </w:p>
    <w:p>
      <w:pPr>
        <w:rPr>
          <w:rFonts w:hint="eastAsia"/>
        </w:rPr>
      </w:pPr>
    </w:p>
    <w:p>
      <w:pPr>
        <w:rPr>
          <w:rFonts w:hint="eastAsia"/>
        </w:rPr>
      </w:pPr>
    </w:p>
    <w:p>
      <w:pPr>
        <w:rPr>
          <w:rFonts w:hint="eastAsia" w:ascii="宋体" w:hAnsi="宋体" w:eastAsia="宋体" w:cs="宋体"/>
          <w:color w:val="auto"/>
          <w:sz w:val="24"/>
          <w:szCs w:val="24"/>
        </w:rPr>
        <w:sectPr>
          <w:footerReference r:id="rId5" w:type="default"/>
          <w:pgSz w:w="11906" w:h="16838"/>
          <w:pgMar w:top="1134" w:right="1134" w:bottom="1134" w:left="1134" w:header="851" w:footer="992" w:gutter="0"/>
          <w:cols w:space="425" w:num="1"/>
          <w:docGrid w:type="lines" w:linePitch="312" w:charSpace="0"/>
        </w:sectPr>
      </w:pPr>
      <w:r>
        <w:rPr>
          <w:rFonts w:hint="eastAsia" w:ascii="宋体" w:hAnsi="宋体" w:eastAsia="宋体" w:cs="宋体"/>
          <w:color w:val="auto"/>
          <w:sz w:val="24"/>
          <w:szCs w:val="24"/>
        </w:rPr>
        <w:br w:type="page"/>
      </w:r>
    </w:p>
    <w:p>
      <w:pPr>
        <w:rPr>
          <w:rFonts w:hint="eastAsia" w:ascii="宋体" w:hAnsi="宋体" w:eastAsia="宋体" w:cs="宋体"/>
          <w:color w:val="auto"/>
          <w:sz w:val="24"/>
          <w:szCs w:val="24"/>
        </w:rPr>
      </w:pPr>
    </w:p>
    <w:p>
      <w:pPr>
        <w:keepNext w:val="0"/>
        <w:keepLines w:val="0"/>
        <w:pageBreakBefore w:val="0"/>
        <w:widowControl/>
        <w:kinsoku w:val="0"/>
        <w:wordWrap/>
        <w:overflowPunct/>
        <w:topLinePunct w:val="0"/>
        <w:autoSpaceDE w:val="0"/>
        <w:autoSpaceDN w:val="0"/>
        <w:bidi w:val="0"/>
        <w:adjustRightInd w:val="0"/>
        <w:snapToGrid w:val="0"/>
        <w:ind w:firstLine="480" w:firstLineChars="200"/>
        <w:jc w:val="right"/>
        <w:textAlignment w:val="baseline"/>
        <w:rPr>
          <w:rFonts w:hint="eastAsia" w:ascii="宋体" w:hAnsi="宋体" w:eastAsia="宋体" w:cs="宋体"/>
          <w:color w:val="auto"/>
          <w:sz w:val="24"/>
          <w:szCs w:val="24"/>
        </w:rPr>
      </w:pP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 xml:space="preserve">附表：标的物清单 </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2"/>
        <w:gridCol w:w="4951"/>
        <w:gridCol w:w="757"/>
        <w:gridCol w:w="757"/>
        <w:gridCol w:w="772"/>
        <w:gridCol w:w="2092"/>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top"/>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名称</w:t>
            </w:r>
          </w:p>
        </w:tc>
        <w:tc>
          <w:tcPr>
            <w:tcW w:w="1746" w:type="pct"/>
            <w:vAlign w:val="top"/>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品牌、规格、标准/主要服务内容</w:t>
            </w:r>
          </w:p>
        </w:tc>
        <w:tc>
          <w:tcPr>
            <w:tcW w:w="267" w:type="pct"/>
            <w:vAlign w:val="top"/>
          </w:tcPr>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产地</w:t>
            </w:r>
          </w:p>
        </w:tc>
        <w:tc>
          <w:tcPr>
            <w:tcW w:w="267" w:type="pct"/>
            <w:vAlign w:val="top"/>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数量</w:t>
            </w:r>
          </w:p>
        </w:tc>
        <w:tc>
          <w:tcPr>
            <w:tcW w:w="272" w:type="pct"/>
            <w:vAlign w:val="top"/>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单位</w:t>
            </w:r>
          </w:p>
        </w:tc>
        <w:tc>
          <w:tcPr>
            <w:tcW w:w="737" w:type="pct"/>
            <w:vAlign w:val="top"/>
          </w:tcPr>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单价 (元)</w:t>
            </w:r>
          </w:p>
        </w:tc>
        <w:tc>
          <w:tcPr>
            <w:tcW w:w="816" w:type="pct"/>
            <w:vAlign w:val="top"/>
          </w:tcPr>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金额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治安人像专题库应用</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一、智慧内保人像专题库建设和应用、二、智慧安防小区人像专题库建设和应用、三、娱乐场所人像专题库建设和应用、四、公路公安检查站人像专题库建设和应用、五、比对源专题库建设；</w:t>
            </w:r>
          </w:p>
        </w:tc>
        <w:tc>
          <w:tcPr>
            <w:tcW w:w="267" w:type="pct"/>
            <w:vAlign w:val="center"/>
          </w:tcPr>
          <w:p>
            <w:pPr>
              <w:widowControl w:val="0"/>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项</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￥286,800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￥286,800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一标五实系统升级改造</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一、标准地址接入与清洗、二、实有人口接入与清洗、三、实有单位核查、四、重点人员和重点房屋排查；  </w:t>
            </w:r>
          </w:p>
        </w:tc>
        <w:tc>
          <w:tcPr>
            <w:tcW w:w="26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项</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￥201,000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旅馆业系统运行维护</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一、旅馆业系统前端采集软件服务、二、旅馆无证入住服务、三、前端采集系统软硬件客户服务、四、公安端后台系统运维服务；</w:t>
            </w:r>
          </w:p>
        </w:tc>
        <w:tc>
          <w:tcPr>
            <w:tcW w:w="26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年</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￥762,000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￥762,000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其他特种行业场所治安管控建设</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其他特种行业场所治安管控建设；  </w:t>
            </w:r>
          </w:p>
        </w:tc>
        <w:tc>
          <w:tcPr>
            <w:tcW w:w="26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项</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￥385,000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￥385,000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治安防控平台数据管理</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治安防控平台数据管理建设；    </w:t>
            </w:r>
          </w:p>
        </w:tc>
        <w:tc>
          <w:tcPr>
            <w:tcW w:w="26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项</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￥575,960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￥575,960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后端支撑 (安装、调试、运维服务)</w:t>
            </w:r>
            <w:r>
              <w:rPr>
                <w:rFonts w:hint="eastAsia" w:ascii="宋体" w:hAnsi="宋体" w:eastAsia="宋体" w:cs="宋体"/>
                <w:color w:val="auto"/>
                <w:sz w:val="24"/>
                <w:szCs w:val="24"/>
                <w:lang w:val="en-US" w:eastAsia="zh-CN"/>
              </w:rPr>
              <w:t xml:space="preserve"> </w:t>
            </w:r>
          </w:p>
        </w:tc>
        <w:tc>
          <w:tcPr>
            <w:tcW w:w="174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华动定制；</w:t>
            </w:r>
            <w:r>
              <w:rPr>
                <w:rFonts w:hint="eastAsia" w:ascii="宋体" w:hAnsi="宋体" w:eastAsia="宋体" w:cs="宋体"/>
                <w:color w:val="auto"/>
                <w:sz w:val="24"/>
                <w:szCs w:val="24"/>
              </w:rPr>
              <w:t>主要服务内容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一、市局后台支撑环境建设-系统集成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二、市局后台支撑环境建设-系统培训</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三、市局后台支撑环境建设-运行维护；</w:t>
            </w:r>
            <w:r>
              <w:rPr>
                <w:rFonts w:hint="eastAsia" w:ascii="宋体" w:hAnsi="宋体" w:eastAsia="宋体" w:cs="宋体"/>
                <w:color w:val="auto"/>
                <w:sz w:val="24"/>
                <w:szCs w:val="24"/>
                <w:lang w:val="en-US" w:eastAsia="zh-CN"/>
              </w:rPr>
              <w:t xml:space="preserve"> </w:t>
            </w:r>
          </w:p>
        </w:tc>
        <w:tc>
          <w:tcPr>
            <w:tcW w:w="26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lang w:val="en-US" w:eastAsia="zh-CN"/>
              </w:rPr>
              <w:t>/</w:t>
            </w:r>
          </w:p>
        </w:tc>
        <w:tc>
          <w:tcPr>
            <w:tcW w:w="267"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1</w:t>
            </w:r>
          </w:p>
        </w:tc>
        <w:tc>
          <w:tcPr>
            <w:tcW w:w="272" w:type="pct"/>
            <w:vAlign w:val="center"/>
          </w:tcPr>
          <w:p>
            <w:pPr>
              <w:widowControl w:val="0"/>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年</w:t>
            </w:r>
          </w:p>
        </w:tc>
        <w:tc>
          <w:tcPr>
            <w:tcW w:w="737"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￥278,000</w:t>
            </w:r>
          </w:p>
        </w:tc>
        <w:tc>
          <w:tcPr>
            <w:tcW w:w="816" w:type="pct"/>
            <w:vAlign w:val="center"/>
          </w:tcPr>
          <w:p>
            <w:pPr>
              <w:widowControl w:val="0"/>
              <w:rPr>
                <w:rFonts w:hint="eastAsia" w:ascii="宋体" w:hAnsi="宋体" w:eastAsia="宋体" w:cs="宋体"/>
                <w:color w:val="auto"/>
                <w:sz w:val="24"/>
                <w:szCs w:val="24"/>
                <w:vertAlign w:val="baseline"/>
              </w:rPr>
            </w:pPr>
            <w:r>
              <w:rPr>
                <w:rFonts w:hint="eastAsia" w:ascii="宋体" w:hAnsi="宋体" w:eastAsia="宋体" w:cs="宋体"/>
                <w:color w:val="auto"/>
                <w:sz w:val="24"/>
                <w:szCs w:val="24"/>
                <w:lang w:val="en-US" w:eastAsia="zh-CN"/>
              </w:rPr>
              <w:t>￥278,000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3" w:type="pct"/>
            <w:gridSpan w:val="6"/>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合计：人民币大写：</w:t>
            </w:r>
            <w:r>
              <w:rPr>
                <w:rFonts w:hint="eastAsia" w:ascii="宋体" w:hAnsi="宋体" w:eastAsia="宋体" w:cs="宋体"/>
                <w:color w:val="auto"/>
                <w:spacing w:val="-2"/>
                <w:sz w:val="24"/>
                <w:szCs w:val="24"/>
                <w:lang w:val="en-US" w:eastAsia="zh-CN"/>
              </w:rPr>
              <w:t>贰佰肆拾捌万捌仟柒佰陆拾</w:t>
            </w:r>
            <w:r>
              <w:rPr>
                <w:rFonts w:hint="eastAsia" w:ascii="宋体" w:hAnsi="宋体" w:eastAsia="宋体" w:cs="宋体"/>
                <w:color w:val="auto"/>
                <w:spacing w:val="-3"/>
                <w:sz w:val="24"/>
                <w:szCs w:val="24"/>
                <w:lang w:val="en-US" w:eastAsia="zh-CN"/>
              </w:rPr>
              <w:t>元整</w:t>
            </w:r>
          </w:p>
        </w:tc>
        <w:tc>
          <w:tcPr>
            <w:tcW w:w="816" w:type="pct"/>
          </w:tcPr>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4"/>
                <w:szCs w:val="24"/>
                <w:vertAlign w:val="baseline"/>
              </w:rPr>
            </w:pPr>
            <w:r>
              <w:rPr>
                <w:rFonts w:hint="eastAsia" w:ascii="宋体" w:hAnsi="宋体" w:eastAsia="宋体" w:cs="宋体"/>
                <w:color w:val="auto"/>
                <w:sz w:val="24"/>
                <w:szCs w:val="24"/>
              </w:rPr>
              <w:t>￥：</w:t>
            </w:r>
            <w:r>
              <w:rPr>
                <w:rFonts w:hint="eastAsia" w:ascii="宋体" w:hAnsi="宋体" w:eastAsia="宋体" w:cs="宋体"/>
                <w:color w:val="auto"/>
                <w:spacing w:val="-3"/>
                <w:sz w:val="24"/>
                <w:szCs w:val="24"/>
              </w:rPr>
              <w:t>2488760</w:t>
            </w:r>
          </w:p>
        </w:tc>
      </w:tr>
    </w:tbl>
    <w:p>
      <w:pPr>
        <w:keepNext w:val="0"/>
        <w:keepLines w:val="0"/>
        <w:pageBreakBefore w:val="0"/>
        <w:widowControl/>
        <w:kinsoku w:val="0"/>
        <w:wordWrap/>
        <w:overflowPunct/>
        <w:topLinePunct w:val="0"/>
        <w:autoSpaceDE w:val="0"/>
        <w:autoSpaceDN w:val="0"/>
        <w:bidi w:val="0"/>
        <w:adjustRightInd w:val="0"/>
        <w:snapToGrid w:val="0"/>
        <w:textAlignment w:val="baseline"/>
        <w:rPr>
          <w:rFonts w:hint="eastAsia" w:ascii="宋体" w:hAnsi="宋体" w:eastAsia="宋体" w:cs="宋体"/>
          <w:color w:val="auto"/>
          <w:sz w:val="24"/>
          <w:szCs w:val="24"/>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CDB582"/>
    <w:multiLevelType w:val="singleLevel"/>
    <w:tmpl w:val="8BCDB582"/>
    <w:lvl w:ilvl="0" w:tentative="0">
      <w:start w:val="8"/>
      <w:numFmt w:val="chineseCounting"/>
      <w:suff w:val="nothing"/>
      <w:lvlText w:val="（%1）"/>
      <w:lvlJc w:val="left"/>
      <w:rPr>
        <w:rFonts w:hint="eastAsia"/>
      </w:rPr>
    </w:lvl>
  </w:abstractNum>
  <w:abstractNum w:abstractNumId="1">
    <w:nsid w:val="900C2F4C"/>
    <w:multiLevelType w:val="singleLevel"/>
    <w:tmpl w:val="900C2F4C"/>
    <w:lvl w:ilvl="0" w:tentative="0">
      <w:start w:val="4"/>
      <w:numFmt w:val="chineseCounting"/>
      <w:suff w:val="nothing"/>
      <w:lvlText w:val="%1、"/>
      <w:lvlJc w:val="left"/>
      <w:rPr>
        <w:rFonts w:hint="eastAsia"/>
      </w:rPr>
    </w:lvl>
  </w:abstractNum>
  <w:abstractNum w:abstractNumId="2">
    <w:nsid w:val="FAC5E010"/>
    <w:multiLevelType w:val="multilevel"/>
    <w:tmpl w:val="FAC5E010"/>
    <w:lvl w:ilvl="0" w:tentative="0">
      <w:start w:val="1"/>
      <w:numFmt w:val="chineseCounting"/>
      <w:pStyle w:val="3"/>
      <w:suff w:val="nothing"/>
      <w:lvlText w:val="第%1章 "/>
      <w:lvlJc w:val="left"/>
      <w:pPr>
        <w:ind w:left="432" w:hanging="432"/>
      </w:pPr>
      <w:rPr>
        <w:rFonts w:hint="eastAsia"/>
      </w:rPr>
    </w:lvl>
    <w:lvl w:ilvl="1" w:tentative="0">
      <w:start w:val="1"/>
      <w:numFmt w:val="decimal"/>
      <w:pStyle w:val="2"/>
      <w:isLgl/>
      <w:lvlText w:val="%1.%2."/>
      <w:lvlJc w:val="left"/>
      <w:pPr>
        <w:ind w:left="575" w:hanging="575"/>
      </w:pPr>
      <w:rPr>
        <w:rFonts w:hint="eastAsia"/>
      </w:rPr>
    </w:lvl>
    <w:lvl w:ilvl="2" w:tentative="0">
      <w:start w:val="1"/>
      <w:numFmt w:val="decimal"/>
      <w:pStyle w:val="4"/>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3">
    <w:nsid w:val="056F4254"/>
    <w:multiLevelType w:val="singleLevel"/>
    <w:tmpl w:val="056F4254"/>
    <w:lvl w:ilvl="0" w:tentative="0">
      <w:start w:val="1"/>
      <w:numFmt w:val="decimal"/>
      <w:lvlText w:val="%1."/>
      <w:lvlJc w:val="left"/>
      <w:pPr>
        <w:tabs>
          <w:tab w:val="left" w:pos="312"/>
        </w:tabs>
      </w:pPr>
    </w:lvl>
  </w:abstractNum>
  <w:abstractNum w:abstractNumId="4">
    <w:nsid w:val="4F904466"/>
    <w:multiLevelType w:val="singleLevel"/>
    <w:tmpl w:val="4F904466"/>
    <w:lvl w:ilvl="0" w:tentative="0">
      <w:start w:val="1"/>
      <w:numFmt w:val="decimal"/>
      <w:suff w:val="nothing"/>
      <w:lvlText w:val="（%1）"/>
      <w:lvlJc w:val="left"/>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4ODFjNGNmYmJkM2Q5YjVjNGRhYTk0YWEzODI2MjEifQ=="/>
  </w:docVars>
  <w:rsids>
    <w:rsidRoot w:val="00000000"/>
    <w:rsid w:val="0414147C"/>
    <w:rsid w:val="05591217"/>
    <w:rsid w:val="06D22698"/>
    <w:rsid w:val="073D4AF6"/>
    <w:rsid w:val="08D55229"/>
    <w:rsid w:val="09616F12"/>
    <w:rsid w:val="099B68C7"/>
    <w:rsid w:val="0AC378F2"/>
    <w:rsid w:val="0AEE2A27"/>
    <w:rsid w:val="0D1F511A"/>
    <w:rsid w:val="0D6214AA"/>
    <w:rsid w:val="0E1F47FE"/>
    <w:rsid w:val="0E5232CD"/>
    <w:rsid w:val="0F470958"/>
    <w:rsid w:val="0FBF44A1"/>
    <w:rsid w:val="10CE1D7D"/>
    <w:rsid w:val="10F12FE9"/>
    <w:rsid w:val="11F058CE"/>
    <w:rsid w:val="153415F4"/>
    <w:rsid w:val="15F74817"/>
    <w:rsid w:val="19A60971"/>
    <w:rsid w:val="1A200723"/>
    <w:rsid w:val="1B6C00C4"/>
    <w:rsid w:val="1C325E74"/>
    <w:rsid w:val="1C4E77C9"/>
    <w:rsid w:val="1DA67191"/>
    <w:rsid w:val="1DA931D6"/>
    <w:rsid w:val="1DBE272D"/>
    <w:rsid w:val="20FA7F20"/>
    <w:rsid w:val="21703D3E"/>
    <w:rsid w:val="23490CEA"/>
    <w:rsid w:val="235F43AF"/>
    <w:rsid w:val="23863CED"/>
    <w:rsid w:val="23CD191B"/>
    <w:rsid w:val="274D13D8"/>
    <w:rsid w:val="28681C13"/>
    <w:rsid w:val="28DF17A9"/>
    <w:rsid w:val="2A257690"/>
    <w:rsid w:val="2BDF043E"/>
    <w:rsid w:val="2BE07BA7"/>
    <w:rsid w:val="2D39592C"/>
    <w:rsid w:val="2D90327E"/>
    <w:rsid w:val="2D9D235F"/>
    <w:rsid w:val="2EC61441"/>
    <w:rsid w:val="2ECD03D3"/>
    <w:rsid w:val="30980BBB"/>
    <w:rsid w:val="32370010"/>
    <w:rsid w:val="32462C94"/>
    <w:rsid w:val="35AD6EB7"/>
    <w:rsid w:val="38975BFC"/>
    <w:rsid w:val="39581830"/>
    <w:rsid w:val="3CD63197"/>
    <w:rsid w:val="3E6842C3"/>
    <w:rsid w:val="3ED5122D"/>
    <w:rsid w:val="3FA4757D"/>
    <w:rsid w:val="42D40E0C"/>
    <w:rsid w:val="444A5133"/>
    <w:rsid w:val="45F04644"/>
    <w:rsid w:val="46205483"/>
    <w:rsid w:val="46565349"/>
    <w:rsid w:val="46D945EF"/>
    <w:rsid w:val="475F022D"/>
    <w:rsid w:val="4A120986"/>
    <w:rsid w:val="4B0435C5"/>
    <w:rsid w:val="4C9C551B"/>
    <w:rsid w:val="4D3A32CE"/>
    <w:rsid w:val="4DCB7606"/>
    <w:rsid w:val="4F5F701C"/>
    <w:rsid w:val="4FBB2E06"/>
    <w:rsid w:val="4FD33566"/>
    <w:rsid w:val="507E1724"/>
    <w:rsid w:val="50CC6933"/>
    <w:rsid w:val="51624BA2"/>
    <w:rsid w:val="523F3135"/>
    <w:rsid w:val="531445C2"/>
    <w:rsid w:val="547A48F8"/>
    <w:rsid w:val="56327239"/>
    <w:rsid w:val="593908DE"/>
    <w:rsid w:val="5AC97A40"/>
    <w:rsid w:val="5F337B7D"/>
    <w:rsid w:val="5FCA1C5C"/>
    <w:rsid w:val="62726C0F"/>
    <w:rsid w:val="635D341B"/>
    <w:rsid w:val="63B07EEF"/>
    <w:rsid w:val="64280FE4"/>
    <w:rsid w:val="67C9107F"/>
    <w:rsid w:val="67F34968"/>
    <w:rsid w:val="68907DEF"/>
    <w:rsid w:val="68DB550E"/>
    <w:rsid w:val="690031C6"/>
    <w:rsid w:val="6A440E91"/>
    <w:rsid w:val="6C726189"/>
    <w:rsid w:val="6D9640F9"/>
    <w:rsid w:val="6DD557B3"/>
    <w:rsid w:val="70912956"/>
    <w:rsid w:val="714479C8"/>
    <w:rsid w:val="7196439C"/>
    <w:rsid w:val="721D26F3"/>
    <w:rsid w:val="72293711"/>
    <w:rsid w:val="733817AF"/>
    <w:rsid w:val="746E1016"/>
    <w:rsid w:val="750A7697"/>
    <w:rsid w:val="75792336"/>
    <w:rsid w:val="778E3A71"/>
    <w:rsid w:val="79492020"/>
    <w:rsid w:val="79E166FC"/>
    <w:rsid w:val="7AD91FB7"/>
    <w:rsid w:val="7C4A67DB"/>
    <w:rsid w:val="7CA50A93"/>
    <w:rsid w:val="7DB44158"/>
    <w:rsid w:val="7E215319"/>
    <w:rsid w:val="7EEB147F"/>
    <w:rsid w:val="7F966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qFormat/>
    <w:uiPriority w:val="0"/>
    <w:pPr>
      <w:keepNext/>
      <w:keepLines/>
      <w:numPr>
        <w:ilvl w:val="0"/>
        <w:numId w:val="1"/>
      </w:numPr>
      <w:spacing w:before="340" w:beforeLines="0" w:beforeAutospacing="0" w:after="330" w:afterLines="0" w:afterAutospacing="0" w:line="576" w:lineRule="auto"/>
      <w:ind w:left="432" w:hanging="432"/>
      <w:outlineLvl w:val="0"/>
    </w:pPr>
    <w:rPr>
      <w:b/>
      <w:kern w:val="44"/>
      <w:sz w:val="44"/>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360" w:lineRule="auto"/>
      <w:ind w:left="0" w:firstLine="0" w:firstLineChars="0"/>
      <w:outlineLvl w:val="1"/>
    </w:pPr>
    <w:rPr>
      <w:rFonts w:ascii="Arial" w:hAnsi="Arial" w:eastAsia="宋体" w:cs="Arial"/>
      <w:b/>
      <w:snapToGrid w:val="0"/>
      <w:color w:val="000000"/>
      <w:kern w:val="0"/>
      <w:sz w:val="30"/>
      <w:szCs w:val="21"/>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20" w:hanging="720"/>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basedOn w:val="1"/>
    <w:qFormat/>
    <w:uiPriority w:val="1"/>
    <w:rPr>
      <w:rFonts w:ascii="宋体" w:hAnsi="宋体" w:eastAsia="宋体" w:cs="宋体"/>
      <w:sz w:val="19"/>
      <w:szCs w:val="19"/>
      <w:lang w:val="zh-CN" w:eastAsia="zh-CN" w:bidi="zh-CN"/>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Body Text First Indent"/>
    <w:basedOn w:val="12"/>
    <w:qFormat/>
    <w:uiPriority w:val="0"/>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2022-08-04T00:38:00Z</dcterms:created>
  <dc:creator>wangmao</dc:creator>
  <cp:lastModifiedBy>admin</cp:lastModifiedBy>
  <cp:lastPrinted>2022-09-29T02:18:00Z</cp:lastPrinted>
  <dcterms:modified xsi:type="dcterms:W3CDTF">2022-10-08T02:39:28Z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CC1D069978664399A44DB500F39B5A81</vt:lpwstr>
  </property>
</Properties>
</file>