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宋体" w:hAnsi="宋体"/>
          <w:b/>
          <w:sz w:val="36"/>
          <w:szCs w:val="20"/>
          <w:lang w:eastAsia="zh-CN" w:bidi="ar-SA"/>
        </w:rPr>
      </w:pPr>
      <w:bookmarkStart w:id="2" w:name="_GoBack"/>
      <w:bookmarkEnd w:id="2"/>
      <w:r>
        <w:rPr>
          <w:rFonts w:ascii="宋体" w:hAnsi="宋体"/>
          <w:b/>
          <w:sz w:val="36"/>
          <w:szCs w:val="20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2042795</wp:posOffset>
                </wp:positionH>
                <wp:positionV relativeFrom="paragraph">
                  <wp:posOffset>127000</wp:posOffset>
                </wp:positionV>
                <wp:extent cx="3223260" cy="320040"/>
                <wp:effectExtent l="4445" t="4445" r="10795" b="1841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lang w:eastAsia="zh-CN"/>
                              </w:rPr>
                              <w:t>合同编号：Q0107(东北公司)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lang w:val="en-US" w:eastAsia="zh-CN"/>
                              </w:rPr>
                              <w:t>[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lang w:eastAsia="zh-CN"/>
                              </w:rPr>
                              <w:t>20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lang w:val="en-US" w:eastAsia="zh-CN"/>
                              </w:rPr>
                              <w:t>2  ]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b/>
                                <w:lang w:eastAsia="zh-CN"/>
                              </w:rPr>
                              <w:t xml:space="preserve">    号</w:t>
                            </w:r>
                          </w:p>
                          <w:p>
                            <w:pPr>
                              <w:rPr>
                                <w:rFonts w:ascii="仿宋_GB2312" w:eastAsia="仿宋_GB2312"/>
                                <w:b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lang w:eastAsia="zh-CN"/>
                              </w:rPr>
                              <w:t xml:space="preserve">       号</w:t>
                            </w:r>
                          </w:p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0.85pt;margin-top:10pt;height:25.2pt;width:253.8pt;z-index:251659264;mso-width-relative:page;mso-height-relative:page;" fillcolor="#FFFFFF" filled="t" stroked="t" coordsize="21600,21600" o:gfxdata="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tIU/r1wAAAAkBAAAPAAAAAAAAAAEAIAAAACIAAABkcnMvZG93bnJldi54bWxQSwECFAAU&#10;AAAACACHTuJAGm/WpCsCAABHBAAADgAAAAAAAAABACAAAAAmAQAAZHJzL2Uyb0RvYy54bWxQSwUG&#10;AAAAAAYABgBZAQAAwwUAAAAA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Theme="minorEastAsia" w:hAnsiTheme="minorEastAsia" w:eastAsiaTheme="minorEastAsia" w:cstheme="minorEastAsia"/>
                          <w:b/>
                          <w:lang w:eastAsia="zh-CN"/>
                        </w:rPr>
                      </w:pP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lang w:eastAsia="zh-CN"/>
                        </w:rPr>
                        <w:t>合同编号：Q0107(东北公司)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lang w:val="en-US" w:eastAsia="zh-CN"/>
                        </w:rPr>
                        <w:t>[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lang w:eastAsia="zh-CN"/>
                        </w:rPr>
                        <w:t>20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lang w:val="en-US" w:eastAsia="zh-CN"/>
                        </w:rPr>
                        <w:t>2  ]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b/>
                          <w:lang w:eastAsia="zh-CN"/>
                        </w:rPr>
                        <w:t xml:space="preserve">    号</w:t>
                      </w:r>
                    </w:p>
                    <w:p>
                      <w:pPr>
                        <w:rPr>
                          <w:rFonts w:ascii="仿宋_GB2312" w:eastAsia="仿宋_GB2312"/>
                          <w:b/>
                          <w:lang w:eastAsia="zh-CN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lang w:eastAsia="zh-CN"/>
                        </w:rPr>
                        <w:t xml:space="preserve">       号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jc w:val="center"/>
        <w:outlineLvl w:val="0"/>
        <w:rPr>
          <w:rFonts w:hint="eastAsia" w:ascii="华文中宋" w:hAnsi="华文中宋" w:eastAsia="华文中宋" w:cs="Times New Roman"/>
          <w:b/>
          <w:sz w:val="36"/>
          <w:szCs w:val="36"/>
          <w:lang w:val="en-US" w:eastAsia="zh-CN" w:bidi="ar-SA"/>
        </w:rPr>
      </w:pPr>
    </w:p>
    <w:p>
      <w:pPr>
        <w:jc w:val="center"/>
        <w:outlineLvl w:val="0"/>
        <w:rPr>
          <w:rFonts w:ascii="宋体" w:hAnsi="宋体"/>
          <w:b/>
          <w:sz w:val="36"/>
          <w:szCs w:val="20"/>
          <w:lang w:eastAsia="zh-CN" w:bidi="ar-SA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 w:bidi="ar-SA"/>
        </w:rPr>
        <w:t>贸易煤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 w:bidi="ar-SA"/>
        </w:rPr>
        <w:t>购销</w:t>
      </w:r>
      <w:r>
        <w:rPr>
          <w:rFonts w:hint="eastAsia" w:ascii="华文中宋" w:hAnsi="华文中宋" w:eastAsia="华文中宋"/>
          <w:b/>
          <w:sz w:val="36"/>
          <w:szCs w:val="36"/>
          <w:lang w:eastAsia="zh-CN" w:bidi="ar-SA"/>
        </w:rPr>
        <w:t>合同</w:t>
      </w:r>
    </w:p>
    <w:p>
      <w:pPr>
        <w:jc w:val="center"/>
        <w:outlineLvl w:val="0"/>
        <w:rPr>
          <w:rFonts w:hint="eastAsia" w:ascii="华文中宋" w:hAnsi="华文中宋" w:eastAsia="华文中宋"/>
          <w:b/>
          <w:sz w:val="36"/>
          <w:szCs w:val="36"/>
          <w:lang w:eastAsia="zh-CN" w:bidi="ar-SA"/>
        </w:rPr>
      </w:pPr>
      <w:r>
        <w:rPr>
          <w:rFonts w:hint="eastAsia" w:ascii="华文中宋" w:hAnsi="华文中宋" w:eastAsia="华文中宋"/>
          <w:b/>
          <w:sz w:val="36"/>
          <w:szCs w:val="36"/>
          <w:lang w:eastAsia="zh-CN" w:bidi="ar-SA"/>
        </w:rPr>
        <w:t>（火运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 w:bidi="ar-SA"/>
        </w:rPr>
        <w:t>/汽运</w:t>
      </w:r>
      <w:r>
        <w:rPr>
          <w:rFonts w:hint="eastAsia" w:ascii="华文中宋" w:hAnsi="华文中宋" w:eastAsia="华文中宋"/>
          <w:b/>
          <w:sz w:val="36"/>
          <w:szCs w:val="36"/>
          <w:lang w:eastAsia="zh-CN" w:bidi="ar-SA"/>
        </w:rPr>
        <w:t>）</w:t>
      </w:r>
    </w:p>
    <w:p>
      <w:pPr>
        <w:jc w:val="center"/>
        <w:outlineLvl w:val="0"/>
        <w:rPr>
          <w:rFonts w:hint="eastAsia" w:ascii="宋体" w:hAnsi="宋体"/>
          <w:b/>
          <w:sz w:val="21"/>
          <w:szCs w:val="21"/>
          <w:lang w:eastAsia="zh-CN"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0"/>
        <w:rPr>
          <w:rFonts w:hint="eastAsia" w:ascii="华文中宋" w:hAnsi="华文中宋" w:eastAsia="华文中宋"/>
          <w:b/>
          <w:sz w:val="28"/>
          <w:szCs w:val="28"/>
          <w:lang w:eastAsia="zh-CN" w:bidi="ar-SA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 w:bidi="ar-SA"/>
        </w:rPr>
        <w:t>甲方（供方）：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left="0" w:leftChars="0" w:right="0" w:rightChars="0"/>
        <w:jc w:val="left"/>
        <w:textAlignment w:val="auto"/>
        <w:outlineLvl w:val="0"/>
        <w:rPr>
          <w:rFonts w:hint="eastAsia" w:ascii="华文中宋" w:hAnsi="华文中宋" w:eastAsia="华文中宋"/>
          <w:b/>
          <w:sz w:val="28"/>
          <w:szCs w:val="28"/>
          <w:lang w:eastAsia="zh-CN" w:bidi="ar-SA"/>
        </w:rPr>
      </w:pPr>
      <w:r>
        <w:rPr>
          <w:rFonts w:hint="eastAsia" w:ascii="华文中宋" w:hAnsi="华文中宋" w:eastAsia="华文中宋"/>
          <w:b/>
          <w:sz w:val="28"/>
          <w:szCs w:val="28"/>
          <w:lang w:eastAsia="zh-CN" w:bidi="ar-SA"/>
        </w:rPr>
        <w:t>乙方（需方）：</w:t>
      </w:r>
      <w:r>
        <w:rPr>
          <w:rFonts w:hint="eastAsia" w:ascii="华文中宋" w:hAnsi="华文中宋" w:eastAsia="华文中宋"/>
          <w:b/>
          <w:sz w:val="28"/>
          <w:szCs w:val="28"/>
          <w:lang w:val="en-US" w:eastAsia="zh-CN" w:bidi="ar-SA"/>
        </w:rPr>
        <w:t>国能</w:t>
      </w:r>
      <w:r>
        <w:rPr>
          <w:rFonts w:hint="eastAsia" w:ascii="华文中宋" w:hAnsi="华文中宋" w:eastAsia="华文中宋"/>
          <w:b/>
          <w:sz w:val="28"/>
          <w:szCs w:val="28"/>
          <w:lang w:eastAsia="zh-CN" w:bidi="ar-SA"/>
        </w:rPr>
        <w:t>销售集团东北能源贸易有限公司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firstLine="48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依据《中华人民共和国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民法典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》，甲、乙双方本着平等、自愿的原则，就煤炭购销事宜达成一致意见，于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哈尔滨松北区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签订本合同（以下简称“合同”）。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firstLine="482" w:firstLineChars="200"/>
        <w:jc w:val="both"/>
        <w:textAlignment w:val="auto"/>
        <w:outlineLvl w:val="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煤炭购销数量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1.1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合同数量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万吨，</w:t>
      </w:r>
      <w:r>
        <w:rPr>
          <w:rFonts w:hint="eastAsia" w:asciiTheme="minorEastAsia" w:hAnsiTheme="minorEastAsia" w:eastAsiaTheme="minorEastAsia" w:cstheme="minorEastAsia"/>
          <w:color w:val="000000"/>
          <w:highlight w:val="none"/>
          <w:lang w:eastAsia="zh-CN"/>
        </w:rPr>
        <w:t>可在±</w:t>
      </w:r>
      <w:r>
        <w:rPr>
          <w:rFonts w:hint="eastAsia" w:asciiTheme="minorEastAsia" w:hAnsiTheme="minorEastAsia" w:eastAsiaTheme="minorEastAsia" w:cstheme="minorEastAsia"/>
          <w:color w:val="000000"/>
          <w:highlight w:val="none"/>
          <w:lang w:val="en-US" w:eastAsia="zh-CN"/>
        </w:rPr>
        <w:t>10%</w:t>
      </w:r>
      <w:r>
        <w:rPr>
          <w:rFonts w:hint="eastAsia" w:asciiTheme="minorEastAsia" w:hAnsiTheme="minorEastAsia" w:eastAsiaTheme="minorEastAsia" w:cstheme="minorEastAsia"/>
          <w:color w:val="000000"/>
          <w:highlight w:val="none"/>
          <w:lang w:eastAsia="zh-CN"/>
        </w:rPr>
        <w:t>范围内浮动。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left="0" w:leftChars="0"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煤炭品种、质量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2.1 品种质量约定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4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甲乙双方应当严格遵守国家六部委发布的《商品煤质量管理暂行办法》的规定，具体的品种质量指标约定见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表。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highlight w:val="yellow"/>
          <w:lang w:val="en-US" w:eastAsia="zh-CN"/>
        </w:rPr>
        <w:t>煤质指标按照厂方需求可选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44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分品种质量明细表</w:t>
      </w:r>
    </w:p>
    <w:tbl>
      <w:tblPr>
        <w:tblStyle w:val="5"/>
        <w:tblpPr w:leftFromText="180" w:rightFromText="180" w:vertAnchor="text" w:horzAnchor="page" w:tblpXSpec="center" w:tblpY="350"/>
        <w:tblOverlap w:val="never"/>
        <w:tblW w:w="83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88"/>
        <w:gridCol w:w="750"/>
        <w:gridCol w:w="1500"/>
        <w:gridCol w:w="1050"/>
        <w:gridCol w:w="1031"/>
        <w:gridCol w:w="12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煤种</w:t>
            </w:r>
          </w:p>
        </w:tc>
        <w:tc>
          <w:tcPr>
            <w:tcW w:w="51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煤质指标</w:t>
            </w: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（万吨）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全水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全硫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发热量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灰熔点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粒度</w:t>
            </w:r>
          </w:p>
        </w:tc>
        <w:tc>
          <w:tcPr>
            <w:tcW w:w="12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subscript"/>
                <w:lang w:eastAsia="zh-CN"/>
              </w:rPr>
              <w:t>t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 xml:space="preserve"> %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S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subscript"/>
                <w:lang w:eastAsia="zh-CN"/>
              </w:rPr>
              <w:t>t,ar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 xml:space="preserve"> %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Q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subscript"/>
                <w:lang w:eastAsia="zh-CN"/>
              </w:rPr>
              <w:t>net,ar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 xml:space="preserve"> kcal/kg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ST ℃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mm</w:t>
            </w:r>
          </w:p>
        </w:tc>
        <w:tc>
          <w:tcPr>
            <w:tcW w:w="12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2.2 有害元素约定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</w:rPr>
        <w:t>(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  <w:lang w:eastAsia="zh-CN"/>
        </w:rPr>
        <w:t>非必要条款，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</w:rPr>
        <w:t>如果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</w:rPr>
        <w:t>需要可以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  <w:lang w:val="en-US" w:eastAsia="zh-CN"/>
        </w:rPr>
        <w:t>不选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砷含量（As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vertAlign w:val="subscript"/>
        </w:rPr>
        <w:t>d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）≤80µg/g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汞含量（Hg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vertAlign w:val="subscript"/>
        </w:rPr>
        <w:t>d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）≤0.600µg/g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氯含量（Cl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vertAlign w:val="subscript"/>
        </w:rPr>
        <w:t>d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）≤0.300%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  <w:t>磷（Pd）≤0.15%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eastAsia="zh-CN"/>
        </w:rPr>
        <w:t xml:space="preserve">氟（Fd）≤200µg/g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eastAsia="zh-CN"/>
        </w:rPr>
        <w:t>经甲、乙双方友好约定，作为结算依据的化验结果中暂不包含有害元素。若政策有规定时，按照相关规定执行。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若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val="en-US" w:eastAsia="zh-CN"/>
        </w:rPr>
        <w:t>有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  <w:lang w:eastAsia="zh-CN"/>
        </w:rPr>
        <w:t>需求，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甲方必须为乙方提供合同煤种的有害元素检测结果。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bookmarkStart w:id="0" w:name="OLE_LINK2"/>
      <w:bookmarkStart w:id="1" w:name="OLE_LINK1"/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合同价格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yellow"/>
          <w:shd w:val="clear" w:color="FFFFFF" w:fill="D9D9D9"/>
          <w:lang w:eastAsia="zh-CN"/>
        </w:rPr>
        <w:t>（可选项一，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yellow"/>
          <w:shd w:val="clear" w:color="FFFFFF" w:fill="D9D9D9"/>
          <w:lang w:val="en-US" w:eastAsia="zh-CN"/>
        </w:rPr>
        <w:t>适用于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yellow"/>
          <w:shd w:val="clear" w:color="FFFFFF" w:fill="D9D9D9"/>
          <w:lang w:eastAsia="zh-CN"/>
        </w:rPr>
        <w:t>无煤质奖罚情形）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3.1 合同价格:执行月度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车板含税价格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以《补充协议》或《确认函》确定。《确认函》经双方盖章确定后，具有与本合同同等法律效力，并做为相关结算依据。</w:t>
      </w:r>
    </w:p>
    <w:bookmarkEnd w:id="0"/>
    <w:bookmarkEnd w:id="1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yellow"/>
          <w:shd w:val="clear" w:color="FFFFFF" w:fill="D9D9D9"/>
          <w:lang w:eastAsia="zh-CN"/>
        </w:rPr>
        <w:t>（可选项二，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yellow"/>
          <w:shd w:val="clear" w:color="FFFFFF" w:fill="D9D9D9"/>
          <w:lang w:val="en-US" w:eastAsia="zh-CN"/>
        </w:rPr>
        <w:t>适用于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yellow"/>
          <w:shd w:val="clear" w:color="FFFFFF" w:fill="D9D9D9"/>
          <w:lang w:eastAsia="zh-CN"/>
        </w:rPr>
        <w:t>有煤质奖罚情形）例如：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 xml:space="preserve">3.1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合同价格:执行月度车板含税价格,月度车板含税价=（结算热值×热值单价）；结算热值以全月加权平均热值为准，结算单价折算成元/吨进行结算（小数点后保留两位）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val="en-US" w:eastAsia="zh-CN"/>
        </w:rPr>
        <w:t>,如遇价格变化以《补充协议》或《确认函》确定。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right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3.2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热值奖罚：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结算热值在****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kcal/kg以上，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热值单价为**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元/kcal/kg；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结算热值在****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kcal/kg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之间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热值单价为**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元/kcal/kg；全月加权平均计价结算；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到厂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热值连续低于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kcal/kg停止发运；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到厂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热值低于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kcal/kg拒收。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3.3 其他奖罚：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硫超出合同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规定范围，每超出0.1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个百分点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月度车板含税价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扣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减**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元/吨，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月加权平均计价结算。挥发分超过合同规定范围，每超出1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个百分点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lang w:eastAsia="zh-CN"/>
        </w:rPr>
        <w:t>月度车板含税价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扣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>减**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元/吨，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全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月加权平均计价结算。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highlight w:val="yellow"/>
          <w:lang w:val="en-US" w:eastAsia="zh-CN"/>
        </w:rPr>
        <w:t>根据运输方式，以下二选一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highlight w:val="yellow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highlight w:val="yellow"/>
          <w:lang w:val="en-US" w:eastAsia="zh-CN"/>
        </w:rPr>
        <w:t>以下适用于火运方式</w:t>
      </w:r>
      <w:r>
        <w:rPr>
          <w:rFonts w:hint="eastAsia" w:asciiTheme="minorEastAsia" w:hAnsiTheme="minorEastAsia" w:eastAsiaTheme="minorEastAsia" w:cstheme="minorEastAsia"/>
          <w:b/>
          <w:bCs/>
          <w:highlight w:val="yellow"/>
          <w:lang w:eastAsia="zh-CN"/>
        </w:rPr>
        <w:t>）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交货地点、方式及货物所有权的转移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4.1 交货地点：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4.2 交货方式：铁运车板交货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 xml:space="preserve"> 货物所有权转移：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甲方将货物运至双方约定交货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地点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，并履行交货义务后，即视为货物的所有权转移给乙方。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数量确认：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shd w:val="clear" w:color="FFFFFF" w:fill="D9D9D9"/>
          <w:lang w:val="en-US" w:eastAsia="zh-CN"/>
        </w:rPr>
        <w:t>可选项一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 xml:space="preserve">5.1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eastAsia="zh-CN"/>
        </w:rPr>
        <w:t>以铁路货票记载数量为准作为验收、结算依据。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yellow"/>
          <w:lang w:val="en-US" w:eastAsia="zh-CN"/>
        </w:rPr>
        <w:t>可选项二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lang w:val="en-US" w:eastAsia="zh-CN"/>
        </w:rPr>
        <w:t>5.1 以俄铁运单记载数量为准作为验收、结算依据.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yellow"/>
          <w:shd w:val="clear" w:color="FFFFFF" w:fill="D9D9D9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shd w:val="clear" w:color="FFFFFF" w:fill="D9D9D9"/>
          <w:lang w:val="en-US" w:eastAsia="zh-CN"/>
        </w:rPr>
        <w:t>可选项三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shd w:val="clear" w:color="auto" w:fill="auto"/>
          <w:lang w:val="en-US" w:eastAsia="zh-CN"/>
        </w:rPr>
        <w:t xml:space="preserve">5.1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shd w:val="clear" w:color="auto" w:fill="auto"/>
          <w:lang w:eastAsia="zh-CN"/>
        </w:rPr>
        <w:t>以乙方指定收货人出具的煤炭数量检斤结果作为验收、结算依据。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80" w:leftChars="0" w:right="0" w:rightChars="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6.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质量确认：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shd w:val="clear" w:color="FFFFFF" w:fill="D9D9D9"/>
          <w:lang w:val="en-US" w:eastAsia="zh-CN"/>
        </w:rPr>
        <w:t>可选项一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 xml:space="preserve">6.1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以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甲方装车检验结果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为准，并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作为验收、结算依据。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highlight w:val="yellow"/>
          <w:lang w:val="en-US" w:eastAsia="zh-CN"/>
        </w:rPr>
        <w:t>可选项二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6.1 以俄罗斯SGS报告为准，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并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作为验收、结算依据。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yellow"/>
          <w:shd w:val="clear" w:color="FFFFFF" w:fill="D9D9D9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shd w:val="clear" w:color="FFFFFF" w:fill="D9D9D9"/>
          <w:lang w:val="en-US" w:eastAsia="zh-CN"/>
        </w:rPr>
        <w:t>可选项三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shd w:val="clear" w:color="auto" w:fill="auto"/>
          <w:lang w:val="en-US" w:eastAsia="zh-CN"/>
        </w:rPr>
        <w:t xml:space="preserve">6.1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shd w:val="clear" w:color="auto" w:fill="auto"/>
          <w:lang w:eastAsia="zh-CN"/>
        </w:rPr>
        <w:t>以乙方指定收货人提供检验结果作为验收、结算依据。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数量和质量异议的处理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5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7.1 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量异议：甲方与乙方收货人验收数量差异超出货票数量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1.2%，可以提起异议，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乙方协助甲方和乙方收货人协商解决。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5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7.2 质量异议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7.2.1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甲方与乙方收货人对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化验结果有异议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，乙方协助甲方和乙方收货人协商解决。如协商不成，由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甲乙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双方共同认可的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有资质的第三方煤质检验机构进行复检，复检费用由提议方承担。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7.2.2 甲乙双方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有到现场监督的权利，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但不能影响和干预质量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检测单位采、制、化工作在“公开、公平、公正” 的原则下独立进行。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运输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8.1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乙方收货人：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8.2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专用线：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8.3 发站：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8.4 到站：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8.5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铁路运输：甲方负责将货物安全完整运至约定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到站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可选项一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>8.6 请车发运：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甲方负责请车发运，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铁路大票备注栏机打备注“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国能销售集团东北能源贸易有限公司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发运”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字样；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甲方负责代垫铁路运费（包括运费和杂费）。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可选项二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8.6 请车发运：乙方负责请车发运，乙方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负责代垫铁路运费（包括运费和杂费），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因甲方产生的相关铁路杂费乙方不予承担，甲方有义务协助乙方与运输方对账。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val="en-US" w:eastAsia="zh-CN"/>
        </w:rPr>
        <w:t>以下适用于汽运方式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交货地点、方式及货物所有权的转移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4.1 交货地点：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lang w:eastAsia="zh-CN"/>
        </w:rPr>
        <w:t>4.2 交货方式：到厂交货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 xml:space="preserve"> 货物所有权转移：甲方负责将货物运至双方约定交货地点，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并履行交货义务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后，即视为货物的所有权转移给乙方。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数量确认：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5.1 煤炭数量以乙方收货人指定站、厂出具的检斤结果为准，并作为结算依据。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5.2 检斤结果可作为代垫汽车运费结算依据。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质量确认：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FF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shd w:val="clear" w:color="auto" w:fill="auto"/>
          <w:lang w:val="en-US" w:eastAsia="zh-CN"/>
        </w:rPr>
        <w:t xml:space="preserve">6.1 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highlight w:val="none"/>
          <w:shd w:val="clear" w:color="auto" w:fill="auto"/>
          <w:lang w:eastAsia="zh-CN"/>
        </w:rPr>
        <w:t>以乙方指定收货人出具的煤炭质检报告作为验收、结算依据。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数量和质量异议的处理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5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7.1 数量异议：甲方与乙方收货人对验收数量如有异议，乙方协助甲方和乙方收货人协商解决。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5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7.2 质量异议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7.2.1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甲方与乙方收货人对验收质量如有异议，乙方协助甲方和乙方收货人协商解决。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7.2.2 甲乙双方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eastAsia="zh-CN"/>
        </w:rPr>
        <w:t>有到现场监督的权利，但不能影响和干预质量检测单位采、制、化工作在“公开、公平、公正” 的原则下独立进行。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480" w:leftChars="0"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val="en-US" w:eastAsia="zh-CN"/>
        </w:rPr>
        <w:t xml:space="preserve">8. 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none"/>
          <w:lang w:eastAsia="zh-CN"/>
        </w:rPr>
        <w:t>运输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8.1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乙方收货人：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8.2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 xml:space="preserve"> 汽运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运输，甲方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甲方指定第三方将货物运至双方约定交货地点。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2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eastAsia="zh-CN"/>
        </w:rPr>
        <w:t>结算及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highlight w:val="none"/>
          <w:lang w:val="en-US" w:eastAsia="zh-CN"/>
        </w:rPr>
        <w:t>付款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9.1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GB"/>
        </w:rPr>
        <w:t>结算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GB" w:eastAsia="zh-CN"/>
        </w:rPr>
        <w:t>的金额、数量单位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GB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9.1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 xml:space="preserve">.1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GB"/>
        </w:rPr>
        <w:t>结算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GB" w:eastAsia="zh-CN"/>
        </w:rPr>
        <w:t>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GB"/>
        </w:rPr>
        <w:t>以人民币元为单位，小数点后保留两位。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eastAsia="zh-CN"/>
        </w:rPr>
        <w:t>9.1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none"/>
          <w:lang w:val="en-US" w:eastAsia="zh-CN"/>
        </w:rPr>
        <w:t xml:space="preserve">.2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结算数量以吨为单位，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GB"/>
        </w:rPr>
        <w:t>小数点后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保留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两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位</w:t>
      </w: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GB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GB" w:eastAsia="zh-CN"/>
        </w:rPr>
        <w:t>9.2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GB" w:eastAsia="zh-CN"/>
        </w:rPr>
        <w:t>结算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GB" w:eastAsia="zh-CN"/>
        </w:rPr>
        <w:t>周期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GB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yellow"/>
          <w:lang w:val="en-US" w:eastAsia="zh-CN"/>
        </w:rPr>
        <w:t>可选项一（预付客户）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9.2.1 30天内结算完毕。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yellow"/>
          <w:lang w:val="en-US" w:eastAsia="zh-CN"/>
        </w:rPr>
        <w:t>可选项二（后付客户）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highlight w:val="none"/>
          <w:lang w:val="en-US" w:eastAsia="zh-CN"/>
        </w:rPr>
        <w:t>9.2.1 45天内结算完毕。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GB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GB" w:eastAsia="zh-CN"/>
        </w:rPr>
        <w:t>9.3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GB" w:eastAsia="zh-CN"/>
        </w:rPr>
        <w:t>结算方式：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GB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GB" w:eastAsia="zh-CN"/>
        </w:rPr>
        <w:t>选项一（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适用于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GB" w:eastAsia="zh-CN"/>
        </w:rPr>
        <w:t>一票结算货款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情形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GB"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9.3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.1 煤炭价款发票：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甲方向乙方开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符合税务部门要求的增值税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专用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GB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可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GB" w:eastAsia="zh-CN"/>
        </w:rPr>
        <w:t>选项二（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适用于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GB" w:eastAsia="zh-CN"/>
        </w:rPr>
        <w:t>两票结算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货款情形）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GB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9.3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.1 煤炭价款发票：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甲方向乙方开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符合税务部门要求的增值税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专用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9.3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.2 代垫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运费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发票：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承运单位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向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乙方指定收货人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具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符合税务部门要求的增值税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专用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发票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9.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4 付款条件：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GB"/>
        </w:rPr>
        <w:t>乙方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GB" w:eastAsia="zh-CN"/>
        </w:rPr>
        <w:t>完成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全部结算手续后向甲方支付货款。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9.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5 付款方式：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highlight w:val="yellow"/>
          <w:lang w:val="en-US" w:eastAsia="zh-CN"/>
        </w:rPr>
        <w:t>可选项一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color w:val="000000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 xml:space="preserve">9.5.1 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乙方以银行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汇方式支付货款。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highlight w:val="yellow"/>
          <w:lang w:val="en-US" w:eastAsia="zh-CN"/>
        </w:rPr>
        <w:t>可选项二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 xml:space="preserve">9.5.1 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乙方以银行</w:t>
      </w:r>
      <w:r>
        <w:rPr>
          <w:rFonts w:hint="eastAsia" w:asciiTheme="minorEastAsia" w:hAnsiTheme="minorEastAsia" w:eastAsiaTheme="minorEastAsia" w:cstheme="minorEastAsia"/>
          <w:color w:val="000000"/>
          <w:lang w:val="en-US" w:eastAsia="zh-CN"/>
        </w:rPr>
        <w:t>现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汇方式支付货款；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GB" w:eastAsia="zh-CN"/>
        </w:rPr>
        <w:t>乙方若以银行承兑汇票方式支付</w:t>
      </w:r>
      <w:r>
        <w:rPr>
          <w:rFonts w:hint="eastAsia" w:asciiTheme="minorEastAsia" w:hAnsiTheme="minorEastAsia" w:eastAsiaTheme="minorEastAsia" w:cstheme="minorEastAsia"/>
          <w:color w:val="000000"/>
          <w:lang w:eastAsia="zh-CN"/>
        </w:rPr>
        <w:t>货款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lang w:val="en-GB" w:eastAsia="zh-CN"/>
        </w:rPr>
        <w:t>，须经甲方同意。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highlight w:val="yellow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9.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 xml:space="preserve">6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结算货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款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</w:rPr>
        <w:t>(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  <w:lang w:eastAsia="zh-CN"/>
        </w:rPr>
        <w:t>非必要条款，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</w:rPr>
        <w:t>如果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  <w:lang w:val="en-US" w:eastAsia="zh-CN"/>
        </w:rPr>
        <w:t>不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</w:rPr>
        <w:t>需要可以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  <w:lang w:val="en-US" w:eastAsia="zh-CN"/>
        </w:rPr>
        <w:t>不选</w:t>
      </w:r>
      <w:r>
        <w:rPr>
          <w:rFonts w:hint="eastAsia" w:asciiTheme="minorEastAsia" w:hAnsiTheme="minorEastAsia" w:eastAsiaTheme="minorEastAsia" w:cstheme="minorEastAsia"/>
          <w:b/>
          <w:bCs w:val="0"/>
          <w:color w:val="FF0000"/>
          <w:sz w:val="24"/>
          <w:szCs w:val="24"/>
          <w:highlight w:val="yellow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9.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 xml:space="preserve">6.1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在同时满足以下条件时，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可以预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结算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不超过当次采购金额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70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%的货款：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9.6.1.1 甲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yellow"/>
          <w:lang w:val="en-US" w:eastAsia="zh-CN" w:bidi="en-US"/>
        </w:rPr>
        <w:t>方已履行本合同约定的全部交货义务；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9.6.1.2 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控制全部货权，并取得相关业务单据；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9.6.1.3 甲方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书面承诺在结算价格确认后的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个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工作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日内，开具货值全额增值税专用发票。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此承诺可为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单批次贸易业务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或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同一自然年度内的同类多批次贸易业务。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9.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val="en-US" w:eastAsia="zh-CN"/>
        </w:rPr>
        <w:t>6.2  乙方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highlight w:val="yellow"/>
          <w:lang w:eastAsia="zh-CN"/>
        </w:rPr>
        <w:t>在取得全额增值税专用发票后，方可付清剩余货款。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违约责任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 xml:space="preserve">10.1 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正常履约条件下，合同数量兑现60%可视为正常履行合同；若兑现不足60%或超过110%时，双方需签订《补充协议》。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10.2 由于甲方原因造成的违约，视为甲方违约；如因自然原因、承运方原因及其他非甲方原因导致本合同未按约定履行，甲方不承担责任。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10.3 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highlight w:val="none"/>
          <w:lang w:val="en-US" w:eastAsia="zh-CN" w:bidi="ar-SA"/>
        </w:rPr>
        <w:t>由于乙方原因造成的违约，视为乙方违约。如因自然原因及其他非乙方原因导致本合同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未按约定履行，乙方不承担责任。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11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不可抗力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11.1 如在甲、乙双方履行合同期间及区域内因发生不可抗力，如战争、自然灾害、运输中断、重大安全生产事故、政府政策变化事件等，无法正常履行合同的，应立即通知合同对方，并积极采取补救措施，在受不可抗力影响的范围内，有关当事人可免除其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11.2 发生不可抗力后，不能正常履行合同一方应第一时间将详情通知对方，并有义务尽量将损失降到最低。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11.3 不可抗力解除后，甲、乙双方是否延期履行、部分履行或取消履行本合同，双方应本着相互谅解、互惠互利原则协商确定。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12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争议解决及适用法律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12.1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甲、乙双方在执行本合同过程中发生的争议，应本着友好合作的精神协商解决。若双方协商不能达成一致，可向合同签约地法院提起诉讼。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12.2 争议解决期间除涉及争议的合同条款外，甲、乙双方应继续履行本合同的其他条款。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12.3 本合同及后续《补充协议》的订立、效力、解释、履行和争议的解决均适用中华人民共和国法律。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13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保密义务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本合同中涉及的合同数量、合同价格及品种质量指标均为甲、乙双方需保密的信息，在合同有效期内及合同终止之日起两年内，除政府及相关部门要求披露或法律另有规定外，合同任何一方均不得向任何第三方透露其内容。因一方泄密而致另一方遭受损失，泄密方应承担损害赔偿责任。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合同的变更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.1 在合同执行过程中，甲、乙双方均有权就本合同内容向对方提出书面修改意见，对此双方应本着相互理解合作的精神进行协商。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.2 一旦甲、乙双方就修改意见达成一致，应以《补充协议》形式经双方加盖单位公章或者合同专用章确认，视为本合同不可分割的组成部分，与本合同具有同等法律效力。《补充协议》与本合同内容不一致的，以《补充协议》约定内容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14.3 未经另一方书面同意，一方不能将其在本合同项下的权利义务转移给第三方。</w:t>
      </w:r>
    </w:p>
    <w:p>
      <w:pPr>
        <w:spacing w:line="360" w:lineRule="auto"/>
        <w:ind w:firstLine="482" w:firstLineChars="200"/>
        <w:jc w:val="both"/>
        <w:rPr>
          <w:rFonts w:hint="eastAsia" w:ascii="宋体" w:hAnsi="宋体"/>
          <w:sz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 xml:space="preserve">15.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合同生效及履行期限</w:t>
      </w:r>
    </w:p>
    <w:p>
      <w:pPr>
        <w:spacing w:line="360" w:lineRule="auto"/>
        <w:ind w:firstLine="480" w:firstLineChars="200"/>
        <w:jc w:val="both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 xml:space="preserve">15.1 </w:t>
      </w:r>
      <w:r>
        <w:rPr>
          <w:rFonts w:hint="eastAsia" w:ascii="宋体" w:hAnsi="宋体"/>
          <w:sz w:val="24"/>
        </w:rPr>
        <w:t>本合同需经甲、乙双方法定代表人或授权代表签字并加盖单位公章或者合同专用章，有效期自</w:t>
      </w:r>
      <w:r>
        <w:rPr>
          <w:rFonts w:hint="eastAsia" w:ascii="宋体" w:hAnsi="宋体"/>
          <w:sz w:val="24"/>
          <w:lang w:eastAsia="zh-CN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年___月___日起至</w:t>
      </w:r>
      <w:r>
        <w:rPr>
          <w:rFonts w:hint="eastAsia" w:ascii="宋体" w:hAnsi="宋体"/>
          <w:sz w:val="24"/>
          <w:lang w:eastAsia="zh-CN"/>
        </w:rPr>
        <w:t>20</w:t>
      </w:r>
      <w:r>
        <w:rPr>
          <w:rFonts w:hint="eastAsia" w:ascii="宋体" w:hAnsi="宋体"/>
          <w:sz w:val="24"/>
          <w:lang w:val="en-US" w:eastAsia="zh-CN"/>
        </w:rPr>
        <w:t>21</w:t>
      </w:r>
      <w:r>
        <w:rPr>
          <w:rFonts w:hint="eastAsia" w:ascii="宋体" w:hAnsi="宋体"/>
          <w:sz w:val="24"/>
        </w:rPr>
        <w:t>年___月___日止。在本合同履行期限内，尚未完成合同结算的，结算期限不受本合同履行期限限制，以双方实际结算安排为准。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16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val="en-US" w:eastAsia="zh-CN"/>
        </w:rPr>
        <w:t xml:space="preserve">.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其他约定事项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16.1本合同一式X份，甲方执X份、乙方执X份，具有同等法律效力。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16.2本合同不得用于任何形式的融资担保业务（包括货款质押等）。除双方另行签署《补充协议》单独约定外，本合同项下双方权利义务不得转让任何第三方。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16.3履约保证金</w:t>
      </w:r>
    </w:p>
    <w:p>
      <w:pPr>
        <w:spacing w:line="460" w:lineRule="exact"/>
        <w:ind w:firstLine="480" w:firstLineChars="200"/>
        <w:jc w:val="both"/>
        <w:rPr>
          <w:rFonts w:hint="eastAsia" w:ascii="宋体" w:hAnsi="宋体"/>
          <w:b w:val="0"/>
          <w:bCs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16.3.1</w:t>
      </w:r>
      <w:r>
        <w:rPr>
          <w:rFonts w:hint="eastAsia" w:ascii="宋体" w:hAnsi="宋体"/>
          <w:b w:val="0"/>
          <w:bCs/>
          <w:lang w:eastAsia="zh-CN"/>
        </w:rPr>
        <w:t>在合同履行期限</w:t>
      </w:r>
      <w:r>
        <w:rPr>
          <w:rFonts w:hint="eastAsia" w:ascii="宋体" w:hAnsi="宋体"/>
          <w:b w:val="0"/>
          <w:bCs/>
          <w:lang w:val="en-US" w:eastAsia="zh-CN"/>
        </w:rPr>
        <w:t>内</w:t>
      </w:r>
      <w:r>
        <w:rPr>
          <w:rFonts w:hint="eastAsia" w:ascii="宋体" w:hAnsi="宋体"/>
          <w:b w:val="0"/>
          <w:bCs/>
          <w:lang w:eastAsia="zh-CN"/>
        </w:rPr>
        <w:t>，合同履约率（实际完成数量</w:t>
      </w:r>
      <w:r>
        <w:rPr>
          <w:rFonts w:hint="eastAsia" w:ascii="宋体" w:hAnsi="宋体"/>
          <w:b w:val="0"/>
          <w:bCs/>
          <w:lang w:val="en-US" w:eastAsia="zh-CN"/>
        </w:rPr>
        <w:t>/合同数量</w:t>
      </w:r>
      <w:r>
        <w:rPr>
          <w:rFonts w:hint="eastAsia" w:ascii="宋体" w:hAnsi="宋体"/>
          <w:b w:val="0"/>
          <w:bCs/>
          <w:lang w:eastAsia="zh-CN"/>
        </w:rPr>
        <w:t>）达到</w:t>
      </w:r>
      <w:r>
        <w:rPr>
          <w:rFonts w:hint="eastAsia" w:ascii="宋体" w:hAnsi="宋体"/>
          <w:b w:val="0"/>
          <w:bCs/>
          <w:lang w:val="en-US" w:eastAsia="zh-CN"/>
        </w:rPr>
        <w:t>60%（含）以上，合同到期后乙方全额退回保证金；</w:t>
      </w:r>
      <w:r>
        <w:rPr>
          <w:rFonts w:hint="eastAsia" w:ascii="宋体" w:hAnsi="宋体"/>
          <w:b w:val="0"/>
          <w:bCs/>
          <w:lang w:eastAsia="zh-CN"/>
        </w:rPr>
        <w:t>由于</w:t>
      </w:r>
      <w:r>
        <w:rPr>
          <w:rFonts w:hint="eastAsia" w:ascii="宋体" w:hAnsi="宋体"/>
          <w:b w:val="0"/>
          <w:bCs/>
          <w:lang w:val="en-US" w:eastAsia="zh-CN"/>
        </w:rPr>
        <w:t>甲</w:t>
      </w:r>
      <w:r>
        <w:rPr>
          <w:rFonts w:hint="eastAsia" w:ascii="宋体" w:hAnsi="宋体"/>
          <w:b w:val="0"/>
          <w:bCs/>
          <w:lang w:eastAsia="zh-CN"/>
        </w:rPr>
        <w:t>方原因造成合同履约率低于60%，保证金不予返回。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/>
          <w:b w:val="0"/>
          <w:bCs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5"/>
        <w:tblW w:w="91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9"/>
        <w:gridCol w:w="4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3" w:hRule="atLeast"/>
          <w:jc w:val="center"/>
        </w:trPr>
        <w:tc>
          <w:tcPr>
            <w:tcW w:w="4599" w:type="dxa"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b/>
                <w:sz w:val="28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lang w:eastAsia="zh-CN"/>
              </w:rPr>
              <w:t>甲方（供方）：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法定代表人: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授权代表人：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地  址：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邮  编：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电  话：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传  真：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开户银行：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账  号：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税  号：</w:t>
            </w:r>
          </w:p>
          <w:p>
            <w:pPr>
              <w:spacing w:line="360" w:lineRule="exac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签约日期：    年       月      日</w:t>
            </w:r>
          </w:p>
        </w:tc>
        <w:tc>
          <w:tcPr>
            <w:tcW w:w="4600" w:type="dxa"/>
            <w:vAlign w:val="top"/>
          </w:tcPr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8"/>
                <w:lang w:eastAsia="zh-CN"/>
              </w:rPr>
              <w:t>乙方（需方）：</w:t>
            </w:r>
            <w:r>
              <w:rPr>
                <w:rFonts w:hint="eastAsia" w:ascii="宋体" w:hAnsi="宋体" w:cs="宋体"/>
                <w:b/>
                <w:sz w:val="28"/>
                <w:lang w:val="en-US" w:eastAsia="zh-CN"/>
              </w:rPr>
              <w:t>国能</w:t>
            </w:r>
            <w:r>
              <w:rPr>
                <w:rFonts w:hint="eastAsia" w:ascii="宋体" w:hAnsi="宋体" w:cs="宋体"/>
                <w:b/>
                <w:sz w:val="28"/>
                <w:lang w:eastAsia="zh-CN"/>
              </w:rPr>
              <w:t>销售集团东北能源贸易有限公司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 xml:space="preserve">法定代表人: 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授权代表人：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地  址：哈尔滨市松北区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创新路1616号17号楼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邮  编：150000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电  话：0451-86774241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传  真：0451-86774241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开户银行：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 xml:space="preserve">账  号：23001866851059666888 </w:t>
            </w:r>
          </w:p>
          <w:p>
            <w:pPr>
              <w:spacing w:line="36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税  号：91230199591949663A</w:t>
            </w:r>
          </w:p>
          <w:p>
            <w:pPr>
              <w:spacing w:line="360" w:lineRule="exact"/>
              <w:rPr>
                <w:rFonts w:ascii="宋体" w:hAnsi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签约日期：    年       月      日</w:t>
            </w:r>
          </w:p>
        </w:tc>
      </w:tr>
    </w:tbl>
    <w:p/>
    <w:sectPr>
      <w:footerReference r:id="rId3" w:type="default"/>
      <w:pgSz w:w="11906" w:h="16838"/>
      <w:pgMar w:top="1247" w:right="1474" w:bottom="124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4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B39FF8"/>
    <w:multiLevelType w:val="singleLevel"/>
    <w:tmpl w:val="9EB39FF8"/>
    <w:lvl w:ilvl="0" w:tentative="0">
      <w:start w:val="14"/>
      <w:numFmt w:val="decimal"/>
      <w:suff w:val="space"/>
      <w:lvlText w:val="%1."/>
      <w:lvlJc w:val="left"/>
    </w:lvl>
  </w:abstractNum>
  <w:abstractNum w:abstractNumId="1">
    <w:nsid w:val="D8FE39DA"/>
    <w:multiLevelType w:val="singleLevel"/>
    <w:tmpl w:val="D8FE39DA"/>
    <w:lvl w:ilvl="0" w:tentative="0">
      <w:start w:val="7"/>
      <w:numFmt w:val="decimal"/>
      <w:suff w:val="space"/>
      <w:lvlText w:val="%1."/>
      <w:lvlJc w:val="left"/>
    </w:lvl>
  </w:abstractNum>
  <w:abstractNum w:abstractNumId="2">
    <w:nsid w:val="2DAAC13F"/>
    <w:multiLevelType w:val="singleLevel"/>
    <w:tmpl w:val="2DAAC13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72CBA"/>
    <w:rsid w:val="00ED5CE0"/>
    <w:rsid w:val="03F06130"/>
    <w:rsid w:val="06D20E7D"/>
    <w:rsid w:val="0721416E"/>
    <w:rsid w:val="08E84E92"/>
    <w:rsid w:val="094B2B48"/>
    <w:rsid w:val="0A7248A0"/>
    <w:rsid w:val="0CEE3E3A"/>
    <w:rsid w:val="0D2C10D5"/>
    <w:rsid w:val="0D68258F"/>
    <w:rsid w:val="0D840F26"/>
    <w:rsid w:val="0D8C5F07"/>
    <w:rsid w:val="0EED102C"/>
    <w:rsid w:val="0FA3494D"/>
    <w:rsid w:val="100E5F8A"/>
    <w:rsid w:val="104E13AE"/>
    <w:rsid w:val="1413441F"/>
    <w:rsid w:val="15F46359"/>
    <w:rsid w:val="17AB3E37"/>
    <w:rsid w:val="17EF4CB0"/>
    <w:rsid w:val="18C70412"/>
    <w:rsid w:val="1B185178"/>
    <w:rsid w:val="1C4A0D12"/>
    <w:rsid w:val="1CCB4E28"/>
    <w:rsid w:val="1FAB2A3C"/>
    <w:rsid w:val="1FE16D1F"/>
    <w:rsid w:val="218853C4"/>
    <w:rsid w:val="26151BD2"/>
    <w:rsid w:val="26F6312D"/>
    <w:rsid w:val="2B4A74A1"/>
    <w:rsid w:val="2B7F6486"/>
    <w:rsid w:val="2EFF5896"/>
    <w:rsid w:val="2FCB470C"/>
    <w:rsid w:val="304B5B19"/>
    <w:rsid w:val="30751018"/>
    <w:rsid w:val="32CC527C"/>
    <w:rsid w:val="33B76762"/>
    <w:rsid w:val="34C40389"/>
    <w:rsid w:val="367E41FE"/>
    <w:rsid w:val="3B031B88"/>
    <w:rsid w:val="3C6367C5"/>
    <w:rsid w:val="3D2503DB"/>
    <w:rsid w:val="3D665504"/>
    <w:rsid w:val="3EFE10CB"/>
    <w:rsid w:val="3F7B7D14"/>
    <w:rsid w:val="3FB62B7E"/>
    <w:rsid w:val="476076E6"/>
    <w:rsid w:val="48983364"/>
    <w:rsid w:val="494E0FC5"/>
    <w:rsid w:val="49B5261E"/>
    <w:rsid w:val="4A0C7058"/>
    <w:rsid w:val="4B133273"/>
    <w:rsid w:val="4B222E78"/>
    <w:rsid w:val="4CFD4406"/>
    <w:rsid w:val="524B51B9"/>
    <w:rsid w:val="556E13E5"/>
    <w:rsid w:val="55872CBA"/>
    <w:rsid w:val="55AD43DA"/>
    <w:rsid w:val="56703C59"/>
    <w:rsid w:val="56C577ED"/>
    <w:rsid w:val="5B7A0477"/>
    <w:rsid w:val="5CFC7916"/>
    <w:rsid w:val="5E887332"/>
    <w:rsid w:val="5F91735A"/>
    <w:rsid w:val="60B673DD"/>
    <w:rsid w:val="614C188D"/>
    <w:rsid w:val="61997CFC"/>
    <w:rsid w:val="61F27124"/>
    <w:rsid w:val="62646CA2"/>
    <w:rsid w:val="62693C2D"/>
    <w:rsid w:val="62ED325F"/>
    <w:rsid w:val="649C3B30"/>
    <w:rsid w:val="65232F4F"/>
    <w:rsid w:val="66D94637"/>
    <w:rsid w:val="6A4D55BE"/>
    <w:rsid w:val="6C2D3DDE"/>
    <w:rsid w:val="6C316897"/>
    <w:rsid w:val="6C7F64D1"/>
    <w:rsid w:val="6F9A3F05"/>
    <w:rsid w:val="74793595"/>
    <w:rsid w:val="753D4D0C"/>
    <w:rsid w:val="75E43C7F"/>
    <w:rsid w:val="764F5FC4"/>
    <w:rsid w:val="77784262"/>
    <w:rsid w:val="7A1A5D4D"/>
    <w:rsid w:val="7B5360CE"/>
    <w:rsid w:val="7C101008"/>
    <w:rsid w:val="7D3F07AE"/>
    <w:rsid w:val="7D4E1EF6"/>
    <w:rsid w:val="7D706903"/>
    <w:rsid w:val="7F0D6A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2018-04-24T10:55:00Z</dcterms:created>
  <dc:creator>袁巍</dc:creator>
  <cp:lastModifiedBy>张铎严</cp:lastModifiedBy>
  <cp:lastPrinted>2018-06-05T00:07:00Z</cp:lastPrinted>
  <dcterms:modified xsi:type="dcterms:W3CDTF">2021-09-13T06:20:28Z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